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C665D9" w:rsidRDefault="0092646E" w:rsidP="00C665D9">
      <w:pPr>
        <w:tabs>
          <w:tab w:val="left" w:pos="3870"/>
          <w:tab w:val="center" w:pos="4680"/>
        </w:tabs>
        <w:jc w:val="center"/>
        <w:rPr>
          <w:rFonts w:asciiTheme="minorHAnsi" w:hAnsiTheme="minorHAnsi" w:cstheme="minorHAnsi"/>
          <w:b/>
          <w:bCs/>
          <w:iCs/>
          <w:sz w:val="32"/>
          <w:szCs w:val="32"/>
        </w:rPr>
      </w:pPr>
      <w:r w:rsidRPr="00C665D9">
        <w:rPr>
          <w:rFonts w:asciiTheme="minorHAnsi" w:hAnsiTheme="minorHAnsi" w:cstheme="minorHAnsi"/>
          <w:b/>
          <w:bCs/>
          <w:iCs/>
          <w:sz w:val="32"/>
          <w:szCs w:val="32"/>
        </w:rPr>
        <w:t>FY 20</w:t>
      </w:r>
      <w:r w:rsidR="00F300E9">
        <w:rPr>
          <w:rFonts w:asciiTheme="minorHAnsi" w:hAnsiTheme="minorHAnsi" w:cstheme="minorHAnsi"/>
          <w:b/>
          <w:bCs/>
          <w:iCs/>
          <w:sz w:val="32"/>
          <w:szCs w:val="32"/>
        </w:rPr>
        <w:t>25</w:t>
      </w:r>
      <w:r w:rsidR="00833FB6" w:rsidRPr="00C665D9">
        <w:rPr>
          <w:rFonts w:asciiTheme="minorHAnsi" w:hAnsiTheme="minorHAnsi" w:cstheme="minorHAnsi"/>
          <w:b/>
          <w:bCs/>
          <w:iCs/>
          <w:sz w:val="32"/>
          <w:szCs w:val="32"/>
        </w:rPr>
        <w:t xml:space="preserve"> Comprehensive</w:t>
      </w:r>
    </w:p>
    <w:p w14:paraId="073EE52E" w14:textId="77777777" w:rsidR="0092646E" w:rsidRPr="00C665D9" w:rsidRDefault="00E51F18" w:rsidP="00C665D9">
      <w:pPr>
        <w:jc w:val="center"/>
        <w:rPr>
          <w:rFonts w:asciiTheme="minorHAnsi" w:hAnsiTheme="minorHAnsi" w:cstheme="minorHAnsi"/>
          <w:b/>
          <w:bCs/>
          <w:sz w:val="32"/>
          <w:szCs w:val="32"/>
        </w:rPr>
      </w:pPr>
      <w:r w:rsidRPr="00C665D9">
        <w:rPr>
          <w:rFonts w:asciiTheme="minorHAnsi" w:hAnsiTheme="minorHAnsi" w:cstheme="minorHAnsi"/>
          <w:b/>
          <w:bCs/>
          <w:sz w:val="32"/>
          <w:szCs w:val="32"/>
        </w:rPr>
        <w:t xml:space="preserve">Federal Annual Monitoring </w:t>
      </w:r>
      <w:r w:rsidR="0092646E" w:rsidRPr="00C665D9">
        <w:rPr>
          <w:rFonts w:asciiTheme="minorHAnsi" w:hAnsiTheme="minorHAnsi" w:cstheme="minorHAnsi"/>
          <w:b/>
          <w:bCs/>
          <w:sz w:val="32"/>
          <w:szCs w:val="32"/>
        </w:rPr>
        <w:t>Evaluation (FAME) Report</w:t>
      </w:r>
    </w:p>
    <w:p w14:paraId="12EABF73" w14:textId="77777777" w:rsidR="0092646E" w:rsidRPr="007B6225" w:rsidRDefault="0092646E" w:rsidP="00C665D9">
      <w:pPr>
        <w:jc w:val="center"/>
        <w:rPr>
          <w:rFonts w:asciiTheme="minorHAnsi" w:hAnsiTheme="minorHAnsi" w:cstheme="minorHAnsi"/>
        </w:rPr>
      </w:pPr>
    </w:p>
    <w:p w14:paraId="11C32DC7" w14:textId="77777777" w:rsidR="0092646E" w:rsidRPr="007B6225" w:rsidRDefault="0092646E" w:rsidP="00C665D9">
      <w:pPr>
        <w:jc w:val="center"/>
        <w:rPr>
          <w:rFonts w:asciiTheme="minorHAnsi" w:hAnsiTheme="minorHAnsi" w:cstheme="minorHAnsi"/>
          <w:b/>
        </w:rPr>
      </w:pPr>
    </w:p>
    <w:p w14:paraId="3655959A" w14:textId="77777777" w:rsidR="006B5795" w:rsidRPr="00DE11D1" w:rsidRDefault="006B5795" w:rsidP="006B5795">
      <w:pPr>
        <w:tabs>
          <w:tab w:val="center" w:pos="4680"/>
        </w:tabs>
        <w:jc w:val="center"/>
        <w:rPr>
          <w:rFonts w:asciiTheme="minorHAnsi" w:hAnsiTheme="minorHAnsi" w:cstheme="minorHAnsi"/>
          <w:b/>
          <w:bCs/>
        </w:rPr>
      </w:pPr>
      <w:r w:rsidRPr="00DE11D1">
        <w:rPr>
          <w:rFonts w:asciiTheme="minorHAnsi" w:hAnsiTheme="minorHAnsi" w:cstheme="minorHAnsi"/>
          <w:b/>
          <w:bCs/>
        </w:rPr>
        <w:t>NORTH CAROLINA DEPARTMENT OF LABOR OCCUPATIONAL SAFETY AND HEALTH DIVISION</w:t>
      </w:r>
    </w:p>
    <w:p w14:paraId="07BFEF2F" w14:textId="584D51AE" w:rsidR="0092646E" w:rsidRPr="00BF3962" w:rsidRDefault="0092646E" w:rsidP="00C665D9">
      <w:pPr>
        <w:jc w:val="center"/>
        <w:rPr>
          <w:rFonts w:asciiTheme="minorHAnsi" w:hAnsiTheme="minorHAnsi" w:cstheme="minorHAnsi"/>
          <w:b/>
        </w:rPr>
      </w:pPr>
    </w:p>
    <w:p w14:paraId="694780EA" w14:textId="77777777" w:rsidR="0092646E" w:rsidRPr="00BF3962" w:rsidRDefault="0092646E" w:rsidP="00C665D9">
      <w:pPr>
        <w:jc w:val="center"/>
        <w:rPr>
          <w:rFonts w:asciiTheme="minorHAnsi" w:hAnsiTheme="minorHAnsi" w:cstheme="minorHAnsi"/>
          <w:bCs/>
        </w:rPr>
      </w:pPr>
    </w:p>
    <w:p w14:paraId="77297C9A" w14:textId="77777777" w:rsidR="0092646E" w:rsidRPr="00BF3962" w:rsidRDefault="0092646E" w:rsidP="00C665D9">
      <w:pPr>
        <w:jc w:val="center"/>
        <w:rPr>
          <w:rFonts w:asciiTheme="minorHAnsi" w:hAnsiTheme="minorHAnsi" w:cstheme="minorHAnsi"/>
          <w:b/>
        </w:rPr>
      </w:pPr>
    </w:p>
    <w:p w14:paraId="0552AE6B" w14:textId="77777777" w:rsidR="0092646E" w:rsidRPr="00BF3962" w:rsidRDefault="0092646E" w:rsidP="00C665D9">
      <w:pPr>
        <w:jc w:val="center"/>
        <w:rPr>
          <w:rFonts w:asciiTheme="minorHAnsi" w:hAnsiTheme="minorHAnsi" w:cstheme="minorHAnsi"/>
          <w:b/>
          <w:iCs/>
        </w:rPr>
      </w:pPr>
    </w:p>
    <w:p w14:paraId="4FF9F9C4" w14:textId="76796A9D" w:rsidR="0092646E" w:rsidRPr="007B6225" w:rsidRDefault="006B5795" w:rsidP="00C665D9">
      <w:pPr>
        <w:jc w:val="center"/>
        <w:rPr>
          <w:rFonts w:asciiTheme="minorHAnsi" w:hAnsiTheme="minorHAnsi" w:cstheme="minorHAnsi"/>
          <w:bCs/>
        </w:rPr>
      </w:pPr>
      <w:r w:rsidRPr="00DE11D1">
        <w:rPr>
          <w:rFonts w:asciiTheme="minorHAnsi" w:hAnsiTheme="minorHAnsi" w:cstheme="minorHAnsi"/>
          <w:noProof/>
        </w:rPr>
        <w:drawing>
          <wp:inline distT="0" distB="0" distL="0" distR="0" wp14:anchorId="2AFBF5E8" wp14:editId="1F159C46">
            <wp:extent cx="3533775" cy="1553210"/>
            <wp:effectExtent l="0" t="0" r="9525" b="8890"/>
            <wp:docPr id="2" name="Picture 2" descr="ncdol_logo"/>
            <wp:cNvGraphicFramePr/>
            <a:graphic xmlns:a="http://schemas.openxmlformats.org/drawingml/2006/main">
              <a:graphicData uri="http://schemas.openxmlformats.org/drawingml/2006/picture">
                <pic:pic xmlns:pic="http://schemas.openxmlformats.org/drawingml/2006/picture">
                  <pic:nvPicPr>
                    <pic:cNvPr id="3" name="Picture 3" descr="ncdol_log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3775" cy="1553210"/>
                    </a:xfrm>
                    <a:prstGeom prst="rect">
                      <a:avLst/>
                    </a:prstGeom>
                    <a:noFill/>
                    <a:ln>
                      <a:noFill/>
                    </a:ln>
                  </pic:spPr>
                </pic:pic>
              </a:graphicData>
            </a:graphic>
          </wp:inline>
        </w:drawing>
      </w:r>
    </w:p>
    <w:p w14:paraId="43EFA533" w14:textId="4599631A" w:rsidR="0092646E" w:rsidRPr="007B6225" w:rsidRDefault="0092646E" w:rsidP="00C665D9">
      <w:pPr>
        <w:jc w:val="center"/>
        <w:rPr>
          <w:rFonts w:asciiTheme="minorHAnsi" w:hAnsiTheme="minorHAnsi" w:cstheme="minorHAnsi"/>
          <w:bCs/>
        </w:rPr>
      </w:pPr>
    </w:p>
    <w:p w14:paraId="5BA17CED" w14:textId="77777777" w:rsidR="0092646E" w:rsidRPr="007B6225" w:rsidRDefault="0092646E" w:rsidP="00C665D9">
      <w:pPr>
        <w:jc w:val="center"/>
        <w:rPr>
          <w:rFonts w:asciiTheme="minorHAnsi" w:hAnsiTheme="minorHAnsi" w:cstheme="minorHAnsi"/>
          <w:bCs/>
        </w:rPr>
      </w:pPr>
    </w:p>
    <w:p w14:paraId="46C48D23" w14:textId="77777777" w:rsidR="0092646E" w:rsidRPr="007B6225" w:rsidRDefault="0092646E" w:rsidP="00C665D9">
      <w:pPr>
        <w:jc w:val="center"/>
        <w:rPr>
          <w:rFonts w:asciiTheme="minorHAnsi" w:hAnsiTheme="minorHAnsi" w:cstheme="minorHAnsi"/>
          <w:b/>
        </w:rPr>
      </w:pPr>
    </w:p>
    <w:p w14:paraId="6D73BB45" w14:textId="70041CFC" w:rsidR="007B6225" w:rsidRPr="007B6225"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12952476"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7EA47524"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062EE1B7"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F95D1DE"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12A7C4BE" w14:textId="47F5262D" w:rsidR="006B5795" w:rsidRPr="00DE11D1" w:rsidRDefault="006B5795" w:rsidP="006B5795">
      <w:pPr>
        <w:tabs>
          <w:tab w:val="center" w:pos="4680"/>
        </w:tabs>
        <w:jc w:val="center"/>
        <w:rPr>
          <w:rFonts w:asciiTheme="minorHAnsi" w:hAnsiTheme="minorHAnsi" w:cstheme="minorHAnsi"/>
          <w:b/>
          <w:bCs/>
        </w:rPr>
      </w:pPr>
      <w:r w:rsidRPr="00DE11D1">
        <w:rPr>
          <w:rFonts w:asciiTheme="minorHAnsi" w:eastAsia="Batang" w:hAnsiTheme="minorHAnsi" w:cstheme="minorHAnsi"/>
          <w:b/>
        </w:rPr>
        <w:t>Initial Approval Date: January 26, 1973</w:t>
      </w:r>
    </w:p>
    <w:p w14:paraId="49337122" w14:textId="309B8D7D" w:rsidR="006B5795" w:rsidRPr="00DE11D1" w:rsidRDefault="006B5795" w:rsidP="006B5795">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DE11D1">
        <w:rPr>
          <w:rFonts w:asciiTheme="minorHAnsi" w:eastAsia="Batang" w:hAnsiTheme="minorHAnsi" w:cstheme="minorHAnsi"/>
          <w:b/>
        </w:rPr>
        <w:t xml:space="preserve"> Program Certification Date: October 5, 1976</w:t>
      </w:r>
    </w:p>
    <w:p w14:paraId="55880376" w14:textId="6F029A37" w:rsidR="006B5795" w:rsidRPr="00DE11D1" w:rsidRDefault="006B5795" w:rsidP="006B5795">
      <w:pPr>
        <w:tabs>
          <w:tab w:val="center" w:pos="4680"/>
        </w:tabs>
        <w:jc w:val="center"/>
        <w:rPr>
          <w:rFonts w:asciiTheme="minorHAnsi" w:hAnsiTheme="minorHAnsi" w:cstheme="minorHAnsi"/>
          <w:b/>
          <w:bCs/>
        </w:rPr>
      </w:pPr>
      <w:r w:rsidRPr="00DE11D1">
        <w:rPr>
          <w:rFonts w:asciiTheme="minorHAnsi" w:eastAsia="Batang" w:hAnsiTheme="minorHAnsi" w:cstheme="minorHAnsi"/>
          <w:b/>
        </w:rPr>
        <w:t>Final Approval Date: December</w:t>
      </w:r>
      <w:r w:rsidRPr="00DE11D1">
        <w:rPr>
          <w:rFonts w:asciiTheme="minorHAnsi" w:hAnsiTheme="minorHAnsi" w:cstheme="minorHAnsi"/>
          <w:b/>
          <w:bCs/>
        </w:rPr>
        <w:t xml:space="preserve"> 10, 1996</w:t>
      </w:r>
    </w:p>
    <w:p w14:paraId="5DF9A519" w14:textId="77777777" w:rsidR="006B5795" w:rsidRDefault="006B5795" w:rsidP="006B5795">
      <w:pPr>
        <w:jc w:val="center"/>
        <w:rPr>
          <w:b/>
          <w:bCs/>
        </w:rPr>
      </w:pPr>
    </w:p>
    <w:p w14:paraId="21B7C31C" w14:textId="77777777" w:rsidR="0092646E" w:rsidRPr="00692B34" w:rsidRDefault="0092646E" w:rsidP="00C665D9">
      <w:pPr>
        <w:jc w:val="center"/>
        <w:rPr>
          <w:rFonts w:asciiTheme="minorHAnsi" w:hAnsiTheme="minorHAnsi" w:cstheme="minorHAnsi"/>
          <w:b/>
          <w:bCs/>
          <w:i/>
        </w:rPr>
      </w:pPr>
    </w:p>
    <w:p w14:paraId="21C4C1AC" w14:textId="77777777" w:rsidR="0092646E" w:rsidRPr="00692B34" w:rsidRDefault="0092646E" w:rsidP="00C665D9">
      <w:pPr>
        <w:jc w:val="center"/>
        <w:rPr>
          <w:rFonts w:asciiTheme="minorHAnsi" w:hAnsiTheme="minorHAnsi" w:cstheme="minorHAnsi"/>
          <w:b/>
          <w:bCs/>
          <w:i/>
        </w:rPr>
      </w:pPr>
    </w:p>
    <w:p w14:paraId="14469551"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5AF6DC6C" w14:textId="77777777" w:rsidR="006B5795" w:rsidRDefault="0092646E" w:rsidP="006B5795">
      <w:pPr>
        <w:jc w:val="center"/>
        <w:rPr>
          <w:rFonts w:asciiTheme="minorHAnsi" w:hAnsiTheme="minorHAnsi" w:cstheme="minorHAnsi"/>
          <w:b/>
          <w:bCs/>
        </w:rPr>
      </w:pPr>
      <w:r w:rsidRPr="006B5795">
        <w:rPr>
          <w:rFonts w:asciiTheme="minorHAnsi" w:hAnsiTheme="minorHAnsi" w:cstheme="minorHAnsi"/>
          <w:b/>
          <w:bCs/>
        </w:rPr>
        <w:t xml:space="preserve">Region </w:t>
      </w:r>
      <w:r w:rsidR="006B5795" w:rsidRPr="006B5795">
        <w:rPr>
          <w:rFonts w:asciiTheme="minorHAnsi" w:hAnsiTheme="minorHAnsi" w:cstheme="minorHAnsi"/>
          <w:b/>
          <w:bCs/>
        </w:rPr>
        <w:t>Atlanta</w:t>
      </w:r>
    </w:p>
    <w:p w14:paraId="7D0B14AA" w14:textId="0A8CE9ED" w:rsidR="006B5795" w:rsidRPr="006B5795" w:rsidRDefault="006B5795" w:rsidP="006B5795">
      <w:pPr>
        <w:jc w:val="center"/>
        <w:rPr>
          <w:rFonts w:asciiTheme="minorHAnsi" w:hAnsiTheme="minorHAnsi" w:cstheme="minorHAnsi"/>
          <w:b/>
          <w:bCs/>
        </w:rPr>
      </w:pPr>
      <w:r w:rsidRPr="00DE11D1">
        <w:rPr>
          <w:rFonts w:asciiTheme="minorHAnsi" w:hAnsiTheme="minorHAnsi" w:cstheme="minorHAnsi"/>
          <w:b/>
        </w:rPr>
        <w:t>Atlanta, Georgia</w:t>
      </w:r>
    </w:p>
    <w:p w14:paraId="692FF60B" w14:textId="77777777" w:rsidR="00B4710E" w:rsidRDefault="00B4710E" w:rsidP="00C665D9">
      <w:pPr>
        <w:ind w:left="360"/>
        <w:jc w:val="center"/>
      </w:pPr>
    </w:p>
    <w:p w14:paraId="4D3BD8F9" w14:textId="77777777" w:rsidR="006B5795" w:rsidRDefault="006B5795" w:rsidP="00C665D9">
      <w:pPr>
        <w:ind w:left="360"/>
        <w:jc w:val="center"/>
      </w:pPr>
    </w:p>
    <w:p w14:paraId="65F69388" w14:textId="02F06E9E" w:rsidR="007B6225" w:rsidRDefault="00F40E31" w:rsidP="001938F9">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68BE3702" w14:textId="77777777" w:rsidR="00B8268C" w:rsidRDefault="00B8268C" w:rsidP="00F300E9">
      <w:pPr>
        <w:keepNext/>
        <w:keepLines/>
        <w:widowControl/>
        <w:autoSpaceDE/>
        <w:autoSpaceDN/>
        <w:adjustRightInd/>
        <w:spacing w:before="480"/>
        <w:jc w:val="center"/>
        <w:rPr>
          <w:rFonts w:asciiTheme="minorHAnsi" w:hAnsiTheme="minorHAnsi" w:cstheme="minorHAnsi"/>
          <w:b/>
          <w:bCs/>
          <w:sz w:val="32"/>
          <w:szCs w:val="32"/>
          <w:lang w:eastAsia="ja-JP"/>
        </w:rPr>
      </w:pPr>
    </w:p>
    <w:p w14:paraId="60FB2C6B" w14:textId="2F9ED925" w:rsidR="005A5B9A" w:rsidRPr="0081725F"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t>Table of Contents</w:t>
      </w:r>
    </w:p>
    <w:p w14:paraId="1EE3EE39" w14:textId="77777777" w:rsidR="005A5B9A" w:rsidRPr="0081725F" w:rsidRDefault="005A5B9A" w:rsidP="007A71AC">
      <w:pPr>
        <w:rPr>
          <w:rFonts w:asciiTheme="minorHAnsi" w:hAnsiTheme="minorHAnsi" w:cstheme="minorHAnsi"/>
          <w:bCs/>
          <w:color w:val="0070C0"/>
          <w:sz w:val="32"/>
          <w:szCs w:val="32"/>
        </w:rPr>
      </w:pPr>
    </w:p>
    <w:p w14:paraId="34E46724" w14:textId="5481CC88" w:rsidR="005A5B9A" w:rsidRDefault="005A5B9A" w:rsidP="00D4742C">
      <w:pPr>
        <w:widowControl/>
        <w:numPr>
          <w:ilvl w:val="0"/>
          <w:numId w:val="7"/>
        </w:numPr>
        <w:autoSpaceDE/>
        <w:autoSpaceDN/>
        <w:adjustRightInd/>
        <w:ind w:left="720"/>
        <w:jc w:val="both"/>
        <w:rPr>
          <w:rFonts w:asciiTheme="minorHAnsi" w:hAnsiTheme="minorHAnsi" w:cstheme="minorHAnsi"/>
        </w:rPr>
      </w:pPr>
      <w:r w:rsidRPr="006C26E8">
        <w:rPr>
          <w:rFonts w:asciiTheme="minorHAnsi" w:hAnsiTheme="minorHAnsi" w:cstheme="minorHAnsi"/>
        </w:rPr>
        <w:t>Executive Summary</w:t>
      </w:r>
      <w:r w:rsidR="006C26E8">
        <w:rPr>
          <w:rFonts w:asciiTheme="minorHAnsi" w:hAnsiTheme="minorHAnsi" w:cstheme="minorHAnsi"/>
        </w:rPr>
        <w:t xml:space="preserve"> </w:t>
      </w:r>
      <w:r w:rsidRPr="006C26E8">
        <w:rPr>
          <w:rFonts w:asciiTheme="minorHAnsi" w:hAnsiTheme="minorHAnsi" w:cstheme="minorHAnsi"/>
        </w:rPr>
        <w:t>………………………………………</w:t>
      </w:r>
      <w:r w:rsidR="003F6589" w:rsidRPr="006C26E8">
        <w:rPr>
          <w:rFonts w:asciiTheme="minorHAnsi" w:hAnsiTheme="minorHAnsi" w:cstheme="minorHAnsi"/>
        </w:rPr>
        <w:t>...</w:t>
      </w:r>
      <w:r w:rsidRPr="006C26E8">
        <w:rPr>
          <w:rFonts w:asciiTheme="minorHAnsi" w:hAnsiTheme="minorHAnsi" w:cstheme="minorHAnsi"/>
        </w:rPr>
        <w:t>………</w:t>
      </w:r>
      <w:r w:rsidR="003F6589" w:rsidRPr="006C26E8">
        <w:rPr>
          <w:rFonts w:asciiTheme="minorHAnsi" w:hAnsiTheme="minorHAnsi" w:cstheme="minorHAnsi"/>
        </w:rPr>
        <w:t>…</w:t>
      </w:r>
      <w:r w:rsidR="00AC0A1C" w:rsidRPr="006C26E8">
        <w:rPr>
          <w:rFonts w:asciiTheme="minorHAnsi" w:hAnsiTheme="minorHAnsi" w:cstheme="minorHAnsi"/>
        </w:rPr>
        <w:t>..</w:t>
      </w:r>
      <w:r w:rsidR="003F6589"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044CCF" w:rsidRPr="006C26E8">
        <w:rPr>
          <w:rFonts w:asciiTheme="minorHAnsi" w:hAnsiTheme="minorHAnsi" w:cstheme="minorHAnsi"/>
        </w:rPr>
        <w:t>…</w:t>
      </w:r>
      <w:r w:rsidR="00D94BAC">
        <w:rPr>
          <w:rFonts w:asciiTheme="minorHAnsi" w:hAnsiTheme="minorHAnsi" w:cstheme="minorHAnsi"/>
        </w:rPr>
        <w:t>3</w:t>
      </w:r>
    </w:p>
    <w:p w14:paraId="3E694E80" w14:textId="77777777" w:rsidR="00BD53A7" w:rsidRPr="00BD53A7" w:rsidRDefault="00BD53A7" w:rsidP="00BD53A7">
      <w:pPr>
        <w:widowControl/>
        <w:autoSpaceDE/>
        <w:autoSpaceDN/>
        <w:adjustRightInd/>
        <w:ind w:left="720"/>
        <w:jc w:val="both"/>
        <w:rPr>
          <w:rFonts w:asciiTheme="minorHAnsi" w:hAnsiTheme="minorHAnsi" w:cstheme="minorHAnsi"/>
        </w:rPr>
      </w:pPr>
    </w:p>
    <w:p w14:paraId="39559F21" w14:textId="1290579F" w:rsidR="00561182" w:rsidRPr="006C26E8" w:rsidRDefault="00561182" w:rsidP="00D4742C">
      <w:pPr>
        <w:widowControl/>
        <w:numPr>
          <w:ilvl w:val="0"/>
          <w:numId w:val="7"/>
        </w:numPr>
        <w:autoSpaceDE/>
        <w:autoSpaceDN/>
        <w:adjustRightInd/>
        <w:ind w:left="720"/>
        <w:jc w:val="both"/>
        <w:rPr>
          <w:rFonts w:asciiTheme="minorHAnsi" w:hAnsiTheme="minorHAnsi" w:cstheme="minorHAnsi"/>
        </w:rPr>
      </w:pPr>
      <w:r w:rsidRPr="006C26E8">
        <w:rPr>
          <w:rFonts w:asciiTheme="minorHAnsi" w:hAnsiTheme="minorHAnsi" w:cstheme="minorHAnsi"/>
        </w:rPr>
        <w:t>State Plan Background</w:t>
      </w:r>
      <w:r w:rsidR="006C26E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5D1101" w:rsidRPr="006C26E8">
        <w:rPr>
          <w:rFonts w:asciiTheme="minorHAnsi" w:hAnsiTheme="minorHAnsi" w:cstheme="minorHAnsi"/>
        </w:rPr>
        <w:t>.</w:t>
      </w:r>
      <w:r w:rsidR="00D94BAC">
        <w:rPr>
          <w:rFonts w:asciiTheme="minorHAnsi" w:hAnsiTheme="minorHAnsi" w:cstheme="minorHAnsi"/>
        </w:rPr>
        <w:t>4</w:t>
      </w:r>
    </w:p>
    <w:p w14:paraId="24C680AB" w14:textId="5C08D0DE" w:rsidR="00561182" w:rsidRPr="006C26E8" w:rsidRDefault="00044CCF" w:rsidP="00D4742C">
      <w:pPr>
        <w:pStyle w:val="ListParagraph"/>
        <w:numPr>
          <w:ilvl w:val="0"/>
          <w:numId w:val="14"/>
        </w:numPr>
        <w:ind w:left="1440" w:hanging="720"/>
        <w:jc w:val="both"/>
        <w:rPr>
          <w:rFonts w:asciiTheme="minorHAnsi" w:hAnsiTheme="minorHAnsi" w:cstheme="minorHAnsi"/>
          <w:sz w:val="24"/>
          <w:szCs w:val="24"/>
        </w:rPr>
      </w:pPr>
      <w:r w:rsidRPr="006C26E8">
        <w:rPr>
          <w:rFonts w:asciiTheme="minorHAnsi" w:hAnsiTheme="minorHAnsi" w:cstheme="minorHAnsi"/>
          <w:sz w:val="24"/>
          <w:szCs w:val="24"/>
        </w:rPr>
        <w:t>Background</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5D1101" w:rsidRPr="006C26E8">
        <w:rPr>
          <w:rFonts w:asciiTheme="minorHAnsi" w:hAnsiTheme="minorHAnsi" w:cstheme="minorHAnsi"/>
          <w:sz w:val="24"/>
          <w:szCs w:val="24"/>
        </w:rPr>
        <w:t>..</w:t>
      </w:r>
      <w:r w:rsidR="00495EC4">
        <w:rPr>
          <w:rFonts w:asciiTheme="minorHAnsi" w:hAnsiTheme="minorHAnsi" w:cstheme="minorHAnsi"/>
          <w:sz w:val="24"/>
          <w:szCs w:val="24"/>
        </w:rPr>
        <w:t>4</w:t>
      </w:r>
    </w:p>
    <w:p w14:paraId="175D07FF" w14:textId="5941CC62" w:rsidR="00044CCF" w:rsidRPr="000762C5" w:rsidRDefault="00044CCF" w:rsidP="00D4742C">
      <w:pPr>
        <w:pStyle w:val="ListParagraph"/>
        <w:numPr>
          <w:ilvl w:val="0"/>
          <w:numId w:val="14"/>
        </w:numPr>
        <w:spacing w:line="240" w:lineRule="auto"/>
        <w:ind w:left="1440" w:hanging="720"/>
        <w:jc w:val="both"/>
        <w:rPr>
          <w:rFonts w:asciiTheme="minorHAnsi" w:hAnsiTheme="minorHAnsi" w:cstheme="minorHAnsi"/>
          <w:sz w:val="24"/>
          <w:szCs w:val="24"/>
        </w:rPr>
      </w:pPr>
      <w:r w:rsidRPr="006C26E8">
        <w:rPr>
          <w:rFonts w:asciiTheme="minorHAnsi" w:hAnsiTheme="minorHAnsi" w:cstheme="minorHAnsi"/>
          <w:sz w:val="24"/>
          <w:szCs w:val="24"/>
        </w:rPr>
        <w:t>New Issues</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Pr="006C26E8">
        <w:rPr>
          <w:rFonts w:asciiTheme="minorHAnsi" w:hAnsiTheme="minorHAnsi" w:cstheme="minorHAnsi"/>
          <w:sz w:val="24"/>
          <w:szCs w:val="24"/>
        </w:rPr>
        <w:t>………</w:t>
      </w:r>
      <w:r w:rsidR="005D1101" w:rsidRPr="006C26E8">
        <w:rPr>
          <w:rFonts w:asciiTheme="minorHAnsi" w:hAnsiTheme="minorHAnsi" w:cstheme="minorHAnsi"/>
          <w:sz w:val="24"/>
          <w:szCs w:val="24"/>
        </w:rPr>
        <w:t>……</w:t>
      </w:r>
      <w:r w:rsidR="006C26E8">
        <w:rPr>
          <w:rFonts w:asciiTheme="minorHAnsi" w:hAnsiTheme="minorHAnsi" w:cstheme="minorHAnsi"/>
          <w:sz w:val="24"/>
          <w:szCs w:val="24"/>
        </w:rPr>
        <w:t>…</w:t>
      </w:r>
      <w:r w:rsidR="005D1101" w:rsidRPr="006C26E8">
        <w:rPr>
          <w:rFonts w:asciiTheme="minorHAnsi" w:hAnsiTheme="minorHAnsi" w:cstheme="minorHAnsi"/>
          <w:sz w:val="24"/>
          <w:szCs w:val="24"/>
        </w:rPr>
        <w:t>…</w:t>
      </w:r>
      <w:r w:rsidR="00495EC4">
        <w:rPr>
          <w:rFonts w:asciiTheme="minorHAnsi" w:hAnsiTheme="minorHAnsi" w:cstheme="minorHAnsi"/>
          <w:sz w:val="24"/>
          <w:szCs w:val="24"/>
        </w:rPr>
        <w:t>5</w:t>
      </w:r>
    </w:p>
    <w:p w14:paraId="67086F6A" w14:textId="35372D47" w:rsidR="005A5B9A" w:rsidRPr="006C26E8" w:rsidRDefault="005A5B9A" w:rsidP="00D4742C">
      <w:pPr>
        <w:widowControl/>
        <w:numPr>
          <w:ilvl w:val="0"/>
          <w:numId w:val="7"/>
        </w:numPr>
        <w:autoSpaceDE/>
        <w:autoSpaceDN/>
        <w:adjustRightInd/>
        <w:ind w:left="720"/>
        <w:jc w:val="both"/>
        <w:rPr>
          <w:rFonts w:asciiTheme="minorHAnsi" w:hAnsiTheme="minorHAnsi" w:cstheme="minorHAnsi"/>
        </w:rPr>
      </w:pPr>
      <w:r w:rsidRPr="006C26E8">
        <w:rPr>
          <w:rFonts w:asciiTheme="minorHAnsi" w:hAnsiTheme="minorHAnsi" w:cstheme="minorHAnsi"/>
        </w:rPr>
        <w:t>Assessment of State Plan Performance</w:t>
      </w:r>
      <w:bookmarkStart w:id="0" w:name="_Toc364151290"/>
      <w:r w:rsidR="006C26E8">
        <w:rPr>
          <w:rFonts w:asciiTheme="minorHAnsi" w:hAnsiTheme="minorHAnsi" w:cstheme="minorHAnsi"/>
        </w:rPr>
        <w:t>.</w:t>
      </w:r>
      <w:r w:rsidRPr="006C26E8">
        <w:rPr>
          <w:rFonts w:asciiTheme="minorHAnsi" w:hAnsiTheme="minorHAnsi" w:cstheme="minorHAnsi"/>
          <w:bCs/>
        </w:rPr>
        <w:t>……………………………</w:t>
      </w:r>
      <w:r w:rsidR="009C6522" w:rsidRPr="006C26E8">
        <w:rPr>
          <w:rFonts w:asciiTheme="minorHAnsi" w:hAnsiTheme="minorHAnsi" w:cstheme="minorHAnsi"/>
          <w:bCs/>
        </w:rPr>
        <w:t>………</w:t>
      </w:r>
      <w:r w:rsidR="00F13BE8" w:rsidRPr="006C26E8">
        <w:rPr>
          <w:rFonts w:asciiTheme="minorHAnsi" w:hAnsiTheme="minorHAnsi" w:cstheme="minorHAnsi"/>
          <w:bCs/>
        </w:rPr>
        <w:t>………………</w:t>
      </w:r>
      <w:r w:rsidR="006C26E8">
        <w:rPr>
          <w:rFonts w:asciiTheme="minorHAnsi" w:hAnsiTheme="minorHAnsi" w:cstheme="minorHAnsi"/>
          <w:bCs/>
        </w:rPr>
        <w:t>…………………...</w:t>
      </w:r>
      <w:r w:rsidR="00F13BE8" w:rsidRPr="006C26E8">
        <w:rPr>
          <w:rFonts w:asciiTheme="minorHAnsi" w:hAnsiTheme="minorHAnsi" w:cstheme="minorHAnsi"/>
          <w:bCs/>
        </w:rPr>
        <w:t>.</w:t>
      </w:r>
      <w:r w:rsidR="005D1101" w:rsidRPr="006C26E8">
        <w:rPr>
          <w:rFonts w:asciiTheme="minorHAnsi" w:hAnsiTheme="minorHAnsi" w:cstheme="minorHAnsi"/>
          <w:bCs/>
        </w:rPr>
        <w:t>…</w:t>
      </w:r>
      <w:r w:rsidR="00512665">
        <w:rPr>
          <w:rFonts w:asciiTheme="minorHAnsi" w:hAnsiTheme="minorHAnsi" w:cstheme="minorHAnsi"/>
          <w:bCs/>
        </w:rPr>
        <w:t>5</w:t>
      </w:r>
    </w:p>
    <w:p w14:paraId="49A73509" w14:textId="5D0E16B4" w:rsidR="00064492" w:rsidRPr="006C26E8" w:rsidRDefault="00ED6F8F" w:rsidP="00D4742C">
      <w:pPr>
        <w:widowControl/>
        <w:numPr>
          <w:ilvl w:val="0"/>
          <w:numId w:val="8"/>
        </w:numPr>
        <w:autoSpaceDE/>
        <w:autoSpaceDN/>
        <w:adjustRightInd/>
        <w:ind w:left="1440" w:hanging="720"/>
        <w:contextualSpacing/>
        <w:jc w:val="both"/>
        <w:rPr>
          <w:rFonts w:asciiTheme="minorHAnsi" w:hAnsiTheme="minorHAnsi" w:cstheme="minorHAnsi"/>
        </w:rPr>
      </w:pPr>
      <w:r w:rsidRPr="006C26E8">
        <w:rPr>
          <w:rFonts w:asciiTheme="minorHAnsi" w:hAnsiTheme="minorHAnsi" w:cstheme="minorHAnsi"/>
        </w:rPr>
        <w:t>Data and Methodology</w:t>
      </w:r>
      <w:r w:rsidR="006C26E8">
        <w:rPr>
          <w:rFonts w:asciiTheme="minorHAnsi" w:hAnsiTheme="minorHAnsi" w:cstheme="minorHAnsi"/>
        </w:rPr>
        <w:t>..</w:t>
      </w:r>
      <w:r w:rsidRPr="006C26E8">
        <w:rPr>
          <w:rFonts w:asciiTheme="minorHAnsi" w:hAnsiTheme="minorHAnsi" w:cstheme="minorHAnsi"/>
        </w:rPr>
        <w:t>…………………………………………………………</w:t>
      </w:r>
      <w:r w:rsidR="00044CCF"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D86182" w:rsidRPr="006C26E8">
        <w:rPr>
          <w:rFonts w:asciiTheme="minorHAnsi" w:hAnsiTheme="minorHAnsi" w:cstheme="minorHAnsi"/>
        </w:rPr>
        <w:t>.</w:t>
      </w:r>
      <w:r w:rsidR="00F13BE8" w:rsidRPr="006C26E8">
        <w:rPr>
          <w:rFonts w:asciiTheme="minorHAnsi" w:hAnsiTheme="minorHAnsi" w:cstheme="minorHAnsi"/>
        </w:rPr>
        <w:t>……</w:t>
      </w:r>
      <w:r w:rsidR="00645529">
        <w:rPr>
          <w:rFonts w:asciiTheme="minorHAnsi" w:hAnsiTheme="minorHAnsi" w:cstheme="minorHAnsi"/>
        </w:rPr>
        <w:t>…</w:t>
      </w:r>
      <w:r w:rsidR="00D23A75">
        <w:rPr>
          <w:rFonts w:asciiTheme="minorHAnsi" w:hAnsiTheme="minorHAnsi" w:cstheme="minorHAnsi"/>
        </w:rPr>
        <w:t>5</w:t>
      </w:r>
    </w:p>
    <w:p w14:paraId="2EAA79F4" w14:textId="31323B8E" w:rsidR="00ED6F8F" w:rsidRPr="006C26E8" w:rsidRDefault="00ED6F8F" w:rsidP="00D4742C">
      <w:pPr>
        <w:widowControl/>
        <w:numPr>
          <w:ilvl w:val="0"/>
          <w:numId w:val="8"/>
        </w:numPr>
        <w:autoSpaceDE/>
        <w:autoSpaceDN/>
        <w:adjustRightInd/>
        <w:ind w:left="1440" w:hanging="720"/>
        <w:contextualSpacing/>
        <w:rPr>
          <w:rFonts w:asciiTheme="minorHAnsi" w:hAnsiTheme="minorHAnsi" w:cstheme="minorHAnsi"/>
        </w:rPr>
      </w:pPr>
      <w:r w:rsidRPr="006C26E8">
        <w:rPr>
          <w:rFonts w:asciiTheme="minorHAnsi" w:hAnsiTheme="minorHAnsi" w:cstheme="minorHAnsi"/>
        </w:rPr>
        <w:t>Review of State Plan Performance……………………………………………</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Pr="006C26E8">
        <w:rPr>
          <w:rFonts w:asciiTheme="minorHAnsi" w:hAnsiTheme="minorHAnsi" w:cstheme="minorHAnsi"/>
        </w:rPr>
        <w:t>…</w:t>
      </w:r>
      <w:r w:rsidR="005D1101" w:rsidRPr="006C26E8">
        <w:rPr>
          <w:rFonts w:asciiTheme="minorHAnsi" w:hAnsiTheme="minorHAnsi" w:cstheme="minorHAnsi"/>
        </w:rPr>
        <w:t>…</w:t>
      </w:r>
      <w:r w:rsidR="00645529">
        <w:rPr>
          <w:rFonts w:asciiTheme="minorHAnsi" w:hAnsiTheme="minorHAnsi" w:cstheme="minorHAnsi"/>
        </w:rPr>
        <w:t xml:space="preserve"> </w:t>
      </w:r>
      <w:r w:rsidR="00D23A75">
        <w:rPr>
          <w:rFonts w:asciiTheme="minorHAnsi" w:hAnsiTheme="minorHAnsi" w:cstheme="minorHAnsi"/>
        </w:rPr>
        <w:t>6</w:t>
      </w:r>
    </w:p>
    <w:p w14:paraId="5D155DC1" w14:textId="6F239751" w:rsidR="005A5B9A" w:rsidRPr="006C26E8" w:rsidRDefault="00ED6F8F" w:rsidP="00D4742C">
      <w:pPr>
        <w:pStyle w:val="ListParagraph"/>
        <w:numPr>
          <w:ilvl w:val="0"/>
          <w:numId w:val="13"/>
        </w:numPr>
        <w:spacing w:after="0"/>
        <w:rPr>
          <w:rFonts w:asciiTheme="minorHAnsi" w:hAnsiTheme="minorHAnsi" w:cstheme="minorHAnsi"/>
          <w:sz w:val="24"/>
          <w:szCs w:val="24"/>
        </w:rPr>
      </w:pPr>
      <w:r w:rsidRPr="006C26E8">
        <w:rPr>
          <w:rFonts w:asciiTheme="minorHAnsi" w:hAnsiTheme="minorHAnsi" w:cstheme="minorHAnsi"/>
          <w:sz w:val="24"/>
          <w:szCs w:val="24"/>
        </w:rPr>
        <w:t xml:space="preserve">Program </w:t>
      </w:r>
      <w:r w:rsidR="005A5B9A" w:rsidRPr="006C26E8">
        <w:rPr>
          <w:rFonts w:asciiTheme="minorHAnsi" w:hAnsiTheme="minorHAnsi" w:cstheme="minorHAnsi"/>
          <w:sz w:val="24"/>
          <w:szCs w:val="24"/>
        </w:rPr>
        <w:t>Administration</w:t>
      </w:r>
      <w:r w:rsidR="006C26E8">
        <w:rPr>
          <w:rFonts w:asciiTheme="minorHAnsi" w:hAnsiTheme="minorHAnsi" w:cstheme="minorHAnsi"/>
          <w:sz w:val="24"/>
          <w:szCs w:val="24"/>
        </w:rPr>
        <w:t xml:space="preserve"> </w:t>
      </w:r>
      <w:r w:rsidR="005A5B9A" w:rsidRPr="006C26E8">
        <w:rPr>
          <w:rFonts w:asciiTheme="minorHAnsi" w:hAnsiTheme="minorHAnsi" w:cstheme="minorHAnsi"/>
          <w:sz w:val="24"/>
          <w:szCs w:val="24"/>
        </w:rPr>
        <w:t>…………………………………….............</w:t>
      </w:r>
      <w:r w:rsidR="009C6522" w:rsidRPr="006C26E8">
        <w:rPr>
          <w:rFonts w:asciiTheme="minorHAnsi" w:hAnsiTheme="minorHAnsi" w:cstheme="minorHAnsi"/>
          <w:sz w:val="24"/>
          <w:szCs w:val="24"/>
        </w:rPr>
        <w:t>......</w:t>
      </w:r>
      <w:r w:rsidR="00AC0A1C"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AC0A1C" w:rsidRPr="006C26E8">
        <w:rPr>
          <w:rFonts w:asciiTheme="minorHAnsi" w:hAnsiTheme="minorHAnsi" w:cstheme="minorHAnsi"/>
          <w:sz w:val="24"/>
          <w:szCs w:val="24"/>
        </w:rPr>
        <w:t>.</w:t>
      </w:r>
      <w:r w:rsidR="003A117C" w:rsidRPr="006C26E8">
        <w:rPr>
          <w:rFonts w:asciiTheme="minorHAnsi" w:hAnsiTheme="minorHAnsi" w:cstheme="minorHAnsi"/>
          <w:sz w:val="24"/>
          <w:szCs w:val="24"/>
        </w:rPr>
        <w:t>.</w:t>
      </w:r>
      <w:r w:rsidR="006C26E8">
        <w:rPr>
          <w:rFonts w:asciiTheme="minorHAnsi" w:hAnsiTheme="minorHAnsi" w:cstheme="minorHAnsi"/>
          <w:sz w:val="24"/>
          <w:szCs w:val="24"/>
        </w:rPr>
        <w:t>.</w:t>
      </w:r>
      <w:r w:rsidR="003A117C" w:rsidRPr="006C26E8">
        <w:rPr>
          <w:rFonts w:asciiTheme="minorHAnsi" w:hAnsiTheme="minorHAnsi" w:cstheme="minorHAnsi"/>
          <w:sz w:val="24"/>
          <w:szCs w:val="24"/>
        </w:rPr>
        <w:t>.</w:t>
      </w:r>
      <w:r w:rsidR="00044CCF" w:rsidRPr="006C26E8">
        <w:rPr>
          <w:rFonts w:asciiTheme="minorHAnsi" w:hAnsiTheme="minorHAnsi" w:cstheme="minorHAnsi"/>
          <w:sz w:val="24"/>
          <w:szCs w:val="24"/>
        </w:rPr>
        <w:t>..</w:t>
      </w:r>
      <w:r w:rsidR="006C26E8">
        <w:rPr>
          <w:rFonts w:asciiTheme="minorHAnsi" w:hAnsiTheme="minorHAnsi" w:cstheme="minorHAnsi"/>
          <w:sz w:val="24"/>
          <w:szCs w:val="24"/>
        </w:rPr>
        <w:t>.</w:t>
      </w:r>
      <w:r w:rsidR="00044CCF" w:rsidRPr="006C26E8">
        <w:rPr>
          <w:rFonts w:asciiTheme="minorHAnsi" w:hAnsiTheme="minorHAnsi" w:cstheme="minorHAnsi"/>
          <w:sz w:val="24"/>
          <w:szCs w:val="24"/>
        </w:rPr>
        <w:t>.</w:t>
      </w:r>
      <w:r w:rsidR="006C26E8">
        <w:rPr>
          <w:rFonts w:asciiTheme="minorHAnsi" w:hAnsiTheme="minorHAnsi" w:cstheme="minorHAnsi"/>
          <w:sz w:val="24"/>
          <w:szCs w:val="24"/>
        </w:rPr>
        <w:t>.</w:t>
      </w:r>
      <w:r w:rsidR="00044CCF" w:rsidRPr="006C26E8">
        <w:rPr>
          <w:rFonts w:asciiTheme="minorHAnsi" w:hAnsiTheme="minorHAnsi" w:cstheme="minorHAnsi"/>
          <w:sz w:val="24"/>
          <w:szCs w:val="24"/>
        </w:rPr>
        <w:t>..</w:t>
      </w:r>
      <w:r w:rsidR="005D1101" w:rsidRPr="006C26E8">
        <w:rPr>
          <w:rFonts w:asciiTheme="minorHAnsi" w:hAnsiTheme="minorHAnsi" w:cstheme="minorHAnsi"/>
          <w:sz w:val="24"/>
          <w:szCs w:val="24"/>
        </w:rPr>
        <w:t>..</w:t>
      </w:r>
      <w:r w:rsidR="00D23A75">
        <w:rPr>
          <w:rFonts w:asciiTheme="minorHAnsi" w:hAnsiTheme="minorHAnsi" w:cstheme="minorHAnsi"/>
          <w:sz w:val="24"/>
          <w:szCs w:val="24"/>
        </w:rPr>
        <w:t>6</w:t>
      </w:r>
    </w:p>
    <w:p w14:paraId="17BAA655" w14:textId="5E02798C" w:rsidR="005A5B9A" w:rsidRPr="006C26E8" w:rsidRDefault="005A5B9A"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Enforcement……………………………………………………………</w:t>
      </w:r>
      <w:r w:rsidR="009C6522"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9C6522" w:rsidRPr="006C26E8">
        <w:rPr>
          <w:rFonts w:asciiTheme="minorHAnsi" w:hAnsiTheme="minorHAnsi" w:cstheme="minorHAnsi"/>
        </w:rPr>
        <w:t>..</w:t>
      </w:r>
      <w:r w:rsidR="00AC0A1C" w:rsidRPr="006C26E8">
        <w:rPr>
          <w:rFonts w:asciiTheme="minorHAnsi" w:hAnsiTheme="minorHAnsi" w:cstheme="minorHAnsi"/>
        </w:rPr>
        <w:t>.</w:t>
      </w:r>
      <w:r w:rsidR="00D23A75">
        <w:rPr>
          <w:rFonts w:asciiTheme="minorHAnsi" w:hAnsiTheme="minorHAnsi" w:cstheme="minorHAnsi"/>
        </w:rPr>
        <w:t>8</w:t>
      </w:r>
    </w:p>
    <w:p w14:paraId="6E8BCFF6" w14:textId="6241A133" w:rsidR="005A5B9A" w:rsidRPr="006C26E8" w:rsidRDefault="005A5B9A" w:rsidP="00D4742C">
      <w:pPr>
        <w:widowControl/>
        <w:numPr>
          <w:ilvl w:val="0"/>
          <w:numId w:val="13"/>
        </w:numPr>
        <w:autoSpaceDE/>
        <w:autoSpaceDN/>
        <w:adjustRightInd/>
        <w:contextualSpacing/>
        <w:jc w:val="both"/>
        <w:rPr>
          <w:rFonts w:asciiTheme="minorHAnsi" w:hAnsiTheme="minorHAnsi" w:cstheme="minorHAnsi"/>
          <w:bCs/>
        </w:rPr>
      </w:pPr>
      <w:r w:rsidRPr="006C26E8">
        <w:rPr>
          <w:rFonts w:asciiTheme="minorHAnsi" w:hAnsiTheme="minorHAnsi" w:cstheme="minorHAnsi"/>
          <w:bCs/>
        </w:rPr>
        <w:t>Review Procedures………………………………………………………</w:t>
      </w:r>
      <w:r w:rsidR="00F13BE8" w:rsidRPr="006C26E8">
        <w:rPr>
          <w:rFonts w:asciiTheme="minorHAnsi" w:hAnsiTheme="minorHAnsi" w:cstheme="minorHAnsi"/>
          <w:bCs/>
        </w:rPr>
        <w:t>……………………..</w:t>
      </w:r>
      <w:r w:rsidR="009C6522" w:rsidRPr="006C26E8">
        <w:rPr>
          <w:rFonts w:asciiTheme="minorHAnsi" w:hAnsiTheme="minorHAnsi" w:cstheme="minorHAnsi"/>
          <w:bCs/>
        </w:rPr>
        <w:t>…</w:t>
      </w:r>
      <w:r w:rsidR="006C26E8">
        <w:rPr>
          <w:rFonts w:asciiTheme="minorHAnsi" w:hAnsiTheme="minorHAnsi" w:cstheme="minorHAnsi"/>
          <w:bCs/>
        </w:rPr>
        <w:t>…</w:t>
      </w:r>
      <w:r w:rsidR="009C6522" w:rsidRPr="006C26E8">
        <w:rPr>
          <w:rFonts w:asciiTheme="minorHAnsi" w:hAnsiTheme="minorHAnsi" w:cstheme="minorHAnsi"/>
          <w:bCs/>
        </w:rPr>
        <w:t>…</w:t>
      </w:r>
      <w:r w:rsidR="006C26E8">
        <w:rPr>
          <w:rFonts w:asciiTheme="minorHAnsi" w:hAnsiTheme="minorHAnsi" w:cstheme="minorHAnsi"/>
          <w:bCs/>
        </w:rPr>
        <w:t>…</w:t>
      </w:r>
      <w:r w:rsidR="00645529">
        <w:rPr>
          <w:rFonts w:asciiTheme="minorHAnsi" w:hAnsiTheme="minorHAnsi" w:cstheme="minorHAnsi"/>
          <w:bCs/>
        </w:rPr>
        <w:t>.</w:t>
      </w:r>
      <w:r w:rsidR="005E4CDD">
        <w:rPr>
          <w:rFonts w:asciiTheme="minorHAnsi" w:hAnsiTheme="minorHAnsi" w:cstheme="minorHAnsi"/>
          <w:bCs/>
        </w:rPr>
        <w:t>1</w:t>
      </w:r>
      <w:r w:rsidR="008E3101">
        <w:rPr>
          <w:rFonts w:asciiTheme="minorHAnsi" w:hAnsiTheme="minorHAnsi" w:cstheme="minorHAnsi"/>
          <w:bCs/>
        </w:rPr>
        <w:t>3</w:t>
      </w:r>
    </w:p>
    <w:p w14:paraId="04B5FC58" w14:textId="0AD2076F" w:rsidR="005A5B9A" w:rsidRPr="006C26E8" w:rsidRDefault="005A5B9A"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Standards and Federal Program Changes (FPCs) Adoption…………</w:t>
      </w:r>
      <w:r w:rsidR="00F13BE8" w:rsidRPr="006C26E8">
        <w:rPr>
          <w:rFonts w:asciiTheme="minorHAnsi" w:hAnsiTheme="minorHAnsi" w:cstheme="minorHAnsi"/>
        </w:rPr>
        <w:t>……</w:t>
      </w:r>
      <w:r w:rsidRPr="006C26E8">
        <w:rPr>
          <w:rFonts w:asciiTheme="minorHAnsi" w:hAnsiTheme="minorHAnsi" w:cstheme="minorHAnsi"/>
        </w:rPr>
        <w:t>…</w:t>
      </w:r>
      <w:r w:rsidR="009C6522" w:rsidRPr="006C26E8">
        <w:rPr>
          <w:rFonts w:asciiTheme="minorHAnsi" w:hAnsiTheme="minorHAnsi" w:cstheme="minorHAnsi"/>
        </w:rPr>
        <w:t>…</w:t>
      </w:r>
      <w:r w:rsidR="00AC0A1C" w:rsidRPr="006C26E8">
        <w:rPr>
          <w:rFonts w:asciiTheme="minorHAnsi" w:hAnsiTheme="minorHAnsi" w:cstheme="minorHAnsi"/>
        </w:rPr>
        <w:t>…</w:t>
      </w:r>
      <w:r w:rsidR="006C26E8">
        <w:rPr>
          <w:rFonts w:asciiTheme="minorHAnsi" w:hAnsiTheme="minorHAnsi" w:cstheme="minorHAnsi"/>
        </w:rPr>
        <w:t>…</w:t>
      </w:r>
      <w:r w:rsidR="00645529">
        <w:rPr>
          <w:rFonts w:asciiTheme="minorHAnsi" w:hAnsiTheme="minorHAnsi" w:cstheme="minorHAnsi"/>
        </w:rPr>
        <w:t>…..</w:t>
      </w:r>
      <w:r w:rsidR="008E3101">
        <w:rPr>
          <w:rFonts w:asciiTheme="minorHAnsi" w:hAnsiTheme="minorHAnsi" w:cstheme="minorHAnsi"/>
        </w:rPr>
        <w:t>14</w:t>
      </w:r>
    </w:p>
    <w:p w14:paraId="549E65B4" w14:textId="7B978EBC" w:rsidR="005A5B9A" w:rsidRPr="006C26E8" w:rsidRDefault="005A5B9A"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Variances…………………………………………………………………</w:t>
      </w:r>
      <w:r w:rsidR="009C6522"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9C6522" w:rsidRPr="006C26E8">
        <w:rPr>
          <w:rFonts w:asciiTheme="minorHAnsi" w:hAnsiTheme="minorHAnsi" w:cstheme="minorHAnsi"/>
        </w:rPr>
        <w:t>…</w:t>
      </w:r>
      <w:r w:rsidR="00645529">
        <w:rPr>
          <w:rFonts w:asciiTheme="minorHAnsi" w:hAnsiTheme="minorHAnsi" w:cstheme="minorHAnsi"/>
        </w:rPr>
        <w:t>…</w:t>
      </w:r>
      <w:r w:rsidR="008E3101">
        <w:rPr>
          <w:rFonts w:asciiTheme="minorHAnsi" w:hAnsiTheme="minorHAnsi" w:cstheme="minorHAnsi"/>
        </w:rPr>
        <w:t>16</w:t>
      </w:r>
    </w:p>
    <w:p w14:paraId="5BB08AE6" w14:textId="05F7C788" w:rsidR="005A5B9A" w:rsidRPr="006C26E8" w:rsidRDefault="005A327A" w:rsidP="00D4742C">
      <w:pPr>
        <w:widowControl/>
        <w:numPr>
          <w:ilvl w:val="0"/>
          <w:numId w:val="13"/>
        </w:numPr>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Worker </w:t>
      </w:r>
      <w:r w:rsidR="005A5B9A" w:rsidRPr="006C26E8">
        <w:rPr>
          <w:rFonts w:asciiTheme="minorHAnsi" w:hAnsiTheme="minorHAnsi" w:cstheme="minorHAnsi"/>
        </w:rPr>
        <w:t>Program………………</w:t>
      </w:r>
      <w:r w:rsidR="00F13BE8" w:rsidRPr="006C26E8">
        <w:rPr>
          <w:rFonts w:asciiTheme="minorHAnsi" w:hAnsiTheme="minorHAnsi" w:cstheme="minorHAnsi"/>
        </w:rPr>
        <w:t>…………</w:t>
      </w:r>
      <w:r w:rsidR="005A5B9A" w:rsidRPr="006C26E8">
        <w:rPr>
          <w:rFonts w:asciiTheme="minorHAnsi" w:hAnsiTheme="minorHAnsi" w:cstheme="minorHAnsi"/>
        </w:rPr>
        <w:t>…………</w:t>
      </w:r>
      <w:r w:rsidRPr="006C26E8">
        <w:rPr>
          <w:rFonts w:asciiTheme="minorHAnsi" w:hAnsiTheme="minorHAnsi" w:cstheme="minorHAnsi"/>
        </w:rPr>
        <w:t>…</w:t>
      </w:r>
      <w:r w:rsidR="006C26E8">
        <w:rPr>
          <w:rFonts w:asciiTheme="minorHAnsi" w:hAnsiTheme="minorHAnsi" w:cstheme="minorHAnsi"/>
        </w:rPr>
        <w:t>….</w:t>
      </w:r>
      <w:r w:rsidRPr="006C26E8">
        <w:rPr>
          <w:rFonts w:asciiTheme="minorHAnsi" w:hAnsiTheme="minorHAnsi" w:cstheme="minorHAnsi"/>
        </w:rPr>
        <w:t>…</w:t>
      </w:r>
      <w:r w:rsidR="00645529">
        <w:rPr>
          <w:rFonts w:asciiTheme="minorHAnsi" w:hAnsiTheme="minorHAnsi" w:cstheme="minorHAnsi"/>
        </w:rPr>
        <w:t>….</w:t>
      </w:r>
      <w:r w:rsidR="008E3101">
        <w:rPr>
          <w:rFonts w:asciiTheme="minorHAnsi" w:hAnsiTheme="minorHAnsi" w:cstheme="minorHAnsi"/>
        </w:rPr>
        <w:t>16</w:t>
      </w:r>
    </w:p>
    <w:p w14:paraId="1ECD7199" w14:textId="40962168" w:rsidR="005A5B9A" w:rsidRPr="006C26E8" w:rsidRDefault="009A23E7"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Whistleblower</w:t>
      </w:r>
      <w:r w:rsidR="00DE1FFC" w:rsidRPr="006C26E8">
        <w:rPr>
          <w:rFonts w:asciiTheme="minorHAnsi" w:hAnsiTheme="minorHAnsi" w:cstheme="minorHAnsi"/>
        </w:rPr>
        <w:t xml:space="preserve"> </w:t>
      </w:r>
      <w:r w:rsidR="005A5B9A" w:rsidRPr="006C26E8">
        <w:rPr>
          <w:rFonts w:asciiTheme="minorHAnsi" w:hAnsiTheme="minorHAnsi" w:cstheme="minorHAnsi"/>
        </w:rPr>
        <w:t>Program…………………………………………</w:t>
      </w:r>
      <w:r w:rsidR="009C6522" w:rsidRPr="006C26E8">
        <w:rPr>
          <w:rFonts w:asciiTheme="minorHAnsi" w:hAnsiTheme="minorHAnsi" w:cstheme="minorHAnsi"/>
        </w:rPr>
        <w:t>……</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005D1101" w:rsidRPr="006C26E8">
        <w:rPr>
          <w:rFonts w:asciiTheme="minorHAnsi" w:hAnsiTheme="minorHAnsi" w:cstheme="minorHAnsi"/>
        </w:rPr>
        <w:t>..</w:t>
      </w:r>
      <w:r w:rsidR="00D72E09">
        <w:rPr>
          <w:rFonts w:asciiTheme="minorHAnsi" w:hAnsiTheme="minorHAnsi" w:cstheme="minorHAnsi"/>
        </w:rPr>
        <w:t>16</w:t>
      </w:r>
    </w:p>
    <w:p w14:paraId="4A8BBE77" w14:textId="71665005" w:rsidR="005A5B9A" w:rsidRPr="006C26E8" w:rsidRDefault="008D2CFC"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Complaint</w:t>
      </w:r>
      <w:r w:rsidR="005A5B9A" w:rsidRPr="006C26E8">
        <w:rPr>
          <w:rFonts w:asciiTheme="minorHAnsi" w:hAnsiTheme="minorHAnsi" w:cstheme="minorHAnsi"/>
        </w:rPr>
        <w:t xml:space="preserve"> About State Program Administration (CASPA)……</w:t>
      </w:r>
      <w:r w:rsidR="00F13BE8" w:rsidRPr="006C26E8">
        <w:rPr>
          <w:rFonts w:asciiTheme="minorHAnsi" w:hAnsiTheme="minorHAnsi" w:cstheme="minorHAnsi"/>
        </w:rPr>
        <w:t>…….</w:t>
      </w:r>
      <w:r w:rsidR="005A5B9A" w:rsidRPr="006C26E8">
        <w:rPr>
          <w:rFonts w:asciiTheme="minorHAnsi" w:hAnsiTheme="minorHAnsi" w:cstheme="minorHAnsi"/>
        </w:rPr>
        <w:t>…………</w:t>
      </w:r>
      <w:r w:rsidR="006C26E8">
        <w:rPr>
          <w:rFonts w:asciiTheme="minorHAnsi" w:hAnsiTheme="minorHAnsi" w:cstheme="minorHAnsi"/>
        </w:rPr>
        <w:t>….</w:t>
      </w:r>
      <w:r w:rsidR="009C6522" w:rsidRPr="006C26E8">
        <w:rPr>
          <w:rFonts w:asciiTheme="minorHAnsi" w:hAnsiTheme="minorHAnsi" w:cstheme="minorHAnsi"/>
        </w:rPr>
        <w:t>.</w:t>
      </w:r>
      <w:r w:rsidR="00B560A0" w:rsidRPr="006C26E8">
        <w:rPr>
          <w:rFonts w:asciiTheme="minorHAnsi" w:hAnsiTheme="minorHAnsi" w:cstheme="minorHAnsi"/>
        </w:rPr>
        <w:t>...</w:t>
      </w:r>
      <w:r w:rsidR="00044CCF" w:rsidRPr="006C26E8">
        <w:rPr>
          <w:rFonts w:asciiTheme="minorHAnsi" w:hAnsiTheme="minorHAnsi" w:cstheme="minorHAnsi"/>
        </w:rPr>
        <w:t>.</w:t>
      </w:r>
      <w:r w:rsidR="00311426" w:rsidRPr="006C26E8">
        <w:rPr>
          <w:rFonts w:asciiTheme="minorHAnsi" w:hAnsiTheme="minorHAnsi" w:cstheme="minorHAnsi"/>
        </w:rPr>
        <w:t>.</w:t>
      </w:r>
      <w:r w:rsidR="006C26E8">
        <w:rPr>
          <w:rFonts w:asciiTheme="minorHAnsi" w:hAnsiTheme="minorHAnsi" w:cstheme="minorHAnsi"/>
        </w:rPr>
        <w:t>.</w:t>
      </w:r>
      <w:r w:rsidR="005D1101" w:rsidRPr="006C26E8">
        <w:rPr>
          <w:rFonts w:asciiTheme="minorHAnsi" w:hAnsiTheme="minorHAnsi" w:cstheme="minorHAnsi"/>
        </w:rPr>
        <w:t>.</w:t>
      </w:r>
      <w:r w:rsidR="00D72E09">
        <w:rPr>
          <w:rFonts w:asciiTheme="minorHAnsi" w:hAnsiTheme="minorHAnsi" w:cstheme="minorHAnsi"/>
        </w:rPr>
        <w:t>19</w:t>
      </w:r>
    </w:p>
    <w:p w14:paraId="6E16CACC" w14:textId="3FEF6565" w:rsidR="005A5B9A" w:rsidRPr="006C26E8" w:rsidRDefault="005A5B9A" w:rsidP="00D4742C">
      <w:pPr>
        <w:widowControl/>
        <w:numPr>
          <w:ilvl w:val="0"/>
          <w:numId w:val="13"/>
        </w:numPr>
        <w:autoSpaceDE/>
        <w:autoSpaceDN/>
        <w:adjustRightInd/>
        <w:contextualSpacing/>
        <w:jc w:val="both"/>
        <w:rPr>
          <w:rFonts w:asciiTheme="minorHAnsi" w:hAnsiTheme="minorHAnsi" w:cstheme="minorHAnsi"/>
        </w:rPr>
      </w:pPr>
      <w:r w:rsidRPr="006C26E8">
        <w:rPr>
          <w:rFonts w:asciiTheme="minorHAnsi" w:hAnsiTheme="minorHAnsi" w:cstheme="minorHAnsi"/>
        </w:rPr>
        <w:t>Voluntary Compliance Program…………………………………………</w:t>
      </w:r>
      <w:r w:rsidR="009C6522" w:rsidRPr="006C26E8">
        <w:rPr>
          <w:rFonts w:asciiTheme="minorHAnsi" w:hAnsiTheme="minorHAnsi" w:cstheme="minorHAnsi"/>
        </w:rPr>
        <w:t>…</w:t>
      </w:r>
      <w:r w:rsidR="00F13BE8" w:rsidRPr="006C26E8">
        <w:rPr>
          <w:rFonts w:asciiTheme="minorHAnsi" w:hAnsiTheme="minorHAnsi" w:cstheme="minorHAnsi"/>
        </w:rPr>
        <w:t>………………..</w:t>
      </w:r>
      <w:r w:rsidR="009C6522" w:rsidRPr="006C26E8">
        <w:rPr>
          <w:rFonts w:asciiTheme="minorHAnsi" w:hAnsiTheme="minorHAnsi" w:cstheme="minorHAnsi"/>
        </w:rPr>
        <w:t>…</w:t>
      </w:r>
      <w:r w:rsidR="006C26E8">
        <w:rPr>
          <w:rFonts w:asciiTheme="minorHAnsi" w:hAnsiTheme="minorHAnsi" w:cstheme="minorHAnsi"/>
        </w:rPr>
        <w:t>…</w:t>
      </w:r>
      <w:r w:rsidR="00645529">
        <w:rPr>
          <w:rFonts w:asciiTheme="minorHAnsi" w:hAnsiTheme="minorHAnsi" w:cstheme="minorHAnsi"/>
        </w:rPr>
        <w:t>….</w:t>
      </w:r>
      <w:r w:rsidR="00D72E09">
        <w:rPr>
          <w:rFonts w:asciiTheme="minorHAnsi" w:hAnsiTheme="minorHAnsi" w:cstheme="minorHAnsi"/>
        </w:rPr>
        <w:t>20</w:t>
      </w:r>
    </w:p>
    <w:p w14:paraId="0BB5036E" w14:textId="205DC3CC" w:rsidR="005A5B9A" w:rsidRPr="00DE3BFE" w:rsidRDefault="006F7EA9" w:rsidP="00D4742C">
      <w:pPr>
        <w:widowControl/>
        <w:numPr>
          <w:ilvl w:val="0"/>
          <w:numId w:val="13"/>
        </w:numPr>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t>
      </w:r>
      <w:r w:rsidR="005A5B9A" w:rsidRPr="006C26E8">
        <w:rPr>
          <w:rFonts w:asciiTheme="minorHAnsi" w:hAnsiTheme="minorHAnsi" w:cstheme="minorHAnsi"/>
        </w:rPr>
        <w:t>23(</w:t>
      </w:r>
      <w:r w:rsidRPr="006C26E8">
        <w:rPr>
          <w:rFonts w:asciiTheme="minorHAnsi" w:hAnsiTheme="minorHAnsi" w:cstheme="minorHAnsi"/>
        </w:rPr>
        <w:t>g</w:t>
      </w:r>
      <w:r w:rsidR="005A5B9A" w:rsidRPr="006C26E8">
        <w:rPr>
          <w:rFonts w:asciiTheme="minorHAnsi" w:hAnsiTheme="minorHAnsi" w:cstheme="minorHAnsi"/>
        </w:rPr>
        <w:t xml:space="preserve">) </w:t>
      </w:r>
      <w:r w:rsidR="00863502" w:rsidRPr="006C26E8">
        <w:rPr>
          <w:rFonts w:asciiTheme="minorHAnsi" w:hAnsiTheme="minorHAnsi" w:cstheme="minorHAnsi"/>
        </w:rPr>
        <w:t xml:space="preserve">On-Site </w:t>
      </w:r>
      <w:r w:rsidR="005A5B9A" w:rsidRPr="006C26E8">
        <w:rPr>
          <w:rFonts w:asciiTheme="minorHAnsi" w:hAnsiTheme="minorHAnsi" w:cstheme="minorHAnsi"/>
        </w:rPr>
        <w:t>Consultation Progra</w:t>
      </w:r>
      <w:r w:rsidR="00ED6F8F" w:rsidRPr="006C26E8">
        <w:rPr>
          <w:rFonts w:asciiTheme="minorHAnsi" w:hAnsiTheme="minorHAnsi" w:cstheme="minorHAnsi"/>
        </w:rPr>
        <w:t>m</w:t>
      </w:r>
      <w:r w:rsidR="005A5B9A" w:rsidRPr="006C26E8">
        <w:rPr>
          <w:rFonts w:asciiTheme="minorHAnsi" w:hAnsiTheme="minorHAnsi" w:cstheme="minorHAnsi"/>
        </w:rPr>
        <w:t>……</w:t>
      </w:r>
      <w:r w:rsidR="00F13BE8" w:rsidRPr="006C26E8">
        <w:rPr>
          <w:rFonts w:asciiTheme="minorHAnsi" w:hAnsiTheme="minorHAnsi" w:cstheme="minorHAnsi"/>
        </w:rPr>
        <w:t>.</w:t>
      </w:r>
      <w:r w:rsidR="005A5B9A" w:rsidRPr="006C26E8">
        <w:rPr>
          <w:rFonts w:asciiTheme="minorHAnsi" w:hAnsiTheme="minorHAnsi" w:cstheme="minorHAnsi"/>
        </w:rPr>
        <w:t>…</w:t>
      </w:r>
      <w:r w:rsidR="00B06231" w:rsidRPr="006C26E8">
        <w:rPr>
          <w:rFonts w:asciiTheme="minorHAnsi" w:hAnsiTheme="minorHAnsi" w:cstheme="minorHAnsi"/>
        </w:rPr>
        <w:t>…</w:t>
      </w:r>
      <w:r w:rsidR="006C26E8">
        <w:rPr>
          <w:rFonts w:asciiTheme="minorHAnsi" w:hAnsiTheme="minorHAnsi" w:cstheme="minorHAnsi"/>
        </w:rPr>
        <w:t>….</w:t>
      </w:r>
      <w:r w:rsidR="00311426" w:rsidRPr="006C26E8">
        <w:rPr>
          <w:rFonts w:asciiTheme="minorHAnsi" w:hAnsiTheme="minorHAnsi" w:cstheme="minorHAnsi"/>
        </w:rPr>
        <w:t>…</w:t>
      </w:r>
      <w:r w:rsidR="007B6225">
        <w:rPr>
          <w:rFonts w:asciiTheme="minorHAnsi" w:hAnsiTheme="minorHAnsi" w:cstheme="minorHAnsi"/>
        </w:rPr>
        <w:t>…</w:t>
      </w:r>
      <w:bookmarkEnd w:id="0"/>
      <w:r w:rsidR="00D72E09">
        <w:rPr>
          <w:rFonts w:asciiTheme="minorHAnsi" w:hAnsiTheme="minorHAnsi" w:cstheme="minorHAnsi"/>
        </w:rPr>
        <w:t>21</w:t>
      </w:r>
    </w:p>
    <w:p w14:paraId="31C3DAD4" w14:textId="77777777" w:rsidR="00A623D7" w:rsidRDefault="00A623D7" w:rsidP="00064492">
      <w:pPr>
        <w:keepNext/>
        <w:keepLines/>
        <w:widowControl/>
        <w:autoSpaceDE/>
        <w:autoSpaceDN/>
        <w:adjustRightInd/>
        <w:outlineLvl w:val="0"/>
        <w:rPr>
          <w:rFonts w:asciiTheme="minorHAnsi" w:hAnsiTheme="minorHAnsi" w:cstheme="minorHAnsi"/>
          <w:bCs/>
        </w:rPr>
      </w:pPr>
      <w:bookmarkStart w:id="1" w:name="_Toc338764299"/>
      <w:bookmarkStart w:id="2" w:name="_Toc331583278"/>
    </w:p>
    <w:p w14:paraId="3A515400" w14:textId="1ED3334F" w:rsidR="00064492" w:rsidRPr="006C26E8" w:rsidRDefault="00064492" w:rsidP="00064492">
      <w:pPr>
        <w:keepNext/>
        <w:keepLines/>
        <w:widowControl/>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3" w:name="_Toc338764300"/>
      <w:bookmarkEnd w:id="1"/>
      <w:r w:rsidRPr="006C26E8">
        <w:rPr>
          <w:rFonts w:asciiTheme="minorHAnsi" w:hAnsiTheme="minorHAnsi" w:cstheme="minorHAnsi"/>
          <w:bCs/>
        </w:rPr>
        <w:t>………</w:t>
      </w:r>
      <w:r w:rsidR="00F13BE8" w:rsidRPr="006C26E8">
        <w:rPr>
          <w:rFonts w:asciiTheme="minorHAnsi" w:hAnsiTheme="minorHAnsi" w:cstheme="minorHAnsi"/>
          <w:bCs/>
        </w:rPr>
        <w:t>….</w:t>
      </w:r>
      <w:r w:rsidRPr="006C26E8">
        <w:rPr>
          <w:rFonts w:asciiTheme="minorHAnsi" w:hAnsiTheme="minorHAnsi" w:cstheme="minorHAnsi"/>
          <w:bCs/>
        </w:rPr>
        <w:t>…</w:t>
      </w:r>
      <w:r w:rsidR="006C26E8">
        <w:rPr>
          <w:rFonts w:asciiTheme="minorHAnsi" w:hAnsiTheme="minorHAnsi" w:cstheme="minorHAnsi"/>
          <w:bCs/>
        </w:rPr>
        <w:t>………………………….</w:t>
      </w:r>
      <w:r w:rsidRPr="006C26E8">
        <w:rPr>
          <w:rFonts w:asciiTheme="minorHAnsi" w:hAnsiTheme="minorHAnsi" w:cstheme="minorHAnsi"/>
          <w:bCs/>
        </w:rPr>
        <w:t>...</w:t>
      </w:r>
      <w:r w:rsidR="0031613D">
        <w:rPr>
          <w:rFonts w:asciiTheme="minorHAnsi" w:hAnsiTheme="minorHAnsi" w:cstheme="minorHAnsi"/>
          <w:bCs/>
        </w:rPr>
        <w:t>..</w:t>
      </w:r>
      <w:r w:rsidR="00472B08">
        <w:rPr>
          <w:rFonts w:asciiTheme="minorHAnsi" w:hAnsiTheme="minorHAnsi" w:cstheme="minorHAnsi"/>
          <w:bCs/>
        </w:rPr>
        <w:t>23</w:t>
      </w:r>
    </w:p>
    <w:p w14:paraId="5D105C74" w14:textId="47EE3854" w:rsidR="00064492" w:rsidRPr="006C26E8" w:rsidRDefault="00064492" w:rsidP="00064492">
      <w:pPr>
        <w:widowControl/>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sidR="00F13BE8" w:rsidRPr="006C26E8">
        <w:rPr>
          <w:rFonts w:asciiTheme="minorHAnsi" w:hAnsiTheme="minorHAnsi" w:cstheme="minorHAnsi"/>
        </w:rPr>
        <w:t>...</w:t>
      </w:r>
      <w:r w:rsidR="006C26E8">
        <w:rPr>
          <w:rFonts w:asciiTheme="minorHAnsi" w:hAnsiTheme="minorHAnsi" w:cstheme="minorHAnsi"/>
        </w:rPr>
        <w:t>.............................</w:t>
      </w:r>
      <w:r w:rsidR="00F13BE8" w:rsidRPr="006C26E8">
        <w:rPr>
          <w:rFonts w:asciiTheme="minorHAnsi" w:hAnsiTheme="minorHAnsi" w:cstheme="minorHAnsi"/>
        </w:rPr>
        <w:t>...</w:t>
      </w:r>
      <w:r w:rsidRPr="006C26E8">
        <w:rPr>
          <w:rFonts w:asciiTheme="minorHAnsi" w:hAnsiTheme="minorHAnsi" w:cstheme="minorHAnsi"/>
        </w:rPr>
        <w:t>......</w:t>
      </w:r>
      <w:r w:rsidR="0031613D">
        <w:rPr>
          <w:rFonts w:asciiTheme="minorHAnsi" w:hAnsiTheme="minorHAnsi" w:cstheme="minorHAnsi"/>
        </w:rPr>
        <w:t>.</w:t>
      </w:r>
      <w:r w:rsidR="00645529">
        <w:rPr>
          <w:rFonts w:asciiTheme="minorHAnsi" w:hAnsiTheme="minorHAnsi" w:cstheme="minorHAnsi"/>
        </w:rPr>
        <w:t>.</w:t>
      </w:r>
      <w:r w:rsidR="00472B08">
        <w:rPr>
          <w:rFonts w:asciiTheme="minorHAnsi" w:hAnsiTheme="minorHAnsi" w:cstheme="minorHAnsi"/>
        </w:rPr>
        <w:t>24</w:t>
      </w:r>
    </w:p>
    <w:p w14:paraId="57B7A535" w14:textId="2ACED11C" w:rsidR="00064492" w:rsidRPr="00B4710E" w:rsidRDefault="00064492" w:rsidP="00064492">
      <w:pPr>
        <w:keepNext/>
        <w:keepLines/>
        <w:widowControl/>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w:t>
      </w:r>
      <w:r w:rsidR="00B4710E" w:rsidRPr="00B4710E">
        <w:rPr>
          <w:rFonts w:asciiTheme="minorHAnsi" w:hAnsiTheme="minorHAnsi" w:cstheme="minorHAnsi"/>
          <w:bCs/>
        </w:rPr>
        <w:t>24</w:t>
      </w:r>
      <w:r w:rsidRPr="00B4710E">
        <w:rPr>
          <w:rFonts w:asciiTheme="minorHAnsi" w:hAnsiTheme="minorHAnsi" w:cstheme="minorHAnsi"/>
          <w:bCs/>
        </w:rPr>
        <w:t xml:space="preserve"> Findings and Recommendations</w:t>
      </w:r>
      <w:bookmarkEnd w:id="3"/>
      <w:r w:rsidRPr="00B4710E">
        <w:rPr>
          <w:rFonts w:asciiTheme="minorHAnsi" w:hAnsiTheme="minorHAnsi" w:cstheme="minorHAnsi"/>
          <w:bCs/>
        </w:rPr>
        <w:t>………</w:t>
      </w:r>
      <w:r w:rsidR="00F13BE8" w:rsidRPr="00B4710E">
        <w:rPr>
          <w:rFonts w:asciiTheme="minorHAnsi" w:hAnsiTheme="minorHAnsi" w:cstheme="minorHAnsi"/>
          <w:bCs/>
        </w:rPr>
        <w:t>…….</w:t>
      </w:r>
      <w:r w:rsidRPr="00B4710E">
        <w:rPr>
          <w:rFonts w:asciiTheme="minorHAnsi" w:hAnsiTheme="minorHAnsi" w:cstheme="minorHAnsi"/>
          <w:bCs/>
        </w:rPr>
        <w:t>…</w:t>
      </w:r>
      <w:r w:rsidR="006C26E8" w:rsidRPr="00B4710E">
        <w:rPr>
          <w:rFonts w:asciiTheme="minorHAnsi" w:hAnsiTheme="minorHAnsi" w:cstheme="minorHAnsi"/>
          <w:bCs/>
        </w:rPr>
        <w:t>…………………………..</w:t>
      </w:r>
      <w:r w:rsidRPr="00B4710E">
        <w:rPr>
          <w:rFonts w:asciiTheme="minorHAnsi" w:hAnsiTheme="minorHAnsi" w:cstheme="minorHAnsi"/>
          <w:bCs/>
        </w:rPr>
        <w:t>....</w:t>
      </w:r>
      <w:r w:rsidR="0031613D" w:rsidRPr="00B4710E">
        <w:rPr>
          <w:rFonts w:asciiTheme="minorHAnsi" w:hAnsiTheme="minorHAnsi" w:cstheme="minorHAnsi"/>
          <w:bCs/>
        </w:rPr>
        <w:t>..</w:t>
      </w:r>
      <w:r w:rsidR="00472B08">
        <w:rPr>
          <w:rFonts w:asciiTheme="minorHAnsi" w:hAnsiTheme="minorHAnsi" w:cstheme="minorHAnsi"/>
          <w:bCs/>
        </w:rPr>
        <w:t>25</w:t>
      </w:r>
    </w:p>
    <w:p w14:paraId="172371FF" w14:textId="0AF73F17" w:rsidR="002E1782" w:rsidRPr="00B4710E" w:rsidRDefault="00064492" w:rsidP="00692B34">
      <w:pPr>
        <w:keepNext/>
        <w:keepLines/>
        <w:widowControl/>
        <w:autoSpaceDE/>
        <w:autoSpaceDN/>
        <w:adjustRightInd/>
        <w:ind w:left="1710" w:hanging="1710"/>
        <w:outlineLvl w:val="0"/>
        <w:rPr>
          <w:rFonts w:asciiTheme="minorHAnsi" w:hAnsiTheme="minorHAnsi" w:cstheme="minorHAnsi"/>
          <w:bCs/>
        </w:rPr>
      </w:pPr>
      <w:bookmarkStart w:id="4" w:name="_Toc338764301"/>
      <w:r w:rsidRPr="00B4710E">
        <w:rPr>
          <w:rFonts w:asciiTheme="minorHAnsi" w:hAnsiTheme="minorHAnsi" w:cstheme="minorHAnsi"/>
          <w:bCs/>
        </w:rPr>
        <w:t>Appendix D – FY 20</w:t>
      </w:r>
      <w:r w:rsidR="00B4710E" w:rsidRPr="00B4710E">
        <w:rPr>
          <w:rFonts w:asciiTheme="minorHAnsi" w:hAnsiTheme="minorHAnsi" w:cstheme="minorHAnsi"/>
          <w:bCs/>
        </w:rPr>
        <w:t>25</w:t>
      </w:r>
      <w:r w:rsidRPr="00B4710E">
        <w:rPr>
          <w:rFonts w:asciiTheme="minorHAnsi" w:hAnsiTheme="minorHAnsi" w:cstheme="minorHAnsi"/>
          <w:bCs/>
        </w:rPr>
        <w:t xml:space="preserve"> State Activity Mandated Measures (SAMM) Rep</w:t>
      </w:r>
      <w:bookmarkEnd w:id="4"/>
      <w:r w:rsidRPr="00B4710E">
        <w:rPr>
          <w:rFonts w:asciiTheme="minorHAnsi" w:hAnsiTheme="minorHAnsi" w:cstheme="minorHAnsi"/>
          <w:bCs/>
        </w:rPr>
        <w:t>ort</w:t>
      </w:r>
      <w:r w:rsidR="006C26E8" w:rsidRPr="00B4710E">
        <w:rPr>
          <w:rFonts w:asciiTheme="minorHAnsi" w:hAnsiTheme="minorHAnsi" w:cstheme="minorHAnsi"/>
          <w:bCs/>
        </w:rPr>
        <w:t>…………………………..</w:t>
      </w:r>
      <w:r w:rsidRPr="00B4710E">
        <w:rPr>
          <w:rFonts w:asciiTheme="minorHAnsi" w:hAnsiTheme="minorHAnsi" w:cstheme="minorHAnsi"/>
          <w:bCs/>
        </w:rPr>
        <w:t>…</w:t>
      </w:r>
      <w:r w:rsidR="00F13BE8" w:rsidRPr="00B4710E">
        <w:rPr>
          <w:rFonts w:asciiTheme="minorHAnsi" w:hAnsiTheme="minorHAnsi" w:cstheme="minorHAnsi"/>
          <w:bCs/>
        </w:rPr>
        <w:t>..</w:t>
      </w:r>
      <w:r w:rsidRPr="00B4710E">
        <w:rPr>
          <w:rFonts w:asciiTheme="minorHAnsi" w:hAnsiTheme="minorHAnsi" w:cstheme="minorHAnsi"/>
          <w:bCs/>
        </w:rPr>
        <w:t>.</w:t>
      </w:r>
      <w:bookmarkEnd w:id="2"/>
      <w:r w:rsidR="0031613D" w:rsidRPr="00B4710E">
        <w:rPr>
          <w:rFonts w:asciiTheme="minorHAnsi" w:hAnsiTheme="minorHAnsi" w:cstheme="minorHAnsi"/>
          <w:bCs/>
        </w:rPr>
        <w:t>..</w:t>
      </w:r>
      <w:r w:rsidR="00472B08">
        <w:rPr>
          <w:rFonts w:asciiTheme="minorHAnsi" w:hAnsiTheme="minorHAnsi" w:cstheme="minorHAnsi"/>
          <w:bCs/>
        </w:rPr>
        <w:t>26</w:t>
      </w:r>
    </w:p>
    <w:p w14:paraId="45D90400" w14:textId="77777777" w:rsidR="00561182" w:rsidRPr="0081725F" w:rsidRDefault="00561182" w:rsidP="006E7A97">
      <w:pPr>
        <w:tabs>
          <w:tab w:val="left" w:pos="1125"/>
        </w:tabs>
        <w:rPr>
          <w:rFonts w:asciiTheme="minorHAnsi" w:hAnsiTheme="minorHAnsi" w:cstheme="minorHAnsi"/>
          <w:b/>
        </w:rPr>
      </w:pPr>
    </w:p>
    <w:p w14:paraId="317B4EF7" w14:textId="77777777" w:rsidR="00561182" w:rsidRPr="0081725F" w:rsidRDefault="00561182" w:rsidP="006E7A97">
      <w:pPr>
        <w:tabs>
          <w:tab w:val="left" w:pos="1125"/>
        </w:tabs>
        <w:rPr>
          <w:rFonts w:asciiTheme="minorHAnsi" w:hAnsiTheme="minorHAnsi" w:cstheme="minorHAnsi"/>
          <w:b/>
        </w:rPr>
      </w:pPr>
    </w:p>
    <w:p w14:paraId="629120D6" w14:textId="77777777" w:rsidR="00836129" w:rsidRPr="0081725F" w:rsidRDefault="00836129" w:rsidP="006E7A97">
      <w:pPr>
        <w:tabs>
          <w:tab w:val="left" w:pos="1125"/>
        </w:tabs>
        <w:rPr>
          <w:rFonts w:asciiTheme="minorHAnsi" w:hAnsiTheme="minorHAnsi" w:cstheme="minorHAnsi"/>
          <w:b/>
        </w:rPr>
      </w:pPr>
    </w:p>
    <w:p w14:paraId="74A59A0A" w14:textId="77777777" w:rsidR="00836129" w:rsidRDefault="00836129" w:rsidP="006E7A97">
      <w:pPr>
        <w:tabs>
          <w:tab w:val="left" w:pos="1125"/>
        </w:tabs>
        <w:rPr>
          <w:rFonts w:asciiTheme="minorHAnsi" w:hAnsiTheme="minorHAnsi" w:cstheme="minorHAnsi"/>
          <w:b/>
        </w:rPr>
      </w:pPr>
    </w:p>
    <w:p w14:paraId="57F13DD7" w14:textId="77777777" w:rsidR="006C26E8" w:rsidRDefault="006C26E8" w:rsidP="006E7A97">
      <w:pPr>
        <w:tabs>
          <w:tab w:val="left" w:pos="1125"/>
        </w:tabs>
        <w:rPr>
          <w:rFonts w:asciiTheme="minorHAnsi" w:hAnsiTheme="minorHAnsi" w:cstheme="minorHAnsi"/>
          <w:b/>
        </w:rPr>
      </w:pPr>
    </w:p>
    <w:p w14:paraId="1B3D24C6" w14:textId="77777777" w:rsidR="006C26E8" w:rsidRDefault="006C26E8" w:rsidP="006E7A97">
      <w:pPr>
        <w:tabs>
          <w:tab w:val="left" w:pos="1125"/>
        </w:tabs>
        <w:rPr>
          <w:rFonts w:asciiTheme="minorHAnsi" w:hAnsiTheme="minorHAnsi" w:cstheme="minorHAnsi"/>
          <w:b/>
        </w:rPr>
      </w:pPr>
    </w:p>
    <w:p w14:paraId="42058E86" w14:textId="77777777" w:rsidR="006C26E8" w:rsidRDefault="006C26E8" w:rsidP="006E7A97">
      <w:pPr>
        <w:tabs>
          <w:tab w:val="left" w:pos="1125"/>
        </w:tabs>
        <w:rPr>
          <w:rFonts w:asciiTheme="minorHAnsi" w:hAnsiTheme="minorHAnsi" w:cstheme="minorHAnsi"/>
          <w:b/>
        </w:rPr>
      </w:pPr>
    </w:p>
    <w:p w14:paraId="54A3E7F8" w14:textId="77777777" w:rsidR="006C26E8" w:rsidRDefault="006C26E8" w:rsidP="006E7A97">
      <w:pPr>
        <w:tabs>
          <w:tab w:val="left" w:pos="1125"/>
        </w:tabs>
        <w:rPr>
          <w:rFonts w:asciiTheme="minorHAnsi" w:hAnsiTheme="minorHAnsi" w:cstheme="minorHAnsi"/>
          <w:b/>
        </w:rPr>
      </w:pPr>
    </w:p>
    <w:p w14:paraId="41563250" w14:textId="77777777" w:rsidR="006C26E8" w:rsidRDefault="006C26E8" w:rsidP="006E7A97">
      <w:pPr>
        <w:tabs>
          <w:tab w:val="left" w:pos="1125"/>
        </w:tabs>
        <w:rPr>
          <w:rFonts w:asciiTheme="minorHAnsi" w:hAnsiTheme="minorHAnsi" w:cstheme="minorHAnsi"/>
          <w:b/>
        </w:rPr>
      </w:pPr>
    </w:p>
    <w:p w14:paraId="0A07579D" w14:textId="77777777" w:rsidR="006C26E8" w:rsidRPr="0081725F" w:rsidRDefault="006C26E8" w:rsidP="006E7A97">
      <w:pPr>
        <w:tabs>
          <w:tab w:val="left" w:pos="1125"/>
        </w:tabs>
        <w:rPr>
          <w:rFonts w:asciiTheme="minorHAnsi" w:hAnsiTheme="minorHAnsi" w:cstheme="minorHAnsi"/>
          <w:b/>
        </w:rPr>
      </w:pPr>
    </w:p>
    <w:p w14:paraId="10136BD8" w14:textId="77777777" w:rsidR="00836129" w:rsidRPr="0081725F" w:rsidRDefault="00836129" w:rsidP="006E7A97">
      <w:pPr>
        <w:tabs>
          <w:tab w:val="left" w:pos="1125"/>
        </w:tabs>
        <w:rPr>
          <w:rFonts w:asciiTheme="minorHAnsi" w:hAnsiTheme="minorHAnsi" w:cstheme="minorHAnsi"/>
          <w:b/>
        </w:rPr>
      </w:pPr>
    </w:p>
    <w:p w14:paraId="541CFAD6" w14:textId="77777777" w:rsidR="00836129" w:rsidRPr="0081725F" w:rsidRDefault="00836129" w:rsidP="006E7A97">
      <w:pPr>
        <w:tabs>
          <w:tab w:val="left" w:pos="1125"/>
        </w:tabs>
        <w:rPr>
          <w:rFonts w:asciiTheme="minorHAnsi" w:hAnsiTheme="minorHAnsi" w:cstheme="minorHAnsi"/>
          <w:b/>
        </w:rPr>
      </w:pPr>
    </w:p>
    <w:p w14:paraId="72A4FB8F" w14:textId="77777777" w:rsidR="000762C5" w:rsidRPr="0081725F" w:rsidRDefault="000762C5" w:rsidP="006E7A97">
      <w:pPr>
        <w:tabs>
          <w:tab w:val="left" w:pos="1125"/>
        </w:tabs>
        <w:rPr>
          <w:rFonts w:asciiTheme="minorHAnsi" w:hAnsiTheme="minorHAnsi" w:cstheme="minorHAnsi"/>
          <w:b/>
        </w:rPr>
      </w:pPr>
    </w:p>
    <w:p w14:paraId="29FEFC95" w14:textId="77777777" w:rsidR="005A5B9A" w:rsidRPr="000762C5" w:rsidRDefault="005A5B9A" w:rsidP="007A71AC">
      <w:pPr>
        <w:tabs>
          <w:tab w:val="left" w:pos="1125"/>
        </w:tabs>
        <w:rPr>
          <w:rFonts w:asciiTheme="minorHAnsi" w:hAnsiTheme="minorHAnsi" w:cstheme="minorHAnsi"/>
          <w:i/>
          <w:sz w:val="20"/>
          <w:szCs w:val="20"/>
        </w:rPr>
      </w:pPr>
    </w:p>
    <w:p w14:paraId="20721411" w14:textId="77777777" w:rsidR="00F461E4" w:rsidRDefault="00F461E4" w:rsidP="00DE3BFE">
      <w:pPr>
        <w:tabs>
          <w:tab w:val="left" w:pos="1125"/>
        </w:tabs>
        <w:rPr>
          <w:rFonts w:asciiTheme="minorHAnsi" w:hAnsiTheme="minorHAnsi" w:cstheme="minorHAnsi"/>
          <w:iCs/>
          <w:color w:val="0070C0"/>
        </w:rPr>
      </w:pPr>
    </w:p>
    <w:p w14:paraId="5627F83F" w14:textId="77777777" w:rsidR="00F461E4" w:rsidRDefault="00F461E4" w:rsidP="00DE3BFE">
      <w:pPr>
        <w:tabs>
          <w:tab w:val="left" w:pos="1125"/>
        </w:tabs>
        <w:rPr>
          <w:rFonts w:asciiTheme="minorHAnsi" w:hAnsiTheme="minorHAnsi" w:cstheme="minorHAnsi"/>
          <w:iCs/>
          <w:color w:val="0070C0"/>
        </w:rPr>
      </w:pPr>
    </w:p>
    <w:p w14:paraId="7204BC3D" w14:textId="77777777" w:rsidR="00F461E4" w:rsidRDefault="00F461E4" w:rsidP="00DE3BFE">
      <w:pPr>
        <w:tabs>
          <w:tab w:val="left" w:pos="1125"/>
        </w:tabs>
        <w:rPr>
          <w:rFonts w:asciiTheme="minorHAnsi" w:hAnsiTheme="minorHAnsi" w:cstheme="minorHAnsi"/>
          <w:iCs/>
          <w:color w:val="0070C0"/>
        </w:rPr>
      </w:pPr>
    </w:p>
    <w:p w14:paraId="362CAD88" w14:textId="77777777" w:rsidR="008B1863" w:rsidRPr="00DE3BFE" w:rsidRDefault="008B1863" w:rsidP="003A117C">
      <w:pPr>
        <w:widowControl/>
        <w:numPr>
          <w:ilvl w:val="0"/>
          <w:numId w:val="4"/>
        </w:numPr>
        <w:autoSpaceDE/>
        <w:autoSpaceDN/>
        <w:adjustRightInd/>
        <w:spacing w:after="200"/>
        <w:ind w:left="360" w:hanging="450"/>
        <w:rPr>
          <w:rFonts w:asciiTheme="minorHAnsi" w:hAnsiTheme="minorHAnsi" w:cstheme="minorHAnsi"/>
          <w:sz w:val="32"/>
          <w:szCs w:val="32"/>
        </w:rPr>
      </w:pPr>
      <w:r w:rsidRPr="00DE3BFE">
        <w:rPr>
          <w:rFonts w:asciiTheme="minorHAnsi" w:hAnsiTheme="minorHAnsi" w:cstheme="minorHAnsi"/>
          <w:b/>
          <w:sz w:val="32"/>
          <w:szCs w:val="32"/>
        </w:rPr>
        <w:t>Executive Summary</w:t>
      </w:r>
    </w:p>
    <w:p w14:paraId="207AFCEA" w14:textId="3BAF9E9C" w:rsidR="00496745" w:rsidRPr="00E8494C" w:rsidRDefault="00F461E4" w:rsidP="00E8494C">
      <w:pPr>
        <w:rPr>
          <w:rFonts w:asciiTheme="minorHAnsi" w:hAnsiTheme="minorHAnsi" w:cstheme="minorHAnsi"/>
        </w:rPr>
      </w:pPr>
      <w:r w:rsidRPr="00E8494C">
        <w:rPr>
          <w:rFonts w:asciiTheme="minorHAnsi" w:hAnsiTheme="minorHAnsi" w:cstheme="minorHAnsi"/>
        </w:rPr>
        <w:t>The purpose of this report is to assess the State Plan’s performance for Fiscal Year (FY) 2025.  The FY</w:t>
      </w:r>
      <w:r w:rsidR="00E8494C" w:rsidRPr="00E8494C">
        <w:rPr>
          <w:rFonts w:asciiTheme="minorHAnsi" w:hAnsiTheme="minorHAnsi" w:cstheme="minorHAnsi"/>
        </w:rPr>
        <w:t xml:space="preserve"> </w:t>
      </w:r>
      <w:r w:rsidRPr="00E8494C">
        <w:rPr>
          <w:rFonts w:asciiTheme="minorHAnsi" w:hAnsiTheme="minorHAnsi" w:cstheme="minorHAnsi"/>
        </w:rPr>
        <w:t>2025 FAME report is a comprehensive FAME report.  This report is focused on the State’s overall enforcement program and its compliance assistance activities.  This report is also based on the results of quarterly onsite monitoring visits, the State Office Annual Report (SOAR) for FY 2025, the State Activity Mandated Measures (SAMM) Report, as well as the State Indicator Report (SIR) reports ending September 30, 2025.  A review of the SAMM data for FY 2025 indicated NC Department of Labor’s (NCDOL) Occupational Safety and Health Division (OSHNC) generally met or exceeded federal activity results.  OSHNC continued to meet all criteria for an effective State Plan.  These SAMM measures are identified and discussed in detail throughout the FAME report</w:t>
      </w:r>
      <w:r w:rsidR="00496745" w:rsidRPr="00E8494C">
        <w:rPr>
          <w:rFonts w:asciiTheme="minorHAnsi" w:hAnsiTheme="minorHAnsi" w:cstheme="minorHAnsi"/>
        </w:rPr>
        <w:t xml:space="preserve">. </w:t>
      </w:r>
    </w:p>
    <w:p w14:paraId="666391BB" w14:textId="77777777" w:rsidR="00496745" w:rsidRPr="00E8494C" w:rsidRDefault="00496745" w:rsidP="00E8494C">
      <w:pPr>
        <w:rPr>
          <w:rFonts w:asciiTheme="minorHAnsi" w:hAnsiTheme="minorHAnsi" w:cstheme="minorHAnsi"/>
        </w:rPr>
      </w:pPr>
    </w:p>
    <w:p w14:paraId="5F08AFDD" w14:textId="7AFC9BA7" w:rsidR="001E24F4" w:rsidRDefault="007D7600" w:rsidP="00E8494C">
      <w:pPr>
        <w:rPr>
          <w:rFonts w:asciiTheme="minorHAnsi" w:hAnsiTheme="minorHAnsi" w:cstheme="minorHAnsi"/>
        </w:rPr>
      </w:pPr>
      <w:r w:rsidRPr="00E8494C">
        <w:rPr>
          <w:rFonts w:asciiTheme="minorHAnsi" w:hAnsiTheme="minorHAnsi" w:cstheme="minorHAnsi"/>
        </w:rPr>
        <w:t xml:space="preserve">During FY 2025, OSHNC strengthened engagement with employers, employees, and community partners. </w:t>
      </w:r>
      <w:r w:rsidR="00FB6868">
        <w:rPr>
          <w:rFonts w:asciiTheme="minorHAnsi" w:hAnsiTheme="minorHAnsi" w:cstheme="minorHAnsi"/>
        </w:rPr>
        <w:t xml:space="preserve"> </w:t>
      </w:r>
      <w:r w:rsidRPr="00E8494C">
        <w:rPr>
          <w:rFonts w:asciiTheme="minorHAnsi" w:hAnsiTheme="minorHAnsi" w:cstheme="minorHAnsi"/>
        </w:rPr>
        <w:t xml:space="preserve">Commissioner Luke Farley’s “NCDOL on the Road” initiative provided opportunities for Department leadership, including OSHNC, to meet directly with businesses and community leaders to discuss safety training, compliance assistance, and workforce resources. </w:t>
      </w:r>
      <w:r w:rsidR="00FB6868">
        <w:rPr>
          <w:rFonts w:asciiTheme="minorHAnsi" w:hAnsiTheme="minorHAnsi" w:cstheme="minorHAnsi"/>
        </w:rPr>
        <w:t xml:space="preserve"> </w:t>
      </w:r>
      <w:r w:rsidRPr="00E8494C">
        <w:rPr>
          <w:rFonts w:asciiTheme="minorHAnsi" w:hAnsiTheme="minorHAnsi" w:cstheme="minorHAnsi"/>
        </w:rPr>
        <w:t xml:space="preserve">The </w:t>
      </w:r>
      <w:r w:rsidR="003840BC">
        <w:rPr>
          <w:rFonts w:asciiTheme="minorHAnsi" w:hAnsiTheme="minorHAnsi" w:cstheme="minorHAnsi"/>
        </w:rPr>
        <w:t>OSHNC</w:t>
      </w:r>
      <w:r w:rsidRPr="00E8494C">
        <w:rPr>
          <w:rFonts w:asciiTheme="minorHAnsi" w:hAnsiTheme="minorHAnsi" w:cstheme="minorHAnsi"/>
        </w:rPr>
        <w:t xml:space="preserve"> expanded heat illness prevention efforts through public education campaigns, updated internal guidance, interagency collaboration, and the formation of the Commissioner’s Heat Stress Advisory Council. </w:t>
      </w:r>
    </w:p>
    <w:p w14:paraId="7050711E" w14:textId="77777777" w:rsidR="005F2C62" w:rsidRPr="00E8494C" w:rsidRDefault="005F2C62" w:rsidP="00E8494C">
      <w:pPr>
        <w:rPr>
          <w:rFonts w:asciiTheme="minorHAnsi" w:hAnsiTheme="minorHAnsi" w:cstheme="minorHAnsi"/>
        </w:rPr>
      </w:pPr>
    </w:p>
    <w:p w14:paraId="28AEC842" w14:textId="7B6E4024" w:rsidR="007D7600" w:rsidRPr="00E8494C" w:rsidRDefault="007D7600" w:rsidP="00E8494C">
      <w:pPr>
        <w:rPr>
          <w:rFonts w:asciiTheme="minorHAnsi" w:hAnsiTheme="minorHAnsi" w:cstheme="minorHAnsi"/>
        </w:rPr>
      </w:pPr>
      <w:r w:rsidRPr="00E8494C">
        <w:rPr>
          <w:rFonts w:asciiTheme="minorHAnsi" w:hAnsiTheme="minorHAnsi" w:cstheme="minorHAnsi"/>
        </w:rPr>
        <w:t>OSHNC played a significant role in the response to Hurricane Helene.</w:t>
      </w:r>
      <w:r w:rsidR="00FB6868">
        <w:rPr>
          <w:rFonts w:asciiTheme="minorHAnsi" w:hAnsiTheme="minorHAnsi" w:cstheme="minorHAnsi"/>
        </w:rPr>
        <w:t xml:space="preserve"> </w:t>
      </w:r>
      <w:r w:rsidRPr="00E8494C">
        <w:rPr>
          <w:rFonts w:asciiTheme="minorHAnsi" w:hAnsiTheme="minorHAnsi" w:cstheme="minorHAnsi"/>
        </w:rPr>
        <w:t xml:space="preserve"> Compliance and consultative staff deployed to impacted areas to provide safety guidance and personal protective equipment to residents and small businesses engaged in recovery operations. </w:t>
      </w:r>
      <w:r w:rsidR="00FB6868">
        <w:rPr>
          <w:rFonts w:asciiTheme="minorHAnsi" w:hAnsiTheme="minorHAnsi" w:cstheme="minorHAnsi"/>
        </w:rPr>
        <w:t xml:space="preserve"> </w:t>
      </w:r>
      <w:r w:rsidRPr="00E8494C">
        <w:rPr>
          <w:rFonts w:asciiTheme="minorHAnsi" w:hAnsiTheme="minorHAnsi" w:cstheme="minorHAnsi"/>
        </w:rPr>
        <w:t>Staff traveled over 11,5</w:t>
      </w:r>
      <w:r w:rsidR="00C57D39">
        <w:rPr>
          <w:rFonts w:asciiTheme="minorHAnsi" w:hAnsiTheme="minorHAnsi" w:cstheme="minorHAnsi"/>
        </w:rPr>
        <w:t>8</w:t>
      </w:r>
      <w:r w:rsidRPr="00E8494C">
        <w:rPr>
          <w:rFonts w:asciiTheme="minorHAnsi" w:hAnsiTheme="minorHAnsi" w:cstheme="minorHAnsi"/>
        </w:rPr>
        <w:t>0 miles and logged more than 8</w:t>
      </w:r>
      <w:r w:rsidR="00792408">
        <w:rPr>
          <w:rFonts w:asciiTheme="minorHAnsi" w:hAnsiTheme="minorHAnsi" w:cstheme="minorHAnsi"/>
        </w:rPr>
        <w:t>12</w:t>
      </w:r>
      <w:r w:rsidRPr="00E8494C">
        <w:rPr>
          <w:rFonts w:asciiTheme="minorHAnsi" w:hAnsiTheme="minorHAnsi" w:cstheme="minorHAnsi"/>
        </w:rPr>
        <w:t xml:space="preserve"> hours assisting communities, distributing protective equipment, and advising on safe work practices. </w:t>
      </w:r>
      <w:r w:rsidR="00FB6868">
        <w:rPr>
          <w:rFonts w:asciiTheme="minorHAnsi" w:hAnsiTheme="minorHAnsi" w:cstheme="minorHAnsi"/>
        </w:rPr>
        <w:t xml:space="preserve"> </w:t>
      </w:r>
      <w:r w:rsidRPr="00E8494C">
        <w:rPr>
          <w:rFonts w:asciiTheme="minorHAnsi" w:hAnsiTheme="minorHAnsi" w:cstheme="minorHAnsi"/>
        </w:rPr>
        <w:t>Despite infrastructure challenges, the Asheville field office resumed full operations within three and a half months, demonstrating the Division’s ability to respond to emergencies while maintaining core operations.</w:t>
      </w:r>
    </w:p>
    <w:p w14:paraId="677646D4" w14:textId="77777777" w:rsidR="001E24F4" w:rsidRPr="00E8494C" w:rsidRDefault="001E24F4" w:rsidP="00E8494C">
      <w:pPr>
        <w:rPr>
          <w:rFonts w:asciiTheme="minorHAnsi" w:hAnsiTheme="minorHAnsi" w:cstheme="minorHAnsi"/>
        </w:rPr>
      </w:pPr>
    </w:p>
    <w:p w14:paraId="54454FA3" w14:textId="2B542B5B" w:rsidR="007D7600" w:rsidRPr="00E8494C" w:rsidRDefault="007D7600" w:rsidP="00E8494C">
      <w:pPr>
        <w:rPr>
          <w:rFonts w:asciiTheme="minorHAnsi" w:hAnsiTheme="minorHAnsi" w:cstheme="minorHAnsi"/>
        </w:rPr>
      </w:pPr>
      <w:r w:rsidRPr="00E8494C">
        <w:rPr>
          <w:rFonts w:asciiTheme="minorHAnsi" w:hAnsiTheme="minorHAnsi" w:cstheme="minorHAnsi"/>
        </w:rPr>
        <w:t>Enforcement and outreach remained central to OSHNC’s work.</w:t>
      </w:r>
      <w:r w:rsidR="00FB6868">
        <w:rPr>
          <w:rFonts w:asciiTheme="minorHAnsi" w:hAnsiTheme="minorHAnsi" w:cstheme="minorHAnsi"/>
        </w:rPr>
        <w:t xml:space="preserve"> </w:t>
      </w:r>
      <w:r w:rsidRPr="00E8494C">
        <w:rPr>
          <w:rFonts w:asciiTheme="minorHAnsi" w:hAnsiTheme="minorHAnsi" w:cstheme="minorHAnsi"/>
        </w:rPr>
        <w:t xml:space="preserve"> Targeted inspections under Special Emphasis Programs, fatality investigations, and catastrophe responses ensured hazards were identified and addressed. </w:t>
      </w:r>
      <w:r w:rsidR="00FB6868">
        <w:rPr>
          <w:rFonts w:asciiTheme="minorHAnsi" w:hAnsiTheme="minorHAnsi" w:cstheme="minorHAnsi"/>
        </w:rPr>
        <w:t xml:space="preserve"> </w:t>
      </w:r>
      <w:r w:rsidRPr="00E8494C">
        <w:rPr>
          <w:rFonts w:asciiTheme="minorHAnsi" w:hAnsiTheme="minorHAnsi" w:cstheme="minorHAnsi"/>
        </w:rPr>
        <w:t xml:space="preserve">OSHNC conducted 226 training events and partnered with industry, consulates, and media outlets to reach thousands of employees through campaigns and initiatives such as Safe + Sound Week, Trench Safety Stand Down, and National Fall Safety Stand Down. </w:t>
      </w:r>
      <w:r w:rsidR="00FB6868">
        <w:rPr>
          <w:rFonts w:asciiTheme="minorHAnsi" w:hAnsiTheme="minorHAnsi" w:cstheme="minorHAnsi"/>
        </w:rPr>
        <w:t xml:space="preserve"> </w:t>
      </w:r>
      <w:r w:rsidRPr="00E8494C">
        <w:rPr>
          <w:rFonts w:asciiTheme="minorHAnsi" w:hAnsiTheme="minorHAnsi" w:cstheme="minorHAnsi"/>
        </w:rPr>
        <w:t>Staff development also remained a priority</w:t>
      </w:r>
      <w:r w:rsidR="00B910D6" w:rsidRPr="00E8494C">
        <w:rPr>
          <w:rFonts w:asciiTheme="minorHAnsi" w:hAnsiTheme="minorHAnsi" w:cstheme="minorHAnsi"/>
        </w:rPr>
        <w:t>.  At the end of FY</w:t>
      </w:r>
      <w:r w:rsidR="00F00AC0">
        <w:rPr>
          <w:rFonts w:asciiTheme="minorHAnsi" w:hAnsiTheme="minorHAnsi" w:cstheme="minorHAnsi"/>
        </w:rPr>
        <w:t xml:space="preserve"> </w:t>
      </w:r>
      <w:r w:rsidR="00B910D6" w:rsidRPr="00E8494C">
        <w:rPr>
          <w:rFonts w:asciiTheme="minorHAnsi" w:hAnsiTheme="minorHAnsi" w:cstheme="minorHAnsi"/>
        </w:rPr>
        <w:t xml:space="preserve">2025, OSH Division staff held a combined total of 329 certifications </w:t>
      </w:r>
      <w:r w:rsidRPr="00E8494C">
        <w:rPr>
          <w:rFonts w:asciiTheme="minorHAnsi" w:hAnsiTheme="minorHAnsi" w:cstheme="minorHAnsi"/>
        </w:rPr>
        <w:t xml:space="preserve">in FY 2025, </w:t>
      </w:r>
      <w:r w:rsidR="00670C47">
        <w:rPr>
          <w:rFonts w:asciiTheme="minorHAnsi" w:hAnsiTheme="minorHAnsi" w:cstheme="minorHAnsi"/>
        </w:rPr>
        <w:t>which reflects</w:t>
      </w:r>
      <w:r w:rsidRPr="00E8494C">
        <w:rPr>
          <w:rFonts w:asciiTheme="minorHAnsi" w:hAnsiTheme="minorHAnsi" w:cstheme="minorHAnsi"/>
        </w:rPr>
        <w:t xml:space="preserve"> a commitment to technical expertise and professional </w:t>
      </w:r>
      <w:r w:rsidR="00670C47">
        <w:rPr>
          <w:rFonts w:asciiTheme="minorHAnsi" w:hAnsiTheme="minorHAnsi" w:cstheme="minorHAnsi"/>
        </w:rPr>
        <w:t>development</w:t>
      </w:r>
      <w:r w:rsidRPr="00E8494C">
        <w:rPr>
          <w:rFonts w:asciiTheme="minorHAnsi" w:hAnsiTheme="minorHAnsi" w:cstheme="minorHAnsi"/>
        </w:rPr>
        <w:t>.</w:t>
      </w:r>
    </w:p>
    <w:p w14:paraId="0F21CA09" w14:textId="77777777" w:rsidR="00514F47" w:rsidRPr="00E8494C" w:rsidRDefault="00514F47" w:rsidP="00E8494C">
      <w:pPr>
        <w:rPr>
          <w:rFonts w:asciiTheme="minorHAnsi" w:hAnsiTheme="minorHAnsi" w:cstheme="minorHAnsi"/>
        </w:rPr>
      </w:pPr>
    </w:p>
    <w:p w14:paraId="2E5D7E58" w14:textId="7D29BB2F" w:rsidR="00571D17" w:rsidRPr="00E8494C" w:rsidRDefault="000C3344" w:rsidP="00E8494C">
      <w:pPr>
        <w:rPr>
          <w:rFonts w:asciiTheme="minorHAnsi" w:hAnsiTheme="minorHAnsi" w:cstheme="minorHAnsi"/>
        </w:rPr>
      </w:pPr>
      <w:bookmarkStart w:id="5" w:name="_Hlk215495736"/>
      <w:r w:rsidRPr="00E8494C">
        <w:rPr>
          <w:rFonts w:asciiTheme="minorHAnsi" w:hAnsiTheme="minorHAnsi" w:cstheme="minorHAnsi"/>
        </w:rPr>
        <w:t xml:space="preserve">In total, </w:t>
      </w:r>
      <w:r w:rsidR="00B4710E" w:rsidRPr="00E8494C">
        <w:rPr>
          <w:rFonts w:asciiTheme="minorHAnsi" w:hAnsiTheme="minorHAnsi" w:cstheme="minorHAnsi"/>
        </w:rPr>
        <w:t>t</w:t>
      </w:r>
      <w:r w:rsidRPr="00E8494C">
        <w:rPr>
          <w:rFonts w:asciiTheme="minorHAnsi" w:hAnsiTheme="minorHAnsi" w:cstheme="minorHAnsi"/>
        </w:rPr>
        <w:t>his FAME</w:t>
      </w:r>
      <w:r w:rsidR="00B4710E" w:rsidRPr="00E8494C">
        <w:rPr>
          <w:rFonts w:asciiTheme="minorHAnsi" w:hAnsiTheme="minorHAnsi" w:cstheme="minorHAnsi"/>
        </w:rPr>
        <w:t xml:space="preserve"> </w:t>
      </w:r>
      <w:r w:rsidRPr="00E8494C">
        <w:rPr>
          <w:rFonts w:asciiTheme="minorHAnsi" w:hAnsiTheme="minorHAnsi" w:cstheme="minorHAnsi"/>
        </w:rPr>
        <w:t>report contains</w:t>
      </w:r>
      <w:r w:rsidR="00604E29" w:rsidRPr="00E8494C">
        <w:rPr>
          <w:rFonts w:asciiTheme="minorHAnsi" w:hAnsiTheme="minorHAnsi" w:cstheme="minorHAnsi"/>
        </w:rPr>
        <w:t xml:space="preserve"> no f</w:t>
      </w:r>
      <w:r w:rsidRPr="00E8494C">
        <w:rPr>
          <w:rFonts w:asciiTheme="minorHAnsi" w:hAnsiTheme="minorHAnsi" w:cstheme="minorHAnsi"/>
        </w:rPr>
        <w:t xml:space="preserve">indings and </w:t>
      </w:r>
      <w:r w:rsidR="00494FCE">
        <w:rPr>
          <w:rFonts w:asciiTheme="minorHAnsi" w:hAnsiTheme="minorHAnsi" w:cstheme="minorHAnsi"/>
        </w:rPr>
        <w:t>one obs</w:t>
      </w:r>
      <w:r w:rsidRPr="00E8494C">
        <w:rPr>
          <w:rFonts w:asciiTheme="minorHAnsi" w:hAnsiTheme="minorHAnsi" w:cstheme="minorHAnsi"/>
        </w:rPr>
        <w:t>ervation.</w:t>
      </w:r>
      <w:bookmarkEnd w:id="5"/>
      <w:r w:rsidR="007E79F6" w:rsidRPr="00E8494C">
        <w:rPr>
          <w:rFonts w:asciiTheme="minorHAnsi" w:hAnsiTheme="minorHAnsi" w:cstheme="minorHAnsi"/>
        </w:rPr>
        <w:t xml:space="preserve">  Th</w:t>
      </w:r>
      <w:r w:rsidR="00494FCE">
        <w:rPr>
          <w:rFonts w:asciiTheme="minorHAnsi" w:hAnsiTheme="minorHAnsi" w:cstheme="minorHAnsi"/>
        </w:rPr>
        <w:t>is</w:t>
      </w:r>
      <w:r w:rsidR="007E79F6" w:rsidRPr="00E8494C">
        <w:rPr>
          <w:rFonts w:asciiTheme="minorHAnsi" w:hAnsiTheme="minorHAnsi" w:cstheme="minorHAnsi"/>
        </w:rPr>
        <w:t xml:space="preserve"> observation identif</w:t>
      </w:r>
      <w:r w:rsidR="00494FCE">
        <w:rPr>
          <w:rFonts w:asciiTheme="minorHAnsi" w:hAnsiTheme="minorHAnsi" w:cstheme="minorHAnsi"/>
        </w:rPr>
        <w:t>ies</w:t>
      </w:r>
      <w:r w:rsidR="007E79F6" w:rsidRPr="00E8494C">
        <w:rPr>
          <w:rFonts w:asciiTheme="minorHAnsi" w:hAnsiTheme="minorHAnsi" w:cstheme="minorHAnsi"/>
        </w:rPr>
        <w:t xml:space="preserve"> areas where improvements are needed to strengthen elements of the Whistleblower </w:t>
      </w:r>
      <w:r w:rsidR="008115F6">
        <w:rPr>
          <w:rFonts w:asciiTheme="minorHAnsi" w:hAnsiTheme="minorHAnsi" w:cstheme="minorHAnsi"/>
        </w:rPr>
        <w:t>P</w:t>
      </w:r>
      <w:r w:rsidR="007E79F6" w:rsidRPr="00E8494C">
        <w:rPr>
          <w:rFonts w:asciiTheme="minorHAnsi" w:hAnsiTheme="minorHAnsi" w:cstheme="minorHAnsi"/>
        </w:rPr>
        <w:t>rogram.</w:t>
      </w:r>
      <w:r w:rsidR="006A4B1B">
        <w:rPr>
          <w:rFonts w:asciiTheme="minorHAnsi" w:hAnsiTheme="minorHAnsi" w:cstheme="minorHAnsi"/>
        </w:rPr>
        <w:t xml:space="preserve"> </w:t>
      </w:r>
      <w:r w:rsidR="00E5027F">
        <w:rPr>
          <w:rFonts w:asciiTheme="minorHAnsi" w:hAnsiTheme="minorHAnsi" w:cstheme="minorHAnsi"/>
        </w:rPr>
        <w:t xml:space="preserve"> </w:t>
      </w:r>
      <w:r w:rsidR="00496745" w:rsidRPr="00E8494C">
        <w:rPr>
          <w:rFonts w:asciiTheme="minorHAnsi" w:hAnsiTheme="minorHAnsi" w:cstheme="minorHAnsi"/>
        </w:rPr>
        <w:t xml:space="preserve">Appendix A describes the new and continued findings and recommendations.  Appendix B describes the observation and the related federal monitoring plans.  Appendix C describes the status of previous findings with associated completed corrective actions.  </w:t>
      </w:r>
    </w:p>
    <w:p w14:paraId="2DDFB163" w14:textId="77777777" w:rsidR="005060DF" w:rsidRDefault="005060DF" w:rsidP="00571D17">
      <w:pPr>
        <w:widowControl/>
        <w:autoSpaceDE/>
        <w:autoSpaceDN/>
        <w:adjustRightInd/>
        <w:rPr>
          <w:rFonts w:asciiTheme="minorHAnsi" w:hAnsiTheme="minorHAnsi" w:cstheme="minorHAnsi"/>
        </w:rPr>
      </w:pPr>
    </w:p>
    <w:p w14:paraId="79483E06" w14:textId="77777777" w:rsidR="00E5027F" w:rsidRDefault="00E5027F" w:rsidP="00571D17">
      <w:pPr>
        <w:widowControl/>
        <w:autoSpaceDE/>
        <w:autoSpaceDN/>
        <w:adjustRightInd/>
        <w:rPr>
          <w:rFonts w:asciiTheme="minorHAnsi" w:hAnsiTheme="minorHAnsi" w:cstheme="minorHAnsi"/>
        </w:rPr>
      </w:pPr>
    </w:p>
    <w:p w14:paraId="776AB48A" w14:textId="77777777" w:rsidR="00AF4080" w:rsidRDefault="00AF4080" w:rsidP="00571D17">
      <w:pPr>
        <w:widowControl/>
        <w:autoSpaceDE/>
        <w:autoSpaceDN/>
        <w:adjustRightInd/>
        <w:rPr>
          <w:rFonts w:asciiTheme="minorHAnsi" w:hAnsiTheme="minorHAnsi" w:cstheme="minorHAnsi"/>
        </w:rPr>
      </w:pPr>
    </w:p>
    <w:p w14:paraId="48AD8367" w14:textId="77777777" w:rsidR="00AF4080" w:rsidRDefault="00AF4080" w:rsidP="00571D17">
      <w:pPr>
        <w:widowControl/>
        <w:autoSpaceDE/>
        <w:autoSpaceDN/>
        <w:adjustRightInd/>
        <w:rPr>
          <w:rFonts w:asciiTheme="minorHAnsi" w:hAnsiTheme="minorHAnsi" w:cstheme="minorHAnsi"/>
        </w:rPr>
      </w:pPr>
    </w:p>
    <w:p w14:paraId="744657F8" w14:textId="77777777" w:rsidR="00E8494C" w:rsidRDefault="00E8494C" w:rsidP="00571D17">
      <w:pPr>
        <w:widowControl/>
        <w:autoSpaceDE/>
        <w:autoSpaceDN/>
        <w:adjustRightInd/>
        <w:rPr>
          <w:rFonts w:asciiTheme="minorHAnsi" w:hAnsiTheme="minorHAnsi" w:cstheme="minorHAnsi"/>
        </w:rPr>
      </w:pPr>
    </w:p>
    <w:p w14:paraId="0DBB6C1F" w14:textId="77777777" w:rsidR="00E8494C" w:rsidRPr="00FD441F" w:rsidRDefault="00E8494C" w:rsidP="00571D17">
      <w:pPr>
        <w:widowControl/>
        <w:autoSpaceDE/>
        <w:autoSpaceDN/>
        <w:adjustRightInd/>
        <w:rPr>
          <w:rFonts w:asciiTheme="minorHAnsi" w:hAnsiTheme="minorHAnsi" w:cstheme="minorHAnsi"/>
        </w:rPr>
      </w:pPr>
    </w:p>
    <w:p w14:paraId="1007391B" w14:textId="77777777" w:rsidR="00836129" w:rsidRPr="000C3344" w:rsidRDefault="00836129" w:rsidP="00571D17">
      <w:pPr>
        <w:widowControl/>
        <w:tabs>
          <w:tab w:val="left" w:pos="540"/>
          <w:tab w:val="num" w:pos="1080"/>
        </w:tabs>
        <w:autoSpaceDE/>
        <w:autoSpaceDN/>
        <w:adjustRightInd/>
        <w:rPr>
          <w:rFonts w:asciiTheme="minorHAnsi" w:hAnsiTheme="minorHAnsi" w:cstheme="minorHAnsi"/>
          <w:b/>
          <w:sz w:val="32"/>
          <w:szCs w:val="32"/>
        </w:rPr>
      </w:pPr>
      <w:r w:rsidRPr="000C3344">
        <w:rPr>
          <w:rFonts w:asciiTheme="minorHAnsi" w:hAnsiTheme="minorHAnsi" w:cstheme="minorHAnsi"/>
          <w:b/>
          <w:sz w:val="32"/>
          <w:szCs w:val="32"/>
        </w:rPr>
        <w:t xml:space="preserve">II.  </w:t>
      </w:r>
      <w:r w:rsidR="00601A7C" w:rsidRPr="000C3344">
        <w:rPr>
          <w:rFonts w:asciiTheme="minorHAnsi" w:hAnsiTheme="minorHAnsi" w:cstheme="minorHAnsi"/>
          <w:b/>
          <w:sz w:val="32"/>
          <w:szCs w:val="32"/>
        </w:rPr>
        <w:t xml:space="preserve"> </w:t>
      </w:r>
      <w:r w:rsidR="008B1863" w:rsidRPr="000C3344">
        <w:rPr>
          <w:rFonts w:asciiTheme="minorHAnsi" w:hAnsiTheme="minorHAnsi" w:cstheme="minorHAnsi"/>
          <w:b/>
          <w:sz w:val="32"/>
          <w:szCs w:val="32"/>
        </w:rPr>
        <w:t xml:space="preserve">State </w:t>
      </w:r>
      <w:r w:rsidRPr="000C3344">
        <w:rPr>
          <w:rFonts w:asciiTheme="minorHAnsi" w:hAnsiTheme="minorHAnsi" w:cstheme="minorHAnsi"/>
          <w:b/>
          <w:sz w:val="32"/>
          <w:szCs w:val="32"/>
        </w:rPr>
        <w:t>Plan Background</w:t>
      </w:r>
    </w:p>
    <w:p w14:paraId="06B7EA89" w14:textId="77777777" w:rsidR="00FA576D" w:rsidRPr="0081725F" w:rsidRDefault="00FA576D" w:rsidP="00571D17">
      <w:pPr>
        <w:widowControl/>
        <w:autoSpaceDE/>
        <w:autoSpaceDN/>
        <w:adjustRightInd/>
        <w:rPr>
          <w:rFonts w:asciiTheme="minorHAnsi" w:hAnsiTheme="minorHAnsi" w:cstheme="minorHAnsi"/>
          <w:i/>
        </w:rPr>
      </w:pPr>
    </w:p>
    <w:p w14:paraId="18F979BE" w14:textId="0D181F72" w:rsidR="00C968AE" w:rsidRDefault="005B2248" w:rsidP="00571D17">
      <w:pPr>
        <w:widowControl/>
        <w:autoSpaceDE/>
        <w:autoSpaceDN/>
        <w:adjustRightInd/>
        <w:rPr>
          <w:rFonts w:asciiTheme="minorHAnsi" w:hAnsiTheme="minorHAnsi" w:cstheme="minorHAnsi"/>
          <w:iCs/>
        </w:rPr>
      </w:pPr>
      <w:r>
        <w:rPr>
          <w:rFonts w:asciiTheme="minorHAnsi" w:hAnsiTheme="minorHAnsi" w:cstheme="minorHAnsi"/>
          <w:b/>
          <w:iCs/>
        </w:rPr>
        <w:t xml:space="preserve">A.  </w:t>
      </w:r>
      <w:r w:rsidRPr="005B2248">
        <w:rPr>
          <w:rFonts w:asciiTheme="minorHAnsi" w:hAnsiTheme="minorHAnsi" w:cstheme="minorHAnsi"/>
          <w:b/>
          <w:iCs/>
        </w:rPr>
        <w:t>Background</w:t>
      </w:r>
    </w:p>
    <w:p w14:paraId="48A05B3B" w14:textId="77777777" w:rsidR="000C3344" w:rsidRPr="008B1863" w:rsidRDefault="000C3344" w:rsidP="00571D17">
      <w:pPr>
        <w:widowControl/>
        <w:autoSpaceDE/>
        <w:autoSpaceDN/>
        <w:adjustRightInd/>
        <w:rPr>
          <w:i/>
        </w:rPr>
      </w:pPr>
    </w:p>
    <w:p w14:paraId="3735E208" w14:textId="5CC0080A" w:rsidR="00302747" w:rsidRPr="00302747" w:rsidRDefault="00302747" w:rsidP="00302747">
      <w:pPr>
        <w:rPr>
          <w:rFonts w:ascii="Calibri" w:hAnsi="Calibri"/>
        </w:rPr>
      </w:pPr>
      <w:r w:rsidRPr="00302747">
        <w:rPr>
          <w:rFonts w:ascii="Calibri" w:hAnsi="Calibri"/>
        </w:rPr>
        <w:t xml:space="preserve">The North Carolina Occupational Safety and Health State Plan received final approval, under Section 18(e) of the OSH Act, on December 10, 1996.  The official designated as responsible for administering the program is the Commissioner of Labor.  The Commissioner of Labor is a constitutional officer selected through a statewide election.  During the evaluation period, the Commissioner of Labor was Mr. Luke </w:t>
      </w:r>
      <w:bookmarkStart w:id="6" w:name="_Hlk216082455"/>
      <w:r w:rsidRPr="00302747">
        <w:rPr>
          <w:rFonts w:ascii="Calibri" w:hAnsi="Calibri"/>
        </w:rPr>
        <w:t>Farley</w:t>
      </w:r>
      <w:bookmarkEnd w:id="6"/>
      <w:r w:rsidRPr="00302747">
        <w:rPr>
          <w:rFonts w:ascii="Calibri" w:hAnsi="Calibri"/>
        </w:rPr>
        <w:t xml:space="preserve">.  Within the NC Department of Labor, the Occupational Safety and Health Division has responsibility for carrying out the requirements of the State Plan.  </w:t>
      </w:r>
      <w:r>
        <w:rPr>
          <w:rFonts w:ascii="Calibri" w:hAnsi="Calibri"/>
        </w:rPr>
        <w:t>Scott Mabry</w:t>
      </w:r>
      <w:r w:rsidRPr="00302747">
        <w:rPr>
          <w:rFonts w:ascii="Calibri" w:hAnsi="Calibri"/>
        </w:rPr>
        <w:t xml:space="preserve"> serves as Deputy Commissioner/Director of the Occupational Safety and Health Division.</w:t>
      </w:r>
      <w:r w:rsidR="00FB6868">
        <w:rPr>
          <w:rFonts w:ascii="Calibri" w:hAnsi="Calibri"/>
        </w:rPr>
        <w:t xml:space="preserve"> </w:t>
      </w:r>
      <w:r w:rsidRPr="00302747">
        <w:rPr>
          <w:rFonts w:ascii="Calibri" w:hAnsi="Calibri"/>
        </w:rPr>
        <w:t xml:space="preserve"> </w:t>
      </w:r>
      <w:r>
        <w:rPr>
          <w:rFonts w:ascii="Calibri" w:hAnsi="Calibri"/>
        </w:rPr>
        <w:t>Lee Peacock</w:t>
      </w:r>
      <w:r w:rsidRPr="00302747">
        <w:rPr>
          <w:rFonts w:ascii="Calibri" w:hAnsi="Calibri"/>
        </w:rPr>
        <w:t xml:space="preserve"> served as Assistant Deputy Commissioner/Assistant Director of the OSH Division.  Commissioner Farley and his leadership team were all in their respective positions during the evaluation period. </w:t>
      </w:r>
    </w:p>
    <w:p w14:paraId="292D1BA8" w14:textId="77777777" w:rsidR="00302747" w:rsidRPr="00302747" w:rsidRDefault="00302747" w:rsidP="00302747">
      <w:pPr>
        <w:rPr>
          <w:rFonts w:ascii="Calibri" w:hAnsi="Calibri"/>
        </w:rPr>
      </w:pPr>
      <w:r w:rsidRPr="00302747">
        <w:rPr>
          <w:rFonts w:ascii="Calibri" w:hAnsi="Calibri"/>
        </w:rPr>
        <w:t>    </w:t>
      </w:r>
    </w:p>
    <w:p w14:paraId="428AD233" w14:textId="1FBC24A6" w:rsidR="00302747" w:rsidRPr="00302747" w:rsidRDefault="00302747" w:rsidP="00302747">
      <w:pPr>
        <w:rPr>
          <w:rFonts w:ascii="Calibri" w:hAnsi="Calibri"/>
        </w:rPr>
      </w:pPr>
      <w:r w:rsidRPr="00302747">
        <w:rPr>
          <w:rFonts w:ascii="Calibri" w:hAnsi="Calibri"/>
        </w:rPr>
        <w:t>The Occupational Safety and Health Division is organized into the following operating units: East and West Compliance Bureaus; Bureau of Education, Training, and Technical Assistance (ETTA); Bureau of Consultative Services; Bureau of Planning, Statistics, and Information Management (PSIM), and the Agricultural Safety and Health (ASH) Bureau.  The main office and a district office are in Raleigh, with four additional offices located throughout the State: Asheville</w:t>
      </w:r>
      <w:r w:rsidR="005F5DC9">
        <w:rPr>
          <w:rFonts w:ascii="Calibri" w:hAnsi="Calibri"/>
        </w:rPr>
        <w:t>,</w:t>
      </w:r>
      <w:r w:rsidRPr="00302747">
        <w:rPr>
          <w:rFonts w:ascii="Calibri" w:hAnsi="Calibri"/>
        </w:rPr>
        <w:t xml:space="preserve"> Charlotte</w:t>
      </w:r>
      <w:r w:rsidR="005F5DC9">
        <w:rPr>
          <w:rFonts w:ascii="Calibri" w:hAnsi="Calibri"/>
        </w:rPr>
        <w:t>,</w:t>
      </w:r>
      <w:r w:rsidRPr="00302747">
        <w:rPr>
          <w:rFonts w:ascii="Calibri" w:hAnsi="Calibri"/>
        </w:rPr>
        <w:t xml:space="preserve"> Winston-Salem</w:t>
      </w:r>
      <w:r w:rsidR="005F5DC9">
        <w:rPr>
          <w:rFonts w:ascii="Calibri" w:hAnsi="Calibri"/>
        </w:rPr>
        <w:t>,</w:t>
      </w:r>
      <w:r w:rsidRPr="00302747">
        <w:rPr>
          <w:rFonts w:ascii="Calibri" w:hAnsi="Calibri"/>
        </w:rPr>
        <w:t xml:space="preserve"> and Wilmington.  Currently, there are 196.8 positions funded under the 23(g) grant, including 102 positions, which are 100% state funded.  These positions include 64 safety compliance officers, and 45 health compliance officers assigned to district offices throughout the State.  Additional safety and health professionals work in ETTA with responsibilities related to training, development of outreach materials, standards, and the Carolina Star Program (Voluntary Protection Program).  The worker population in North Carolina consists of 4,436,892 workers and 282,534 establishments.</w:t>
      </w:r>
    </w:p>
    <w:p w14:paraId="62AEC405" w14:textId="77777777" w:rsidR="00302747" w:rsidRPr="00302747" w:rsidRDefault="00302747" w:rsidP="00302747">
      <w:pPr>
        <w:rPr>
          <w:rFonts w:ascii="Calibri" w:hAnsi="Calibri"/>
        </w:rPr>
      </w:pPr>
    </w:p>
    <w:p w14:paraId="65A2D752" w14:textId="77777777" w:rsidR="00302747" w:rsidRPr="00302747" w:rsidRDefault="00302747" w:rsidP="00302747">
      <w:pPr>
        <w:rPr>
          <w:rFonts w:ascii="Calibri" w:hAnsi="Calibri"/>
        </w:rPr>
      </w:pPr>
      <w:r w:rsidRPr="00302747">
        <w:rPr>
          <w:rFonts w:ascii="Calibri" w:hAnsi="Calibri"/>
        </w:rPr>
        <w:t xml:space="preserve">Employee protection from retaliation related to occupational safety and health is administered by the Employment Discrimination Bureau, which falls under the Deputy Commissioner for Standards and Inspections, in the North Carolina Department of Labor.  This Bureau covers several types of employment-related retaliation, in addition to whistleblower protection that falls under the jurisdiction of the State Plan.  </w:t>
      </w:r>
    </w:p>
    <w:p w14:paraId="332B4705" w14:textId="77777777" w:rsidR="00302747" w:rsidRPr="00302747" w:rsidRDefault="00302747" w:rsidP="00302747">
      <w:pPr>
        <w:rPr>
          <w:rFonts w:ascii="Calibri" w:hAnsi="Calibri"/>
        </w:rPr>
      </w:pPr>
      <w:r w:rsidRPr="00302747">
        <w:rPr>
          <w:rFonts w:ascii="Calibri" w:hAnsi="Calibri"/>
        </w:rPr>
        <w:t xml:space="preserve"> </w:t>
      </w:r>
    </w:p>
    <w:p w14:paraId="1E5069AE" w14:textId="77777777" w:rsidR="00302747" w:rsidRDefault="00302747" w:rsidP="00302747">
      <w:pPr>
        <w:rPr>
          <w:rFonts w:ascii="Calibri" w:hAnsi="Calibri"/>
        </w:rPr>
      </w:pPr>
      <w:r w:rsidRPr="00302747">
        <w:rPr>
          <w:rFonts w:ascii="Calibri" w:hAnsi="Calibri"/>
        </w:rPr>
        <w:t>The North Carolina Department of Labor provides private sector onsite consultative services through a 21(d) Grant.  There are 20.1 positions funded under the 21(d) grant, including consultants, administrative staff, and managerial employees.  Four of the 21(d) positions are 100% state funded.  State and local government 23(g) grant consultative services, enforcement, and compliance assistance activities, are accomplished by the same staff, in accordance with consultation procedures established for the private sector.  OSHNC’s Carolina Star Program organizationally falls within the Education, Training, and Technical Assistance Bureau.</w:t>
      </w:r>
    </w:p>
    <w:p w14:paraId="373E9A0E" w14:textId="77777777" w:rsidR="003A24EE" w:rsidRDefault="003A24EE" w:rsidP="00302747">
      <w:pPr>
        <w:jc w:val="center"/>
        <w:rPr>
          <w:rFonts w:ascii="Calibri" w:hAnsi="Calibri"/>
        </w:rPr>
      </w:pPr>
    </w:p>
    <w:p w14:paraId="46A7A6FF" w14:textId="0E997CD7" w:rsidR="005F5DC9" w:rsidRDefault="005F5DC9" w:rsidP="00302747">
      <w:pPr>
        <w:jc w:val="center"/>
        <w:rPr>
          <w:rFonts w:ascii="Calibri" w:hAnsi="Calibri"/>
        </w:rPr>
      </w:pPr>
    </w:p>
    <w:p w14:paraId="6490BFDE" w14:textId="77777777" w:rsidR="005F5DC9" w:rsidRDefault="005F5DC9" w:rsidP="00302747">
      <w:pPr>
        <w:jc w:val="center"/>
        <w:rPr>
          <w:rFonts w:ascii="Calibri" w:hAnsi="Calibri"/>
        </w:rPr>
      </w:pPr>
    </w:p>
    <w:p w14:paraId="5383C8E6" w14:textId="77777777" w:rsidR="005F5DC9" w:rsidRDefault="005F5DC9" w:rsidP="00302747">
      <w:pPr>
        <w:jc w:val="center"/>
        <w:rPr>
          <w:rFonts w:ascii="Calibri" w:hAnsi="Calibri"/>
        </w:rPr>
      </w:pPr>
    </w:p>
    <w:p w14:paraId="5FD276C5" w14:textId="77777777" w:rsidR="005F5DC9" w:rsidRDefault="005F5DC9" w:rsidP="00302747">
      <w:pPr>
        <w:jc w:val="center"/>
        <w:rPr>
          <w:rFonts w:ascii="Calibri" w:hAnsi="Calibri"/>
        </w:rPr>
      </w:pPr>
    </w:p>
    <w:p w14:paraId="747F6BFC" w14:textId="77777777" w:rsidR="005F5DC9" w:rsidRDefault="005F5DC9" w:rsidP="00302747">
      <w:pPr>
        <w:jc w:val="center"/>
        <w:rPr>
          <w:rFonts w:ascii="Calibri" w:hAnsi="Calibri"/>
        </w:rPr>
      </w:pPr>
    </w:p>
    <w:p w14:paraId="553166BE" w14:textId="2210AB11" w:rsidR="00302747" w:rsidRDefault="00302747" w:rsidP="00302747">
      <w:pPr>
        <w:jc w:val="center"/>
        <w:rPr>
          <w:rFonts w:ascii="Calibri" w:hAnsi="Calibri"/>
        </w:rPr>
      </w:pPr>
      <w:r w:rsidRPr="00302747">
        <w:rPr>
          <w:rFonts w:ascii="Calibri" w:hAnsi="Calibri"/>
        </w:rPr>
        <w:t>The table below shows the OSHNC’s funding levels from FY 202</w:t>
      </w:r>
      <w:r>
        <w:rPr>
          <w:rFonts w:ascii="Calibri" w:hAnsi="Calibri"/>
        </w:rPr>
        <w:t>1</w:t>
      </w:r>
      <w:r w:rsidRPr="00302747">
        <w:rPr>
          <w:rFonts w:ascii="Calibri" w:hAnsi="Calibri"/>
        </w:rPr>
        <w:t xml:space="preserve"> through FY 202</w:t>
      </w:r>
      <w:r>
        <w:rPr>
          <w:rFonts w:ascii="Calibri" w:hAnsi="Calibri"/>
        </w:rPr>
        <w:t>5</w:t>
      </w:r>
      <w:r w:rsidR="00BC55A7">
        <w:rPr>
          <w:rFonts w:ascii="Calibri" w:hAnsi="Calibri"/>
        </w:rPr>
        <w:t>:</w:t>
      </w:r>
    </w:p>
    <w:p w14:paraId="73D47D7F" w14:textId="261802E6" w:rsidR="00A72FEA" w:rsidRDefault="00A72FEA" w:rsidP="00A72FEA">
      <w:pPr>
        <w:pStyle w:val="xmsonormal"/>
        <w:spacing w:before="0" w:beforeAutospacing="0" w:after="0" w:afterAutospacing="0"/>
      </w:pPr>
    </w:p>
    <w:tbl>
      <w:tblPr>
        <w:tblpPr w:leftFromText="195" w:rightFromText="195" w:vertAnchor="text"/>
        <w:tblW w:w="9620" w:type="dxa"/>
        <w:tblCellMar>
          <w:left w:w="0" w:type="dxa"/>
          <w:right w:w="0" w:type="dxa"/>
        </w:tblCellMar>
        <w:tblLook w:val="04A0" w:firstRow="1" w:lastRow="0" w:firstColumn="1" w:lastColumn="0" w:noHBand="0" w:noVBand="1"/>
      </w:tblPr>
      <w:tblGrid>
        <w:gridCol w:w="980"/>
        <w:gridCol w:w="1288"/>
        <w:gridCol w:w="1322"/>
        <w:gridCol w:w="2614"/>
        <w:gridCol w:w="1706"/>
        <w:gridCol w:w="1710"/>
      </w:tblGrid>
      <w:tr w:rsidR="00A72FEA" w:rsidRPr="004E2062" w14:paraId="34F6E862" w14:textId="77777777">
        <w:trPr>
          <w:trHeight w:val="430"/>
        </w:trPr>
        <w:tc>
          <w:tcPr>
            <w:tcW w:w="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F5B63" w14:textId="77777777" w:rsidR="00A72FEA" w:rsidRPr="004E2062" w:rsidRDefault="00A72FEA">
            <w:pPr>
              <w:pStyle w:val="xmsonormal"/>
              <w:spacing w:before="0" w:beforeAutospacing="0" w:after="0" w:afterAutospacing="0"/>
              <w:rPr>
                <w:rFonts w:asciiTheme="minorHAnsi" w:hAnsiTheme="minorHAnsi" w:cstheme="minorHAnsi"/>
              </w:rPr>
            </w:pPr>
            <w:bookmarkStart w:id="7" w:name="_Hlk216963947"/>
            <w:r w:rsidRPr="004E2062">
              <w:rPr>
                <w:rFonts w:asciiTheme="minorHAnsi" w:hAnsiTheme="minorHAnsi" w:cstheme="minorHAnsi"/>
                <w:b/>
                <w:bCs/>
              </w:rPr>
              <w:t>Fiscal Year</w:t>
            </w:r>
          </w:p>
        </w:tc>
        <w:tc>
          <w:tcPr>
            <w:tcW w:w="128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C1AE52"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Federal Award ($)</w:t>
            </w:r>
          </w:p>
        </w:tc>
        <w:tc>
          <w:tcPr>
            <w:tcW w:w="13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4952F6"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State Plan Match ($)</w:t>
            </w:r>
          </w:p>
        </w:tc>
        <w:tc>
          <w:tcPr>
            <w:tcW w:w="26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0072AC"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100% State Funds ($)</w:t>
            </w:r>
          </w:p>
        </w:tc>
        <w:tc>
          <w:tcPr>
            <w:tcW w:w="17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3BF904"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 </w:t>
            </w:r>
          </w:p>
          <w:p w14:paraId="58CCE1B3"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Total Funding ($)</w:t>
            </w:r>
          </w:p>
        </w:tc>
        <w:tc>
          <w:tcPr>
            <w:tcW w:w="1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FB624C"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 of State Plan Contribution</w:t>
            </w:r>
          </w:p>
        </w:tc>
      </w:tr>
      <w:tr w:rsidR="00A72FEA" w:rsidRPr="004E2062" w14:paraId="6A252D0B" w14:textId="77777777">
        <w:trPr>
          <w:trHeight w:val="177"/>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58E014" w14:textId="07B734F1" w:rsidR="00A72FEA" w:rsidRPr="004E2062" w:rsidRDefault="00A72FEA">
            <w:pPr>
              <w:pStyle w:val="xmsonormal"/>
              <w:spacing w:before="0" w:beforeAutospacing="0" w:after="0" w:afterAutospacing="0"/>
              <w:rPr>
                <w:rFonts w:asciiTheme="minorHAnsi" w:hAnsiTheme="minorHAnsi" w:cstheme="minorHAnsi"/>
                <w:b/>
                <w:bCs/>
              </w:rPr>
            </w:pPr>
            <w:r w:rsidRPr="004E2062">
              <w:rPr>
                <w:rFonts w:asciiTheme="minorHAnsi" w:hAnsiTheme="minorHAnsi" w:cstheme="minorHAnsi"/>
                <w:b/>
                <w:bCs/>
              </w:rPr>
              <w:t>2025</w:t>
            </w:r>
          </w:p>
        </w:tc>
        <w:tc>
          <w:tcPr>
            <w:tcW w:w="1288" w:type="dxa"/>
            <w:tcBorders>
              <w:top w:val="nil"/>
              <w:left w:val="nil"/>
              <w:bottom w:val="single" w:sz="8" w:space="0" w:color="auto"/>
              <w:right w:val="single" w:sz="8" w:space="0" w:color="auto"/>
            </w:tcBorders>
            <w:tcMar>
              <w:top w:w="0" w:type="dxa"/>
              <w:left w:w="108" w:type="dxa"/>
              <w:bottom w:w="0" w:type="dxa"/>
              <w:right w:w="108" w:type="dxa"/>
            </w:tcMar>
            <w:vAlign w:val="center"/>
          </w:tcPr>
          <w:p w14:paraId="209932AA" w14:textId="260F5A6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color w:val="000000"/>
              </w:rPr>
              <w:t>6,255,500</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tcPr>
          <w:p w14:paraId="30395D9B" w14:textId="2A6566A2"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color w:val="000000"/>
              </w:rPr>
              <w:t>6,255,500</w:t>
            </w:r>
          </w:p>
        </w:tc>
        <w:tc>
          <w:tcPr>
            <w:tcW w:w="2614" w:type="dxa"/>
            <w:tcBorders>
              <w:top w:val="nil"/>
              <w:left w:val="nil"/>
              <w:bottom w:val="single" w:sz="8" w:space="0" w:color="auto"/>
              <w:right w:val="single" w:sz="8" w:space="0" w:color="auto"/>
            </w:tcBorders>
            <w:tcMar>
              <w:top w:w="0" w:type="dxa"/>
              <w:left w:w="108" w:type="dxa"/>
              <w:bottom w:w="0" w:type="dxa"/>
              <w:right w:w="108" w:type="dxa"/>
            </w:tcMar>
            <w:vAlign w:val="center"/>
          </w:tcPr>
          <w:p w14:paraId="23C8BF7A" w14:textId="6DA1219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color w:val="000000"/>
              </w:rPr>
              <w:t>10,248,476</w:t>
            </w:r>
          </w:p>
        </w:tc>
        <w:tc>
          <w:tcPr>
            <w:tcW w:w="1706" w:type="dxa"/>
            <w:tcBorders>
              <w:top w:val="nil"/>
              <w:left w:val="nil"/>
              <w:bottom w:val="single" w:sz="8" w:space="0" w:color="auto"/>
              <w:right w:val="single" w:sz="8" w:space="0" w:color="auto"/>
            </w:tcBorders>
            <w:tcMar>
              <w:top w:w="0" w:type="dxa"/>
              <w:left w:w="108" w:type="dxa"/>
              <w:bottom w:w="0" w:type="dxa"/>
              <w:right w:w="108" w:type="dxa"/>
            </w:tcMar>
            <w:vAlign w:val="center"/>
          </w:tcPr>
          <w:p w14:paraId="67667FB0" w14:textId="49EBABF5"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color w:val="000000"/>
              </w:rPr>
              <w:t>22,759,476</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23D7101" w14:textId="2A9C761F"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color w:val="000000"/>
              </w:rPr>
              <w:t>72.51</w:t>
            </w:r>
          </w:p>
        </w:tc>
      </w:tr>
      <w:tr w:rsidR="00A72FEA" w:rsidRPr="004E2062" w14:paraId="151460A6" w14:textId="77777777">
        <w:trPr>
          <w:trHeight w:val="177"/>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2122EE"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2024</w:t>
            </w:r>
          </w:p>
        </w:tc>
        <w:tc>
          <w:tcPr>
            <w:tcW w:w="12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45AEF1"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6,236,500</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55361"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6,236,500</w:t>
            </w:r>
          </w:p>
        </w:tc>
        <w:tc>
          <w:tcPr>
            <w:tcW w:w="26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C90F8"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9,974,877</w:t>
            </w:r>
          </w:p>
        </w:tc>
        <w:tc>
          <w:tcPr>
            <w:tcW w:w="17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02670A"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22,447,877</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37C885" w14:textId="02B5EA95"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7</w:t>
            </w:r>
            <w:r w:rsidR="00772CEA" w:rsidRPr="004E2062">
              <w:rPr>
                <w:rFonts w:asciiTheme="minorHAnsi" w:hAnsiTheme="minorHAnsi" w:cstheme="minorHAnsi"/>
              </w:rPr>
              <w:t>2</w:t>
            </w:r>
            <w:r w:rsidRPr="004E2062">
              <w:rPr>
                <w:rFonts w:asciiTheme="minorHAnsi" w:hAnsiTheme="minorHAnsi" w:cstheme="minorHAnsi"/>
              </w:rPr>
              <w:t>.22</w:t>
            </w:r>
          </w:p>
        </w:tc>
      </w:tr>
      <w:tr w:rsidR="00A72FEA" w:rsidRPr="004E2062" w14:paraId="2D8CE59B" w14:textId="77777777">
        <w:trPr>
          <w:trHeight w:val="177"/>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CC7AF9"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2023</w:t>
            </w:r>
          </w:p>
        </w:tc>
        <w:tc>
          <w:tcPr>
            <w:tcW w:w="12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9684EA"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6,469,500</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75D268"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6,469,500</w:t>
            </w:r>
          </w:p>
        </w:tc>
        <w:tc>
          <w:tcPr>
            <w:tcW w:w="26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5D1FA"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9,157,287</w:t>
            </w:r>
          </w:p>
        </w:tc>
        <w:tc>
          <w:tcPr>
            <w:tcW w:w="17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51067"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22,096,287</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F31C2D"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70.72</w:t>
            </w:r>
          </w:p>
        </w:tc>
      </w:tr>
      <w:tr w:rsidR="00A72FEA" w:rsidRPr="004E2062" w14:paraId="12B76968" w14:textId="77777777">
        <w:trPr>
          <w:trHeight w:val="177"/>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513D82"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2022</w:t>
            </w:r>
          </w:p>
        </w:tc>
        <w:tc>
          <w:tcPr>
            <w:tcW w:w="12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B161AA"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6,029,800</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CB4DC"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6,029,800</w:t>
            </w:r>
          </w:p>
        </w:tc>
        <w:tc>
          <w:tcPr>
            <w:tcW w:w="26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350BD"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8,535,199</w:t>
            </w:r>
          </w:p>
        </w:tc>
        <w:tc>
          <w:tcPr>
            <w:tcW w:w="17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D1CF5"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20,594,799</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BCA29E"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70.72</w:t>
            </w:r>
          </w:p>
        </w:tc>
      </w:tr>
      <w:tr w:rsidR="00A72FEA" w:rsidRPr="004E2062" w14:paraId="5329A67E" w14:textId="77777777">
        <w:trPr>
          <w:trHeight w:val="177"/>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5384BD"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b/>
                <w:bCs/>
              </w:rPr>
              <w:t>2021</w:t>
            </w:r>
          </w:p>
        </w:tc>
        <w:tc>
          <w:tcPr>
            <w:tcW w:w="12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1804DA"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5,900,200</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7EEFE4"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5,900,200</w:t>
            </w:r>
          </w:p>
        </w:tc>
        <w:tc>
          <w:tcPr>
            <w:tcW w:w="26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C5EFB9"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7,788,501</w:t>
            </w:r>
          </w:p>
        </w:tc>
        <w:tc>
          <w:tcPr>
            <w:tcW w:w="17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A4348"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19,588,901</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3E80B" w14:textId="77777777" w:rsidR="00A72FEA" w:rsidRPr="004E2062" w:rsidRDefault="00A72FEA">
            <w:pPr>
              <w:pStyle w:val="xmsonormal"/>
              <w:spacing w:before="0" w:beforeAutospacing="0" w:after="0" w:afterAutospacing="0"/>
              <w:rPr>
                <w:rFonts w:asciiTheme="minorHAnsi" w:hAnsiTheme="minorHAnsi" w:cstheme="minorHAnsi"/>
              </w:rPr>
            </w:pPr>
            <w:r w:rsidRPr="004E2062">
              <w:rPr>
                <w:rFonts w:asciiTheme="minorHAnsi" w:hAnsiTheme="minorHAnsi" w:cstheme="minorHAnsi"/>
              </w:rPr>
              <w:t>69.88</w:t>
            </w:r>
          </w:p>
        </w:tc>
      </w:tr>
    </w:tbl>
    <w:bookmarkEnd w:id="7"/>
    <w:p w14:paraId="21A9769B" w14:textId="5E258A6E" w:rsidR="00373DFC" w:rsidRPr="00A72FEA" w:rsidRDefault="00A72FEA" w:rsidP="00A72FEA">
      <w:pPr>
        <w:pStyle w:val="xmsonormal"/>
        <w:spacing w:before="0" w:beforeAutospacing="0" w:after="0" w:afterAutospacing="0"/>
      </w:pPr>
      <w:r>
        <w:t> </w:t>
      </w:r>
    </w:p>
    <w:p w14:paraId="2AFBADBE" w14:textId="28FD1941" w:rsidR="005D1101" w:rsidRPr="000C3344" w:rsidRDefault="00C968AE" w:rsidP="00571D17">
      <w:pPr>
        <w:rPr>
          <w:rFonts w:asciiTheme="minorHAnsi" w:hAnsiTheme="minorHAnsi" w:cstheme="minorHAnsi"/>
        </w:rPr>
      </w:pPr>
      <w:r>
        <w:rPr>
          <w:rFonts w:asciiTheme="minorHAnsi" w:hAnsiTheme="minorHAnsi" w:cstheme="minorHAnsi"/>
          <w:b/>
        </w:rPr>
        <w:t xml:space="preserve">B.  </w:t>
      </w:r>
      <w:r w:rsidR="00836129" w:rsidRPr="00C968AE">
        <w:rPr>
          <w:rFonts w:asciiTheme="minorHAnsi" w:hAnsiTheme="minorHAnsi" w:cstheme="minorHAnsi"/>
          <w:b/>
        </w:rPr>
        <w:t>New Issues</w:t>
      </w:r>
    </w:p>
    <w:p w14:paraId="00BEF27E" w14:textId="77777777" w:rsidR="000C3344" w:rsidRDefault="000C3344" w:rsidP="00571D17">
      <w:pPr>
        <w:rPr>
          <w:i/>
        </w:rPr>
      </w:pPr>
    </w:p>
    <w:p w14:paraId="3869822C" w14:textId="0C432D84" w:rsidR="000C3344" w:rsidRPr="00302747" w:rsidRDefault="00302747" w:rsidP="00571D17">
      <w:pPr>
        <w:rPr>
          <w:rFonts w:asciiTheme="minorHAnsi" w:hAnsiTheme="minorHAnsi" w:cstheme="minorHAnsi"/>
          <w:iCs/>
        </w:rPr>
      </w:pPr>
      <w:r w:rsidRPr="00302747">
        <w:rPr>
          <w:rFonts w:asciiTheme="minorHAnsi" w:hAnsiTheme="minorHAnsi" w:cstheme="minorHAnsi"/>
          <w:iCs/>
        </w:rPr>
        <w:t>None</w:t>
      </w:r>
    </w:p>
    <w:p w14:paraId="61E10AD4" w14:textId="77777777" w:rsidR="005D1101" w:rsidRPr="00B52BBF" w:rsidRDefault="005D1101" w:rsidP="00571D17">
      <w:pPr>
        <w:rPr>
          <w:rFonts w:asciiTheme="minorHAnsi" w:hAnsiTheme="minorHAnsi" w:cstheme="minorHAnsi"/>
        </w:rPr>
      </w:pPr>
    </w:p>
    <w:p w14:paraId="66474800" w14:textId="77777777" w:rsidR="00B91749" w:rsidRPr="00B52BBF" w:rsidRDefault="00A81F5B" w:rsidP="00571D17">
      <w:pPr>
        <w:widowControl/>
        <w:autoSpaceDE/>
        <w:autoSpaceDN/>
        <w:adjustRightInd/>
        <w:spacing w:after="200"/>
        <w:rPr>
          <w:rFonts w:asciiTheme="minorHAnsi" w:hAnsiTheme="minorHAnsi" w:cstheme="minorHAnsi"/>
          <w:sz w:val="32"/>
          <w:szCs w:val="32"/>
        </w:rPr>
      </w:pPr>
      <w:r w:rsidRPr="00B52BBF">
        <w:rPr>
          <w:rFonts w:asciiTheme="minorHAnsi" w:hAnsiTheme="minorHAnsi" w:cstheme="minorHAnsi"/>
          <w:b/>
          <w:sz w:val="32"/>
          <w:szCs w:val="32"/>
        </w:rPr>
        <w:t>III.   Assessment of State Plan Progress and Performance</w:t>
      </w:r>
    </w:p>
    <w:p w14:paraId="57A220B5" w14:textId="77777777" w:rsidR="00B91749" w:rsidRPr="0081725F" w:rsidRDefault="00782EEC" w:rsidP="00D4742C">
      <w:pPr>
        <w:pStyle w:val="ListParagraph"/>
        <w:numPr>
          <w:ilvl w:val="0"/>
          <w:numId w:val="9"/>
        </w:numPr>
        <w:spacing w:after="0" w:line="240" w:lineRule="auto"/>
        <w:ind w:left="360"/>
        <w:rPr>
          <w:rFonts w:asciiTheme="minorHAnsi" w:hAnsiTheme="minorHAnsi" w:cstheme="minorHAnsi"/>
          <w:b/>
        </w:rPr>
      </w:pPr>
      <w:r w:rsidRPr="0081725F">
        <w:rPr>
          <w:rFonts w:asciiTheme="minorHAnsi" w:hAnsiTheme="minorHAnsi" w:cstheme="minorHAnsi"/>
          <w:b/>
          <w:sz w:val="24"/>
          <w:szCs w:val="24"/>
        </w:rPr>
        <w:t>Data</w:t>
      </w:r>
      <w:r w:rsidR="00B91749" w:rsidRPr="0081725F">
        <w:rPr>
          <w:rFonts w:asciiTheme="minorHAnsi" w:hAnsiTheme="minorHAnsi" w:cstheme="minorHAnsi"/>
          <w:b/>
          <w:sz w:val="24"/>
          <w:szCs w:val="24"/>
        </w:rPr>
        <w:t xml:space="preserve"> </w:t>
      </w:r>
      <w:r w:rsidR="008B7258" w:rsidRPr="0081725F">
        <w:rPr>
          <w:rFonts w:asciiTheme="minorHAnsi" w:hAnsiTheme="minorHAnsi" w:cstheme="minorHAnsi"/>
          <w:b/>
          <w:sz w:val="24"/>
          <w:szCs w:val="24"/>
        </w:rPr>
        <w:t xml:space="preserve">and </w:t>
      </w:r>
      <w:r w:rsidR="00B91749" w:rsidRPr="0081725F">
        <w:rPr>
          <w:rFonts w:asciiTheme="minorHAnsi" w:hAnsiTheme="minorHAnsi" w:cstheme="minorHAnsi"/>
          <w:b/>
          <w:sz w:val="24"/>
          <w:szCs w:val="24"/>
        </w:rPr>
        <w:t>Methodology</w:t>
      </w:r>
    </w:p>
    <w:p w14:paraId="375F1C3D" w14:textId="77777777" w:rsidR="00044E35" w:rsidRPr="0081725F" w:rsidRDefault="00044E35" w:rsidP="00571D17">
      <w:pPr>
        <w:pStyle w:val="ListParagraph"/>
        <w:spacing w:after="0" w:line="240" w:lineRule="auto"/>
        <w:ind w:left="360"/>
        <w:rPr>
          <w:rFonts w:asciiTheme="minorHAnsi" w:hAnsiTheme="minorHAnsi" w:cstheme="minorHAnsi"/>
          <w:b/>
        </w:rPr>
      </w:pPr>
    </w:p>
    <w:p w14:paraId="39D3ACA6" w14:textId="08A4BA11" w:rsidR="00BC55A7" w:rsidRDefault="00BC55A7" w:rsidP="00BC55A7">
      <w:pPr>
        <w:widowControl/>
        <w:autoSpaceDE/>
        <w:autoSpaceDN/>
        <w:adjustRightInd/>
        <w:rPr>
          <w:rFonts w:asciiTheme="minorHAnsi" w:hAnsiTheme="minorHAnsi" w:cstheme="minorHAnsi"/>
          <w:bCs/>
        </w:rPr>
      </w:pPr>
      <w:r w:rsidRPr="00BC55A7">
        <w:rPr>
          <w:rFonts w:asciiTheme="minorHAnsi" w:hAnsiTheme="minorHAnsi" w:cstheme="minorHAnsi"/>
          <w:bCs/>
        </w:rPr>
        <w:t>OSHA established a two-year cycle for the FAME process.  FY 202</w:t>
      </w:r>
      <w:r>
        <w:rPr>
          <w:rFonts w:asciiTheme="minorHAnsi" w:hAnsiTheme="minorHAnsi" w:cstheme="minorHAnsi"/>
          <w:bCs/>
        </w:rPr>
        <w:t>5</w:t>
      </w:r>
      <w:r w:rsidRPr="00BC55A7">
        <w:rPr>
          <w:rFonts w:asciiTheme="minorHAnsi" w:hAnsiTheme="minorHAnsi" w:cstheme="minorHAnsi"/>
          <w:bCs/>
        </w:rPr>
        <w:t xml:space="preserve"> is a comprehensive year and as such, OSHA was required to conduct an on-site evaluation and case file review.  A</w:t>
      </w:r>
      <w:r w:rsidR="000E1AC9">
        <w:rPr>
          <w:rFonts w:asciiTheme="minorHAnsi" w:hAnsiTheme="minorHAnsi" w:cstheme="minorHAnsi"/>
          <w:bCs/>
        </w:rPr>
        <w:t>n eight</w:t>
      </w:r>
      <w:r w:rsidRPr="00BC55A7">
        <w:rPr>
          <w:rFonts w:asciiTheme="minorHAnsi" w:hAnsiTheme="minorHAnsi" w:cstheme="minorHAnsi"/>
          <w:bCs/>
        </w:rPr>
        <w:t>-person OSHA team, which included</w:t>
      </w:r>
      <w:r w:rsidR="000E1AC9">
        <w:rPr>
          <w:rFonts w:asciiTheme="minorHAnsi" w:hAnsiTheme="minorHAnsi" w:cstheme="minorHAnsi"/>
          <w:bCs/>
        </w:rPr>
        <w:t xml:space="preserve"> three</w:t>
      </w:r>
      <w:r w:rsidRPr="00BC55A7">
        <w:rPr>
          <w:rFonts w:asciiTheme="minorHAnsi" w:hAnsiTheme="minorHAnsi" w:cstheme="minorHAnsi"/>
          <w:bCs/>
        </w:rPr>
        <w:t xml:space="preserve"> whistleblower investigator</w:t>
      </w:r>
      <w:r w:rsidR="000E1AC9">
        <w:rPr>
          <w:rFonts w:asciiTheme="minorHAnsi" w:hAnsiTheme="minorHAnsi" w:cstheme="minorHAnsi"/>
          <w:bCs/>
        </w:rPr>
        <w:t>s</w:t>
      </w:r>
      <w:r w:rsidRPr="00BC55A7">
        <w:rPr>
          <w:rFonts w:asciiTheme="minorHAnsi" w:hAnsiTheme="minorHAnsi" w:cstheme="minorHAnsi"/>
          <w:bCs/>
        </w:rPr>
        <w:t xml:space="preserve">, was assembled to conduct a full on-site case file review. The case file review was conducted at the North Carolina State Plan office during the timeframe of </w:t>
      </w:r>
      <w:r>
        <w:rPr>
          <w:rFonts w:asciiTheme="minorHAnsi" w:hAnsiTheme="minorHAnsi" w:cstheme="minorHAnsi"/>
          <w:bCs/>
        </w:rPr>
        <w:t>January 12, 2026 through January 16, 2026</w:t>
      </w:r>
      <w:r w:rsidRPr="00BC55A7">
        <w:rPr>
          <w:rFonts w:asciiTheme="minorHAnsi" w:hAnsiTheme="minorHAnsi" w:cstheme="minorHAnsi"/>
          <w:bCs/>
        </w:rPr>
        <w:t>.  A</w:t>
      </w:r>
      <w:r w:rsidR="00612473">
        <w:rPr>
          <w:rFonts w:asciiTheme="minorHAnsi" w:hAnsiTheme="minorHAnsi" w:cstheme="minorHAnsi"/>
          <w:bCs/>
        </w:rPr>
        <w:t xml:space="preserve"> </w:t>
      </w:r>
      <w:r w:rsidRPr="00BC55A7">
        <w:rPr>
          <w:rFonts w:asciiTheme="minorHAnsi" w:hAnsiTheme="minorHAnsi" w:cstheme="minorHAnsi"/>
          <w:bCs/>
        </w:rPr>
        <w:t xml:space="preserve">total of </w:t>
      </w:r>
      <w:r w:rsidR="00984CD1">
        <w:rPr>
          <w:rFonts w:asciiTheme="minorHAnsi" w:hAnsiTheme="minorHAnsi" w:cstheme="minorHAnsi"/>
          <w:bCs/>
        </w:rPr>
        <w:t>131</w:t>
      </w:r>
      <w:r w:rsidRPr="00BC55A7">
        <w:rPr>
          <w:rFonts w:asciiTheme="minorHAnsi" w:hAnsiTheme="minorHAnsi" w:cstheme="minorHAnsi"/>
          <w:bCs/>
        </w:rPr>
        <w:t xml:space="preserve"> safety, health, and whistleblower case files were reviewed.  The safety and health inspection files were randomly selected from closed inspections conducted during the evaluation period (Oct</w:t>
      </w:r>
      <w:r>
        <w:rPr>
          <w:rFonts w:asciiTheme="minorHAnsi" w:hAnsiTheme="minorHAnsi" w:cstheme="minorHAnsi"/>
          <w:bCs/>
        </w:rPr>
        <w:t>ober</w:t>
      </w:r>
      <w:r w:rsidRPr="00BC55A7">
        <w:rPr>
          <w:rFonts w:asciiTheme="minorHAnsi" w:hAnsiTheme="minorHAnsi" w:cstheme="minorHAnsi"/>
          <w:bCs/>
        </w:rPr>
        <w:t xml:space="preserve"> 1, 20</w:t>
      </w:r>
      <w:r>
        <w:rPr>
          <w:rFonts w:asciiTheme="minorHAnsi" w:hAnsiTheme="minorHAnsi" w:cstheme="minorHAnsi"/>
          <w:bCs/>
        </w:rPr>
        <w:t>24</w:t>
      </w:r>
      <w:r w:rsidRPr="00BC55A7">
        <w:rPr>
          <w:rFonts w:asciiTheme="minorHAnsi" w:hAnsiTheme="minorHAnsi" w:cstheme="minorHAnsi"/>
          <w:bCs/>
        </w:rPr>
        <w:t xml:space="preserve"> through September 30, 202</w:t>
      </w:r>
      <w:r>
        <w:rPr>
          <w:rFonts w:asciiTheme="minorHAnsi" w:hAnsiTheme="minorHAnsi" w:cstheme="minorHAnsi"/>
          <w:bCs/>
        </w:rPr>
        <w:t>5</w:t>
      </w:r>
      <w:r w:rsidRPr="00BC55A7">
        <w:rPr>
          <w:rFonts w:asciiTheme="minorHAnsi" w:hAnsiTheme="minorHAnsi" w:cstheme="minorHAnsi"/>
          <w:bCs/>
        </w:rPr>
        <w:t>).</w:t>
      </w:r>
    </w:p>
    <w:p w14:paraId="0F8BD4E8" w14:textId="77777777" w:rsidR="00BC55A7" w:rsidRDefault="00BC55A7" w:rsidP="00BC55A7">
      <w:pPr>
        <w:widowControl/>
        <w:autoSpaceDE/>
        <w:autoSpaceDN/>
        <w:adjustRightInd/>
        <w:rPr>
          <w:rFonts w:asciiTheme="minorHAnsi" w:hAnsiTheme="minorHAnsi" w:cstheme="minorHAnsi"/>
          <w:bCs/>
        </w:rPr>
      </w:pPr>
    </w:p>
    <w:p w14:paraId="28952AB0" w14:textId="2719E837" w:rsidR="00BC55A7" w:rsidRPr="00BC55A7" w:rsidRDefault="00BC55A7" w:rsidP="00BC55A7">
      <w:pPr>
        <w:widowControl/>
        <w:autoSpaceDE/>
        <w:autoSpaceDN/>
        <w:adjustRightInd/>
        <w:rPr>
          <w:rFonts w:asciiTheme="minorHAnsi" w:hAnsiTheme="minorHAnsi" w:cstheme="minorHAnsi"/>
          <w:bCs/>
        </w:rPr>
      </w:pPr>
      <w:r w:rsidRPr="00BC55A7">
        <w:rPr>
          <w:rFonts w:asciiTheme="minorHAnsi" w:hAnsiTheme="minorHAnsi" w:cstheme="minorHAnsi"/>
          <w:bCs/>
        </w:rPr>
        <w:t>The selected population included:</w:t>
      </w:r>
    </w:p>
    <w:p w14:paraId="7D936751" w14:textId="7587BA5F" w:rsidR="00BC55A7" w:rsidRPr="00BC55A7" w:rsidRDefault="00BC55A7" w:rsidP="00BC55A7">
      <w:pPr>
        <w:widowControl/>
        <w:autoSpaceDE/>
        <w:autoSpaceDN/>
        <w:adjustRightInd/>
        <w:jc w:val="both"/>
        <w:rPr>
          <w:rFonts w:asciiTheme="minorHAnsi" w:hAnsiTheme="minorHAnsi" w:cstheme="minorHAnsi"/>
          <w:bCs/>
        </w:rPr>
      </w:pPr>
    </w:p>
    <w:p w14:paraId="1AEF9646" w14:textId="0F8A5746" w:rsidR="00BC55A7" w:rsidRPr="00BC55A7" w:rsidRDefault="00BB4640" w:rsidP="00D4742C">
      <w:pPr>
        <w:pStyle w:val="ListParagraph"/>
        <w:numPr>
          <w:ilvl w:val="0"/>
          <w:numId w:val="11"/>
        </w:numPr>
        <w:rPr>
          <w:rFonts w:asciiTheme="minorHAnsi" w:hAnsiTheme="minorHAnsi" w:cstheme="minorHAnsi"/>
          <w:bCs/>
        </w:rPr>
      </w:pPr>
      <w:r>
        <w:rPr>
          <w:rFonts w:asciiTheme="minorHAnsi" w:hAnsiTheme="minorHAnsi" w:cstheme="minorHAnsi"/>
          <w:bCs/>
          <w:sz w:val="24"/>
          <w:szCs w:val="24"/>
        </w:rPr>
        <w:t>Seventeen</w:t>
      </w:r>
      <w:r w:rsidR="00BC55A7" w:rsidRPr="00BC55A7">
        <w:rPr>
          <w:rFonts w:asciiTheme="minorHAnsi" w:hAnsiTheme="minorHAnsi" w:cstheme="minorHAnsi"/>
          <w:bCs/>
          <w:sz w:val="24"/>
          <w:szCs w:val="24"/>
        </w:rPr>
        <w:t xml:space="preserve"> (</w:t>
      </w:r>
      <w:r w:rsidR="00612473">
        <w:rPr>
          <w:rFonts w:asciiTheme="minorHAnsi" w:hAnsiTheme="minorHAnsi" w:cstheme="minorHAnsi"/>
          <w:bCs/>
          <w:sz w:val="24"/>
          <w:szCs w:val="24"/>
        </w:rPr>
        <w:t>1</w:t>
      </w:r>
      <w:r>
        <w:rPr>
          <w:rFonts w:asciiTheme="minorHAnsi" w:hAnsiTheme="minorHAnsi" w:cstheme="minorHAnsi"/>
          <w:bCs/>
          <w:sz w:val="24"/>
          <w:szCs w:val="24"/>
        </w:rPr>
        <w:t>7</w:t>
      </w:r>
      <w:r w:rsidR="00BC55A7" w:rsidRPr="00BC55A7">
        <w:rPr>
          <w:rFonts w:asciiTheme="minorHAnsi" w:hAnsiTheme="minorHAnsi" w:cstheme="minorHAnsi"/>
          <w:bCs/>
          <w:sz w:val="24"/>
          <w:szCs w:val="24"/>
        </w:rPr>
        <w:t>) fatality case files</w:t>
      </w:r>
    </w:p>
    <w:p w14:paraId="7464BB0A" w14:textId="49C8D09A" w:rsidR="00BC55A7" w:rsidRPr="00BC55A7" w:rsidRDefault="00612473" w:rsidP="00D4742C">
      <w:pPr>
        <w:pStyle w:val="ListParagraph"/>
        <w:numPr>
          <w:ilvl w:val="0"/>
          <w:numId w:val="11"/>
        </w:numPr>
        <w:rPr>
          <w:rFonts w:asciiTheme="minorHAnsi" w:hAnsiTheme="minorHAnsi" w:cstheme="minorHAnsi"/>
          <w:bCs/>
        </w:rPr>
      </w:pPr>
      <w:r>
        <w:rPr>
          <w:rFonts w:asciiTheme="minorHAnsi" w:hAnsiTheme="minorHAnsi" w:cstheme="minorHAnsi"/>
          <w:bCs/>
          <w:sz w:val="24"/>
          <w:szCs w:val="24"/>
        </w:rPr>
        <w:t>Twenty-four</w:t>
      </w:r>
      <w:r w:rsidR="00BC55A7" w:rsidRPr="00BC55A7">
        <w:rPr>
          <w:rFonts w:asciiTheme="minorHAnsi" w:hAnsiTheme="minorHAnsi" w:cstheme="minorHAnsi"/>
          <w:bCs/>
          <w:sz w:val="24"/>
          <w:szCs w:val="24"/>
        </w:rPr>
        <w:t xml:space="preserve"> (2</w:t>
      </w:r>
      <w:r>
        <w:rPr>
          <w:rFonts w:asciiTheme="minorHAnsi" w:hAnsiTheme="minorHAnsi" w:cstheme="minorHAnsi"/>
          <w:bCs/>
          <w:sz w:val="24"/>
          <w:szCs w:val="24"/>
        </w:rPr>
        <w:t>4</w:t>
      </w:r>
      <w:r w:rsidR="00BC55A7" w:rsidRPr="00BC55A7">
        <w:rPr>
          <w:rFonts w:asciiTheme="minorHAnsi" w:hAnsiTheme="minorHAnsi" w:cstheme="minorHAnsi"/>
          <w:bCs/>
          <w:sz w:val="24"/>
          <w:szCs w:val="24"/>
        </w:rPr>
        <w:t>) complaint and referral investigation files</w:t>
      </w:r>
    </w:p>
    <w:p w14:paraId="57687700" w14:textId="556BF517" w:rsidR="00BC55A7" w:rsidRPr="00BC55A7" w:rsidRDefault="00AA6793" w:rsidP="00D4742C">
      <w:pPr>
        <w:pStyle w:val="ListParagraph"/>
        <w:numPr>
          <w:ilvl w:val="0"/>
          <w:numId w:val="11"/>
        </w:numPr>
        <w:rPr>
          <w:rFonts w:asciiTheme="minorHAnsi" w:hAnsiTheme="minorHAnsi" w:cstheme="minorHAnsi"/>
          <w:bCs/>
        </w:rPr>
      </w:pPr>
      <w:r w:rsidRPr="00AA6793">
        <w:rPr>
          <w:rFonts w:asciiTheme="minorHAnsi" w:hAnsiTheme="minorHAnsi" w:cstheme="minorHAnsi"/>
          <w:bCs/>
          <w:sz w:val="24"/>
          <w:szCs w:val="24"/>
        </w:rPr>
        <w:t>Fifty-six</w:t>
      </w:r>
      <w:r w:rsidR="00BC55A7" w:rsidRPr="00AA6793">
        <w:rPr>
          <w:rFonts w:asciiTheme="minorHAnsi" w:hAnsiTheme="minorHAnsi" w:cstheme="minorHAnsi"/>
          <w:bCs/>
          <w:sz w:val="24"/>
          <w:szCs w:val="24"/>
        </w:rPr>
        <w:t xml:space="preserve"> (</w:t>
      </w:r>
      <w:r w:rsidRPr="00AA6793">
        <w:rPr>
          <w:rFonts w:asciiTheme="minorHAnsi" w:hAnsiTheme="minorHAnsi" w:cstheme="minorHAnsi"/>
          <w:bCs/>
          <w:sz w:val="24"/>
          <w:szCs w:val="24"/>
        </w:rPr>
        <w:t>56</w:t>
      </w:r>
      <w:r w:rsidR="00BC55A7" w:rsidRPr="00AA6793">
        <w:rPr>
          <w:rFonts w:asciiTheme="minorHAnsi" w:hAnsiTheme="minorHAnsi" w:cstheme="minorHAnsi"/>
          <w:bCs/>
          <w:sz w:val="24"/>
          <w:szCs w:val="24"/>
        </w:rPr>
        <w:t>) Construction</w:t>
      </w:r>
      <w:r w:rsidR="00BC55A7" w:rsidRPr="00BC55A7">
        <w:rPr>
          <w:rFonts w:asciiTheme="minorHAnsi" w:hAnsiTheme="minorHAnsi" w:cstheme="minorHAnsi"/>
          <w:bCs/>
          <w:sz w:val="24"/>
          <w:szCs w:val="24"/>
        </w:rPr>
        <w:t>/General Industry safety and health case files</w:t>
      </w:r>
    </w:p>
    <w:p w14:paraId="5DAA2B51" w14:textId="4C8D61C2" w:rsidR="00BC55A7" w:rsidRPr="00BC55A7" w:rsidRDefault="00612473" w:rsidP="00D4742C">
      <w:pPr>
        <w:pStyle w:val="ListParagraph"/>
        <w:numPr>
          <w:ilvl w:val="0"/>
          <w:numId w:val="11"/>
        </w:numPr>
        <w:rPr>
          <w:rFonts w:asciiTheme="minorHAnsi" w:hAnsiTheme="minorHAnsi" w:cstheme="minorHAnsi"/>
          <w:bCs/>
        </w:rPr>
      </w:pPr>
      <w:r>
        <w:rPr>
          <w:rFonts w:asciiTheme="minorHAnsi" w:hAnsiTheme="minorHAnsi" w:cstheme="minorHAnsi"/>
          <w:bCs/>
          <w:sz w:val="24"/>
          <w:szCs w:val="24"/>
        </w:rPr>
        <w:t>Four</w:t>
      </w:r>
      <w:r w:rsidR="00BC55A7" w:rsidRPr="00BC55A7">
        <w:rPr>
          <w:rFonts w:asciiTheme="minorHAnsi" w:hAnsiTheme="minorHAnsi" w:cstheme="minorHAnsi"/>
          <w:bCs/>
          <w:sz w:val="24"/>
          <w:szCs w:val="24"/>
        </w:rPr>
        <w:t xml:space="preserve"> (</w:t>
      </w:r>
      <w:r>
        <w:rPr>
          <w:rFonts w:asciiTheme="minorHAnsi" w:hAnsiTheme="minorHAnsi" w:cstheme="minorHAnsi"/>
          <w:bCs/>
          <w:sz w:val="24"/>
          <w:szCs w:val="24"/>
        </w:rPr>
        <w:t>4</w:t>
      </w:r>
      <w:r w:rsidR="00BC55A7" w:rsidRPr="00BC55A7">
        <w:rPr>
          <w:rFonts w:asciiTheme="minorHAnsi" w:hAnsiTheme="minorHAnsi" w:cstheme="minorHAnsi"/>
          <w:bCs/>
          <w:sz w:val="24"/>
          <w:szCs w:val="24"/>
        </w:rPr>
        <w:t xml:space="preserve">) Agriculture Safety and Health case files </w:t>
      </w:r>
    </w:p>
    <w:p w14:paraId="644CA6FA" w14:textId="5FDF1044" w:rsidR="00BC55A7" w:rsidRPr="00BC55A7" w:rsidRDefault="00612473" w:rsidP="00D4742C">
      <w:pPr>
        <w:pStyle w:val="ListParagraph"/>
        <w:numPr>
          <w:ilvl w:val="0"/>
          <w:numId w:val="11"/>
        </w:numPr>
        <w:rPr>
          <w:rFonts w:asciiTheme="minorHAnsi" w:hAnsiTheme="minorHAnsi" w:cstheme="minorHAnsi"/>
          <w:bCs/>
        </w:rPr>
      </w:pPr>
      <w:r>
        <w:rPr>
          <w:rFonts w:asciiTheme="minorHAnsi" w:hAnsiTheme="minorHAnsi" w:cstheme="minorHAnsi"/>
          <w:bCs/>
          <w:sz w:val="24"/>
          <w:szCs w:val="24"/>
        </w:rPr>
        <w:t>Twenty-five</w:t>
      </w:r>
      <w:r w:rsidR="00BC55A7" w:rsidRPr="00BC55A7">
        <w:rPr>
          <w:rFonts w:asciiTheme="minorHAnsi" w:hAnsiTheme="minorHAnsi" w:cstheme="minorHAnsi"/>
          <w:bCs/>
          <w:sz w:val="24"/>
          <w:szCs w:val="24"/>
        </w:rPr>
        <w:t xml:space="preserve"> (</w:t>
      </w:r>
      <w:r>
        <w:rPr>
          <w:rFonts w:asciiTheme="minorHAnsi" w:hAnsiTheme="minorHAnsi" w:cstheme="minorHAnsi"/>
          <w:bCs/>
          <w:sz w:val="24"/>
          <w:szCs w:val="24"/>
        </w:rPr>
        <w:t>2</w:t>
      </w:r>
      <w:r w:rsidR="00BC55A7" w:rsidRPr="00BC55A7">
        <w:rPr>
          <w:rFonts w:asciiTheme="minorHAnsi" w:hAnsiTheme="minorHAnsi" w:cstheme="minorHAnsi"/>
          <w:bCs/>
          <w:sz w:val="24"/>
          <w:szCs w:val="24"/>
        </w:rPr>
        <w:t>5) closed whistleblower case files</w:t>
      </w:r>
    </w:p>
    <w:p w14:paraId="6BAEBBE1" w14:textId="184CDE05" w:rsidR="00BC55A7" w:rsidRPr="00BC55A7" w:rsidRDefault="00612473" w:rsidP="00D4742C">
      <w:pPr>
        <w:pStyle w:val="ListParagraph"/>
        <w:numPr>
          <w:ilvl w:val="0"/>
          <w:numId w:val="11"/>
        </w:numPr>
        <w:rPr>
          <w:rFonts w:asciiTheme="minorHAnsi" w:hAnsiTheme="minorHAnsi" w:cstheme="minorHAnsi"/>
          <w:bCs/>
        </w:rPr>
      </w:pPr>
      <w:r>
        <w:rPr>
          <w:rFonts w:asciiTheme="minorHAnsi" w:hAnsiTheme="minorHAnsi" w:cstheme="minorHAnsi"/>
          <w:bCs/>
          <w:sz w:val="24"/>
          <w:szCs w:val="24"/>
        </w:rPr>
        <w:t>Five</w:t>
      </w:r>
      <w:r w:rsidR="00BC55A7" w:rsidRPr="00BC55A7">
        <w:rPr>
          <w:rFonts w:asciiTheme="minorHAnsi" w:hAnsiTheme="minorHAnsi" w:cstheme="minorHAnsi"/>
          <w:bCs/>
          <w:sz w:val="24"/>
          <w:szCs w:val="24"/>
        </w:rPr>
        <w:t xml:space="preserve"> (</w:t>
      </w:r>
      <w:r>
        <w:rPr>
          <w:rFonts w:asciiTheme="minorHAnsi" w:hAnsiTheme="minorHAnsi" w:cstheme="minorHAnsi"/>
          <w:bCs/>
          <w:sz w:val="24"/>
          <w:szCs w:val="24"/>
        </w:rPr>
        <w:t>5</w:t>
      </w:r>
      <w:r w:rsidR="00BC55A7" w:rsidRPr="00BC55A7">
        <w:rPr>
          <w:rFonts w:asciiTheme="minorHAnsi" w:hAnsiTheme="minorHAnsi" w:cstheme="minorHAnsi"/>
          <w:bCs/>
          <w:sz w:val="24"/>
          <w:szCs w:val="24"/>
        </w:rPr>
        <w:t xml:space="preserve">) Public Sector Consultation files </w:t>
      </w:r>
    </w:p>
    <w:p w14:paraId="7F9902D2" w14:textId="77777777" w:rsidR="00E1696A" w:rsidRPr="0064166B" w:rsidRDefault="00E1696A" w:rsidP="00571D17">
      <w:pPr>
        <w:widowControl/>
        <w:autoSpaceDE/>
        <w:autoSpaceDN/>
        <w:adjustRightInd/>
        <w:rPr>
          <w:rFonts w:asciiTheme="minorHAnsi" w:hAnsiTheme="minorHAnsi" w:cstheme="minorHAnsi"/>
          <w:bCs/>
        </w:rPr>
      </w:pPr>
      <w:r w:rsidRPr="0064166B">
        <w:rPr>
          <w:rFonts w:asciiTheme="minorHAnsi" w:hAnsiTheme="minorHAnsi" w:cstheme="minorHAnsi"/>
          <w:bCs/>
        </w:rPr>
        <w:t>The analyses and conclusions described in this report are based on information obtained from a variety of monitoring sources, including the:</w:t>
      </w:r>
    </w:p>
    <w:p w14:paraId="2C0E3C62" w14:textId="77777777" w:rsidR="00E1696A" w:rsidRPr="0064166B" w:rsidRDefault="00E1696A" w:rsidP="00571D17">
      <w:pPr>
        <w:widowControl/>
        <w:autoSpaceDE/>
        <w:autoSpaceDN/>
        <w:adjustRightInd/>
        <w:rPr>
          <w:rFonts w:asciiTheme="minorHAnsi" w:hAnsiTheme="minorHAnsi" w:cstheme="minorHAnsi"/>
          <w:bCs/>
        </w:rPr>
      </w:pPr>
    </w:p>
    <w:p w14:paraId="392F4C73" w14:textId="62BA7251"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State Activity Mandated Measures </w:t>
      </w:r>
      <w:r w:rsidR="003D4CC4" w:rsidRPr="0064166B">
        <w:rPr>
          <w:rFonts w:asciiTheme="minorHAnsi" w:hAnsiTheme="minorHAnsi" w:cstheme="minorHAnsi"/>
          <w:bCs/>
          <w:sz w:val="24"/>
          <w:szCs w:val="24"/>
        </w:rPr>
        <w:t xml:space="preserve">(SAMM) </w:t>
      </w:r>
      <w:r w:rsidRPr="0064166B">
        <w:rPr>
          <w:rFonts w:asciiTheme="minorHAnsi" w:hAnsiTheme="minorHAnsi" w:cstheme="minorHAnsi"/>
          <w:bCs/>
          <w:sz w:val="24"/>
          <w:szCs w:val="24"/>
        </w:rPr>
        <w:t>Report (Appendix D)</w:t>
      </w:r>
    </w:p>
    <w:p w14:paraId="6694B13D" w14:textId="51826C49" w:rsidR="00E1696A" w:rsidRPr="0064166B" w:rsidRDefault="00E1696A" w:rsidP="00D4742C">
      <w:pPr>
        <w:pStyle w:val="ListParagraph"/>
        <w:numPr>
          <w:ilvl w:val="0"/>
          <w:numId w:val="10"/>
        </w:numPr>
        <w:spacing w:line="240" w:lineRule="auto"/>
        <w:ind w:left="900"/>
        <w:rPr>
          <w:rFonts w:asciiTheme="minorHAnsi" w:hAnsiTheme="minorHAnsi" w:cstheme="minorHAnsi"/>
          <w:sz w:val="24"/>
          <w:szCs w:val="24"/>
        </w:rPr>
      </w:pPr>
      <w:r w:rsidRPr="0064166B">
        <w:rPr>
          <w:rFonts w:asciiTheme="minorHAnsi" w:hAnsiTheme="minorHAnsi" w:cstheme="minorHAnsi"/>
          <w:sz w:val="24"/>
          <w:szCs w:val="24"/>
        </w:rPr>
        <w:t xml:space="preserve">State Information Report </w:t>
      </w:r>
      <w:r w:rsidR="00E71308" w:rsidRPr="0064166B">
        <w:rPr>
          <w:rFonts w:asciiTheme="minorHAnsi" w:hAnsiTheme="minorHAnsi" w:cstheme="minorHAnsi"/>
          <w:sz w:val="24"/>
          <w:szCs w:val="24"/>
        </w:rPr>
        <w:t>(SIR)</w:t>
      </w:r>
    </w:p>
    <w:p w14:paraId="71606CB7" w14:textId="47A97EBA"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Mandated Activities Report for Consultation </w:t>
      </w:r>
      <w:r w:rsidR="00E71308" w:rsidRPr="0064166B">
        <w:rPr>
          <w:rFonts w:asciiTheme="minorHAnsi" w:hAnsiTheme="minorHAnsi" w:cstheme="minorHAnsi"/>
          <w:bCs/>
          <w:sz w:val="24"/>
          <w:szCs w:val="24"/>
        </w:rPr>
        <w:t>(MARC)</w:t>
      </w:r>
    </w:p>
    <w:p w14:paraId="1B37967A" w14:textId="01DCA2FD"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State OSHA Annual Report </w:t>
      </w:r>
      <w:r w:rsidR="00E71308" w:rsidRPr="0064166B">
        <w:rPr>
          <w:rFonts w:asciiTheme="minorHAnsi" w:hAnsiTheme="minorHAnsi" w:cstheme="minorHAnsi"/>
          <w:bCs/>
          <w:sz w:val="24"/>
          <w:szCs w:val="24"/>
        </w:rPr>
        <w:t>(SOAR)</w:t>
      </w:r>
    </w:p>
    <w:p w14:paraId="3E9492AC" w14:textId="0A8C8A93"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State Plan Annual Performance Plan</w:t>
      </w:r>
      <w:r w:rsidR="00E71308" w:rsidRPr="0064166B">
        <w:rPr>
          <w:rFonts w:asciiTheme="minorHAnsi" w:hAnsiTheme="minorHAnsi" w:cstheme="minorHAnsi"/>
          <w:bCs/>
          <w:sz w:val="24"/>
          <w:szCs w:val="24"/>
        </w:rPr>
        <w:t xml:space="preserve"> (APP)</w:t>
      </w:r>
    </w:p>
    <w:p w14:paraId="64CBADD8" w14:textId="33986A94"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lastRenderedPageBreak/>
        <w:t xml:space="preserve">State Plan </w:t>
      </w:r>
      <w:r w:rsidR="003D4CC4" w:rsidRPr="0064166B">
        <w:rPr>
          <w:rFonts w:asciiTheme="minorHAnsi" w:hAnsiTheme="minorHAnsi" w:cstheme="minorHAnsi"/>
          <w:bCs/>
          <w:sz w:val="24"/>
          <w:szCs w:val="24"/>
        </w:rPr>
        <w:t xml:space="preserve">23(g) </w:t>
      </w:r>
      <w:r w:rsidRPr="0064166B">
        <w:rPr>
          <w:rFonts w:asciiTheme="minorHAnsi" w:hAnsiTheme="minorHAnsi" w:cstheme="minorHAnsi"/>
          <w:bCs/>
          <w:sz w:val="24"/>
          <w:szCs w:val="24"/>
        </w:rPr>
        <w:t xml:space="preserve">Grant Application </w:t>
      </w:r>
    </w:p>
    <w:p w14:paraId="74D91DBE" w14:textId="77777777"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Quarterly monitoring meetings between OSHA and the State Plan</w:t>
      </w:r>
    </w:p>
    <w:p w14:paraId="4856FFE7" w14:textId="77777777" w:rsidR="00E1696A" w:rsidRPr="0064166B" w:rsidRDefault="00E1696A" w:rsidP="00D4742C">
      <w:pPr>
        <w:pStyle w:val="ListParagraph"/>
        <w:numPr>
          <w:ilvl w:val="0"/>
          <w:numId w:val="10"/>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Limited </w:t>
      </w:r>
      <w:r w:rsidRPr="0064166B">
        <w:rPr>
          <w:rFonts w:asciiTheme="minorHAnsi" w:hAnsiTheme="minorHAnsi" w:cstheme="minorHAnsi"/>
          <w:bCs/>
          <w:i/>
          <w:sz w:val="24"/>
          <w:szCs w:val="24"/>
        </w:rPr>
        <w:t xml:space="preserve">(or full) </w:t>
      </w:r>
      <w:r w:rsidRPr="0064166B">
        <w:rPr>
          <w:rFonts w:asciiTheme="minorHAnsi" w:hAnsiTheme="minorHAnsi" w:cstheme="minorHAnsi"/>
          <w:bCs/>
          <w:sz w:val="24"/>
          <w:szCs w:val="24"/>
        </w:rPr>
        <w:t>case file review</w:t>
      </w:r>
    </w:p>
    <w:p w14:paraId="4CA420C0" w14:textId="3FCC2AB1" w:rsidR="00E1696A" w:rsidRPr="0064166B" w:rsidRDefault="00E1696A" w:rsidP="00571D17">
      <w:pPr>
        <w:tabs>
          <w:tab w:val="left" w:pos="0"/>
        </w:tabs>
        <w:rPr>
          <w:rFonts w:asciiTheme="minorHAnsi" w:hAnsiTheme="minorHAnsi" w:cstheme="minorHAnsi"/>
        </w:rPr>
      </w:pPr>
      <w:r w:rsidRPr="0064166B">
        <w:rPr>
          <w:rFonts w:asciiTheme="minorHAnsi" w:hAnsiTheme="minorHAnsi" w:cstheme="minorHAnsi"/>
        </w:rPr>
        <w:t xml:space="preserve">Each </w:t>
      </w:r>
      <w:r w:rsidRPr="0064166B">
        <w:rPr>
          <w:rFonts w:asciiTheme="minorHAnsi" w:hAnsiTheme="minorHAnsi" w:cstheme="minorHAnsi"/>
          <w:bCs/>
        </w:rPr>
        <w:t>State Activity Mandated Measures (</w:t>
      </w:r>
      <w:r w:rsidRPr="0064166B">
        <w:rPr>
          <w:rFonts w:asciiTheme="minorHAnsi" w:hAnsiTheme="minorHAnsi" w:cstheme="minorHAnsi"/>
        </w:rPr>
        <w:t xml:space="preserve">SAMM) </w:t>
      </w:r>
      <w:r w:rsidRPr="0064166B">
        <w:rPr>
          <w:rFonts w:asciiTheme="minorHAnsi" w:hAnsiTheme="minorHAnsi" w:cstheme="minorHAnsi"/>
          <w:bCs/>
        </w:rPr>
        <w:t xml:space="preserve">Report </w:t>
      </w:r>
      <w:r w:rsidRPr="0064166B">
        <w:rPr>
          <w:rFonts w:asciiTheme="minorHAnsi" w:hAnsiTheme="minorHAnsi" w:cstheme="minorHAnsi"/>
        </w:rPr>
        <w:t xml:space="preserve">has an agreed-upon Further Review Level (FRL) which can be either a single number, or a range of numbers above and below the national average.  State Plan SAMM data that falls outside the FRL triggers a closer look at the underlying performance of the mandatory activity. </w:t>
      </w:r>
      <w:r w:rsidRPr="00E71308">
        <w:rPr>
          <w:rFonts w:asciiTheme="minorHAnsi" w:hAnsiTheme="minorHAnsi" w:cstheme="minorHAnsi"/>
          <w:color w:val="0070C0"/>
        </w:rPr>
        <w:t xml:space="preserve"> </w:t>
      </w:r>
      <w:r w:rsidRPr="0064166B">
        <w:rPr>
          <w:rFonts w:asciiTheme="minorHAnsi" w:hAnsiTheme="minorHAnsi" w:cstheme="minorHAnsi"/>
        </w:rPr>
        <w:t xml:space="preserve">Appendix D presents the State Plan’s FY </w:t>
      </w:r>
      <w:r w:rsidRPr="00B4710E">
        <w:rPr>
          <w:rFonts w:asciiTheme="minorHAnsi" w:hAnsiTheme="minorHAnsi" w:cstheme="minorHAnsi"/>
        </w:rPr>
        <w:t>20</w:t>
      </w:r>
      <w:r w:rsidR="00B4710E" w:rsidRPr="00B4710E">
        <w:rPr>
          <w:rFonts w:asciiTheme="minorHAnsi" w:hAnsiTheme="minorHAnsi" w:cstheme="minorHAnsi"/>
        </w:rPr>
        <w:t>25</w:t>
      </w:r>
      <w:r w:rsidRPr="00B4710E">
        <w:rPr>
          <w:rFonts w:asciiTheme="minorHAnsi" w:hAnsiTheme="minorHAnsi" w:cstheme="minorHAnsi"/>
        </w:rPr>
        <w:t xml:space="preserve"> State </w:t>
      </w:r>
      <w:r w:rsidRPr="0064166B">
        <w:rPr>
          <w:rFonts w:asciiTheme="minorHAnsi" w:hAnsiTheme="minorHAnsi" w:cstheme="minorHAnsi"/>
        </w:rPr>
        <w:t>Activity Mandated Measures Report and includes the FRL for each measure.</w:t>
      </w:r>
    </w:p>
    <w:p w14:paraId="7D5B8B9B" w14:textId="77777777" w:rsidR="00FB1949" w:rsidRPr="00E1696A" w:rsidRDefault="00FB1949" w:rsidP="00571D17">
      <w:pPr>
        <w:widowControl/>
        <w:autoSpaceDE/>
        <w:autoSpaceDN/>
        <w:adjustRightInd/>
        <w:rPr>
          <w:rFonts w:asciiTheme="minorHAnsi" w:hAnsiTheme="minorHAnsi" w:cstheme="minorHAnsi"/>
          <w:bCs/>
          <w:iCs/>
        </w:rPr>
      </w:pPr>
    </w:p>
    <w:p w14:paraId="1743D11B" w14:textId="77777777" w:rsidR="005A02B8" w:rsidRDefault="005A02B8" w:rsidP="00D4742C">
      <w:pPr>
        <w:pStyle w:val="ListParagraph"/>
        <w:numPr>
          <w:ilvl w:val="0"/>
          <w:numId w:val="9"/>
        </w:numPr>
        <w:tabs>
          <w:tab w:val="left" w:pos="360"/>
        </w:tabs>
        <w:spacing w:after="0" w:line="240" w:lineRule="auto"/>
        <w:ind w:left="360"/>
        <w:rPr>
          <w:rFonts w:asciiTheme="minorHAnsi" w:hAnsiTheme="minorHAnsi" w:cstheme="minorHAnsi"/>
          <w:b/>
          <w:sz w:val="24"/>
          <w:szCs w:val="24"/>
        </w:rPr>
      </w:pPr>
      <w:r w:rsidRPr="0081725F">
        <w:rPr>
          <w:rFonts w:asciiTheme="minorHAnsi" w:hAnsiTheme="minorHAnsi" w:cstheme="minorHAnsi"/>
          <w:b/>
          <w:sz w:val="24"/>
          <w:szCs w:val="24"/>
        </w:rPr>
        <w:t xml:space="preserve">Review of State Plan Performance </w:t>
      </w:r>
    </w:p>
    <w:p w14:paraId="5C4652AE" w14:textId="77777777" w:rsidR="005D1101" w:rsidRPr="0081725F" w:rsidRDefault="005D1101" w:rsidP="007B74E6">
      <w:pPr>
        <w:pStyle w:val="NormalWeb"/>
        <w:rPr>
          <w:rFonts w:asciiTheme="minorHAnsi" w:eastAsia="Calibri" w:hAnsiTheme="minorHAnsi" w:cstheme="minorHAnsi"/>
          <w:color w:val="FF0000"/>
        </w:rPr>
      </w:pPr>
    </w:p>
    <w:p w14:paraId="27D9C5BD" w14:textId="77777777" w:rsidR="00782EEC" w:rsidRPr="0081725F" w:rsidRDefault="005A02B8" w:rsidP="00356D71">
      <w:pPr>
        <w:tabs>
          <w:tab w:val="left" w:pos="900"/>
        </w:tabs>
        <w:ind w:left="900" w:hanging="540"/>
        <w:rPr>
          <w:rFonts w:asciiTheme="minorHAnsi" w:hAnsiTheme="minorHAnsi" w:cstheme="minorHAnsi"/>
          <w:b/>
          <w:caps/>
        </w:rPr>
      </w:pPr>
      <w:r w:rsidRPr="0081725F">
        <w:rPr>
          <w:rFonts w:asciiTheme="minorHAnsi" w:hAnsiTheme="minorHAnsi" w:cstheme="minorHAnsi"/>
          <w:b/>
          <w:caps/>
        </w:rPr>
        <w:t xml:space="preserve">1. </w:t>
      </w:r>
      <w:r w:rsidRPr="0081725F">
        <w:rPr>
          <w:rFonts w:asciiTheme="minorHAnsi" w:hAnsiTheme="minorHAnsi" w:cstheme="minorHAnsi"/>
          <w:b/>
          <w:caps/>
        </w:rPr>
        <w:tab/>
      </w:r>
      <w:r w:rsidR="00782EEC" w:rsidRPr="0081725F">
        <w:rPr>
          <w:rFonts w:asciiTheme="minorHAnsi" w:hAnsiTheme="minorHAnsi" w:cstheme="minorHAnsi"/>
          <w:b/>
          <w:caps/>
        </w:rPr>
        <w:t>PROGRAM Administration</w:t>
      </w:r>
    </w:p>
    <w:p w14:paraId="2EAD60CD" w14:textId="77777777" w:rsidR="00C71B50" w:rsidRPr="0081725F" w:rsidRDefault="00C71B50" w:rsidP="00356D71">
      <w:pPr>
        <w:tabs>
          <w:tab w:val="left" w:pos="900"/>
        </w:tabs>
        <w:ind w:left="900" w:hanging="540"/>
        <w:rPr>
          <w:rFonts w:asciiTheme="minorHAnsi" w:hAnsiTheme="minorHAnsi" w:cstheme="minorHAnsi"/>
          <w:b/>
          <w:caps/>
        </w:rPr>
      </w:pPr>
    </w:p>
    <w:p w14:paraId="50AF061B" w14:textId="4253E8FD" w:rsidR="00A55FF5" w:rsidRPr="00A55FF5" w:rsidRDefault="00782EEC" w:rsidP="002B5E96">
      <w:pPr>
        <w:pStyle w:val="ListParagraph"/>
        <w:numPr>
          <w:ilvl w:val="0"/>
          <w:numId w:val="5"/>
        </w:numPr>
        <w:spacing w:after="0"/>
        <w:ind w:left="1260"/>
        <w:rPr>
          <w:sz w:val="24"/>
          <w:szCs w:val="24"/>
        </w:rPr>
      </w:pPr>
      <w:r w:rsidRPr="00A55FF5">
        <w:rPr>
          <w:rFonts w:asciiTheme="minorHAnsi" w:hAnsiTheme="minorHAnsi" w:cstheme="minorHAnsi"/>
          <w:sz w:val="24"/>
          <w:szCs w:val="24"/>
        </w:rPr>
        <w:t xml:space="preserve">Training </w:t>
      </w:r>
    </w:p>
    <w:p w14:paraId="7E798974" w14:textId="77777777" w:rsidR="00A55FF5" w:rsidRPr="00A55FF5" w:rsidRDefault="00A55FF5" w:rsidP="00A55FF5">
      <w:pPr>
        <w:ind w:left="1260"/>
        <w:rPr>
          <w:rFonts w:asciiTheme="minorHAnsi" w:hAnsiTheme="minorHAnsi" w:cstheme="minorHAnsi"/>
        </w:rPr>
      </w:pPr>
    </w:p>
    <w:p w14:paraId="737A4DAA" w14:textId="19FF9DF4" w:rsidR="001A2307" w:rsidRPr="00740A97" w:rsidRDefault="001A2307" w:rsidP="001A2307">
      <w:pPr>
        <w:ind w:left="1260"/>
        <w:rPr>
          <w:rFonts w:asciiTheme="minorHAnsi" w:hAnsiTheme="minorHAnsi" w:cstheme="minorHAnsi"/>
        </w:rPr>
      </w:pPr>
      <w:r w:rsidRPr="00740A97">
        <w:rPr>
          <w:rFonts w:asciiTheme="minorHAnsi" w:hAnsiTheme="minorHAnsi" w:cstheme="minorHAnsi"/>
        </w:rPr>
        <w:t>During FY</w:t>
      </w:r>
      <w:r w:rsidR="00C7100A" w:rsidRPr="00740A97">
        <w:rPr>
          <w:rFonts w:asciiTheme="minorHAnsi" w:hAnsiTheme="minorHAnsi" w:cstheme="minorHAnsi"/>
        </w:rPr>
        <w:t xml:space="preserve"> </w:t>
      </w:r>
      <w:r w:rsidRPr="00740A97">
        <w:rPr>
          <w:rFonts w:asciiTheme="minorHAnsi" w:hAnsiTheme="minorHAnsi" w:cstheme="minorHAnsi"/>
        </w:rPr>
        <w:t xml:space="preserve">2025, OSHNC demonstrated a strong commitment to professional workforce development both internally and externally. </w:t>
      </w:r>
      <w:r w:rsidR="005F5DC9" w:rsidRPr="00740A97">
        <w:rPr>
          <w:rFonts w:asciiTheme="minorHAnsi" w:hAnsiTheme="minorHAnsi" w:cstheme="minorHAnsi"/>
        </w:rPr>
        <w:t xml:space="preserve"> </w:t>
      </w:r>
      <w:r w:rsidRPr="00740A97">
        <w:rPr>
          <w:rFonts w:asciiTheme="minorHAnsi" w:hAnsiTheme="minorHAnsi" w:cstheme="minorHAnsi"/>
        </w:rPr>
        <w:t>Internally, staff achieved 15 professional certifications, including two Certified Safety Professionals (CSP), two Certified Hazardous Materials Managers (CHMM), two Construction Health and Safety Technicians (CHST), one Occupational Health and Safety Technician (OHST), one Occupational Safety Construction Specialist (OCSS), and seven Manager of Environmental Safety and Health (MESH) credentials. </w:t>
      </w:r>
    </w:p>
    <w:p w14:paraId="00A5488F" w14:textId="77777777" w:rsidR="001A2307" w:rsidRPr="00740A97" w:rsidRDefault="001A2307" w:rsidP="001A2307">
      <w:pPr>
        <w:ind w:left="1260"/>
        <w:rPr>
          <w:rFonts w:asciiTheme="minorHAnsi" w:hAnsiTheme="minorHAnsi" w:cstheme="minorHAnsi"/>
        </w:rPr>
      </w:pPr>
    </w:p>
    <w:p w14:paraId="0B86A7AB" w14:textId="77777777" w:rsidR="00EF6CBE" w:rsidRPr="00740A97" w:rsidRDefault="006E0BB0" w:rsidP="00A55FF5">
      <w:pPr>
        <w:ind w:left="1260"/>
        <w:rPr>
          <w:rFonts w:asciiTheme="minorHAnsi" w:hAnsiTheme="minorHAnsi" w:cstheme="minorHAnsi"/>
        </w:rPr>
      </w:pPr>
      <w:r w:rsidRPr="00740A97">
        <w:rPr>
          <w:rFonts w:asciiTheme="minorHAnsi" w:hAnsiTheme="minorHAnsi" w:cstheme="minorHAnsi"/>
        </w:rPr>
        <w:t>Education, Training and Technical Assistance (</w:t>
      </w:r>
      <w:r w:rsidR="002B5E96" w:rsidRPr="00740A97">
        <w:rPr>
          <w:rFonts w:asciiTheme="minorHAnsi" w:hAnsiTheme="minorHAnsi" w:cstheme="minorHAnsi"/>
        </w:rPr>
        <w:t>ETTA</w:t>
      </w:r>
      <w:r w:rsidRPr="00740A97">
        <w:rPr>
          <w:rFonts w:asciiTheme="minorHAnsi" w:hAnsiTheme="minorHAnsi" w:cstheme="minorHAnsi"/>
        </w:rPr>
        <w:t>)</w:t>
      </w:r>
      <w:r w:rsidR="00C7100A" w:rsidRPr="00740A97">
        <w:rPr>
          <w:rFonts w:asciiTheme="minorHAnsi" w:hAnsiTheme="minorHAnsi" w:cstheme="minorHAnsi"/>
        </w:rPr>
        <w:t xml:space="preserve"> Bureau</w:t>
      </w:r>
      <w:r w:rsidR="002B5E96" w:rsidRPr="00740A97">
        <w:rPr>
          <w:rFonts w:asciiTheme="minorHAnsi" w:hAnsiTheme="minorHAnsi" w:cstheme="minorHAnsi"/>
        </w:rPr>
        <w:t xml:space="preserve"> hosted multiple continuing education courses, including</w:t>
      </w:r>
      <w:r w:rsidR="00EF6CBE" w:rsidRPr="00740A97">
        <w:rPr>
          <w:rFonts w:asciiTheme="minorHAnsi" w:hAnsiTheme="minorHAnsi" w:cstheme="minorHAnsi"/>
        </w:rPr>
        <w:t>:</w:t>
      </w:r>
    </w:p>
    <w:p w14:paraId="70CC6560" w14:textId="77777777" w:rsidR="00EF6CBE" w:rsidRPr="00740A97" w:rsidRDefault="00EF6CBE" w:rsidP="00A55FF5">
      <w:pPr>
        <w:ind w:left="1260"/>
        <w:rPr>
          <w:rFonts w:asciiTheme="minorHAnsi" w:hAnsiTheme="minorHAnsi" w:cstheme="minorHAnsi"/>
        </w:rPr>
      </w:pPr>
    </w:p>
    <w:p w14:paraId="34AEA404" w14:textId="77777777" w:rsidR="00C839AC" w:rsidRPr="00740A97" w:rsidRDefault="00EF6CBE" w:rsidP="00C839AC">
      <w:pPr>
        <w:pStyle w:val="ListParagraph"/>
        <w:numPr>
          <w:ilvl w:val="0"/>
          <w:numId w:val="16"/>
        </w:numPr>
        <w:rPr>
          <w:rFonts w:asciiTheme="minorHAnsi" w:hAnsiTheme="minorHAnsi" w:cstheme="minorHAnsi"/>
          <w:sz w:val="24"/>
          <w:szCs w:val="24"/>
        </w:rPr>
      </w:pPr>
      <w:r w:rsidRPr="00740A97">
        <w:rPr>
          <w:rFonts w:asciiTheme="minorHAnsi" w:hAnsiTheme="minorHAnsi" w:cstheme="minorHAnsi"/>
          <w:sz w:val="24"/>
          <w:szCs w:val="24"/>
        </w:rPr>
        <w:t>T</w:t>
      </w:r>
      <w:r w:rsidR="002B5E96" w:rsidRPr="00740A97">
        <w:rPr>
          <w:rFonts w:asciiTheme="minorHAnsi" w:hAnsiTheme="minorHAnsi" w:cstheme="minorHAnsi"/>
          <w:sz w:val="24"/>
          <w:szCs w:val="24"/>
        </w:rPr>
        <w:t xml:space="preserve">wo </w:t>
      </w:r>
      <w:r w:rsidR="00085EFD" w:rsidRPr="00740A97">
        <w:rPr>
          <w:rFonts w:asciiTheme="minorHAnsi" w:hAnsiTheme="minorHAnsi" w:cstheme="minorHAnsi"/>
          <w:sz w:val="24"/>
          <w:szCs w:val="24"/>
        </w:rPr>
        <w:t>OSH Construction Safety Specialist</w:t>
      </w:r>
      <w:r w:rsidR="004B19BB" w:rsidRPr="00740A97">
        <w:rPr>
          <w:rFonts w:asciiTheme="minorHAnsi" w:hAnsiTheme="minorHAnsi" w:cstheme="minorHAnsi"/>
          <w:sz w:val="24"/>
          <w:szCs w:val="24"/>
        </w:rPr>
        <w:t xml:space="preserve"> (OCSS) </w:t>
      </w:r>
      <w:r w:rsidR="002B5E96" w:rsidRPr="00740A97">
        <w:rPr>
          <w:rFonts w:asciiTheme="minorHAnsi" w:hAnsiTheme="minorHAnsi" w:cstheme="minorHAnsi"/>
          <w:sz w:val="24"/>
          <w:szCs w:val="24"/>
        </w:rPr>
        <w:t>modules were offered on excavation and trenching,</w:t>
      </w:r>
    </w:p>
    <w:p w14:paraId="00DDFD47" w14:textId="77777777" w:rsidR="00C839AC" w:rsidRPr="00740A97" w:rsidRDefault="00C839AC" w:rsidP="00C839AC">
      <w:pPr>
        <w:pStyle w:val="ListParagraph"/>
        <w:numPr>
          <w:ilvl w:val="0"/>
          <w:numId w:val="16"/>
        </w:numPr>
        <w:rPr>
          <w:rFonts w:asciiTheme="minorHAnsi" w:hAnsiTheme="minorHAnsi" w:cstheme="minorHAnsi"/>
          <w:sz w:val="24"/>
          <w:szCs w:val="24"/>
        </w:rPr>
      </w:pPr>
      <w:r w:rsidRPr="00740A97">
        <w:rPr>
          <w:rFonts w:asciiTheme="minorHAnsi" w:hAnsiTheme="minorHAnsi" w:cstheme="minorHAnsi"/>
          <w:sz w:val="24"/>
          <w:szCs w:val="24"/>
        </w:rPr>
        <w:t>T</w:t>
      </w:r>
      <w:r w:rsidR="002B5E96" w:rsidRPr="00740A97">
        <w:rPr>
          <w:rFonts w:asciiTheme="minorHAnsi" w:hAnsiTheme="minorHAnsi" w:cstheme="minorHAnsi"/>
          <w:sz w:val="24"/>
          <w:szCs w:val="24"/>
        </w:rPr>
        <w:t>hree OCSS Confined Space Entry</w:t>
      </w:r>
      <w:r w:rsidRPr="00740A97">
        <w:rPr>
          <w:rFonts w:asciiTheme="minorHAnsi" w:hAnsiTheme="minorHAnsi" w:cstheme="minorHAnsi"/>
          <w:sz w:val="24"/>
          <w:szCs w:val="24"/>
        </w:rPr>
        <w:t xml:space="preserve"> courses</w:t>
      </w:r>
      <w:r w:rsidR="002B5E96" w:rsidRPr="00740A97">
        <w:rPr>
          <w:rFonts w:asciiTheme="minorHAnsi" w:hAnsiTheme="minorHAnsi" w:cstheme="minorHAnsi"/>
          <w:sz w:val="24"/>
          <w:szCs w:val="24"/>
        </w:rPr>
        <w:t>,</w:t>
      </w:r>
    </w:p>
    <w:p w14:paraId="2F96F30E" w14:textId="4CF73CC6" w:rsidR="00C839AC" w:rsidRPr="00740A97" w:rsidRDefault="00C839AC" w:rsidP="00C839AC">
      <w:pPr>
        <w:pStyle w:val="ListParagraph"/>
        <w:numPr>
          <w:ilvl w:val="0"/>
          <w:numId w:val="16"/>
        </w:numPr>
        <w:rPr>
          <w:rFonts w:asciiTheme="minorHAnsi" w:hAnsiTheme="minorHAnsi" w:cstheme="minorHAnsi"/>
          <w:sz w:val="24"/>
          <w:szCs w:val="24"/>
        </w:rPr>
      </w:pPr>
      <w:r w:rsidRPr="00740A97">
        <w:rPr>
          <w:rFonts w:asciiTheme="minorHAnsi" w:hAnsiTheme="minorHAnsi" w:cstheme="minorHAnsi"/>
          <w:sz w:val="24"/>
          <w:szCs w:val="24"/>
        </w:rPr>
        <w:t xml:space="preserve">Multiple </w:t>
      </w:r>
      <w:r w:rsidR="002B5E96" w:rsidRPr="00740A97">
        <w:rPr>
          <w:rFonts w:asciiTheme="minorHAnsi" w:hAnsiTheme="minorHAnsi" w:cstheme="minorHAnsi"/>
          <w:sz w:val="24"/>
          <w:szCs w:val="24"/>
        </w:rPr>
        <w:t>OSHA Training Institute (OTI)</w:t>
      </w:r>
      <w:r w:rsidRPr="00740A97">
        <w:rPr>
          <w:rFonts w:asciiTheme="minorHAnsi" w:hAnsiTheme="minorHAnsi" w:cstheme="minorHAnsi"/>
          <w:sz w:val="24"/>
          <w:szCs w:val="24"/>
        </w:rPr>
        <w:t xml:space="preserve"> courses including-</w:t>
      </w:r>
      <w:r w:rsidR="002B5E96" w:rsidRPr="00740A97">
        <w:rPr>
          <w:rFonts w:asciiTheme="minorHAnsi" w:hAnsiTheme="minorHAnsi" w:cstheme="minorHAnsi"/>
          <w:sz w:val="24"/>
          <w:szCs w:val="24"/>
        </w:rPr>
        <w:t xml:space="preserve"> #3090 Electrical Standards Course, OTI # 3072 Safety and Health in Sawmill Operations, OTI # 3073 Safety and Health in Logging Operations </w:t>
      </w:r>
    </w:p>
    <w:p w14:paraId="3670C29A" w14:textId="562B0560" w:rsidR="00C153C0" w:rsidRPr="00740A97" w:rsidRDefault="00EB083B" w:rsidP="00C839AC">
      <w:pPr>
        <w:pStyle w:val="ListParagraph"/>
        <w:numPr>
          <w:ilvl w:val="0"/>
          <w:numId w:val="16"/>
        </w:numPr>
        <w:rPr>
          <w:rFonts w:asciiTheme="minorHAnsi" w:hAnsiTheme="minorHAnsi" w:cstheme="minorHAnsi"/>
          <w:sz w:val="24"/>
          <w:szCs w:val="24"/>
        </w:rPr>
      </w:pPr>
      <w:r w:rsidRPr="00740A97">
        <w:rPr>
          <w:rFonts w:asciiTheme="minorHAnsi" w:hAnsiTheme="minorHAnsi" w:cstheme="minorHAnsi"/>
          <w:sz w:val="24"/>
          <w:szCs w:val="24"/>
        </w:rPr>
        <w:t>A</w:t>
      </w:r>
      <w:r w:rsidR="00AA250E" w:rsidRPr="00740A97">
        <w:rPr>
          <w:rFonts w:asciiTheme="minorHAnsi" w:hAnsiTheme="minorHAnsi" w:cstheme="minorHAnsi"/>
          <w:sz w:val="24"/>
          <w:szCs w:val="24"/>
        </w:rPr>
        <w:t>d</w:t>
      </w:r>
      <w:r w:rsidRPr="00740A97">
        <w:rPr>
          <w:rFonts w:asciiTheme="minorHAnsi" w:hAnsiTheme="minorHAnsi" w:cstheme="minorHAnsi"/>
          <w:sz w:val="24"/>
          <w:szCs w:val="24"/>
        </w:rPr>
        <w:t>ditio</w:t>
      </w:r>
      <w:r w:rsidR="00AA250E" w:rsidRPr="00740A97">
        <w:rPr>
          <w:rFonts w:asciiTheme="minorHAnsi" w:hAnsiTheme="minorHAnsi" w:cstheme="minorHAnsi"/>
          <w:sz w:val="24"/>
          <w:szCs w:val="24"/>
        </w:rPr>
        <w:t>nal c</w:t>
      </w:r>
      <w:r w:rsidR="00C839AC" w:rsidRPr="00740A97">
        <w:rPr>
          <w:rFonts w:asciiTheme="minorHAnsi" w:hAnsiTheme="minorHAnsi" w:cstheme="minorHAnsi"/>
          <w:sz w:val="24"/>
          <w:szCs w:val="24"/>
        </w:rPr>
        <w:t xml:space="preserve">ourses </w:t>
      </w:r>
      <w:r w:rsidR="00AA250E" w:rsidRPr="00740A97">
        <w:rPr>
          <w:rFonts w:asciiTheme="minorHAnsi" w:hAnsiTheme="minorHAnsi" w:cstheme="minorHAnsi"/>
          <w:sz w:val="24"/>
          <w:szCs w:val="24"/>
        </w:rPr>
        <w:t xml:space="preserve">were offered </w:t>
      </w:r>
      <w:r w:rsidR="0095154C" w:rsidRPr="00740A97">
        <w:rPr>
          <w:rFonts w:asciiTheme="minorHAnsi" w:hAnsiTheme="minorHAnsi" w:cstheme="minorHAnsi"/>
          <w:sz w:val="24"/>
          <w:szCs w:val="24"/>
        </w:rPr>
        <w:t>on the following topics:</w:t>
      </w:r>
      <w:r w:rsidR="00C839AC" w:rsidRPr="00740A97">
        <w:rPr>
          <w:rFonts w:asciiTheme="minorHAnsi" w:hAnsiTheme="minorHAnsi" w:cstheme="minorHAnsi"/>
          <w:sz w:val="24"/>
          <w:szCs w:val="24"/>
        </w:rPr>
        <w:t xml:space="preserve"> </w:t>
      </w:r>
      <w:r w:rsidR="002B5E96" w:rsidRPr="00740A97">
        <w:rPr>
          <w:rFonts w:asciiTheme="minorHAnsi" w:hAnsiTheme="minorHAnsi" w:cstheme="minorHAnsi"/>
          <w:sz w:val="24"/>
          <w:szCs w:val="24"/>
        </w:rPr>
        <w:t>Significant Cases, 8-hour HAZWOPER Refresher, Machine Guarding, Lock-out/Tag-out, ASP/CSP Preparation, Arborist Safety, Fall Protection, Logging and Arboriculture SEP, Chainsaw Safety, Scaffolds, Steel Erection, Avian Flu, Beryllium, Silica, Noise, Respiratory Protection, Mental Health in Construction, Investigative Interviewing Techniques, Day in the Life of a General Contractor, Warehousing, Storage and Grocery SEP, Long Term Care SEP, Electrical Safety, Heat Stress, Powered Industrial Trucks and Recordkeeping.</w:t>
      </w:r>
    </w:p>
    <w:p w14:paraId="231205F9" w14:textId="5AF1EBEB" w:rsidR="00C153C0" w:rsidRPr="001A2307" w:rsidRDefault="00C153C0" w:rsidP="00C153C0">
      <w:pPr>
        <w:ind w:left="1260"/>
        <w:rPr>
          <w:rFonts w:asciiTheme="minorHAnsi" w:hAnsiTheme="minorHAnsi" w:cstheme="minorHAnsi"/>
        </w:rPr>
      </w:pPr>
      <w:r w:rsidRPr="001A2307">
        <w:rPr>
          <w:rFonts w:asciiTheme="minorHAnsi" w:hAnsiTheme="minorHAnsi" w:cstheme="minorHAnsi"/>
        </w:rPr>
        <w:t xml:space="preserve">Externally, OSHNC conducted extensive outreach and training across high-hazard industries through Special Emphasis Programs (SEPs), stand-downs, public forums, and targeted </w:t>
      </w:r>
      <w:r w:rsidRPr="001A2307">
        <w:rPr>
          <w:rFonts w:asciiTheme="minorHAnsi" w:hAnsiTheme="minorHAnsi" w:cstheme="minorHAnsi"/>
        </w:rPr>
        <w:lastRenderedPageBreak/>
        <w:t xml:space="preserve">safety campaigns. </w:t>
      </w:r>
      <w:r w:rsidR="005F5DC9">
        <w:rPr>
          <w:rFonts w:asciiTheme="minorHAnsi" w:hAnsiTheme="minorHAnsi" w:cstheme="minorHAnsi"/>
        </w:rPr>
        <w:t xml:space="preserve"> </w:t>
      </w:r>
      <w:r w:rsidRPr="001A2307">
        <w:rPr>
          <w:rFonts w:asciiTheme="minorHAnsi" w:hAnsiTheme="minorHAnsi" w:cstheme="minorHAnsi"/>
        </w:rPr>
        <w:t>Major initiatives included 74 Construction SEP events</w:t>
      </w:r>
      <w:r w:rsidR="006B514A">
        <w:rPr>
          <w:rFonts w:asciiTheme="minorHAnsi" w:hAnsiTheme="minorHAnsi" w:cstheme="minorHAnsi"/>
        </w:rPr>
        <w:t>,</w:t>
      </w:r>
      <w:r w:rsidRPr="001A2307">
        <w:rPr>
          <w:rFonts w:asciiTheme="minorHAnsi" w:hAnsiTheme="minorHAnsi" w:cstheme="minorHAnsi"/>
        </w:rPr>
        <w:t xml:space="preserve"> 71 Amputations SEP events</w:t>
      </w:r>
      <w:r w:rsidR="006B514A">
        <w:rPr>
          <w:rFonts w:asciiTheme="minorHAnsi" w:hAnsiTheme="minorHAnsi" w:cstheme="minorHAnsi"/>
        </w:rPr>
        <w:t>,</w:t>
      </w:r>
      <w:r w:rsidRPr="001A2307">
        <w:rPr>
          <w:rFonts w:asciiTheme="minorHAnsi" w:hAnsiTheme="minorHAnsi" w:cstheme="minorHAnsi"/>
        </w:rPr>
        <w:t xml:space="preserve"> 24 Health Hazards SEP events</w:t>
      </w:r>
      <w:r w:rsidR="00EF6CBE">
        <w:rPr>
          <w:rFonts w:asciiTheme="minorHAnsi" w:hAnsiTheme="minorHAnsi" w:cstheme="minorHAnsi"/>
        </w:rPr>
        <w:t>,</w:t>
      </w:r>
      <w:r w:rsidRPr="001A2307">
        <w:rPr>
          <w:rFonts w:asciiTheme="minorHAnsi" w:hAnsiTheme="minorHAnsi" w:cstheme="minorHAnsi"/>
        </w:rPr>
        <w:t xml:space="preserve"> and 24 Heat Stress Campaign events</w:t>
      </w:r>
      <w:r w:rsidR="00921EA8">
        <w:rPr>
          <w:rFonts w:asciiTheme="minorHAnsi" w:hAnsiTheme="minorHAnsi" w:cstheme="minorHAnsi"/>
        </w:rPr>
        <w:t xml:space="preserve">.  </w:t>
      </w:r>
      <w:r w:rsidRPr="001A2307">
        <w:rPr>
          <w:rFonts w:asciiTheme="minorHAnsi" w:hAnsiTheme="minorHAnsi" w:cstheme="minorHAnsi"/>
        </w:rPr>
        <w:t xml:space="preserve">Additional outreach included Logging and Arboriculture, Warehousing, Food Manufacturing, and Long-Term Care SEPs, along with nine Fall Stand-Down events. </w:t>
      </w:r>
      <w:r w:rsidR="005F5DC9">
        <w:rPr>
          <w:rFonts w:asciiTheme="minorHAnsi" w:hAnsiTheme="minorHAnsi" w:cstheme="minorHAnsi"/>
        </w:rPr>
        <w:t xml:space="preserve"> </w:t>
      </w:r>
      <w:r w:rsidRPr="001A2307">
        <w:rPr>
          <w:rFonts w:asciiTheme="minorHAnsi" w:hAnsiTheme="minorHAnsi" w:cstheme="minorHAnsi"/>
        </w:rPr>
        <w:t xml:space="preserve">OSHNC also participated in Safe + Sound Week, Work Zone Safety Awareness Week, and Trench Safety Stand-Down events, further extending its impact. </w:t>
      </w:r>
      <w:r w:rsidR="005F5DC9">
        <w:rPr>
          <w:rFonts w:asciiTheme="minorHAnsi" w:hAnsiTheme="minorHAnsi" w:cstheme="minorHAnsi"/>
        </w:rPr>
        <w:t xml:space="preserve"> </w:t>
      </w:r>
      <w:r w:rsidRPr="001A2307">
        <w:rPr>
          <w:rFonts w:asciiTheme="minorHAnsi" w:hAnsiTheme="minorHAnsi" w:cstheme="minorHAnsi"/>
        </w:rPr>
        <w:t xml:space="preserve">Through public sector outreach, OSHA 10- and 30-hour General Industry and Construction courses, and industry forums, the division trained a total of 6,452 individuals through ETTA and 11,695 individuals division-wide. </w:t>
      </w:r>
      <w:r w:rsidR="005F5DC9">
        <w:rPr>
          <w:rFonts w:asciiTheme="minorHAnsi" w:hAnsiTheme="minorHAnsi" w:cstheme="minorHAnsi"/>
        </w:rPr>
        <w:t xml:space="preserve"> </w:t>
      </w:r>
      <w:r w:rsidRPr="001A2307">
        <w:rPr>
          <w:rFonts w:asciiTheme="minorHAnsi" w:hAnsiTheme="minorHAnsi" w:cstheme="minorHAnsi"/>
        </w:rPr>
        <w:t>These efforts reflect OSHNC’s commitment to strengthening workplace safety culture across North Carolina.</w:t>
      </w:r>
    </w:p>
    <w:p w14:paraId="057BE472" w14:textId="77777777" w:rsidR="00C153C0" w:rsidRDefault="00C153C0" w:rsidP="00C153C0">
      <w:pPr>
        <w:ind w:left="1260"/>
        <w:rPr>
          <w:rFonts w:asciiTheme="minorHAnsi" w:hAnsiTheme="minorHAnsi" w:cstheme="minorHAnsi"/>
        </w:rPr>
      </w:pPr>
    </w:p>
    <w:p w14:paraId="470B2A8C" w14:textId="178F15CE" w:rsidR="00A55FF5" w:rsidRPr="00A55FF5" w:rsidRDefault="00636481" w:rsidP="00A55FF5">
      <w:pPr>
        <w:pStyle w:val="ListParagraph"/>
        <w:numPr>
          <w:ilvl w:val="0"/>
          <w:numId w:val="5"/>
        </w:numPr>
        <w:spacing w:after="0"/>
        <w:rPr>
          <w:sz w:val="24"/>
          <w:szCs w:val="24"/>
        </w:rPr>
      </w:pPr>
      <w:r w:rsidRPr="00A55FF5">
        <w:rPr>
          <w:rFonts w:asciiTheme="minorHAnsi" w:hAnsiTheme="minorHAnsi" w:cstheme="minorHAnsi"/>
          <w:sz w:val="24"/>
          <w:szCs w:val="24"/>
        </w:rPr>
        <w:t xml:space="preserve">OSHA Information System </w:t>
      </w:r>
    </w:p>
    <w:p w14:paraId="126C211E" w14:textId="77777777" w:rsidR="00A55FF5" w:rsidRPr="00A55FF5" w:rsidRDefault="00A55FF5" w:rsidP="00A55FF5">
      <w:pPr>
        <w:rPr>
          <w:rFonts w:asciiTheme="minorHAnsi" w:hAnsiTheme="minorHAnsi" w:cstheme="minorHAnsi"/>
        </w:rPr>
      </w:pPr>
    </w:p>
    <w:p w14:paraId="16B1B895" w14:textId="2B596CE7" w:rsidR="00636481" w:rsidRPr="00A55FF5" w:rsidRDefault="002B5E96" w:rsidP="00A55FF5">
      <w:pPr>
        <w:ind w:left="1260"/>
        <w:rPr>
          <w:rFonts w:asciiTheme="minorHAnsi" w:hAnsiTheme="minorHAnsi" w:cstheme="minorHAnsi"/>
        </w:rPr>
      </w:pPr>
      <w:r w:rsidRPr="00A55FF5">
        <w:rPr>
          <w:rFonts w:asciiTheme="minorHAnsi" w:hAnsiTheme="minorHAnsi" w:cstheme="minorHAnsi"/>
        </w:rPr>
        <w:t>In FY 2025, OSH</w:t>
      </w:r>
      <w:r w:rsidR="00573370">
        <w:rPr>
          <w:rFonts w:asciiTheme="minorHAnsi" w:hAnsiTheme="minorHAnsi" w:cstheme="minorHAnsi"/>
        </w:rPr>
        <w:t>NC</w:t>
      </w:r>
      <w:r w:rsidRPr="00A55FF5">
        <w:rPr>
          <w:rFonts w:asciiTheme="minorHAnsi" w:hAnsiTheme="minorHAnsi" w:cstheme="minorHAnsi"/>
        </w:rPr>
        <w:t xml:space="preserve"> transmitted data from OSHA Express (OE) to OSHA’s Information System (OIS) via an interface. </w:t>
      </w:r>
      <w:r w:rsidR="005F5DC9">
        <w:rPr>
          <w:rFonts w:asciiTheme="minorHAnsi" w:hAnsiTheme="minorHAnsi" w:cstheme="minorHAnsi"/>
        </w:rPr>
        <w:t xml:space="preserve"> </w:t>
      </w:r>
      <w:r w:rsidRPr="00A55FF5">
        <w:rPr>
          <w:rFonts w:asciiTheme="minorHAnsi" w:hAnsiTheme="minorHAnsi" w:cstheme="minorHAnsi"/>
        </w:rPr>
        <w:t>OSH</w:t>
      </w:r>
      <w:r w:rsidR="00573370">
        <w:rPr>
          <w:rFonts w:asciiTheme="minorHAnsi" w:hAnsiTheme="minorHAnsi" w:cstheme="minorHAnsi"/>
        </w:rPr>
        <w:t>A</w:t>
      </w:r>
      <w:r w:rsidRPr="00A55FF5">
        <w:rPr>
          <w:rFonts w:asciiTheme="minorHAnsi" w:hAnsiTheme="minorHAnsi" w:cstheme="minorHAnsi"/>
        </w:rPr>
        <w:t xml:space="preserve"> and the OE vendor continue to work together to ensure that the OE and OIS, State Activity Mandated Measures (SAMM)</w:t>
      </w:r>
      <w:r w:rsidR="005F5DC9">
        <w:rPr>
          <w:rFonts w:asciiTheme="minorHAnsi" w:hAnsiTheme="minorHAnsi" w:cstheme="minorHAnsi"/>
        </w:rPr>
        <w:t>,</w:t>
      </w:r>
      <w:r w:rsidRPr="00A55FF5">
        <w:rPr>
          <w:rFonts w:asciiTheme="minorHAnsi" w:hAnsiTheme="minorHAnsi" w:cstheme="minorHAnsi"/>
        </w:rPr>
        <w:t xml:space="preserve"> and State Information Report (SIR) reports are providing accurate data. </w:t>
      </w:r>
      <w:r w:rsidR="005F5DC9">
        <w:rPr>
          <w:rFonts w:asciiTheme="minorHAnsi" w:hAnsiTheme="minorHAnsi" w:cstheme="minorHAnsi"/>
        </w:rPr>
        <w:t xml:space="preserve"> </w:t>
      </w:r>
      <w:r w:rsidRPr="00A55FF5">
        <w:rPr>
          <w:rFonts w:asciiTheme="minorHAnsi" w:hAnsiTheme="minorHAnsi" w:cstheme="minorHAnsi"/>
        </w:rPr>
        <w:t>Two change requests were submitted for the OE Data Management System in FY 2025.  OSH</w:t>
      </w:r>
      <w:r w:rsidR="00573370">
        <w:rPr>
          <w:rFonts w:asciiTheme="minorHAnsi" w:hAnsiTheme="minorHAnsi" w:cstheme="minorHAnsi"/>
        </w:rPr>
        <w:t>NC</w:t>
      </w:r>
      <w:r w:rsidRPr="00A55FF5">
        <w:rPr>
          <w:rFonts w:asciiTheme="minorHAnsi" w:hAnsiTheme="minorHAnsi" w:cstheme="minorHAnsi"/>
        </w:rPr>
        <w:t xml:space="preserve"> continues to provide administrative support for the OSHA Legacy Data (OLD) system.</w:t>
      </w:r>
      <w:r w:rsidR="005F5DC9">
        <w:rPr>
          <w:rFonts w:asciiTheme="minorHAnsi" w:hAnsiTheme="minorHAnsi" w:cstheme="minorHAnsi"/>
        </w:rPr>
        <w:t xml:space="preserve"> </w:t>
      </w:r>
      <w:r w:rsidRPr="00A55FF5">
        <w:rPr>
          <w:rFonts w:asciiTheme="minorHAnsi" w:hAnsiTheme="minorHAnsi" w:cstheme="minorHAnsi"/>
        </w:rPr>
        <w:t xml:space="preserve"> The OLD system was rolled out in late FY 2016 and additional features were subsequently added to allow OSHA and State Plans to access and modify pre-OIS inspection files, as necessary. </w:t>
      </w:r>
      <w:r w:rsidR="005F5DC9">
        <w:rPr>
          <w:rFonts w:asciiTheme="minorHAnsi" w:hAnsiTheme="minorHAnsi" w:cstheme="minorHAnsi"/>
        </w:rPr>
        <w:t xml:space="preserve"> </w:t>
      </w:r>
      <w:r w:rsidRPr="00A55FF5">
        <w:rPr>
          <w:rFonts w:asciiTheme="minorHAnsi" w:hAnsiTheme="minorHAnsi" w:cstheme="minorHAnsi"/>
        </w:rPr>
        <w:t xml:space="preserve">Progress continues to be made in closing open legacy case files. </w:t>
      </w:r>
      <w:r w:rsidR="005F5DC9">
        <w:rPr>
          <w:rFonts w:asciiTheme="minorHAnsi" w:hAnsiTheme="minorHAnsi" w:cstheme="minorHAnsi"/>
        </w:rPr>
        <w:t xml:space="preserve"> </w:t>
      </w:r>
      <w:r w:rsidRPr="00A55FF5">
        <w:rPr>
          <w:rFonts w:asciiTheme="minorHAnsi" w:hAnsiTheme="minorHAnsi" w:cstheme="minorHAnsi"/>
        </w:rPr>
        <w:t xml:space="preserve">At the end of FY 2025, OSH had </w:t>
      </w:r>
      <w:r w:rsidR="00573370">
        <w:rPr>
          <w:rFonts w:asciiTheme="minorHAnsi" w:hAnsiTheme="minorHAnsi" w:cstheme="minorHAnsi"/>
        </w:rPr>
        <w:t xml:space="preserve">only </w:t>
      </w:r>
      <w:r w:rsidRPr="00A55FF5">
        <w:rPr>
          <w:rFonts w:asciiTheme="minorHAnsi" w:hAnsiTheme="minorHAnsi" w:cstheme="minorHAnsi"/>
        </w:rPr>
        <w:t>one case remaining in the OLD system.</w:t>
      </w:r>
    </w:p>
    <w:p w14:paraId="1E0F9538" w14:textId="77777777" w:rsidR="00A34DA2" w:rsidRPr="00A55FF5" w:rsidRDefault="00A34DA2" w:rsidP="00A34DA2"/>
    <w:p w14:paraId="3868EF2F" w14:textId="654B0C69" w:rsidR="00090034" w:rsidRPr="00A55FF5" w:rsidRDefault="00636481" w:rsidP="00EE3868">
      <w:pPr>
        <w:pStyle w:val="ListParagraph"/>
        <w:numPr>
          <w:ilvl w:val="0"/>
          <w:numId w:val="5"/>
        </w:numPr>
        <w:spacing w:line="240" w:lineRule="auto"/>
        <w:ind w:left="1260"/>
        <w:rPr>
          <w:rFonts w:asciiTheme="minorHAnsi" w:hAnsiTheme="minorHAnsi" w:cstheme="minorHAnsi"/>
          <w:sz w:val="24"/>
          <w:szCs w:val="24"/>
        </w:rPr>
      </w:pPr>
      <w:r w:rsidRPr="00A55FF5">
        <w:rPr>
          <w:rFonts w:asciiTheme="minorHAnsi" w:hAnsiTheme="minorHAnsi" w:cstheme="minorHAnsi"/>
          <w:sz w:val="24"/>
          <w:szCs w:val="24"/>
        </w:rPr>
        <w:t xml:space="preserve">State Internal Evaluation Program Report </w:t>
      </w:r>
    </w:p>
    <w:p w14:paraId="34BE01CF" w14:textId="526787ED" w:rsidR="00090034" w:rsidRPr="00A55FF5" w:rsidRDefault="00090034" w:rsidP="00090034">
      <w:pPr>
        <w:ind w:left="1260"/>
        <w:rPr>
          <w:rFonts w:asciiTheme="minorHAnsi" w:hAnsiTheme="minorHAnsi" w:cstheme="minorHAnsi"/>
        </w:rPr>
      </w:pPr>
      <w:r w:rsidRPr="00A55FF5">
        <w:rPr>
          <w:rFonts w:asciiTheme="minorHAnsi" w:hAnsiTheme="minorHAnsi" w:cstheme="minorHAnsi"/>
        </w:rPr>
        <w:t xml:space="preserve">The North Carolina State Plan has an effective internal audit procedure, documented in Administrative Procedure Notice 14.  As part of the OSHNC quality program, </w:t>
      </w:r>
      <w:r w:rsidR="009D76E9" w:rsidRPr="00A55FF5">
        <w:rPr>
          <w:rFonts w:asciiTheme="minorHAnsi" w:hAnsiTheme="minorHAnsi" w:cstheme="minorHAnsi"/>
        </w:rPr>
        <w:t>the OSH</w:t>
      </w:r>
      <w:r w:rsidR="009D76E9">
        <w:rPr>
          <w:rFonts w:asciiTheme="minorHAnsi" w:hAnsiTheme="minorHAnsi" w:cstheme="minorHAnsi"/>
        </w:rPr>
        <w:t>NC</w:t>
      </w:r>
      <w:r w:rsidR="009D76E9" w:rsidRPr="00A55FF5">
        <w:rPr>
          <w:rFonts w:asciiTheme="minorHAnsi" w:hAnsiTheme="minorHAnsi" w:cstheme="minorHAnsi"/>
        </w:rPr>
        <w:t xml:space="preserve"> Director’s Office </w:t>
      </w:r>
      <w:r w:rsidR="009D76E9">
        <w:rPr>
          <w:rFonts w:asciiTheme="minorHAnsi" w:hAnsiTheme="minorHAnsi" w:cstheme="minorHAnsi"/>
        </w:rPr>
        <w:t xml:space="preserve">completed </w:t>
      </w:r>
      <w:r w:rsidRPr="00A55FF5">
        <w:rPr>
          <w:rFonts w:asciiTheme="minorHAnsi" w:hAnsiTheme="minorHAnsi" w:cstheme="minorHAnsi"/>
        </w:rPr>
        <w:t>1</w:t>
      </w:r>
      <w:r w:rsidR="005A40FF" w:rsidRPr="00A55FF5">
        <w:rPr>
          <w:rFonts w:asciiTheme="minorHAnsi" w:hAnsiTheme="minorHAnsi" w:cstheme="minorHAnsi"/>
        </w:rPr>
        <w:t>01</w:t>
      </w:r>
      <w:r w:rsidRPr="00A55FF5">
        <w:rPr>
          <w:rFonts w:asciiTheme="minorHAnsi" w:hAnsiTheme="minorHAnsi" w:cstheme="minorHAnsi"/>
        </w:rPr>
        <w:t xml:space="preserve"> high profile case file reviews. </w:t>
      </w:r>
      <w:r w:rsidR="005F5DC9">
        <w:rPr>
          <w:rFonts w:asciiTheme="minorHAnsi" w:hAnsiTheme="minorHAnsi" w:cstheme="minorHAnsi"/>
        </w:rPr>
        <w:t xml:space="preserve"> </w:t>
      </w:r>
      <w:r w:rsidRPr="00A55FF5">
        <w:rPr>
          <w:rFonts w:asciiTheme="minorHAnsi" w:hAnsiTheme="minorHAnsi" w:cstheme="minorHAnsi"/>
        </w:rPr>
        <w:t xml:space="preserve">The purpose of the audits was to ensure that inspection activities were being conducted in accordance with established policies and procedures. </w:t>
      </w:r>
      <w:r w:rsidR="005F5DC9">
        <w:rPr>
          <w:rFonts w:asciiTheme="minorHAnsi" w:hAnsiTheme="minorHAnsi" w:cstheme="minorHAnsi"/>
        </w:rPr>
        <w:t xml:space="preserve"> </w:t>
      </w:r>
      <w:r w:rsidRPr="00A55FF5">
        <w:rPr>
          <w:rFonts w:asciiTheme="minorHAnsi" w:hAnsiTheme="minorHAnsi" w:cstheme="minorHAnsi"/>
        </w:rPr>
        <w:t>The findings of these audits were posted internally, and feedback was provided to the compliance bureau chiefs, district supervisors, and compliance officers.</w:t>
      </w:r>
    </w:p>
    <w:p w14:paraId="785838D0" w14:textId="77777777" w:rsidR="00090034" w:rsidRPr="00A55FF5" w:rsidRDefault="00090034" w:rsidP="00090034">
      <w:pPr>
        <w:ind w:left="1260"/>
        <w:rPr>
          <w:rFonts w:asciiTheme="minorHAnsi" w:hAnsiTheme="minorHAnsi" w:cstheme="minorHAnsi"/>
        </w:rPr>
      </w:pPr>
    </w:p>
    <w:p w14:paraId="6B8882DD" w14:textId="58CA619C" w:rsidR="00090034" w:rsidRPr="00A55FF5" w:rsidRDefault="00090034" w:rsidP="00090034">
      <w:pPr>
        <w:ind w:left="1260"/>
        <w:rPr>
          <w:rFonts w:asciiTheme="minorHAnsi" w:hAnsiTheme="minorHAnsi" w:cstheme="minorHAnsi"/>
        </w:rPr>
      </w:pPr>
      <w:r w:rsidRPr="00A55FF5">
        <w:rPr>
          <w:rFonts w:asciiTheme="minorHAnsi" w:hAnsiTheme="minorHAnsi" w:cstheme="minorHAnsi"/>
        </w:rPr>
        <w:t xml:space="preserve">The beginning of a two-year internal audit was started in </w:t>
      </w:r>
      <w:r w:rsidR="009D76E9">
        <w:rPr>
          <w:rFonts w:asciiTheme="minorHAnsi" w:hAnsiTheme="minorHAnsi" w:cstheme="minorHAnsi"/>
        </w:rPr>
        <w:t xml:space="preserve">FY </w:t>
      </w:r>
      <w:r w:rsidRPr="00A55FF5">
        <w:rPr>
          <w:rFonts w:asciiTheme="minorHAnsi" w:hAnsiTheme="minorHAnsi" w:cstheme="minorHAnsi"/>
        </w:rPr>
        <w:t>2025 to assess the completeness of received certified files from the district offices to PSIM. These files when requested externally for disclosure must be assessed for completeness by PSIM before the redaction process can commence. The audit will identify the most common requests made by PSIM to the district offices to correct file content</w:t>
      </w:r>
      <w:r w:rsidR="00C7100A">
        <w:rPr>
          <w:rFonts w:asciiTheme="minorHAnsi" w:hAnsiTheme="minorHAnsi" w:cstheme="minorHAnsi"/>
        </w:rPr>
        <w:t>. It will also</w:t>
      </w:r>
      <w:r w:rsidRPr="00A55FF5">
        <w:rPr>
          <w:rFonts w:asciiTheme="minorHAnsi" w:hAnsiTheme="minorHAnsi" w:cstheme="minorHAnsi"/>
        </w:rPr>
        <w:t xml:space="preserve"> provide guidance for the district offices to follow to ensure only necessary elements are present in the files before sending the files to PSIM staff. </w:t>
      </w:r>
    </w:p>
    <w:p w14:paraId="6F114980" w14:textId="77777777" w:rsidR="00090034" w:rsidRPr="00A55FF5" w:rsidRDefault="00090034" w:rsidP="00090034">
      <w:pPr>
        <w:ind w:left="1260"/>
        <w:rPr>
          <w:rFonts w:asciiTheme="minorHAnsi" w:hAnsiTheme="minorHAnsi" w:cstheme="minorHAnsi"/>
        </w:rPr>
      </w:pPr>
    </w:p>
    <w:p w14:paraId="797A1948" w14:textId="6DC8EEE2" w:rsidR="00090034" w:rsidRPr="00A55FF5" w:rsidRDefault="00090034" w:rsidP="00090034">
      <w:pPr>
        <w:ind w:left="1260"/>
        <w:rPr>
          <w:rFonts w:asciiTheme="minorHAnsi" w:hAnsiTheme="minorHAnsi" w:cstheme="minorHAnsi"/>
        </w:rPr>
      </w:pPr>
      <w:r w:rsidRPr="00A55FF5">
        <w:rPr>
          <w:rFonts w:asciiTheme="minorHAnsi" w:hAnsiTheme="minorHAnsi" w:cstheme="minorHAnsi"/>
        </w:rPr>
        <w:t>Two action requests were processed by Compliance. This Quality Program activity provides opportunities for program improvement identified by customers, OSH Division employees</w:t>
      </w:r>
      <w:r w:rsidR="00874F51">
        <w:rPr>
          <w:rFonts w:asciiTheme="minorHAnsi" w:hAnsiTheme="minorHAnsi" w:cstheme="minorHAnsi"/>
        </w:rPr>
        <w:t xml:space="preserve">, </w:t>
      </w:r>
      <w:r w:rsidRPr="00A55FF5">
        <w:rPr>
          <w:rFonts w:asciiTheme="minorHAnsi" w:hAnsiTheme="minorHAnsi" w:cstheme="minorHAnsi"/>
        </w:rPr>
        <w:t>or internal audits</w:t>
      </w:r>
      <w:r w:rsidR="00C7100A">
        <w:rPr>
          <w:rFonts w:asciiTheme="minorHAnsi" w:hAnsiTheme="minorHAnsi" w:cstheme="minorHAnsi"/>
        </w:rPr>
        <w:t>,</w:t>
      </w:r>
      <w:r w:rsidRPr="00A55FF5">
        <w:rPr>
          <w:rFonts w:asciiTheme="minorHAnsi" w:hAnsiTheme="minorHAnsi" w:cstheme="minorHAnsi"/>
        </w:rPr>
        <w:t xml:space="preserve"> and </w:t>
      </w:r>
      <w:r w:rsidR="00C7100A">
        <w:rPr>
          <w:rFonts w:asciiTheme="minorHAnsi" w:hAnsiTheme="minorHAnsi" w:cstheme="minorHAnsi"/>
        </w:rPr>
        <w:t>f</w:t>
      </w:r>
      <w:r w:rsidRPr="00A55FF5">
        <w:rPr>
          <w:rFonts w:asciiTheme="minorHAnsi" w:hAnsiTheme="minorHAnsi" w:cstheme="minorHAnsi"/>
        </w:rPr>
        <w:t xml:space="preserve">ederal OSHA audits. </w:t>
      </w:r>
      <w:r w:rsidR="00874F51">
        <w:rPr>
          <w:rFonts w:asciiTheme="minorHAnsi" w:hAnsiTheme="minorHAnsi" w:cstheme="minorHAnsi"/>
        </w:rPr>
        <w:t xml:space="preserve"> </w:t>
      </w:r>
      <w:r w:rsidRPr="00A55FF5">
        <w:rPr>
          <w:rFonts w:asciiTheme="minorHAnsi" w:hAnsiTheme="minorHAnsi" w:cstheme="minorHAnsi"/>
        </w:rPr>
        <w:t>Ongoing revisions are made to the Field Operations Manual (FOM) and Operational Procedure Notices (OPN</w:t>
      </w:r>
      <w:r w:rsidR="00F00AC0">
        <w:rPr>
          <w:rFonts w:asciiTheme="minorHAnsi" w:hAnsiTheme="minorHAnsi" w:cstheme="minorHAnsi"/>
        </w:rPr>
        <w:t>s</w:t>
      </w:r>
      <w:r w:rsidRPr="00A55FF5">
        <w:rPr>
          <w:rFonts w:asciiTheme="minorHAnsi" w:hAnsiTheme="minorHAnsi" w:cstheme="minorHAnsi"/>
        </w:rPr>
        <w:t xml:space="preserve">)as a result of the </w:t>
      </w:r>
      <w:r w:rsidRPr="00A55FF5">
        <w:rPr>
          <w:rFonts w:asciiTheme="minorHAnsi" w:hAnsiTheme="minorHAnsi" w:cstheme="minorHAnsi"/>
        </w:rPr>
        <w:lastRenderedPageBreak/>
        <w:t>quality program action items.</w:t>
      </w:r>
    </w:p>
    <w:p w14:paraId="233C4A24" w14:textId="77777777" w:rsidR="00090034" w:rsidRPr="00090034" w:rsidRDefault="00090034" w:rsidP="00090034">
      <w:pPr>
        <w:pStyle w:val="ListParagraph"/>
        <w:spacing w:line="240" w:lineRule="auto"/>
        <w:ind w:left="1260"/>
        <w:rPr>
          <w:rFonts w:asciiTheme="minorHAnsi" w:hAnsiTheme="minorHAnsi" w:cstheme="minorHAnsi"/>
          <w:sz w:val="24"/>
          <w:szCs w:val="24"/>
        </w:rPr>
      </w:pPr>
    </w:p>
    <w:p w14:paraId="7EE26D2A" w14:textId="5C28C5E2" w:rsidR="001928D8" w:rsidRDefault="00636481" w:rsidP="00EE3868">
      <w:pPr>
        <w:pStyle w:val="ListParagraph"/>
        <w:numPr>
          <w:ilvl w:val="0"/>
          <w:numId w:val="5"/>
        </w:numPr>
        <w:spacing w:line="240" w:lineRule="auto"/>
        <w:ind w:left="1260"/>
        <w:rPr>
          <w:rFonts w:asciiTheme="minorHAnsi" w:hAnsiTheme="minorHAnsi" w:cstheme="minorHAnsi"/>
          <w:sz w:val="24"/>
          <w:szCs w:val="24"/>
        </w:rPr>
      </w:pPr>
      <w:r w:rsidRPr="00090034">
        <w:rPr>
          <w:rFonts w:asciiTheme="minorHAnsi" w:hAnsiTheme="minorHAnsi" w:cstheme="minorHAnsi"/>
          <w:sz w:val="24"/>
          <w:szCs w:val="24"/>
        </w:rPr>
        <w:t>Staffing</w:t>
      </w:r>
    </w:p>
    <w:p w14:paraId="354D5851" w14:textId="77777777" w:rsidR="00DD09CF" w:rsidRDefault="00DD09CF" w:rsidP="00DD09CF">
      <w:pPr>
        <w:pStyle w:val="ListParagraph"/>
        <w:spacing w:line="240" w:lineRule="auto"/>
        <w:ind w:left="1260"/>
        <w:rPr>
          <w:rFonts w:asciiTheme="minorHAnsi" w:hAnsiTheme="minorHAnsi" w:cstheme="minorHAnsi"/>
          <w:sz w:val="24"/>
          <w:szCs w:val="24"/>
        </w:rPr>
      </w:pPr>
    </w:p>
    <w:p w14:paraId="600BC331" w14:textId="34FABF5C" w:rsidR="000465DA" w:rsidRPr="004D4AAC" w:rsidRDefault="00DD09CF" w:rsidP="004D4AAC">
      <w:pPr>
        <w:pStyle w:val="ListParagraph"/>
        <w:spacing w:line="240" w:lineRule="auto"/>
        <w:ind w:left="1260"/>
        <w:rPr>
          <w:rFonts w:asciiTheme="minorHAnsi" w:hAnsiTheme="minorHAnsi" w:cstheme="minorHAnsi"/>
          <w:sz w:val="24"/>
          <w:szCs w:val="24"/>
        </w:rPr>
      </w:pPr>
      <w:r w:rsidRPr="00DD09CF">
        <w:rPr>
          <w:rFonts w:asciiTheme="minorHAnsi" w:hAnsiTheme="minorHAnsi" w:cstheme="minorHAnsi"/>
          <w:sz w:val="24"/>
          <w:szCs w:val="24"/>
        </w:rPr>
        <w:t xml:space="preserve">During this period, the OSHNC’s staffing levels were </w:t>
      </w:r>
      <w:r>
        <w:rPr>
          <w:rFonts w:asciiTheme="minorHAnsi" w:hAnsiTheme="minorHAnsi" w:cstheme="minorHAnsi"/>
          <w:sz w:val="24"/>
          <w:szCs w:val="24"/>
        </w:rPr>
        <w:t xml:space="preserve">slightly </w:t>
      </w:r>
      <w:r w:rsidRPr="00DD09CF">
        <w:rPr>
          <w:rFonts w:asciiTheme="minorHAnsi" w:hAnsiTheme="minorHAnsi" w:cstheme="minorHAnsi"/>
          <w:sz w:val="24"/>
          <w:szCs w:val="24"/>
        </w:rPr>
        <w:t xml:space="preserve">below the established benchmarks for the program, but at an acceptable level based on the benchmark criteria.  </w:t>
      </w:r>
      <w:r>
        <w:rPr>
          <w:rFonts w:asciiTheme="minorHAnsi" w:hAnsiTheme="minorHAnsi" w:cstheme="minorHAnsi"/>
          <w:sz w:val="24"/>
          <w:szCs w:val="24"/>
        </w:rPr>
        <w:t>T</w:t>
      </w:r>
      <w:r w:rsidRPr="00DD09CF">
        <w:rPr>
          <w:rFonts w:asciiTheme="minorHAnsi" w:hAnsiTheme="minorHAnsi" w:cstheme="minorHAnsi"/>
          <w:sz w:val="24"/>
          <w:szCs w:val="24"/>
        </w:rPr>
        <w:t>he State remains committed to staffing its program at the appropriate level, within the current budgetary constraints.</w:t>
      </w:r>
    </w:p>
    <w:tbl>
      <w:tblPr>
        <w:tblpPr w:leftFromText="195" w:rightFromText="195" w:vertAnchor="text" w:horzAnchor="margin" w:tblpXSpec="right" w:tblpY="-32"/>
        <w:tblW w:w="8910" w:type="dxa"/>
        <w:tblCellMar>
          <w:left w:w="0" w:type="dxa"/>
          <w:right w:w="0" w:type="dxa"/>
        </w:tblCellMar>
        <w:tblLook w:val="04A0" w:firstRow="1" w:lastRow="0" w:firstColumn="1" w:lastColumn="0" w:noHBand="0" w:noVBand="1"/>
      </w:tblPr>
      <w:tblGrid>
        <w:gridCol w:w="980"/>
        <w:gridCol w:w="2584"/>
        <w:gridCol w:w="1170"/>
        <w:gridCol w:w="1080"/>
        <w:gridCol w:w="1080"/>
        <w:gridCol w:w="1080"/>
        <w:gridCol w:w="936"/>
      </w:tblGrid>
      <w:tr w:rsidR="008A212A" w:rsidRPr="0052759F" w14:paraId="2CC4856C" w14:textId="77777777" w:rsidTr="004D4AAC">
        <w:trPr>
          <w:trHeight w:val="300"/>
        </w:trPr>
        <w:tc>
          <w:tcPr>
            <w:tcW w:w="356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AE67C4" w14:textId="77777777" w:rsidR="008A212A" w:rsidRPr="0052759F" w:rsidRDefault="008A212A" w:rsidP="008A212A">
            <w:pPr>
              <w:pStyle w:val="NoSpacing"/>
              <w:rPr>
                <w:rFonts w:cs="Calibri"/>
                <w:sz w:val="24"/>
                <w:szCs w:val="24"/>
              </w:rPr>
            </w:pPr>
            <w:r w:rsidRPr="0052759F">
              <w:rPr>
                <w:rFonts w:cs="Calibri"/>
                <w:sz w:val="24"/>
                <w:szCs w:val="24"/>
              </w:rPr>
              <w:t> </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F83D2" w14:textId="77777777" w:rsidR="008A212A" w:rsidRPr="0052759F" w:rsidRDefault="008A212A" w:rsidP="008A212A">
            <w:pPr>
              <w:pStyle w:val="NoSpacing"/>
              <w:rPr>
                <w:rFonts w:cs="Calibri"/>
                <w:b/>
                <w:bCs/>
                <w:sz w:val="24"/>
                <w:szCs w:val="24"/>
              </w:rPr>
            </w:pPr>
            <w:r w:rsidRPr="0052759F">
              <w:rPr>
                <w:rFonts w:cs="Calibri"/>
                <w:b/>
                <w:bCs/>
                <w:sz w:val="24"/>
                <w:szCs w:val="24"/>
              </w:rPr>
              <w:t>FY2021</w:t>
            </w:r>
          </w:p>
        </w:tc>
        <w:tc>
          <w:tcPr>
            <w:tcW w:w="1080" w:type="dxa"/>
            <w:tcBorders>
              <w:top w:val="single" w:sz="8" w:space="0" w:color="auto"/>
              <w:left w:val="nil"/>
              <w:bottom w:val="single" w:sz="8" w:space="0" w:color="auto"/>
              <w:right w:val="single" w:sz="8" w:space="0" w:color="auto"/>
            </w:tcBorders>
            <w:hideMark/>
          </w:tcPr>
          <w:p w14:paraId="58010347" w14:textId="77777777" w:rsidR="008A212A" w:rsidRPr="0052759F" w:rsidRDefault="008A212A" w:rsidP="008A212A">
            <w:pPr>
              <w:pStyle w:val="NoSpacing"/>
              <w:rPr>
                <w:rFonts w:cs="Calibri"/>
                <w:b/>
                <w:bCs/>
                <w:sz w:val="24"/>
                <w:szCs w:val="24"/>
              </w:rPr>
            </w:pPr>
            <w:r w:rsidRPr="0052759F">
              <w:rPr>
                <w:rFonts w:cs="Calibri"/>
                <w:b/>
                <w:bCs/>
                <w:sz w:val="24"/>
                <w:szCs w:val="24"/>
              </w:rPr>
              <w:t>FY2022</w:t>
            </w:r>
          </w:p>
        </w:tc>
        <w:tc>
          <w:tcPr>
            <w:tcW w:w="1080" w:type="dxa"/>
            <w:tcBorders>
              <w:top w:val="single" w:sz="8" w:space="0" w:color="auto"/>
              <w:left w:val="nil"/>
              <w:bottom w:val="single" w:sz="8" w:space="0" w:color="auto"/>
              <w:right w:val="single" w:sz="4" w:space="0" w:color="auto"/>
            </w:tcBorders>
            <w:hideMark/>
          </w:tcPr>
          <w:p w14:paraId="39E79B87" w14:textId="77777777" w:rsidR="008A212A" w:rsidRPr="0052759F" w:rsidRDefault="008A212A" w:rsidP="008A212A">
            <w:pPr>
              <w:pStyle w:val="NoSpacing"/>
              <w:rPr>
                <w:rFonts w:cs="Calibri"/>
                <w:b/>
                <w:bCs/>
                <w:sz w:val="24"/>
                <w:szCs w:val="24"/>
              </w:rPr>
            </w:pPr>
            <w:r w:rsidRPr="0052759F">
              <w:rPr>
                <w:rFonts w:cs="Calibri"/>
                <w:b/>
                <w:bCs/>
                <w:sz w:val="24"/>
                <w:szCs w:val="24"/>
              </w:rPr>
              <w:t>FY2023</w:t>
            </w:r>
          </w:p>
        </w:tc>
        <w:tc>
          <w:tcPr>
            <w:tcW w:w="1080" w:type="dxa"/>
            <w:tcBorders>
              <w:top w:val="single" w:sz="8" w:space="0" w:color="auto"/>
              <w:left w:val="nil"/>
              <w:bottom w:val="single" w:sz="8" w:space="0" w:color="auto"/>
              <w:right w:val="single" w:sz="8" w:space="0" w:color="auto"/>
            </w:tcBorders>
          </w:tcPr>
          <w:p w14:paraId="054650A1" w14:textId="77777777" w:rsidR="008A212A" w:rsidRPr="0052759F" w:rsidRDefault="008A212A" w:rsidP="008A212A">
            <w:pPr>
              <w:pStyle w:val="NoSpacing"/>
              <w:rPr>
                <w:rFonts w:cs="Calibri"/>
                <w:b/>
                <w:bCs/>
                <w:sz w:val="24"/>
                <w:szCs w:val="24"/>
              </w:rPr>
            </w:pPr>
            <w:r w:rsidRPr="0052759F">
              <w:rPr>
                <w:rFonts w:cs="Calibri"/>
                <w:b/>
                <w:bCs/>
                <w:sz w:val="24"/>
                <w:szCs w:val="24"/>
              </w:rPr>
              <w:t>FY2024</w:t>
            </w:r>
          </w:p>
        </w:tc>
        <w:tc>
          <w:tcPr>
            <w:tcW w:w="936" w:type="dxa"/>
            <w:tcBorders>
              <w:top w:val="single" w:sz="8" w:space="0" w:color="auto"/>
              <w:left w:val="nil"/>
              <w:bottom w:val="single" w:sz="8" w:space="0" w:color="auto"/>
              <w:right w:val="single" w:sz="4" w:space="0" w:color="auto"/>
            </w:tcBorders>
          </w:tcPr>
          <w:p w14:paraId="758FE802" w14:textId="77777777" w:rsidR="008A212A" w:rsidRPr="0052759F" w:rsidRDefault="008A212A" w:rsidP="008A212A">
            <w:pPr>
              <w:pStyle w:val="NoSpacing"/>
              <w:rPr>
                <w:rFonts w:cs="Calibri"/>
                <w:b/>
                <w:bCs/>
                <w:sz w:val="24"/>
                <w:szCs w:val="24"/>
              </w:rPr>
            </w:pPr>
            <w:r w:rsidRPr="0052759F">
              <w:rPr>
                <w:rFonts w:cs="Calibri"/>
                <w:b/>
                <w:bCs/>
                <w:sz w:val="24"/>
                <w:szCs w:val="24"/>
              </w:rPr>
              <w:t>FY2025</w:t>
            </w:r>
          </w:p>
        </w:tc>
      </w:tr>
      <w:tr w:rsidR="008A212A" w:rsidRPr="0052759F" w14:paraId="58F56DF4" w14:textId="77777777" w:rsidTr="004D4AAC">
        <w:trPr>
          <w:trHeight w:val="300"/>
        </w:trPr>
        <w:tc>
          <w:tcPr>
            <w:tcW w:w="98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3F3AE8" w14:textId="77777777" w:rsidR="008A212A" w:rsidRPr="0052759F" w:rsidRDefault="008A212A" w:rsidP="008A212A">
            <w:pPr>
              <w:pStyle w:val="NoSpacing"/>
              <w:rPr>
                <w:rFonts w:cs="Calibri"/>
                <w:sz w:val="24"/>
                <w:szCs w:val="24"/>
              </w:rPr>
            </w:pPr>
            <w:r w:rsidRPr="0052759F">
              <w:rPr>
                <w:rFonts w:cs="Calibri"/>
                <w:sz w:val="24"/>
                <w:szCs w:val="24"/>
              </w:rPr>
              <w:t>Safety</w:t>
            </w: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36C39260" w14:textId="77777777" w:rsidR="008A212A" w:rsidRPr="0052759F" w:rsidRDefault="008A212A" w:rsidP="008A212A">
            <w:pPr>
              <w:pStyle w:val="NoSpacing"/>
              <w:rPr>
                <w:rFonts w:cs="Calibri"/>
                <w:sz w:val="24"/>
                <w:szCs w:val="24"/>
              </w:rPr>
            </w:pPr>
            <w:r w:rsidRPr="0052759F">
              <w:rPr>
                <w:rFonts w:cs="Calibri"/>
                <w:sz w:val="24"/>
                <w:szCs w:val="24"/>
              </w:rPr>
              <w:t>Benchmark</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07D33A48"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8" w:space="0" w:color="auto"/>
            </w:tcBorders>
            <w:hideMark/>
          </w:tcPr>
          <w:p w14:paraId="4D6F819F"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8" w:space="0" w:color="auto"/>
            </w:tcBorders>
            <w:hideMark/>
          </w:tcPr>
          <w:p w14:paraId="49CC83B5"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4" w:space="0" w:color="auto"/>
            </w:tcBorders>
          </w:tcPr>
          <w:p w14:paraId="45E59384"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936" w:type="dxa"/>
            <w:tcBorders>
              <w:top w:val="nil"/>
              <w:left w:val="nil"/>
              <w:bottom w:val="single" w:sz="8" w:space="0" w:color="auto"/>
              <w:right w:val="single" w:sz="4" w:space="0" w:color="auto"/>
            </w:tcBorders>
          </w:tcPr>
          <w:p w14:paraId="135903DA" w14:textId="77777777" w:rsidR="008A212A" w:rsidRPr="0052759F" w:rsidRDefault="008A212A" w:rsidP="008A212A">
            <w:pPr>
              <w:pStyle w:val="NoSpacing"/>
              <w:rPr>
                <w:rFonts w:cs="Calibri"/>
                <w:sz w:val="24"/>
                <w:szCs w:val="24"/>
              </w:rPr>
            </w:pPr>
            <w:r w:rsidRPr="0052759F">
              <w:rPr>
                <w:rFonts w:cs="Calibri"/>
                <w:sz w:val="24"/>
                <w:szCs w:val="24"/>
              </w:rPr>
              <w:t>64</w:t>
            </w:r>
          </w:p>
        </w:tc>
      </w:tr>
      <w:tr w:rsidR="008A212A" w:rsidRPr="0052759F" w14:paraId="6B1E7C08"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5A88067A"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2F6D522F" w14:textId="77777777" w:rsidR="008A212A" w:rsidRPr="0052759F" w:rsidRDefault="008A212A" w:rsidP="008A212A">
            <w:pPr>
              <w:pStyle w:val="NoSpacing"/>
              <w:rPr>
                <w:rFonts w:cs="Calibri"/>
                <w:sz w:val="24"/>
                <w:szCs w:val="24"/>
              </w:rPr>
            </w:pPr>
            <w:r w:rsidRPr="0052759F">
              <w:rPr>
                <w:rFonts w:cs="Calibri"/>
                <w:sz w:val="24"/>
                <w:szCs w:val="24"/>
              </w:rPr>
              <w:t>Positions Allocated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0FF6A314" w14:textId="77777777" w:rsidR="008A212A" w:rsidRPr="0052759F" w:rsidRDefault="008A212A" w:rsidP="008A212A">
            <w:pPr>
              <w:pStyle w:val="NoSpacing"/>
              <w:rPr>
                <w:rFonts w:cs="Calibri"/>
                <w:sz w:val="24"/>
                <w:szCs w:val="24"/>
              </w:rPr>
            </w:pPr>
            <w:r w:rsidRPr="0052759F">
              <w:rPr>
                <w:rFonts w:cs="Calibri"/>
                <w:sz w:val="24"/>
                <w:szCs w:val="24"/>
              </w:rPr>
              <w:t>66</w:t>
            </w:r>
          </w:p>
        </w:tc>
        <w:tc>
          <w:tcPr>
            <w:tcW w:w="1080" w:type="dxa"/>
            <w:tcBorders>
              <w:top w:val="nil"/>
              <w:left w:val="nil"/>
              <w:bottom w:val="single" w:sz="8" w:space="0" w:color="auto"/>
              <w:right w:val="single" w:sz="8" w:space="0" w:color="auto"/>
            </w:tcBorders>
            <w:hideMark/>
          </w:tcPr>
          <w:p w14:paraId="03DAED1E"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8" w:space="0" w:color="auto"/>
            </w:tcBorders>
            <w:hideMark/>
          </w:tcPr>
          <w:p w14:paraId="00C749E1"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4" w:space="0" w:color="auto"/>
            </w:tcBorders>
          </w:tcPr>
          <w:p w14:paraId="7869F621"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936" w:type="dxa"/>
            <w:tcBorders>
              <w:top w:val="nil"/>
              <w:left w:val="nil"/>
              <w:bottom w:val="single" w:sz="8" w:space="0" w:color="auto"/>
              <w:right w:val="single" w:sz="4" w:space="0" w:color="auto"/>
            </w:tcBorders>
          </w:tcPr>
          <w:p w14:paraId="14145571" w14:textId="77777777" w:rsidR="008A212A" w:rsidRPr="0052759F" w:rsidRDefault="008A212A" w:rsidP="008A212A">
            <w:pPr>
              <w:pStyle w:val="NoSpacing"/>
              <w:rPr>
                <w:rFonts w:cs="Calibri"/>
                <w:sz w:val="24"/>
                <w:szCs w:val="24"/>
              </w:rPr>
            </w:pPr>
            <w:r w:rsidRPr="0052759F">
              <w:rPr>
                <w:rFonts w:cs="Calibri"/>
                <w:sz w:val="24"/>
                <w:szCs w:val="24"/>
              </w:rPr>
              <w:t>64</w:t>
            </w:r>
          </w:p>
        </w:tc>
      </w:tr>
      <w:tr w:rsidR="008A212A" w:rsidRPr="0052759F" w14:paraId="100420DB"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0B8930A7"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291C1FF5" w14:textId="77777777" w:rsidR="008A212A" w:rsidRPr="0052759F" w:rsidRDefault="008A212A" w:rsidP="008A212A">
            <w:pPr>
              <w:pStyle w:val="NoSpacing"/>
              <w:rPr>
                <w:rFonts w:cs="Calibri"/>
                <w:sz w:val="24"/>
                <w:szCs w:val="24"/>
              </w:rPr>
            </w:pPr>
            <w:r w:rsidRPr="0052759F">
              <w:rPr>
                <w:rFonts w:cs="Calibri"/>
                <w:sz w:val="24"/>
                <w:szCs w:val="24"/>
              </w:rPr>
              <w:t>Positions Filled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3702B0B4" w14:textId="77777777" w:rsidR="008A212A" w:rsidRPr="0052759F" w:rsidRDefault="008A212A" w:rsidP="008A212A">
            <w:pPr>
              <w:pStyle w:val="NoSpacing"/>
              <w:rPr>
                <w:rFonts w:cs="Calibri"/>
                <w:sz w:val="24"/>
                <w:szCs w:val="24"/>
              </w:rPr>
            </w:pPr>
            <w:r w:rsidRPr="0052759F">
              <w:rPr>
                <w:rFonts w:cs="Calibri"/>
                <w:sz w:val="24"/>
                <w:szCs w:val="24"/>
              </w:rPr>
              <w:t>52</w:t>
            </w:r>
          </w:p>
        </w:tc>
        <w:tc>
          <w:tcPr>
            <w:tcW w:w="1080" w:type="dxa"/>
            <w:tcBorders>
              <w:top w:val="nil"/>
              <w:left w:val="nil"/>
              <w:bottom w:val="single" w:sz="8" w:space="0" w:color="auto"/>
              <w:right w:val="single" w:sz="8" w:space="0" w:color="auto"/>
            </w:tcBorders>
            <w:hideMark/>
          </w:tcPr>
          <w:p w14:paraId="7D41B3CA" w14:textId="77777777" w:rsidR="008A212A" w:rsidRPr="0052759F" w:rsidRDefault="008A212A" w:rsidP="008A212A">
            <w:pPr>
              <w:pStyle w:val="NoSpacing"/>
              <w:rPr>
                <w:rFonts w:cs="Calibri"/>
                <w:sz w:val="24"/>
                <w:szCs w:val="24"/>
              </w:rPr>
            </w:pPr>
            <w:r w:rsidRPr="0052759F">
              <w:rPr>
                <w:rFonts w:cs="Calibri"/>
                <w:sz w:val="24"/>
                <w:szCs w:val="24"/>
              </w:rPr>
              <w:t>46</w:t>
            </w:r>
          </w:p>
        </w:tc>
        <w:tc>
          <w:tcPr>
            <w:tcW w:w="1080" w:type="dxa"/>
            <w:tcBorders>
              <w:top w:val="nil"/>
              <w:left w:val="nil"/>
              <w:bottom w:val="single" w:sz="8" w:space="0" w:color="auto"/>
              <w:right w:val="single" w:sz="8" w:space="0" w:color="auto"/>
            </w:tcBorders>
            <w:hideMark/>
          </w:tcPr>
          <w:p w14:paraId="5C9B5ABF" w14:textId="77777777" w:rsidR="008A212A" w:rsidRPr="0052759F" w:rsidRDefault="008A212A" w:rsidP="008A212A">
            <w:pPr>
              <w:pStyle w:val="NoSpacing"/>
              <w:rPr>
                <w:rFonts w:cs="Calibri"/>
                <w:sz w:val="24"/>
                <w:szCs w:val="24"/>
              </w:rPr>
            </w:pPr>
            <w:r w:rsidRPr="0052759F">
              <w:rPr>
                <w:rFonts w:cs="Calibri"/>
                <w:sz w:val="24"/>
                <w:szCs w:val="24"/>
              </w:rPr>
              <w:t>46</w:t>
            </w:r>
          </w:p>
        </w:tc>
        <w:tc>
          <w:tcPr>
            <w:tcW w:w="1080" w:type="dxa"/>
            <w:tcBorders>
              <w:top w:val="nil"/>
              <w:left w:val="nil"/>
              <w:bottom w:val="single" w:sz="8" w:space="0" w:color="auto"/>
              <w:right w:val="single" w:sz="4" w:space="0" w:color="auto"/>
            </w:tcBorders>
          </w:tcPr>
          <w:p w14:paraId="4EF52FB9" w14:textId="77777777" w:rsidR="008A212A" w:rsidRPr="0052759F" w:rsidRDefault="008A212A" w:rsidP="008A212A">
            <w:pPr>
              <w:pStyle w:val="NoSpacing"/>
              <w:rPr>
                <w:rFonts w:cs="Calibri"/>
                <w:sz w:val="24"/>
                <w:szCs w:val="24"/>
              </w:rPr>
            </w:pPr>
            <w:r w:rsidRPr="0052759F">
              <w:rPr>
                <w:rFonts w:cs="Calibri"/>
                <w:sz w:val="24"/>
                <w:szCs w:val="24"/>
              </w:rPr>
              <w:t>50</w:t>
            </w:r>
          </w:p>
        </w:tc>
        <w:tc>
          <w:tcPr>
            <w:tcW w:w="936" w:type="dxa"/>
            <w:tcBorders>
              <w:top w:val="nil"/>
              <w:left w:val="nil"/>
              <w:bottom w:val="single" w:sz="8" w:space="0" w:color="auto"/>
              <w:right w:val="single" w:sz="4" w:space="0" w:color="auto"/>
            </w:tcBorders>
          </w:tcPr>
          <w:p w14:paraId="2F3499FC" w14:textId="77777777" w:rsidR="008A212A" w:rsidRPr="0052759F" w:rsidRDefault="008A212A" w:rsidP="008A212A">
            <w:pPr>
              <w:pStyle w:val="NoSpacing"/>
              <w:rPr>
                <w:rFonts w:cs="Calibri"/>
                <w:sz w:val="24"/>
                <w:szCs w:val="24"/>
              </w:rPr>
            </w:pPr>
            <w:r w:rsidRPr="0052759F">
              <w:rPr>
                <w:rFonts w:cs="Calibri"/>
                <w:sz w:val="24"/>
                <w:szCs w:val="24"/>
              </w:rPr>
              <w:t>5</w:t>
            </w:r>
            <w:r>
              <w:rPr>
                <w:rFonts w:cs="Calibri"/>
                <w:sz w:val="24"/>
                <w:szCs w:val="24"/>
              </w:rPr>
              <w:t>5</w:t>
            </w:r>
          </w:p>
        </w:tc>
      </w:tr>
      <w:tr w:rsidR="008A212A" w:rsidRPr="0052759F" w14:paraId="47B5CFDD"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096D2FE7"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3CD36931" w14:textId="77777777" w:rsidR="008A212A" w:rsidRPr="0052759F" w:rsidRDefault="008A212A" w:rsidP="008A212A">
            <w:pPr>
              <w:pStyle w:val="NoSpacing"/>
              <w:rPr>
                <w:rFonts w:cs="Calibri"/>
                <w:sz w:val="24"/>
                <w:szCs w:val="24"/>
              </w:rPr>
            </w:pPr>
            <w:r w:rsidRPr="0052759F">
              <w:rPr>
                <w:rFonts w:cs="Calibri"/>
                <w:sz w:val="24"/>
                <w:szCs w:val="24"/>
              </w:rPr>
              <w:t>Vacancies</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5774017" w14:textId="77777777" w:rsidR="008A212A" w:rsidRPr="0052759F" w:rsidRDefault="008A212A" w:rsidP="008A212A">
            <w:pPr>
              <w:pStyle w:val="NoSpacing"/>
              <w:rPr>
                <w:rFonts w:cs="Calibri"/>
                <w:sz w:val="24"/>
                <w:szCs w:val="24"/>
              </w:rPr>
            </w:pPr>
            <w:r w:rsidRPr="0052759F">
              <w:rPr>
                <w:rFonts w:cs="Calibri"/>
                <w:sz w:val="24"/>
                <w:szCs w:val="24"/>
              </w:rPr>
              <w:t>14</w:t>
            </w:r>
          </w:p>
        </w:tc>
        <w:tc>
          <w:tcPr>
            <w:tcW w:w="1080" w:type="dxa"/>
            <w:tcBorders>
              <w:top w:val="nil"/>
              <w:left w:val="nil"/>
              <w:bottom w:val="single" w:sz="8" w:space="0" w:color="auto"/>
              <w:right w:val="single" w:sz="8" w:space="0" w:color="auto"/>
            </w:tcBorders>
            <w:hideMark/>
          </w:tcPr>
          <w:p w14:paraId="1AE26A2E" w14:textId="77777777" w:rsidR="008A212A" w:rsidRPr="0052759F" w:rsidRDefault="008A212A" w:rsidP="008A212A">
            <w:pPr>
              <w:pStyle w:val="NoSpacing"/>
              <w:rPr>
                <w:rFonts w:cs="Calibri"/>
                <w:sz w:val="24"/>
                <w:szCs w:val="24"/>
              </w:rPr>
            </w:pPr>
            <w:r w:rsidRPr="0052759F">
              <w:rPr>
                <w:rFonts w:cs="Calibri"/>
                <w:sz w:val="24"/>
                <w:szCs w:val="24"/>
              </w:rPr>
              <w:t>18</w:t>
            </w:r>
          </w:p>
        </w:tc>
        <w:tc>
          <w:tcPr>
            <w:tcW w:w="1080" w:type="dxa"/>
            <w:tcBorders>
              <w:top w:val="nil"/>
              <w:left w:val="nil"/>
              <w:bottom w:val="single" w:sz="8" w:space="0" w:color="auto"/>
              <w:right w:val="single" w:sz="8" w:space="0" w:color="auto"/>
            </w:tcBorders>
            <w:hideMark/>
          </w:tcPr>
          <w:p w14:paraId="7B10268C" w14:textId="77777777" w:rsidR="008A212A" w:rsidRPr="0052759F" w:rsidRDefault="008A212A" w:rsidP="008A212A">
            <w:pPr>
              <w:pStyle w:val="NoSpacing"/>
              <w:rPr>
                <w:rFonts w:cs="Calibri"/>
                <w:sz w:val="24"/>
                <w:szCs w:val="24"/>
              </w:rPr>
            </w:pPr>
            <w:r w:rsidRPr="0052759F">
              <w:rPr>
                <w:rFonts w:cs="Calibri"/>
                <w:sz w:val="24"/>
                <w:szCs w:val="24"/>
              </w:rPr>
              <w:t>18</w:t>
            </w:r>
          </w:p>
        </w:tc>
        <w:tc>
          <w:tcPr>
            <w:tcW w:w="1080" w:type="dxa"/>
            <w:tcBorders>
              <w:top w:val="nil"/>
              <w:left w:val="nil"/>
              <w:bottom w:val="single" w:sz="8" w:space="0" w:color="auto"/>
              <w:right w:val="single" w:sz="4" w:space="0" w:color="auto"/>
            </w:tcBorders>
          </w:tcPr>
          <w:p w14:paraId="35A3BFC6" w14:textId="77777777" w:rsidR="008A212A" w:rsidRPr="0052759F" w:rsidRDefault="008A212A" w:rsidP="008A212A">
            <w:pPr>
              <w:pStyle w:val="NoSpacing"/>
              <w:rPr>
                <w:rFonts w:cs="Calibri"/>
                <w:sz w:val="24"/>
                <w:szCs w:val="24"/>
              </w:rPr>
            </w:pPr>
            <w:r w:rsidRPr="0052759F">
              <w:rPr>
                <w:rFonts w:cs="Calibri"/>
                <w:sz w:val="24"/>
                <w:szCs w:val="24"/>
              </w:rPr>
              <w:t>14</w:t>
            </w:r>
          </w:p>
        </w:tc>
        <w:tc>
          <w:tcPr>
            <w:tcW w:w="936" w:type="dxa"/>
            <w:tcBorders>
              <w:top w:val="nil"/>
              <w:left w:val="nil"/>
              <w:bottom w:val="single" w:sz="8" w:space="0" w:color="auto"/>
              <w:right w:val="single" w:sz="4" w:space="0" w:color="auto"/>
            </w:tcBorders>
          </w:tcPr>
          <w:p w14:paraId="6600CC98" w14:textId="77777777" w:rsidR="008A212A" w:rsidRPr="0052759F" w:rsidRDefault="008A212A" w:rsidP="008A212A">
            <w:pPr>
              <w:pStyle w:val="NoSpacing"/>
              <w:rPr>
                <w:rFonts w:cs="Calibri"/>
                <w:sz w:val="24"/>
                <w:szCs w:val="24"/>
              </w:rPr>
            </w:pPr>
            <w:r w:rsidRPr="0052759F">
              <w:rPr>
                <w:rFonts w:cs="Calibri"/>
                <w:sz w:val="24"/>
                <w:szCs w:val="24"/>
              </w:rPr>
              <w:t>9</w:t>
            </w:r>
          </w:p>
        </w:tc>
      </w:tr>
      <w:tr w:rsidR="008A212A" w:rsidRPr="0052759F" w14:paraId="53C05985" w14:textId="77777777" w:rsidTr="004D4AAC">
        <w:trPr>
          <w:trHeight w:val="538"/>
        </w:trPr>
        <w:tc>
          <w:tcPr>
            <w:tcW w:w="980" w:type="dxa"/>
            <w:vMerge/>
            <w:tcBorders>
              <w:top w:val="nil"/>
              <w:left w:val="single" w:sz="8" w:space="0" w:color="auto"/>
              <w:bottom w:val="single" w:sz="8" w:space="0" w:color="auto"/>
              <w:right w:val="single" w:sz="8" w:space="0" w:color="auto"/>
            </w:tcBorders>
            <w:vAlign w:val="center"/>
            <w:hideMark/>
          </w:tcPr>
          <w:p w14:paraId="24F439AA"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4854E335" w14:textId="77777777" w:rsidR="008A212A" w:rsidRPr="0052759F" w:rsidRDefault="008A212A" w:rsidP="008A212A">
            <w:pPr>
              <w:pStyle w:val="NoSpacing"/>
              <w:rPr>
                <w:rFonts w:cs="Calibri"/>
                <w:sz w:val="24"/>
                <w:szCs w:val="24"/>
              </w:rPr>
            </w:pPr>
            <w:r w:rsidRPr="0052759F">
              <w:rPr>
                <w:rFonts w:cs="Calibri"/>
                <w:sz w:val="24"/>
                <w:szCs w:val="24"/>
              </w:rPr>
              <w:t>Percent of Benchmarks Filled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7B9D47C9" w14:textId="77777777" w:rsidR="008A212A" w:rsidRPr="0052759F" w:rsidRDefault="008A212A" w:rsidP="008A212A">
            <w:pPr>
              <w:pStyle w:val="NoSpacing"/>
              <w:rPr>
                <w:rFonts w:cs="Calibri"/>
                <w:sz w:val="24"/>
                <w:szCs w:val="24"/>
              </w:rPr>
            </w:pPr>
            <w:r w:rsidRPr="0052759F">
              <w:rPr>
                <w:rFonts w:cs="Calibri"/>
                <w:sz w:val="24"/>
                <w:szCs w:val="24"/>
              </w:rPr>
              <w:t>81</w:t>
            </w:r>
          </w:p>
        </w:tc>
        <w:tc>
          <w:tcPr>
            <w:tcW w:w="1080" w:type="dxa"/>
            <w:tcBorders>
              <w:top w:val="nil"/>
              <w:left w:val="nil"/>
              <w:bottom w:val="single" w:sz="8" w:space="0" w:color="auto"/>
              <w:right w:val="single" w:sz="8" w:space="0" w:color="auto"/>
            </w:tcBorders>
            <w:hideMark/>
          </w:tcPr>
          <w:p w14:paraId="5BD7DA8F" w14:textId="77777777" w:rsidR="008A212A" w:rsidRPr="0052759F" w:rsidRDefault="008A212A" w:rsidP="008A212A">
            <w:pPr>
              <w:pStyle w:val="NoSpacing"/>
              <w:rPr>
                <w:rFonts w:cs="Calibri"/>
                <w:sz w:val="24"/>
                <w:szCs w:val="24"/>
              </w:rPr>
            </w:pPr>
            <w:r w:rsidRPr="0052759F">
              <w:rPr>
                <w:rFonts w:cs="Calibri"/>
                <w:sz w:val="24"/>
                <w:szCs w:val="24"/>
              </w:rPr>
              <w:t>72</w:t>
            </w:r>
          </w:p>
        </w:tc>
        <w:tc>
          <w:tcPr>
            <w:tcW w:w="1080" w:type="dxa"/>
            <w:tcBorders>
              <w:top w:val="nil"/>
              <w:left w:val="nil"/>
              <w:bottom w:val="single" w:sz="8" w:space="0" w:color="auto"/>
              <w:right w:val="single" w:sz="8" w:space="0" w:color="auto"/>
            </w:tcBorders>
            <w:hideMark/>
          </w:tcPr>
          <w:p w14:paraId="02E89990" w14:textId="77777777" w:rsidR="008A212A" w:rsidRPr="0052759F" w:rsidRDefault="008A212A" w:rsidP="008A212A">
            <w:pPr>
              <w:pStyle w:val="NoSpacing"/>
              <w:rPr>
                <w:rFonts w:cs="Calibri"/>
                <w:sz w:val="24"/>
                <w:szCs w:val="24"/>
              </w:rPr>
            </w:pPr>
            <w:r w:rsidRPr="0052759F">
              <w:rPr>
                <w:rFonts w:cs="Calibri"/>
                <w:sz w:val="24"/>
                <w:szCs w:val="24"/>
              </w:rPr>
              <w:t>7</w:t>
            </w:r>
            <w:r>
              <w:rPr>
                <w:rFonts w:cs="Calibri"/>
                <w:sz w:val="24"/>
                <w:szCs w:val="24"/>
              </w:rPr>
              <w:t>8</w:t>
            </w:r>
          </w:p>
        </w:tc>
        <w:tc>
          <w:tcPr>
            <w:tcW w:w="1080" w:type="dxa"/>
            <w:tcBorders>
              <w:top w:val="nil"/>
              <w:left w:val="nil"/>
              <w:bottom w:val="single" w:sz="8" w:space="0" w:color="auto"/>
              <w:right w:val="single" w:sz="4" w:space="0" w:color="auto"/>
            </w:tcBorders>
          </w:tcPr>
          <w:p w14:paraId="3057D539" w14:textId="77777777" w:rsidR="008A212A" w:rsidRPr="0052759F" w:rsidRDefault="008A212A" w:rsidP="008A212A">
            <w:pPr>
              <w:pStyle w:val="NoSpacing"/>
              <w:rPr>
                <w:rFonts w:cs="Calibri"/>
                <w:sz w:val="24"/>
                <w:szCs w:val="24"/>
              </w:rPr>
            </w:pPr>
            <w:r w:rsidRPr="0052759F">
              <w:rPr>
                <w:rFonts w:cs="Calibri"/>
                <w:sz w:val="24"/>
                <w:szCs w:val="24"/>
              </w:rPr>
              <w:t>78</w:t>
            </w:r>
          </w:p>
        </w:tc>
        <w:tc>
          <w:tcPr>
            <w:tcW w:w="936" w:type="dxa"/>
            <w:tcBorders>
              <w:top w:val="nil"/>
              <w:left w:val="nil"/>
              <w:bottom w:val="single" w:sz="8" w:space="0" w:color="auto"/>
              <w:right w:val="single" w:sz="4" w:space="0" w:color="auto"/>
            </w:tcBorders>
          </w:tcPr>
          <w:p w14:paraId="349BB01F" w14:textId="77777777" w:rsidR="008A212A" w:rsidRPr="0052759F" w:rsidRDefault="008A212A" w:rsidP="008A212A">
            <w:pPr>
              <w:pStyle w:val="NoSpacing"/>
              <w:rPr>
                <w:rFonts w:cs="Calibri"/>
                <w:sz w:val="24"/>
                <w:szCs w:val="24"/>
              </w:rPr>
            </w:pPr>
            <w:r w:rsidRPr="0052759F">
              <w:rPr>
                <w:rFonts w:cs="Calibri"/>
                <w:sz w:val="24"/>
                <w:szCs w:val="24"/>
              </w:rPr>
              <w:t>86</w:t>
            </w:r>
          </w:p>
        </w:tc>
      </w:tr>
      <w:tr w:rsidR="008A212A" w:rsidRPr="0052759F" w14:paraId="4DF1FD06" w14:textId="77777777" w:rsidTr="004D4AAC">
        <w:trPr>
          <w:trHeight w:val="300"/>
        </w:trPr>
        <w:tc>
          <w:tcPr>
            <w:tcW w:w="98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372F5E" w14:textId="77777777" w:rsidR="008A212A" w:rsidRPr="0052759F" w:rsidRDefault="008A212A" w:rsidP="008A212A">
            <w:pPr>
              <w:pStyle w:val="NoSpacing"/>
              <w:rPr>
                <w:rFonts w:cs="Calibri"/>
                <w:sz w:val="24"/>
                <w:szCs w:val="24"/>
              </w:rPr>
            </w:pPr>
            <w:r w:rsidRPr="0052759F">
              <w:rPr>
                <w:rFonts w:cs="Calibri"/>
                <w:sz w:val="24"/>
                <w:szCs w:val="24"/>
              </w:rPr>
              <w:t>Health</w:t>
            </w: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0120D9C8" w14:textId="77777777" w:rsidR="008A212A" w:rsidRPr="0052759F" w:rsidRDefault="008A212A" w:rsidP="008A212A">
            <w:pPr>
              <w:pStyle w:val="NoSpacing"/>
              <w:rPr>
                <w:rFonts w:cs="Calibri"/>
                <w:sz w:val="24"/>
                <w:szCs w:val="24"/>
              </w:rPr>
            </w:pPr>
            <w:r w:rsidRPr="0052759F">
              <w:rPr>
                <w:rFonts w:cs="Calibri"/>
                <w:sz w:val="24"/>
                <w:szCs w:val="24"/>
              </w:rPr>
              <w:t>Benchmark</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644F7CB6" w14:textId="77777777" w:rsidR="008A212A" w:rsidRPr="0052759F" w:rsidRDefault="008A212A" w:rsidP="008A212A">
            <w:pPr>
              <w:pStyle w:val="NoSpacing"/>
              <w:rPr>
                <w:rFonts w:cs="Calibri"/>
                <w:sz w:val="24"/>
                <w:szCs w:val="24"/>
              </w:rPr>
            </w:pPr>
            <w:r w:rsidRPr="0052759F">
              <w:rPr>
                <w:rFonts w:cs="Calibri"/>
                <w:sz w:val="24"/>
                <w:szCs w:val="24"/>
              </w:rPr>
              <w:t>50</w:t>
            </w:r>
          </w:p>
        </w:tc>
        <w:tc>
          <w:tcPr>
            <w:tcW w:w="1080" w:type="dxa"/>
            <w:tcBorders>
              <w:top w:val="nil"/>
              <w:left w:val="nil"/>
              <w:bottom w:val="single" w:sz="8" w:space="0" w:color="auto"/>
              <w:right w:val="single" w:sz="8" w:space="0" w:color="auto"/>
            </w:tcBorders>
            <w:hideMark/>
          </w:tcPr>
          <w:p w14:paraId="58702EA7" w14:textId="77777777" w:rsidR="008A212A" w:rsidRPr="0052759F" w:rsidRDefault="008A212A" w:rsidP="008A212A">
            <w:pPr>
              <w:pStyle w:val="NoSpacing"/>
              <w:rPr>
                <w:rFonts w:cs="Calibri"/>
                <w:sz w:val="24"/>
                <w:szCs w:val="24"/>
              </w:rPr>
            </w:pPr>
            <w:r w:rsidRPr="0052759F">
              <w:rPr>
                <w:rFonts w:cs="Calibri"/>
                <w:sz w:val="24"/>
                <w:szCs w:val="24"/>
              </w:rPr>
              <w:t>50</w:t>
            </w:r>
          </w:p>
        </w:tc>
        <w:tc>
          <w:tcPr>
            <w:tcW w:w="1080" w:type="dxa"/>
            <w:tcBorders>
              <w:top w:val="nil"/>
              <w:left w:val="nil"/>
              <w:bottom w:val="single" w:sz="8" w:space="0" w:color="auto"/>
              <w:right w:val="single" w:sz="8" w:space="0" w:color="auto"/>
            </w:tcBorders>
            <w:hideMark/>
          </w:tcPr>
          <w:p w14:paraId="62BAAE7B" w14:textId="77777777" w:rsidR="008A212A" w:rsidRPr="0052759F" w:rsidRDefault="008A212A" w:rsidP="008A212A">
            <w:pPr>
              <w:pStyle w:val="NoSpacing"/>
              <w:rPr>
                <w:rFonts w:cs="Calibri"/>
                <w:sz w:val="24"/>
                <w:szCs w:val="24"/>
              </w:rPr>
            </w:pPr>
            <w:r w:rsidRPr="0052759F">
              <w:rPr>
                <w:rFonts w:cs="Calibri"/>
                <w:sz w:val="24"/>
                <w:szCs w:val="24"/>
              </w:rPr>
              <w:t>50</w:t>
            </w:r>
          </w:p>
        </w:tc>
        <w:tc>
          <w:tcPr>
            <w:tcW w:w="1080" w:type="dxa"/>
            <w:tcBorders>
              <w:top w:val="nil"/>
              <w:left w:val="nil"/>
              <w:bottom w:val="single" w:sz="8" w:space="0" w:color="auto"/>
              <w:right w:val="single" w:sz="4" w:space="0" w:color="auto"/>
            </w:tcBorders>
          </w:tcPr>
          <w:p w14:paraId="2EC4A184" w14:textId="77777777" w:rsidR="008A212A" w:rsidRPr="0052759F" w:rsidRDefault="008A212A" w:rsidP="008A212A">
            <w:pPr>
              <w:pStyle w:val="NoSpacing"/>
              <w:rPr>
                <w:rFonts w:cs="Calibri"/>
                <w:sz w:val="24"/>
                <w:szCs w:val="24"/>
              </w:rPr>
            </w:pPr>
            <w:r w:rsidRPr="0052759F">
              <w:rPr>
                <w:rFonts w:cs="Calibri"/>
                <w:sz w:val="24"/>
                <w:szCs w:val="24"/>
              </w:rPr>
              <w:t>50</w:t>
            </w:r>
          </w:p>
        </w:tc>
        <w:tc>
          <w:tcPr>
            <w:tcW w:w="936" w:type="dxa"/>
            <w:tcBorders>
              <w:top w:val="nil"/>
              <w:left w:val="nil"/>
              <w:bottom w:val="single" w:sz="8" w:space="0" w:color="auto"/>
              <w:right w:val="single" w:sz="4" w:space="0" w:color="auto"/>
            </w:tcBorders>
          </w:tcPr>
          <w:p w14:paraId="48750FF5" w14:textId="77777777" w:rsidR="008A212A" w:rsidRPr="0052759F" w:rsidRDefault="008A212A" w:rsidP="008A212A">
            <w:pPr>
              <w:pStyle w:val="NoSpacing"/>
              <w:rPr>
                <w:rFonts w:cs="Calibri"/>
                <w:sz w:val="24"/>
                <w:szCs w:val="24"/>
              </w:rPr>
            </w:pPr>
            <w:r w:rsidRPr="0052759F">
              <w:rPr>
                <w:rFonts w:cs="Calibri"/>
                <w:sz w:val="24"/>
                <w:szCs w:val="24"/>
              </w:rPr>
              <w:t>50</w:t>
            </w:r>
          </w:p>
        </w:tc>
      </w:tr>
      <w:tr w:rsidR="008A212A" w:rsidRPr="0052759F" w14:paraId="69D9096D"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5784B2E8"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18D0656C" w14:textId="77777777" w:rsidR="008A212A" w:rsidRPr="0052759F" w:rsidRDefault="008A212A" w:rsidP="008A212A">
            <w:pPr>
              <w:pStyle w:val="NoSpacing"/>
              <w:rPr>
                <w:rFonts w:cs="Calibri"/>
                <w:sz w:val="24"/>
                <w:szCs w:val="24"/>
              </w:rPr>
            </w:pPr>
            <w:r w:rsidRPr="0052759F">
              <w:rPr>
                <w:rFonts w:cs="Calibri"/>
                <w:sz w:val="24"/>
                <w:szCs w:val="24"/>
              </w:rPr>
              <w:t>Positions Allocated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0DCF8C5F" w14:textId="77777777" w:rsidR="008A212A" w:rsidRPr="0052759F" w:rsidRDefault="008A212A" w:rsidP="008A212A">
            <w:pPr>
              <w:pStyle w:val="NoSpacing"/>
              <w:rPr>
                <w:rFonts w:cs="Calibri"/>
                <w:sz w:val="24"/>
                <w:szCs w:val="24"/>
              </w:rPr>
            </w:pPr>
            <w:r w:rsidRPr="0052759F">
              <w:rPr>
                <w:rFonts w:cs="Calibri"/>
                <w:sz w:val="24"/>
                <w:szCs w:val="24"/>
              </w:rPr>
              <w:t>45</w:t>
            </w:r>
          </w:p>
        </w:tc>
        <w:tc>
          <w:tcPr>
            <w:tcW w:w="1080" w:type="dxa"/>
            <w:tcBorders>
              <w:top w:val="nil"/>
              <w:left w:val="nil"/>
              <w:bottom w:val="single" w:sz="8" w:space="0" w:color="auto"/>
              <w:right w:val="single" w:sz="8" w:space="0" w:color="auto"/>
            </w:tcBorders>
            <w:hideMark/>
          </w:tcPr>
          <w:p w14:paraId="6E48CB76" w14:textId="77777777" w:rsidR="008A212A" w:rsidRPr="0052759F" w:rsidRDefault="008A212A" w:rsidP="008A212A">
            <w:pPr>
              <w:pStyle w:val="NoSpacing"/>
              <w:rPr>
                <w:rFonts w:cs="Calibri"/>
                <w:sz w:val="24"/>
                <w:szCs w:val="24"/>
              </w:rPr>
            </w:pPr>
            <w:r w:rsidRPr="0052759F">
              <w:rPr>
                <w:rFonts w:cs="Calibri"/>
                <w:sz w:val="24"/>
                <w:szCs w:val="24"/>
              </w:rPr>
              <w:t>45</w:t>
            </w:r>
          </w:p>
        </w:tc>
        <w:tc>
          <w:tcPr>
            <w:tcW w:w="1080" w:type="dxa"/>
            <w:tcBorders>
              <w:top w:val="nil"/>
              <w:left w:val="nil"/>
              <w:bottom w:val="single" w:sz="8" w:space="0" w:color="auto"/>
              <w:right w:val="single" w:sz="8" w:space="0" w:color="auto"/>
            </w:tcBorders>
            <w:hideMark/>
          </w:tcPr>
          <w:p w14:paraId="79B25B7C" w14:textId="77777777" w:rsidR="008A212A" w:rsidRPr="0052759F" w:rsidRDefault="008A212A" w:rsidP="008A212A">
            <w:pPr>
              <w:pStyle w:val="NoSpacing"/>
              <w:rPr>
                <w:rFonts w:cs="Calibri"/>
                <w:sz w:val="24"/>
                <w:szCs w:val="24"/>
              </w:rPr>
            </w:pPr>
            <w:r w:rsidRPr="0052759F">
              <w:rPr>
                <w:rFonts w:cs="Calibri"/>
                <w:sz w:val="24"/>
                <w:szCs w:val="24"/>
              </w:rPr>
              <w:t>4</w:t>
            </w:r>
            <w:r>
              <w:rPr>
                <w:rFonts w:cs="Calibri"/>
                <w:sz w:val="24"/>
                <w:szCs w:val="24"/>
              </w:rPr>
              <w:t>6</w:t>
            </w:r>
          </w:p>
        </w:tc>
        <w:tc>
          <w:tcPr>
            <w:tcW w:w="1080" w:type="dxa"/>
            <w:tcBorders>
              <w:top w:val="nil"/>
              <w:left w:val="nil"/>
              <w:bottom w:val="single" w:sz="8" w:space="0" w:color="auto"/>
              <w:right w:val="single" w:sz="4" w:space="0" w:color="auto"/>
            </w:tcBorders>
          </w:tcPr>
          <w:p w14:paraId="4A6C9A5C" w14:textId="77777777" w:rsidR="008A212A" w:rsidRPr="0052759F" w:rsidRDefault="008A212A" w:rsidP="008A212A">
            <w:pPr>
              <w:pStyle w:val="NoSpacing"/>
              <w:rPr>
                <w:rFonts w:cs="Calibri"/>
                <w:sz w:val="24"/>
                <w:szCs w:val="24"/>
              </w:rPr>
            </w:pPr>
            <w:r w:rsidRPr="0052759F">
              <w:rPr>
                <w:rFonts w:cs="Calibri"/>
                <w:sz w:val="24"/>
                <w:szCs w:val="24"/>
              </w:rPr>
              <w:t>46</w:t>
            </w:r>
          </w:p>
        </w:tc>
        <w:tc>
          <w:tcPr>
            <w:tcW w:w="936" w:type="dxa"/>
            <w:tcBorders>
              <w:top w:val="nil"/>
              <w:left w:val="nil"/>
              <w:bottom w:val="single" w:sz="8" w:space="0" w:color="auto"/>
              <w:right w:val="single" w:sz="4" w:space="0" w:color="auto"/>
            </w:tcBorders>
          </w:tcPr>
          <w:p w14:paraId="436A8E11" w14:textId="77777777" w:rsidR="008A212A" w:rsidRPr="0052759F" w:rsidRDefault="008A212A" w:rsidP="008A212A">
            <w:pPr>
              <w:pStyle w:val="NoSpacing"/>
              <w:rPr>
                <w:rFonts w:cs="Calibri"/>
                <w:sz w:val="24"/>
                <w:szCs w:val="24"/>
              </w:rPr>
            </w:pPr>
            <w:r w:rsidRPr="0052759F">
              <w:rPr>
                <w:rFonts w:cs="Calibri"/>
                <w:sz w:val="24"/>
                <w:szCs w:val="24"/>
              </w:rPr>
              <w:t>46</w:t>
            </w:r>
          </w:p>
        </w:tc>
      </w:tr>
      <w:tr w:rsidR="008A212A" w:rsidRPr="0052759F" w14:paraId="367D50D4"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464B7FFA"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59796A71" w14:textId="77777777" w:rsidR="008A212A" w:rsidRPr="0052759F" w:rsidRDefault="008A212A" w:rsidP="008A212A">
            <w:pPr>
              <w:pStyle w:val="NoSpacing"/>
              <w:rPr>
                <w:rFonts w:cs="Calibri"/>
                <w:sz w:val="24"/>
                <w:szCs w:val="24"/>
              </w:rPr>
            </w:pPr>
            <w:r w:rsidRPr="0052759F">
              <w:rPr>
                <w:rFonts w:cs="Calibri"/>
                <w:sz w:val="24"/>
                <w:szCs w:val="24"/>
              </w:rPr>
              <w:t>Positions Filled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21F55BFA" w14:textId="77777777" w:rsidR="008A212A" w:rsidRPr="0052759F" w:rsidRDefault="008A212A" w:rsidP="008A212A">
            <w:pPr>
              <w:pStyle w:val="NoSpacing"/>
              <w:rPr>
                <w:rFonts w:cs="Calibri"/>
                <w:sz w:val="24"/>
                <w:szCs w:val="24"/>
              </w:rPr>
            </w:pPr>
            <w:r w:rsidRPr="0052759F">
              <w:rPr>
                <w:rFonts w:cs="Calibri"/>
                <w:sz w:val="24"/>
                <w:szCs w:val="24"/>
              </w:rPr>
              <w:t>32</w:t>
            </w:r>
          </w:p>
        </w:tc>
        <w:tc>
          <w:tcPr>
            <w:tcW w:w="1080" w:type="dxa"/>
            <w:tcBorders>
              <w:top w:val="nil"/>
              <w:left w:val="nil"/>
              <w:bottom w:val="single" w:sz="8" w:space="0" w:color="auto"/>
              <w:right w:val="single" w:sz="8" w:space="0" w:color="auto"/>
            </w:tcBorders>
            <w:hideMark/>
          </w:tcPr>
          <w:p w14:paraId="5CD64103" w14:textId="77777777" w:rsidR="008A212A" w:rsidRPr="0052759F" w:rsidRDefault="008A212A" w:rsidP="008A212A">
            <w:pPr>
              <w:pStyle w:val="NoSpacing"/>
              <w:rPr>
                <w:rFonts w:cs="Calibri"/>
                <w:sz w:val="24"/>
                <w:szCs w:val="24"/>
              </w:rPr>
            </w:pPr>
            <w:r w:rsidRPr="0052759F">
              <w:rPr>
                <w:rFonts w:cs="Calibri"/>
                <w:sz w:val="24"/>
                <w:szCs w:val="24"/>
              </w:rPr>
              <w:t>33</w:t>
            </w:r>
          </w:p>
        </w:tc>
        <w:tc>
          <w:tcPr>
            <w:tcW w:w="1080" w:type="dxa"/>
            <w:tcBorders>
              <w:top w:val="nil"/>
              <w:left w:val="nil"/>
              <w:bottom w:val="single" w:sz="8" w:space="0" w:color="auto"/>
              <w:right w:val="single" w:sz="8" w:space="0" w:color="auto"/>
            </w:tcBorders>
            <w:hideMark/>
          </w:tcPr>
          <w:p w14:paraId="2288FCF6" w14:textId="77777777" w:rsidR="008A212A" w:rsidRPr="0052759F" w:rsidRDefault="008A212A" w:rsidP="008A212A">
            <w:pPr>
              <w:pStyle w:val="NoSpacing"/>
              <w:rPr>
                <w:rFonts w:cs="Calibri"/>
                <w:sz w:val="24"/>
                <w:szCs w:val="24"/>
              </w:rPr>
            </w:pPr>
            <w:r w:rsidRPr="0052759F">
              <w:rPr>
                <w:rFonts w:cs="Calibri"/>
                <w:sz w:val="24"/>
                <w:szCs w:val="24"/>
              </w:rPr>
              <w:t>3</w:t>
            </w:r>
            <w:r>
              <w:rPr>
                <w:rFonts w:cs="Calibri"/>
                <w:sz w:val="24"/>
                <w:szCs w:val="24"/>
              </w:rPr>
              <w:t>5</w:t>
            </w:r>
          </w:p>
        </w:tc>
        <w:tc>
          <w:tcPr>
            <w:tcW w:w="1080" w:type="dxa"/>
            <w:tcBorders>
              <w:top w:val="nil"/>
              <w:left w:val="nil"/>
              <w:bottom w:val="single" w:sz="8" w:space="0" w:color="auto"/>
              <w:right w:val="single" w:sz="4" w:space="0" w:color="auto"/>
            </w:tcBorders>
          </w:tcPr>
          <w:p w14:paraId="7C5D4048" w14:textId="77777777" w:rsidR="008A212A" w:rsidRPr="0052759F" w:rsidRDefault="008A212A" w:rsidP="008A212A">
            <w:pPr>
              <w:pStyle w:val="NoSpacing"/>
              <w:rPr>
                <w:rFonts w:cs="Calibri"/>
                <w:sz w:val="24"/>
                <w:szCs w:val="24"/>
              </w:rPr>
            </w:pPr>
            <w:r w:rsidRPr="0052759F">
              <w:rPr>
                <w:rFonts w:cs="Calibri"/>
                <w:sz w:val="24"/>
                <w:szCs w:val="24"/>
              </w:rPr>
              <w:t>38</w:t>
            </w:r>
          </w:p>
        </w:tc>
        <w:tc>
          <w:tcPr>
            <w:tcW w:w="936" w:type="dxa"/>
            <w:tcBorders>
              <w:top w:val="nil"/>
              <w:left w:val="nil"/>
              <w:bottom w:val="single" w:sz="8" w:space="0" w:color="auto"/>
              <w:right w:val="single" w:sz="4" w:space="0" w:color="auto"/>
            </w:tcBorders>
          </w:tcPr>
          <w:p w14:paraId="2077FEF9" w14:textId="77777777" w:rsidR="008A212A" w:rsidRPr="0052759F" w:rsidRDefault="008A212A" w:rsidP="008A212A">
            <w:pPr>
              <w:pStyle w:val="NoSpacing"/>
              <w:rPr>
                <w:rFonts w:cs="Calibri"/>
                <w:sz w:val="24"/>
                <w:szCs w:val="24"/>
              </w:rPr>
            </w:pPr>
            <w:r w:rsidRPr="0052759F">
              <w:rPr>
                <w:rFonts w:cs="Calibri"/>
                <w:sz w:val="24"/>
                <w:szCs w:val="24"/>
              </w:rPr>
              <w:t>43</w:t>
            </w:r>
          </w:p>
        </w:tc>
      </w:tr>
      <w:tr w:rsidR="008A212A" w:rsidRPr="0052759F" w14:paraId="49241436"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00929B9A"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13681A78" w14:textId="77777777" w:rsidR="008A212A" w:rsidRPr="0052759F" w:rsidRDefault="008A212A" w:rsidP="008A212A">
            <w:pPr>
              <w:pStyle w:val="NoSpacing"/>
              <w:rPr>
                <w:rFonts w:cs="Calibri"/>
                <w:sz w:val="24"/>
                <w:szCs w:val="24"/>
              </w:rPr>
            </w:pPr>
            <w:r w:rsidRPr="0052759F">
              <w:rPr>
                <w:rFonts w:cs="Calibri"/>
                <w:sz w:val="24"/>
                <w:szCs w:val="24"/>
              </w:rPr>
              <w:t>Vacancies</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BCC37ED" w14:textId="77777777" w:rsidR="008A212A" w:rsidRPr="0052759F" w:rsidRDefault="008A212A" w:rsidP="008A212A">
            <w:pPr>
              <w:pStyle w:val="NoSpacing"/>
              <w:rPr>
                <w:rFonts w:cs="Calibri"/>
                <w:sz w:val="24"/>
                <w:szCs w:val="24"/>
              </w:rPr>
            </w:pPr>
            <w:r w:rsidRPr="0052759F">
              <w:rPr>
                <w:rFonts w:cs="Calibri"/>
                <w:sz w:val="24"/>
                <w:szCs w:val="24"/>
              </w:rPr>
              <w:t>13</w:t>
            </w:r>
          </w:p>
        </w:tc>
        <w:tc>
          <w:tcPr>
            <w:tcW w:w="1080" w:type="dxa"/>
            <w:tcBorders>
              <w:top w:val="nil"/>
              <w:left w:val="nil"/>
              <w:bottom w:val="single" w:sz="8" w:space="0" w:color="auto"/>
              <w:right w:val="single" w:sz="8" w:space="0" w:color="auto"/>
            </w:tcBorders>
            <w:hideMark/>
          </w:tcPr>
          <w:p w14:paraId="048A4546" w14:textId="77777777" w:rsidR="008A212A" w:rsidRPr="0052759F" w:rsidRDefault="008A212A" w:rsidP="008A212A">
            <w:pPr>
              <w:pStyle w:val="NoSpacing"/>
              <w:rPr>
                <w:rFonts w:cs="Calibri"/>
                <w:sz w:val="24"/>
                <w:szCs w:val="24"/>
              </w:rPr>
            </w:pPr>
            <w:r w:rsidRPr="0052759F">
              <w:rPr>
                <w:rFonts w:cs="Calibri"/>
                <w:sz w:val="24"/>
                <w:szCs w:val="24"/>
              </w:rPr>
              <w:t>12</w:t>
            </w:r>
          </w:p>
        </w:tc>
        <w:tc>
          <w:tcPr>
            <w:tcW w:w="1080" w:type="dxa"/>
            <w:tcBorders>
              <w:top w:val="nil"/>
              <w:left w:val="nil"/>
              <w:bottom w:val="single" w:sz="8" w:space="0" w:color="auto"/>
              <w:right w:val="single" w:sz="8" w:space="0" w:color="auto"/>
            </w:tcBorders>
            <w:hideMark/>
          </w:tcPr>
          <w:p w14:paraId="479032CF" w14:textId="77777777" w:rsidR="008A212A" w:rsidRPr="0052759F" w:rsidRDefault="008A212A" w:rsidP="008A212A">
            <w:pPr>
              <w:pStyle w:val="NoSpacing"/>
              <w:rPr>
                <w:rFonts w:cs="Calibri"/>
                <w:sz w:val="24"/>
                <w:szCs w:val="24"/>
              </w:rPr>
            </w:pPr>
            <w:r w:rsidRPr="0052759F">
              <w:rPr>
                <w:rFonts w:cs="Calibri"/>
                <w:sz w:val="24"/>
                <w:szCs w:val="24"/>
              </w:rPr>
              <w:t>1</w:t>
            </w:r>
            <w:r>
              <w:rPr>
                <w:rFonts w:cs="Calibri"/>
                <w:sz w:val="24"/>
                <w:szCs w:val="24"/>
              </w:rPr>
              <w:t>1</w:t>
            </w:r>
          </w:p>
        </w:tc>
        <w:tc>
          <w:tcPr>
            <w:tcW w:w="1080" w:type="dxa"/>
            <w:tcBorders>
              <w:top w:val="nil"/>
              <w:left w:val="nil"/>
              <w:bottom w:val="single" w:sz="8" w:space="0" w:color="auto"/>
              <w:right w:val="single" w:sz="4" w:space="0" w:color="auto"/>
            </w:tcBorders>
          </w:tcPr>
          <w:p w14:paraId="01F9FD04" w14:textId="77777777" w:rsidR="008A212A" w:rsidRPr="0052759F" w:rsidRDefault="008A212A" w:rsidP="008A212A">
            <w:pPr>
              <w:pStyle w:val="NoSpacing"/>
              <w:rPr>
                <w:rFonts w:cs="Calibri"/>
                <w:sz w:val="24"/>
                <w:szCs w:val="24"/>
              </w:rPr>
            </w:pPr>
            <w:r w:rsidRPr="0052759F">
              <w:rPr>
                <w:rFonts w:cs="Calibri"/>
                <w:sz w:val="24"/>
                <w:szCs w:val="24"/>
              </w:rPr>
              <w:t>8</w:t>
            </w:r>
          </w:p>
        </w:tc>
        <w:tc>
          <w:tcPr>
            <w:tcW w:w="936" w:type="dxa"/>
            <w:tcBorders>
              <w:top w:val="nil"/>
              <w:left w:val="nil"/>
              <w:bottom w:val="single" w:sz="8" w:space="0" w:color="auto"/>
              <w:right w:val="single" w:sz="4" w:space="0" w:color="auto"/>
            </w:tcBorders>
          </w:tcPr>
          <w:p w14:paraId="6E6C3B19" w14:textId="77777777" w:rsidR="008A212A" w:rsidRPr="0052759F" w:rsidRDefault="008A212A" w:rsidP="008A212A">
            <w:pPr>
              <w:pStyle w:val="NoSpacing"/>
              <w:rPr>
                <w:rFonts w:cs="Calibri"/>
                <w:sz w:val="24"/>
                <w:szCs w:val="24"/>
              </w:rPr>
            </w:pPr>
            <w:r w:rsidRPr="0052759F">
              <w:rPr>
                <w:rFonts w:cs="Calibri"/>
                <w:sz w:val="24"/>
                <w:szCs w:val="24"/>
              </w:rPr>
              <w:t>3</w:t>
            </w:r>
          </w:p>
        </w:tc>
      </w:tr>
      <w:tr w:rsidR="008A212A" w:rsidRPr="0052759F" w14:paraId="48BE7628" w14:textId="77777777" w:rsidTr="004D4AAC">
        <w:trPr>
          <w:trHeight w:val="300"/>
        </w:trPr>
        <w:tc>
          <w:tcPr>
            <w:tcW w:w="980" w:type="dxa"/>
            <w:vMerge/>
            <w:tcBorders>
              <w:top w:val="nil"/>
              <w:left w:val="single" w:sz="8" w:space="0" w:color="auto"/>
              <w:bottom w:val="single" w:sz="8" w:space="0" w:color="auto"/>
              <w:right w:val="single" w:sz="8" w:space="0" w:color="auto"/>
            </w:tcBorders>
            <w:vAlign w:val="center"/>
            <w:hideMark/>
          </w:tcPr>
          <w:p w14:paraId="08283C34" w14:textId="77777777" w:rsidR="008A212A" w:rsidRPr="0052759F" w:rsidRDefault="008A212A" w:rsidP="008A212A">
            <w:pPr>
              <w:pStyle w:val="NoSpacing"/>
              <w:rPr>
                <w:rFonts w:cs="Calibri"/>
                <w:sz w:val="24"/>
                <w:szCs w:val="24"/>
              </w:rPr>
            </w:pPr>
          </w:p>
        </w:tc>
        <w:tc>
          <w:tcPr>
            <w:tcW w:w="2584" w:type="dxa"/>
            <w:tcBorders>
              <w:top w:val="nil"/>
              <w:left w:val="nil"/>
              <w:bottom w:val="single" w:sz="8" w:space="0" w:color="auto"/>
              <w:right w:val="single" w:sz="8" w:space="0" w:color="auto"/>
            </w:tcBorders>
            <w:tcMar>
              <w:top w:w="0" w:type="dxa"/>
              <w:left w:w="108" w:type="dxa"/>
              <w:bottom w:w="0" w:type="dxa"/>
              <w:right w:w="108" w:type="dxa"/>
            </w:tcMar>
            <w:hideMark/>
          </w:tcPr>
          <w:p w14:paraId="0A9A4F8A" w14:textId="77777777" w:rsidR="008A212A" w:rsidRPr="0052759F" w:rsidRDefault="008A212A" w:rsidP="008A212A">
            <w:pPr>
              <w:pStyle w:val="NoSpacing"/>
              <w:rPr>
                <w:rFonts w:cs="Calibri"/>
                <w:sz w:val="24"/>
                <w:szCs w:val="24"/>
              </w:rPr>
            </w:pPr>
            <w:r w:rsidRPr="0052759F">
              <w:rPr>
                <w:rFonts w:cs="Calibri"/>
                <w:sz w:val="24"/>
                <w:szCs w:val="24"/>
              </w:rPr>
              <w:t>Percent of Benchmarks Filled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5CEA20E5" w14:textId="77777777" w:rsidR="008A212A" w:rsidRPr="0052759F" w:rsidRDefault="008A212A" w:rsidP="008A212A">
            <w:pPr>
              <w:pStyle w:val="NoSpacing"/>
              <w:rPr>
                <w:rFonts w:cs="Calibri"/>
                <w:sz w:val="24"/>
                <w:szCs w:val="24"/>
              </w:rPr>
            </w:pPr>
            <w:r w:rsidRPr="0052759F">
              <w:rPr>
                <w:rFonts w:cs="Calibri"/>
                <w:sz w:val="24"/>
                <w:szCs w:val="24"/>
              </w:rPr>
              <w:t>64</w:t>
            </w:r>
          </w:p>
        </w:tc>
        <w:tc>
          <w:tcPr>
            <w:tcW w:w="1080" w:type="dxa"/>
            <w:tcBorders>
              <w:top w:val="nil"/>
              <w:left w:val="nil"/>
              <w:bottom w:val="single" w:sz="8" w:space="0" w:color="auto"/>
              <w:right w:val="single" w:sz="8" w:space="0" w:color="auto"/>
            </w:tcBorders>
            <w:hideMark/>
          </w:tcPr>
          <w:p w14:paraId="1CFCE123" w14:textId="77777777" w:rsidR="008A212A" w:rsidRPr="0052759F" w:rsidRDefault="008A212A" w:rsidP="008A212A">
            <w:pPr>
              <w:pStyle w:val="NoSpacing"/>
              <w:rPr>
                <w:rFonts w:cs="Calibri"/>
                <w:sz w:val="24"/>
                <w:szCs w:val="24"/>
              </w:rPr>
            </w:pPr>
            <w:r w:rsidRPr="0052759F">
              <w:rPr>
                <w:rFonts w:cs="Calibri"/>
                <w:sz w:val="24"/>
                <w:szCs w:val="24"/>
              </w:rPr>
              <w:t>66</w:t>
            </w:r>
          </w:p>
        </w:tc>
        <w:tc>
          <w:tcPr>
            <w:tcW w:w="1080" w:type="dxa"/>
            <w:tcBorders>
              <w:top w:val="nil"/>
              <w:left w:val="nil"/>
              <w:bottom w:val="single" w:sz="8" w:space="0" w:color="auto"/>
              <w:right w:val="single" w:sz="8" w:space="0" w:color="auto"/>
            </w:tcBorders>
            <w:hideMark/>
          </w:tcPr>
          <w:p w14:paraId="2C55BD6E" w14:textId="77777777" w:rsidR="008A212A" w:rsidRPr="0052759F" w:rsidRDefault="008A212A" w:rsidP="008A212A">
            <w:pPr>
              <w:pStyle w:val="NoSpacing"/>
              <w:rPr>
                <w:rFonts w:cs="Calibri"/>
                <w:sz w:val="24"/>
                <w:szCs w:val="24"/>
              </w:rPr>
            </w:pPr>
            <w:r>
              <w:rPr>
                <w:rFonts w:cs="Calibri"/>
                <w:sz w:val="24"/>
                <w:szCs w:val="24"/>
              </w:rPr>
              <w:t>70</w:t>
            </w:r>
          </w:p>
        </w:tc>
        <w:tc>
          <w:tcPr>
            <w:tcW w:w="1080" w:type="dxa"/>
            <w:tcBorders>
              <w:top w:val="nil"/>
              <w:left w:val="nil"/>
              <w:bottom w:val="single" w:sz="8" w:space="0" w:color="auto"/>
              <w:right w:val="single" w:sz="4" w:space="0" w:color="auto"/>
            </w:tcBorders>
          </w:tcPr>
          <w:p w14:paraId="7050E3E6" w14:textId="77777777" w:rsidR="008A212A" w:rsidRPr="0052759F" w:rsidRDefault="008A212A" w:rsidP="008A212A">
            <w:pPr>
              <w:pStyle w:val="NoSpacing"/>
              <w:rPr>
                <w:rFonts w:cs="Calibri"/>
                <w:sz w:val="24"/>
                <w:szCs w:val="24"/>
              </w:rPr>
            </w:pPr>
            <w:r w:rsidRPr="0052759F">
              <w:rPr>
                <w:rFonts w:cs="Calibri"/>
                <w:sz w:val="24"/>
                <w:szCs w:val="24"/>
              </w:rPr>
              <w:t>76</w:t>
            </w:r>
          </w:p>
        </w:tc>
        <w:tc>
          <w:tcPr>
            <w:tcW w:w="936" w:type="dxa"/>
            <w:tcBorders>
              <w:top w:val="nil"/>
              <w:left w:val="nil"/>
              <w:bottom w:val="single" w:sz="8" w:space="0" w:color="auto"/>
              <w:right w:val="single" w:sz="4" w:space="0" w:color="auto"/>
            </w:tcBorders>
          </w:tcPr>
          <w:p w14:paraId="6A43DE92" w14:textId="77777777" w:rsidR="008A212A" w:rsidRPr="0052759F" w:rsidRDefault="008A212A" w:rsidP="008A212A">
            <w:pPr>
              <w:pStyle w:val="NoSpacing"/>
              <w:rPr>
                <w:rFonts w:cs="Calibri"/>
                <w:sz w:val="24"/>
                <w:szCs w:val="24"/>
              </w:rPr>
            </w:pPr>
            <w:r w:rsidRPr="0052759F">
              <w:rPr>
                <w:rFonts w:cs="Calibri"/>
                <w:sz w:val="24"/>
                <w:szCs w:val="24"/>
              </w:rPr>
              <w:t>86</w:t>
            </w:r>
          </w:p>
        </w:tc>
      </w:tr>
    </w:tbl>
    <w:p w14:paraId="4DD6AC86" w14:textId="77777777" w:rsidR="000465DA" w:rsidRDefault="000465DA" w:rsidP="000465DA">
      <w:pPr>
        <w:rPr>
          <w:rFonts w:asciiTheme="minorHAnsi" w:hAnsiTheme="minorHAnsi" w:cstheme="minorHAnsi"/>
        </w:rPr>
      </w:pPr>
    </w:p>
    <w:p w14:paraId="25EEA531" w14:textId="77777777" w:rsidR="008A751C" w:rsidRDefault="008A751C" w:rsidP="000465DA">
      <w:pPr>
        <w:rPr>
          <w:rFonts w:asciiTheme="minorHAnsi" w:hAnsiTheme="minorHAnsi" w:cstheme="minorHAnsi"/>
        </w:rPr>
      </w:pPr>
    </w:p>
    <w:p w14:paraId="7EF578AB" w14:textId="77777777" w:rsidR="008A751C" w:rsidRDefault="008A751C" w:rsidP="000465DA">
      <w:pPr>
        <w:rPr>
          <w:rFonts w:asciiTheme="minorHAnsi" w:hAnsiTheme="minorHAnsi" w:cstheme="minorHAnsi"/>
        </w:rPr>
      </w:pPr>
    </w:p>
    <w:p w14:paraId="2262EEDA" w14:textId="77777777" w:rsidR="008A751C" w:rsidRDefault="008A751C" w:rsidP="000465DA">
      <w:pPr>
        <w:rPr>
          <w:rFonts w:asciiTheme="minorHAnsi" w:hAnsiTheme="minorHAnsi" w:cstheme="minorHAnsi"/>
        </w:rPr>
      </w:pPr>
    </w:p>
    <w:p w14:paraId="479E05DE" w14:textId="77777777" w:rsidR="000465DA" w:rsidRDefault="000465DA" w:rsidP="000465DA">
      <w:pPr>
        <w:rPr>
          <w:rFonts w:asciiTheme="minorHAnsi" w:hAnsiTheme="minorHAnsi" w:cstheme="minorHAnsi"/>
        </w:rPr>
      </w:pPr>
    </w:p>
    <w:p w14:paraId="744DD21D" w14:textId="77777777" w:rsidR="000465DA" w:rsidRDefault="000465DA" w:rsidP="000465DA">
      <w:pPr>
        <w:rPr>
          <w:rFonts w:asciiTheme="minorHAnsi" w:hAnsiTheme="minorHAnsi" w:cstheme="minorHAnsi"/>
        </w:rPr>
      </w:pPr>
    </w:p>
    <w:p w14:paraId="73236703" w14:textId="77777777" w:rsidR="000465DA" w:rsidRDefault="000465DA" w:rsidP="000465DA">
      <w:pPr>
        <w:rPr>
          <w:rFonts w:asciiTheme="minorHAnsi" w:hAnsiTheme="minorHAnsi" w:cstheme="minorHAnsi"/>
        </w:rPr>
      </w:pPr>
    </w:p>
    <w:p w14:paraId="50511B83" w14:textId="77777777" w:rsidR="000465DA" w:rsidRPr="000465DA" w:rsidRDefault="000465DA" w:rsidP="000465DA">
      <w:pPr>
        <w:rPr>
          <w:rFonts w:asciiTheme="minorHAnsi" w:hAnsiTheme="minorHAnsi" w:cstheme="minorHAnsi"/>
        </w:rPr>
      </w:pPr>
    </w:p>
    <w:p w14:paraId="1C3B6928" w14:textId="77777777" w:rsidR="008A751C" w:rsidRDefault="008A751C" w:rsidP="00356D71">
      <w:pPr>
        <w:ind w:left="1080" w:hanging="720"/>
        <w:contextualSpacing/>
        <w:rPr>
          <w:rFonts w:asciiTheme="minorHAnsi" w:hAnsiTheme="minorHAnsi" w:cstheme="minorHAnsi"/>
          <w:b/>
          <w:smallCaps/>
        </w:rPr>
      </w:pPr>
    </w:p>
    <w:p w14:paraId="163D3017" w14:textId="77777777" w:rsidR="008A751C" w:rsidRDefault="008A751C" w:rsidP="00356D71">
      <w:pPr>
        <w:ind w:left="1080" w:hanging="720"/>
        <w:contextualSpacing/>
        <w:rPr>
          <w:rFonts w:asciiTheme="minorHAnsi" w:hAnsiTheme="minorHAnsi" w:cstheme="minorHAnsi"/>
          <w:b/>
          <w:smallCaps/>
        </w:rPr>
      </w:pPr>
    </w:p>
    <w:p w14:paraId="49788D3D" w14:textId="77777777" w:rsidR="008A751C" w:rsidRDefault="008A751C" w:rsidP="00356D71">
      <w:pPr>
        <w:ind w:left="1080" w:hanging="720"/>
        <w:contextualSpacing/>
        <w:rPr>
          <w:rFonts w:asciiTheme="minorHAnsi" w:hAnsiTheme="minorHAnsi" w:cstheme="minorHAnsi"/>
          <w:b/>
          <w:smallCaps/>
        </w:rPr>
      </w:pPr>
    </w:p>
    <w:p w14:paraId="18A04B1F" w14:textId="77777777" w:rsidR="008A751C" w:rsidRDefault="008A751C" w:rsidP="00356D71">
      <w:pPr>
        <w:ind w:left="1080" w:hanging="720"/>
        <w:contextualSpacing/>
        <w:rPr>
          <w:rFonts w:asciiTheme="minorHAnsi" w:hAnsiTheme="minorHAnsi" w:cstheme="minorHAnsi"/>
          <w:b/>
          <w:smallCaps/>
        </w:rPr>
      </w:pPr>
    </w:p>
    <w:p w14:paraId="29C51109" w14:textId="77777777" w:rsidR="008A751C" w:rsidRDefault="008A751C" w:rsidP="00356D71">
      <w:pPr>
        <w:ind w:left="1080" w:hanging="720"/>
        <w:contextualSpacing/>
        <w:rPr>
          <w:rFonts w:asciiTheme="minorHAnsi" w:hAnsiTheme="minorHAnsi" w:cstheme="minorHAnsi"/>
          <w:b/>
          <w:smallCaps/>
        </w:rPr>
      </w:pPr>
    </w:p>
    <w:p w14:paraId="006102E3" w14:textId="77777777" w:rsidR="008A751C" w:rsidRDefault="008A751C" w:rsidP="00356D71">
      <w:pPr>
        <w:ind w:left="1080" w:hanging="720"/>
        <w:contextualSpacing/>
        <w:rPr>
          <w:rFonts w:asciiTheme="minorHAnsi" w:hAnsiTheme="minorHAnsi" w:cstheme="minorHAnsi"/>
          <w:b/>
          <w:smallCaps/>
        </w:rPr>
      </w:pPr>
    </w:p>
    <w:p w14:paraId="51A4CB7C" w14:textId="77777777" w:rsidR="008A751C" w:rsidRDefault="008A751C" w:rsidP="00356D71">
      <w:pPr>
        <w:ind w:left="1080" w:hanging="720"/>
        <w:contextualSpacing/>
        <w:rPr>
          <w:rFonts w:asciiTheme="minorHAnsi" w:hAnsiTheme="minorHAnsi" w:cstheme="minorHAnsi"/>
          <w:b/>
          <w:smallCaps/>
        </w:rPr>
      </w:pPr>
    </w:p>
    <w:p w14:paraId="748F9052" w14:textId="77777777" w:rsidR="008A751C" w:rsidRDefault="008A751C" w:rsidP="00356D71">
      <w:pPr>
        <w:ind w:left="1080" w:hanging="720"/>
        <w:contextualSpacing/>
        <w:rPr>
          <w:rFonts w:asciiTheme="minorHAnsi" w:hAnsiTheme="minorHAnsi" w:cstheme="minorHAnsi"/>
          <w:b/>
          <w:smallCaps/>
        </w:rPr>
      </w:pPr>
    </w:p>
    <w:p w14:paraId="56FD3EA8" w14:textId="526129DB" w:rsidR="00782EEC" w:rsidRPr="00356D71" w:rsidRDefault="005A02B8" w:rsidP="00356D71">
      <w:pPr>
        <w:ind w:left="1080" w:hanging="720"/>
        <w:contextualSpacing/>
        <w:rPr>
          <w:rFonts w:asciiTheme="minorHAnsi" w:hAnsiTheme="minorHAnsi" w:cstheme="minorHAnsi"/>
          <w:b/>
          <w:smallCaps/>
        </w:rPr>
      </w:pPr>
      <w:r w:rsidRPr="00356D71">
        <w:rPr>
          <w:rFonts w:asciiTheme="minorHAnsi" w:hAnsiTheme="minorHAnsi" w:cstheme="minorHAnsi"/>
          <w:b/>
          <w:smallCaps/>
        </w:rPr>
        <w:t>2</w:t>
      </w:r>
      <w:r w:rsidR="00782EEC" w:rsidRPr="00356D71">
        <w:rPr>
          <w:rFonts w:asciiTheme="minorHAnsi" w:hAnsiTheme="minorHAnsi" w:cstheme="minorHAnsi"/>
          <w:b/>
          <w:smallCaps/>
        </w:rPr>
        <w:t xml:space="preserve">. </w:t>
      </w:r>
      <w:r w:rsidRPr="00356D71">
        <w:rPr>
          <w:rFonts w:asciiTheme="minorHAnsi" w:hAnsiTheme="minorHAnsi" w:cstheme="minorHAnsi"/>
          <w:b/>
          <w:smallCaps/>
        </w:rPr>
        <w:t xml:space="preserve">     </w:t>
      </w:r>
      <w:r w:rsidR="00782EEC" w:rsidRPr="00356D71">
        <w:rPr>
          <w:rFonts w:asciiTheme="minorHAnsi" w:hAnsiTheme="minorHAnsi" w:cstheme="minorHAnsi"/>
          <w:b/>
          <w:smallCaps/>
        </w:rPr>
        <w:t>ENFORCEMENT</w:t>
      </w:r>
    </w:p>
    <w:p w14:paraId="37629B31" w14:textId="77777777" w:rsidR="00C71B50" w:rsidRPr="00356D71" w:rsidRDefault="00C71B50" w:rsidP="00356D71">
      <w:pPr>
        <w:ind w:left="1080" w:hanging="720"/>
        <w:contextualSpacing/>
        <w:rPr>
          <w:rFonts w:asciiTheme="minorHAnsi" w:hAnsiTheme="minorHAnsi" w:cstheme="minorHAnsi"/>
          <w:b/>
          <w:smallCaps/>
        </w:rPr>
      </w:pPr>
    </w:p>
    <w:p w14:paraId="09B1393B" w14:textId="55E32C2A" w:rsidR="00571D17" w:rsidRPr="00511D68" w:rsidRDefault="00463DD9" w:rsidP="00D4742C">
      <w:pPr>
        <w:pStyle w:val="ListParagraph"/>
        <w:numPr>
          <w:ilvl w:val="0"/>
          <w:numId w:val="15"/>
        </w:numPr>
        <w:rPr>
          <w:rFonts w:asciiTheme="minorHAnsi" w:hAnsiTheme="minorHAnsi" w:cstheme="minorHAnsi"/>
        </w:rPr>
      </w:pPr>
      <w:r w:rsidRPr="00511D68">
        <w:rPr>
          <w:rFonts w:asciiTheme="minorHAnsi" w:hAnsiTheme="minorHAnsi" w:cstheme="minorHAnsi"/>
        </w:rPr>
        <w:t>Complaints</w:t>
      </w:r>
      <w:r w:rsidR="00CF061B" w:rsidRPr="00511D68">
        <w:rPr>
          <w:rFonts w:asciiTheme="minorHAnsi" w:hAnsiTheme="minorHAnsi" w:cstheme="minorHAnsi"/>
        </w:rPr>
        <w:t xml:space="preserve"> </w:t>
      </w:r>
    </w:p>
    <w:p w14:paraId="26FB05D2" w14:textId="71953844" w:rsidR="009655D1" w:rsidRDefault="009655D1" w:rsidP="00D90362">
      <w:pPr>
        <w:ind w:left="1260"/>
        <w:rPr>
          <w:rFonts w:asciiTheme="minorHAnsi" w:eastAsia="Calibri" w:hAnsiTheme="minorHAnsi" w:cstheme="minorHAnsi"/>
        </w:rPr>
      </w:pPr>
      <w:r w:rsidRPr="009655D1">
        <w:rPr>
          <w:rFonts w:asciiTheme="minorHAnsi" w:eastAsia="Calibri" w:hAnsiTheme="minorHAnsi" w:cstheme="minorHAnsi"/>
        </w:rPr>
        <w:t>OSHNC has a centralized complaint and referral intake procedure</w:t>
      </w:r>
      <w:r w:rsidR="003C3E93">
        <w:rPr>
          <w:rFonts w:asciiTheme="minorHAnsi" w:eastAsia="Calibri" w:hAnsiTheme="minorHAnsi" w:cstheme="minorHAnsi"/>
        </w:rPr>
        <w:t>, where</w:t>
      </w:r>
      <w:r w:rsidRPr="009655D1">
        <w:rPr>
          <w:rFonts w:asciiTheme="minorHAnsi" w:eastAsia="Calibri" w:hAnsiTheme="minorHAnsi" w:cstheme="minorHAnsi"/>
        </w:rPr>
        <w:t xml:space="preserve"> complaints </w:t>
      </w:r>
      <w:r w:rsidR="003C3E93">
        <w:rPr>
          <w:rFonts w:asciiTheme="minorHAnsi" w:eastAsia="Calibri" w:hAnsiTheme="minorHAnsi" w:cstheme="minorHAnsi"/>
        </w:rPr>
        <w:t xml:space="preserve">are </w:t>
      </w:r>
      <w:r w:rsidRPr="009655D1">
        <w:rPr>
          <w:rFonts w:asciiTheme="minorHAnsi" w:eastAsia="Calibri" w:hAnsiTheme="minorHAnsi" w:cstheme="minorHAnsi"/>
        </w:rPr>
        <w:t xml:space="preserve">transferred to the district supervisor </w:t>
      </w:r>
      <w:r w:rsidR="00F00AC0">
        <w:rPr>
          <w:rFonts w:asciiTheme="minorHAnsi" w:eastAsia="Calibri" w:hAnsiTheme="minorHAnsi" w:cstheme="minorHAnsi"/>
        </w:rPr>
        <w:t>with</w:t>
      </w:r>
      <w:r w:rsidR="00F00AC0" w:rsidRPr="009655D1">
        <w:rPr>
          <w:rFonts w:asciiTheme="minorHAnsi" w:eastAsia="Calibri" w:hAnsiTheme="minorHAnsi" w:cstheme="minorHAnsi"/>
        </w:rPr>
        <w:t xml:space="preserve"> </w:t>
      </w:r>
      <w:r w:rsidRPr="009655D1">
        <w:rPr>
          <w:rFonts w:asciiTheme="minorHAnsi" w:eastAsia="Calibri" w:hAnsiTheme="minorHAnsi" w:cstheme="minorHAnsi"/>
        </w:rPr>
        <w:t>geographic jurisdiction.  The State Plan’s emphasis has been on customer service</w:t>
      </w:r>
      <w:r w:rsidR="003C3E93">
        <w:rPr>
          <w:rFonts w:asciiTheme="minorHAnsi" w:eastAsia="Calibri" w:hAnsiTheme="minorHAnsi" w:cstheme="minorHAnsi"/>
        </w:rPr>
        <w:t xml:space="preserve"> </w:t>
      </w:r>
      <w:r w:rsidRPr="009655D1">
        <w:rPr>
          <w:rFonts w:asciiTheme="minorHAnsi" w:eastAsia="Calibri" w:hAnsiTheme="minorHAnsi" w:cstheme="minorHAnsi"/>
        </w:rPr>
        <w:t>and assuring that each complaint is given attention, consistent with the severity of the alleged hazards.  OSHNC’s complaint process for formal complaints is similar to OSHA’s process.  OSHNC considers electronic complaints obtained through OSHA’s complaint system as formal complaint</w:t>
      </w:r>
      <w:r w:rsidR="003C3E93">
        <w:rPr>
          <w:rFonts w:asciiTheme="minorHAnsi" w:eastAsia="Calibri" w:hAnsiTheme="minorHAnsi" w:cstheme="minorHAnsi"/>
        </w:rPr>
        <w:t>s</w:t>
      </w:r>
      <w:r w:rsidRPr="009655D1">
        <w:rPr>
          <w:rFonts w:asciiTheme="minorHAnsi" w:eastAsia="Calibri" w:hAnsiTheme="minorHAnsi" w:cstheme="minorHAnsi"/>
        </w:rPr>
        <w:t>.  After the receipt of an electronic complaint, a follow-up call to the complainant is usually made to clarify the complaint items.  The source of the complaint, with those from a current employee having priority, and the severity of the alleged hazards, are primary considerations for supervisors to decide whether to handle the complaint by letter or by inspection.</w:t>
      </w:r>
    </w:p>
    <w:p w14:paraId="0958C889" w14:textId="77777777" w:rsidR="007F1980" w:rsidRDefault="007F1980" w:rsidP="00D90362">
      <w:pPr>
        <w:ind w:left="1260"/>
        <w:rPr>
          <w:rFonts w:asciiTheme="minorHAnsi" w:eastAsia="Calibri" w:hAnsiTheme="minorHAnsi" w:cstheme="minorHAnsi"/>
        </w:rPr>
      </w:pPr>
    </w:p>
    <w:p w14:paraId="40179895" w14:textId="0300CC42" w:rsidR="0092337A" w:rsidRDefault="0092337A" w:rsidP="00D90362">
      <w:pPr>
        <w:ind w:left="1260"/>
        <w:rPr>
          <w:rFonts w:asciiTheme="minorHAnsi" w:eastAsia="Calibri" w:hAnsiTheme="minorHAnsi" w:cstheme="minorHAnsi"/>
        </w:rPr>
      </w:pPr>
      <w:r w:rsidRPr="0092337A">
        <w:rPr>
          <w:rFonts w:asciiTheme="minorHAnsi" w:eastAsia="Calibri" w:hAnsiTheme="minorHAnsi" w:cstheme="minorHAnsi"/>
        </w:rPr>
        <w:t>The OSH</w:t>
      </w:r>
      <w:r w:rsidR="00641EA9">
        <w:rPr>
          <w:rFonts w:asciiTheme="minorHAnsi" w:eastAsia="Calibri" w:hAnsiTheme="minorHAnsi" w:cstheme="minorHAnsi"/>
        </w:rPr>
        <w:t>NC</w:t>
      </w:r>
      <w:r w:rsidRPr="0092337A">
        <w:rPr>
          <w:rFonts w:asciiTheme="minorHAnsi" w:eastAsia="Calibri" w:hAnsiTheme="minorHAnsi" w:cstheme="minorHAnsi"/>
        </w:rPr>
        <w:t xml:space="preserve"> Complaint Desk processed 4,140 complaints and 726 employer</w:t>
      </w:r>
      <w:r w:rsidR="004A7AB2">
        <w:rPr>
          <w:rFonts w:asciiTheme="minorHAnsi" w:eastAsia="Calibri" w:hAnsiTheme="minorHAnsi" w:cstheme="minorHAnsi"/>
        </w:rPr>
        <w:t>-</w:t>
      </w:r>
      <w:r w:rsidRPr="0092337A">
        <w:rPr>
          <w:rFonts w:asciiTheme="minorHAnsi" w:eastAsia="Calibri" w:hAnsiTheme="minorHAnsi" w:cstheme="minorHAnsi"/>
        </w:rPr>
        <w:t xml:space="preserve">reported </w:t>
      </w:r>
      <w:r w:rsidR="001F4B84" w:rsidRPr="0092337A">
        <w:rPr>
          <w:rFonts w:asciiTheme="minorHAnsi" w:eastAsia="Calibri" w:hAnsiTheme="minorHAnsi" w:cstheme="minorHAnsi"/>
        </w:rPr>
        <w:t>referrals</w:t>
      </w:r>
      <w:r w:rsidR="004A7AB2">
        <w:rPr>
          <w:rFonts w:asciiTheme="minorHAnsi" w:eastAsia="Calibri" w:hAnsiTheme="minorHAnsi" w:cstheme="minorHAnsi"/>
        </w:rPr>
        <w:t xml:space="preserve"> during the review period</w:t>
      </w:r>
      <w:r w:rsidRPr="0092337A">
        <w:rPr>
          <w:rFonts w:asciiTheme="minorHAnsi" w:eastAsia="Calibri" w:hAnsiTheme="minorHAnsi" w:cstheme="minorHAnsi"/>
        </w:rPr>
        <w:t xml:space="preserve">. </w:t>
      </w:r>
      <w:r w:rsidR="00F00AC0">
        <w:rPr>
          <w:rFonts w:asciiTheme="minorHAnsi" w:eastAsia="Calibri" w:hAnsiTheme="minorHAnsi" w:cstheme="minorHAnsi"/>
        </w:rPr>
        <w:t xml:space="preserve"> </w:t>
      </w:r>
      <w:r w:rsidRPr="0092337A">
        <w:rPr>
          <w:rFonts w:asciiTheme="minorHAnsi" w:eastAsia="Calibri" w:hAnsiTheme="minorHAnsi" w:cstheme="minorHAnsi"/>
        </w:rPr>
        <w:t xml:space="preserve">An online web form was developed in question-and-answer format and directs online complaints toward the appropriate agency. </w:t>
      </w:r>
      <w:r w:rsidR="00F00AC0">
        <w:rPr>
          <w:rFonts w:asciiTheme="minorHAnsi" w:eastAsia="Calibri" w:hAnsiTheme="minorHAnsi" w:cstheme="minorHAnsi"/>
        </w:rPr>
        <w:t xml:space="preserve"> </w:t>
      </w:r>
      <w:r w:rsidRPr="0092337A">
        <w:rPr>
          <w:rFonts w:asciiTheme="minorHAnsi" w:eastAsia="Calibri" w:hAnsiTheme="minorHAnsi" w:cstheme="minorHAnsi"/>
        </w:rPr>
        <w:t xml:space="preserve">This strategy has assisted in lowering some of the non-agency calls. </w:t>
      </w:r>
      <w:r w:rsidR="00F00AC0">
        <w:rPr>
          <w:rFonts w:asciiTheme="minorHAnsi" w:eastAsia="Calibri" w:hAnsiTheme="minorHAnsi" w:cstheme="minorHAnsi"/>
        </w:rPr>
        <w:t xml:space="preserve"> </w:t>
      </w:r>
      <w:r w:rsidRPr="0092337A">
        <w:rPr>
          <w:rFonts w:asciiTheme="minorHAnsi" w:eastAsia="Calibri" w:hAnsiTheme="minorHAnsi" w:cstheme="minorHAnsi"/>
        </w:rPr>
        <w:t xml:space="preserve">The addition of a third staff member (Safety Compliance Officer) </w:t>
      </w:r>
      <w:r w:rsidR="004A7AB2">
        <w:rPr>
          <w:rFonts w:asciiTheme="minorHAnsi" w:eastAsia="Calibri" w:hAnsiTheme="minorHAnsi" w:cstheme="minorHAnsi"/>
        </w:rPr>
        <w:t xml:space="preserve">from </w:t>
      </w:r>
      <w:r w:rsidRPr="0092337A">
        <w:rPr>
          <w:rFonts w:asciiTheme="minorHAnsi" w:eastAsia="Calibri" w:hAnsiTheme="minorHAnsi" w:cstheme="minorHAnsi"/>
        </w:rPr>
        <w:t>last year has</w:t>
      </w:r>
      <w:r w:rsidR="00EA0B19">
        <w:rPr>
          <w:rFonts w:asciiTheme="minorHAnsi" w:eastAsia="Calibri" w:hAnsiTheme="minorHAnsi" w:cstheme="minorHAnsi"/>
        </w:rPr>
        <w:t xml:space="preserve"> </w:t>
      </w:r>
      <w:r w:rsidRPr="0092337A">
        <w:rPr>
          <w:rFonts w:asciiTheme="minorHAnsi" w:eastAsia="Calibri" w:hAnsiTheme="minorHAnsi" w:cstheme="minorHAnsi"/>
        </w:rPr>
        <w:t xml:space="preserve">been credited </w:t>
      </w:r>
      <w:r w:rsidR="004A7AB2">
        <w:rPr>
          <w:rFonts w:asciiTheme="minorHAnsi" w:eastAsia="Calibri" w:hAnsiTheme="minorHAnsi" w:cstheme="minorHAnsi"/>
        </w:rPr>
        <w:t>with improving the efficiency</w:t>
      </w:r>
      <w:r w:rsidRPr="0092337A">
        <w:rPr>
          <w:rFonts w:asciiTheme="minorHAnsi" w:eastAsia="Calibri" w:hAnsiTheme="minorHAnsi" w:cstheme="minorHAnsi"/>
        </w:rPr>
        <w:t xml:space="preserve"> of the department.</w:t>
      </w:r>
      <w:r>
        <w:rPr>
          <w:rFonts w:asciiTheme="minorHAnsi" w:eastAsia="Calibri" w:hAnsiTheme="minorHAnsi" w:cstheme="minorHAnsi"/>
        </w:rPr>
        <w:t xml:space="preserve">  T</w:t>
      </w:r>
      <w:r w:rsidRPr="0092337A">
        <w:rPr>
          <w:rFonts w:asciiTheme="minorHAnsi" w:eastAsia="Calibri" w:hAnsiTheme="minorHAnsi" w:cstheme="minorHAnsi"/>
        </w:rPr>
        <w:t>he Complaint Desk</w:t>
      </w:r>
      <w:r w:rsidR="00562880">
        <w:rPr>
          <w:rFonts w:asciiTheme="minorHAnsi" w:eastAsia="Calibri" w:hAnsiTheme="minorHAnsi" w:cstheme="minorHAnsi"/>
        </w:rPr>
        <w:t xml:space="preserve"> also</w:t>
      </w:r>
      <w:r w:rsidRPr="0092337A">
        <w:rPr>
          <w:rFonts w:asciiTheme="minorHAnsi" w:eastAsia="Calibri" w:hAnsiTheme="minorHAnsi" w:cstheme="minorHAnsi"/>
        </w:rPr>
        <w:t xml:space="preserve"> received and entered 351 heat-related complaints in FY</w:t>
      </w:r>
      <w:r w:rsidR="00F00AC0">
        <w:rPr>
          <w:rFonts w:asciiTheme="minorHAnsi" w:eastAsia="Calibri" w:hAnsiTheme="minorHAnsi" w:cstheme="minorHAnsi"/>
        </w:rPr>
        <w:t xml:space="preserve"> </w:t>
      </w:r>
      <w:r w:rsidRPr="0092337A">
        <w:rPr>
          <w:rFonts w:asciiTheme="minorHAnsi" w:eastAsia="Calibri" w:hAnsiTheme="minorHAnsi" w:cstheme="minorHAnsi"/>
        </w:rPr>
        <w:t xml:space="preserve">2025. </w:t>
      </w:r>
    </w:p>
    <w:p w14:paraId="14B45F68" w14:textId="77777777" w:rsidR="001F4B84" w:rsidRPr="0092337A" w:rsidRDefault="001F4B84" w:rsidP="00D90362">
      <w:pPr>
        <w:ind w:left="1260"/>
        <w:rPr>
          <w:rFonts w:asciiTheme="minorHAnsi" w:eastAsia="Calibri" w:hAnsiTheme="minorHAnsi" w:cstheme="minorHAnsi"/>
        </w:rPr>
      </w:pPr>
    </w:p>
    <w:p w14:paraId="0D5BE161" w14:textId="50A8B2ED" w:rsidR="00CF061B" w:rsidRDefault="005641CC" w:rsidP="00D90362">
      <w:pPr>
        <w:ind w:left="1260"/>
        <w:rPr>
          <w:rFonts w:asciiTheme="minorHAnsi" w:eastAsia="Calibri" w:hAnsiTheme="minorHAnsi" w:cstheme="minorHAnsi"/>
        </w:rPr>
      </w:pPr>
      <w:r w:rsidRPr="005641CC">
        <w:rPr>
          <w:rFonts w:asciiTheme="minorHAnsi" w:eastAsia="Calibri" w:hAnsiTheme="minorHAnsi" w:cstheme="minorHAnsi"/>
        </w:rPr>
        <w:t xml:space="preserve">According to the FY 2025 SAMM report, OSHNC continues to respond to complaints in a timely manner, consistently performing well within all negotiated Further Review Levels (FRLs). </w:t>
      </w:r>
      <w:r w:rsidR="00F00AC0">
        <w:rPr>
          <w:rFonts w:asciiTheme="minorHAnsi" w:eastAsia="Calibri" w:hAnsiTheme="minorHAnsi" w:cstheme="minorHAnsi"/>
        </w:rPr>
        <w:t xml:space="preserve"> </w:t>
      </w:r>
      <w:r w:rsidRPr="005641CC">
        <w:rPr>
          <w:rFonts w:asciiTheme="minorHAnsi" w:eastAsia="Calibri" w:hAnsiTheme="minorHAnsi" w:cstheme="minorHAnsi"/>
        </w:rPr>
        <w:t>SAMM 1a shows that serious complaint inspections were initiated in an average of 3.05 workdays</w:t>
      </w:r>
      <w:r w:rsidR="009739A9">
        <w:rPr>
          <w:rFonts w:asciiTheme="minorHAnsi" w:eastAsia="Calibri" w:hAnsiTheme="minorHAnsi" w:cstheme="minorHAnsi"/>
        </w:rPr>
        <w:t xml:space="preserve">, with a </w:t>
      </w:r>
      <w:r w:rsidR="00FE337E">
        <w:rPr>
          <w:rFonts w:asciiTheme="minorHAnsi" w:eastAsia="Calibri" w:hAnsiTheme="minorHAnsi" w:cstheme="minorHAnsi"/>
        </w:rPr>
        <w:t xml:space="preserve">negotiated </w:t>
      </w:r>
      <w:r w:rsidRPr="005641CC">
        <w:rPr>
          <w:rFonts w:asciiTheme="minorHAnsi" w:eastAsia="Calibri" w:hAnsiTheme="minorHAnsi" w:cstheme="minorHAnsi"/>
        </w:rPr>
        <w:t xml:space="preserve">FRL </w:t>
      </w:r>
      <w:r w:rsidR="009739A9">
        <w:rPr>
          <w:rFonts w:asciiTheme="minorHAnsi" w:eastAsia="Calibri" w:hAnsiTheme="minorHAnsi" w:cstheme="minorHAnsi"/>
        </w:rPr>
        <w:t>of</w:t>
      </w:r>
      <w:r w:rsidR="00FE337E">
        <w:rPr>
          <w:rFonts w:asciiTheme="minorHAnsi" w:eastAsia="Calibri" w:hAnsiTheme="minorHAnsi" w:cstheme="minorHAnsi"/>
        </w:rPr>
        <w:t xml:space="preserve"> </w:t>
      </w:r>
      <w:r w:rsidRPr="005641CC">
        <w:rPr>
          <w:rFonts w:asciiTheme="minorHAnsi" w:eastAsia="Calibri" w:hAnsiTheme="minorHAnsi" w:cstheme="minorHAnsi"/>
        </w:rPr>
        <w:t>10</w:t>
      </w:r>
      <w:r w:rsidR="009739A9">
        <w:rPr>
          <w:rFonts w:asciiTheme="minorHAnsi" w:eastAsia="Calibri" w:hAnsiTheme="minorHAnsi" w:cstheme="minorHAnsi"/>
        </w:rPr>
        <w:t xml:space="preserve"> days</w:t>
      </w:r>
      <w:r w:rsidR="00F00AC0">
        <w:rPr>
          <w:rFonts w:asciiTheme="minorHAnsi" w:eastAsia="Calibri" w:hAnsiTheme="minorHAnsi" w:cstheme="minorHAnsi"/>
        </w:rPr>
        <w:t>;</w:t>
      </w:r>
      <w:r w:rsidRPr="005641CC">
        <w:rPr>
          <w:rFonts w:asciiTheme="minorHAnsi" w:eastAsia="Calibri" w:hAnsiTheme="minorHAnsi" w:cstheme="minorHAnsi"/>
        </w:rPr>
        <w:t xml:space="preserve"> and SAMM 1b shows that </w:t>
      </w:r>
      <w:r w:rsidR="00A34CC4">
        <w:rPr>
          <w:rFonts w:asciiTheme="minorHAnsi" w:eastAsia="Calibri" w:hAnsiTheme="minorHAnsi" w:cstheme="minorHAnsi"/>
        </w:rPr>
        <w:t>O</w:t>
      </w:r>
      <w:r w:rsidRPr="005641CC">
        <w:rPr>
          <w:rFonts w:asciiTheme="minorHAnsi" w:eastAsia="Calibri" w:hAnsiTheme="minorHAnsi" w:cstheme="minorHAnsi"/>
        </w:rPr>
        <w:t>ther</w:t>
      </w:r>
      <w:r w:rsidR="00A34CC4">
        <w:rPr>
          <w:rFonts w:asciiTheme="minorHAnsi" w:eastAsia="Calibri" w:hAnsiTheme="minorHAnsi" w:cstheme="minorHAnsi"/>
        </w:rPr>
        <w:t>-</w:t>
      </w:r>
      <w:r w:rsidRPr="005641CC">
        <w:rPr>
          <w:rFonts w:asciiTheme="minorHAnsi" w:eastAsia="Calibri" w:hAnsiTheme="minorHAnsi" w:cstheme="minorHAnsi"/>
        </w:rPr>
        <w:t>than</w:t>
      </w:r>
      <w:r w:rsidR="00A34CC4">
        <w:rPr>
          <w:rFonts w:asciiTheme="minorHAnsi" w:eastAsia="Calibri" w:hAnsiTheme="minorHAnsi" w:cstheme="minorHAnsi"/>
        </w:rPr>
        <w:t>-S</w:t>
      </w:r>
      <w:r w:rsidRPr="005641CC">
        <w:rPr>
          <w:rFonts w:asciiTheme="minorHAnsi" w:eastAsia="Calibri" w:hAnsiTheme="minorHAnsi" w:cstheme="minorHAnsi"/>
        </w:rPr>
        <w:t xml:space="preserve">erious complaint inspections were initiated in 3.84 workdays </w:t>
      </w:r>
      <w:r w:rsidR="009739A9">
        <w:rPr>
          <w:rFonts w:asciiTheme="minorHAnsi" w:eastAsia="Calibri" w:hAnsiTheme="minorHAnsi" w:cstheme="minorHAnsi"/>
        </w:rPr>
        <w:t xml:space="preserve">with a </w:t>
      </w:r>
      <w:r w:rsidR="00FE337E">
        <w:rPr>
          <w:rFonts w:asciiTheme="minorHAnsi" w:eastAsia="Calibri" w:hAnsiTheme="minorHAnsi" w:cstheme="minorHAnsi"/>
        </w:rPr>
        <w:t xml:space="preserve">negotiated </w:t>
      </w:r>
      <w:r w:rsidRPr="005641CC">
        <w:rPr>
          <w:rFonts w:asciiTheme="minorHAnsi" w:eastAsia="Calibri" w:hAnsiTheme="minorHAnsi" w:cstheme="minorHAnsi"/>
        </w:rPr>
        <w:t xml:space="preserve">FRL </w:t>
      </w:r>
      <w:r w:rsidR="009739A9">
        <w:rPr>
          <w:rFonts w:asciiTheme="minorHAnsi" w:eastAsia="Calibri" w:hAnsiTheme="minorHAnsi" w:cstheme="minorHAnsi"/>
        </w:rPr>
        <w:t>of</w:t>
      </w:r>
      <w:r w:rsidR="00FE337E">
        <w:rPr>
          <w:rFonts w:asciiTheme="minorHAnsi" w:eastAsia="Calibri" w:hAnsiTheme="minorHAnsi" w:cstheme="minorHAnsi"/>
        </w:rPr>
        <w:t xml:space="preserve"> </w:t>
      </w:r>
      <w:r w:rsidRPr="005641CC">
        <w:rPr>
          <w:rFonts w:asciiTheme="minorHAnsi" w:eastAsia="Calibri" w:hAnsiTheme="minorHAnsi" w:cstheme="minorHAnsi"/>
        </w:rPr>
        <w:t>15</w:t>
      </w:r>
      <w:r w:rsidR="009739A9">
        <w:rPr>
          <w:rFonts w:asciiTheme="minorHAnsi" w:eastAsia="Calibri" w:hAnsiTheme="minorHAnsi" w:cstheme="minorHAnsi"/>
        </w:rPr>
        <w:t xml:space="preserve"> days</w:t>
      </w:r>
      <w:r w:rsidRPr="005641CC">
        <w:rPr>
          <w:rFonts w:asciiTheme="minorHAnsi" w:eastAsia="Calibri" w:hAnsiTheme="minorHAnsi" w:cstheme="minorHAnsi"/>
        </w:rPr>
        <w:t xml:space="preserve">. </w:t>
      </w:r>
      <w:r w:rsidR="00F00AC0">
        <w:rPr>
          <w:rFonts w:asciiTheme="minorHAnsi" w:eastAsia="Calibri" w:hAnsiTheme="minorHAnsi" w:cstheme="minorHAnsi"/>
        </w:rPr>
        <w:t xml:space="preserve"> </w:t>
      </w:r>
      <w:r w:rsidRPr="005641CC">
        <w:rPr>
          <w:rFonts w:asciiTheme="minorHAnsi" w:eastAsia="Calibri" w:hAnsiTheme="minorHAnsi" w:cstheme="minorHAnsi"/>
        </w:rPr>
        <w:t xml:space="preserve">For investigations, SAMM 2a reports an average of 2.19 workdays to initiate serious complaint investigations, and SAMM 2b reports 2.06 workdays for </w:t>
      </w:r>
      <w:r w:rsidR="00A34CC4">
        <w:rPr>
          <w:rFonts w:asciiTheme="minorHAnsi" w:eastAsia="Calibri" w:hAnsiTheme="minorHAnsi" w:cstheme="minorHAnsi"/>
        </w:rPr>
        <w:t>O</w:t>
      </w:r>
      <w:r w:rsidRPr="005641CC">
        <w:rPr>
          <w:rFonts w:asciiTheme="minorHAnsi" w:eastAsia="Calibri" w:hAnsiTheme="minorHAnsi" w:cstheme="minorHAnsi"/>
        </w:rPr>
        <w:t>ther</w:t>
      </w:r>
      <w:r w:rsidR="00A34CC4">
        <w:rPr>
          <w:rFonts w:asciiTheme="minorHAnsi" w:eastAsia="Calibri" w:hAnsiTheme="minorHAnsi" w:cstheme="minorHAnsi"/>
        </w:rPr>
        <w:t>-</w:t>
      </w:r>
      <w:r w:rsidRPr="005641CC">
        <w:rPr>
          <w:rFonts w:asciiTheme="minorHAnsi" w:eastAsia="Calibri" w:hAnsiTheme="minorHAnsi" w:cstheme="minorHAnsi"/>
        </w:rPr>
        <w:t>than</w:t>
      </w:r>
      <w:r w:rsidR="00A34CC4">
        <w:rPr>
          <w:rFonts w:asciiTheme="minorHAnsi" w:eastAsia="Calibri" w:hAnsiTheme="minorHAnsi" w:cstheme="minorHAnsi"/>
        </w:rPr>
        <w:t>-S</w:t>
      </w:r>
      <w:r w:rsidRPr="005641CC">
        <w:rPr>
          <w:rFonts w:asciiTheme="minorHAnsi" w:eastAsia="Calibri" w:hAnsiTheme="minorHAnsi" w:cstheme="minorHAnsi"/>
        </w:rPr>
        <w:t xml:space="preserve">erious </w:t>
      </w:r>
      <w:r w:rsidR="008115F6" w:rsidRPr="005641CC">
        <w:rPr>
          <w:rFonts w:asciiTheme="minorHAnsi" w:eastAsia="Calibri" w:hAnsiTheme="minorHAnsi" w:cstheme="minorHAnsi"/>
        </w:rPr>
        <w:t>investigations,</w:t>
      </w:r>
      <w:r w:rsidR="00AD3F49">
        <w:rPr>
          <w:rFonts w:asciiTheme="minorHAnsi" w:eastAsia="Calibri" w:hAnsiTheme="minorHAnsi" w:cstheme="minorHAnsi"/>
        </w:rPr>
        <w:t xml:space="preserve"> </w:t>
      </w:r>
      <w:r w:rsidRPr="005641CC">
        <w:rPr>
          <w:rFonts w:asciiTheme="minorHAnsi" w:eastAsia="Calibri" w:hAnsiTheme="minorHAnsi" w:cstheme="minorHAnsi"/>
        </w:rPr>
        <w:t xml:space="preserve">both well below the </w:t>
      </w:r>
      <w:r w:rsidR="00E65DC2" w:rsidRPr="005641CC">
        <w:rPr>
          <w:rFonts w:asciiTheme="minorHAnsi" w:eastAsia="Calibri" w:hAnsiTheme="minorHAnsi" w:cstheme="minorHAnsi"/>
        </w:rPr>
        <w:t>4-day</w:t>
      </w:r>
      <w:r w:rsidRPr="005641CC">
        <w:rPr>
          <w:rFonts w:asciiTheme="minorHAnsi" w:eastAsia="Calibri" w:hAnsiTheme="minorHAnsi" w:cstheme="minorHAnsi"/>
        </w:rPr>
        <w:t xml:space="preserve"> FRL. </w:t>
      </w:r>
      <w:r w:rsidR="00F00AC0">
        <w:rPr>
          <w:rFonts w:asciiTheme="minorHAnsi" w:eastAsia="Calibri" w:hAnsiTheme="minorHAnsi" w:cstheme="minorHAnsi"/>
        </w:rPr>
        <w:t xml:space="preserve"> </w:t>
      </w:r>
      <w:r w:rsidRPr="005641CC">
        <w:rPr>
          <w:rFonts w:asciiTheme="minorHAnsi" w:eastAsia="Calibri" w:hAnsiTheme="minorHAnsi" w:cstheme="minorHAnsi"/>
        </w:rPr>
        <w:t xml:space="preserve">SAMM 3 reflects that OSHNC responded to 100% of imminent danger complaints and referrals within one workday, meeting the FRL of 100%. </w:t>
      </w:r>
      <w:r w:rsidR="00F00AC0">
        <w:rPr>
          <w:rFonts w:asciiTheme="minorHAnsi" w:eastAsia="Calibri" w:hAnsiTheme="minorHAnsi" w:cstheme="minorHAnsi"/>
        </w:rPr>
        <w:t xml:space="preserve"> </w:t>
      </w:r>
      <w:r w:rsidRPr="005641CC">
        <w:rPr>
          <w:rFonts w:asciiTheme="minorHAnsi" w:eastAsia="Calibri" w:hAnsiTheme="minorHAnsi" w:cstheme="minorHAnsi"/>
        </w:rPr>
        <w:t xml:space="preserve">Additionally, SAMM 4 shows there were zero denials where entry was not obtained, consistent with the FRL of zero. </w:t>
      </w:r>
      <w:r w:rsidR="00F00AC0">
        <w:rPr>
          <w:rFonts w:asciiTheme="minorHAnsi" w:eastAsia="Calibri" w:hAnsiTheme="minorHAnsi" w:cstheme="minorHAnsi"/>
        </w:rPr>
        <w:t xml:space="preserve"> </w:t>
      </w:r>
      <w:r w:rsidRPr="005641CC">
        <w:rPr>
          <w:rFonts w:asciiTheme="minorHAnsi" w:eastAsia="Calibri" w:hAnsiTheme="minorHAnsi" w:cstheme="minorHAnsi"/>
        </w:rPr>
        <w:t>These results demonstrate that OSHNC is significantly exceeding</w:t>
      </w:r>
      <w:r w:rsidR="00D93B80">
        <w:rPr>
          <w:rFonts w:asciiTheme="minorHAnsi" w:eastAsia="Calibri" w:hAnsiTheme="minorHAnsi" w:cstheme="minorHAnsi"/>
        </w:rPr>
        <w:t xml:space="preserve"> </w:t>
      </w:r>
      <w:r w:rsidRPr="005641CC">
        <w:rPr>
          <w:rFonts w:asciiTheme="minorHAnsi" w:eastAsia="Calibri" w:hAnsiTheme="minorHAnsi" w:cstheme="minorHAnsi"/>
        </w:rPr>
        <w:t>its established timeliness standards for complaint response in FY 2025.</w:t>
      </w:r>
    </w:p>
    <w:p w14:paraId="54B19683" w14:textId="77777777" w:rsidR="00775913" w:rsidRDefault="00775913" w:rsidP="00D90362">
      <w:pPr>
        <w:ind w:left="1260"/>
        <w:rPr>
          <w:rFonts w:asciiTheme="minorHAnsi" w:hAnsiTheme="minorHAnsi" w:cstheme="minorHAnsi"/>
        </w:rPr>
      </w:pPr>
    </w:p>
    <w:p w14:paraId="13B963C1" w14:textId="77777777" w:rsidR="00571D17" w:rsidRPr="00356D71" w:rsidRDefault="00571D17" w:rsidP="00D4742C">
      <w:pPr>
        <w:pStyle w:val="ListParagraph"/>
        <w:numPr>
          <w:ilvl w:val="0"/>
          <w:numId w:val="12"/>
        </w:numPr>
        <w:spacing w:line="240" w:lineRule="auto"/>
        <w:ind w:left="1260"/>
        <w:rPr>
          <w:rFonts w:asciiTheme="minorHAnsi" w:hAnsiTheme="minorHAnsi" w:cstheme="minorHAnsi"/>
          <w:sz w:val="24"/>
          <w:szCs w:val="24"/>
        </w:rPr>
      </w:pPr>
      <w:r w:rsidRPr="00356D71">
        <w:rPr>
          <w:rFonts w:asciiTheme="minorHAnsi" w:hAnsiTheme="minorHAnsi" w:cstheme="minorHAnsi"/>
          <w:sz w:val="24"/>
          <w:szCs w:val="24"/>
        </w:rPr>
        <w:t xml:space="preserve">Fatalities </w:t>
      </w:r>
    </w:p>
    <w:p w14:paraId="6143682D" w14:textId="5A6548B8" w:rsidR="00642F8C" w:rsidRPr="00642F8C" w:rsidRDefault="00642F8C" w:rsidP="00642F8C">
      <w:pPr>
        <w:ind w:left="1260"/>
        <w:rPr>
          <w:rFonts w:ascii="Calibri" w:hAnsi="Calibri" w:cs="Calibri"/>
          <w:color w:val="FF0000"/>
        </w:rPr>
      </w:pPr>
      <w:r w:rsidRPr="00642F8C">
        <w:rPr>
          <w:rFonts w:ascii="Calibri" w:hAnsi="Calibri" w:cs="Calibri"/>
          <w:color w:val="000000"/>
        </w:rPr>
        <w:t>In FY 202</w:t>
      </w:r>
      <w:r w:rsidR="005809CE">
        <w:rPr>
          <w:rFonts w:ascii="Calibri" w:hAnsi="Calibri" w:cs="Calibri"/>
          <w:color w:val="000000"/>
        </w:rPr>
        <w:t>5</w:t>
      </w:r>
      <w:r w:rsidRPr="00642F8C">
        <w:rPr>
          <w:rFonts w:ascii="Calibri" w:hAnsi="Calibri" w:cs="Calibri"/>
          <w:color w:val="000000"/>
        </w:rPr>
        <w:t xml:space="preserve">, North Carolina </w:t>
      </w:r>
      <w:r w:rsidR="00573370">
        <w:rPr>
          <w:rFonts w:ascii="Calibri" w:hAnsi="Calibri" w:cs="Calibri"/>
          <w:color w:val="000000"/>
        </w:rPr>
        <w:t>investigated</w:t>
      </w:r>
      <w:r w:rsidRPr="00642F8C">
        <w:rPr>
          <w:rFonts w:ascii="Calibri" w:hAnsi="Calibri" w:cs="Calibri"/>
          <w:color w:val="000000"/>
        </w:rPr>
        <w:t xml:space="preserve"> </w:t>
      </w:r>
      <w:r w:rsidR="00EE7F98">
        <w:rPr>
          <w:rFonts w:ascii="Calibri" w:hAnsi="Calibri" w:cs="Calibri"/>
          <w:color w:val="000000"/>
        </w:rPr>
        <w:t>67</w:t>
      </w:r>
      <w:r w:rsidRPr="00642F8C">
        <w:rPr>
          <w:rFonts w:ascii="Calibri" w:hAnsi="Calibri" w:cs="Calibri"/>
          <w:color w:val="000000"/>
        </w:rPr>
        <w:t xml:space="preserve"> workplace fatalities. </w:t>
      </w:r>
      <w:r w:rsidR="00F00AC0">
        <w:rPr>
          <w:rFonts w:ascii="Calibri" w:hAnsi="Calibri" w:cs="Calibri"/>
          <w:color w:val="000000"/>
        </w:rPr>
        <w:t xml:space="preserve"> </w:t>
      </w:r>
      <w:r w:rsidRPr="00642F8C">
        <w:rPr>
          <w:rFonts w:ascii="Calibri" w:hAnsi="Calibri" w:cs="Calibri"/>
          <w:color w:val="000000"/>
        </w:rPr>
        <w:t xml:space="preserve">The number of manufacturing deaths increased from </w:t>
      </w:r>
      <w:r w:rsidR="00781B56">
        <w:rPr>
          <w:rFonts w:ascii="Calibri" w:hAnsi="Calibri" w:cs="Calibri"/>
          <w:color w:val="000000"/>
        </w:rPr>
        <w:t>six</w:t>
      </w:r>
      <w:r w:rsidRPr="00642F8C">
        <w:rPr>
          <w:rFonts w:ascii="Calibri" w:hAnsi="Calibri" w:cs="Calibri"/>
          <w:color w:val="000000"/>
        </w:rPr>
        <w:t xml:space="preserve"> (</w:t>
      </w:r>
      <w:r w:rsidR="00781B56">
        <w:rPr>
          <w:rFonts w:ascii="Calibri" w:hAnsi="Calibri" w:cs="Calibri"/>
          <w:color w:val="000000"/>
        </w:rPr>
        <w:t>6</w:t>
      </w:r>
      <w:r w:rsidRPr="00642F8C">
        <w:rPr>
          <w:rFonts w:ascii="Calibri" w:hAnsi="Calibri" w:cs="Calibri"/>
          <w:color w:val="000000"/>
        </w:rPr>
        <w:t xml:space="preserve">) in FY </w:t>
      </w:r>
      <w:r w:rsidR="002A30D1">
        <w:rPr>
          <w:rFonts w:ascii="Calibri" w:hAnsi="Calibri" w:cs="Calibri"/>
          <w:color w:val="000000"/>
        </w:rPr>
        <w:t>20</w:t>
      </w:r>
      <w:r w:rsidRPr="00642F8C">
        <w:rPr>
          <w:rFonts w:ascii="Calibri" w:hAnsi="Calibri" w:cs="Calibri"/>
          <w:color w:val="000000"/>
        </w:rPr>
        <w:t>2</w:t>
      </w:r>
      <w:r w:rsidR="00781B56">
        <w:rPr>
          <w:rFonts w:ascii="Calibri" w:hAnsi="Calibri" w:cs="Calibri"/>
          <w:color w:val="000000"/>
        </w:rPr>
        <w:t>4</w:t>
      </w:r>
      <w:r w:rsidRPr="00642F8C">
        <w:rPr>
          <w:rFonts w:ascii="Calibri" w:hAnsi="Calibri" w:cs="Calibri"/>
          <w:color w:val="000000"/>
        </w:rPr>
        <w:t xml:space="preserve"> to </w:t>
      </w:r>
      <w:r w:rsidR="00D17C95">
        <w:rPr>
          <w:rFonts w:ascii="Calibri" w:hAnsi="Calibri" w:cs="Calibri"/>
          <w:color w:val="000000"/>
        </w:rPr>
        <w:t>eight (8)</w:t>
      </w:r>
      <w:r w:rsidRPr="00642F8C">
        <w:rPr>
          <w:rFonts w:ascii="Calibri" w:hAnsi="Calibri" w:cs="Calibri"/>
          <w:color w:val="000000"/>
        </w:rPr>
        <w:t xml:space="preserve"> in FY </w:t>
      </w:r>
      <w:r w:rsidR="002A30D1">
        <w:rPr>
          <w:rFonts w:ascii="Calibri" w:hAnsi="Calibri" w:cs="Calibri"/>
          <w:color w:val="000000"/>
        </w:rPr>
        <w:t>20</w:t>
      </w:r>
      <w:r w:rsidRPr="00642F8C">
        <w:rPr>
          <w:rFonts w:ascii="Calibri" w:hAnsi="Calibri" w:cs="Calibri"/>
          <w:color w:val="000000"/>
        </w:rPr>
        <w:t>2</w:t>
      </w:r>
      <w:r w:rsidR="00D17C95">
        <w:rPr>
          <w:rFonts w:ascii="Calibri" w:hAnsi="Calibri" w:cs="Calibri"/>
          <w:color w:val="000000"/>
        </w:rPr>
        <w:t>5</w:t>
      </w:r>
      <w:r w:rsidRPr="00642F8C">
        <w:rPr>
          <w:rFonts w:ascii="Calibri" w:hAnsi="Calibri" w:cs="Calibri"/>
          <w:color w:val="000000"/>
        </w:rPr>
        <w:t xml:space="preserve">.  In addition, the number of fatalities in construction increased from </w:t>
      </w:r>
      <w:r w:rsidR="00D17C95">
        <w:rPr>
          <w:rFonts w:ascii="Calibri" w:hAnsi="Calibri" w:cs="Calibri"/>
          <w:color w:val="000000"/>
        </w:rPr>
        <w:t>15</w:t>
      </w:r>
      <w:r w:rsidRPr="00642F8C">
        <w:rPr>
          <w:rFonts w:ascii="Calibri" w:hAnsi="Calibri" w:cs="Calibri"/>
          <w:color w:val="000000"/>
        </w:rPr>
        <w:t xml:space="preserve"> in FY </w:t>
      </w:r>
      <w:r w:rsidR="002A30D1">
        <w:rPr>
          <w:rFonts w:ascii="Calibri" w:hAnsi="Calibri" w:cs="Calibri"/>
          <w:color w:val="000000"/>
        </w:rPr>
        <w:t>20</w:t>
      </w:r>
      <w:r w:rsidR="00D17C95">
        <w:rPr>
          <w:rFonts w:ascii="Calibri" w:hAnsi="Calibri" w:cs="Calibri"/>
          <w:color w:val="000000"/>
        </w:rPr>
        <w:t>24</w:t>
      </w:r>
      <w:r w:rsidRPr="00642F8C">
        <w:rPr>
          <w:rFonts w:ascii="Calibri" w:hAnsi="Calibri" w:cs="Calibri"/>
          <w:color w:val="000000"/>
        </w:rPr>
        <w:t xml:space="preserve"> to </w:t>
      </w:r>
      <w:r w:rsidR="00D17C95">
        <w:rPr>
          <w:rFonts w:ascii="Calibri" w:hAnsi="Calibri" w:cs="Calibri"/>
          <w:color w:val="000000"/>
        </w:rPr>
        <w:t>27</w:t>
      </w:r>
      <w:r w:rsidRPr="00642F8C">
        <w:rPr>
          <w:rFonts w:ascii="Calibri" w:hAnsi="Calibri" w:cs="Calibri"/>
          <w:color w:val="000000"/>
        </w:rPr>
        <w:t xml:space="preserve"> in FY </w:t>
      </w:r>
      <w:r w:rsidR="002A30D1">
        <w:rPr>
          <w:rFonts w:ascii="Calibri" w:hAnsi="Calibri" w:cs="Calibri"/>
          <w:color w:val="000000"/>
        </w:rPr>
        <w:t>20</w:t>
      </w:r>
      <w:r w:rsidRPr="00642F8C">
        <w:rPr>
          <w:rFonts w:ascii="Calibri" w:hAnsi="Calibri" w:cs="Calibri"/>
          <w:color w:val="000000"/>
        </w:rPr>
        <w:t>2</w:t>
      </w:r>
      <w:r w:rsidR="00D17C95">
        <w:rPr>
          <w:rFonts w:ascii="Calibri" w:hAnsi="Calibri" w:cs="Calibri"/>
          <w:color w:val="000000"/>
        </w:rPr>
        <w:t>5</w:t>
      </w:r>
      <w:r w:rsidRPr="00642F8C">
        <w:rPr>
          <w:rFonts w:ascii="Calibri" w:hAnsi="Calibri" w:cs="Calibri"/>
          <w:color w:val="000000"/>
        </w:rPr>
        <w:t xml:space="preserve">.  </w:t>
      </w:r>
      <w:r w:rsidR="0040326B">
        <w:rPr>
          <w:rFonts w:ascii="Calibri" w:hAnsi="Calibri" w:cs="Calibri"/>
          <w:color w:val="000000"/>
        </w:rPr>
        <w:t>OSHNC</w:t>
      </w:r>
      <w:r w:rsidRPr="00642F8C">
        <w:rPr>
          <w:rFonts w:ascii="Calibri" w:hAnsi="Calibri" w:cs="Calibri"/>
          <w:color w:val="000000"/>
        </w:rPr>
        <w:t xml:space="preserve">’s procedures for investigation of occupational fatalities are effectively the same as those of federal OSHA.  </w:t>
      </w:r>
      <w:r w:rsidRPr="00642F8C">
        <w:rPr>
          <w:rFonts w:ascii="Calibri" w:hAnsi="Calibri" w:cs="Calibri"/>
        </w:rPr>
        <w:t xml:space="preserve">A review of the fatality inspection files showed that the correct fatality inspection procedures were followed.  100% of the fatality inspection cases were responded to within one day, according to SAMM 10.  </w:t>
      </w:r>
      <w:r w:rsidR="00C61F0A">
        <w:rPr>
          <w:rFonts w:ascii="Calibri" w:hAnsi="Calibri" w:cs="Calibri"/>
          <w:color w:val="000000"/>
        </w:rPr>
        <w:t>OSHNC</w:t>
      </w:r>
      <w:r w:rsidRPr="00642F8C">
        <w:rPr>
          <w:rFonts w:ascii="Calibri" w:hAnsi="Calibri" w:cs="Calibri"/>
          <w:color w:val="000000"/>
        </w:rPr>
        <w:t xml:space="preserve"> has implemented procedures to assure the quality of fatality </w:t>
      </w:r>
      <w:r w:rsidR="00573370">
        <w:rPr>
          <w:rFonts w:ascii="Calibri" w:hAnsi="Calibri" w:cs="Calibri"/>
          <w:color w:val="000000"/>
        </w:rPr>
        <w:t>inspections</w:t>
      </w:r>
      <w:r w:rsidRPr="00642F8C">
        <w:rPr>
          <w:rFonts w:ascii="Calibri" w:hAnsi="Calibri" w:cs="Calibri"/>
          <w:color w:val="000000"/>
        </w:rPr>
        <w:t xml:space="preserve">.  </w:t>
      </w:r>
    </w:p>
    <w:p w14:paraId="720074F0" w14:textId="77777777" w:rsidR="00642F8C" w:rsidRPr="00642F8C" w:rsidRDefault="00642F8C" w:rsidP="00642F8C">
      <w:pPr>
        <w:ind w:left="1260"/>
        <w:rPr>
          <w:rFonts w:ascii="Calibri" w:hAnsi="Calibri" w:cs="Calibri"/>
          <w:color w:val="FF0000"/>
        </w:rPr>
      </w:pPr>
    </w:p>
    <w:p w14:paraId="16931F4A" w14:textId="66938038" w:rsidR="00642F8C" w:rsidRPr="00642F8C" w:rsidRDefault="00642F8C" w:rsidP="00642F8C">
      <w:pPr>
        <w:ind w:left="1260"/>
        <w:rPr>
          <w:rFonts w:ascii="Calibri" w:hAnsi="Calibri" w:cs="Calibri"/>
        </w:rPr>
      </w:pPr>
      <w:r w:rsidRPr="00642F8C">
        <w:rPr>
          <w:rFonts w:ascii="Calibri" w:hAnsi="Calibri" w:cs="Calibri"/>
        </w:rPr>
        <w:t xml:space="preserve">The Next-of-Kin (NOK) was contacted on all investigations.  North Carolina has a procedure for communication with family members of deceased workers.  Letters are sent to the NOK at the beginning of the investigation, and when the investigation has concluded.  The family is provided with the name and telephone number of the “next-of-kin ombudsman,” who handles telephone contacts with the family.  Supervisors indicated that they check to </w:t>
      </w:r>
      <w:r w:rsidR="008115F6" w:rsidRPr="00642F8C">
        <w:rPr>
          <w:rFonts w:ascii="Calibri" w:hAnsi="Calibri" w:cs="Calibri"/>
        </w:rPr>
        <w:t>ensure</w:t>
      </w:r>
      <w:r w:rsidRPr="00642F8C">
        <w:rPr>
          <w:rFonts w:ascii="Calibri" w:hAnsi="Calibri" w:cs="Calibri"/>
        </w:rPr>
        <w:t xml:space="preserve"> that the letters have been sent when they review the file.  </w:t>
      </w:r>
    </w:p>
    <w:p w14:paraId="2524165A" w14:textId="77777777" w:rsidR="00642F8C" w:rsidRPr="00642F8C" w:rsidRDefault="00642F8C" w:rsidP="00642F8C">
      <w:pPr>
        <w:ind w:left="1260"/>
        <w:jc w:val="both"/>
        <w:rPr>
          <w:rFonts w:ascii="Calibri" w:hAnsi="Calibri" w:cs="Calibri"/>
        </w:rPr>
      </w:pPr>
    </w:p>
    <w:p w14:paraId="747A4492" w14:textId="2B9E4191" w:rsidR="00642F8C" w:rsidRPr="00642F8C" w:rsidRDefault="00642F8C" w:rsidP="00642F8C">
      <w:pPr>
        <w:ind w:left="1260"/>
        <w:jc w:val="both"/>
        <w:rPr>
          <w:rFonts w:ascii="Calibri" w:hAnsi="Calibri" w:cs="Calibri"/>
          <w:iCs/>
        </w:rPr>
      </w:pPr>
      <w:r w:rsidRPr="00642F8C">
        <w:rPr>
          <w:rFonts w:ascii="Calibri" w:eastAsia="Calibri" w:hAnsi="Calibri" w:cs="Calibri"/>
        </w:rPr>
        <w:t xml:space="preserve">The table below details the </w:t>
      </w:r>
      <w:r w:rsidR="008115F6" w:rsidRPr="00642F8C">
        <w:rPr>
          <w:rFonts w:ascii="Calibri" w:eastAsia="Calibri" w:hAnsi="Calibri" w:cs="Calibri"/>
        </w:rPr>
        <w:t>industries</w:t>
      </w:r>
      <w:r w:rsidRPr="00642F8C">
        <w:rPr>
          <w:rFonts w:ascii="Calibri" w:eastAsia="Calibri" w:hAnsi="Calibri" w:cs="Calibri"/>
        </w:rPr>
        <w:t xml:space="preserve"> where fatalities occurred in FY 202</w:t>
      </w:r>
      <w:r w:rsidR="00954127">
        <w:rPr>
          <w:rFonts w:ascii="Calibri" w:eastAsia="Calibri" w:hAnsi="Calibri" w:cs="Calibri"/>
        </w:rPr>
        <w:t>4</w:t>
      </w:r>
      <w:r w:rsidRPr="00642F8C">
        <w:rPr>
          <w:rFonts w:ascii="Calibri" w:eastAsia="Calibri" w:hAnsi="Calibri" w:cs="Calibri"/>
        </w:rPr>
        <w:t xml:space="preserve"> and FY 202</w:t>
      </w:r>
      <w:r w:rsidR="00954127">
        <w:rPr>
          <w:rFonts w:ascii="Calibri" w:eastAsia="Calibri" w:hAnsi="Calibri" w:cs="Calibri"/>
        </w:rPr>
        <w:t>5</w:t>
      </w:r>
      <w:r w:rsidRPr="00642F8C">
        <w:rPr>
          <w:rFonts w:ascii="Calibri" w:eastAsia="Calibri" w:hAnsi="Calibri" w:cs="Calibri"/>
        </w:rPr>
        <w:t>.</w:t>
      </w:r>
    </w:p>
    <w:p w14:paraId="3E308E56" w14:textId="77777777" w:rsidR="00642F8C" w:rsidRPr="00642F8C" w:rsidRDefault="00642F8C" w:rsidP="00642F8C">
      <w:pPr>
        <w:jc w:val="both"/>
        <w:rPr>
          <w:rFonts w:ascii="Calibri" w:hAnsi="Calibri" w:cs="Calibri"/>
          <w:color w:val="FF0000"/>
        </w:rPr>
      </w:pPr>
    </w:p>
    <w:p w14:paraId="31BA84F0" w14:textId="77777777" w:rsidR="00C4188E" w:rsidRDefault="00C4188E" w:rsidP="005B5DBB">
      <w:pPr>
        <w:widowControl/>
        <w:autoSpaceDE/>
        <w:autoSpaceDN/>
        <w:adjustRightInd/>
        <w:ind w:left="1260"/>
        <w:contextualSpacing/>
        <w:rPr>
          <w:rFonts w:ascii="Calibri" w:hAnsi="Calibri" w:cs="Calibri"/>
          <w:b/>
          <w:bCs/>
        </w:rPr>
      </w:pPr>
    </w:p>
    <w:p w14:paraId="6FA5653A" w14:textId="77777777" w:rsidR="00C4188E" w:rsidRDefault="00C4188E" w:rsidP="005B5DBB">
      <w:pPr>
        <w:widowControl/>
        <w:autoSpaceDE/>
        <w:autoSpaceDN/>
        <w:adjustRightInd/>
        <w:ind w:left="1260"/>
        <w:contextualSpacing/>
        <w:rPr>
          <w:rFonts w:ascii="Calibri" w:hAnsi="Calibri" w:cs="Calibri"/>
          <w:b/>
          <w:bCs/>
        </w:rPr>
      </w:pPr>
    </w:p>
    <w:p w14:paraId="67C271D4" w14:textId="77777777" w:rsidR="00C4188E" w:rsidRDefault="00C4188E" w:rsidP="005B5DBB">
      <w:pPr>
        <w:widowControl/>
        <w:autoSpaceDE/>
        <w:autoSpaceDN/>
        <w:adjustRightInd/>
        <w:ind w:left="1260"/>
        <w:contextualSpacing/>
        <w:rPr>
          <w:rFonts w:ascii="Calibri" w:hAnsi="Calibri" w:cs="Calibri"/>
          <w:b/>
          <w:bCs/>
        </w:rPr>
      </w:pPr>
    </w:p>
    <w:p w14:paraId="2F1F72A5" w14:textId="77777777" w:rsidR="00C4188E" w:rsidRDefault="00C4188E" w:rsidP="005B5DBB">
      <w:pPr>
        <w:widowControl/>
        <w:autoSpaceDE/>
        <w:autoSpaceDN/>
        <w:adjustRightInd/>
        <w:ind w:left="1260"/>
        <w:contextualSpacing/>
        <w:rPr>
          <w:rFonts w:ascii="Calibri" w:hAnsi="Calibri" w:cs="Calibri"/>
          <w:b/>
          <w:bCs/>
        </w:rPr>
      </w:pPr>
    </w:p>
    <w:p w14:paraId="485F3C7D" w14:textId="77777777" w:rsidR="00C4188E" w:rsidRDefault="00C4188E" w:rsidP="005B5DBB">
      <w:pPr>
        <w:widowControl/>
        <w:autoSpaceDE/>
        <w:autoSpaceDN/>
        <w:adjustRightInd/>
        <w:ind w:left="1260"/>
        <w:contextualSpacing/>
        <w:rPr>
          <w:rFonts w:ascii="Calibri" w:hAnsi="Calibri" w:cs="Calibri"/>
          <w:b/>
          <w:bCs/>
        </w:rPr>
      </w:pPr>
    </w:p>
    <w:tbl>
      <w:tblPr>
        <w:tblStyle w:val="TableGrid"/>
        <w:tblpPr w:leftFromText="180" w:rightFromText="180" w:vertAnchor="page" w:horzAnchor="margin" w:tblpXSpec="center" w:tblpY="753"/>
        <w:tblW w:w="0" w:type="auto"/>
        <w:tblLook w:val="04A0" w:firstRow="1" w:lastRow="0" w:firstColumn="1" w:lastColumn="0" w:noHBand="0" w:noVBand="1"/>
      </w:tblPr>
      <w:tblGrid>
        <w:gridCol w:w="3965"/>
        <w:gridCol w:w="1080"/>
        <w:gridCol w:w="1125"/>
      </w:tblGrid>
      <w:tr w:rsidR="00F264EB" w:rsidRPr="00642F8C" w14:paraId="32D88F9E" w14:textId="77777777" w:rsidTr="00F264EB">
        <w:tc>
          <w:tcPr>
            <w:tcW w:w="3965" w:type="dxa"/>
          </w:tcPr>
          <w:p w14:paraId="061377B2" w14:textId="77777777" w:rsidR="00F264EB" w:rsidRPr="00642F8C" w:rsidRDefault="00F264EB" w:rsidP="00F264EB">
            <w:pPr>
              <w:jc w:val="both"/>
              <w:rPr>
                <w:rFonts w:ascii="Calibri" w:eastAsia="Calibri" w:hAnsi="Calibri" w:cs="Calibri"/>
              </w:rPr>
            </w:pPr>
            <w:r w:rsidRPr="00642F8C">
              <w:rPr>
                <w:rFonts w:ascii="Calibri" w:hAnsi="Calibri" w:cs="Calibri"/>
                <w:b/>
                <w:bCs/>
              </w:rPr>
              <w:lastRenderedPageBreak/>
              <w:t>By Industry</w:t>
            </w:r>
          </w:p>
        </w:tc>
        <w:tc>
          <w:tcPr>
            <w:tcW w:w="1080" w:type="dxa"/>
          </w:tcPr>
          <w:p w14:paraId="33E389AF" w14:textId="77777777" w:rsidR="00F264EB" w:rsidRPr="00642F8C" w:rsidRDefault="00F264EB" w:rsidP="00F264EB">
            <w:pPr>
              <w:jc w:val="center"/>
              <w:rPr>
                <w:rFonts w:ascii="Calibri" w:hAnsi="Calibri" w:cs="Calibri"/>
                <w:b/>
              </w:rPr>
            </w:pPr>
            <w:r w:rsidRPr="00642F8C">
              <w:rPr>
                <w:rFonts w:ascii="Calibri" w:hAnsi="Calibri" w:cs="Calibri"/>
                <w:b/>
              </w:rPr>
              <w:t>FY 202</w:t>
            </w:r>
            <w:r>
              <w:rPr>
                <w:rFonts w:ascii="Calibri" w:hAnsi="Calibri" w:cs="Calibri"/>
                <w:b/>
              </w:rPr>
              <w:t>4</w:t>
            </w:r>
          </w:p>
        </w:tc>
        <w:tc>
          <w:tcPr>
            <w:tcW w:w="1125" w:type="dxa"/>
          </w:tcPr>
          <w:p w14:paraId="3B25C3E2" w14:textId="77777777" w:rsidR="00F264EB" w:rsidRPr="00642F8C" w:rsidRDefault="00F264EB" w:rsidP="00F264EB">
            <w:pPr>
              <w:jc w:val="center"/>
              <w:rPr>
                <w:rFonts w:ascii="Calibri" w:hAnsi="Calibri" w:cs="Calibri"/>
                <w:b/>
              </w:rPr>
            </w:pPr>
            <w:r w:rsidRPr="00642F8C">
              <w:rPr>
                <w:rFonts w:ascii="Calibri" w:hAnsi="Calibri" w:cs="Calibri"/>
                <w:b/>
              </w:rPr>
              <w:t>FY 202</w:t>
            </w:r>
            <w:r>
              <w:rPr>
                <w:rFonts w:ascii="Calibri" w:hAnsi="Calibri" w:cs="Calibri"/>
                <w:b/>
              </w:rPr>
              <w:t>5</w:t>
            </w:r>
          </w:p>
        </w:tc>
      </w:tr>
      <w:tr w:rsidR="00F264EB" w:rsidRPr="00642F8C" w14:paraId="6EEB8AC5" w14:textId="77777777" w:rsidTr="00F264EB">
        <w:tc>
          <w:tcPr>
            <w:tcW w:w="3965" w:type="dxa"/>
          </w:tcPr>
          <w:p w14:paraId="390A640F" w14:textId="77777777" w:rsidR="00F264EB" w:rsidRPr="00642F8C" w:rsidRDefault="00F264EB" w:rsidP="00F264EB">
            <w:pPr>
              <w:jc w:val="both"/>
              <w:rPr>
                <w:rFonts w:ascii="Calibri" w:eastAsia="Calibri" w:hAnsi="Calibri" w:cs="Calibri"/>
              </w:rPr>
            </w:pPr>
            <w:r w:rsidRPr="00642F8C">
              <w:rPr>
                <w:rFonts w:ascii="Calibri" w:hAnsi="Calibri" w:cs="Calibri"/>
              </w:rPr>
              <w:t>Construction</w:t>
            </w:r>
          </w:p>
        </w:tc>
        <w:tc>
          <w:tcPr>
            <w:tcW w:w="1080" w:type="dxa"/>
          </w:tcPr>
          <w:p w14:paraId="5EAD6E1C" w14:textId="77777777" w:rsidR="00F264EB" w:rsidRPr="00642F8C" w:rsidRDefault="00F264EB" w:rsidP="00F264EB">
            <w:pPr>
              <w:jc w:val="center"/>
              <w:rPr>
                <w:rFonts w:ascii="Calibri" w:eastAsia="Calibri" w:hAnsi="Calibri" w:cs="Calibri"/>
              </w:rPr>
            </w:pPr>
            <w:r>
              <w:rPr>
                <w:rFonts w:ascii="Calibri" w:eastAsia="Calibri" w:hAnsi="Calibri" w:cs="Calibri"/>
              </w:rPr>
              <w:t>15</w:t>
            </w:r>
          </w:p>
        </w:tc>
        <w:tc>
          <w:tcPr>
            <w:tcW w:w="1125" w:type="dxa"/>
          </w:tcPr>
          <w:p w14:paraId="3E662022" w14:textId="77777777" w:rsidR="00F264EB" w:rsidRPr="00642F8C" w:rsidRDefault="00F264EB" w:rsidP="00F264EB">
            <w:pPr>
              <w:jc w:val="center"/>
              <w:rPr>
                <w:rFonts w:ascii="Calibri" w:eastAsia="Calibri" w:hAnsi="Calibri" w:cs="Calibri"/>
              </w:rPr>
            </w:pPr>
            <w:r>
              <w:rPr>
                <w:rFonts w:ascii="Calibri" w:eastAsia="Calibri" w:hAnsi="Calibri" w:cs="Calibri"/>
              </w:rPr>
              <w:t>27</w:t>
            </w:r>
          </w:p>
        </w:tc>
      </w:tr>
      <w:tr w:rsidR="00F264EB" w:rsidRPr="00642F8C" w14:paraId="4B2B8010" w14:textId="77777777" w:rsidTr="00F264EB">
        <w:tc>
          <w:tcPr>
            <w:tcW w:w="3965" w:type="dxa"/>
          </w:tcPr>
          <w:p w14:paraId="5D37A046" w14:textId="77777777" w:rsidR="00F264EB" w:rsidRPr="00642F8C" w:rsidRDefault="00F264EB" w:rsidP="00F264EB">
            <w:pPr>
              <w:jc w:val="both"/>
              <w:rPr>
                <w:rFonts w:ascii="Calibri" w:eastAsia="Calibri" w:hAnsi="Calibri" w:cs="Calibri"/>
              </w:rPr>
            </w:pPr>
            <w:r w:rsidRPr="00642F8C">
              <w:rPr>
                <w:rFonts w:ascii="Calibri" w:hAnsi="Calibri" w:cs="Calibri"/>
              </w:rPr>
              <w:t>Manufacturing</w:t>
            </w:r>
          </w:p>
        </w:tc>
        <w:tc>
          <w:tcPr>
            <w:tcW w:w="1080" w:type="dxa"/>
          </w:tcPr>
          <w:p w14:paraId="3A0C8F3F" w14:textId="77777777" w:rsidR="00F264EB" w:rsidRPr="00642F8C" w:rsidRDefault="00F264EB" w:rsidP="00F264EB">
            <w:pPr>
              <w:jc w:val="center"/>
              <w:rPr>
                <w:rFonts w:ascii="Calibri" w:eastAsia="Calibri" w:hAnsi="Calibri" w:cs="Calibri"/>
              </w:rPr>
            </w:pPr>
            <w:r>
              <w:rPr>
                <w:rFonts w:ascii="Calibri" w:eastAsia="Calibri" w:hAnsi="Calibri" w:cs="Calibri"/>
              </w:rPr>
              <w:t>6</w:t>
            </w:r>
          </w:p>
        </w:tc>
        <w:tc>
          <w:tcPr>
            <w:tcW w:w="1125" w:type="dxa"/>
          </w:tcPr>
          <w:p w14:paraId="0EE03A5B" w14:textId="77777777" w:rsidR="00F264EB" w:rsidRPr="00642F8C" w:rsidRDefault="00F264EB" w:rsidP="00F264EB">
            <w:pPr>
              <w:jc w:val="center"/>
              <w:rPr>
                <w:rFonts w:ascii="Calibri" w:eastAsia="Calibri" w:hAnsi="Calibri" w:cs="Calibri"/>
              </w:rPr>
            </w:pPr>
            <w:r>
              <w:rPr>
                <w:rFonts w:ascii="Calibri" w:eastAsia="Calibri" w:hAnsi="Calibri" w:cs="Calibri"/>
              </w:rPr>
              <w:t>8</w:t>
            </w:r>
          </w:p>
        </w:tc>
      </w:tr>
      <w:tr w:rsidR="00F264EB" w:rsidRPr="00642F8C" w14:paraId="44BBEF69" w14:textId="77777777" w:rsidTr="00F264EB">
        <w:tc>
          <w:tcPr>
            <w:tcW w:w="3965" w:type="dxa"/>
            <w:vAlign w:val="bottom"/>
          </w:tcPr>
          <w:p w14:paraId="5EDCB8D5" w14:textId="77777777" w:rsidR="00F264EB" w:rsidRPr="00642F8C" w:rsidRDefault="00F264EB" w:rsidP="00F264EB">
            <w:pPr>
              <w:jc w:val="both"/>
              <w:rPr>
                <w:rFonts w:ascii="Calibri" w:eastAsia="Calibri" w:hAnsi="Calibri" w:cs="Calibri"/>
              </w:rPr>
            </w:pPr>
            <w:r w:rsidRPr="00642F8C">
              <w:rPr>
                <w:rFonts w:ascii="Calibri" w:hAnsi="Calibri" w:cs="Calibri"/>
              </w:rPr>
              <w:t>Transportation &amp; Public Utilities</w:t>
            </w:r>
          </w:p>
        </w:tc>
        <w:tc>
          <w:tcPr>
            <w:tcW w:w="1080" w:type="dxa"/>
          </w:tcPr>
          <w:p w14:paraId="54ABA71C" w14:textId="77777777" w:rsidR="00F264EB" w:rsidRPr="00642F8C" w:rsidRDefault="00F264EB" w:rsidP="00F264EB">
            <w:pPr>
              <w:jc w:val="center"/>
              <w:rPr>
                <w:rFonts w:ascii="Calibri" w:eastAsia="Calibri" w:hAnsi="Calibri" w:cs="Calibri"/>
              </w:rPr>
            </w:pPr>
            <w:r>
              <w:rPr>
                <w:rFonts w:ascii="Calibri" w:eastAsia="Calibri" w:hAnsi="Calibri" w:cs="Calibri"/>
              </w:rPr>
              <w:t>8</w:t>
            </w:r>
          </w:p>
        </w:tc>
        <w:tc>
          <w:tcPr>
            <w:tcW w:w="1125" w:type="dxa"/>
          </w:tcPr>
          <w:p w14:paraId="5836ADF2" w14:textId="77777777" w:rsidR="00F264EB" w:rsidRPr="00642F8C" w:rsidRDefault="00F264EB" w:rsidP="00F264EB">
            <w:pPr>
              <w:jc w:val="center"/>
              <w:rPr>
                <w:rFonts w:ascii="Calibri" w:eastAsia="Calibri" w:hAnsi="Calibri" w:cs="Calibri"/>
              </w:rPr>
            </w:pPr>
            <w:r>
              <w:rPr>
                <w:rFonts w:ascii="Calibri" w:eastAsia="Calibri" w:hAnsi="Calibri" w:cs="Calibri"/>
              </w:rPr>
              <w:t>10</w:t>
            </w:r>
          </w:p>
        </w:tc>
      </w:tr>
      <w:tr w:rsidR="00F264EB" w:rsidRPr="00642F8C" w14:paraId="2520D6FA" w14:textId="77777777" w:rsidTr="00F264EB">
        <w:tc>
          <w:tcPr>
            <w:tcW w:w="3965" w:type="dxa"/>
          </w:tcPr>
          <w:p w14:paraId="78DC6875" w14:textId="77777777" w:rsidR="00F264EB" w:rsidRPr="00642F8C" w:rsidRDefault="00F264EB" w:rsidP="00F264EB">
            <w:pPr>
              <w:jc w:val="both"/>
              <w:rPr>
                <w:rFonts w:ascii="Calibri" w:eastAsia="Calibri" w:hAnsi="Calibri" w:cs="Calibri"/>
              </w:rPr>
            </w:pPr>
            <w:r w:rsidRPr="00642F8C">
              <w:rPr>
                <w:rFonts w:ascii="Calibri" w:hAnsi="Calibri" w:cs="Calibri"/>
              </w:rPr>
              <w:t>Wholesale Trade</w:t>
            </w:r>
          </w:p>
        </w:tc>
        <w:tc>
          <w:tcPr>
            <w:tcW w:w="1080" w:type="dxa"/>
          </w:tcPr>
          <w:p w14:paraId="3AA03E20" w14:textId="77777777" w:rsidR="00F264EB" w:rsidRPr="00642F8C" w:rsidRDefault="00F264EB" w:rsidP="00F264EB">
            <w:pPr>
              <w:jc w:val="center"/>
              <w:rPr>
                <w:rFonts w:ascii="Calibri" w:eastAsia="Calibri" w:hAnsi="Calibri" w:cs="Calibri"/>
              </w:rPr>
            </w:pPr>
            <w:r>
              <w:rPr>
                <w:rFonts w:ascii="Calibri" w:eastAsia="Calibri" w:hAnsi="Calibri" w:cs="Calibri"/>
              </w:rPr>
              <w:t>3</w:t>
            </w:r>
          </w:p>
        </w:tc>
        <w:tc>
          <w:tcPr>
            <w:tcW w:w="1125" w:type="dxa"/>
          </w:tcPr>
          <w:p w14:paraId="307C2193" w14:textId="77777777" w:rsidR="00F264EB" w:rsidRPr="00642F8C" w:rsidRDefault="00F264EB" w:rsidP="00F264EB">
            <w:pPr>
              <w:jc w:val="center"/>
              <w:rPr>
                <w:rFonts w:ascii="Calibri" w:eastAsia="Calibri" w:hAnsi="Calibri" w:cs="Calibri"/>
              </w:rPr>
            </w:pPr>
            <w:r>
              <w:rPr>
                <w:rFonts w:ascii="Calibri" w:eastAsia="Calibri" w:hAnsi="Calibri" w:cs="Calibri"/>
              </w:rPr>
              <w:t>4</w:t>
            </w:r>
          </w:p>
        </w:tc>
      </w:tr>
      <w:tr w:rsidR="00F264EB" w:rsidRPr="00642F8C" w14:paraId="5D631699" w14:textId="77777777" w:rsidTr="00F264EB">
        <w:tc>
          <w:tcPr>
            <w:tcW w:w="3965" w:type="dxa"/>
          </w:tcPr>
          <w:p w14:paraId="77E3EEBD" w14:textId="77777777" w:rsidR="00F264EB" w:rsidRPr="00642F8C" w:rsidRDefault="00F264EB" w:rsidP="00F264EB">
            <w:pPr>
              <w:jc w:val="both"/>
              <w:rPr>
                <w:rFonts w:ascii="Calibri" w:eastAsia="Calibri" w:hAnsi="Calibri" w:cs="Calibri"/>
              </w:rPr>
            </w:pPr>
            <w:r w:rsidRPr="00642F8C">
              <w:rPr>
                <w:rFonts w:ascii="Calibri" w:hAnsi="Calibri" w:cs="Calibri"/>
              </w:rPr>
              <w:t>Retail Trade</w:t>
            </w:r>
          </w:p>
        </w:tc>
        <w:tc>
          <w:tcPr>
            <w:tcW w:w="1080" w:type="dxa"/>
          </w:tcPr>
          <w:p w14:paraId="7E4AB228" w14:textId="77777777" w:rsidR="00F264EB" w:rsidRPr="00642F8C" w:rsidRDefault="00F264EB" w:rsidP="00F264EB">
            <w:pPr>
              <w:jc w:val="center"/>
              <w:rPr>
                <w:rFonts w:ascii="Calibri" w:eastAsia="Calibri" w:hAnsi="Calibri" w:cs="Calibri"/>
              </w:rPr>
            </w:pPr>
            <w:r>
              <w:rPr>
                <w:rFonts w:ascii="Calibri" w:eastAsia="Calibri" w:hAnsi="Calibri" w:cs="Calibri"/>
              </w:rPr>
              <w:t>1</w:t>
            </w:r>
          </w:p>
        </w:tc>
        <w:tc>
          <w:tcPr>
            <w:tcW w:w="1125" w:type="dxa"/>
          </w:tcPr>
          <w:p w14:paraId="12A19F25" w14:textId="77777777" w:rsidR="00F264EB" w:rsidRPr="00642F8C" w:rsidRDefault="00F264EB" w:rsidP="00F264EB">
            <w:pPr>
              <w:jc w:val="center"/>
              <w:rPr>
                <w:rFonts w:ascii="Calibri" w:eastAsia="Calibri" w:hAnsi="Calibri" w:cs="Calibri"/>
              </w:rPr>
            </w:pPr>
            <w:r>
              <w:rPr>
                <w:rFonts w:ascii="Calibri" w:eastAsia="Calibri" w:hAnsi="Calibri" w:cs="Calibri"/>
              </w:rPr>
              <w:t>1</w:t>
            </w:r>
          </w:p>
        </w:tc>
      </w:tr>
      <w:tr w:rsidR="00F264EB" w:rsidRPr="00642F8C" w14:paraId="14369E66" w14:textId="77777777" w:rsidTr="00F264EB">
        <w:tc>
          <w:tcPr>
            <w:tcW w:w="3965" w:type="dxa"/>
          </w:tcPr>
          <w:p w14:paraId="3D66C259" w14:textId="77777777" w:rsidR="00F264EB" w:rsidRPr="00642F8C" w:rsidRDefault="00F264EB" w:rsidP="00F264EB">
            <w:pPr>
              <w:jc w:val="both"/>
              <w:rPr>
                <w:rFonts w:ascii="Calibri" w:eastAsia="Calibri" w:hAnsi="Calibri" w:cs="Calibri"/>
              </w:rPr>
            </w:pPr>
            <w:r w:rsidRPr="00642F8C">
              <w:rPr>
                <w:rFonts w:ascii="Calibri" w:hAnsi="Calibri" w:cs="Calibri"/>
              </w:rPr>
              <w:t>Services</w:t>
            </w:r>
          </w:p>
        </w:tc>
        <w:tc>
          <w:tcPr>
            <w:tcW w:w="1080" w:type="dxa"/>
          </w:tcPr>
          <w:p w14:paraId="2A3AB736" w14:textId="77777777" w:rsidR="00F264EB" w:rsidRPr="00642F8C" w:rsidRDefault="00F264EB" w:rsidP="00F264EB">
            <w:pPr>
              <w:jc w:val="center"/>
              <w:rPr>
                <w:rFonts w:ascii="Calibri" w:eastAsia="Calibri" w:hAnsi="Calibri" w:cs="Calibri"/>
              </w:rPr>
            </w:pPr>
            <w:r>
              <w:rPr>
                <w:rFonts w:ascii="Calibri" w:eastAsia="Calibri" w:hAnsi="Calibri" w:cs="Calibri"/>
              </w:rPr>
              <w:t>5</w:t>
            </w:r>
          </w:p>
        </w:tc>
        <w:tc>
          <w:tcPr>
            <w:tcW w:w="1125" w:type="dxa"/>
          </w:tcPr>
          <w:p w14:paraId="29935528" w14:textId="77777777" w:rsidR="00F264EB" w:rsidRPr="00642F8C" w:rsidRDefault="00F264EB" w:rsidP="00F264EB">
            <w:pPr>
              <w:jc w:val="center"/>
              <w:rPr>
                <w:rFonts w:ascii="Calibri" w:eastAsia="Calibri" w:hAnsi="Calibri" w:cs="Calibri"/>
              </w:rPr>
            </w:pPr>
            <w:r>
              <w:rPr>
                <w:rFonts w:ascii="Calibri" w:eastAsia="Calibri" w:hAnsi="Calibri" w:cs="Calibri"/>
              </w:rPr>
              <w:t>8</w:t>
            </w:r>
          </w:p>
        </w:tc>
      </w:tr>
      <w:tr w:rsidR="00F264EB" w:rsidRPr="00642F8C" w14:paraId="16C8016C" w14:textId="77777777" w:rsidTr="00F264EB">
        <w:tc>
          <w:tcPr>
            <w:tcW w:w="3965" w:type="dxa"/>
            <w:vAlign w:val="bottom"/>
          </w:tcPr>
          <w:p w14:paraId="0E6771BF" w14:textId="77777777" w:rsidR="00F264EB" w:rsidRPr="00642F8C" w:rsidRDefault="00F264EB" w:rsidP="00F264EB">
            <w:pPr>
              <w:jc w:val="both"/>
              <w:rPr>
                <w:rFonts w:ascii="Calibri" w:eastAsia="Calibri" w:hAnsi="Calibri" w:cs="Calibri"/>
              </w:rPr>
            </w:pPr>
            <w:r w:rsidRPr="00642F8C">
              <w:rPr>
                <w:rFonts w:ascii="Calibri" w:hAnsi="Calibri" w:cs="Calibri"/>
              </w:rPr>
              <w:t>Agriculture, Forestry, Fishing</w:t>
            </w:r>
          </w:p>
        </w:tc>
        <w:tc>
          <w:tcPr>
            <w:tcW w:w="1080" w:type="dxa"/>
          </w:tcPr>
          <w:p w14:paraId="318352D3" w14:textId="77777777" w:rsidR="00F264EB" w:rsidRPr="00642F8C" w:rsidRDefault="00F264EB" w:rsidP="00F264EB">
            <w:pPr>
              <w:jc w:val="center"/>
              <w:rPr>
                <w:rFonts w:ascii="Calibri" w:eastAsia="Calibri" w:hAnsi="Calibri" w:cs="Calibri"/>
              </w:rPr>
            </w:pPr>
            <w:r>
              <w:rPr>
                <w:rFonts w:ascii="Calibri" w:eastAsia="Calibri" w:hAnsi="Calibri" w:cs="Calibri"/>
              </w:rPr>
              <w:t>4</w:t>
            </w:r>
          </w:p>
        </w:tc>
        <w:tc>
          <w:tcPr>
            <w:tcW w:w="1125" w:type="dxa"/>
          </w:tcPr>
          <w:p w14:paraId="160D4976" w14:textId="77777777" w:rsidR="00F264EB" w:rsidRPr="00642F8C" w:rsidRDefault="00F264EB" w:rsidP="00F264EB">
            <w:pPr>
              <w:jc w:val="center"/>
              <w:rPr>
                <w:rFonts w:ascii="Calibri" w:eastAsia="Calibri" w:hAnsi="Calibri" w:cs="Calibri"/>
              </w:rPr>
            </w:pPr>
            <w:r>
              <w:rPr>
                <w:rFonts w:ascii="Calibri" w:eastAsia="Calibri" w:hAnsi="Calibri" w:cs="Calibri"/>
              </w:rPr>
              <w:t>6</w:t>
            </w:r>
          </w:p>
        </w:tc>
      </w:tr>
      <w:tr w:rsidR="00F264EB" w:rsidRPr="00642F8C" w14:paraId="014159F5" w14:textId="77777777" w:rsidTr="00F264EB">
        <w:tc>
          <w:tcPr>
            <w:tcW w:w="3965" w:type="dxa"/>
          </w:tcPr>
          <w:p w14:paraId="11EB3FA3" w14:textId="77777777" w:rsidR="00F264EB" w:rsidRPr="00642F8C" w:rsidRDefault="00F264EB" w:rsidP="00F264EB">
            <w:pPr>
              <w:jc w:val="both"/>
              <w:rPr>
                <w:rFonts w:ascii="Calibri" w:eastAsia="Calibri" w:hAnsi="Calibri" w:cs="Calibri"/>
              </w:rPr>
            </w:pPr>
            <w:r w:rsidRPr="00642F8C">
              <w:rPr>
                <w:rFonts w:ascii="Calibri" w:hAnsi="Calibri" w:cs="Calibri"/>
              </w:rPr>
              <w:t>Government</w:t>
            </w:r>
          </w:p>
        </w:tc>
        <w:tc>
          <w:tcPr>
            <w:tcW w:w="1080" w:type="dxa"/>
          </w:tcPr>
          <w:p w14:paraId="08F51AEC" w14:textId="77777777" w:rsidR="00F264EB" w:rsidRPr="00642F8C" w:rsidRDefault="00F264EB" w:rsidP="00F264EB">
            <w:pPr>
              <w:jc w:val="center"/>
              <w:rPr>
                <w:rFonts w:ascii="Calibri" w:eastAsia="Calibri" w:hAnsi="Calibri" w:cs="Calibri"/>
              </w:rPr>
            </w:pPr>
            <w:r>
              <w:rPr>
                <w:rFonts w:ascii="Calibri" w:eastAsia="Calibri" w:hAnsi="Calibri" w:cs="Calibri"/>
              </w:rPr>
              <w:t>5</w:t>
            </w:r>
          </w:p>
        </w:tc>
        <w:tc>
          <w:tcPr>
            <w:tcW w:w="1125" w:type="dxa"/>
          </w:tcPr>
          <w:p w14:paraId="3E1686E2" w14:textId="77777777" w:rsidR="00F264EB" w:rsidRPr="00642F8C" w:rsidRDefault="00F264EB" w:rsidP="00F264EB">
            <w:pPr>
              <w:jc w:val="center"/>
              <w:rPr>
                <w:rFonts w:ascii="Calibri" w:eastAsia="Calibri" w:hAnsi="Calibri" w:cs="Calibri"/>
              </w:rPr>
            </w:pPr>
            <w:r>
              <w:rPr>
                <w:rFonts w:ascii="Calibri" w:eastAsia="Calibri" w:hAnsi="Calibri" w:cs="Calibri"/>
              </w:rPr>
              <w:t>2</w:t>
            </w:r>
          </w:p>
        </w:tc>
      </w:tr>
      <w:tr w:rsidR="00F264EB" w:rsidRPr="00642F8C" w14:paraId="228DB0B4" w14:textId="77777777" w:rsidTr="00F264EB">
        <w:tc>
          <w:tcPr>
            <w:tcW w:w="3965" w:type="dxa"/>
          </w:tcPr>
          <w:p w14:paraId="4324B4EA" w14:textId="77777777" w:rsidR="00F264EB" w:rsidRPr="00642F8C" w:rsidRDefault="00F264EB" w:rsidP="00F264EB">
            <w:pPr>
              <w:jc w:val="both"/>
              <w:rPr>
                <w:rFonts w:ascii="Calibri" w:eastAsia="Calibri" w:hAnsi="Calibri" w:cs="Calibri"/>
              </w:rPr>
            </w:pPr>
            <w:r w:rsidRPr="00642F8C">
              <w:rPr>
                <w:rFonts w:ascii="Calibri" w:hAnsi="Calibri" w:cs="Calibri"/>
              </w:rPr>
              <w:t>Finance: Insurance &amp; Real Est.</w:t>
            </w:r>
          </w:p>
        </w:tc>
        <w:tc>
          <w:tcPr>
            <w:tcW w:w="1080" w:type="dxa"/>
          </w:tcPr>
          <w:p w14:paraId="723D5597" w14:textId="77777777" w:rsidR="00F264EB" w:rsidRPr="00642F8C" w:rsidRDefault="00F264EB" w:rsidP="00F264EB">
            <w:pPr>
              <w:jc w:val="center"/>
              <w:rPr>
                <w:rFonts w:ascii="Calibri" w:eastAsia="Calibri" w:hAnsi="Calibri" w:cs="Calibri"/>
              </w:rPr>
            </w:pPr>
            <w:r>
              <w:rPr>
                <w:rFonts w:ascii="Calibri" w:eastAsia="Calibri" w:hAnsi="Calibri" w:cs="Calibri"/>
              </w:rPr>
              <w:t>1</w:t>
            </w:r>
          </w:p>
        </w:tc>
        <w:tc>
          <w:tcPr>
            <w:tcW w:w="1125" w:type="dxa"/>
          </w:tcPr>
          <w:p w14:paraId="36096C54" w14:textId="77777777" w:rsidR="00F264EB" w:rsidRPr="00642F8C" w:rsidRDefault="00F264EB" w:rsidP="00F264EB">
            <w:pPr>
              <w:jc w:val="center"/>
              <w:rPr>
                <w:rFonts w:ascii="Calibri" w:eastAsia="Calibri" w:hAnsi="Calibri" w:cs="Calibri"/>
              </w:rPr>
            </w:pPr>
            <w:r>
              <w:rPr>
                <w:rFonts w:ascii="Calibri" w:eastAsia="Calibri" w:hAnsi="Calibri" w:cs="Calibri"/>
              </w:rPr>
              <w:t>0</w:t>
            </w:r>
          </w:p>
        </w:tc>
      </w:tr>
      <w:tr w:rsidR="00F264EB" w:rsidRPr="00642F8C" w14:paraId="17A76D65" w14:textId="77777777" w:rsidTr="00F264EB">
        <w:tc>
          <w:tcPr>
            <w:tcW w:w="3965" w:type="dxa"/>
          </w:tcPr>
          <w:p w14:paraId="30C0A93B" w14:textId="77777777" w:rsidR="00F264EB" w:rsidRPr="00642F8C" w:rsidRDefault="00F264EB" w:rsidP="00F264EB">
            <w:pPr>
              <w:jc w:val="both"/>
              <w:rPr>
                <w:rFonts w:ascii="Calibri" w:eastAsia="Calibri" w:hAnsi="Calibri" w:cs="Calibri"/>
              </w:rPr>
            </w:pPr>
            <w:r w:rsidRPr="00642F8C">
              <w:rPr>
                <w:rFonts w:ascii="Calibri" w:hAnsi="Calibri" w:cs="Calibri"/>
              </w:rPr>
              <w:t>Other</w:t>
            </w:r>
          </w:p>
        </w:tc>
        <w:tc>
          <w:tcPr>
            <w:tcW w:w="1080" w:type="dxa"/>
          </w:tcPr>
          <w:p w14:paraId="6A290CFB" w14:textId="77777777" w:rsidR="00F264EB" w:rsidRPr="00642F8C" w:rsidRDefault="00F264EB" w:rsidP="00F264EB">
            <w:pPr>
              <w:jc w:val="center"/>
              <w:rPr>
                <w:rFonts w:ascii="Calibri" w:eastAsia="Calibri" w:hAnsi="Calibri" w:cs="Calibri"/>
              </w:rPr>
            </w:pPr>
            <w:r w:rsidRPr="00642F8C">
              <w:rPr>
                <w:rFonts w:ascii="Calibri" w:eastAsia="Calibri" w:hAnsi="Calibri" w:cs="Calibri"/>
              </w:rPr>
              <w:t>0</w:t>
            </w:r>
          </w:p>
        </w:tc>
        <w:tc>
          <w:tcPr>
            <w:tcW w:w="1125" w:type="dxa"/>
          </w:tcPr>
          <w:p w14:paraId="43E3DD23" w14:textId="77777777" w:rsidR="00F264EB" w:rsidRPr="00642F8C" w:rsidRDefault="00F264EB" w:rsidP="00F264EB">
            <w:pPr>
              <w:jc w:val="center"/>
              <w:rPr>
                <w:rFonts w:ascii="Calibri" w:eastAsia="Calibri" w:hAnsi="Calibri" w:cs="Calibri"/>
              </w:rPr>
            </w:pPr>
            <w:r>
              <w:rPr>
                <w:rFonts w:ascii="Calibri" w:eastAsia="Calibri" w:hAnsi="Calibri" w:cs="Calibri"/>
              </w:rPr>
              <w:t>1</w:t>
            </w:r>
          </w:p>
        </w:tc>
      </w:tr>
      <w:tr w:rsidR="00F264EB" w:rsidRPr="00642F8C" w14:paraId="284001EE" w14:textId="77777777" w:rsidTr="00F264EB">
        <w:tc>
          <w:tcPr>
            <w:tcW w:w="3965" w:type="dxa"/>
          </w:tcPr>
          <w:p w14:paraId="0D1C81D4" w14:textId="77777777" w:rsidR="00F264EB" w:rsidRPr="00642F8C" w:rsidRDefault="00F264EB" w:rsidP="00F264EB">
            <w:pPr>
              <w:jc w:val="both"/>
              <w:rPr>
                <w:rFonts w:ascii="Calibri" w:eastAsia="Calibri" w:hAnsi="Calibri" w:cs="Calibri"/>
              </w:rPr>
            </w:pPr>
            <w:r w:rsidRPr="00642F8C">
              <w:rPr>
                <w:rFonts w:ascii="Calibri" w:hAnsi="Calibri" w:cs="Calibri"/>
                <w:b/>
                <w:bCs/>
              </w:rPr>
              <w:t>Total</w:t>
            </w:r>
          </w:p>
        </w:tc>
        <w:tc>
          <w:tcPr>
            <w:tcW w:w="1080" w:type="dxa"/>
          </w:tcPr>
          <w:p w14:paraId="19AD5618" w14:textId="77777777" w:rsidR="00F264EB" w:rsidRPr="00642F8C" w:rsidRDefault="00F264EB" w:rsidP="00F264EB">
            <w:pPr>
              <w:jc w:val="center"/>
              <w:rPr>
                <w:rFonts w:ascii="Calibri" w:eastAsia="Calibri" w:hAnsi="Calibri" w:cs="Calibri"/>
                <w:b/>
              </w:rPr>
            </w:pPr>
            <w:r>
              <w:rPr>
                <w:rFonts w:ascii="Calibri" w:eastAsia="Calibri" w:hAnsi="Calibri" w:cs="Calibri"/>
                <w:b/>
              </w:rPr>
              <w:t>48</w:t>
            </w:r>
          </w:p>
        </w:tc>
        <w:tc>
          <w:tcPr>
            <w:tcW w:w="1125" w:type="dxa"/>
          </w:tcPr>
          <w:p w14:paraId="29CC936A" w14:textId="77777777" w:rsidR="00F264EB" w:rsidRPr="00642F8C" w:rsidRDefault="00F264EB" w:rsidP="00F264EB">
            <w:pPr>
              <w:jc w:val="center"/>
              <w:rPr>
                <w:rFonts w:ascii="Calibri" w:eastAsia="Calibri" w:hAnsi="Calibri" w:cs="Calibri"/>
                <w:b/>
              </w:rPr>
            </w:pPr>
            <w:r>
              <w:rPr>
                <w:rFonts w:ascii="Calibri" w:eastAsia="Calibri" w:hAnsi="Calibri" w:cs="Calibri"/>
                <w:b/>
              </w:rPr>
              <w:t>67</w:t>
            </w:r>
          </w:p>
        </w:tc>
      </w:tr>
    </w:tbl>
    <w:p w14:paraId="54721A66" w14:textId="77777777" w:rsidR="00C4188E" w:rsidRDefault="00C4188E" w:rsidP="005B5DBB">
      <w:pPr>
        <w:widowControl/>
        <w:autoSpaceDE/>
        <w:autoSpaceDN/>
        <w:adjustRightInd/>
        <w:ind w:left="1260"/>
        <w:contextualSpacing/>
        <w:rPr>
          <w:rFonts w:ascii="Calibri" w:hAnsi="Calibri" w:cs="Calibri"/>
          <w:b/>
          <w:bCs/>
        </w:rPr>
      </w:pPr>
    </w:p>
    <w:p w14:paraId="0A0C0665" w14:textId="77777777" w:rsidR="00C4188E" w:rsidRDefault="00C4188E" w:rsidP="005B5DBB">
      <w:pPr>
        <w:widowControl/>
        <w:autoSpaceDE/>
        <w:autoSpaceDN/>
        <w:adjustRightInd/>
        <w:ind w:left="1260"/>
        <w:contextualSpacing/>
        <w:rPr>
          <w:rFonts w:ascii="Calibri" w:hAnsi="Calibri" w:cs="Calibri"/>
          <w:b/>
          <w:bCs/>
        </w:rPr>
      </w:pPr>
    </w:p>
    <w:p w14:paraId="3198A94A" w14:textId="77777777" w:rsidR="00C4188E" w:rsidRDefault="00C4188E" w:rsidP="005B5DBB">
      <w:pPr>
        <w:widowControl/>
        <w:autoSpaceDE/>
        <w:autoSpaceDN/>
        <w:adjustRightInd/>
        <w:ind w:left="1260"/>
        <w:contextualSpacing/>
        <w:rPr>
          <w:rFonts w:ascii="Calibri" w:hAnsi="Calibri" w:cs="Calibri"/>
          <w:b/>
          <w:bCs/>
        </w:rPr>
      </w:pPr>
    </w:p>
    <w:p w14:paraId="06D81DE7" w14:textId="77777777" w:rsidR="00C4188E" w:rsidRDefault="00C4188E" w:rsidP="005B5DBB">
      <w:pPr>
        <w:widowControl/>
        <w:autoSpaceDE/>
        <w:autoSpaceDN/>
        <w:adjustRightInd/>
        <w:ind w:left="1260"/>
        <w:contextualSpacing/>
        <w:rPr>
          <w:rFonts w:ascii="Calibri" w:hAnsi="Calibri" w:cs="Calibri"/>
          <w:b/>
          <w:bCs/>
        </w:rPr>
      </w:pPr>
    </w:p>
    <w:p w14:paraId="1A8AAF72" w14:textId="77777777" w:rsidR="00C4188E" w:rsidRDefault="00C4188E" w:rsidP="005B5DBB">
      <w:pPr>
        <w:widowControl/>
        <w:autoSpaceDE/>
        <w:autoSpaceDN/>
        <w:adjustRightInd/>
        <w:ind w:left="1260"/>
        <w:contextualSpacing/>
        <w:rPr>
          <w:rFonts w:ascii="Calibri" w:hAnsi="Calibri" w:cs="Calibri"/>
          <w:b/>
          <w:bCs/>
        </w:rPr>
      </w:pPr>
    </w:p>
    <w:p w14:paraId="521BB99F" w14:textId="77777777" w:rsidR="00C4188E" w:rsidRDefault="00C4188E" w:rsidP="005B5DBB">
      <w:pPr>
        <w:widowControl/>
        <w:autoSpaceDE/>
        <w:autoSpaceDN/>
        <w:adjustRightInd/>
        <w:ind w:left="1260"/>
        <w:contextualSpacing/>
        <w:rPr>
          <w:rFonts w:ascii="Calibri" w:hAnsi="Calibri" w:cs="Calibri"/>
          <w:b/>
          <w:bCs/>
        </w:rPr>
      </w:pPr>
    </w:p>
    <w:p w14:paraId="266DE3D2" w14:textId="77777777" w:rsidR="00C4188E" w:rsidRDefault="00C4188E" w:rsidP="005B5DBB">
      <w:pPr>
        <w:widowControl/>
        <w:autoSpaceDE/>
        <w:autoSpaceDN/>
        <w:adjustRightInd/>
        <w:ind w:left="1260"/>
        <w:contextualSpacing/>
        <w:rPr>
          <w:rFonts w:ascii="Calibri" w:hAnsi="Calibri" w:cs="Calibri"/>
          <w:b/>
          <w:bCs/>
        </w:rPr>
      </w:pPr>
    </w:p>
    <w:p w14:paraId="5E5980B9" w14:textId="77777777" w:rsidR="00C4188E" w:rsidRDefault="00C4188E" w:rsidP="005B5DBB">
      <w:pPr>
        <w:widowControl/>
        <w:autoSpaceDE/>
        <w:autoSpaceDN/>
        <w:adjustRightInd/>
        <w:ind w:left="1260"/>
        <w:contextualSpacing/>
        <w:rPr>
          <w:rFonts w:ascii="Calibri" w:hAnsi="Calibri" w:cs="Calibri"/>
          <w:b/>
          <w:bCs/>
        </w:rPr>
      </w:pPr>
    </w:p>
    <w:p w14:paraId="2BF1B480" w14:textId="77777777" w:rsidR="00C4188E" w:rsidRDefault="00C4188E" w:rsidP="005B5DBB">
      <w:pPr>
        <w:widowControl/>
        <w:autoSpaceDE/>
        <w:autoSpaceDN/>
        <w:adjustRightInd/>
        <w:ind w:left="1260"/>
        <w:contextualSpacing/>
        <w:rPr>
          <w:rFonts w:ascii="Calibri" w:hAnsi="Calibri" w:cs="Calibri"/>
          <w:b/>
          <w:bCs/>
        </w:rPr>
      </w:pPr>
    </w:p>
    <w:p w14:paraId="6AECACBB" w14:textId="77777777" w:rsidR="00C4188E" w:rsidRDefault="00C4188E" w:rsidP="005B5DBB">
      <w:pPr>
        <w:widowControl/>
        <w:autoSpaceDE/>
        <w:autoSpaceDN/>
        <w:adjustRightInd/>
        <w:ind w:left="1260"/>
        <w:contextualSpacing/>
        <w:rPr>
          <w:rFonts w:ascii="Calibri" w:hAnsi="Calibri" w:cs="Calibri"/>
          <w:b/>
          <w:bCs/>
        </w:rPr>
      </w:pPr>
    </w:p>
    <w:p w14:paraId="42CAEBC3" w14:textId="77777777" w:rsidR="00F264EB" w:rsidRDefault="00F264EB" w:rsidP="005B5DBB">
      <w:pPr>
        <w:widowControl/>
        <w:autoSpaceDE/>
        <w:autoSpaceDN/>
        <w:adjustRightInd/>
        <w:ind w:left="1260"/>
        <w:contextualSpacing/>
        <w:rPr>
          <w:rFonts w:ascii="Calibri" w:hAnsi="Calibri" w:cs="Calibri"/>
        </w:rPr>
      </w:pPr>
    </w:p>
    <w:p w14:paraId="63913265" w14:textId="77777777" w:rsidR="00F264EB" w:rsidRDefault="00F264EB" w:rsidP="005B5DBB">
      <w:pPr>
        <w:widowControl/>
        <w:autoSpaceDE/>
        <w:autoSpaceDN/>
        <w:adjustRightInd/>
        <w:ind w:left="1260"/>
        <w:contextualSpacing/>
        <w:rPr>
          <w:rFonts w:ascii="Calibri" w:hAnsi="Calibri" w:cs="Calibri"/>
        </w:rPr>
      </w:pPr>
    </w:p>
    <w:p w14:paraId="4D783A2E" w14:textId="48E3BB31" w:rsidR="002A42F7" w:rsidRPr="002A42F7" w:rsidRDefault="002A42F7" w:rsidP="005B5DBB">
      <w:pPr>
        <w:widowControl/>
        <w:autoSpaceDE/>
        <w:autoSpaceDN/>
        <w:adjustRightInd/>
        <w:ind w:left="1260"/>
        <w:contextualSpacing/>
        <w:rPr>
          <w:rFonts w:ascii="Calibri" w:hAnsi="Calibri" w:cs="Calibri"/>
        </w:rPr>
      </w:pPr>
      <w:r w:rsidRPr="002A42F7">
        <w:rPr>
          <w:rFonts w:ascii="Calibri" w:hAnsi="Calibri" w:cs="Calibri"/>
        </w:rPr>
        <w:t xml:space="preserve">In FY 2025, Compliance conducted 187 heat-related inspections. </w:t>
      </w:r>
      <w:r w:rsidR="002A30D1">
        <w:rPr>
          <w:rFonts w:ascii="Calibri" w:hAnsi="Calibri" w:cs="Calibri"/>
        </w:rPr>
        <w:t xml:space="preserve"> </w:t>
      </w:r>
      <w:r w:rsidRPr="002A42F7">
        <w:rPr>
          <w:rFonts w:ascii="Calibri" w:hAnsi="Calibri" w:cs="Calibri"/>
        </w:rPr>
        <w:t>Five inspections have General Duty Clause citations, including two associated with a heat-related fatality.</w:t>
      </w:r>
    </w:p>
    <w:p w14:paraId="112ABD20" w14:textId="77777777" w:rsidR="00642F8C" w:rsidRPr="00642F8C" w:rsidRDefault="00642F8C" w:rsidP="00642F8C">
      <w:pPr>
        <w:ind w:left="1260"/>
        <w:jc w:val="both"/>
        <w:rPr>
          <w:rFonts w:ascii="Calibri" w:hAnsi="Calibri" w:cs="Calibri"/>
          <w:color w:val="000000" w:themeColor="text1"/>
        </w:rPr>
      </w:pPr>
    </w:p>
    <w:p w14:paraId="1326CD16" w14:textId="2C377C48" w:rsidR="00642F8C" w:rsidRDefault="00877D7A" w:rsidP="008A0990">
      <w:pPr>
        <w:ind w:left="1260"/>
        <w:rPr>
          <w:rFonts w:ascii="Calibri" w:hAnsi="Calibri" w:cs="Calibri"/>
          <w:color w:val="000000" w:themeColor="text1"/>
        </w:rPr>
      </w:pPr>
      <w:r w:rsidRPr="00877D7A">
        <w:rPr>
          <w:rFonts w:ascii="Calibri" w:hAnsi="Calibri" w:cs="Calibri"/>
          <w:color w:val="000000" w:themeColor="text1"/>
        </w:rPr>
        <w:t xml:space="preserve">The OSH Division’s Unmanned Aircraft Systems (UAS) Program was utilized as a resource during compliance inspections that require aerial photographs and videos. </w:t>
      </w:r>
      <w:r w:rsidR="002A30D1">
        <w:rPr>
          <w:rFonts w:ascii="Calibri" w:hAnsi="Calibri" w:cs="Calibri"/>
          <w:color w:val="000000" w:themeColor="text1"/>
        </w:rPr>
        <w:t xml:space="preserve"> </w:t>
      </w:r>
      <w:r w:rsidRPr="00877D7A">
        <w:rPr>
          <w:rFonts w:ascii="Calibri" w:hAnsi="Calibri" w:cs="Calibri"/>
          <w:color w:val="000000" w:themeColor="text1"/>
        </w:rPr>
        <w:t>In FY 2025, drones were successfully deployed on three inspections which aided in evidence collection where staff would otherwise not been able to reach the site due to unsafe conditions. These inspections included multiple high-profile fatality and accident investigations such as an employee falling 21 feet through a skylight on the roof while performing clean-up activities, and an employee being struck-by a bulldozer during site grading operation.</w:t>
      </w:r>
    </w:p>
    <w:p w14:paraId="67E3B7E9" w14:textId="77777777" w:rsidR="00877D7A" w:rsidRPr="00642F8C" w:rsidRDefault="00877D7A" w:rsidP="008A0990">
      <w:pPr>
        <w:ind w:left="1260"/>
        <w:rPr>
          <w:rFonts w:ascii="Calibri" w:hAnsi="Calibri" w:cs="Calibri"/>
          <w:iCs/>
        </w:rPr>
      </w:pPr>
    </w:p>
    <w:p w14:paraId="74FC7E35" w14:textId="72D0751F" w:rsidR="00642F8C" w:rsidRPr="00642F8C" w:rsidRDefault="006A201E" w:rsidP="008A0990">
      <w:pPr>
        <w:tabs>
          <w:tab w:val="left" w:pos="1890"/>
        </w:tabs>
        <w:ind w:left="1260"/>
        <w:contextualSpacing/>
        <w:rPr>
          <w:rFonts w:ascii="Calibri" w:hAnsi="Calibri" w:cs="Calibri"/>
          <w:color w:val="000000"/>
        </w:rPr>
      </w:pPr>
      <w:r w:rsidRPr="006A201E">
        <w:rPr>
          <w:rFonts w:ascii="Calibri" w:hAnsi="Calibri" w:cs="Calibri"/>
          <w:color w:val="000000"/>
        </w:rPr>
        <w:t xml:space="preserve">The Director’s Office conducted a thorough review of all fatalities and other high-profile inspection files in accordance with Administrative Procedure Notice (APN) 16. </w:t>
      </w:r>
      <w:r w:rsidR="002A30D1">
        <w:rPr>
          <w:rFonts w:ascii="Calibri" w:hAnsi="Calibri" w:cs="Calibri"/>
          <w:color w:val="000000"/>
        </w:rPr>
        <w:t xml:space="preserve"> </w:t>
      </w:r>
      <w:r w:rsidRPr="006A201E">
        <w:rPr>
          <w:rFonts w:ascii="Calibri" w:hAnsi="Calibri" w:cs="Calibri"/>
          <w:color w:val="000000"/>
        </w:rPr>
        <w:t xml:space="preserve">The purpose of the Director’s Office review is to ensure that CSHOs have conducted inspections in accordance with Division policies and procedures, properly documented inspection files and that the inspection findings will be legally defensible. </w:t>
      </w:r>
      <w:r w:rsidR="002A30D1">
        <w:rPr>
          <w:rFonts w:ascii="Calibri" w:hAnsi="Calibri" w:cs="Calibri"/>
          <w:color w:val="000000"/>
        </w:rPr>
        <w:t xml:space="preserve"> Along with</w:t>
      </w:r>
      <w:r w:rsidRPr="006A201E">
        <w:rPr>
          <w:rFonts w:ascii="Calibri" w:hAnsi="Calibri" w:cs="Calibri"/>
          <w:color w:val="000000"/>
        </w:rPr>
        <w:t xml:space="preserve"> the Director’s Office staff, the case file review process typically includes the compliance officer, district supervisor, bureau chief and Attorney General’s Office representatives. </w:t>
      </w:r>
      <w:r w:rsidR="002A30D1">
        <w:rPr>
          <w:rFonts w:ascii="Calibri" w:hAnsi="Calibri" w:cs="Calibri"/>
          <w:color w:val="000000"/>
        </w:rPr>
        <w:t xml:space="preserve"> </w:t>
      </w:r>
      <w:r w:rsidRPr="006A201E">
        <w:rPr>
          <w:rFonts w:ascii="Calibri" w:hAnsi="Calibri" w:cs="Calibri"/>
          <w:color w:val="000000"/>
        </w:rPr>
        <w:t xml:space="preserve">In addition to reviewing fatality and other high-profile cases before citations are issued, the Director’s Office also must review and approve certain informal and formal settlement agreements as set forth </w:t>
      </w:r>
      <w:r w:rsidR="002A30D1">
        <w:rPr>
          <w:rFonts w:ascii="Calibri" w:hAnsi="Calibri" w:cs="Calibri"/>
          <w:color w:val="000000"/>
        </w:rPr>
        <w:t>in</w:t>
      </w:r>
      <w:r w:rsidR="002A30D1" w:rsidRPr="006A201E">
        <w:rPr>
          <w:rFonts w:ascii="Calibri" w:hAnsi="Calibri" w:cs="Calibri"/>
          <w:color w:val="000000"/>
        </w:rPr>
        <w:t xml:space="preserve"> </w:t>
      </w:r>
      <w:r w:rsidRPr="006A201E">
        <w:rPr>
          <w:rFonts w:ascii="Calibri" w:hAnsi="Calibri" w:cs="Calibri"/>
          <w:color w:val="000000"/>
        </w:rPr>
        <w:t>APN 16.</w:t>
      </w:r>
    </w:p>
    <w:p w14:paraId="4D7C41E9" w14:textId="77777777" w:rsidR="00F1752D" w:rsidRDefault="00F1752D" w:rsidP="008A0990">
      <w:pPr>
        <w:ind w:left="1260"/>
        <w:rPr>
          <w:rFonts w:ascii="Calibri" w:hAnsi="Calibri" w:cs="Calibri"/>
        </w:rPr>
      </w:pPr>
    </w:p>
    <w:p w14:paraId="1582A613" w14:textId="0F305D69" w:rsidR="00642F8C" w:rsidRDefault="00642F8C" w:rsidP="008A0990">
      <w:pPr>
        <w:ind w:left="1260"/>
      </w:pPr>
      <w:r w:rsidRPr="00642F8C">
        <w:rPr>
          <w:rFonts w:ascii="Calibri" w:hAnsi="Calibri" w:cs="Calibri"/>
        </w:rPr>
        <w:t>OSHNC has taken a proactive approach to help prevent injuries, illnesses, and fatalities in North Carolina’s workplaces by establishing partnerships with some of the most hazardous industries.  OSHNC continues to place increased emphasis on tracking specific injuries and fatalities monthly.  If there is an increase in injuries and fatalities, additional resources are allocated, including inspection and focused training events.</w:t>
      </w:r>
    </w:p>
    <w:p w14:paraId="0549C538" w14:textId="4BE9BEA4" w:rsidR="00571D17" w:rsidRPr="00642F8C" w:rsidRDefault="00571D17" w:rsidP="00642F8C">
      <w:pPr>
        <w:rPr>
          <w:rFonts w:asciiTheme="minorHAnsi" w:hAnsiTheme="minorHAnsi" w:cstheme="minorHAnsi"/>
        </w:rPr>
      </w:pPr>
    </w:p>
    <w:p w14:paraId="7A1F9F00" w14:textId="4C90A76C" w:rsidR="00571D17" w:rsidRPr="00757FFA" w:rsidRDefault="00571D17" w:rsidP="00D4742C">
      <w:pPr>
        <w:pStyle w:val="ListParagraph"/>
        <w:numPr>
          <w:ilvl w:val="0"/>
          <w:numId w:val="12"/>
        </w:numPr>
        <w:tabs>
          <w:tab w:val="left" w:pos="1260"/>
        </w:tabs>
        <w:rPr>
          <w:rFonts w:asciiTheme="minorHAnsi" w:hAnsiTheme="minorHAnsi" w:cstheme="minorHAnsi"/>
          <w:sz w:val="24"/>
          <w:szCs w:val="24"/>
        </w:rPr>
      </w:pPr>
      <w:r w:rsidRPr="00757FFA">
        <w:rPr>
          <w:rFonts w:asciiTheme="minorHAnsi" w:hAnsiTheme="minorHAnsi" w:cstheme="minorHAnsi"/>
          <w:sz w:val="24"/>
          <w:szCs w:val="24"/>
        </w:rPr>
        <w:t xml:space="preserve">Targeting and Programmed Inspection </w:t>
      </w:r>
    </w:p>
    <w:p w14:paraId="4C56A86E" w14:textId="6D304675" w:rsidR="0057704E" w:rsidRPr="0057704E" w:rsidRDefault="0057704E" w:rsidP="00757FFA">
      <w:pPr>
        <w:ind w:left="1350"/>
        <w:rPr>
          <w:rFonts w:asciiTheme="minorHAnsi" w:hAnsiTheme="minorHAnsi" w:cstheme="minorHAnsi"/>
        </w:rPr>
      </w:pPr>
      <w:r w:rsidRPr="0048427F">
        <w:rPr>
          <w:rFonts w:asciiTheme="minorHAnsi" w:hAnsiTheme="minorHAnsi" w:cstheme="minorHAnsi"/>
        </w:rPr>
        <w:t xml:space="preserve">In FY 2025, OSHNC conducted 1,003 safety inspections (SAMM 7a) and 584 health inspections (SAMM 7b). </w:t>
      </w:r>
      <w:r w:rsidR="002A30D1">
        <w:rPr>
          <w:rFonts w:asciiTheme="minorHAnsi" w:hAnsiTheme="minorHAnsi" w:cstheme="minorHAnsi"/>
        </w:rPr>
        <w:t xml:space="preserve"> </w:t>
      </w:r>
      <w:r w:rsidRPr="0048427F">
        <w:rPr>
          <w:rFonts w:asciiTheme="minorHAnsi" w:hAnsiTheme="minorHAnsi" w:cstheme="minorHAnsi"/>
        </w:rPr>
        <w:t xml:space="preserve">Both totals </w:t>
      </w:r>
      <w:r w:rsidR="00F56134">
        <w:rPr>
          <w:rFonts w:asciiTheme="minorHAnsi" w:hAnsiTheme="minorHAnsi" w:cstheme="minorHAnsi"/>
        </w:rPr>
        <w:t xml:space="preserve">met the Further Review Level </w:t>
      </w:r>
      <w:r w:rsidRPr="0048427F">
        <w:rPr>
          <w:rFonts w:asciiTheme="minorHAnsi" w:hAnsiTheme="minorHAnsi" w:cstheme="minorHAnsi"/>
        </w:rPr>
        <w:t>inspection</w:t>
      </w:r>
      <w:r w:rsidR="0090566A">
        <w:rPr>
          <w:rFonts w:asciiTheme="minorHAnsi" w:hAnsiTheme="minorHAnsi" w:cstheme="minorHAnsi"/>
        </w:rPr>
        <w:t xml:space="preserve"> goals</w:t>
      </w:r>
      <w:r w:rsidRPr="0048427F">
        <w:rPr>
          <w:rFonts w:asciiTheme="minorHAnsi" w:hAnsiTheme="minorHAnsi" w:cstheme="minorHAnsi"/>
        </w:rPr>
        <w:t>.</w:t>
      </w:r>
      <w:r w:rsidR="00DB02C2">
        <w:rPr>
          <w:rFonts w:asciiTheme="minorHAnsi" w:hAnsiTheme="minorHAnsi" w:cstheme="minorHAnsi"/>
        </w:rPr>
        <w:t xml:space="preserve">  </w:t>
      </w:r>
      <w:r w:rsidRPr="0057704E">
        <w:rPr>
          <w:rFonts w:asciiTheme="minorHAnsi" w:hAnsiTheme="minorHAnsi" w:cstheme="minorHAnsi"/>
        </w:rPr>
        <w:t>For inspections resulting in violations, the average number of Serious, Willful, or Repeat (SWR) violations per inspection (SAMM 5a) was 1.97, above the</w:t>
      </w:r>
      <w:r w:rsidR="00094325">
        <w:rPr>
          <w:rFonts w:asciiTheme="minorHAnsi" w:hAnsiTheme="minorHAnsi" w:cstheme="minorHAnsi"/>
        </w:rPr>
        <w:t xml:space="preserve"> </w:t>
      </w:r>
      <w:r w:rsidRPr="0057704E">
        <w:rPr>
          <w:rFonts w:asciiTheme="minorHAnsi" w:hAnsiTheme="minorHAnsi" w:cstheme="minorHAnsi"/>
        </w:rPr>
        <w:t xml:space="preserve">FRL of </w:t>
      </w:r>
      <w:r w:rsidR="008E4551">
        <w:rPr>
          <w:rFonts w:asciiTheme="minorHAnsi" w:hAnsiTheme="minorHAnsi" w:cstheme="minorHAnsi"/>
        </w:rPr>
        <w:t xml:space="preserve">-20% of </w:t>
      </w:r>
      <w:r w:rsidRPr="0057704E">
        <w:rPr>
          <w:rFonts w:asciiTheme="minorHAnsi" w:hAnsiTheme="minorHAnsi" w:cstheme="minorHAnsi"/>
        </w:rPr>
        <w:t>1.</w:t>
      </w:r>
      <w:r w:rsidR="007C4284">
        <w:rPr>
          <w:rFonts w:asciiTheme="minorHAnsi" w:hAnsiTheme="minorHAnsi" w:cstheme="minorHAnsi"/>
        </w:rPr>
        <w:t>72</w:t>
      </w:r>
      <w:r w:rsidRPr="0057704E">
        <w:rPr>
          <w:rFonts w:asciiTheme="minorHAnsi" w:hAnsiTheme="minorHAnsi" w:cstheme="minorHAnsi"/>
        </w:rPr>
        <w:t xml:space="preserve">. </w:t>
      </w:r>
      <w:r w:rsidR="002A30D1">
        <w:rPr>
          <w:rFonts w:asciiTheme="minorHAnsi" w:hAnsiTheme="minorHAnsi" w:cstheme="minorHAnsi"/>
        </w:rPr>
        <w:t xml:space="preserve"> </w:t>
      </w:r>
      <w:r w:rsidRPr="0057704E">
        <w:rPr>
          <w:rFonts w:asciiTheme="minorHAnsi" w:hAnsiTheme="minorHAnsi" w:cstheme="minorHAnsi"/>
        </w:rPr>
        <w:t xml:space="preserve">The </w:t>
      </w:r>
      <w:r w:rsidRPr="0057704E">
        <w:rPr>
          <w:rFonts w:asciiTheme="minorHAnsi" w:hAnsiTheme="minorHAnsi" w:cstheme="minorHAnsi"/>
        </w:rPr>
        <w:lastRenderedPageBreak/>
        <w:t>average number of Other-than-Serious violations per inspection (SAMM 5b) was 0.92</w:t>
      </w:r>
      <w:r w:rsidR="008E4551">
        <w:rPr>
          <w:rFonts w:asciiTheme="minorHAnsi" w:hAnsiTheme="minorHAnsi" w:cstheme="minorHAnsi"/>
        </w:rPr>
        <w:t xml:space="preserve"> with </w:t>
      </w:r>
      <w:r w:rsidR="00673A06">
        <w:rPr>
          <w:rFonts w:asciiTheme="minorHAnsi" w:hAnsiTheme="minorHAnsi" w:cstheme="minorHAnsi"/>
        </w:rPr>
        <w:t xml:space="preserve">a </w:t>
      </w:r>
      <w:r w:rsidR="00673A06" w:rsidRPr="0057704E">
        <w:rPr>
          <w:rFonts w:asciiTheme="minorHAnsi" w:hAnsiTheme="minorHAnsi" w:cstheme="minorHAnsi"/>
        </w:rPr>
        <w:t>FRL</w:t>
      </w:r>
      <w:r w:rsidRPr="0057704E">
        <w:rPr>
          <w:rFonts w:asciiTheme="minorHAnsi" w:hAnsiTheme="minorHAnsi" w:cstheme="minorHAnsi"/>
        </w:rPr>
        <w:t xml:space="preserve"> of</w:t>
      </w:r>
      <w:r w:rsidR="00E73F9F">
        <w:rPr>
          <w:rFonts w:asciiTheme="minorHAnsi" w:hAnsiTheme="minorHAnsi" w:cstheme="minorHAnsi"/>
        </w:rPr>
        <w:t xml:space="preserve"> -20% of 0.</w:t>
      </w:r>
      <w:r w:rsidR="00673A06">
        <w:rPr>
          <w:rFonts w:asciiTheme="minorHAnsi" w:hAnsiTheme="minorHAnsi" w:cstheme="minorHAnsi"/>
        </w:rPr>
        <w:t>95</w:t>
      </w:r>
      <w:r w:rsidRPr="0057704E">
        <w:rPr>
          <w:rFonts w:asciiTheme="minorHAnsi" w:hAnsiTheme="minorHAnsi" w:cstheme="minorHAnsi"/>
        </w:rPr>
        <w:t xml:space="preserve">. </w:t>
      </w:r>
      <w:r w:rsidR="002A30D1">
        <w:rPr>
          <w:rFonts w:asciiTheme="minorHAnsi" w:hAnsiTheme="minorHAnsi" w:cstheme="minorHAnsi"/>
        </w:rPr>
        <w:t xml:space="preserve"> </w:t>
      </w:r>
      <w:r w:rsidRPr="0057704E">
        <w:rPr>
          <w:rFonts w:asciiTheme="minorHAnsi" w:hAnsiTheme="minorHAnsi" w:cstheme="minorHAnsi"/>
        </w:rPr>
        <w:t>These results show that inspections were identifying substantive hazards at rates above the national averages.</w:t>
      </w:r>
    </w:p>
    <w:p w14:paraId="50F5D282" w14:textId="77777777" w:rsidR="00875789" w:rsidRPr="00875789" w:rsidRDefault="00875789" w:rsidP="00875789">
      <w:pPr>
        <w:ind w:left="1350"/>
        <w:rPr>
          <w:rFonts w:asciiTheme="minorHAnsi" w:hAnsiTheme="minorHAnsi" w:cstheme="minorHAnsi"/>
        </w:rPr>
      </w:pPr>
    </w:p>
    <w:p w14:paraId="01999687" w14:textId="78E5996A" w:rsidR="00875789" w:rsidRPr="00875789" w:rsidRDefault="00875789" w:rsidP="00875789">
      <w:pPr>
        <w:ind w:left="1350"/>
        <w:rPr>
          <w:rFonts w:asciiTheme="minorHAnsi" w:hAnsiTheme="minorHAnsi" w:cstheme="minorHAnsi"/>
        </w:rPr>
      </w:pPr>
      <w:r w:rsidRPr="00875789">
        <w:rPr>
          <w:rFonts w:asciiTheme="minorHAnsi" w:hAnsiTheme="minorHAnsi" w:cstheme="minorHAnsi"/>
        </w:rPr>
        <w:t xml:space="preserve">SAMM 9 </w:t>
      </w:r>
      <w:r w:rsidR="001B1C4C" w:rsidRPr="00875789">
        <w:rPr>
          <w:rFonts w:asciiTheme="minorHAnsi" w:hAnsiTheme="minorHAnsi" w:cstheme="minorHAnsi"/>
        </w:rPr>
        <w:t>measures</w:t>
      </w:r>
      <w:r w:rsidRPr="00875789">
        <w:rPr>
          <w:rFonts w:asciiTheme="minorHAnsi" w:hAnsiTheme="minorHAnsi" w:cstheme="minorHAnsi"/>
        </w:rPr>
        <w:t xml:space="preserve"> </w:t>
      </w:r>
      <w:r w:rsidR="001B1C4C">
        <w:rPr>
          <w:rFonts w:asciiTheme="minorHAnsi" w:hAnsiTheme="minorHAnsi" w:cstheme="minorHAnsi"/>
        </w:rPr>
        <w:t>in-</w:t>
      </w:r>
      <w:r w:rsidRPr="00875789">
        <w:rPr>
          <w:rFonts w:asciiTheme="minorHAnsi" w:hAnsiTheme="minorHAnsi" w:cstheme="minorHAnsi"/>
        </w:rPr>
        <w:t xml:space="preserve">compliance rates for both programmed and unprogrammed inspections. </w:t>
      </w:r>
      <w:r w:rsidR="00217F37">
        <w:rPr>
          <w:rFonts w:asciiTheme="minorHAnsi" w:hAnsiTheme="minorHAnsi" w:cstheme="minorHAnsi"/>
        </w:rPr>
        <w:t xml:space="preserve"> </w:t>
      </w:r>
      <w:r w:rsidRPr="00875789">
        <w:rPr>
          <w:rFonts w:asciiTheme="minorHAnsi" w:hAnsiTheme="minorHAnsi" w:cstheme="minorHAnsi"/>
        </w:rPr>
        <w:t>For programmed safety inspections (SAMM 9a)</w:t>
      </w:r>
      <w:r w:rsidR="00BA5F5F" w:rsidRPr="0057704E">
        <w:rPr>
          <w:rFonts w:asciiTheme="minorHAnsi" w:hAnsiTheme="minorHAnsi" w:cstheme="minorHAnsi"/>
        </w:rPr>
        <w:t>, the in-compliance rate was</w:t>
      </w:r>
      <w:r w:rsidR="00190F85">
        <w:rPr>
          <w:rFonts w:asciiTheme="minorHAnsi" w:hAnsiTheme="minorHAnsi" w:cstheme="minorHAnsi"/>
        </w:rPr>
        <w:t xml:space="preserve"> </w:t>
      </w:r>
      <w:r w:rsidRPr="00875789">
        <w:rPr>
          <w:rFonts w:asciiTheme="minorHAnsi" w:hAnsiTheme="minorHAnsi" w:cstheme="minorHAnsi"/>
        </w:rPr>
        <w:t>39.50%</w:t>
      </w:r>
      <w:r w:rsidR="00622C39">
        <w:rPr>
          <w:rFonts w:asciiTheme="minorHAnsi" w:hAnsiTheme="minorHAnsi" w:cstheme="minorHAnsi"/>
        </w:rPr>
        <w:t xml:space="preserve"> </w:t>
      </w:r>
      <w:r w:rsidRPr="00875789">
        <w:rPr>
          <w:rFonts w:asciiTheme="minorHAnsi" w:hAnsiTheme="minorHAnsi" w:cstheme="minorHAnsi"/>
        </w:rPr>
        <w:t xml:space="preserve">with a FRL of +20% </w:t>
      </w:r>
      <w:r w:rsidR="00141064">
        <w:rPr>
          <w:rFonts w:asciiTheme="minorHAnsi" w:hAnsiTheme="minorHAnsi" w:cstheme="minorHAnsi"/>
        </w:rPr>
        <w:t>of</w:t>
      </w:r>
      <w:r w:rsidRPr="00875789">
        <w:rPr>
          <w:rFonts w:asciiTheme="minorHAnsi" w:hAnsiTheme="minorHAnsi" w:cstheme="minorHAnsi"/>
        </w:rPr>
        <w:t xml:space="preserve"> 30.44%, placing </w:t>
      </w:r>
      <w:r w:rsidR="00454615">
        <w:rPr>
          <w:rFonts w:asciiTheme="minorHAnsi" w:hAnsiTheme="minorHAnsi" w:cstheme="minorHAnsi"/>
        </w:rPr>
        <w:t>OSHNC</w:t>
      </w:r>
      <w:r w:rsidRPr="00875789">
        <w:rPr>
          <w:rFonts w:asciiTheme="minorHAnsi" w:hAnsiTheme="minorHAnsi" w:cstheme="minorHAnsi"/>
        </w:rPr>
        <w:t xml:space="preserve"> above the minimum requiring further review.</w:t>
      </w:r>
      <w:r w:rsidR="00217F37">
        <w:rPr>
          <w:rFonts w:asciiTheme="minorHAnsi" w:hAnsiTheme="minorHAnsi" w:cstheme="minorHAnsi"/>
        </w:rPr>
        <w:t xml:space="preserve"> </w:t>
      </w:r>
      <w:r w:rsidRPr="00875789">
        <w:rPr>
          <w:rFonts w:asciiTheme="minorHAnsi" w:hAnsiTheme="minorHAnsi" w:cstheme="minorHAnsi"/>
        </w:rPr>
        <w:t xml:space="preserve"> In FY 2025, OSHNC conducted 643 programmed safety inspections, approximately 74% of which were initiated under the Construction Special Emphasis Program (OPN 123AA).</w:t>
      </w:r>
    </w:p>
    <w:p w14:paraId="7C306F96" w14:textId="77777777" w:rsidR="00875789" w:rsidRPr="00875789" w:rsidRDefault="00875789" w:rsidP="00875789">
      <w:pPr>
        <w:ind w:left="1350"/>
        <w:rPr>
          <w:rFonts w:asciiTheme="minorHAnsi" w:hAnsiTheme="minorHAnsi" w:cstheme="minorHAnsi"/>
        </w:rPr>
      </w:pPr>
    </w:p>
    <w:p w14:paraId="6935D6AF" w14:textId="45612194" w:rsidR="00875789" w:rsidRPr="00875789" w:rsidRDefault="00875789" w:rsidP="00875789">
      <w:pPr>
        <w:ind w:left="1350"/>
        <w:rPr>
          <w:rFonts w:asciiTheme="minorHAnsi" w:hAnsiTheme="minorHAnsi" w:cstheme="minorHAnsi"/>
        </w:rPr>
      </w:pPr>
      <w:r w:rsidRPr="00875789">
        <w:rPr>
          <w:rFonts w:asciiTheme="minorHAnsi" w:hAnsiTheme="minorHAnsi" w:cstheme="minorHAnsi"/>
        </w:rPr>
        <w:t xml:space="preserve">Under OPN 96, Focused Inspections in Construction, compliance officers must open inspections with controlling contractors (SIC 1500–1599) and determine whether the inspection can be limited in scope. </w:t>
      </w:r>
      <w:r w:rsidR="00217F37">
        <w:rPr>
          <w:rFonts w:asciiTheme="minorHAnsi" w:hAnsiTheme="minorHAnsi" w:cstheme="minorHAnsi"/>
        </w:rPr>
        <w:t xml:space="preserve"> </w:t>
      </w:r>
      <w:r w:rsidRPr="00875789">
        <w:rPr>
          <w:rFonts w:asciiTheme="minorHAnsi" w:hAnsiTheme="minorHAnsi" w:cstheme="minorHAnsi"/>
        </w:rPr>
        <w:t xml:space="preserve">In FY 2025, 173 programmed inspections fell within </w:t>
      </w:r>
      <w:r w:rsidR="008115F6" w:rsidRPr="00875789">
        <w:rPr>
          <w:rFonts w:asciiTheme="minorHAnsi" w:hAnsiTheme="minorHAnsi" w:cstheme="minorHAnsi"/>
        </w:rPr>
        <w:t>these controlling contractors</w:t>
      </w:r>
      <w:r w:rsidRPr="00875789">
        <w:rPr>
          <w:rFonts w:asciiTheme="minorHAnsi" w:hAnsiTheme="minorHAnsi" w:cstheme="minorHAnsi"/>
        </w:rPr>
        <w:t xml:space="preserve"> SIC codes, representing nearly 27% of all programmed safety inspections. </w:t>
      </w:r>
      <w:r w:rsidR="00217F37">
        <w:rPr>
          <w:rFonts w:asciiTheme="minorHAnsi" w:hAnsiTheme="minorHAnsi" w:cstheme="minorHAnsi"/>
        </w:rPr>
        <w:t xml:space="preserve"> </w:t>
      </w:r>
      <w:r w:rsidRPr="00875789">
        <w:rPr>
          <w:rFonts w:asciiTheme="minorHAnsi" w:hAnsiTheme="minorHAnsi" w:cstheme="minorHAnsi"/>
        </w:rPr>
        <w:t xml:space="preserve">The </w:t>
      </w:r>
      <w:r w:rsidR="00E05892" w:rsidRPr="00875789">
        <w:rPr>
          <w:rFonts w:asciiTheme="minorHAnsi" w:hAnsiTheme="minorHAnsi" w:cstheme="minorHAnsi"/>
        </w:rPr>
        <w:t>in-compliance</w:t>
      </w:r>
      <w:r w:rsidRPr="00875789">
        <w:rPr>
          <w:rFonts w:asciiTheme="minorHAnsi" w:hAnsiTheme="minorHAnsi" w:cstheme="minorHAnsi"/>
        </w:rPr>
        <w:t xml:space="preserve"> rate for controlling contractors was 77.5%, compared to 24.0% for specialty subcontractors (SIC 1700–1799).</w:t>
      </w:r>
    </w:p>
    <w:p w14:paraId="5179F36E" w14:textId="77777777" w:rsidR="00875789" w:rsidRPr="00875789" w:rsidRDefault="00875789" w:rsidP="00875789">
      <w:pPr>
        <w:ind w:left="1350"/>
        <w:rPr>
          <w:rFonts w:asciiTheme="minorHAnsi" w:hAnsiTheme="minorHAnsi" w:cstheme="minorHAnsi"/>
        </w:rPr>
      </w:pPr>
    </w:p>
    <w:p w14:paraId="416C6ACE" w14:textId="02E466C6" w:rsidR="00875789" w:rsidRDefault="00875789" w:rsidP="00875789">
      <w:pPr>
        <w:ind w:left="1350"/>
        <w:rPr>
          <w:rFonts w:asciiTheme="minorHAnsi" w:hAnsiTheme="minorHAnsi" w:cstheme="minorHAnsi"/>
        </w:rPr>
      </w:pPr>
      <w:r w:rsidRPr="00875789">
        <w:rPr>
          <w:rFonts w:asciiTheme="minorHAnsi" w:hAnsiTheme="minorHAnsi" w:cstheme="minorHAnsi"/>
        </w:rPr>
        <w:t xml:space="preserve">Inspections of controlling contractors resulted in 60 Serious and 2 Repeat violations, totaling 89 instances with $187,100 in penalties. </w:t>
      </w:r>
      <w:r w:rsidR="00217F37">
        <w:rPr>
          <w:rFonts w:asciiTheme="minorHAnsi" w:hAnsiTheme="minorHAnsi" w:cstheme="minorHAnsi"/>
        </w:rPr>
        <w:t xml:space="preserve"> </w:t>
      </w:r>
      <w:r w:rsidRPr="00875789">
        <w:rPr>
          <w:rFonts w:asciiTheme="minorHAnsi" w:hAnsiTheme="minorHAnsi" w:cstheme="minorHAnsi"/>
        </w:rPr>
        <w:t xml:space="preserve">The contest rate was 1.2%, and 35 of 37 employers accepted the citations and corrected the hazards. </w:t>
      </w:r>
      <w:r w:rsidR="00217F37">
        <w:rPr>
          <w:rFonts w:asciiTheme="minorHAnsi" w:hAnsiTheme="minorHAnsi" w:cstheme="minorHAnsi"/>
        </w:rPr>
        <w:t xml:space="preserve"> </w:t>
      </w:r>
      <w:r w:rsidRPr="00875789">
        <w:rPr>
          <w:rFonts w:asciiTheme="minorHAnsi" w:hAnsiTheme="minorHAnsi" w:cstheme="minorHAnsi"/>
        </w:rPr>
        <w:t>When these 173 inspections are removed from the programmed safety total, the overall in</w:t>
      </w:r>
      <w:r w:rsidR="002646ED">
        <w:rPr>
          <w:rFonts w:asciiTheme="minorHAnsi" w:hAnsiTheme="minorHAnsi" w:cstheme="minorHAnsi"/>
        </w:rPr>
        <w:t>-</w:t>
      </w:r>
      <w:r w:rsidRPr="00875789">
        <w:rPr>
          <w:rFonts w:asciiTheme="minorHAnsi" w:hAnsiTheme="minorHAnsi" w:cstheme="minorHAnsi"/>
        </w:rPr>
        <w:t>compliance rate drops to 26.4%, which falls below the FRL average for SAMM 9a.</w:t>
      </w:r>
    </w:p>
    <w:p w14:paraId="5B008439" w14:textId="77777777" w:rsidR="00875789" w:rsidRDefault="00875789" w:rsidP="00757FFA">
      <w:pPr>
        <w:ind w:left="1350"/>
        <w:rPr>
          <w:rFonts w:asciiTheme="minorHAnsi" w:hAnsiTheme="minorHAnsi" w:cstheme="minorHAnsi"/>
        </w:rPr>
      </w:pPr>
    </w:p>
    <w:p w14:paraId="1193D07A" w14:textId="437375E9" w:rsidR="0057704E" w:rsidRPr="0057704E" w:rsidRDefault="0057704E" w:rsidP="00757FFA">
      <w:pPr>
        <w:ind w:left="1350"/>
        <w:rPr>
          <w:rFonts w:asciiTheme="minorHAnsi" w:hAnsiTheme="minorHAnsi" w:cstheme="minorHAnsi"/>
        </w:rPr>
      </w:pPr>
      <w:r w:rsidRPr="0057704E">
        <w:rPr>
          <w:rFonts w:asciiTheme="minorHAnsi" w:hAnsiTheme="minorHAnsi" w:cstheme="minorHAnsi"/>
        </w:rPr>
        <w:t>For unprogrammed safety inspections (SAMM 9b), the in-compliance rate was 40.80</w:t>
      </w:r>
      <w:r w:rsidR="00E507CF">
        <w:rPr>
          <w:rFonts w:asciiTheme="minorHAnsi" w:hAnsiTheme="minorHAnsi" w:cstheme="minorHAnsi"/>
        </w:rPr>
        <w:t>%</w:t>
      </w:r>
      <w:r w:rsidRPr="0057704E">
        <w:rPr>
          <w:rFonts w:asciiTheme="minorHAnsi" w:hAnsiTheme="minorHAnsi" w:cstheme="minorHAnsi"/>
        </w:rPr>
        <w:t xml:space="preserve">, below the FRL of </w:t>
      </w:r>
      <w:r w:rsidR="0044444E">
        <w:rPr>
          <w:rFonts w:asciiTheme="minorHAnsi" w:hAnsiTheme="minorHAnsi" w:cstheme="minorHAnsi"/>
        </w:rPr>
        <w:t>+20</w:t>
      </w:r>
      <w:r w:rsidR="00EF7D97">
        <w:rPr>
          <w:rFonts w:asciiTheme="minorHAnsi" w:hAnsiTheme="minorHAnsi" w:cstheme="minorHAnsi"/>
        </w:rPr>
        <w:t>%</w:t>
      </w:r>
      <w:r w:rsidR="0044444E">
        <w:rPr>
          <w:rFonts w:asciiTheme="minorHAnsi" w:hAnsiTheme="minorHAnsi" w:cstheme="minorHAnsi"/>
        </w:rPr>
        <w:t xml:space="preserve"> of 38.03%</w:t>
      </w:r>
      <w:r w:rsidRPr="0057704E">
        <w:rPr>
          <w:rFonts w:asciiTheme="minorHAnsi" w:hAnsiTheme="minorHAnsi" w:cstheme="minorHAnsi"/>
        </w:rPr>
        <w:t xml:space="preserve">. </w:t>
      </w:r>
      <w:r w:rsidR="00217F37">
        <w:rPr>
          <w:rFonts w:asciiTheme="minorHAnsi" w:hAnsiTheme="minorHAnsi" w:cstheme="minorHAnsi"/>
        </w:rPr>
        <w:t xml:space="preserve"> </w:t>
      </w:r>
      <w:r w:rsidRPr="0057704E">
        <w:rPr>
          <w:rFonts w:asciiTheme="minorHAnsi" w:hAnsiTheme="minorHAnsi" w:cstheme="minorHAnsi"/>
        </w:rPr>
        <w:t>For programmed health inspections (SAMM 9c), the in-compliance rate was 25.96</w:t>
      </w:r>
      <w:r w:rsidR="00E507CF">
        <w:rPr>
          <w:rFonts w:asciiTheme="minorHAnsi" w:hAnsiTheme="minorHAnsi" w:cstheme="minorHAnsi"/>
        </w:rPr>
        <w:t>%</w:t>
      </w:r>
      <w:r w:rsidRPr="0057704E">
        <w:rPr>
          <w:rFonts w:asciiTheme="minorHAnsi" w:hAnsiTheme="minorHAnsi" w:cstheme="minorHAnsi"/>
        </w:rPr>
        <w:t xml:space="preserve">, </w:t>
      </w:r>
      <w:r w:rsidR="004776FE">
        <w:rPr>
          <w:rFonts w:asciiTheme="minorHAnsi" w:hAnsiTheme="minorHAnsi" w:cstheme="minorHAnsi"/>
        </w:rPr>
        <w:t>below</w:t>
      </w:r>
      <w:r w:rsidRPr="0057704E">
        <w:rPr>
          <w:rFonts w:asciiTheme="minorHAnsi" w:hAnsiTheme="minorHAnsi" w:cstheme="minorHAnsi"/>
        </w:rPr>
        <w:t xml:space="preserve"> the FRL of </w:t>
      </w:r>
      <w:r w:rsidR="00B64648">
        <w:rPr>
          <w:rFonts w:asciiTheme="minorHAnsi" w:hAnsiTheme="minorHAnsi" w:cstheme="minorHAnsi"/>
        </w:rPr>
        <w:t>+20</w:t>
      </w:r>
      <w:r w:rsidR="00064815">
        <w:rPr>
          <w:rFonts w:asciiTheme="minorHAnsi" w:hAnsiTheme="minorHAnsi" w:cstheme="minorHAnsi"/>
        </w:rPr>
        <w:t>% of</w:t>
      </w:r>
      <w:r w:rsidRPr="0057704E">
        <w:rPr>
          <w:rFonts w:asciiTheme="minorHAnsi" w:hAnsiTheme="minorHAnsi" w:cstheme="minorHAnsi"/>
        </w:rPr>
        <w:t xml:space="preserve"> </w:t>
      </w:r>
      <w:r w:rsidR="00064815">
        <w:rPr>
          <w:rFonts w:asciiTheme="minorHAnsi" w:hAnsiTheme="minorHAnsi" w:cstheme="minorHAnsi"/>
        </w:rPr>
        <w:t>43.40</w:t>
      </w:r>
      <w:r w:rsidR="00E507CF">
        <w:rPr>
          <w:rFonts w:asciiTheme="minorHAnsi" w:hAnsiTheme="minorHAnsi" w:cstheme="minorHAnsi"/>
        </w:rPr>
        <w:t>%</w:t>
      </w:r>
      <w:r w:rsidRPr="0057704E">
        <w:rPr>
          <w:rFonts w:asciiTheme="minorHAnsi" w:hAnsiTheme="minorHAnsi" w:cstheme="minorHAnsi"/>
        </w:rPr>
        <w:t xml:space="preserve">. </w:t>
      </w:r>
      <w:r w:rsidR="00217F37">
        <w:rPr>
          <w:rFonts w:asciiTheme="minorHAnsi" w:hAnsiTheme="minorHAnsi" w:cstheme="minorHAnsi"/>
        </w:rPr>
        <w:t xml:space="preserve"> </w:t>
      </w:r>
      <w:r w:rsidRPr="0057704E">
        <w:rPr>
          <w:rFonts w:asciiTheme="minorHAnsi" w:hAnsiTheme="minorHAnsi" w:cstheme="minorHAnsi"/>
        </w:rPr>
        <w:t>For unprogrammed health inspections (SAMM 9d), the in-compliance rate was 41.21</w:t>
      </w:r>
      <w:r w:rsidR="00E507CF">
        <w:rPr>
          <w:rFonts w:asciiTheme="minorHAnsi" w:hAnsiTheme="minorHAnsi" w:cstheme="minorHAnsi"/>
        </w:rPr>
        <w:t>%</w:t>
      </w:r>
      <w:r w:rsidRPr="0057704E">
        <w:rPr>
          <w:rFonts w:asciiTheme="minorHAnsi" w:hAnsiTheme="minorHAnsi" w:cstheme="minorHAnsi"/>
        </w:rPr>
        <w:t xml:space="preserve">, </w:t>
      </w:r>
      <w:r w:rsidR="00064815">
        <w:rPr>
          <w:rFonts w:asciiTheme="minorHAnsi" w:hAnsiTheme="minorHAnsi" w:cstheme="minorHAnsi"/>
        </w:rPr>
        <w:t>below</w:t>
      </w:r>
      <w:r w:rsidRPr="0057704E">
        <w:rPr>
          <w:rFonts w:asciiTheme="minorHAnsi" w:hAnsiTheme="minorHAnsi" w:cstheme="minorHAnsi"/>
        </w:rPr>
        <w:t xml:space="preserve"> the FRL of </w:t>
      </w:r>
      <w:r w:rsidR="000B25C0">
        <w:rPr>
          <w:rFonts w:asciiTheme="minorHAnsi" w:hAnsiTheme="minorHAnsi" w:cstheme="minorHAnsi"/>
        </w:rPr>
        <w:t>+20% of 43.63</w:t>
      </w:r>
      <w:r w:rsidR="00E507CF">
        <w:rPr>
          <w:rFonts w:asciiTheme="minorHAnsi" w:hAnsiTheme="minorHAnsi" w:cstheme="minorHAnsi"/>
        </w:rPr>
        <w:t>%</w:t>
      </w:r>
      <w:r w:rsidRPr="0057704E">
        <w:rPr>
          <w:rFonts w:asciiTheme="minorHAnsi" w:hAnsiTheme="minorHAnsi" w:cstheme="minorHAnsi"/>
        </w:rPr>
        <w:t xml:space="preserve">. </w:t>
      </w:r>
      <w:r w:rsidR="00217F37">
        <w:rPr>
          <w:rFonts w:asciiTheme="minorHAnsi" w:hAnsiTheme="minorHAnsi" w:cstheme="minorHAnsi"/>
        </w:rPr>
        <w:t xml:space="preserve"> </w:t>
      </w:r>
      <w:r w:rsidRPr="0057704E">
        <w:rPr>
          <w:rFonts w:asciiTheme="minorHAnsi" w:hAnsiTheme="minorHAnsi" w:cstheme="minorHAnsi"/>
        </w:rPr>
        <w:t>These measures reflect that health inspections, particularly programmed activity, were identifying violations consistent with targeted hazards and emphasis programs.</w:t>
      </w:r>
    </w:p>
    <w:p w14:paraId="2153156A" w14:textId="77777777" w:rsidR="00B7759F" w:rsidRDefault="00B7759F" w:rsidP="00757FFA">
      <w:pPr>
        <w:ind w:left="1350"/>
        <w:rPr>
          <w:rFonts w:asciiTheme="minorHAnsi" w:hAnsiTheme="minorHAnsi" w:cstheme="minorHAnsi"/>
        </w:rPr>
      </w:pPr>
    </w:p>
    <w:p w14:paraId="6EB19289" w14:textId="343C599B" w:rsidR="0057704E" w:rsidRPr="0057704E" w:rsidRDefault="0057704E" w:rsidP="00757FFA">
      <w:pPr>
        <w:ind w:left="1350"/>
        <w:rPr>
          <w:rFonts w:asciiTheme="minorHAnsi" w:hAnsiTheme="minorHAnsi" w:cstheme="minorHAnsi"/>
        </w:rPr>
      </w:pPr>
      <w:r w:rsidRPr="0057704E">
        <w:rPr>
          <w:rFonts w:asciiTheme="minorHAnsi" w:hAnsiTheme="minorHAnsi" w:cstheme="minorHAnsi"/>
        </w:rPr>
        <w:t xml:space="preserve">Special Emphasis Programs continued to drive inspection targeting. </w:t>
      </w:r>
      <w:r w:rsidR="00217F37">
        <w:rPr>
          <w:rFonts w:asciiTheme="minorHAnsi" w:hAnsiTheme="minorHAnsi" w:cstheme="minorHAnsi"/>
        </w:rPr>
        <w:t xml:space="preserve"> </w:t>
      </w:r>
      <w:r w:rsidRPr="0057704E">
        <w:rPr>
          <w:rFonts w:asciiTheme="minorHAnsi" w:hAnsiTheme="minorHAnsi" w:cstheme="minorHAnsi"/>
        </w:rPr>
        <w:t xml:space="preserve">The Amputations SEP, implemented in FY 2020, has </w:t>
      </w:r>
      <w:r w:rsidR="00407657">
        <w:rPr>
          <w:rFonts w:asciiTheme="minorHAnsi" w:hAnsiTheme="minorHAnsi" w:cstheme="minorHAnsi"/>
        </w:rPr>
        <w:t xml:space="preserve">generated </w:t>
      </w:r>
      <w:r w:rsidRPr="0057704E">
        <w:rPr>
          <w:rFonts w:asciiTheme="minorHAnsi" w:hAnsiTheme="minorHAnsi" w:cstheme="minorHAnsi"/>
        </w:rPr>
        <w:t>nearly 1,000 inspections over five years, including 434 programmed inspections</w:t>
      </w:r>
      <w:r w:rsidR="0053044F">
        <w:rPr>
          <w:rFonts w:asciiTheme="minorHAnsi" w:hAnsiTheme="minorHAnsi" w:cstheme="minorHAnsi"/>
        </w:rPr>
        <w:t>,</w:t>
      </w:r>
      <w:r w:rsidR="0028666A">
        <w:rPr>
          <w:rFonts w:asciiTheme="minorHAnsi" w:hAnsiTheme="minorHAnsi" w:cstheme="minorHAnsi"/>
        </w:rPr>
        <w:t xml:space="preserve"> with</w:t>
      </w:r>
      <w:r w:rsidRPr="0057704E">
        <w:rPr>
          <w:rFonts w:asciiTheme="minorHAnsi" w:hAnsiTheme="minorHAnsi" w:cstheme="minorHAnsi"/>
        </w:rPr>
        <w:t xml:space="preserve"> 105 </w:t>
      </w:r>
      <w:r w:rsidR="0053044F">
        <w:rPr>
          <w:rFonts w:asciiTheme="minorHAnsi" w:hAnsiTheme="minorHAnsi" w:cstheme="minorHAnsi"/>
        </w:rPr>
        <w:t xml:space="preserve">conducted </w:t>
      </w:r>
      <w:r w:rsidRPr="0057704E">
        <w:rPr>
          <w:rFonts w:asciiTheme="minorHAnsi" w:hAnsiTheme="minorHAnsi" w:cstheme="minorHAnsi"/>
        </w:rPr>
        <w:t xml:space="preserve">in FY 2025. </w:t>
      </w:r>
      <w:r w:rsidR="00217F37">
        <w:rPr>
          <w:rFonts w:asciiTheme="minorHAnsi" w:hAnsiTheme="minorHAnsi" w:cstheme="minorHAnsi"/>
        </w:rPr>
        <w:t xml:space="preserve"> </w:t>
      </w:r>
      <w:r w:rsidRPr="0057704E">
        <w:rPr>
          <w:rFonts w:asciiTheme="minorHAnsi" w:hAnsiTheme="minorHAnsi" w:cstheme="minorHAnsi"/>
        </w:rPr>
        <w:t>Approximately</w:t>
      </w:r>
      <w:r w:rsidR="0028666A">
        <w:rPr>
          <w:rFonts w:asciiTheme="minorHAnsi" w:hAnsiTheme="minorHAnsi" w:cstheme="minorHAnsi"/>
        </w:rPr>
        <w:t xml:space="preserve"> </w:t>
      </w:r>
      <w:r w:rsidRPr="0057704E">
        <w:rPr>
          <w:rFonts w:asciiTheme="minorHAnsi" w:hAnsiTheme="minorHAnsi" w:cstheme="minorHAnsi"/>
        </w:rPr>
        <w:t>70</w:t>
      </w:r>
      <w:r w:rsidR="00E507CF">
        <w:rPr>
          <w:rFonts w:asciiTheme="minorHAnsi" w:hAnsiTheme="minorHAnsi" w:cstheme="minorHAnsi"/>
        </w:rPr>
        <w:t>%</w:t>
      </w:r>
      <w:r w:rsidRPr="0057704E">
        <w:rPr>
          <w:rFonts w:asciiTheme="minorHAnsi" w:hAnsiTheme="minorHAnsi" w:cstheme="minorHAnsi"/>
        </w:rPr>
        <w:t xml:space="preserve"> of these inspections identified SWR violations. In FY 2025, nine of the top ten standards cited were related to machine guarding or lockout/tagout. </w:t>
      </w:r>
      <w:r w:rsidR="00217F37">
        <w:rPr>
          <w:rFonts w:asciiTheme="minorHAnsi" w:hAnsiTheme="minorHAnsi" w:cstheme="minorHAnsi"/>
        </w:rPr>
        <w:t xml:space="preserve"> </w:t>
      </w:r>
      <w:r w:rsidRPr="0057704E">
        <w:rPr>
          <w:rFonts w:asciiTheme="minorHAnsi" w:hAnsiTheme="minorHAnsi" w:cstheme="minorHAnsi"/>
        </w:rPr>
        <w:t xml:space="preserve">The Health Hazards SEP, targeting silica, lead, isocyanates, asbestos, and hexavalent chromium, has conducted 59 inspections in FY 2025. </w:t>
      </w:r>
      <w:r w:rsidR="00217F37">
        <w:rPr>
          <w:rFonts w:asciiTheme="minorHAnsi" w:hAnsiTheme="minorHAnsi" w:cstheme="minorHAnsi"/>
        </w:rPr>
        <w:t xml:space="preserve"> </w:t>
      </w:r>
      <w:r w:rsidRPr="0057704E">
        <w:rPr>
          <w:rFonts w:asciiTheme="minorHAnsi" w:hAnsiTheme="minorHAnsi" w:cstheme="minorHAnsi"/>
        </w:rPr>
        <w:t>Approximately 73</w:t>
      </w:r>
      <w:r w:rsidR="00B7759F">
        <w:rPr>
          <w:rFonts w:asciiTheme="minorHAnsi" w:hAnsiTheme="minorHAnsi" w:cstheme="minorHAnsi"/>
        </w:rPr>
        <w:t>%</w:t>
      </w:r>
      <w:r w:rsidRPr="0057704E">
        <w:rPr>
          <w:rFonts w:asciiTheme="minorHAnsi" w:hAnsiTheme="minorHAnsi" w:cstheme="minorHAnsi"/>
        </w:rPr>
        <w:t xml:space="preserve"> identified SWR violations, with thirteen of the top twenty standards cited related to silica, respiratory protection, or hazard communication. </w:t>
      </w:r>
      <w:r w:rsidR="00336075">
        <w:rPr>
          <w:rFonts w:asciiTheme="minorHAnsi" w:hAnsiTheme="minorHAnsi" w:cstheme="minorHAnsi"/>
        </w:rPr>
        <w:t xml:space="preserve"> </w:t>
      </w:r>
      <w:r w:rsidR="008E2478">
        <w:rPr>
          <w:rFonts w:asciiTheme="minorHAnsi" w:hAnsiTheme="minorHAnsi" w:cstheme="minorHAnsi"/>
        </w:rPr>
        <w:t>OSHNC</w:t>
      </w:r>
      <w:r w:rsidRPr="0057704E">
        <w:rPr>
          <w:rFonts w:asciiTheme="minorHAnsi" w:hAnsiTheme="minorHAnsi" w:cstheme="minorHAnsi"/>
        </w:rPr>
        <w:t xml:space="preserve"> also released updated targeting schedules for Public Sector, General Industry, ASH Preoccupancy, Health Hazards, Long Term Care, and Food Manufacturing.</w:t>
      </w:r>
    </w:p>
    <w:p w14:paraId="5FE20289" w14:textId="77777777" w:rsidR="00B7759F" w:rsidRDefault="00B7759F" w:rsidP="00757FFA">
      <w:pPr>
        <w:ind w:left="1350"/>
        <w:rPr>
          <w:rFonts w:asciiTheme="minorHAnsi" w:hAnsiTheme="minorHAnsi" w:cstheme="minorHAnsi"/>
        </w:rPr>
      </w:pPr>
    </w:p>
    <w:p w14:paraId="3588B0A8" w14:textId="559CD51E" w:rsidR="00B47097" w:rsidRPr="00B47097" w:rsidRDefault="002A7DCE" w:rsidP="00B47097">
      <w:pPr>
        <w:ind w:left="1350"/>
        <w:rPr>
          <w:rFonts w:asciiTheme="minorHAnsi" w:hAnsiTheme="minorHAnsi" w:cstheme="minorHAnsi"/>
        </w:rPr>
      </w:pPr>
      <w:r>
        <w:rPr>
          <w:rFonts w:asciiTheme="minorHAnsi" w:hAnsiTheme="minorHAnsi" w:cstheme="minorHAnsi"/>
        </w:rPr>
        <w:t xml:space="preserve">In FY 2025, </w:t>
      </w:r>
      <w:r w:rsidR="00B47097" w:rsidRPr="00B47097">
        <w:rPr>
          <w:rFonts w:asciiTheme="minorHAnsi" w:hAnsiTheme="minorHAnsi" w:cstheme="minorHAnsi"/>
        </w:rPr>
        <w:t>OSHNC</w:t>
      </w:r>
      <w:r>
        <w:rPr>
          <w:rFonts w:asciiTheme="minorHAnsi" w:hAnsiTheme="minorHAnsi" w:cstheme="minorHAnsi"/>
        </w:rPr>
        <w:t>’s</w:t>
      </w:r>
      <w:r w:rsidR="00B47097" w:rsidRPr="00B47097">
        <w:rPr>
          <w:rFonts w:asciiTheme="minorHAnsi" w:hAnsiTheme="minorHAnsi" w:cstheme="minorHAnsi"/>
        </w:rPr>
        <w:t xml:space="preserve"> enforcement presence (SAMM 16) was 0.73%, slightly below the FRL of </w:t>
      </w:r>
      <w:r w:rsidR="004F4561">
        <w:rPr>
          <w:rFonts w:asciiTheme="minorHAnsi" w:hAnsiTheme="minorHAnsi" w:cstheme="minorHAnsi"/>
        </w:rPr>
        <w:t xml:space="preserve">-20% of </w:t>
      </w:r>
      <w:r w:rsidR="00B47097" w:rsidRPr="00B47097">
        <w:rPr>
          <w:rFonts w:asciiTheme="minorHAnsi" w:hAnsiTheme="minorHAnsi" w:cstheme="minorHAnsi"/>
        </w:rPr>
        <w:t>0.</w:t>
      </w:r>
      <w:r w:rsidR="004F4561">
        <w:rPr>
          <w:rFonts w:asciiTheme="minorHAnsi" w:hAnsiTheme="minorHAnsi" w:cstheme="minorHAnsi"/>
        </w:rPr>
        <w:t>97</w:t>
      </w:r>
      <w:r w:rsidR="00B47097" w:rsidRPr="00B47097">
        <w:rPr>
          <w:rFonts w:asciiTheme="minorHAnsi" w:hAnsiTheme="minorHAnsi" w:cstheme="minorHAnsi"/>
        </w:rPr>
        <w:t xml:space="preserve">%. </w:t>
      </w:r>
      <w:r w:rsidR="00336075">
        <w:rPr>
          <w:rFonts w:asciiTheme="minorHAnsi" w:hAnsiTheme="minorHAnsi" w:cstheme="minorHAnsi"/>
        </w:rPr>
        <w:t xml:space="preserve"> </w:t>
      </w:r>
      <w:r w:rsidR="00B47097" w:rsidRPr="00B47097">
        <w:rPr>
          <w:rFonts w:asciiTheme="minorHAnsi" w:hAnsiTheme="minorHAnsi" w:cstheme="minorHAnsi"/>
        </w:rPr>
        <w:t xml:space="preserve">The lower rate reflects limited compliance activity in western North </w:t>
      </w:r>
      <w:r w:rsidR="00B47097" w:rsidRPr="00B47097">
        <w:rPr>
          <w:rFonts w:asciiTheme="minorHAnsi" w:hAnsiTheme="minorHAnsi" w:cstheme="minorHAnsi"/>
        </w:rPr>
        <w:lastRenderedPageBreak/>
        <w:t xml:space="preserve">Carolina following Hurricane Helene, which made landfall on September 26, 2024, causing widespread infrastructure damage. </w:t>
      </w:r>
      <w:r w:rsidR="00336075">
        <w:rPr>
          <w:rFonts w:asciiTheme="minorHAnsi" w:hAnsiTheme="minorHAnsi" w:cstheme="minorHAnsi"/>
        </w:rPr>
        <w:t xml:space="preserve"> </w:t>
      </w:r>
      <w:r w:rsidR="00B47097" w:rsidRPr="00B47097">
        <w:rPr>
          <w:rFonts w:asciiTheme="minorHAnsi" w:hAnsiTheme="minorHAnsi" w:cstheme="minorHAnsi"/>
        </w:rPr>
        <w:t xml:space="preserve">The Asheville field office experienced loss of power and potable water and was closed for two months. </w:t>
      </w:r>
      <w:r w:rsidR="00336075">
        <w:rPr>
          <w:rFonts w:asciiTheme="minorHAnsi" w:hAnsiTheme="minorHAnsi" w:cstheme="minorHAnsi"/>
        </w:rPr>
        <w:t xml:space="preserve"> </w:t>
      </w:r>
      <w:r w:rsidR="00B47097" w:rsidRPr="00B47097">
        <w:rPr>
          <w:rFonts w:asciiTheme="minorHAnsi" w:hAnsiTheme="minorHAnsi" w:cstheme="minorHAnsi"/>
        </w:rPr>
        <w:t xml:space="preserve">During this time, compliance staff conducted limited inspections focused on fatalities, accidents, referrals, and complaints while assisting with outreach to affected communities. </w:t>
      </w:r>
      <w:r w:rsidR="00336075">
        <w:rPr>
          <w:rFonts w:asciiTheme="minorHAnsi" w:hAnsiTheme="minorHAnsi" w:cstheme="minorHAnsi"/>
        </w:rPr>
        <w:t xml:space="preserve"> </w:t>
      </w:r>
      <w:r w:rsidR="00B47097" w:rsidRPr="00B47097">
        <w:rPr>
          <w:rFonts w:asciiTheme="minorHAnsi" w:hAnsiTheme="minorHAnsi" w:cstheme="minorHAnsi"/>
        </w:rPr>
        <w:t>Response activities ended on November 25, 202</w:t>
      </w:r>
      <w:r w:rsidR="008115F6">
        <w:rPr>
          <w:rFonts w:asciiTheme="minorHAnsi" w:hAnsiTheme="minorHAnsi" w:cstheme="minorHAnsi"/>
        </w:rPr>
        <w:t>4</w:t>
      </w:r>
      <w:r w:rsidR="00B47097" w:rsidRPr="00B47097">
        <w:rPr>
          <w:rFonts w:asciiTheme="minorHAnsi" w:hAnsiTheme="minorHAnsi" w:cstheme="minorHAnsi"/>
        </w:rPr>
        <w:t xml:space="preserve">, during which staff logged 11,580 miles, 812 hours, and distributed 558 pieces of personal protective equipment to 354 individuals. </w:t>
      </w:r>
      <w:r w:rsidR="00336075">
        <w:rPr>
          <w:rFonts w:asciiTheme="minorHAnsi" w:hAnsiTheme="minorHAnsi" w:cstheme="minorHAnsi"/>
        </w:rPr>
        <w:t xml:space="preserve"> </w:t>
      </w:r>
      <w:r w:rsidR="00B47097" w:rsidRPr="00B47097">
        <w:rPr>
          <w:rFonts w:asciiTheme="minorHAnsi" w:hAnsiTheme="minorHAnsi" w:cstheme="minorHAnsi"/>
        </w:rPr>
        <w:t xml:space="preserve">Additionally, the enforcement presence was </w:t>
      </w:r>
      <w:r w:rsidR="008A4819">
        <w:rPr>
          <w:rFonts w:asciiTheme="minorHAnsi" w:hAnsiTheme="minorHAnsi" w:cstheme="minorHAnsi"/>
        </w:rPr>
        <w:t xml:space="preserve">also </w:t>
      </w:r>
      <w:r w:rsidR="00B47097" w:rsidRPr="00B47097">
        <w:rPr>
          <w:rFonts w:asciiTheme="minorHAnsi" w:hAnsiTheme="minorHAnsi" w:cstheme="minorHAnsi"/>
        </w:rPr>
        <w:t xml:space="preserve">affected by new compliance staff completing training before being fully released to the field. </w:t>
      </w:r>
      <w:r w:rsidR="00336075">
        <w:rPr>
          <w:rFonts w:asciiTheme="minorHAnsi" w:hAnsiTheme="minorHAnsi" w:cstheme="minorHAnsi"/>
        </w:rPr>
        <w:t xml:space="preserve"> </w:t>
      </w:r>
      <w:r w:rsidR="00B47097" w:rsidRPr="00B47097">
        <w:rPr>
          <w:rFonts w:asciiTheme="minorHAnsi" w:hAnsiTheme="minorHAnsi" w:cstheme="minorHAnsi"/>
        </w:rPr>
        <w:t>By the end of FY 2025, the CSHO vacancy rate had fallen below 10%</w:t>
      </w:r>
      <w:r w:rsidR="00091CB3">
        <w:rPr>
          <w:rFonts w:asciiTheme="minorHAnsi" w:hAnsiTheme="minorHAnsi" w:cstheme="minorHAnsi"/>
        </w:rPr>
        <w:t xml:space="preserve"> </w:t>
      </w:r>
      <w:r w:rsidR="00B47097" w:rsidRPr="00B47097">
        <w:rPr>
          <w:rFonts w:asciiTheme="minorHAnsi" w:hAnsiTheme="minorHAnsi" w:cstheme="minorHAnsi"/>
        </w:rPr>
        <w:t xml:space="preserve">supporting increased enforcement presence in </w:t>
      </w:r>
      <w:r w:rsidR="007A7540">
        <w:rPr>
          <w:rFonts w:asciiTheme="minorHAnsi" w:hAnsiTheme="minorHAnsi" w:cstheme="minorHAnsi"/>
        </w:rPr>
        <w:t>FY 2026</w:t>
      </w:r>
      <w:r w:rsidR="00B47097" w:rsidRPr="00B47097">
        <w:rPr>
          <w:rFonts w:asciiTheme="minorHAnsi" w:hAnsiTheme="minorHAnsi" w:cstheme="minorHAnsi"/>
        </w:rPr>
        <w:t>.</w:t>
      </w:r>
    </w:p>
    <w:p w14:paraId="65F8CF4C" w14:textId="77777777" w:rsidR="0036791C" w:rsidRDefault="0036791C" w:rsidP="00757FFA">
      <w:pPr>
        <w:ind w:left="1350"/>
        <w:rPr>
          <w:rFonts w:asciiTheme="minorHAnsi" w:hAnsiTheme="minorHAnsi" w:cstheme="minorHAnsi"/>
        </w:rPr>
      </w:pPr>
    </w:p>
    <w:p w14:paraId="42270017" w14:textId="187A6E5C" w:rsidR="003A1C45" w:rsidRPr="008F537B" w:rsidRDefault="003A1C45" w:rsidP="00D4742C">
      <w:pPr>
        <w:pStyle w:val="ListParagraph"/>
        <w:numPr>
          <w:ilvl w:val="0"/>
          <w:numId w:val="12"/>
        </w:numPr>
        <w:tabs>
          <w:tab w:val="left" w:pos="1260"/>
          <w:tab w:val="left" w:pos="1350"/>
        </w:tabs>
        <w:rPr>
          <w:rFonts w:asciiTheme="minorHAnsi" w:hAnsiTheme="minorHAnsi" w:cstheme="minorHAnsi"/>
          <w:sz w:val="24"/>
          <w:szCs w:val="24"/>
        </w:rPr>
      </w:pPr>
      <w:r w:rsidRPr="008F537B">
        <w:rPr>
          <w:rFonts w:asciiTheme="minorHAnsi" w:hAnsiTheme="minorHAnsi" w:cstheme="minorHAnsi"/>
          <w:sz w:val="24"/>
          <w:szCs w:val="24"/>
        </w:rPr>
        <w:t xml:space="preserve">Citations and Penalties </w:t>
      </w:r>
    </w:p>
    <w:p w14:paraId="6DD75600" w14:textId="29DDB0D2" w:rsidR="00936F94" w:rsidRDefault="00F267F9" w:rsidP="00590DE7">
      <w:pPr>
        <w:ind w:left="1350"/>
        <w:rPr>
          <w:rFonts w:asciiTheme="minorHAnsi" w:hAnsiTheme="minorHAnsi" w:cstheme="minorHAnsi"/>
        </w:rPr>
      </w:pPr>
      <w:r>
        <w:rPr>
          <w:rFonts w:asciiTheme="minorHAnsi" w:hAnsiTheme="minorHAnsi" w:cstheme="minorHAnsi"/>
        </w:rPr>
        <w:t>OSHNC</w:t>
      </w:r>
      <w:r w:rsidR="00D86F47" w:rsidRPr="00D86F47">
        <w:rPr>
          <w:rFonts w:asciiTheme="minorHAnsi" w:hAnsiTheme="minorHAnsi" w:cstheme="minorHAnsi"/>
        </w:rPr>
        <w:t xml:space="preserve">’s documentation standards </w:t>
      </w:r>
      <w:r w:rsidR="00583373">
        <w:rPr>
          <w:rFonts w:asciiTheme="minorHAnsi" w:hAnsiTheme="minorHAnsi" w:cstheme="minorHAnsi"/>
        </w:rPr>
        <w:t>were</w:t>
      </w:r>
      <w:r w:rsidR="00D86F47" w:rsidRPr="00D86F47">
        <w:rPr>
          <w:rFonts w:asciiTheme="minorHAnsi" w:hAnsiTheme="minorHAnsi" w:cstheme="minorHAnsi"/>
        </w:rPr>
        <w:t xml:space="preserve"> strong and consistent with the requirements of their FOM. </w:t>
      </w:r>
      <w:r w:rsidR="00336075">
        <w:rPr>
          <w:rFonts w:asciiTheme="minorHAnsi" w:hAnsiTheme="minorHAnsi" w:cstheme="minorHAnsi"/>
        </w:rPr>
        <w:t xml:space="preserve"> </w:t>
      </w:r>
      <w:r w:rsidR="00D86F47" w:rsidRPr="00D86F47">
        <w:rPr>
          <w:rFonts w:asciiTheme="minorHAnsi" w:hAnsiTheme="minorHAnsi" w:cstheme="minorHAnsi"/>
        </w:rPr>
        <w:t xml:space="preserve">Reviewers found the case files to be well organized, with </w:t>
      </w:r>
      <w:r w:rsidR="006870E0">
        <w:rPr>
          <w:rFonts w:asciiTheme="minorHAnsi" w:hAnsiTheme="minorHAnsi" w:cstheme="minorHAnsi"/>
        </w:rPr>
        <w:t>well-supported</w:t>
      </w:r>
      <w:r w:rsidR="00D86F47" w:rsidRPr="00D86F47">
        <w:rPr>
          <w:rFonts w:asciiTheme="minorHAnsi" w:hAnsiTheme="minorHAnsi" w:cstheme="minorHAnsi"/>
        </w:rPr>
        <w:t xml:space="preserve"> narratives and worksheets. </w:t>
      </w:r>
      <w:r w:rsidR="00336075">
        <w:rPr>
          <w:rFonts w:asciiTheme="minorHAnsi" w:hAnsiTheme="minorHAnsi" w:cstheme="minorHAnsi"/>
        </w:rPr>
        <w:t xml:space="preserve"> </w:t>
      </w:r>
      <w:r w:rsidR="00D86F47" w:rsidRPr="00D86F47">
        <w:rPr>
          <w:rFonts w:asciiTheme="minorHAnsi" w:hAnsiTheme="minorHAnsi" w:cstheme="minorHAnsi"/>
        </w:rPr>
        <w:t xml:space="preserve">While witness information was sometimes captured through CSHO notes, the reviewers noted that more frequent use of formal witness statements would further strengthen file consistency. </w:t>
      </w:r>
      <w:r w:rsidR="00336075">
        <w:rPr>
          <w:rFonts w:asciiTheme="minorHAnsi" w:hAnsiTheme="minorHAnsi" w:cstheme="minorHAnsi"/>
        </w:rPr>
        <w:t xml:space="preserve"> </w:t>
      </w:r>
      <w:r w:rsidR="00D86F47" w:rsidRPr="00D86F47">
        <w:rPr>
          <w:rFonts w:asciiTheme="minorHAnsi" w:hAnsiTheme="minorHAnsi" w:cstheme="minorHAnsi"/>
        </w:rPr>
        <w:t xml:space="preserve">Overall, the case files reflected solid documentation and adherence to </w:t>
      </w:r>
      <w:r w:rsidR="001C6D9A">
        <w:rPr>
          <w:rFonts w:asciiTheme="minorHAnsi" w:hAnsiTheme="minorHAnsi" w:cstheme="minorHAnsi"/>
        </w:rPr>
        <w:t>their FOM</w:t>
      </w:r>
      <w:r w:rsidR="00D86F47" w:rsidRPr="00D86F47">
        <w:rPr>
          <w:rFonts w:asciiTheme="minorHAnsi" w:hAnsiTheme="minorHAnsi" w:cstheme="minorHAnsi"/>
        </w:rPr>
        <w:t>.</w:t>
      </w:r>
      <w:r w:rsidR="00844E8E">
        <w:rPr>
          <w:rFonts w:asciiTheme="minorHAnsi" w:hAnsiTheme="minorHAnsi" w:cstheme="minorHAnsi"/>
        </w:rPr>
        <w:t xml:space="preserve">  </w:t>
      </w:r>
    </w:p>
    <w:p w14:paraId="3F94C041" w14:textId="77777777" w:rsidR="00936F94" w:rsidRDefault="00936F94" w:rsidP="00590DE7">
      <w:pPr>
        <w:ind w:left="1350"/>
        <w:rPr>
          <w:rFonts w:asciiTheme="minorHAnsi" w:hAnsiTheme="minorHAnsi" w:cstheme="minorHAnsi"/>
        </w:rPr>
      </w:pPr>
    </w:p>
    <w:p w14:paraId="5D810A63" w14:textId="4CE41F2D" w:rsidR="001D50C7" w:rsidRPr="00590DE7" w:rsidRDefault="0020441F" w:rsidP="00590DE7">
      <w:pPr>
        <w:ind w:left="1350"/>
        <w:rPr>
          <w:rFonts w:asciiTheme="minorHAnsi" w:hAnsiTheme="minorHAnsi" w:cstheme="minorHAnsi"/>
        </w:rPr>
      </w:pPr>
      <w:r w:rsidRPr="00590DE7">
        <w:rPr>
          <w:rFonts w:asciiTheme="minorHAnsi" w:hAnsiTheme="minorHAnsi" w:cstheme="minorHAnsi"/>
        </w:rPr>
        <w:t>C</w:t>
      </w:r>
      <w:r w:rsidR="001D50C7" w:rsidRPr="00590DE7">
        <w:rPr>
          <w:rFonts w:asciiTheme="minorHAnsi" w:hAnsiTheme="minorHAnsi" w:cstheme="minorHAnsi"/>
        </w:rPr>
        <w:t xml:space="preserve">ompliance inspections conducted identified serious, </w:t>
      </w:r>
      <w:r w:rsidR="00263395">
        <w:rPr>
          <w:rFonts w:asciiTheme="minorHAnsi" w:hAnsiTheme="minorHAnsi" w:cstheme="minorHAnsi"/>
        </w:rPr>
        <w:t xml:space="preserve">repeat and </w:t>
      </w:r>
      <w:r w:rsidR="001D50C7" w:rsidRPr="00590DE7">
        <w:rPr>
          <w:rFonts w:asciiTheme="minorHAnsi" w:hAnsiTheme="minorHAnsi" w:cstheme="minorHAnsi"/>
        </w:rPr>
        <w:t>willful violations</w:t>
      </w:r>
      <w:r w:rsidR="00EE3118" w:rsidRPr="00590DE7">
        <w:rPr>
          <w:rFonts w:asciiTheme="minorHAnsi" w:hAnsiTheme="minorHAnsi" w:cstheme="minorHAnsi"/>
        </w:rPr>
        <w:t xml:space="preserve"> with a total initial</w:t>
      </w:r>
      <w:r w:rsidR="00EE3118" w:rsidRPr="00B22E97">
        <w:rPr>
          <w:rFonts w:asciiTheme="minorHAnsi" w:hAnsiTheme="minorHAnsi" w:cstheme="minorHAnsi"/>
        </w:rPr>
        <w:t xml:space="preserve"> penalty assessment of $8.1 million</w:t>
      </w:r>
      <w:r w:rsidR="001D50C7" w:rsidRPr="00B22E97">
        <w:rPr>
          <w:rFonts w:asciiTheme="minorHAnsi" w:hAnsiTheme="minorHAnsi" w:cstheme="minorHAnsi"/>
        </w:rPr>
        <w:t xml:space="preserve">. </w:t>
      </w:r>
      <w:r w:rsidR="00336075">
        <w:rPr>
          <w:rFonts w:asciiTheme="minorHAnsi" w:hAnsiTheme="minorHAnsi" w:cstheme="minorHAnsi"/>
        </w:rPr>
        <w:t xml:space="preserve"> </w:t>
      </w:r>
      <w:r w:rsidR="001D50C7" w:rsidRPr="00B22E97">
        <w:rPr>
          <w:rFonts w:asciiTheme="minorHAnsi" w:hAnsiTheme="minorHAnsi" w:cstheme="minorHAnsi"/>
        </w:rPr>
        <w:t xml:space="preserve">A total of </w:t>
      </w:r>
      <w:r w:rsidR="00D62ECD" w:rsidRPr="00B22E97">
        <w:rPr>
          <w:rFonts w:asciiTheme="minorHAnsi" w:hAnsiTheme="minorHAnsi" w:cstheme="minorHAnsi"/>
        </w:rPr>
        <w:t>1,852 serious violations</w:t>
      </w:r>
      <w:r w:rsidR="00796ABD">
        <w:rPr>
          <w:rFonts w:asciiTheme="minorHAnsi" w:hAnsiTheme="minorHAnsi" w:cstheme="minorHAnsi"/>
        </w:rPr>
        <w:t xml:space="preserve">, </w:t>
      </w:r>
      <w:r w:rsidR="00936F94">
        <w:rPr>
          <w:rFonts w:asciiTheme="minorHAnsi" w:hAnsiTheme="minorHAnsi" w:cstheme="minorHAnsi"/>
        </w:rPr>
        <w:t>89</w:t>
      </w:r>
      <w:r w:rsidR="00796ABD">
        <w:rPr>
          <w:rFonts w:asciiTheme="minorHAnsi" w:hAnsiTheme="minorHAnsi" w:cstheme="minorHAnsi"/>
        </w:rPr>
        <w:t xml:space="preserve"> repeat and </w:t>
      </w:r>
      <w:r w:rsidR="0077790A" w:rsidRPr="00590DE7">
        <w:rPr>
          <w:rFonts w:asciiTheme="minorHAnsi" w:hAnsiTheme="minorHAnsi" w:cstheme="minorHAnsi"/>
        </w:rPr>
        <w:t>seven</w:t>
      </w:r>
      <w:r w:rsidR="009D2FD9">
        <w:rPr>
          <w:rFonts w:asciiTheme="minorHAnsi" w:hAnsiTheme="minorHAnsi" w:cstheme="minorHAnsi"/>
        </w:rPr>
        <w:t xml:space="preserve"> (7)</w:t>
      </w:r>
      <w:r w:rsidR="001D50C7" w:rsidRPr="00590DE7">
        <w:rPr>
          <w:rFonts w:asciiTheme="minorHAnsi" w:hAnsiTheme="minorHAnsi" w:cstheme="minorHAnsi"/>
        </w:rPr>
        <w:t xml:space="preserve"> willful violations were issued. </w:t>
      </w:r>
      <w:r w:rsidR="00336075">
        <w:rPr>
          <w:rFonts w:asciiTheme="minorHAnsi" w:hAnsiTheme="minorHAnsi" w:cstheme="minorHAnsi"/>
        </w:rPr>
        <w:t xml:space="preserve"> </w:t>
      </w:r>
      <w:r w:rsidR="001D50C7" w:rsidRPr="00590DE7">
        <w:rPr>
          <w:rFonts w:asciiTheme="minorHAnsi" w:hAnsiTheme="minorHAnsi" w:cstheme="minorHAnsi"/>
        </w:rPr>
        <w:t xml:space="preserve">The classification of violations, including serious, willful, and repeat, was consistent with </w:t>
      </w:r>
      <w:r w:rsidR="002D2F7B" w:rsidRPr="00590DE7">
        <w:rPr>
          <w:rFonts w:asciiTheme="minorHAnsi" w:hAnsiTheme="minorHAnsi" w:cstheme="minorHAnsi"/>
        </w:rPr>
        <w:t>FOM procedures</w:t>
      </w:r>
      <w:r w:rsidR="001D50C7" w:rsidRPr="00590DE7">
        <w:rPr>
          <w:rFonts w:asciiTheme="minorHAnsi" w:hAnsiTheme="minorHAnsi" w:cstheme="minorHAnsi"/>
        </w:rPr>
        <w:t xml:space="preserve">. </w:t>
      </w:r>
      <w:r w:rsidR="00336075">
        <w:rPr>
          <w:rFonts w:asciiTheme="minorHAnsi" w:hAnsiTheme="minorHAnsi" w:cstheme="minorHAnsi"/>
        </w:rPr>
        <w:t xml:space="preserve"> </w:t>
      </w:r>
      <w:r w:rsidR="001D50C7" w:rsidRPr="00590DE7">
        <w:rPr>
          <w:rFonts w:asciiTheme="minorHAnsi" w:hAnsiTheme="minorHAnsi" w:cstheme="minorHAnsi"/>
        </w:rPr>
        <w:t>Violations were appropriately grouped where applicable, and the use and level of review for notices of violations were in accordance with policy.</w:t>
      </w:r>
    </w:p>
    <w:p w14:paraId="1F49E557" w14:textId="77777777" w:rsidR="004566F5" w:rsidRPr="00590DE7" w:rsidRDefault="004566F5" w:rsidP="00590DE7">
      <w:pPr>
        <w:ind w:left="1350"/>
        <w:rPr>
          <w:rFonts w:asciiTheme="minorHAnsi" w:hAnsiTheme="minorHAnsi" w:cstheme="minorHAnsi"/>
        </w:rPr>
      </w:pPr>
    </w:p>
    <w:p w14:paraId="758735AB" w14:textId="77777777" w:rsidR="0080170D" w:rsidRDefault="001D50C7" w:rsidP="00590DE7">
      <w:pPr>
        <w:ind w:left="1350"/>
        <w:rPr>
          <w:rFonts w:asciiTheme="minorHAnsi" w:hAnsiTheme="minorHAnsi" w:cstheme="minorHAnsi"/>
        </w:rPr>
      </w:pPr>
      <w:r w:rsidRPr="00590DE7">
        <w:rPr>
          <w:rFonts w:asciiTheme="minorHAnsi" w:hAnsiTheme="minorHAnsi" w:cstheme="minorHAnsi"/>
        </w:rPr>
        <w:t xml:space="preserve">Average penalties for serious violations (SAMM 8a–8e) were calculated by employer size as follows: </w:t>
      </w:r>
    </w:p>
    <w:p w14:paraId="5459AADE" w14:textId="77777777" w:rsidR="0080170D" w:rsidRDefault="0080170D" w:rsidP="00590DE7">
      <w:pPr>
        <w:ind w:left="1350"/>
        <w:rPr>
          <w:rFonts w:asciiTheme="minorHAnsi" w:hAnsiTheme="minorHAnsi" w:cstheme="minorHAnsi"/>
        </w:rPr>
      </w:pPr>
    </w:p>
    <w:p w14:paraId="7831F65C" w14:textId="77777777" w:rsidR="0080170D" w:rsidRPr="00E82042" w:rsidRDefault="0080170D" w:rsidP="00E82042">
      <w:pPr>
        <w:pStyle w:val="ListParagraph"/>
        <w:numPr>
          <w:ilvl w:val="0"/>
          <w:numId w:val="18"/>
        </w:numPr>
        <w:rPr>
          <w:rFonts w:asciiTheme="minorHAnsi" w:hAnsiTheme="minorHAnsi" w:cstheme="minorHAnsi"/>
          <w:sz w:val="24"/>
          <w:szCs w:val="24"/>
        </w:rPr>
      </w:pPr>
      <w:r w:rsidRPr="00E82042">
        <w:rPr>
          <w:rFonts w:asciiTheme="minorHAnsi" w:hAnsiTheme="minorHAnsi" w:cstheme="minorHAnsi"/>
          <w:sz w:val="24"/>
          <w:szCs w:val="24"/>
        </w:rPr>
        <w:t>A</w:t>
      </w:r>
      <w:r w:rsidR="001D50C7" w:rsidRPr="00E82042">
        <w:rPr>
          <w:rFonts w:asciiTheme="minorHAnsi" w:hAnsiTheme="minorHAnsi" w:cstheme="minorHAnsi"/>
          <w:sz w:val="24"/>
          <w:szCs w:val="24"/>
        </w:rPr>
        <w:t>ll private sector inspections (1 to greater than 250 workers), the average serious violation penalty was $2,972</w:t>
      </w:r>
      <w:r w:rsidR="009B781B" w:rsidRPr="00E82042">
        <w:rPr>
          <w:rFonts w:asciiTheme="minorHAnsi" w:hAnsiTheme="minorHAnsi" w:cstheme="minorHAnsi"/>
          <w:sz w:val="24"/>
          <w:szCs w:val="24"/>
        </w:rPr>
        <w:t>.05</w:t>
      </w:r>
      <w:r w:rsidR="001D50C7" w:rsidRPr="00E82042">
        <w:rPr>
          <w:rFonts w:asciiTheme="minorHAnsi" w:hAnsiTheme="minorHAnsi" w:cstheme="minorHAnsi"/>
          <w:sz w:val="24"/>
          <w:szCs w:val="24"/>
        </w:rPr>
        <w:t xml:space="preserve"> (SAMM 8a), within the FRL of </w:t>
      </w:r>
      <w:r w:rsidR="00BB3C2B" w:rsidRPr="00E82042">
        <w:rPr>
          <w:rFonts w:asciiTheme="minorHAnsi" w:hAnsiTheme="minorHAnsi" w:cstheme="minorHAnsi"/>
          <w:sz w:val="24"/>
          <w:szCs w:val="24"/>
        </w:rPr>
        <w:t>-25% of $3,926.69</w:t>
      </w:r>
      <w:r w:rsidR="001D50C7" w:rsidRPr="00E82042">
        <w:rPr>
          <w:rFonts w:asciiTheme="minorHAnsi" w:hAnsiTheme="minorHAnsi" w:cstheme="minorHAnsi"/>
          <w:sz w:val="24"/>
          <w:szCs w:val="24"/>
        </w:rPr>
        <w:t xml:space="preserve">. </w:t>
      </w:r>
    </w:p>
    <w:p w14:paraId="296013D5" w14:textId="77777777" w:rsidR="0080170D" w:rsidRPr="00E82042" w:rsidRDefault="001D50C7" w:rsidP="00E82042">
      <w:pPr>
        <w:pStyle w:val="ListParagraph"/>
        <w:numPr>
          <w:ilvl w:val="0"/>
          <w:numId w:val="17"/>
        </w:numPr>
        <w:rPr>
          <w:rFonts w:asciiTheme="minorHAnsi" w:hAnsiTheme="minorHAnsi" w:cstheme="minorHAnsi"/>
          <w:sz w:val="24"/>
          <w:szCs w:val="24"/>
        </w:rPr>
      </w:pPr>
      <w:r w:rsidRPr="00E82042">
        <w:rPr>
          <w:rFonts w:asciiTheme="minorHAnsi" w:hAnsiTheme="minorHAnsi" w:cstheme="minorHAnsi"/>
          <w:sz w:val="24"/>
          <w:szCs w:val="24"/>
        </w:rPr>
        <w:t>Employers with 1–25 workers averaged $1,95</w:t>
      </w:r>
      <w:r w:rsidR="003D2F8F" w:rsidRPr="00E82042">
        <w:rPr>
          <w:rFonts w:asciiTheme="minorHAnsi" w:hAnsiTheme="minorHAnsi" w:cstheme="minorHAnsi"/>
          <w:sz w:val="24"/>
          <w:szCs w:val="24"/>
        </w:rPr>
        <w:t>1.</w:t>
      </w:r>
      <w:r w:rsidR="00645C59" w:rsidRPr="00E82042">
        <w:rPr>
          <w:rFonts w:asciiTheme="minorHAnsi" w:hAnsiTheme="minorHAnsi" w:cstheme="minorHAnsi"/>
          <w:sz w:val="24"/>
          <w:szCs w:val="24"/>
        </w:rPr>
        <w:t>00</w:t>
      </w:r>
      <w:r w:rsidRPr="00E82042">
        <w:rPr>
          <w:rFonts w:asciiTheme="minorHAnsi" w:hAnsiTheme="minorHAnsi" w:cstheme="minorHAnsi"/>
          <w:sz w:val="24"/>
          <w:szCs w:val="24"/>
        </w:rPr>
        <w:t xml:space="preserve"> per serious violation (SAMM 8b), slightly below the FRL minimum of $1,952.07. </w:t>
      </w:r>
      <w:r w:rsidR="00336075" w:rsidRPr="00E82042">
        <w:rPr>
          <w:rFonts w:asciiTheme="minorHAnsi" w:hAnsiTheme="minorHAnsi" w:cstheme="minorHAnsi"/>
          <w:sz w:val="24"/>
          <w:szCs w:val="24"/>
        </w:rPr>
        <w:t xml:space="preserve"> </w:t>
      </w:r>
    </w:p>
    <w:p w14:paraId="625686D7" w14:textId="77777777" w:rsidR="0080170D" w:rsidRPr="00E82042" w:rsidRDefault="001D50C7" w:rsidP="00E82042">
      <w:pPr>
        <w:pStyle w:val="ListParagraph"/>
        <w:numPr>
          <w:ilvl w:val="0"/>
          <w:numId w:val="17"/>
        </w:numPr>
        <w:rPr>
          <w:rFonts w:asciiTheme="minorHAnsi" w:hAnsiTheme="minorHAnsi" w:cstheme="minorHAnsi"/>
          <w:sz w:val="24"/>
          <w:szCs w:val="24"/>
        </w:rPr>
      </w:pPr>
      <w:r w:rsidRPr="00E82042">
        <w:rPr>
          <w:rFonts w:asciiTheme="minorHAnsi" w:hAnsiTheme="minorHAnsi" w:cstheme="minorHAnsi"/>
          <w:sz w:val="24"/>
          <w:szCs w:val="24"/>
        </w:rPr>
        <w:t>Employers with 26–100 workers averaged $3,447</w:t>
      </w:r>
      <w:r w:rsidR="00520D0E" w:rsidRPr="00E82042">
        <w:rPr>
          <w:rFonts w:asciiTheme="minorHAnsi" w:hAnsiTheme="minorHAnsi" w:cstheme="minorHAnsi"/>
          <w:sz w:val="24"/>
          <w:szCs w:val="24"/>
        </w:rPr>
        <w:t>.43</w:t>
      </w:r>
      <w:r w:rsidRPr="00E82042">
        <w:rPr>
          <w:rFonts w:asciiTheme="minorHAnsi" w:hAnsiTheme="minorHAnsi" w:cstheme="minorHAnsi"/>
          <w:sz w:val="24"/>
          <w:szCs w:val="24"/>
        </w:rPr>
        <w:t xml:space="preserve"> per serious violation (SAMM 8c), within the FRL </w:t>
      </w:r>
      <w:r w:rsidR="00420D70" w:rsidRPr="00E82042">
        <w:rPr>
          <w:rFonts w:asciiTheme="minorHAnsi" w:hAnsiTheme="minorHAnsi" w:cstheme="minorHAnsi"/>
          <w:sz w:val="24"/>
          <w:szCs w:val="24"/>
        </w:rPr>
        <w:t xml:space="preserve">of </w:t>
      </w:r>
      <w:r w:rsidR="00F77DBF" w:rsidRPr="00E82042">
        <w:rPr>
          <w:rFonts w:asciiTheme="minorHAnsi" w:hAnsiTheme="minorHAnsi" w:cstheme="minorHAnsi"/>
          <w:sz w:val="24"/>
          <w:szCs w:val="24"/>
        </w:rPr>
        <w:t>-25%</w:t>
      </w:r>
      <w:r w:rsidRPr="00E82042">
        <w:rPr>
          <w:rFonts w:asciiTheme="minorHAnsi" w:hAnsiTheme="minorHAnsi" w:cstheme="minorHAnsi"/>
          <w:sz w:val="24"/>
          <w:szCs w:val="24"/>
        </w:rPr>
        <w:t xml:space="preserve"> </w:t>
      </w:r>
      <w:r w:rsidR="001C7AFD" w:rsidRPr="00E82042">
        <w:rPr>
          <w:rFonts w:asciiTheme="minorHAnsi" w:hAnsiTheme="minorHAnsi" w:cstheme="minorHAnsi"/>
          <w:sz w:val="24"/>
          <w:szCs w:val="24"/>
        </w:rPr>
        <w:t xml:space="preserve">of </w:t>
      </w:r>
      <w:r w:rsidRPr="00E82042">
        <w:rPr>
          <w:rFonts w:asciiTheme="minorHAnsi" w:hAnsiTheme="minorHAnsi" w:cstheme="minorHAnsi"/>
          <w:sz w:val="24"/>
          <w:szCs w:val="24"/>
        </w:rPr>
        <w:t>$</w:t>
      </w:r>
      <w:r w:rsidR="00F77DBF" w:rsidRPr="00E82042">
        <w:rPr>
          <w:rFonts w:asciiTheme="minorHAnsi" w:hAnsiTheme="minorHAnsi" w:cstheme="minorHAnsi"/>
          <w:sz w:val="24"/>
          <w:szCs w:val="24"/>
        </w:rPr>
        <w:t>4,4443.40</w:t>
      </w:r>
      <w:r w:rsidRPr="00E82042">
        <w:rPr>
          <w:rFonts w:asciiTheme="minorHAnsi" w:hAnsiTheme="minorHAnsi" w:cstheme="minorHAnsi"/>
          <w:sz w:val="24"/>
          <w:szCs w:val="24"/>
        </w:rPr>
        <w:t>.</w:t>
      </w:r>
    </w:p>
    <w:p w14:paraId="35EFF70A" w14:textId="77777777" w:rsidR="00E82042" w:rsidRPr="00E82042" w:rsidRDefault="001D50C7" w:rsidP="00E82042">
      <w:pPr>
        <w:pStyle w:val="ListParagraph"/>
        <w:numPr>
          <w:ilvl w:val="0"/>
          <w:numId w:val="17"/>
        </w:numPr>
        <w:rPr>
          <w:rFonts w:asciiTheme="minorHAnsi" w:hAnsiTheme="minorHAnsi" w:cstheme="minorHAnsi"/>
          <w:sz w:val="24"/>
          <w:szCs w:val="24"/>
        </w:rPr>
      </w:pPr>
      <w:r w:rsidRPr="00E82042">
        <w:rPr>
          <w:rFonts w:asciiTheme="minorHAnsi" w:hAnsiTheme="minorHAnsi" w:cstheme="minorHAnsi"/>
          <w:sz w:val="24"/>
          <w:szCs w:val="24"/>
        </w:rPr>
        <w:t>Employers with 101–250 workers averaged $5,158</w:t>
      </w:r>
      <w:r w:rsidR="00520D0E" w:rsidRPr="00E82042">
        <w:rPr>
          <w:rFonts w:asciiTheme="minorHAnsi" w:hAnsiTheme="minorHAnsi" w:cstheme="minorHAnsi"/>
          <w:sz w:val="24"/>
          <w:szCs w:val="24"/>
        </w:rPr>
        <w:t>.34</w:t>
      </w:r>
      <w:r w:rsidRPr="00E82042">
        <w:rPr>
          <w:rFonts w:asciiTheme="minorHAnsi" w:hAnsiTheme="minorHAnsi" w:cstheme="minorHAnsi"/>
          <w:sz w:val="24"/>
          <w:szCs w:val="24"/>
        </w:rPr>
        <w:t xml:space="preserve"> per serious violation (SAMM 8d), within the FRL of </w:t>
      </w:r>
      <w:r w:rsidR="001C7AFD" w:rsidRPr="00E82042">
        <w:rPr>
          <w:rFonts w:asciiTheme="minorHAnsi" w:hAnsiTheme="minorHAnsi" w:cstheme="minorHAnsi"/>
          <w:sz w:val="24"/>
          <w:szCs w:val="24"/>
        </w:rPr>
        <w:t>-25% of</w:t>
      </w:r>
      <w:r w:rsidRPr="00E82042">
        <w:rPr>
          <w:rFonts w:asciiTheme="minorHAnsi" w:hAnsiTheme="minorHAnsi" w:cstheme="minorHAnsi"/>
          <w:sz w:val="24"/>
          <w:szCs w:val="24"/>
        </w:rPr>
        <w:t xml:space="preserve"> $</w:t>
      </w:r>
      <w:r w:rsidR="007E73B9" w:rsidRPr="00E82042">
        <w:rPr>
          <w:rFonts w:asciiTheme="minorHAnsi" w:hAnsiTheme="minorHAnsi" w:cstheme="minorHAnsi"/>
          <w:sz w:val="24"/>
          <w:szCs w:val="24"/>
        </w:rPr>
        <w:t>6,330.65</w:t>
      </w:r>
      <w:r w:rsidRPr="00E82042">
        <w:rPr>
          <w:rFonts w:asciiTheme="minorHAnsi" w:hAnsiTheme="minorHAnsi" w:cstheme="minorHAnsi"/>
          <w:sz w:val="24"/>
          <w:szCs w:val="24"/>
        </w:rPr>
        <w:t xml:space="preserve">. </w:t>
      </w:r>
      <w:r w:rsidR="00336075" w:rsidRPr="00E82042">
        <w:rPr>
          <w:rFonts w:asciiTheme="minorHAnsi" w:hAnsiTheme="minorHAnsi" w:cstheme="minorHAnsi"/>
          <w:sz w:val="24"/>
          <w:szCs w:val="24"/>
        </w:rPr>
        <w:t xml:space="preserve"> </w:t>
      </w:r>
    </w:p>
    <w:p w14:paraId="3A785840" w14:textId="40A5DBD9" w:rsidR="001D50C7" w:rsidRPr="00E82042" w:rsidRDefault="001D50C7" w:rsidP="00E82042">
      <w:pPr>
        <w:pStyle w:val="ListParagraph"/>
        <w:numPr>
          <w:ilvl w:val="0"/>
          <w:numId w:val="17"/>
        </w:numPr>
        <w:rPr>
          <w:rFonts w:asciiTheme="minorHAnsi" w:hAnsiTheme="minorHAnsi" w:cstheme="minorHAnsi"/>
          <w:sz w:val="24"/>
          <w:szCs w:val="24"/>
        </w:rPr>
      </w:pPr>
      <w:r w:rsidRPr="00E82042">
        <w:rPr>
          <w:rFonts w:asciiTheme="minorHAnsi" w:hAnsiTheme="minorHAnsi" w:cstheme="minorHAnsi"/>
          <w:sz w:val="24"/>
          <w:szCs w:val="24"/>
        </w:rPr>
        <w:t>Employers with more than 250 workers averaged $8,498</w:t>
      </w:r>
      <w:r w:rsidR="007E73B9" w:rsidRPr="00E82042">
        <w:rPr>
          <w:rFonts w:asciiTheme="minorHAnsi" w:hAnsiTheme="minorHAnsi" w:cstheme="minorHAnsi"/>
          <w:sz w:val="24"/>
          <w:szCs w:val="24"/>
        </w:rPr>
        <w:t>31</w:t>
      </w:r>
      <w:r w:rsidRPr="00E82042">
        <w:rPr>
          <w:rFonts w:asciiTheme="minorHAnsi" w:hAnsiTheme="minorHAnsi" w:cstheme="minorHAnsi"/>
          <w:sz w:val="24"/>
          <w:szCs w:val="24"/>
        </w:rPr>
        <w:t xml:space="preserve"> per serious violation (SAMM 8e), </w:t>
      </w:r>
      <w:r w:rsidR="00DC074E" w:rsidRPr="00E82042">
        <w:rPr>
          <w:rFonts w:asciiTheme="minorHAnsi" w:hAnsiTheme="minorHAnsi" w:cstheme="minorHAnsi"/>
          <w:sz w:val="24"/>
          <w:szCs w:val="24"/>
        </w:rPr>
        <w:t>exceed</w:t>
      </w:r>
      <w:r w:rsidR="0053044F" w:rsidRPr="00E82042">
        <w:rPr>
          <w:rFonts w:asciiTheme="minorHAnsi" w:hAnsiTheme="minorHAnsi" w:cstheme="minorHAnsi"/>
          <w:sz w:val="24"/>
          <w:szCs w:val="24"/>
        </w:rPr>
        <w:t>ing</w:t>
      </w:r>
      <w:r w:rsidRPr="00E82042">
        <w:rPr>
          <w:rFonts w:asciiTheme="minorHAnsi" w:hAnsiTheme="minorHAnsi" w:cstheme="minorHAnsi"/>
          <w:sz w:val="24"/>
          <w:szCs w:val="24"/>
        </w:rPr>
        <w:t xml:space="preserve"> the FRL of </w:t>
      </w:r>
      <w:r w:rsidR="007E73B9" w:rsidRPr="00E82042">
        <w:rPr>
          <w:rFonts w:asciiTheme="minorHAnsi" w:hAnsiTheme="minorHAnsi" w:cstheme="minorHAnsi"/>
          <w:sz w:val="24"/>
          <w:szCs w:val="24"/>
        </w:rPr>
        <w:t>-25%</w:t>
      </w:r>
      <w:r w:rsidR="00A74D6F" w:rsidRPr="00E82042">
        <w:rPr>
          <w:rFonts w:asciiTheme="minorHAnsi" w:hAnsiTheme="minorHAnsi" w:cstheme="minorHAnsi"/>
          <w:sz w:val="24"/>
          <w:szCs w:val="24"/>
        </w:rPr>
        <w:t xml:space="preserve"> of $7,873.27</w:t>
      </w:r>
      <w:r w:rsidRPr="00E82042">
        <w:rPr>
          <w:rFonts w:asciiTheme="minorHAnsi" w:hAnsiTheme="minorHAnsi" w:cstheme="minorHAnsi"/>
          <w:sz w:val="24"/>
          <w:szCs w:val="24"/>
        </w:rPr>
        <w:t>.</w:t>
      </w:r>
    </w:p>
    <w:p w14:paraId="2062154D" w14:textId="750DA92E" w:rsidR="00142744" w:rsidRDefault="00142744" w:rsidP="00E806EE">
      <w:pPr>
        <w:widowControl/>
        <w:ind w:left="1350"/>
        <w:jc w:val="both"/>
        <w:rPr>
          <w:rFonts w:asciiTheme="minorHAnsi" w:hAnsiTheme="minorHAnsi" w:cstheme="minorHAnsi"/>
        </w:rPr>
      </w:pPr>
      <w:r w:rsidRPr="00142744">
        <w:rPr>
          <w:rFonts w:asciiTheme="minorHAnsi" w:hAnsiTheme="minorHAnsi" w:cstheme="minorHAnsi"/>
        </w:rPr>
        <w:t>OSHNC also maintained a lower average lapse time, from opening conference to citation issuance date, than the FRL (SAMM 11</w:t>
      </w:r>
      <w:r w:rsidR="00AA5C46">
        <w:rPr>
          <w:rFonts w:asciiTheme="minorHAnsi" w:hAnsiTheme="minorHAnsi" w:cstheme="minorHAnsi"/>
        </w:rPr>
        <w:t>a and 11b</w:t>
      </w:r>
      <w:r w:rsidRPr="00142744">
        <w:rPr>
          <w:rFonts w:asciiTheme="minorHAnsi" w:hAnsiTheme="minorHAnsi" w:cstheme="minorHAnsi"/>
        </w:rPr>
        <w:t>) as referenced below:</w:t>
      </w:r>
    </w:p>
    <w:p w14:paraId="01158DBA" w14:textId="77777777" w:rsidR="00E806EE" w:rsidRDefault="00E806EE" w:rsidP="00E806EE">
      <w:pPr>
        <w:widowControl/>
        <w:ind w:left="1350"/>
        <w:jc w:val="both"/>
        <w:rPr>
          <w:rFonts w:asciiTheme="minorHAnsi" w:hAnsiTheme="minorHAnsi" w:cstheme="minorHAnsi"/>
        </w:rPr>
      </w:pPr>
    </w:p>
    <w:tbl>
      <w:tblPr>
        <w:tblpPr w:leftFromText="180" w:rightFromText="180" w:vertAnchor="text" w:horzAnchor="page" w:tblpX="2589" w:tblpY="-47"/>
        <w:tblW w:w="0" w:type="auto"/>
        <w:tblLayout w:type="fixed"/>
        <w:tblCellMar>
          <w:left w:w="0" w:type="dxa"/>
          <w:right w:w="0" w:type="dxa"/>
        </w:tblCellMar>
        <w:tblLook w:val="04A0" w:firstRow="1" w:lastRow="0" w:firstColumn="1" w:lastColumn="0" w:noHBand="0" w:noVBand="1"/>
      </w:tblPr>
      <w:tblGrid>
        <w:gridCol w:w="2070"/>
        <w:gridCol w:w="2520"/>
        <w:gridCol w:w="3685"/>
      </w:tblGrid>
      <w:tr w:rsidR="00E806EE" w:rsidRPr="00FB2626" w14:paraId="5144C22E" w14:textId="77777777" w:rsidTr="00895A04">
        <w:trPr>
          <w:trHeight w:hRule="exact" w:val="640"/>
        </w:trPr>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140C43" w14:textId="77777777" w:rsidR="00E806EE" w:rsidRPr="00FB2626" w:rsidRDefault="00E806EE" w:rsidP="00895A04">
            <w:pPr>
              <w:spacing w:before="32" w:line="251" w:lineRule="exact"/>
              <w:ind w:left="185" w:right="187" w:firstLine="5"/>
              <w:jc w:val="center"/>
              <w:textAlignment w:val="baseline"/>
              <w:rPr>
                <w:rFonts w:asciiTheme="minorHAnsi" w:hAnsiTheme="minorHAnsi" w:cstheme="minorHAnsi"/>
                <w:b/>
              </w:rPr>
            </w:pPr>
            <w:r w:rsidRPr="00FB2626">
              <w:rPr>
                <w:rFonts w:asciiTheme="minorHAnsi" w:hAnsiTheme="minorHAnsi" w:cstheme="minorHAnsi"/>
                <w:b/>
              </w:rPr>
              <w:lastRenderedPageBreak/>
              <w:t>Average Lapse Time</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2748E0" w14:textId="77777777" w:rsidR="00E806EE" w:rsidRPr="00FB2626" w:rsidRDefault="00E806EE" w:rsidP="00895A04">
            <w:pPr>
              <w:spacing w:line="254" w:lineRule="exact"/>
              <w:ind w:left="173" w:right="161"/>
              <w:jc w:val="center"/>
              <w:textAlignment w:val="baseline"/>
              <w:rPr>
                <w:rFonts w:asciiTheme="minorHAnsi" w:hAnsiTheme="minorHAnsi" w:cstheme="minorHAnsi"/>
                <w:b/>
              </w:rPr>
            </w:pPr>
            <w:r w:rsidRPr="00FB2626">
              <w:rPr>
                <w:rFonts w:asciiTheme="minorHAnsi" w:hAnsiTheme="minorHAnsi" w:cstheme="minorHAnsi"/>
                <w:b/>
                <w:spacing w:val="5"/>
              </w:rPr>
              <w:t>OSHNC</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236776" w14:textId="77777777" w:rsidR="00E806EE" w:rsidRPr="00FB2626" w:rsidRDefault="00E806EE" w:rsidP="00895A04">
            <w:pPr>
              <w:spacing w:line="259" w:lineRule="exact"/>
              <w:ind w:left="199" w:right="154"/>
              <w:jc w:val="center"/>
              <w:textAlignment w:val="baseline"/>
              <w:rPr>
                <w:rFonts w:asciiTheme="minorHAnsi" w:hAnsiTheme="minorHAnsi" w:cstheme="minorHAnsi"/>
                <w:b/>
              </w:rPr>
            </w:pPr>
            <w:r w:rsidRPr="00FB2626">
              <w:rPr>
                <w:rFonts w:asciiTheme="minorHAnsi" w:hAnsiTheme="minorHAnsi" w:cstheme="minorHAnsi"/>
                <w:b/>
              </w:rPr>
              <w:t>FRL</w:t>
            </w:r>
          </w:p>
        </w:tc>
      </w:tr>
      <w:tr w:rsidR="00E806EE" w:rsidRPr="00FB2626" w14:paraId="6381018F" w14:textId="77777777" w:rsidTr="00895A04">
        <w:trPr>
          <w:trHeight w:hRule="exact" w:val="623"/>
        </w:trPr>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DA2DE9" w14:textId="77777777" w:rsidR="00E806EE" w:rsidRPr="00FB2626" w:rsidRDefault="00E806EE" w:rsidP="00895A04">
            <w:pPr>
              <w:spacing w:line="248" w:lineRule="exact"/>
              <w:ind w:left="185" w:right="187" w:firstLine="5"/>
              <w:jc w:val="center"/>
              <w:textAlignment w:val="baseline"/>
              <w:rPr>
                <w:rFonts w:asciiTheme="minorHAnsi" w:hAnsiTheme="minorHAnsi" w:cstheme="minorHAnsi"/>
              </w:rPr>
            </w:pPr>
            <w:r w:rsidRPr="00FB2626">
              <w:rPr>
                <w:rFonts w:asciiTheme="minorHAnsi" w:hAnsiTheme="minorHAnsi" w:cstheme="minorHAnsi"/>
              </w:rPr>
              <w:t>Safety</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201D43" w14:textId="77777777" w:rsidR="00E806EE" w:rsidRPr="00806D17" w:rsidRDefault="00E806EE" w:rsidP="00895A04">
            <w:pPr>
              <w:ind w:left="173" w:right="161"/>
              <w:jc w:val="center"/>
              <w:textAlignment w:val="baseline"/>
              <w:rPr>
                <w:rFonts w:asciiTheme="minorHAnsi" w:hAnsiTheme="minorHAnsi" w:cstheme="minorHAnsi"/>
                <w:b/>
                <w:bCs/>
              </w:rPr>
            </w:pPr>
            <w:r w:rsidRPr="00806D17">
              <w:rPr>
                <w:rFonts w:asciiTheme="minorHAnsi" w:eastAsia="PMingLiU" w:hAnsiTheme="minorHAnsi" w:cstheme="minorHAnsi"/>
                <w:b/>
                <w:bCs/>
              </w:rPr>
              <w:t xml:space="preserve">56.19 </w:t>
            </w:r>
            <w:r w:rsidRPr="00806D17">
              <w:rPr>
                <w:rFonts w:asciiTheme="minorHAnsi" w:hAnsiTheme="minorHAnsi" w:cstheme="minorHAnsi"/>
                <w:b/>
                <w:bCs/>
              </w:rPr>
              <w:t>days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0F501C" w14:textId="1DD871DB" w:rsidR="00E806EE" w:rsidRPr="00FB2626" w:rsidRDefault="008B40C8" w:rsidP="00895A04">
            <w:pPr>
              <w:ind w:right="161"/>
              <w:jc w:val="center"/>
              <w:textAlignment w:val="baseline"/>
              <w:rPr>
                <w:rFonts w:asciiTheme="minorHAnsi" w:hAnsiTheme="minorHAnsi" w:cstheme="minorHAnsi"/>
                <w:b/>
              </w:rPr>
            </w:pPr>
            <w:r>
              <w:rPr>
                <w:rFonts w:asciiTheme="minorHAnsi" w:hAnsiTheme="minorHAnsi" w:cstheme="minorHAnsi"/>
              </w:rPr>
              <w:t>+20% of 56.29</w:t>
            </w:r>
            <w:r w:rsidR="00E135CE">
              <w:rPr>
                <w:rFonts w:asciiTheme="minorHAnsi" w:hAnsiTheme="minorHAnsi" w:cstheme="minorHAnsi"/>
              </w:rPr>
              <w:t xml:space="preserve"> days</w:t>
            </w:r>
          </w:p>
        </w:tc>
      </w:tr>
      <w:tr w:rsidR="00E806EE" w:rsidRPr="00FB2626" w14:paraId="751868E3" w14:textId="77777777" w:rsidTr="00895A04">
        <w:trPr>
          <w:trHeight w:val="621"/>
        </w:trPr>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25BE69" w14:textId="77777777" w:rsidR="00E806EE" w:rsidRPr="00FB2626" w:rsidRDefault="00E806EE" w:rsidP="00895A04">
            <w:pPr>
              <w:spacing w:line="263" w:lineRule="exact"/>
              <w:ind w:left="185" w:right="187" w:firstLine="5"/>
              <w:jc w:val="center"/>
              <w:textAlignment w:val="baseline"/>
              <w:rPr>
                <w:rFonts w:asciiTheme="minorHAnsi" w:hAnsiTheme="minorHAnsi" w:cstheme="minorHAnsi"/>
              </w:rPr>
            </w:pPr>
            <w:r w:rsidRPr="00FB2626">
              <w:rPr>
                <w:rFonts w:asciiTheme="minorHAnsi" w:hAnsiTheme="minorHAnsi" w:cstheme="minorHAnsi"/>
              </w:rPr>
              <w:t>Health</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06BED4" w14:textId="77777777" w:rsidR="00E806EE" w:rsidRPr="00806D17" w:rsidRDefault="00E806EE" w:rsidP="00895A04">
            <w:pPr>
              <w:ind w:left="173" w:right="161"/>
              <w:jc w:val="center"/>
              <w:textAlignment w:val="baseline"/>
              <w:rPr>
                <w:rFonts w:asciiTheme="minorHAnsi" w:hAnsiTheme="minorHAnsi" w:cstheme="minorHAnsi"/>
                <w:b/>
                <w:bCs/>
              </w:rPr>
            </w:pPr>
            <w:r w:rsidRPr="00806D17">
              <w:rPr>
                <w:rFonts w:asciiTheme="minorHAnsi" w:eastAsia="PMingLiU" w:hAnsiTheme="minorHAnsi" w:cstheme="minorHAnsi"/>
                <w:b/>
                <w:bCs/>
              </w:rPr>
              <w:t xml:space="preserve">64.19 </w:t>
            </w:r>
            <w:r w:rsidRPr="00806D17">
              <w:rPr>
                <w:rFonts w:asciiTheme="minorHAnsi" w:hAnsiTheme="minorHAnsi" w:cstheme="minorHAnsi"/>
                <w:b/>
                <w:bCs/>
              </w:rPr>
              <w:t>days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38815" w14:textId="092698CA" w:rsidR="00E806EE" w:rsidRPr="00FB2626" w:rsidRDefault="00E135CE" w:rsidP="00895A04">
            <w:pPr>
              <w:ind w:right="161"/>
              <w:jc w:val="center"/>
              <w:textAlignment w:val="baseline"/>
              <w:rPr>
                <w:rFonts w:asciiTheme="minorHAnsi" w:hAnsiTheme="minorHAnsi" w:cstheme="minorHAnsi"/>
              </w:rPr>
            </w:pPr>
            <w:r>
              <w:rPr>
                <w:rFonts w:asciiTheme="minorHAnsi" w:hAnsiTheme="minorHAnsi" w:cstheme="minorHAnsi"/>
              </w:rPr>
              <w:t>+</w:t>
            </w:r>
            <w:r w:rsidR="009C7BC7">
              <w:rPr>
                <w:rFonts w:asciiTheme="minorHAnsi" w:hAnsiTheme="minorHAnsi" w:cstheme="minorHAnsi"/>
              </w:rPr>
              <w:t>20% of 67 days</w:t>
            </w:r>
          </w:p>
        </w:tc>
      </w:tr>
    </w:tbl>
    <w:p w14:paraId="67CC4D21" w14:textId="35F334E4" w:rsidR="00571D17" w:rsidRDefault="00336075" w:rsidP="00356D71">
      <w:pPr>
        <w:pStyle w:val="ListParagraph"/>
        <w:numPr>
          <w:ilvl w:val="0"/>
          <w:numId w:val="5"/>
        </w:numPr>
        <w:tabs>
          <w:tab w:val="left" w:pos="1170"/>
          <w:tab w:val="left" w:pos="1350"/>
        </w:tabs>
        <w:spacing w:after="0" w:line="240" w:lineRule="auto"/>
        <w:ind w:left="2160" w:hanging="1260"/>
        <w:rPr>
          <w:rFonts w:asciiTheme="minorHAnsi" w:hAnsiTheme="minorHAnsi" w:cstheme="minorHAnsi"/>
          <w:sz w:val="24"/>
          <w:szCs w:val="24"/>
        </w:rPr>
      </w:pPr>
      <w:r>
        <w:rPr>
          <w:rFonts w:asciiTheme="minorHAnsi" w:hAnsiTheme="minorHAnsi" w:cstheme="minorHAnsi"/>
          <w:sz w:val="24"/>
          <w:szCs w:val="24"/>
        </w:rPr>
        <w:t xml:space="preserve">  </w:t>
      </w:r>
      <w:r w:rsidR="00571D17" w:rsidRPr="00356D71">
        <w:rPr>
          <w:rFonts w:asciiTheme="minorHAnsi" w:hAnsiTheme="minorHAnsi" w:cstheme="minorHAnsi"/>
          <w:sz w:val="24"/>
          <w:szCs w:val="24"/>
        </w:rPr>
        <w:t>Abatement</w:t>
      </w:r>
    </w:p>
    <w:p w14:paraId="25672F4F" w14:textId="77777777" w:rsidR="003F11AA" w:rsidRDefault="003F11AA" w:rsidP="003F11AA">
      <w:pPr>
        <w:pStyle w:val="ListParagraph"/>
        <w:tabs>
          <w:tab w:val="left" w:pos="1170"/>
          <w:tab w:val="left" w:pos="1350"/>
        </w:tabs>
        <w:spacing w:after="0" w:line="240" w:lineRule="auto"/>
        <w:ind w:left="2160"/>
        <w:rPr>
          <w:rFonts w:asciiTheme="minorHAnsi" w:hAnsiTheme="minorHAnsi" w:cstheme="minorHAnsi"/>
          <w:sz w:val="24"/>
          <w:szCs w:val="24"/>
        </w:rPr>
      </w:pPr>
    </w:p>
    <w:p w14:paraId="63E6E3FB" w14:textId="1DC20187" w:rsidR="003F11AA" w:rsidRPr="0024113B" w:rsidRDefault="003F11AA" w:rsidP="003F11AA">
      <w:pPr>
        <w:tabs>
          <w:tab w:val="left" w:pos="1170"/>
          <w:tab w:val="left" w:pos="1350"/>
        </w:tabs>
        <w:ind w:left="1350"/>
        <w:rPr>
          <w:rFonts w:asciiTheme="minorHAnsi" w:hAnsiTheme="minorHAnsi" w:cstheme="minorHAnsi"/>
        </w:rPr>
      </w:pPr>
      <w:r w:rsidRPr="003F11AA">
        <w:rPr>
          <w:rFonts w:asciiTheme="minorHAnsi" w:hAnsiTheme="minorHAnsi" w:cstheme="minorHAnsi"/>
        </w:rPr>
        <w:t xml:space="preserve">Available procedures and inspection data indicate that North Carolina obtains adequate and timely abatement information in most case files and has processes in place to track employers, who are late in providing abatement information.  The Bureau Chiefs run a weekly past due abatement report that is shared with supervisors and is sorted by </w:t>
      </w:r>
      <w:r w:rsidRPr="0024113B">
        <w:rPr>
          <w:rFonts w:asciiTheme="minorHAnsi" w:hAnsiTheme="minorHAnsi" w:cstheme="minorHAnsi"/>
        </w:rPr>
        <w:t xml:space="preserve">CSHO’s.  Confirmation of abatement is also a measure in the work plan for each CSHO.  </w:t>
      </w:r>
      <w:r w:rsidR="0024113B" w:rsidRPr="0024113B">
        <w:rPr>
          <w:rFonts w:asciiTheme="minorHAnsi" w:hAnsiTheme="minorHAnsi" w:cstheme="minorHAnsi"/>
        </w:rPr>
        <w:t>Inspections with citations were written and processed in a timely manner which expedited abatement of the hazardous conditions</w:t>
      </w:r>
    </w:p>
    <w:p w14:paraId="2BC5118A" w14:textId="77777777" w:rsidR="003F11AA" w:rsidRPr="0024113B" w:rsidRDefault="003F11AA" w:rsidP="003F11AA">
      <w:pPr>
        <w:tabs>
          <w:tab w:val="left" w:pos="1170"/>
          <w:tab w:val="left" w:pos="1350"/>
        </w:tabs>
        <w:ind w:left="1350"/>
        <w:rPr>
          <w:rFonts w:asciiTheme="minorHAnsi" w:hAnsiTheme="minorHAnsi" w:cstheme="minorHAnsi"/>
        </w:rPr>
      </w:pPr>
    </w:p>
    <w:p w14:paraId="423EB08D" w14:textId="5CC1411F" w:rsidR="003F11AA" w:rsidRPr="003F11AA" w:rsidRDefault="003F11AA" w:rsidP="003F11AA">
      <w:pPr>
        <w:tabs>
          <w:tab w:val="left" w:pos="1170"/>
          <w:tab w:val="left" w:pos="1350"/>
        </w:tabs>
        <w:ind w:left="1350"/>
        <w:rPr>
          <w:rFonts w:asciiTheme="minorHAnsi" w:hAnsiTheme="minorHAnsi" w:cstheme="minorHAnsi"/>
        </w:rPr>
      </w:pPr>
      <w:r w:rsidRPr="003F11AA">
        <w:rPr>
          <w:rFonts w:asciiTheme="minorHAnsi" w:hAnsiTheme="minorHAnsi" w:cstheme="minorHAnsi"/>
        </w:rPr>
        <w:t xml:space="preserve">Follow-up inspections accounted for </w:t>
      </w:r>
      <w:r w:rsidR="008D60A5">
        <w:rPr>
          <w:rFonts w:asciiTheme="minorHAnsi" w:hAnsiTheme="minorHAnsi" w:cstheme="minorHAnsi"/>
        </w:rPr>
        <w:t>2.7</w:t>
      </w:r>
      <w:r w:rsidRPr="003F11AA">
        <w:rPr>
          <w:rFonts w:asciiTheme="minorHAnsi" w:hAnsiTheme="minorHAnsi" w:cstheme="minorHAnsi"/>
        </w:rPr>
        <w:t xml:space="preserve">% of the total inspections in North Carolina for FY </w:t>
      </w:r>
      <w:r w:rsidR="00AF2DB8">
        <w:rPr>
          <w:rFonts w:asciiTheme="minorHAnsi" w:hAnsiTheme="minorHAnsi" w:cstheme="minorHAnsi"/>
        </w:rPr>
        <w:t>20</w:t>
      </w:r>
      <w:r w:rsidRPr="003F11AA">
        <w:rPr>
          <w:rFonts w:asciiTheme="minorHAnsi" w:hAnsiTheme="minorHAnsi" w:cstheme="minorHAnsi"/>
        </w:rPr>
        <w:t>2</w:t>
      </w:r>
      <w:r w:rsidR="008D60A5">
        <w:rPr>
          <w:rFonts w:asciiTheme="minorHAnsi" w:hAnsiTheme="minorHAnsi" w:cstheme="minorHAnsi"/>
        </w:rPr>
        <w:t>5</w:t>
      </w:r>
      <w:r w:rsidRPr="003F11AA">
        <w:rPr>
          <w:rFonts w:asciiTheme="minorHAnsi" w:hAnsiTheme="minorHAnsi" w:cstheme="minorHAnsi"/>
        </w:rPr>
        <w:t xml:space="preserve">.  Follow-up inspections are useful to ensure abatement if there is a problem with abatement verification.  </w:t>
      </w:r>
      <w:r w:rsidR="00AF6EC6" w:rsidRPr="00AF6EC6">
        <w:rPr>
          <w:rFonts w:ascii="Roboto" w:hAnsi="Roboto"/>
          <w:color w:val="1F1F1F"/>
          <w:shd w:val="clear" w:color="auto" w:fill="FFFFFF"/>
        </w:rPr>
        <w:t xml:space="preserve"> </w:t>
      </w:r>
      <w:r w:rsidR="00AF6EC6" w:rsidRPr="00AF6EC6">
        <w:rPr>
          <w:rFonts w:asciiTheme="minorHAnsi" w:hAnsiTheme="minorHAnsi" w:cstheme="minorHAnsi"/>
        </w:rPr>
        <w:t>According to the SIR for FY 2025, there were 10 private sector inspections with safety violations unabated for more than 60 calendar days past the issuance date, and 12 with health violations unabated for more than 90 calendar days.</w:t>
      </w:r>
      <w:r w:rsidRPr="003F11AA">
        <w:rPr>
          <w:rFonts w:asciiTheme="minorHAnsi" w:hAnsiTheme="minorHAnsi" w:cstheme="minorHAnsi"/>
        </w:rPr>
        <w:t xml:space="preserve">  In addition, there were </w:t>
      </w:r>
      <w:r w:rsidR="00444E97">
        <w:rPr>
          <w:rFonts w:asciiTheme="minorHAnsi" w:hAnsiTheme="minorHAnsi" w:cstheme="minorHAnsi"/>
        </w:rPr>
        <w:t xml:space="preserve">only </w:t>
      </w:r>
      <w:r w:rsidR="00D437AF">
        <w:rPr>
          <w:rFonts w:asciiTheme="minorHAnsi" w:hAnsiTheme="minorHAnsi" w:cstheme="minorHAnsi"/>
        </w:rPr>
        <w:t>four</w:t>
      </w:r>
      <w:r w:rsidR="007E39AE">
        <w:rPr>
          <w:rFonts w:asciiTheme="minorHAnsi" w:hAnsiTheme="minorHAnsi" w:cstheme="minorHAnsi"/>
        </w:rPr>
        <w:t xml:space="preserve"> (4)</w:t>
      </w:r>
      <w:r w:rsidR="009E6433">
        <w:rPr>
          <w:rFonts w:asciiTheme="minorHAnsi" w:hAnsiTheme="minorHAnsi" w:cstheme="minorHAnsi"/>
        </w:rPr>
        <w:t xml:space="preserve"> vali</w:t>
      </w:r>
      <w:r w:rsidRPr="003F11AA">
        <w:rPr>
          <w:rFonts w:asciiTheme="minorHAnsi" w:hAnsiTheme="minorHAnsi" w:cstheme="minorHAnsi"/>
        </w:rPr>
        <w:t>d complaints handled as inspections</w:t>
      </w:r>
      <w:r w:rsidR="00AF6EC6">
        <w:rPr>
          <w:rFonts w:asciiTheme="minorHAnsi" w:hAnsiTheme="minorHAnsi" w:cstheme="minorHAnsi"/>
        </w:rPr>
        <w:t xml:space="preserve"> remained</w:t>
      </w:r>
      <w:r w:rsidRPr="003F11AA">
        <w:rPr>
          <w:rFonts w:asciiTheme="minorHAnsi" w:hAnsiTheme="minorHAnsi" w:cstheme="minorHAnsi"/>
        </w:rPr>
        <w:t xml:space="preserve"> </w:t>
      </w:r>
      <w:r w:rsidR="00BC6C92" w:rsidRPr="003F11AA">
        <w:rPr>
          <w:rFonts w:asciiTheme="minorHAnsi" w:hAnsiTheme="minorHAnsi" w:cstheme="minorHAnsi"/>
        </w:rPr>
        <w:t>open for</w:t>
      </w:r>
      <w:r w:rsidRPr="003F11AA">
        <w:rPr>
          <w:rFonts w:asciiTheme="minorHAnsi" w:hAnsiTheme="minorHAnsi" w:cstheme="minorHAnsi"/>
        </w:rPr>
        <w:t xml:space="preserve"> more than 60 days, and there were 1</w:t>
      </w:r>
      <w:r w:rsidR="009B5287">
        <w:rPr>
          <w:rFonts w:asciiTheme="minorHAnsi" w:hAnsiTheme="minorHAnsi" w:cstheme="minorHAnsi"/>
        </w:rPr>
        <w:t>52</w:t>
      </w:r>
      <w:r w:rsidRPr="003F11AA">
        <w:rPr>
          <w:rFonts w:asciiTheme="minorHAnsi" w:hAnsiTheme="minorHAnsi" w:cstheme="minorHAnsi"/>
        </w:rPr>
        <w:t xml:space="preserve"> valid complaints handled as investigation</w:t>
      </w:r>
      <w:r w:rsidR="00B33A5B">
        <w:rPr>
          <w:rFonts w:asciiTheme="minorHAnsi" w:hAnsiTheme="minorHAnsi" w:cstheme="minorHAnsi"/>
        </w:rPr>
        <w:t>s</w:t>
      </w:r>
      <w:r w:rsidRPr="003F11AA">
        <w:rPr>
          <w:rFonts w:asciiTheme="minorHAnsi" w:hAnsiTheme="minorHAnsi" w:cstheme="minorHAnsi"/>
        </w:rPr>
        <w:t xml:space="preserve"> (phone/fax)</w:t>
      </w:r>
      <w:r w:rsidR="00AF6EC6">
        <w:rPr>
          <w:rFonts w:asciiTheme="minorHAnsi" w:hAnsiTheme="minorHAnsi" w:cstheme="minorHAnsi"/>
        </w:rPr>
        <w:t xml:space="preserve"> remained </w:t>
      </w:r>
      <w:r w:rsidRPr="003F11AA">
        <w:rPr>
          <w:rFonts w:asciiTheme="minorHAnsi" w:hAnsiTheme="minorHAnsi" w:cstheme="minorHAnsi"/>
        </w:rPr>
        <w:t xml:space="preserve">open </w:t>
      </w:r>
      <w:r w:rsidR="00AF6EC6">
        <w:rPr>
          <w:rFonts w:asciiTheme="minorHAnsi" w:hAnsiTheme="minorHAnsi" w:cstheme="minorHAnsi"/>
        </w:rPr>
        <w:t xml:space="preserve">for </w:t>
      </w:r>
      <w:r w:rsidRPr="003F11AA">
        <w:rPr>
          <w:rFonts w:asciiTheme="minorHAnsi" w:hAnsiTheme="minorHAnsi" w:cstheme="minorHAnsi"/>
        </w:rPr>
        <w:t xml:space="preserve">more than 30 days. </w:t>
      </w:r>
      <w:r w:rsidR="00336075">
        <w:rPr>
          <w:rFonts w:asciiTheme="minorHAnsi" w:hAnsiTheme="minorHAnsi" w:cstheme="minorHAnsi"/>
        </w:rPr>
        <w:t xml:space="preserve"> </w:t>
      </w:r>
      <w:r w:rsidRPr="003F11AA">
        <w:rPr>
          <w:rFonts w:asciiTheme="minorHAnsi" w:hAnsiTheme="minorHAnsi" w:cstheme="minorHAnsi"/>
        </w:rPr>
        <w:t xml:space="preserve">OSHNC should ensure that the number of complaint investigations open remains low, so that hazards are quickly eliminated.     </w:t>
      </w:r>
    </w:p>
    <w:p w14:paraId="7A07EDC2" w14:textId="77777777" w:rsidR="003F11AA" w:rsidRPr="003F11AA" w:rsidRDefault="003F11AA" w:rsidP="003F11AA">
      <w:pPr>
        <w:tabs>
          <w:tab w:val="left" w:pos="1170"/>
          <w:tab w:val="left" w:pos="1350"/>
        </w:tabs>
        <w:ind w:left="1350"/>
        <w:rPr>
          <w:rFonts w:asciiTheme="minorHAnsi" w:hAnsiTheme="minorHAnsi" w:cstheme="minorHAnsi"/>
        </w:rPr>
      </w:pPr>
    </w:p>
    <w:p w14:paraId="1D3911D5" w14:textId="25AAF7F0" w:rsidR="003F11AA" w:rsidRPr="003F11AA" w:rsidRDefault="0058593F" w:rsidP="003F11AA">
      <w:pPr>
        <w:tabs>
          <w:tab w:val="left" w:pos="1170"/>
          <w:tab w:val="left" w:pos="1350"/>
        </w:tabs>
        <w:ind w:left="1350"/>
        <w:rPr>
          <w:rFonts w:asciiTheme="minorHAnsi" w:hAnsiTheme="minorHAnsi" w:cstheme="minorHAnsi"/>
        </w:rPr>
      </w:pPr>
      <w:r>
        <w:rPr>
          <w:rFonts w:asciiTheme="minorHAnsi" w:hAnsiTheme="minorHAnsi" w:cstheme="minorHAnsi"/>
        </w:rPr>
        <w:t>C</w:t>
      </w:r>
      <w:r w:rsidR="003F11AA" w:rsidRPr="003F11AA">
        <w:rPr>
          <w:rFonts w:asciiTheme="minorHAnsi" w:hAnsiTheme="minorHAnsi" w:cstheme="minorHAnsi"/>
        </w:rPr>
        <w:t>ase files reviewed contained written</w:t>
      </w:r>
      <w:r w:rsidR="007E489C">
        <w:rPr>
          <w:rFonts w:asciiTheme="minorHAnsi" w:hAnsiTheme="minorHAnsi" w:cstheme="minorHAnsi"/>
        </w:rPr>
        <w:t xml:space="preserve"> abatement</w:t>
      </w:r>
      <w:r w:rsidR="003F11AA" w:rsidRPr="003F11AA">
        <w:rPr>
          <w:rFonts w:asciiTheme="minorHAnsi" w:hAnsiTheme="minorHAnsi" w:cstheme="minorHAnsi"/>
        </w:rPr>
        <w:t xml:space="preserve"> documentation, photos, work orders, or employer’s certification of abatement.  Petitions for Modification of Abatement (PMA) were appropriately provided when the employer requested an extension for their corrective action timeframe and interim protection information was provided in the case file. </w:t>
      </w:r>
    </w:p>
    <w:p w14:paraId="05DAB715" w14:textId="77777777" w:rsidR="00571D17" w:rsidRPr="00356D71" w:rsidRDefault="00571D17" w:rsidP="00356D71">
      <w:pPr>
        <w:pStyle w:val="ListParagraph"/>
        <w:spacing w:after="0" w:line="240" w:lineRule="auto"/>
        <w:ind w:left="1890"/>
        <w:rPr>
          <w:rFonts w:asciiTheme="minorHAnsi" w:hAnsiTheme="minorHAnsi" w:cstheme="minorHAnsi"/>
          <w:sz w:val="24"/>
          <w:szCs w:val="24"/>
        </w:rPr>
      </w:pPr>
    </w:p>
    <w:p w14:paraId="32AE66FD" w14:textId="77777777" w:rsidR="00571D17" w:rsidRDefault="00571D17" w:rsidP="00356D71">
      <w:pPr>
        <w:pStyle w:val="ListParagraph"/>
        <w:numPr>
          <w:ilvl w:val="0"/>
          <w:numId w:val="5"/>
        </w:numPr>
        <w:spacing w:after="0" w:line="240" w:lineRule="auto"/>
        <w:ind w:left="1260"/>
        <w:rPr>
          <w:rFonts w:asciiTheme="minorHAnsi" w:hAnsiTheme="minorHAnsi" w:cstheme="minorHAnsi"/>
          <w:sz w:val="24"/>
          <w:szCs w:val="24"/>
        </w:rPr>
      </w:pPr>
      <w:r w:rsidRPr="00356D71">
        <w:rPr>
          <w:rFonts w:asciiTheme="minorHAnsi" w:hAnsiTheme="minorHAnsi" w:cstheme="minorHAnsi"/>
          <w:sz w:val="24"/>
          <w:szCs w:val="24"/>
        </w:rPr>
        <w:t xml:space="preserve">Worker and Union Involvement </w:t>
      </w:r>
    </w:p>
    <w:p w14:paraId="7277EF30" w14:textId="77777777" w:rsidR="00A47EBA" w:rsidRPr="00356D71" w:rsidRDefault="00A47EBA" w:rsidP="00A47EBA">
      <w:pPr>
        <w:pStyle w:val="ListParagraph"/>
        <w:spacing w:after="0" w:line="240" w:lineRule="auto"/>
        <w:ind w:left="1260"/>
        <w:rPr>
          <w:rFonts w:asciiTheme="minorHAnsi" w:hAnsiTheme="minorHAnsi" w:cstheme="minorHAnsi"/>
          <w:sz w:val="24"/>
          <w:szCs w:val="24"/>
        </w:rPr>
      </w:pPr>
    </w:p>
    <w:p w14:paraId="4B0362FF" w14:textId="67FC3264" w:rsidR="00356D71" w:rsidRDefault="00A47EBA" w:rsidP="003A24EE">
      <w:pPr>
        <w:tabs>
          <w:tab w:val="left" w:pos="1890"/>
        </w:tabs>
        <w:ind w:left="1260"/>
        <w:rPr>
          <w:rFonts w:asciiTheme="minorHAnsi" w:hAnsiTheme="minorHAnsi" w:cstheme="minorHAnsi"/>
        </w:rPr>
      </w:pPr>
      <w:r w:rsidRPr="00A47EBA">
        <w:rPr>
          <w:rFonts w:asciiTheme="minorHAnsi" w:hAnsiTheme="minorHAnsi" w:cstheme="minorHAnsi"/>
        </w:rPr>
        <w:t xml:space="preserve">OSHNC’s procedures for employee and union involvement are identical to OSHA’s.  Case file review disclosed that employees were included </w:t>
      </w:r>
      <w:r>
        <w:rPr>
          <w:rFonts w:asciiTheme="minorHAnsi" w:hAnsiTheme="minorHAnsi" w:cstheme="minorHAnsi"/>
        </w:rPr>
        <w:t xml:space="preserve">in </w:t>
      </w:r>
      <w:r w:rsidRPr="00A47EBA">
        <w:rPr>
          <w:rFonts w:asciiTheme="minorHAnsi" w:hAnsiTheme="minorHAnsi" w:cstheme="minorHAnsi"/>
        </w:rPr>
        <w:t>100% of fatality investigations, and other inspections.  This determination was supported by SAMM 13.</w:t>
      </w:r>
    </w:p>
    <w:p w14:paraId="2ABE3797" w14:textId="77777777" w:rsidR="00A47EBA" w:rsidRPr="00356D71" w:rsidRDefault="00A47EBA" w:rsidP="00356D71">
      <w:pPr>
        <w:tabs>
          <w:tab w:val="left" w:pos="1890"/>
        </w:tabs>
        <w:rPr>
          <w:rFonts w:asciiTheme="minorHAnsi" w:hAnsiTheme="minorHAnsi" w:cstheme="minorHAnsi"/>
          <w:b/>
        </w:rPr>
      </w:pPr>
    </w:p>
    <w:p w14:paraId="5BF9A049" w14:textId="77777777" w:rsidR="00356D71" w:rsidRDefault="00356D71" w:rsidP="00356D71">
      <w:pPr>
        <w:tabs>
          <w:tab w:val="left" w:pos="1530"/>
          <w:tab w:val="left" w:pos="1800"/>
        </w:tabs>
        <w:ind w:left="1080" w:hanging="720"/>
        <w:rPr>
          <w:rFonts w:asciiTheme="minorHAnsi" w:hAnsiTheme="minorHAnsi" w:cstheme="minorHAnsi"/>
          <w:b/>
          <w:smallCaps/>
        </w:rPr>
      </w:pPr>
      <w:r w:rsidRPr="00356D71">
        <w:rPr>
          <w:rFonts w:asciiTheme="minorHAnsi" w:hAnsiTheme="minorHAnsi" w:cstheme="minorHAnsi"/>
          <w:b/>
          <w:smallCaps/>
        </w:rPr>
        <w:t>3.    REVIEW PROCEDURES</w:t>
      </w:r>
    </w:p>
    <w:p w14:paraId="55121358" w14:textId="77777777" w:rsidR="00A26647" w:rsidRPr="00356D71" w:rsidRDefault="00A26647" w:rsidP="00356D71">
      <w:pPr>
        <w:tabs>
          <w:tab w:val="left" w:pos="1530"/>
          <w:tab w:val="left" w:pos="1800"/>
        </w:tabs>
        <w:ind w:left="1080" w:hanging="720"/>
        <w:rPr>
          <w:rFonts w:asciiTheme="minorHAnsi" w:hAnsiTheme="minorHAnsi" w:cstheme="minorHAnsi"/>
          <w:b/>
          <w:smallCaps/>
        </w:rPr>
      </w:pPr>
    </w:p>
    <w:p w14:paraId="1286ED95" w14:textId="77777777" w:rsidR="00356D71" w:rsidRDefault="00356D71" w:rsidP="00D4742C">
      <w:pPr>
        <w:pStyle w:val="ListParagraph"/>
        <w:numPr>
          <w:ilvl w:val="0"/>
          <w:numId w:val="6"/>
        </w:numPr>
        <w:tabs>
          <w:tab w:val="left" w:pos="1170"/>
        </w:tabs>
        <w:spacing w:line="240" w:lineRule="auto"/>
        <w:ind w:left="1440" w:hanging="630"/>
        <w:rPr>
          <w:rFonts w:asciiTheme="minorHAnsi" w:hAnsiTheme="minorHAnsi" w:cstheme="minorHAnsi"/>
          <w:sz w:val="24"/>
          <w:szCs w:val="24"/>
        </w:rPr>
      </w:pPr>
      <w:r w:rsidRPr="00356D71">
        <w:rPr>
          <w:rFonts w:asciiTheme="minorHAnsi" w:hAnsiTheme="minorHAnsi" w:cstheme="minorHAnsi"/>
          <w:sz w:val="24"/>
          <w:szCs w:val="24"/>
        </w:rPr>
        <w:t>Informal Conferences</w:t>
      </w:r>
    </w:p>
    <w:p w14:paraId="04FD7CD4" w14:textId="7CEC222B" w:rsidR="0028520E" w:rsidRPr="002F4E5A" w:rsidRDefault="0028520E" w:rsidP="0062674D">
      <w:pPr>
        <w:tabs>
          <w:tab w:val="left" w:pos="1170"/>
        </w:tabs>
        <w:ind w:left="1170"/>
        <w:rPr>
          <w:rFonts w:asciiTheme="minorHAnsi" w:hAnsiTheme="minorHAnsi" w:cstheme="minorHAnsi"/>
        </w:rPr>
      </w:pPr>
      <w:r w:rsidRPr="002F4E5A">
        <w:rPr>
          <w:rFonts w:asciiTheme="minorHAnsi" w:hAnsiTheme="minorHAnsi" w:cstheme="minorHAnsi"/>
        </w:rPr>
        <w:t>OSHNC has procedures in place for conducting informal conferences and proposing informal settlement agreements.  These procedures appear to be followed consistently by District Supervisors.  According to the SIR, 2.</w:t>
      </w:r>
      <w:r w:rsidR="008B3F6A">
        <w:rPr>
          <w:rFonts w:asciiTheme="minorHAnsi" w:hAnsiTheme="minorHAnsi" w:cstheme="minorHAnsi"/>
        </w:rPr>
        <w:t>12</w:t>
      </w:r>
      <w:r w:rsidRPr="002F4E5A">
        <w:rPr>
          <w:rFonts w:asciiTheme="minorHAnsi" w:hAnsiTheme="minorHAnsi" w:cstheme="minorHAnsi"/>
        </w:rPr>
        <w:t xml:space="preserve">% of violations were vacated (pre-contest), and </w:t>
      </w:r>
      <w:r w:rsidR="00693F32">
        <w:rPr>
          <w:rFonts w:asciiTheme="minorHAnsi" w:hAnsiTheme="minorHAnsi" w:cstheme="minorHAnsi"/>
        </w:rPr>
        <w:lastRenderedPageBreak/>
        <w:t>2.56</w:t>
      </w:r>
      <w:r w:rsidRPr="002F4E5A">
        <w:rPr>
          <w:rFonts w:asciiTheme="minorHAnsi" w:hAnsiTheme="minorHAnsi" w:cstheme="minorHAnsi"/>
        </w:rPr>
        <w:t>% of violations were reclassified (pre-contest)</w:t>
      </w:r>
      <w:r w:rsidR="003C3E93">
        <w:rPr>
          <w:rFonts w:asciiTheme="minorHAnsi" w:hAnsiTheme="minorHAnsi" w:cstheme="minorHAnsi"/>
        </w:rPr>
        <w:t>,</w:t>
      </w:r>
      <w:r w:rsidRPr="002F4E5A">
        <w:rPr>
          <w:rFonts w:asciiTheme="minorHAnsi" w:hAnsiTheme="minorHAnsi" w:cstheme="minorHAnsi"/>
        </w:rPr>
        <w:t xml:space="preserve"> as a result of informal settlement agreements.  The </w:t>
      </w:r>
      <w:r w:rsidR="00AF6EC6" w:rsidRPr="002F4E5A">
        <w:rPr>
          <w:rFonts w:asciiTheme="minorHAnsi" w:hAnsiTheme="minorHAnsi" w:cstheme="minorHAnsi"/>
        </w:rPr>
        <w:t>percentage</w:t>
      </w:r>
      <w:r w:rsidRPr="002F4E5A">
        <w:rPr>
          <w:rFonts w:asciiTheme="minorHAnsi" w:hAnsiTheme="minorHAnsi" w:cstheme="minorHAnsi"/>
        </w:rPr>
        <w:t xml:space="preserve"> of penalty retained was (SAMM 12) 8</w:t>
      </w:r>
      <w:r w:rsidR="00A12975">
        <w:rPr>
          <w:rFonts w:asciiTheme="minorHAnsi" w:hAnsiTheme="minorHAnsi" w:cstheme="minorHAnsi"/>
        </w:rPr>
        <w:t>2</w:t>
      </w:r>
      <w:r w:rsidRPr="002F4E5A">
        <w:rPr>
          <w:rFonts w:asciiTheme="minorHAnsi" w:hAnsiTheme="minorHAnsi" w:cstheme="minorHAnsi"/>
        </w:rPr>
        <w:t>.</w:t>
      </w:r>
      <w:r w:rsidR="00A12975">
        <w:rPr>
          <w:rFonts w:asciiTheme="minorHAnsi" w:hAnsiTheme="minorHAnsi" w:cstheme="minorHAnsi"/>
        </w:rPr>
        <w:t>63</w:t>
      </w:r>
      <w:r w:rsidRPr="002F4E5A">
        <w:rPr>
          <w:rFonts w:asciiTheme="minorHAnsi" w:hAnsiTheme="minorHAnsi" w:cstheme="minorHAnsi"/>
        </w:rPr>
        <w:t xml:space="preserve">%, which exceeds the </w:t>
      </w:r>
      <w:r w:rsidR="003C355A">
        <w:rPr>
          <w:rFonts w:asciiTheme="minorHAnsi" w:hAnsiTheme="minorHAnsi" w:cstheme="minorHAnsi"/>
        </w:rPr>
        <w:t xml:space="preserve">FRL of </w:t>
      </w:r>
      <w:r w:rsidR="00CD1C1F">
        <w:rPr>
          <w:rFonts w:asciiTheme="minorHAnsi" w:hAnsiTheme="minorHAnsi" w:cstheme="minorHAnsi"/>
        </w:rPr>
        <w:t>-20%</w:t>
      </w:r>
      <w:r w:rsidRPr="002F4E5A">
        <w:rPr>
          <w:rFonts w:asciiTheme="minorHAnsi" w:hAnsiTheme="minorHAnsi" w:cstheme="minorHAnsi"/>
        </w:rPr>
        <w:t xml:space="preserve"> of </w:t>
      </w:r>
      <w:r w:rsidR="006D123F">
        <w:rPr>
          <w:rFonts w:asciiTheme="minorHAnsi" w:hAnsiTheme="minorHAnsi" w:cstheme="minorHAnsi"/>
        </w:rPr>
        <w:t>70.58</w:t>
      </w:r>
      <w:r w:rsidRPr="002F4E5A">
        <w:rPr>
          <w:rFonts w:asciiTheme="minorHAnsi" w:hAnsiTheme="minorHAnsi" w:cstheme="minorHAnsi"/>
        </w:rPr>
        <w:t xml:space="preserve">%.  Case files reviewed had similar results, with very few violations noted as being vacated or reclassified, and most cases were resolved with some penalty reduction.  Where there were vacated or reclassified violations, or a larger penalty reduction, the files normally included the rationale for the changes.  No negative trends or problems with citation documentation have been noted.  </w:t>
      </w:r>
    </w:p>
    <w:p w14:paraId="20386198" w14:textId="77777777" w:rsidR="00356D71" w:rsidRPr="00356D71" w:rsidRDefault="00356D71" w:rsidP="00356D71">
      <w:pPr>
        <w:widowControl/>
        <w:tabs>
          <w:tab w:val="left" w:pos="1890"/>
        </w:tabs>
        <w:autoSpaceDE/>
        <w:autoSpaceDN/>
        <w:adjustRightInd/>
        <w:ind w:left="1901"/>
        <w:contextualSpacing/>
        <w:rPr>
          <w:rFonts w:asciiTheme="minorHAnsi" w:hAnsiTheme="minorHAnsi" w:cstheme="minorHAnsi"/>
        </w:rPr>
      </w:pPr>
    </w:p>
    <w:p w14:paraId="2E04BC0B" w14:textId="77777777" w:rsidR="00356D71" w:rsidRDefault="00356D71" w:rsidP="00D4742C">
      <w:pPr>
        <w:pStyle w:val="ListParagraph"/>
        <w:numPr>
          <w:ilvl w:val="0"/>
          <w:numId w:val="6"/>
        </w:numPr>
        <w:tabs>
          <w:tab w:val="left" w:pos="1170"/>
        </w:tabs>
        <w:spacing w:after="0" w:line="240" w:lineRule="auto"/>
        <w:ind w:left="1170"/>
        <w:rPr>
          <w:rFonts w:asciiTheme="minorHAnsi" w:hAnsiTheme="minorHAnsi" w:cstheme="minorHAnsi"/>
          <w:sz w:val="24"/>
          <w:szCs w:val="24"/>
        </w:rPr>
      </w:pPr>
      <w:r w:rsidRPr="00356D71">
        <w:rPr>
          <w:rFonts w:asciiTheme="minorHAnsi" w:hAnsiTheme="minorHAnsi" w:cstheme="minorHAnsi"/>
          <w:sz w:val="24"/>
          <w:szCs w:val="24"/>
        </w:rPr>
        <w:t>Formal Review of Citations</w:t>
      </w:r>
    </w:p>
    <w:p w14:paraId="58113F88" w14:textId="77777777" w:rsidR="00165699" w:rsidRDefault="00165699" w:rsidP="00165699">
      <w:pPr>
        <w:ind w:left="1170"/>
        <w:rPr>
          <w:rFonts w:asciiTheme="minorHAnsi" w:hAnsiTheme="minorHAnsi" w:cstheme="minorHAnsi"/>
        </w:rPr>
      </w:pPr>
    </w:p>
    <w:p w14:paraId="7D9BA2EE" w14:textId="1F6D536E" w:rsidR="00165699" w:rsidRPr="00165699" w:rsidRDefault="00165699" w:rsidP="00165699">
      <w:pPr>
        <w:ind w:left="1170"/>
        <w:rPr>
          <w:rFonts w:asciiTheme="minorHAnsi" w:hAnsiTheme="minorHAnsi" w:cstheme="minorHAnsi"/>
        </w:rPr>
      </w:pPr>
      <w:r w:rsidRPr="00165699">
        <w:rPr>
          <w:rFonts w:asciiTheme="minorHAnsi" w:hAnsiTheme="minorHAnsi" w:cstheme="minorHAnsi"/>
        </w:rPr>
        <w:t xml:space="preserve">In FY </w:t>
      </w:r>
      <w:r w:rsidR="00CD1C1F">
        <w:rPr>
          <w:rFonts w:asciiTheme="minorHAnsi" w:hAnsiTheme="minorHAnsi" w:cstheme="minorHAnsi"/>
        </w:rPr>
        <w:t>20</w:t>
      </w:r>
      <w:r w:rsidRPr="00165699">
        <w:rPr>
          <w:rFonts w:asciiTheme="minorHAnsi" w:hAnsiTheme="minorHAnsi" w:cstheme="minorHAnsi"/>
        </w:rPr>
        <w:t>2</w:t>
      </w:r>
      <w:r w:rsidR="00063E73">
        <w:rPr>
          <w:rFonts w:asciiTheme="minorHAnsi" w:hAnsiTheme="minorHAnsi" w:cstheme="minorHAnsi"/>
        </w:rPr>
        <w:t>5</w:t>
      </w:r>
      <w:r w:rsidRPr="00165699">
        <w:rPr>
          <w:rFonts w:asciiTheme="minorHAnsi" w:hAnsiTheme="minorHAnsi" w:cstheme="minorHAnsi"/>
        </w:rPr>
        <w:t xml:space="preserve">, </w:t>
      </w:r>
      <w:r w:rsidR="00063E73">
        <w:rPr>
          <w:rFonts w:asciiTheme="minorHAnsi" w:hAnsiTheme="minorHAnsi" w:cstheme="minorHAnsi"/>
        </w:rPr>
        <w:t>2.5</w:t>
      </w:r>
      <w:r w:rsidRPr="00165699">
        <w:rPr>
          <w:rFonts w:asciiTheme="minorHAnsi" w:hAnsiTheme="minorHAnsi" w:cstheme="minorHAnsi"/>
        </w:rPr>
        <w:t>% of inspections with citations were formally contested by employers.  The North Carolina OSH Division is represented by attorneys in the North Carolina Attorney General’s Office (AG).  The</w:t>
      </w:r>
      <w:r w:rsidR="00A97606">
        <w:rPr>
          <w:rFonts w:asciiTheme="minorHAnsi" w:hAnsiTheme="minorHAnsi" w:cstheme="minorHAnsi"/>
        </w:rPr>
        <w:t>se</w:t>
      </w:r>
      <w:r w:rsidRPr="00165699">
        <w:rPr>
          <w:rFonts w:asciiTheme="minorHAnsi" w:hAnsiTheme="minorHAnsi" w:cstheme="minorHAnsi"/>
        </w:rPr>
        <w:t xml:space="preserve"> attorneys are assigned exclusively to represent the Division, and they receive specific training on legal issues relating to occupational safety and health.</w:t>
      </w:r>
    </w:p>
    <w:p w14:paraId="56C673CE" w14:textId="77777777" w:rsidR="00165699" w:rsidRPr="00165699" w:rsidRDefault="00165699" w:rsidP="00165699">
      <w:pPr>
        <w:ind w:left="1170"/>
        <w:rPr>
          <w:rFonts w:asciiTheme="minorHAnsi" w:hAnsiTheme="minorHAnsi" w:cstheme="minorHAnsi"/>
        </w:rPr>
      </w:pPr>
      <w:r w:rsidRPr="00165699">
        <w:rPr>
          <w:rFonts w:asciiTheme="minorHAnsi" w:hAnsiTheme="minorHAnsi" w:cstheme="minorHAnsi"/>
        </w:rPr>
        <w:t xml:space="preserve">  </w:t>
      </w:r>
    </w:p>
    <w:p w14:paraId="16557CAE" w14:textId="29545868" w:rsidR="00165699" w:rsidRPr="00165699" w:rsidRDefault="00165699" w:rsidP="00165699">
      <w:pPr>
        <w:ind w:left="1170"/>
        <w:rPr>
          <w:rFonts w:asciiTheme="minorHAnsi" w:hAnsiTheme="minorHAnsi" w:cstheme="minorHAnsi"/>
        </w:rPr>
      </w:pPr>
      <w:r w:rsidRPr="00165699">
        <w:rPr>
          <w:rFonts w:asciiTheme="minorHAnsi" w:hAnsiTheme="minorHAnsi" w:cstheme="minorHAnsi"/>
        </w:rPr>
        <w:t xml:space="preserve">The </w:t>
      </w:r>
      <w:r w:rsidR="00A97606">
        <w:rPr>
          <w:rFonts w:asciiTheme="minorHAnsi" w:hAnsiTheme="minorHAnsi" w:cstheme="minorHAnsi"/>
        </w:rPr>
        <w:t>a</w:t>
      </w:r>
      <w:r w:rsidR="00A97606" w:rsidRPr="00165699">
        <w:rPr>
          <w:rFonts w:asciiTheme="minorHAnsi" w:hAnsiTheme="minorHAnsi" w:cstheme="minorHAnsi"/>
        </w:rPr>
        <w:t xml:space="preserve">ttorneys </w:t>
      </w:r>
      <w:r w:rsidRPr="00165699">
        <w:rPr>
          <w:rFonts w:asciiTheme="minorHAnsi" w:hAnsiTheme="minorHAnsi" w:cstheme="minorHAnsi"/>
        </w:rPr>
        <w:t xml:space="preserve">participate in organizations such as the State OSHA Litigators Organization (SOLO), where State and Federal high-profile cases, and cases with special legal issues, are shared and discussed.  The Division also utilizes the Department of Labor’s in-house attorneys, who advise on various legal issues.  All fatalities and high-profile cases are considered by a citation review committee before citations are issued.  This committee is </w:t>
      </w:r>
      <w:r w:rsidR="003C3E93">
        <w:rPr>
          <w:rFonts w:asciiTheme="minorHAnsi" w:hAnsiTheme="minorHAnsi" w:cstheme="minorHAnsi"/>
        </w:rPr>
        <w:t>comprised</w:t>
      </w:r>
      <w:r w:rsidRPr="00165699">
        <w:rPr>
          <w:rFonts w:asciiTheme="minorHAnsi" w:hAnsiTheme="minorHAnsi" w:cstheme="minorHAnsi"/>
        </w:rPr>
        <w:t xml:space="preserve"> of OSH management, staff attorneys, and attorneys in the AG’s Office.  </w:t>
      </w:r>
    </w:p>
    <w:p w14:paraId="689CE6B1" w14:textId="77777777" w:rsidR="00165699" w:rsidRPr="00165699" w:rsidRDefault="00165699" w:rsidP="00165699">
      <w:pPr>
        <w:ind w:left="1170"/>
        <w:rPr>
          <w:rFonts w:asciiTheme="minorHAnsi" w:hAnsiTheme="minorHAnsi" w:cstheme="minorHAnsi"/>
        </w:rPr>
      </w:pPr>
    </w:p>
    <w:p w14:paraId="664AF914" w14:textId="77777777" w:rsidR="00165699" w:rsidRPr="00165699" w:rsidRDefault="00165699" w:rsidP="00165699">
      <w:pPr>
        <w:ind w:left="1170"/>
        <w:rPr>
          <w:rFonts w:asciiTheme="minorHAnsi" w:hAnsiTheme="minorHAnsi" w:cstheme="minorHAnsi"/>
        </w:rPr>
      </w:pPr>
      <w:r w:rsidRPr="00165699">
        <w:rPr>
          <w:rFonts w:asciiTheme="minorHAnsi" w:hAnsiTheme="minorHAnsi" w:cstheme="minorHAnsi"/>
        </w:rPr>
        <w:t xml:space="preserve">The North Carolina Review Commission is an independent body that hears and issues decisions on appeals, relating to the issuance of citations and assessment of penalties by the OSH Division.  Commission members are appointed by the Governor for terms that usually run for six years.  All commission hearings are open to the public and decisions are available for public review on the Commission’s web page.  </w:t>
      </w:r>
    </w:p>
    <w:p w14:paraId="654259DE" w14:textId="77777777" w:rsidR="00165699" w:rsidRPr="00165699" w:rsidRDefault="00165699" w:rsidP="00165699">
      <w:pPr>
        <w:ind w:left="1170"/>
        <w:rPr>
          <w:rFonts w:asciiTheme="minorHAnsi" w:hAnsiTheme="minorHAnsi" w:cstheme="minorHAnsi"/>
        </w:rPr>
      </w:pPr>
    </w:p>
    <w:p w14:paraId="76DD6758" w14:textId="3D7E7F2D" w:rsidR="00356D71" w:rsidRDefault="00165699" w:rsidP="00165699">
      <w:pPr>
        <w:ind w:left="1170"/>
        <w:rPr>
          <w:rFonts w:asciiTheme="minorHAnsi" w:hAnsiTheme="minorHAnsi" w:cstheme="minorHAnsi"/>
        </w:rPr>
      </w:pPr>
      <w:r w:rsidRPr="00165699">
        <w:rPr>
          <w:rFonts w:asciiTheme="minorHAnsi" w:hAnsiTheme="minorHAnsi" w:cstheme="minorHAnsi"/>
        </w:rPr>
        <w:t>The OSH Division can request judicial review of decisions made by the Review Commission.  The Division is advised on these matters by the Attorney General’s Office with input from the Commissioner of Labor’s Office</w:t>
      </w:r>
    </w:p>
    <w:p w14:paraId="1B085218" w14:textId="77777777" w:rsidR="00992A05" w:rsidRPr="00356D71" w:rsidRDefault="00992A05" w:rsidP="00165699">
      <w:pPr>
        <w:ind w:left="1170"/>
        <w:rPr>
          <w:rFonts w:asciiTheme="minorHAnsi" w:hAnsiTheme="minorHAnsi" w:cstheme="minorHAnsi"/>
          <w:b/>
          <w:smallCaps/>
        </w:rPr>
      </w:pPr>
    </w:p>
    <w:p w14:paraId="26D2866B" w14:textId="77777777" w:rsidR="00356D71" w:rsidRDefault="00356D71" w:rsidP="00356D71">
      <w:pPr>
        <w:ind w:left="810" w:hanging="450"/>
        <w:rPr>
          <w:rFonts w:asciiTheme="minorHAnsi" w:hAnsiTheme="minorHAnsi" w:cstheme="minorHAnsi"/>
          <w:b/>
          <w:caps/>
        </w:rPr>
      </w:pPr>
      <w:r w:rsidRPr="00356D71">
        <w:rPr>
          <w:rFonts w:asciiTheme="minorHAnsi" w:hAnsiTheme="minorHAnsi" w:cstheme="minorHAnsi"/>
          <w:b/>
          <w:smallCaps/>
        </w:rPr>
        <w:t xml:space="preserve">4.    </w:t>
      </w:r>
      <w:r w:rsidRPr="00356D71">
        <w:rPr>
          <w:rFonts w:asciiTheme="minorHAnsi" w:hAnsiTheme="minorHAnsi" w:cstheme="minorHAnsi"/>
          <w:b/>
          <w:caps/>
        </w:rPr>
        <w:t>Standards and Federal Program Change (</w:t>
      </w:r>
      <w:r w:rsidRPr="00356D71">
        <w:rPr>
          <w:rFonts w:asciiTheme="minorHAnsi" w:hAnsiTheme="minorHAnsi" w:cstheme="minorHAnsi"/>
          <w:b/>
        </w:rPr>
        <w:t>FPC</w:t>
      </w:r>
      <w:r w:rsidRPr="00356D71">
        <w:rPr>
          <w:rFonts w:asciiTheme="minorHAnsi" w:hAnsiTheme="minorHAnsi" w:cstheme="minorHAnsi"/>
          <w:b/>
          <w:caps/>
        </w:rPr>
        <w:t>) Adoption</w:t>
      </w:r>
    </w:p>
    <w:p w14:paraId="31423CCD" w14:textId="77777777" w:rsidR="00790E72" w:rsidRPr="00356D71" w:rsidRDefault="00790E72" w:rsidP="00356D71">
      <w:pPr>
        <w:ind w:left="810" w:hanging="450"/>
        <w:rPr>
          <w:rFonts w:asciiTheme="minorHAnsi" w:hAnsiTheme="minorHAnsi" w:cstheme="minorHAnsi"/>
          <w:b/>
          <w:caps/>
        </w:rPr>
      </w:pPr>
    </w:p>
    <w:p w14:paraId="43D31369" w14:textId="35567B38" w:rsidR="00790E72" w:rsidRPr="00790E72" w:rsidRDefault="00790E72" w:rsidP="00790E72">
      <w:pPr>
        <w:tabs>
          <w:tab w:val="left" w:pos="2160"/>
        </w:tabs>
        <w:rPr>
          <w:rFonts w:asciiTheme="minorHAnsi" w:hAnsiTheme="minorHAnsi" w:cstheme="minorHAnsi"/>
          <w:b/>
        </w:rPr>
      </w:pPr>
      <w:r w:rsidRPr="00790E72">
        <w:rPr>
          <w:rFonts w:asciiTheme="minorHAnsi" w:hAnsiTheme="minorHAnsi" w:cstheme="minorHAnsi"/>
        </w:rPr>
        <w:t xml:space="preserve">In accordance with 29 CFR 1902, State Plans are required to adopt standards and </w:t>
      </w:r>
      <w:r w:rsidR="003C3E93">
        <w:rPr>
          <w:rFonts w:asciiTheme="minorHAnsi" w:hAnsiTheme="minorHAnsi" w:cstheme="minorHAnsi"/>
        </w:rPr>
        <w:t>f</w:t>
      </w:r>
      <w:r w:rsidR="003C3E93" w:rsidRPr="00790E72">
        <w:rPr>
          <w:rFonts w:asciiTheme="minorHAnsi" w:hAnsiTheme="minorHAnsi" w:cstheme="minorHAnsi"/>
        </w:rPr>
        <w:t xml:space="preserve">ederal </w:t>
      </w:r>
      <w:r w:rsidRPr="00790E72">
        <w:rPr>
          <w:rFonts w:asciiTheme="minorHAnsi" w:hAnsiTheme="minorHAnsi" w:cstheme="minorHAnsi"/>
        </w:rPr>
        <w:t xml:space="preserve">program changes within a </w:t>
      </w:r>
      <w:r w:rsidR="009D76E9">
        <w:rPr>
          <w:rFonts w:asciiTheme="minorHAnsi" w:hAnsiTheme="minorHAnsi" w:cstheme="minorHAnsi"/>
        </w:rPr>
        <w:t>six</w:t>
      </w:r>
      <w:r w:rsidRPr="00790E72">
        <w:rPr>
          <w:rFonts w:asciiTheme="minorHAnsi" w:hAnsiTheme="minorHAnsi" w:cstheme="minorHAnsi"/>
        </w:rPr>
        <w:t xml:space="preserve">-month time frame. </w:t>
      </w:r>
      <w:r w:rsidR="00B33A5B">
        <w:rPr>
          <w:rFonts w:asciiTheme="minorHAnsi" w:hAnsiTheme="minorHAnsi" w:cstheme="minorHAnsi"/>
        </w:rPr>
        <w:t xml:space="preserve"> </w:t>
      </w:r>
      <w:r w:rsidRPr="00790E72">
        <w:rPr>
          <w:rFonts w:asciiTheme="minorHAnsi" w:hAnsiTheme="minorHAnsi" w:cstheme="minorHAnsi"/>
        </w:rPr>
        <w:t xml:space="preserve">State Plans that do not adopt identical standards and procedures must establish guidelines which are at least as effective </w:t>
      </w:r>
      <w:r w:rsidR="003C3E93">
        <w:rPr>
          <w:rFonts w:asciiTheme="minorHAnsi" w:hAnsiTheme="minorHAnsi" w:cstheme="minorHAnsi"/>
        </w:rPr>
        <w:t>(</w:t>
      </w:r>
      <w:r w:rsidRPr="00790E72">
        <w:rPr>
          <w:rFonts w:asciiTheme="minorHAnsi" w:hAnsiTheme="minorHAnsi" w:cstheme="minorHAnsi"/>
        </w:rPr>
        <w:t>ALAE</w:t>
      </w:r>
      <w:r w:rsidR="003C3E93">
        <w:rPr>
          <w:rFonts w:asciiTheme="minorHAnsi" w:hAnsiTheme="minorHAnsi" w:cstheme="minorHAnsi"/>
        </w:rPr>
        <w:t>)</w:t>
      </w:r>
      <w:r w:rsidRPr="00790E72">
        <w:rPr>
          <w:rFonts w:asciiTheme="minorHAnsi" w:hAnsiTheme="minorHAnsi" w:cstheme="minorHAnsi"/>
        </w:rPr>
        <w:t xml:space="preserve"> as the federal rules. </w:t>
      </w:r>
      <w:r w:rsidR="00B33A5B">
        <w:rPr>
          <w:rFonts w:asciiTheme="minorHAnsi" w:hAnsiTheme="minorHAnsi" w:cstheme="minorHAnsi"/>
        </w:rPr>
        <w:t xml:space="preserve"> </w:t>
      </w:r>
      <w:r w:rsidRPr="00790E72">
        <w:rPr>
          <w:rFonts w:asciiTheme="minorHAnsi" w:hAnsiTheme="minorHAnsi" w:cstheme="minorHAnsi"/>
        </w:rPr>
        <w:t xml:space="preserve">State Plans also have the option to promulgate standards covering hazards not addressed by federal standards. </w:t>
      </w:r>
      <w:r w:rsidR="00B33A5B">
        <w:rPr>
          <w:rFonts w:asciiTheme="minorHAnsi" w:hAnsiTheme="minorHAnsi" w:cstheme="minorHAnsi"/>
        </w:rPr>
        <w:t xml:space="preserve"> </w:t>
      </w:r>
      <w:r w:rsidRPr="00790E72">
        <w:rPr>
          <w:rFonts w:asciiTheme="minorHAnsi" w:hAnsiTheme="minorHAnsi" w:cstheme="minorHAnsi"/>
        </w:rPr>
        <w:t xml:space="preserve">During this </w:t>
      </w:r>
      <w:r w:rsidR="003C3E93">
        <w:rPr>
          <w:rFonts w:asciiTheme="minorHAnsi" w:hAnsiTheme="minorHAnsi" w:cstheme="minorHAnsi"/>
        </w:rPr>
        <w:t xml:space="preserve">review </w:t>
      </w:r>
      <w:r w:rsidRPr="00790E72">
        <w:rPr>
          <w:rFonts w:asciiTheme="minorHAnsi" w:hAnsiTheme="minorHAnsi" w:cstheme="minorHAnsi"/>
        </w:rPr>
        <w:t xml:space="preserve">period, OSHNC adopted all federal directives and OSHA-initiated standards which required action in a timely manner. </w:t>
      </w:r>
      <w:r w:rsidR="00B33A5B">
        <w:rPr>
          <w:rFonts w:asciiTheme="minorHAnsi" w:hAnsiTheme="minorHAnsi" w:cstheme="minorHAnsi"/>
        </w:rPr>
        <w:t xml:space="preserve"> </w:t>
      </w:r>
      <w:r w:rsidRPr="00790E72">
        <w:rPr>
          <w:rFonts w:asciiTheme="minorHAnsi" w:hAnsiTheme="minorHAnsi" w:cstheme="minorHAnsi"/>
        </w:rPr>
        <w:t>The tables below provide a complete list of the federal directives and standards which required action during this period:</w:t>
      </w:r>
    </w:p>
    <w:p w14:paraId="6BDE363B" w14:textId="77777777" w:rsidR="00C71B50" w:rsidRPr="00180E1F" w:rsidRDefault="00C71B50" w:rsidP="00180E1F">
      <w:pPr>
        <w:tabs>
          <w:tab w:val="left" w:pos="2160"/>
        </w:tabs>
        <w:rPr>
          <w:rFonts w:asciiTheme="minorHAnsi" w:hAnsiTheme="minorHAnsi" w:cstheme="minorHAnsi"/>
        </w:rPr>
      </w:pPr>
    </w:p>
    <w:p w14:paraId="533DE9AE" w14:textId="77777777" w:rsidR="00131CC6" w:rsidRDefault="00131CC6" w:rsidP="00C4671E">
      <w:pPr>
        <w:rPr>
          <w:rFonts w:asciiTheme="minorHAnsi" w:hAnsiTheme="minorHAnsi" w:cstheme="minorHAnsi"/>
          <w:b/>
          <w:bCs/>
        </w:rPr>
      </w:pPr>
    </w:p>
    <w:p w14:paraId="2694AA50" w14:textId="77777777" w:rsidR="00131CC6" w:rsidRDefault="00131CC6" w:rsidP="00C4671E">
      <w:pPr>
        <w:rPr>
          <w:rFonts w:asciiTheme="minorHAnsi" w:hAnsiTheme="minorHAnsi" w:cstheme="minorHAnsi"/>
          <w:b/>
          <w:bCs/>
        </w:rPr>
      </w:pPr>
    </w:p>
    <w:p w14:paraId="04405296" w14:textId="77777777" w:rsidR="00131CC6" w:rsidRDefault="00131CC6" w:rsidP="00C4671E">
      <w:pPr>
        <w:rPr>
          <w:rFonts w:asciiTheme="minorHAnsi" w:hAnsiTheme="minorHAnsi" w:cstheme="minorHAnsi"/>
          <w:b/>
          <w:bCs/>
        </w:rPr>
      </w:pPr>
    </w:p>
    <w:p w14:paraId="31610EE1" w14:textId="77777777" w:rsidR="00131CC6" w:rsidRDefault="00131CC6" w:rsidP="00C4671E">
      <w:pPr>
        <w:rPr>
          <w:rFonts w:asciiTheme="minorHAnsi" w:hAnsiTheme="minorHAnsi" w:cstheme="minorHAnsi"/>
          <w:b/>
          <w:bCs/>
        </w:rPr>
      </w:pPr>
    </w:p>
    <w:p w14:paraId="387029C7" w14:textId="32ACFC8A" w:rsidR="00C4671E" w:rsidRPr="00860F33" w:rsidRDefault="00C4671E" w:rsidP="00C4671E">
      <w:pPr>
        <w:rPr>
          <w:rFonts w:asciiTheme="minorHAnsi" w:hAnsiTheme="minorHAnsi" w:cstheme="minorHAnsi"/>
          <w:b/>
        </w:rPr>
      </w:pPr>
      <w:r w:rsidRPr="00860F33">
        <w:rPr>
          <w:rFonts w:asciiTheme="minorHAnsi" w:hAnsiTheme="minorHAnsi" w:cstheme="minorHAnsi"/>
          <w:b/>
          <w:bCs/>
        </w:rPr>
        <w:lastRenderedPageBreak/>
        <w:t>Table A</w:t>
      </w:r>
    </w:p>
    <w:p w14:paraId="41FF7CAD" w14:textId="0D5F5DD0" w:rsidR="00C4671E" w:rsidRPr="00860F33" w:rsidRDefault="00C4671E" w:rsidP="00C4671E">
      <w:pPr>
        <w:tabs>
          <w:tab w:val="left" w:pos="8367"/>
        </w:tabs>
        <w:rPr>
          <w:rFonts w:asciiTheme="minorHAnsi" w:hAnsiTheme="minorHAnsi" w:cstheme="minorHAnsi"/>
          <w:b/>
          <w:bCs/>
        </w:rPr>
      </w:pPr>
      <w:r w:rsidRPr="00860F33">
        <w:rPr>
          <w:rFonts w:asciiTheme="minorHAnsi" w:hAnsiTheme="minorHAnsi" w:cstheme="minorHAnsi"/>
          <w:b/>
          <w:bCs/>
        </w:rPr>
        <w:t xml:space="preserve">Status of </w:t>
      </w:r>
      <w:r w:rsidRPr="00B4710E">
        <w:rPr>
          <w:rFonts w:asciiTheme="minorHAnsi" w:hAnsiTheme="minorHAnsi" w:cstheme="minorHAnsi"/>
          <w:b/>
          <w:bCs/>
        </w:rPr>
        <w:t>FY 20</w:t>
      </w:r>
      <w:r w:rsidR="00B4710E" w:rsidRPr="00B4710E">
        <w:rPr>
          <w:rFonts w:asciiTheme="minorHAnsi" w:hAnsiTheme="minorHAnsi" w:cstheme="minorHAnsi"/>
          <w:b/>
          <w:bCs/>
        </w:rPr>
        <w:t>2</w:t>
      </w:r>
      <w:r w:rsidR="00B4710E">
        <w:rPr>
          <w:rFonts w:asciiTheme="minorHAnsi" w:hAnsiTheme="minorHAnsi" w:cstheme="minorHAnsi"/>
          <w:b/>
          <w:bCs/>
        </w:rPr>
        <w:t>4</w:t>
      </w:r>
      <w:r w:rsidRPr="00B4710E">
        <w:rPr>
          <w:rFonts w:asciiTheme="minorHAnsi" w:hAnsiTheme="minorHAnsi" w:cstheme="minorHAnsi"/>
          <w:b/>
          <w:bCs/>
        </w:rPr>
        <w:t xml:space="preserve"> and FY 20</w:t>
      </w:r>
      <w:r w:rsidR="00B4710E" w:rsidRPr="00B4710E">
        <w:rPr>
          <w:rFonts w:asciiTheme="minorHAnsi" w:hAnsiTheme="minorHAnsi" w:cstheme="minorHAnsi"/>
          <w:b/>
          <w:bCs/>
        </w:rPr>
        <w:t>25</w:t>
      </w:r>
      <w:r w:rsidRPr="00B4710E">
        <w:rPr>
          <w:rFonts w:asciiTheme="minorHAnsi" w:hAnsiTheme="minorHAnsi" w:cstheme="minorHAnsi"/>
          <w:b/>
          <w:bCs/>
        </w:rPr>
        <w:t xml:space="preserve"> Federal </w:t>
      </w:r>
      <w:r w:rsidRPr="00860F33">
        <w:rPr>
          <w:rFonts w:asciiTheme="minorHAnsi" w:hAnsiTheme="minorHAnsi" w:cstheme="minorHAnsi"/>
          <w:b/>
          <w:bCs/>
        </w:rPr>
        <w:t xml:space="preserve">Standards </w:t>
      </w:r>
      <w:r w:rsidR="00356D71">
        <w:rPr>
          <w:rFonts w:asciiTheme="minorHAnsi" w:hAnsiTheme="minorHAnsi" w:cstheme="minorHAnsi"/>
          <w:b/>
          <w:bCs/>
        </w:rPr>
        <w:t>W</w:t>
      </w:r>
      <w:r w:rsidRPr="00860F33">
        <w:rPr>
          <w:rFonts w:asciiTheme="minorHAnsi" w:hAnsiTheme="minorHAnsi" w:cstheme="minorHAnsi"/>
          <w:b/>
          <w:bCs/>
        </w:rPr>
        <w:t xml:space="preserve">here Adoption </w:t>
      </w:r>
      <w:r w:rsidR="00356D71">
        <w:rPr>
          <w:rFonts w:asciiTheme="minorHAnsi" w:hAnsiTheme="minorHAnsi" w:cstheme="minorHAnsi"/>
          <w:b/>
          <w:bCs/>
        </w:rPr>
        <w:t>W</w:t>
      </w:r>
      <w:r w:rsidRPr="00860F33">
        <w:rPr>
          <w:rFonts w:asciiTheme="minorHAnsi" w:hAnsiTheme="minorHAnsi" w:cstheme="minorHAnsi"/>
          <w:b/>
          <w:bCs/>
        </w:rPr>
        <w:t>as Required</w:t>
      </w:r>
    </w:p>
    <w:tbl>
      <w:tblPr>
        <w:tblStyle w:val="TableGridLight"/>
        <w:tblW w:w="9532" w:type="dxa"/>
        <w:tblLayout w:type="fixed"/>
        <w:tblLook w:val="04A0" w:firstRow="1" w:lastRow="0" w:firstColumn="1" w:lastColumn="0" w:noHBand="0" w:noVBand="1"/>
        <w:tblCaption w:val="Status of FY 2021 Federal Standards Adoption"/>
      </w:tblPr>
      <w:tblGrid>
        <w:gridCol w:w="2425"/>
        <w:gridCol w:w="1350"/>
        <w:gridCol w:w="1260"/>
        <w:gridCol w:w="900"/>
        <w:gridCol w:w="1080"/>
        <w:gridCol w:w="1350"/>
        <w:gridCol w:w="1167"/>
      </w:tblGrid>
      <w:tr w:rsidR="00C321B6" w:rsidRPr="00961323" w14:paraId="15C5C395" w14:textId="77777777" w:rsidTr="001D49CA">
        <w:trPr>
          <w:trHeight w:val="849"/>
        </w:trPr>
        <w:tc>
          <w:tcPr>
            <w:tcW w:w="2425" w:type="dxa"/>
            <w:hideMark/>
          </w:tcPr>
          <w:p w14:paraId="6144A24A" w14:textId="77777777" w:rsidR="00C321B6" w:rsidRPr="00E3102E" w:rsidRDefault="00C321B6" w:rsidP="001D49CA">
            <w:pPr>
              <w:widowControl/>
              <w:autoSpaceDE/>
              <w:autoSpaceDN/>
              <w:adjustRightInd/>
              <w:ind w:left="-30" w:right="-120"/>
              <w:textAlignment w:val="baseline"/>
              <w:rPr>
                <w:rFonts w:ascii="Calibri" w:hAnsi="Calibri" w:cs="Calibri"/>
              </w:rPr>
            </w:pPr>
            <w:r w:rsidRPr="00E3102E">
              <w:rPr>
                <w:rFonts w:ascii="Calibri" w:hAnsi="Calibri" w:cs="Calibri"/>
                <w:b/>
              </w:rPr>
              <w:t>Standard</w:t>
            </w:r>
            <w:r w:rsidRPr="00E3102E">
              <w:rPr>
                <w:rFonts w:ascii="Calibri" w:hAnsi="Calibri" w:cs="Calibri"/>
              </w:rPr>
              <w:t> </w:t>
            </w:r>
          </w:p>
        </w:tc>
        <w:tc>
          <w:tcPr>
            <w:tcW w:w="1350" w:type="dxa"/>
            <w:hideMark/>
          </w:tcPr>
          <w:p w14:paraId="2112CA6D" w14:textId="77777777" w:rsidR="00C321B6" w:rsidRPr="00E3102E" w:rsidRDefault="00C321B6" w:rsidP="001D49CA">
            <w:pPr>
              <w:widowControl/>
              <w:autoSpaceDE/>
              <w:autoSpaceDN/>
              <w:adjustRightInd/>
              <w:ind w:right="-13"/>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hideMark/>
          </w:tcPr>
          <w:p w14:paraId="68EC6D65" w14:textId="77777777" w:rsidR="00C321B6" w:rsidRPr="00E3102E" w:rsidRDefault="00C321B6" w:rsidP="001D49CA">
            <w:pPr>
              <w:widowControl/>
              <w:autoSpaceDE/>
              <w:autoSpaceDN/>
              <w:adjustRightInd/>
              <w:ind w:right="-120"/>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900" w:type="dxa"/>
            <w:hideMark/>
          </w:tcPr>
          <w:p w14:paraId="512DA590" w14:textId="77777777" w:rsidR="00C321B6" w:rsidRPr="00E3102E" w:rsidRDefault="00C321B6" w:rsidP="001D49CA">
            <w:pPr>
              <w:widowControl/>
              <w:autoSpaceDE/>
              <w:autoSpaceDN/>
              <w:adjustRightInd/>
              <w:ind w:right="-105"/>
              <w:textAlignment w:val="baseline"/>
              <w:rPr>
                <w:rFonts w:ascii="Calibri" w:hAnsi="Calibri" w:cs="Calibri"/>
                <w:b/>
              </w:rPr>
            </w:pPr>
            <w:r w:rsidRPr="00E3102E">
              <w:rPr>
                <w:rFonts w:ascii="Calibri" w:hAnsi="Calibri" w:cs="Calibri"/>
                <w:b/>
              </w:rPr>
              <w:t xml:space="preserve">Intent  </w:t>
            </w:r>
          </w:p>
          <w:p w14:paraId="5F357867" w14:textId="77777777" w:rsidR="00C321B6" w:rsidRPr="00E3102E" w:rsidRDefault="00C321B6" w:rsidP="001D49CA">
            <w:pPr>
              <w:widowControl/>
              <w:autoSpaceDE/>
              <w:autoSpaceDN/>
              <w:adjustRightInd/>
              <w:ind w:right="-105"/>
              <w:textAlignment w:val="baseline"/>
              <w:rPr>
                <w:rFonts w:ascii="Calibri" w:hAnsi="Calibri" w:cs="Calibri"/>
                <w:b/>
              </w:rPr>
            </w:pPr>
            <w:r w:rsidRPr="00E3102E">
              <w:rPr>
                <w:rFonts w:ascii="Calibri" w:hAnsi="Calibri" w:cs="Calibri"/>
                <w:b/>
              </w:rPr>
              <w:t xml:space="preserve">to </w:t>
            </w:r>
          </w:p>
          <w:p w14:paraId="2158E142" w14:textId="77777777" w:rsidR="00C321B6" w:rsidRPr="00E3102E" w:rsidRDefault="00C321B6" w:rsidP="001D49CA">
            <w:pPr>
              <w:widowControl/>
              <w:autoSpaceDE/>
              <w:autoSpaceDN/>
              <w:adjustRightInd/>
              <w:ind w:right="-105"/>
              <w:textAlignment w:val="baseline"/>
              <w:rPr>
                <w:rFonts w:ascii="Calibri" w:hAnsi="Calibri" w:cs="Calibri"/>
                <w:b/>
              </w:rPr>
            </w:pPr>
            <w:r w:rsidRPr="00E3102E">
              <w:rPr>
                <w:rFonts w:ascii="Calibri" w:hAnsi="Calibri" w:cs="Calibri"/>
                <w:b/>
              </w:rPr>
              <w:t>Adopt</w:t>
            </w:r>
            <w:r w:rsidRPr="00E3102E">
              <w:rPr>
                <w:rFonts w:ascii="Calibri" w:hAnsi="Calibri" w:cs="Calibri"/>
              </w:rPr>
              <w:t> </w:t>
            </w:r>
          </w:p>
        </w:tc>
        <w:tc>
          <w:tcPr>
            <w:tcW w:w="1080" w:type="dxa"/>
            <w:hideMark/>
          </w:tcPr>
          <w:p w14:paraId="69C672A5" w14:textId="77777777" w:rsidR="00C321B6" w:rsidRPr="00E3102E" w:rsidRDefault="00C321B6" w:rsidP="001D49CA">
            <w:pPr>
              <w:widowControl/>
              <w:autoSpaceDE/>
              <w:autoSpaceDN/>
              <w:adjustRightInd/>
              <w:ind w:left="-14" w:right="-120"/>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350" w:type="dxa"/>
            <w:hideMark/>
          </w:tcPr>
          <w:p w14:paraId="7D2923B1" w14:textId="77777777" w:rsidR="00C321B6" w:rsidRPr="00E3102E" w:rsidRDefault="00C321B6" w:rsidP="001D49CA">
            <w:pPr>
              <w:widowControl/>
              <w:autoSpaceDE/>
              <w:autoSpaceDN/>
              <w:adjustRightInd/>
              <w:ind w:left="-14"/>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167" w:type="dxa"/>
            <w:hideMark/>
          </w:tcPr>
          <w:p w14:paraId="2E4B31E4"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C321B6" w:rsidRPr="00961323" w14:paraId="019E3DD3" w14:textId="77777777" w:rsidTr="001D49CA">
        <w:trPr>
          <w:trHeight w:val="300"/>
        </w:trPr>
        <w:tc>
          <w:tcPr>
            <w:tcW w:w="2425" w:type="dxa"/>
          </w:tcPr>
          <w:p w14:paraId="5EECF71B"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43D0A7B1" w14:textId="77777777" w:rsidR="00C321B6" w:rsidRPr="00F44EE1" w:rsidRDefault="00C321B6" w:rsidP="001D49CA">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2024</w:t>
            </w:r>
          </w:p>
          <w:p w14:paraId="36BE05D2" w14:textId="77777777" w:rsidR="00C321B6" w:rsidRPr="00F44EE1" w:rsidRDefault="00C321B6" w:rsidP="001D49CA">
            <w:pPr>
              <w:widowControl/>
              <w:autoSpaceDE/>
              <w:autoSpaceDN/>
              <w:adjustRightInd/>
              <w:textAlignment w:val="baseline"/>
              <w:rPr>
                <w:rFonts w:ascii="Calibri" w:hAnsi="Calibri" w:cs="Calibri"/>
              </w:rPr>
            </w:pPr>
            <w:r w:rsidRPr="00F44EE1">
              <w:rPr>
                <w:rFonts w:ascii="Calibri" w:hAnsi="Calibri" w:cs="Calibri"/>
              </w:rPr>
              <w:t>(1/15/2024)</w:t>
            </w:r>
          </w:p>
        </w:tc>
        <w:tc>
          <w:tcPr>
            <w:tcW w:w="1350" w:type="dxa"/>
          </w:tcPr>
          <w:p w14:paraId="32F21EEF" w14:textId="0DD470B9"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3/15/24</w:t>
            </w:r>
          </w:p>
        </w:tc>
        <w:tc>
          <w:tcPr>
            <w:tcW w:w="1260" w:type="dxa"/>
          </w:tcPr>
          <w:p w14:paraId="0D9981E8" w14:textId="77777777" w:rsidR="00C321B6" w:rsidRPr="00D975C9" w:rsidRDefault="00C321B6" w:rsidP="001D49CA">
            <w:pPr>
              <w:widowControl/>
              <w:autoSpaceDE/>
              <w:autoSpaceDN/>
              <w:adjustRightInd/>
              <w:textAlignment w:val="baseline"/>
              <w:rPr>
                <w:rFonts w:ascii="Calibri" w:hAnsi="Calibri" w:cs="Calibri"/>
                <w:color w:val="709FDB" w:themeColor="text2" w:themeTint="80"/>
              </w:rPr>
            </w:pPr>
            <w:r w:rsidRPr="00D975C9">
              <w:rPr>
                <w:rFonts w:ascii="Calibri" w:hAnsi="Calibri" w:cs="Calibri"/>
              </w:rPr>
              <w:t>1/23/24</w:t>
            </w:r>
          </w:p>
        </w:tc>
        <w:tc>
          <w:tcPr>
            <w:tcW w:w="900" w:type="dxa"/>
          </w:tcPr>
          <w:p w14:paraId="551954E8"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080" w:type="dxa"/>
          </w:tcPr>
          <w:p w14:paraId="47DB27E4"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350" w:type="dxa"/>
          </w:tcPr>
          <w:p w14:paraId="3D9626FA" w14:textId="699CCDCD"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7/15/24</w:t>
            </w:r>
          </w:p>
        </w:tc>
        <w:tc>
          <w:tcPr>
            <w:tcW w:w="1167" w:type="dxa"/>
          </w:tcPr>
          <w:p w14:paraId="446213CB" w14:textId="18E2D620"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1/23/24</w:t>
            </w:r>
          </w:p>
        </w:tc>
      </w:tr>
      <w:tr w:rsidR="00C321B6" w:rsidRPr="00961323" w14:paraId="68021294" w14:textId="77777777" w:rsidTr="001D49CA">
        <w:trPr>
          <w:trHeight w:val="300"/>
        </w:trPr>
        <w:tc>
          <w:tcPr>
            <w:tcW w:w="2425" w:type="dxa"/>
          </w:tcPr>
          <w:p w14:paraId="5B3E8927"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 xml:space="preserve">29 CFR 1910 </w:t>
            </w:r>
          </w:p>
          <w:p w14:paraId="0920816D"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Final Rule on the Hazard Communication Standard</w:t>
            </w:r>
          </w:p>
          <w:p w14:paraId="3F11E76C"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(5/20/2024)</w:t>
            </w:r>
          </w:p>
        </w:tc>
        <w:tc>
          <w:tcPr>
            <w:tcW w:w="1350" w:type="dxa"/>
          </w:tcPr>
          <w:p w14:paraId="2CE7F63F" w14:textId="24996450"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7/19/24</w:t>
            </w:r>
          </w:p>
        </w:tc>
        <w:tc>
          <w:tcPr>
            <w:tcW w:w="1260" w:type="dxa"/>
          </w:tcPr>
          <w:p w14:paraId="59DEAAD3"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6/27/24</w:t>
            </w:r>
          </w:p>
        </w:tc>
        <w:tc>
          <w:tcPr>
            <w:tcW w:w="900" w:type="dxa"/>
          </w:tcPr>
          <w:p w14:paraId="4E4C359F"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080" w:type="dxa"/>
          </w:tcPr>
          <w:p w14:paraId="5CB1EDDA"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350" w:type="dxa"/>
          </w:tcPr>
          <w:p w14:paraId="30FE9CE9" w14:textId="371D0A00"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11/20/24</w:t>
            </w:r>
          </w:p>
        </w:tc>
        <w:tc>
          <w:tcPr>
            <w:tcW w:w="1167" w:type="dxa"/>
          </w:tcPr>
          <w:p w14:paraId="32D672E2"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1/22/25</w:t>
            </w:r>
          </w:p>
        </w:tc>
      </w:tr>
      <w:tr w:rsidR="00C321B6" w:rsidRPr="00961323" w14:paraId="34ED3D25" w14:textId="77777777" w:rsidTr="001D49CA">
        <w:trPr>
          <w:trHeight w:val="300"/>
        </w:trPr>
        <w:tc>
          <w:tcPr>
            <w:tcW w:w="2425" w:type="dxa"/>
          </w:tcPr>
          <w:p w14:paraId="328FA6BC" w14:textId="77777777" w:rsidR="00C321B6" w:rsidRDefault="00C321B6" w:rsidP="001D49CA">
            <w:pPr>
              <w:widowControl/>
              <w:autoSpaceDE/>
              <w:autoSpaceDN/>
              <w:adjustRightInd/>
              <w:textAlignment w:val="baseline"/>
              <w:rPr>
                <w:rFonts w:ascii="Calibri" w:hAnsi="Calibri" w:cs="Calibri"/>
              </w:rPr>
            </w:pPr>
            <w:r>
              <w:rPr>
                <w:rFonts w:ascii="Calibri" w:hAnsi="Calibri" w:cs="Calibri"/>
              </w:rPr>
              <w:t xml:space="preserve">29 CFR 1910 </w:t>
            </w:r>
          </w:p>
          <w:p w14:paraId="4BFC5483"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Final Rule on the Hazard Communication Standard (First Correction)</w:t>
            </w:r>
          </w:p>
          <w:p w14:paraId="2A42F3BE"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(10/9/2024)</w:t>
            </w:r>
          </w:p>
        </w:tc>
        <w:tc>
          <w:tcPr>
            <w:tcW w:w="1350" w:type="dxa"/>
          </w:tcPr>
          <w:p w14:paraId="658D84CE" w14:textId="34EA2EE4"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12/9/24</w:t>
            </w:r>
          </w:p>
        </w:tc>
        <w:tc>
          <w:tcPr>
            <w:tcW w:w="1260" w:type="dxa"/>
          </w:tcPr>
          <w:p w14:paraId="012CC94D"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11/15/24</w:t>
            </w:r>
          </w:p>
        </w:tc>
        <w:tc>
          <w:tcPr>
            <w:tcW w:w="900" w:type="dxa"/>
          </w:tcPr>
          <w:p w14:paraId="2E33491E"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080" w:type="dxa"/>
          </w:tcPr>
          <w:p w14:paraId="0088DBF2"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350" w:type="dxa"/>
          </w:tcPr>
          <w:p w14:paraId="1D6A7BF1"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4/9/2025</w:t>
            </w:r>
          </w:p>
        </w:tc>
        <w:tc>
          <w:tcPr>
            <w:tcW w:w="1167" w:type="dxa"/>
          </w:tcPr>
          <w:p w14:paraId="19217E0B"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1/22/25</w:t>
            </w:r>
          </w:p>
        </w:tc>
      </w:tr>
      <w:tr w:rsidR="00830DCE" w:rsidRPr="00961323" w14:paraId="6D8EEB25" w14:textId="77777777" w:rsidTr="001D49CA">
        <w:trPr>
          <w:trHeight w:val="300"/>
        </w:trPr>
        <w:tc>
          <w:tcPr>
            <w:tcW w:w="2425" w:type="dxa"/>
          </w:tcPr>
          <w:p w14:paraId="0C4F836B" w14:textId="77777777" w:rsidR="00830DCE" w:rsidRDefault="00830DCE" w:rsidP="00830DCE">
            <w:pPr>
              <w:widowControl/>
              <w:autoSpaceDE/>
              <w:autoSpaceDN/>
              <w:adjustRightInd/>
              <w:textAlignment w:val="baseline"/>
              <w:rPr>
                <w:rFonts w:ascii="Calibri" w:hAnsi="Calibri" w:cs="Calibri"/>
              </w:rPr>
            </w:pPr>
            <w:r>
              <w:rPr>
                <w:rFonts w:ascii="Calibri" w:hAnsi="Calibri" w:cs="Calibri"/>
              </w:rPr>
              <w:t xml:space="preserve">29 CFR 1926 </w:t>
            </w:r>
          </w:p>
          <w:p w14:paraId="61716494" w14:textId="77777777" w:rsidR="00830DCE" w:rsidRDefault="00830DCE" w:rsidP="00830DCE">
            <w:pPr>
              <w:widowControl/>
              <w:autoSpaceDE/>
              <w:autoSpaceDN/>
              <w:adjustRightInd/>
              <w:textAlignment w:val="baseline"/>
              <w:rPr>
                <w:rFonts w:ascii="Calibri" w:hAnsi="Calibri" w:cs="Calibri"/>
              </w:rPr>
            </w:pPr>
            <w:r w:rsidRPr="00F44EE1">
              <w:rPr>
                <w:rFonts w:ascii="Calibri" w:hAnsi="Calibri" w:cs="Calibri"/>
              </w:rPr>
              <w:t xml:space="preserve">Personal Protective Equipment in Construction </w:t>
            </w:r>
          </w:p>
          <w:p w14:paraId="562C7142" w14:textId="77777777"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(12/12/2024)</w:t>
            </w:r>
          </w:p>
        </w:tc>
        <w:tc>
          <w:tcPr>
            <w:tcW w:w="1350" w:type="dxa"/>
          </w:tcPr>
          <w:p w14:paraId="0201D59C" w14:textId="1A298FD7"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2/10/25</w:t>
            </w:r>
          </w:p>
        </w:tc>
        <w:tc>
          <w:tcPr>
            <w:tcW w:w="1260" w:type="dxa"/>
          </w:tcPr>
          <w:p w14:paraId="1B6C72FA" w14:textId="41FAF129"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1/15/25</w:t>
            </w:r>
          </w:p>
        </w:tc>
        <w:tc>
          <w:tcPr>
            <w:tcW w:w="900" w:type="dxa"/>
          </w:tcPr>
          <w:p w14:paraId="2A83A83B" w14:textId="2407F95A"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Y</w:t>
            </w:r>
          </w:p>
        </w:tc>
        <w:tc>
          <w:tcPr>
            <w:tcW w:w="1080" w:type="dxa"/>
          </w:tcPr>
          <w:p w14:paraId="17D9ADE3" w14:textId="4AB19BF3"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Y</w:t>
            </w:r>
          </w:p>
        </w:tc>
        <w:tc>
          <w:tcPr>
            <w:tcW w:w="1350" w:type="dxa"/>
          </w:tcPr>
          <w:p w14:paraId="14F097C3" w14:textId="10933FE8"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6/12/25</w:t>
            </w:r>
          </w:p>
        </w:tc>
        <w:tc>
          <w:tcPr>
            <w:tcW w:w="1167" w:type="dxa"/>
          </w:tcPr>
          <w:p w14:paraId="6CFAD374" w14:textId="77777777" w:rsidR="00830DCE" w:rsidRPr="00F44EE1" w:rsidRDefault="00830DCE" w:rsidP="00830DCE">
            <w:pPr>
              <w:widowControl/>
              <w:autoSpaceDE/>
              <w:autoSpaceDN/>
              <w:adjustRightInd/>
              <w:textAlignment w:val="baseline"/>
              <w:rPr>
                <w:rFonts w:ascii="Calibri" w:hAnsi="Calibri" w:cs="Calibri"/>
              </w:rPr>
            </w:pPr>
            <w:r>
              <w:rPr>
                <w:rFonts w:ascii="Calibri" w:hAnsi="Calibri" w:cs="Calibri"/>
              </w:rPr>
              <w:t>10/1/25</w:t>
            </w:r>
          </w:p>
        </w:tc>
      </w:tr>
      <w:tr w:rsidR="00C321B6" w:rsidRPr="00961323" w14:paraId="68F47040" w14:textId="77777777" w:rsidTr="001D49CA">
        <w:trPr>
          <w:trHeight w:val="300"/>
        </w:trPr>
        <w:tc>
          <w:tcPr>
            <w:tcW w:w="2425" w:type="dxa"/>
          </w:tcPr>
          <w:p w14:paraId="1EDFDAC3"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0CD8291C" w14:textId="77777777" w:rsidR="00C321B6" w:rsidRDefault="00C321B6" w:rsidP="001D49CA">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2025</w:t>
            </w:r>
          </w:p>
          <w:p w14:paraId="5BADC879"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(1/10/2025)</w:t>
            </w:r>
          </w:p>
        </w:tc>
        <w:tc>
          <w:tcPr>
            <w:tcW w:w="1350" w:type="dxa"/>
          </w:tcPr>
          <w:p w14:paraId="34F0B7BA" w14:textId="41CCCF2A"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3/11/25</w:t>
            </w:r>
          </w:p>
        </w:tc>
        <w:tc>
          <w:tcPr>
            <w:tcW w:w="1260" w:type="dxa"/>
          </w:tcPr>
          <w:p w14:paraId="11C53862"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2/26/25</w:t>
            </w:r>
          </w:p>
        </w:tc>
        <w:tc>
          <w:tcPr>
            <w:tcW w:w="900" w:type="dxa"/>
          </w:tcPr>
          <w:p w14:paraId="5610CAF6"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080" w:type="dxa"/>
          </w:tcPr>
          <w:p w14:paraId="5D472485"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350" w:type="dxa"/>
          </w:tcPr>
          <w:p w14:paraId="0D50E467" w14:textId="19387C5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7/10/25</w:t>
            </w:r>
          </w:p>
        </w:tc>
        <w:tc>
          <w:tcPr>
            <w:tcW w:w="1167" w:type="dxa"/>
          </w:tcPr>
          <w:p w14:paraId="7356EDF9" w14:textId="77777777" w:rsidR="00C321B6" w:rsidRPr="00F44EE1" w:rsidRDefault="00C321B6" w:rsidP="001D49CA">
            <w:pPr>
              <w:widowControl/>
              <w:autoSpaceDE/>
              <w:autoSpaceDN/>
              <w:adjustRightInd/>
              <w:textAlignment w:val="baseline"/>
              <w:rPr>
                <w:rFonts w:ascii="Calibri" w:hAnsi="Calibri" w:cs="Calibri"/>
              </w:rPr>
            </w:pPr>
            <w:r>
              <w:rPr>
                <w:rFonts w:ascii="Calibri" w:hAnsi="Calibri" w:cs="Calibri"/>
              </w:rPr>
              <w:t>7/1/25</w:t>
            </w:r>
          </w:p>
        </w:tc>
      </w:tr>
    </w:tbl>
    <w:p w14:paraId="20F7A80F" w14:textId="77777777" w:rsidR="003D55A5" w:rsidRDefault="003D55A5" w:rsidP="00C321B6">
      <w:pPr>
        <w:widowControl/>
        <w:autoSpaceDE/>
        <w:autoSpaceDN/>
        <w:adjustRightInd/>
        <w:textAlignment w:val="baseline"/>
        <w:rPr>
          <w:rFonts w:ascii="Calibri" w:hAnsi="Calibri" w:cs="Calibri"/>
          <w:b/>
        </w:rPr>
      </w:pPr>
    </w:p>
    <w:p w14:paraId="75D0676E" w14:textId="739B1EC0"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 xml:space="preserve">Table </w:t>
      </w:r>
      <w:r>
        <w:rPr>
          <w:rFonts w:ascii="Calibri" w:hAnsi="Calibri" w:cs="Calibri"/>
          <w:b/>
        </w:rPr>
        <w:t>B</w:t>
      </w:r>
      <w:r w:rsidRPr="00E3102E">
        <w:rPr>
          <w:rFonts w:ascii="Calibri" w:hAnsi="Calibri" w:cs="Calibri"/>
        </w:rPr>
        <w:t> </w:t>
      </w:r>
    </w:p>
    <w:p w14:paraId="571CD51B" w14:textId="77777777"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Status of FY 2024 and FY 2025 Federal Program Change (FPCs) Where Adoption Was Required</w:t>
      </w:r>
      <w:r w:rsidRPr="00E3102E">
        <w:rPr>
          <w:rFonts w:ascii="Calibri" w:hAnsi="Calibri" w:cs="Calibri"/>
        </w:rPr>
        <w:t> </w:t>
      </w:r>
    </w:p>
    <w:tbl>
      <w:tblPr>
        <w:tblStyle w:val="TableGridLight"/>
        <w:tblW w:w="9622" w:type="dxa"/>
        <w:tblLayout w:type="fixed"/>
        <w:tblLook w:val="04A0" w:firstRow="1" w:lastRow="0" w:firstColumn="1" w:lastColumn="0" w:noHBand="0" w:noVBand="1"/>
      </w:tblPr>
      <w:tblGrid>
        <w:gridCol w:w="2245"/>
        <w:gridCol w:w="1350"/>
        <w:gridCol w:w="1260"/>
        <w:gridCol w:w="900"/>
        <w:gridCol w:w="1167"/>
        <w:gridCol w:w="1353"/>
        <w:gridCol w:w="1347"/>
      </w:tblGrid>
      <w:tr w:rsidR="00C321B6" w:rsidRPr="00961323" w14:paraId="49AEEF40" w14:textId="77777777" w:rsidTr="001D49CA">
        <w:trPr>
          <w:trHeight w:val="300"/>
        </w:trPr>
        <w:tc>
          <w:tcPr>
            <w:tcW w:w="2245" w:type="dxa"/>
            <w:hideMark/>
          </w:tcPr>
          <w:p w14:paraId="0C421EF2" w14:textId="77777777" w:rsidR="00C321B6" w:rsidRPr="00E3102E" w:rsidRDefault="00C321B6" w:rsidP="001D49CA">
            <w:pPr>
              <w:widowControl/>
              <w:autoSpaceDE/>
              <w:autoSpaceDN/>
              <w:adjustRightInd/>
              <w:textAlignment w:val="baseline"/>
              <w:rPr>
                <w:rFonts w:ascii="Calibri" w:hAnsi="Calibri" w:cs="Calibri"/>
                <w:b/>
              </w:rPr>
            </w:pPr>
            <w:r w:rsidRPr="00E3102E">
              <w:rPr>
                <w:rFonts w:ascii="Calibri" w:hAnsi="Calibri" w:cs="Calibri"/>
                <w:b/>
              </w:rPr>
              <w:t xml:space="preserve">FPC </w:t>
            </w:r>
          </w:p>
          <w:p w14:paraId="5FA9E255"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Directive/Subject</w:t>
            </w:r>
            <w:r w:rsidRPr="00E3102E">
              <w:rPr>
                <w:rFonts w:ascii="Calibri" w:hAnsi="Calibri" w:cs="Calibri"/>
              </w:rPr>
              <w:t> </w:t>
            </w:r>
          </w:p>
        </w:tc>
        <w:tc>
          <w:tcPr>
            <w:tcW w:w="1350" w:type="dxa"/>
            <w:hideMark/>
          </w:tcPr>
          <w:p w14:paraId="135CCE78"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hideMark/>
          </w:tcPr>
          <w:p w14:paraId="6A69812C"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900" w:type="dxa"/>
            <w:hideMark/>
          </w:tcPr>
          <w:p w14:paraId="6C8D5BEF" w14:textId="77777777" w:rsidR="00C321B6" w:rsidRPr="00E3102E" w:rsidRDefault="00C321B6" w:rsidP="001D49CA">
            <w:pPr>
              <w:widowControl/>
              <w:autoSpaceDE/>
              <w:autoSpaceDN/>
              <w:adjustRightInd/>
              <w:textAlignment w:val="baseline"/>
              <w:rPr>
                <w:rFonts w:ascii="Calibri" w:hAnsi="Calibri" w:cs="Calibri"/>
                <w:b/>
              </w:rPr>
            </w:pPr>
            <w:r w:rsidRPr="00E3102E">
              <w:rPr>
                <w:rFonts w:ascii="Calibri" w:hAnsi="Calibri" w:cs="Calibri"/>
                <w:b/>
              </w:rPr>
              <w:t xml:space="preserve">Intent </w:t>
            </w:r>
          </w:p>
          <w:p w14:paraId="060CCFB2"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to Adopt</w:t>
            </w:r>
            <w:r w:rsidRPr="00E3102E">
              <w:rPr>
                <w:rFonts w:ascii="Calibri" w:hAnsi="Calibri" w:cs="Calibri"/>
              </w:rPr>
              <w:t> </w:t>
            </w:r>
          </w:p>
        </w:tc>
        <w:tc>
          <w:tcPr>
            <w:tcW w:w="1167" w:type="dxa"/>
            <w:hideMark/>
          </w:tcPr>
          <w:p w14:paraId="34889A7C"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353" w:type="dxa"/>
            <w:hideMark/>
          </w:tcPr>
          <w:p w14:paraId="779B5113"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347" w:type="dxa"/>
            <w:hideMark/>
          </w:tcPr>
          <w:p w14:paraId="1C82316D"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C321B6" w:rsidRPr="00553379" w14:paraId="2E3CD3A4" w14:textId="77777777" w:rsidTr="001D49CA">
        <w:trPr>
          <w:trHeight w:val="300"/>
        </w:trPr>
        <w:tc>
          <w:tcPr>
            <w:tcW w:w="2245" w:type="dxa"/>
          </w:tcPr>
          <w:p w14:paraId="571D3D1F" w14:textId="77777777" w:rsidR="00C321B6" w:rsidRDefault="00C321B6" w:rsidP="001D49CA">
            <w:pPr>
              <w:widowControl/>
              <w:autoSpaceDE/>
              <w:autoSpaceDN/>
              <w:adjustRightInd/>
              <w:textAlignment w:val="baseline"/>
              <w:rPr>
                <w:rFonts w:ascii="Calibri" w:hAnsi="Calibri" w:cs="Calibri"/>
              </w:rPr>
            </w:pPr>
            <w:r w:rsidRPr="00E3102E">
              <w:rPr>
                <w:rFonts w:ascii="Calibri" w:hAnsi="Calibri" w:cs="Calibri"/>
              </w:rPr>
              <w:t>CPL 03-00-027</w:t>
            </w:r>
          </w:p>
          <w:p w14:paraId="17BEA40F"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 xml:space="preserve">National Emphasis Program on Amputations in </w:t>
            </w:r>
            <w:r w:rsidRPr="00E3102E">
              <w:rPr>
                <w:rFonts w:ascii="Calibri" w:hAnsi="Calibri" w:cs="Calibri"/>
              </w:rPr>
              <w:lastRenderedPageBreak/>
              <w:t>Manufacturing Industries</w:t>
            </w:r>
          </w:p>
          <w:p w14:paraId="07A8861B"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(5/29/2025)</w:t>
            </w:r>
          </w:p>
        </w:tc>
        <w:tc>
          <w:tcPr>
            <w:tcW w:w="1350" w:type="dxa"/>
          </w:tcPr>
          <w:p w14:paraId="672D6531" w14:textId="13DAF72C"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lastRenderedPageBreak/>
              <w:t>8/29/25</w:t>
            </w:r>
          </w:p>
        </w:tc>
        <w:tc>
          <w:tcPr>
            <w:tcW w:w="1260" w:type="dxa"/>
          </w:tcPr>
          <w:p w14:paraId="538FE928" w14:textId="4C78B528" w:rsidR="00C321B6" w:rsidRPr="00E3102E" w:rsidRDefault="00830DCE" w:rsidP="001D49CA">
            <w:pPr>
              <w:widowControl/>
              <w:autoSpaceDE/>
              <w:autoSpaceDN/>
              <w:adjustRightInd/>
              <w:textAlignment w:val="baseline"/>
              <w:rPr>
                <w:rFonts w:ascii="Calibri" w:hAnsi="Calibri" w:cs="Calibri"/>
              </w:rPr>
            </w:pPr>
            <w:r>
              <w:rPr>
                <w:rFonts w:ascii="Calibri" w:hAnsi="Calibri" w:cs="Calibri"/>
              </w:rPr>
              <w:t>6/30/25</w:t>
            </w:r>
          </w:p>
        </w:tc>
        <w:tc>
          <w:tcPr>
            <w:tcW w:w="900" w:type="dxa"/>
          </w:tcPr>
          <w:p w14:paraId="52F093FF"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167" w:type="dxa"/>
          </w:tcPr>
          <w:p w14:paraId="726A9020"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353" w:type="dxa"/>
          </w:tcPr>
          <w:p w14:paraId="7D280A71" w14:textId="4E3F8F8E"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12/31/25</w:t>
            </w:r>
          </w:p>
        </w:tc>
        <w:tc>
          <w:tcPr>
            <w:tcW w:w="1347" w:type="dxa"/>
          </w:tcPr>
          <w:p w14:paraId="042583C5" w14:textId="7655A9B3" w:rsidR="00C321B6" w:rsidRPr="003A24EE" w:rsidRDefault="00C321B6" w:rsidP="001D49CA">
            <w:pPr>
              <w:widowControl/>
              <w:autoSpaceDE/>
              <w:autoSpaceDN/>
              <w:adjustRightInd/>
              <w:textAlignment w:val="baseline"/>
              <w:rPr>
                <w:rFonts w:ascii="Calibri" w:hAnsi="Calibri" w:cs="Calibri"/>
              </w:rPr>
            </w:pPr>
            <w:r w:rsidRPr="003A24EE">
              <w:rPr>
                <w:rFonts w:ascii="Calibri" w:hAnsi="Calibri" w:cs="Calibri"/>
              </w:rPr>
              <w:t>NC</w:t>
            </w:r>
            <w:r w:rsidR="003A24EE">
              <w:rPr>
                <w:rFonts w:ascii="Calibri" w:hAnsi="Calibri" w:cs="Calibri"/>
              </w:rPr>
              <w:t xml:space="preserve"> is</w:t>
            </w:r>
            <w:r w:rsidR="003A24EE" w:rsidRPr="003A24EE">
              <w:rPr>
                <w:rFonts w:ascii="Calibri" w:hAnsi="Calibri" w:cs="Calibri"/>
                <w:color w:val="181818"/>
                <w:shd w:val="clear" w:color="auto" w:fill="FFFFFF"/>
              </w:rPr>
              <w:t xml:space="preserve"> ALAE, but not identical</w:t>
            </w:r>
            <w:r w:rsidR="003A24EE">
              <w:rPr>
                <w:rFonts w:ascii="Calibri" w:hAnsi="Calibri" w:cs="Calibri"/>
                <w:color w:val="181818"/>
                <w:shd w:val="clear" w:color="auto" w:fill="FFFFFF"/>
              </w:rPr>
              <w:t>.</w:t>
            </w:r>
          </w:p>
        </w:tc>
      </w:tr>
    </w:tbl>
    <w:p w14:paraId="6E900175" w14:textId="77777777" w:rsidR="00C321B6" w:rsidRDefault="00C321B6" w:rsidP="00C321B6">
      <w:pPr>
        <w:widowControl/>
        <w:autoSpaceDE/>
        <w:autoSpaceDN/>
        <w:adjustRightInd/>
        <w:rPr>
          <w:rFonts w:ascii="Calibri" w:hAnsi="Calibri" w:cs="Calibri"/>
          <w:color w:val="4BACC6" w:themeColor="accent5"/>
        </w:rPr>
      </w:pPr>
    </w:p>
    <w:p w14:paraId="3F7561C1" w14:textId="72893D3D"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 xml:space="preserve">Table </w:t>
      </w:r>
      <w:r>
        <w:rPr>
          <w:rFonts w:ascii="Calibri" w:hAnsi="Calibri" w:cs="Calibri"/>
          <w:b/>
        </w:rPr>
        <w:t>C</w:t>
      </w:r>
    </w:p>
    <w:p w14:paraId="1533EEF3" w14:textId="77777777"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Status of FY 2024 and FY 2025 Federal Program Change (FPCs) Where Equivalency Was Required</w:t>
      </w:r>
      <w:r w:rsidRPr="00E3102E">
        <w:rPr>
          <w:rFonts w:ascii="Calibri" w:hAnsi="Calibri" w:cs="Calibri"/>
        </w:rPr>
        <w:t> </w:t>
      </w:r>
    </w:p>
    <w:tbl>
      <w:tblPr>
        <w:tblStyle w:val="TableGridLight"/>
        <w:tblW w:w="9712" w:type="dxa"/>
        <w:tblLayout w:type="fixed"/>
        <w:tblLook w:val="04A0" w:firstRow="1" w:lastRow="0" w:firstColumn="1" w:lastColumn="0" w:noHBand="0" w:noVBand="1"/>
      </w:tblPr>
      <w:tblGrid>
        <w:gridCol w:w="2245"/>
        <w:gridCol w:w="1350"/>
        <w:gridCol w:w="1260"/>
        <w:gridCol w:w="990"/>
        <w:gridCol w:w="1170"/>
        <w:gridCol w:w="1350"/>
        <w:gridCol w:w="1347"/>
      </w:tblGrid>
      <w:tr w:rsidR="00C321B6" w:rsidRPr="00961323" w14:paraId="38184847" w14:textId="77777777" w:rsidTr="001D49CA">
        <w:trPr>
          <w:trHeight w:val="300"/>
        </w:trPr>
        <w:tc>
          <w:tcPr>
            <w:tcW w:w="2245" w:type="dxa"/>
            <w:hideMark/>
          </w:tcPr>
          <w:p w14:paraId="567491A5"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FPC Directive/Subject</w:t>
            </w:r>
            <w:r w:rsidRPr="00E3102E">
              <w:rPr>
                <w:rFonts w:ascii="Calibri" w:hAnsi="Calibri" w:cs="Calibri"/>
              </w:rPr>
              <w:t> </w:t>
            </w:r>
          </w:p>
        </w:tc>
        <w:tc>
          <w:tcPr>
            <w:tcW w:w="1350" w:type="dxa"/>
            <w:hideMark/>
          </w:tcPr>
          <w:p w14:paraId="5104443A"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hideMark/>
          </w:tcPr>
          <w:p w14:paraId="2BBA4461"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990" w:type="dxa"/>
            <w:hideMark/>
          </w:tcPr>
          <w:p w14:paraId="23DE18E1" w14:textId="77777777" w:rsidR="00C321B6" w:rsidRPr="00E3102E" w:rsidRDefault="00C321B6" w:rsidP="001D49CA">
            <w:pPr>
              <w:widowControl/>
              <w:autoSpaceDE/>
              <w:autoSpaceDN/>
              <w:adjustRightInd/>
              <w:textAlignment w:val="baseline"/>
              <w:rPr>
                <w:rFonts w:ascii="Calibri" w:hAnsi="Calibri" w:cs="Calibri"/>
                <w:b/>
              </w:rPr>
            </w:pPr>
            <w:r w:rsidRPr="00E3102E">
              <w:rPr>
                <w:rFonts w:ascii="Calibri" w:hAnsi="Calibri" w:cs="Calibri"/>
                <w:b/>
              </w:rPr>
              <w:t xml:space="preserve">Intent </w:t>
            </w:r>
          </w:p>
          <w:p w14:paraId="1A6D28D6"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to Adopt</w:t>
            </w:r>
            <w:r w:rsidRPr="00E3102E">
              <w:rPr>
                <w:rFonts w:ascii="Calibri" w:hAnsi="Calibri" w:cs="Calibri"/>
              </w:rPr>
              <w:t> </w:t>
            </w:r>
          </w:p>
        </w:tc>
        <w:tc>
          <w:tcPr>
            <w:tcW w:w="1170" w:type="dxa"/>
            <w:hideMark/>
          </w:tcPr>
          <w:p w14:paraId="68C45CF3"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350" w:type="dxa"/>
            <w:hideMark/>
          </w:tcPr>
          <w:p w14:paraId="502ED3DB"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347" w:type="dxa"/>
            <w:hideMark/>
          </w:tcPr>
          <w:p w14:paraId="2F8262E2"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C321B6" w:rsidRPr="00961323" w14:paraId="23560C0B" w14:textId="77777777" w:rsidTr="001D49CA">
        <w:trPr>
          <w:trHeight w:val="300"/>
        </w:trPr>
        <w:tc>
          <w:tcPr>
            <w:tcW w:w="2245" w:type="dxa"/>
          </w:tcPr>
          <w:p w14:paraId="16998CE9" w14:textId="77777777" w:rsidR="00C321B6" w:rsidRDefault="00C321B6" w:rsidP="001D49CA">
            <w:pPr>
              <w:widowControl/>
              <w:autoSpaceDE/>
              <w:autoSpaceDN/>
              <w:adjustRightInd/>
              <w:textAlignment w:val="baseline"/>
              <w:rPr>
                <w:rFonts w:ascii="Calibri" w:hAnsi="Calibri" w:cs="Calibri"/>
              </w:rPr>
            </w:pPr>
            <w:r w:rsidRPr="00E3102E">
              <w:rPr>
                <w:rFonts w:ascii="Calibri" w:hAnsi="Calibri" w:cs="Calibri"/>
              </w:rPr>
              <w:t xml:space="preserve">CPL 02-01-065 </w:t>
            </w:r>
          </w:p>
          <w:p w14:paraId="1BBF7434"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Process Safety Management of Highly Hazardous Chemicals</w:t>
            </w:r>
          </w:p>
          <w:p w14:paraId="1AD9B327"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(1/26/2024)</w:t>
            </w:r>
          </w:p>
        </w:tc>
        <w:tc>
          <w:tcPr>
            <w:tcW w:w="1350" w:type="dxa"/>
          </w:tcPr>
          <w:p w14:paraId="2CBAA4DA" w14:textId="55D1B6D1"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3/26/24</w:t>
            </w:r>
          </w:p>
        </w:tc>
        <w:tc>
          <w:tcPr>
            <w:tcW w:w="1260" w:type="dxa"/>
          </w:tcPr>
          <w:p w14:paraId="0F531631"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3/27/24</w:t>
            </w:r>
          </w:p>
        </w:tc>
        <w:tc>
          <w:tcPr>
            <w:tcW w:w="990" w:type="dxa"/>
          </w:tcPr>
          <w:p w14:paraId="018704DC"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170" w:type="dxa"/>
          </w:tcPr>
          <w:p w14:paraId="33D22219"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350" w:type="dxa"/>
          </w:tcPr>
          <w:p w14:paraId="1F72D913" w14:textId="6C58DE3B"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7/26/24</w:t>
            </w:r>
          </w:p>
        </w:tc>
        <w:tc>
          <w:tcPr>
            <w:tcW w:w="1347" w:type="dxa"/>
          </w:tcPr>
          <w:p w14:paraId="13FE7187" w14:textId="345754AE" w:rsidR="00C321B6" w:rsidRPr="009644AF" w:rsidRDefault="00C321B6" w:rsidP="001D49CA">
            <w:pPr>
              <w:widowControl/>
              <w:autoSpaceDE/>
              <w:autoSpaceDN/>
              <w:adjustRightInd/>
              <w:textAlignment w:val="baseline"/>
              <w:rPr>
                <w:rStyle w:val="CommentReference"/>
                <w:rFonts w:ascii="Calibri" w:hAnsi="Calibri" w:cs="Calibri"/>
                <w:sz w:val="22"/>
                <w:szCs w:val="22"/>
              </w:rPr>
            </w:pPr>
          </w:p>
        </w:tc>
      </w:tr>
      <w:tr w:rsidR="00C321B6" w:rsidRPr="00E3102E" w14:paraId="40D106C8" w14:textId="77777777" w:rsidTr="001D49CA">
        <w:trPr>
          <w:trHeight w:val="300"/>
        </w:trPr>
        <w:tc>
          <w:tcPr>
            <w:tcW w:w="2245" w:type="dxa"/>
          </w:tcPr>
          <w:p w14:paraId="3718C279" w14:textId="77777777" w:rsidR="00C321B6" w:rsidRDefault="00C321B6" w:rsidP="001D49CA">
            <w:pPr>
              <w:widowControl/>
              <w:autoSpaceDE/>
              <w:autoSpaceDN/>
              <w:adjustRightInd/>
              <w:rPr>
                <w:rFonts w:ascii="Calibri" w:hAnsi="Calibri" w:cs="Calibri"/>
              </w:rPr>
            </w:pPr>
            <w:r w:rsidRPr="00E3102E">
              <w:rPr>
                <w:rFonts w:ascii="Calibri" w:hAnsi="Calibri" w:cs="Calibri"/>
              </w:rPr>
              <w:t xml:space="preserve">CPL 02-00-172 </w:t>
            </w:r>
          </w:p>
          <w:p w14:paraId="4BE96E31"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Part 1904 Recordkeeping Policies and Procedures Directive</w:t>
            </w:r>
          </w:p>
          <w:p w14:paraId="553521DF"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(1/10/2025)</w:t>
            </w:r>
          </w:p>
        </w:tc>
        <w:tc>
          <w:tcPr>
            <w:tcW w:w="1350" w:type="dxa"/>
          </w:tcPr>
          <w:p w14:paraId="72613A35" w14:textId="06D47EEE"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7/28/25</w:t>
            </w:r>
          </w:p>
        </w:tc>
        <w:tc>
          <w:tcPr>
            <w:tcW w:w="1260" w:type="dxa"/>
          </w:tcPr>
          <w:p w14:paraId="1702E710" w14:textId="02B3F510" w:rsidR="00C321B6" w:rsidRPr="00E3102E" w:rsidRDefault="00830DCE" w:rsidP="001D49CA">
            <w:pPr>
              <w:widowControl/>
              <w:autoSpaceDE/>
              <w:autoSpaceDN/>
              <w:adjustRightInd/>
              <w:textAlignment w:val="baseline"/>
              <w:rPr>
                <w:rFonts w:ascii="Calibri" w:hAnsi="Calibri" w:cs="Calibri"/>
              </w:rPr>
            </w:pPr>
            <w:r>
              <w:rPr>
                <w:rFonts w:ascii="Calibri" w:hAnsi="Calibri" w:cs="Calibri"/>
              </w:rPr>
              <w:t>6/26/25</w:t>
            </w:r>
          </w:p>
        </w:tc>
        <w:tc>
          <w:tcPr>
            <w:tcW w:w="990" w:type="dxa"/>
          </w:tcPr>
          <w:p w14:paraId="65670230"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170" w:type="dxa"/>
          </w:tcPr>
          <w:p w14:paraId="3BCBE02D"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350" w:type="dxa"/>
          </w:tcPr>
          <w:p w14:paraId="1763F80A" w14:textId="0000E416"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11/29/25</w:t>
            </w:r>
          </w:p>
        </w:tc>
        <w:tc>
          <w:tcPr>
            <w:tcW w:w="1347" w:type="dxa"/>
          </w:tcPr>
          <w:p w14:paraId="712F5B5E" w14:textId="77777777" w:rsidR="00C321B6" w:rsidRPr="00E3102E" w:rsidRDefault="00C321B6" w:rsidP="001D49CA">
            <w:pPr>
              <w:widowControl/>
              <w:autoSpaceDE/>
              <w:autoSpaceDN/>
              <w:adjustRightInd/>
              <w:textAlignment w:val="baseline"/>
              <w:rPr>
                <w:rStyle w:val="CommentReference"/>
                <w:rFonts w:ascii="Calibri" w:hAnsi="Calibri" w:cs="Calibri"/>
                <w:sz w:val="22"/>
                <w:szCs w:val="22"/>
              </w:rPr>
            </w:pPr>
            <w:r>
              <w:rPr>
                <w:rStyle w:val="CommentReference"/>
                <w:rFonts w:ascii="Calibri" w:hAnsi="Calibri" w:cs="Calibri"/>
                <w:sz w:val="22"/>
                <w:szCs w:val="22"/>
              </w:rPr>
              <w:t>9/30/25</w:t>
            </w:r>
          </w:p>
        </w:tc>
      </w:tr>
      <w:tr w:rsidR="00C321B6" w:rsidRPr="00E3102E" w14:paraId="0639E7BD" w14:textId="77777777" w:rsidTr="001D49CA">
        <w:trPr>
          <w:trHeight w:val="300"/>
        </w:trPr>
        <w:tc>
          <w:tcPr>
            <w:tcW w:w="2245" w:type="dxa"/>
          </w:tcPr>
          <w:p w14:paraId="2DFDF435" w14:textId="77777777" w:rsidR="00C321B6" w:rsidRDefault="00C321B6" w:rsidP="001D49CA">
            <w:pPr>
              <w:widowControl/>
              <w:autoSpaceDE/>
              <w:autoSpaceDN/>
              <w:adjustRightInd/>
              <w:rPr>
                <w:rFonts w:ascii="Calibri" w:hAnsi="Calibri" w:cs="Calibri"/>
              </w:rPr>
            </w:pPr>
            <w:r w:rsidRPr="00E3102E">
              <w:rPr>
                <w:rFonts w:ascii="Calibri" w:hAnsi="Calibri" w:cs="Calibri"/>
              </w:rPr>
              <w:t xml:space="preserve">CPL 02-01-067 </w:t>
            </w:r>
          </w:p>
          <w:p w14:paraId="028E6F06"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Site Specific Targeting</w:t>
            </w:r>
          </w:p>
          <w:p w14:paraId="2D45DD85"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(4/8/2025)</w:t>
            </w:r>
          </w:p>
        </w:tc>
        <w:tc>
          <w:tcPr>
            <w:tcW w:w="1350" w:type="dxa"/>
          </w:tcPr>
          <w:p w14:paraId="6C5014D4"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7/27/2025</w:t>
            </w:r>
          </w:p>
        </w:tc>
        <w:tc>
          <w:tcPr>
            <w:tcW w:w="1260" w:type="dxa"/>
          </w:tcPr>
          <w:p w14:paraId="573BEDDE"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7/28/25</w:t>
            </w:r>
          </w:p>
        </w:tc>
        <w:tc>
          <w:tcPr>
            <w:tcW w:w="990" w:type="dxa"/>
          </w:tcPr>
          <w:p w14:paraId="31214A5F"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Y</w:t>
            </w:r>
          </w:p>
        </w:tc>
        <w:tc>
          <w:tcPr>
            <w:tcW w:w="1170" w:type="dxa"/>
          </w:tcPr>
          <w:p w14:paraId="652EE77D"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350" w:type="dxa"/>
          </w:tcPr>
          <w:p w14:paraId="5373A377" w14:textId="1481D7C3"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11/28/25</w:t>
            </w:r>
          </w:p>
        </w:tc>
        <w:tc>
          <w:tcPr>
            <w:tcW w:w="1347" w:type="dxa"/>
          </w:tcPr>
          <w:p w14:paraId="1652EC24" w14:textId="21B01543" w:rsidR="00C321B6" w:rsidRPr="00E3102E" w:rsidRDefault="003A24EE" w:rsidP="001D49CA">
            <w:pPr>
              <w:widowControl/>
              <w:autoSpaceDE/>
              <w:autoSpaceDN/>
              <w:adjustRightInd/>
              <w:textAlignment w:val="baseline"/>
              <w:rPr>
                <w:rStyle w:val="CommentReference"/>
                <w:rFonts w:ascii="Calibri" w:hAnsi="Calibri" w:cs="Calibri"/>
                <w:sz w:val="22"/>
                <w:szCs w:val="22"/>
              </w:rPr>
            </w:pPr>
            <w:r w:rsidRPr="003A24EE">
              <w:rPr>
                <w:rFonts w:ascii="Calibri" w:hAnsi="Calibri" w:cs="Calibri"/>
              </w:rPr>
              <w:t>NC</w:t>
            </w:r>
            <w:r>
              <w:rPr>
                <w:rFonts w:ascii="Calibri" w:hAnsi="Calibri" w:cs="Calibri"/>
              </w:rPr>
              <w:t xml:space="preserve"> is</w:t>
            </w:r>
            <w:r w:rsidRPr="003A24EE">
              <w:rPr>
                <w:rFonts w:ascii="Calibri" w:hAnsi="Calibri" w:cs="Calibri"/>
                <w:color w:val="181818"/>
                <w:shd w:val="clear" w:color="auto" w:fill="FFFFFF"/>
              </w:rPr>
              <w:t xml:space="preserve"> ALAE, but not identical</w:t>
            </w:r>
            <w:r>
              <w:rPr>
                <w:rFonts w:ascii="Calibri" w:hAnsi="Calibri" w:cs="Calibri"/>
                <w:color w:val="181818"/>
                <w:shd w:val="clear" w:color="auto" w:fill="FFFFFF"/>
              </w:rPr>
              <w:t>.</w:t>
            </w:r>
          </w:p>
        </w:tc>
      </w:tr>
      <w:tr w:rsidR="00C321B6" w:rsidRPr="00E3102E" w14:paraId="78B5FBDE" w14:textId="77777777" w:rsidTr="001D49CA">
        <w:trPr>
          <w:trHeight w:val="300"/>
        </w:trPr>
        <w:tc>
          <w:tcPr>
            <w:tcW w:w="2245" w:type="dxa"/>
          </w:tcPr>
          <w:p w14:paraId="767BFC26" w14:textId="77777777" w:rsidR="00C321B6" w:rsidRDefault="00C321B6" w:rsidP="001D49CA">
            <w:pPr>
              <w:widowControl/>
              <w:autoSpaceDE/>
              <w:autoSpaceDN/>
              <w:adjustRightInd/>
              <w:rPr>
                <w:rFonts w:ascii="Calibri" w:hAnsi="Calibri" w:cs="Calibri"/>
              </w:rPr>
            </w:pPr>
            <w:r w:rsidRPr="00E3102E">
              <w:rPr>
                <w:rFonts w:ascii="Calibri" w:hAnsi="Calibri" w:cs="Calibri"/>
              </w:rPr>
              <w:t xml:space="preserve">CPL 02-00-164 </w:t>
            </w:r>
          </w:p>
          <w:p w14:paraId="0D852A61"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Field Operations Manual (FOM) Update, Chapter 6, Penalties and Debt Collection</w:t>
            </w:r>
          </w:p>
          <w:p w14:paraId="48B7865B" w14:textId="77777777" w:rsidR="00C321B6" w:rsidRPr="00E3102E" w:rsidRDefault="00C321B6" w:rsidP="001D49CA">
            <w:pPr>
              <w:widowControl/>
              <w:autoSpaceDE/>
              <w:autoSpaceDN/>
              <w:adjustRightInd/>
              <w:rPr>
                <w:rFonts w:ascii="Calibri" w:hAnsi="Calibri" w:cs="Calibri"/>
              </w:rPr>
            </w:pPr>
            <w:r w:rsidRPr="00E3102E">
              <w:rPr>
                <w:rFonts w:ascii="Calibri" w:hAnsi="Calibri" w:cs="Calibri"/>
              </w:rPr>
              <w:t>(7/2/2025)</w:t>
            </w:r>
          </w:p>
        </w:tc>
        <w:tc>
          <w:tcPr>
            <w:tcW w:w="1350" w:type="dxa"/>
          </w:tcPr>
          <w:p w14:paraId="43AA36F6" w14:textId="2FBE71EF"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9/22/25</w:t>
            </w:r>
          </w:p>
        </w:tc>
        <w:tc>
          <w:tcPr>
            <w:tcW w:w="1260" w:type="dxa"/>
          </w:tcPr>
          <w:p w14:paraId="740B5667" w14:textId="5F7DDB6E" w:rsidR="00C321B6" w:rsidRPr="00E3102E" w:rsidRDefault="00830DCE" w:rsidP="001D49CA">
            <w:pPr>
              <w:widowControl/>
              <w:autoSpaceDE/>
              <w:autoSpaceDN/>
              <w:adjustRightInd/>
              <w:textAlignment w:val="baseline"/>
              <w:rPr>
                <w:rFonts w:ascii="Calibri" w:hAnsi="Calibri" w:cs="Calibri"/>
              </w:rPr>
            </w:pPr>
            <w:r>
              <w:rPr>
                <w:rFonts w:ascii="Calibri" w:hAnsi="Calibri" w:cs="Calibri"/>
              </w:rPr>
              <w:t>9/21/25</w:t>
            </w:r>
          </w:p>
        </w:tc>
        <w:tc>
          <w:tcPr>
            <w:tcW w:w="990" w:type="dxa"/>
          </w:tcPr>
          <w:p w14:paraId="71FEA1DB"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170" w:type="dxa"/>
          </w:tcPr>
          <w:p w14:paraId="509432E3" w14:textId="77777777" w:rsidR="00C321B6" w:rsidRPr="00E3102E" w:rsidRDefault="00C321B6" w:rsidP="001D49CA">
            <w:pPr>
              <w:widowControl/>
              <w:autoSpaceDE/>
              <w:autoSpaceDN/>
              <w:adjustRightInd/>
              <w:textAlignment w:val="baseline"/>
              <w:rPr>
                <w:rFonts w:ascii="Calibri" w:hAnsi="Calibri" w:cs="Calibri"/>
              </w:rPr>
            </w:pPr>
            <w:r>
              <w:rPr>
                <w:rFonts w:ascii="Calibri" w:hAnsi="Calibri" w:cs="Calibri"/>
              </w:rPr>
              <w:t>N</w:t>
            </w:r>
          </w:p>
        </w:tc>
        <w:tc>
          <w:tcPr>
            <w:tcW w:w="1350" w:type="dxa"/>
          </w:tcPr>
          <w:p w14:paraId="607110B2" w14:textId="12758FAD"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rPr>
              <w:t>1/24/26</w:t>
            </w:r>
          </w:p>
        </w:tc>
        <w:tc>
          <w:tcPr>
            <w:tcW w:w="1347" w:type="dxa"/>
          </w:tcPr>
          <w:p w14:paraId="6C9A5B85" w14:textId="77777777" w:rsidR="00C321B6" w:rsidRPr="00E3102E" w:rsidRDefault="00C321B6" w:rsidP="001D49CA">
            <w:pPr>
              <w:widowControl/>
              <w:autoSpaceDE/>
              <w:autoSpaceDN/>
              <w:adjustRightInd/>
              <w:textAlignment w:val="baseline"/>
              <w:rPr>
                <w:rStyle w:val="CommentReference"/>
                <w:rFonts w:ascii="Calibri" w:hAnsi="Calibri" w:cs="Calibri"/>
                <w:sz w:val="22"/>
                <w:szCs w:val="22"/>
              </w:rPr>
            </w:pPr>
          </w:p>
        </w:tc>
      </w:tr>
    </w:tbl>
    <w:p w14:paraId="3E1491A7" w14:textId="77777777" w:rsidR="00C321B6" w:rsidRPr="00E3102E" w:rsidRDefault="00C321B6" w:rsidP="00C321B6">
      <w:pPr>
        <w:widowControl/>
        <w:autoSpaceDE/>
        <w:autoSpaceDN/>
        <w:adjustRightInd/>
        <w:jc w:val="center"/>
        <w:rPr>
          <w:rFonts w:ascii="Calibri" w:hAnsi="Calibri" w:cs="Calibri"/>
          <w:b/>
        </w:rPr>
      </w:pPr>
    </w:p>
    <w:p w14:paraId="36247C93" w14:textId="79CCCE0E"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 xml:space="preserve">Table </w:t>
      </w:r>
      <w:r>
        <w:rPr>
          <w:rFonts w:ascii="Calibri" w:hAnsi="Calibri" w:cs="Calibri"/>
          <w:b/>
        </w:rPr>
        <w:t>D</w:t>
      </w:r>
    </w:p>
    <w:p w14:paraId="30CBE321" w14:textId="77777777" w:rsidR="00C321B6" w:rsidRPr="00E3102E" w:rsidRDefault="00C321B6" w:rsidP="00C321B6">
      <w:pPr>
        <w:widowControl/>
        <w:autoSpaceDE/>
        <w:autoSpaceDN/>
        <w:adjustRightInd/>
        <w:textAlignment w:val="baseline"/>
        <w:rPr>
          <w:rFonts w:ascii="Calibri" w:hAnsi="Calibri" w:cs="Calibri"/>
        </w:rPr>
      </w:pPr>
      <w:r w:rsidRPr="00E3102E">
        <w:rPr>
          <w:rFonts w:ascii="Calibri" w:hAnsi="Calibri" w:cs="Calibri"/>
          <w:b/>
        </w:rPr>
        <w:t>Status of FY 2024 and FY 2025 Federal Program Change (FPCs) Where Adoption Encouraged</w:t>
      </w:r>
      <w:r w:rsidRPr="00E3102E">
        <w:rPr>
          <w:rFonts w:ascii="Calibri" w:hAnsi="Calibri" w:cs="Calibri"/>
        </w:rPr>
        <w:t> </w:t>
      </w:r>
    </w:p>
    <w:tbl>
      <w:tblPr>
        <w:tblStyle w:val="TableGridLight"/>
        <w:tblW w:w="9712" w:type="dxa"/>
        <w:tblLook w:val="04A0" w:firstRow="1" w:lastRow="0" w:firstColumn="1" w:lastColumn="0" w:noHBand="0" w:noVBand="1"/>
      </w:tblPr>
      <w:tblGrid>
        <w:gridCol w:w="2412"/>
        <w:gridCol w:w="1375"/>
        <w:gridCol w:w="1306"/>
        <w:gridCol w:w="1486"/>
        <w:gridCol w:w="1278"/>
        <w:gridCol w:w="1855"/>
      </w:tblGrid>
      <w:tr w:rsidR="00C321B6" w:rsidRPr="00412FCC" w14:paraId="520819B5" w14:textId="77777777" w:rsidTr="00C321B6">
        <w:trPr>
          <w:trHeight w:val="300"/>
        </w:trPr>
        <w:tc>
          <w:tcPr>
            <w:tcW w:w="2412" w:type="dxa"/>
            <w:hideMark/>
          </w:tcPr>
          <w:p w14:paraId="4438C150"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FPC Directive/Subject</w:t>
            </w:r>
            <w:r w:rsidRPr="00E3102E">
              <w:rPr>
                <w:rFonts w:ascii="Calibri" w:hAnsi="Calibri" w:cs="Calibri"/>
              </w:rPr>
              <w:t> </w:t>
            </w:r>
          </w:p>
        </w:tc>
        <w:tc>
          <w:tcPr>
            <w:tcW w:w="1375" w:type="dxa"/>
            <w:hideMark/>
          </w:tcPr>
          <w:p w14:paraId="505D0270"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306" w:type="dxa"/>
            <w:hideMark/>
          </w:tcPr>
          <w:p w14:paraId="1B335D81"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1486" w:type="dxa"/>
            <w:hideMark/>
          </w:tcPr>
          <w:p w14:paraId="1C96D709"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Intent to Adopt</w:t>
            </w:r>
            <w:r w:rsidRPr="00E3102E">
              <w:rPr>
                <w:rFonts w:ascii="Calibri" w:hAnsi="Calibri" w:cs="Calibri"/>
              </w:rPr>
              <w:t> </w:t>
            </w:r>
          </w:p>
        </w:tc>
        <w:tc>
          <w:tcPr>
            <w:tcW w:w="1278" w:type="dxa"/>
            <w:hideMark/>
          </w:tcPr>
          <w:p w14:paraId="61C43E72"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855" w:type="dxa"/>
            <w:hideMark/>
          </w:tcPr>
          <w:p w14:paraId="409C94E0"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C321B6" w:rsidRPr="00412FCC" w14:paraId="5CBF10FE" w14:textId="77777777" w:rsidTr="00C321B6">
        <w:trPr>
          <w:trHeight w:val="300"/>
        </w:trPr>
        <w:tc>
          <w:tcPr>
            <w:tcW w:w="2412" w:type="dxa"/>
          </w:tcPr>
          <w:p w14:paraId="1BCF27C5" w14:textId="77777777" w:rsidR="00C321B6" w:rsidRDefault="00C321B6" w:rsidP="001D49CA">
            <w:pPr>
              <w:widowControl/>
              <w:autoSpaceDE/>
              <w:autoSpaceDN/>
              <w:adjustRightInd/>
              <w:textAlignment w:val="baseline"/>
              <w:rPr>
                <w:rFonts w:ascii="Calibri" w:hAnsi="Calibri" w:cs="Calibri"/>
                <w:bCs/>
              </w:rPr>
            </w:pPr>
            <w:r w:rsidRPr="00E3102E">
              <w:rPr>
                <w:rFonts w:ascii="Calibri" w:hAnsi="Calibri" w:cs="Calibri"/>
                <w:bCs/>
              </w:rPr>
              <w:t xml:space="preserve">CPL 02-00-171 </w:t>
            </w:r>
          </w:p>
          <w:p w14:paraId="7535836F" w14:textId="77777777" w:rsidR="00C321B6" w:rsidRPr="00E3102E" w:rsidRDefault="00C321B6" w:rsidP="001D49CA">
            <w:pPr>
              <w:widowControl/>
              <w:autoSpaceDE/>
              <w:autoSpaceDN/>
              <w:adjustRightInd/>
              <w:textAlignment w:val="baseline"/>
              <w:rPr>
                <w:rFonts w:ascii="Calibri" w:hAnsi="Calibri" w:cs="Calibri"/>
                <w:bCs/>
              </w:rPr>
            </w:pPr>
            <w:r w:rsidRPr="00E3102E">
              <w:rPr>
                <w:rFonts w:ascii="Calibri" w:hAnsi="Calibri" w:cs="Calibri"/>
                <w:bCs/>
              </w:rPr>
              <w:t>Communicating OSHA Fatality Inspection Procedures to a Fallen Worker’s Family</w:t>
            </w:r>
          </w:p>
          <w:p w14:paraId="2100357C" w14:textId="77777777"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Cs/>
              </w:rPr>
              <w:t>(8/26/2024)</w:t>
            </w:r>
          </w:p>
        </w:tc>
        <w:tc>
          <w:tcPr>
            <w:tcW w:w="1375" w:type="dxa"/>
          </w:tcPr>
          <w:p w14:paraId="201088C7" w14:textId="19DE681D" w:rsidR="00C321B6" w:rsidRPr="00E3102E" w:rsidRDefault="00C321B6" w:rsidP="001D49CA">
            <w:pPr>
              <w:widowControl/>
              <w:autoSpaceDE/>
              <w:autoSpaceDN/>
              <w:adjustRightInd/>
              <w:textAlignment w:val="baseline"/>
              <w:rPr>
                <w:rFonts w:ascii="Calibri" w:hAnsi="Calibri" w:cs="Calibri"/>
              </w:rPr>
            </w:pPr>
            <w:r w:rsidRPr="00E3102E">
              <w:rPr>
                <w:rFonts w:ascii="Calibri" w:hAnsi="Calibri" w:cs="Calibri"/>
                <w:bCs/>
              </w:rPr>
              <w:t>10/25/24</w:t>
            </w:r>
          </w:p>
        </w:tc>
        <w:tc>
          <w:tcPr>
            <w:tcW w:w="1306" w:type="dxa"/>
          </w:tcPr>
          <w:p w14:paraId="355BECA5" w14:textId="1C43DB67" w:rsidR="00C321B6" w:rsidRPr="00E3102E" w:rsidRDefault="00830DCE" w:rsidP="001D49CA">
            <w:pPr>
              <w:widowControl/>
              <w:autoSpaceDE/>
              <w:autoSpaceDN/>
              <w:adjustRightInd/>
              <w:textAlignment w:val="baseline"/>
              <w:rPr>
                <w:rFonts w:ascii="Calibri" w:hAnsi="Calibri" w:cs="Calibri"/>
              </w:rPr>
            </w:pPr>
            <w:r>
              <w:rPr>
                <w:rFonts w:ascii="Calibri" w:hAnsi="Calibri" w:cs="Calibri"/>
              </w:rPr>
              <w:t>8/26/24</w:t>
            </w:r>
          </w:p>
        </w:tc>
        <w:tc>
          <w:tcPr>
            <w:tcW w:w="1486" w:type="dxa"/>
          </w:tcPr>
          <w:p w14:paraId="2292522E" w14:textId="77777777" w:rsidR="00C321B6" w:rsidRPr="002C5533" w:rsidRDefault="00C321B6" w:rsidP="001D49CA">
            <w:pPr>
              <w:widowControl/>
              <w:autoSpaceDE/>
              <w:autoSpaceDN/>
              <w:adjustRightInd/>
              <w:textAlignment w:val="baseline"/>
              <w:rPr>
                <w:rFonts w:ascii="Calibri" w:hAnsi="Calibri" w:cs="Calibri"/>
                <w:bCs/>
              </w:rPr>
            </w:pPr>
            <w:r w:rsidRPr="002C5533">
              <w:rPr>
                <w:rFonts w:ascii="Calibri" w:hAnsi="Calibri" w:cs="Calibri"/>
                <w:bCs/>
              </w:rPr>
              <w:t>Y</w:t>
            </w:r>
          </w:p>
        </w:tc>
        <w:tc>
          <w:tcPr>
            <w:tcW w:w="1278" w:type="dxa"/>
          </w:tcPr>
          <w:p w14:paraId="62677930" w14:textId="77777777" w:rsidR="00C321B6" w:rsidRPr="002C5533" w:rsidRDefault="00C321B6" w:rsidP="001D49CA">
            <w:pPr>
              <w:widowControl/>
              <w:autoSpaceDE/>
              <w:autoSpaceDN/>
              <w:adjustRightInd/>
              <w:textAlignment w:val="baseline"/>
              <w:rPr>
                <w:rFonts w:ascii="Calibri" w:hAnsi="Calibri" w:cs="Calibri"/>
                <w:bCs/>
              </w:rPr>
            </w:pPr>
            <w:r w:rsidRPr="002C5533">
              <w:rPr>
                <w:rFonts w:ascii="Calibri" w:hAnsi="Calibri" w:cs="Calibri"/>
                <w:bCs/>
              </w:rPr>
              <w:t>N</w:t>
            </w:r>
          </w:p>
        </w:tc>
        <w:tc>
          <w:tcPr>
            <w:tcW w:w="1855" w:type="dxa"/>
          </w:tcPr>
          <w:p w14:paraId="36A11568" w14:textId="7562CE5D" w:rsidR="00C321B6" w:rsidRPr="002C5533" w:rsidRDefault="003A24EE" w:rsidP="001D49CA">
            <w:pPr>
              <w:widowControl/>
              <w:autoSpaceDE/>
              <w:autoSpaceDN/>
              <w:adjustRightInd/>
              <w:textAlignment w:val="baseline"/>
              <w:rPr>
                <w:rFonts w:ascii="Calibri" w:hAnsi="Calibri" w:cs="Calibri"/>
                <w:bCs/>
              </w:rPr>
            </w:pPr>
            <w:r w:rsidRPr="003A24EE">
              <w:rPr>
                <w:rFonts w:ascii="Calibri" w:hAnsi="Calibri" w:cs="Calibri"/>
              </w:rPr>
              <w:t>NC</w:t>
            </w:r>
            <w:r>
              <w:rPr>
                <w:rFonts w:ascii="Calibri" w:hAnsi="Calibri" w:cs="Calibri"/>
              </w:rPr>
              <w:t xml:space="preserve"> is</w:t>
            </w:r>
            <w:r w:rsidRPr="003A24EE">
              <w:rPr>
                <w:rFonts w:ascii="Calibri" w:hAnsi="Calibri" w:cs="Calibri"/>
                <w:color w:val="181818"/>
                <w:shd w:val="clear" w:color="auto" w:fill="FFFFFF"/>
              </w:rPr>
              <w:t xml:space="preserve"> ALAE, but not identical</w:t>
            </w:r>
            <w:r>
              <w:rPr>
                <w:rFonts w:ascii="Calibri" w:hAnsi="Calibri" w:cs="Calibri"/>
                <w:color w:val="181818"/>
                <w:shd w:val="clear" w:color="auto" w:fill="FFFFFF"/>
              </w:rPr>
              <w:t>.</w:t>
            </w:r>
          </w:p>
        </w:tc>
      </w:tr>
    </w:tbl>
    <w:p w14:paraId="07FE9141" w14:textId="56B640A4" w:rsidR="00B3199D" w:rsidRDefault="00B3199D" w:rsidP="0066611D">
      <w:pPr>
        <w:widowControl/>
        <w:autoSpaceDE/>
        <w:autoSpaceDN/>
        <w:adjustRightInd/>
        <w:rPr>
          <w:rFonts w:ascii="Calibri" w:hAnsi="Calibri" w:cs="Calibri"/>
          <w:b/>
        </w:rPr>
      </w:pPr>
    </w:p>
    <w:p w14:paraId="647C1B3B" w14:textId="77777777" w:rsidR="00204792" w:rsidRDefault="00204792" w:rsidP="0066611D">
      <w:pPr>
        <w:widowControl/>
        <w:autoSpaceDE/>
        <w:autoSpaceDN/>
        <w:adjustRightInd/>
        <w:rPr>
          <w:rFonts w:ascii="Calibri" w:hAnsi="Calibri" w:cs="Calibri"/>
          <w:b/>
        </w:rPr>
      </w:pPr>
    </w:p>
    <w:p w14:paraId="56735A05" w14:textId="77777777" w:rsidR="00204792" w:rsidRPr="000140B4" w:rsidRDefault="00204792" w:rsidP="0066611D">
      <w:pPr>
        <w:widowControl/>
        <w:autoSpaceDE/>
        <w:autoSpaceDN/>
        <w:adjustRightInd/>
        <w:rPr>
          <w:rFonts w:ascii="Calibri" w:hAnsi="Calibri" w:cs="Calibri"/>
          <w:b/>
        </w:rPr>
      </w:pPr>
    </w:p>
    <w:p w14:paraId="1320EBB4" w14:textId="77777777" w:rsidR="0066611D" w:rsidRDefault="0066611D" w:rsidP="0066611D">
      <w:pPr>
        <w:tabs>
          <w:tab w:val="left" w:pos="720"/>
          <w:tab w:val="left" w:pos="810"/>
        </w:tabs>
        <w:ind w:firstLine="360"/>
        <w:rPr>
          <w:rFonts w:asciiTheme="minorHAnsi" w:hAnsiTheme="minorHAnsi" w:cstheme="minorHAnsi"/>
          <w:b/>
          <w:caps/>
        </w:rPr>
      </w:pPr>
      <w:r w:rsidRPr="0066611D">
        <w:rPr>
          <w:rFonts w:asciiTheme="minorHAnsi" w:hAnsiTheme="minorHAnsi" w:cstheme="minorHAnsi"/>
          <w:b/>
        </w:rPr>
        <w:t xml:space="preserve">5.    </w:t>
      </w:r>
      <w:r w:rsidRPr="0066611D">
        <w:rPr>
          <w:rFonts w:asciiTheme="minorHAnsi" w:hAnsiTheme="minorHAnsi" w:cstheme="minorHAnsi"/>
          <w:b/>
          <w:caps/>
        </w:rPr>
        <w:t xml:space="preserve">Variances </w:t>
      </w:r>
    </w:p>
    <w:p w14:paraId="2685A3E4" w14:textId="77777777" w:rsidR="00752FD3" w:rsidRPr="0066611D" w:rsidRDefault="00752FD3" w:rsidP="0066611D">
      <w:pPr>
        <w:tabs>
          <w:tab w:val="left" w:pos="720"/>
          <w:tab w:val="left" w:pos="810"/>
        </w:tabs>
        <w:ind w:firstLine="360"/>
        <w:rPr>
          <w:rFonts w:asciiTheme="minorHAnsi" w:hAnsiTheme="minorHAnsi" w:cstheme="minorHAnsi"/>
          <w:b/>
          <w:caps/>
        </w:rPr>
      </w:pPr>
    </w:p>
    <w:p w14:paraId="2BC5AD2A" w14:textId="77777777" w:rsidR="00752FD3" w:rsidRPr="006F7104" w:rsidRDefault="00752FD3" w:rsidP="00752FD3">
      <w:pPr>
        <w:widowControl/>
        <w:autoSpaceDE/>
        <w:autoSpaceDN/>
        <w:adjustRightInd/>
        <w:contextualSpacing/>
        <w:rPr>
          <w:rFonts w:ascii="Calibri" w:hAnsi="Calibri" w:cs="Calibri"/>
        </w:rPr>
      </w:pPr>
      <w:r w:rsidRPr="006F7104">
        <w:rPr>
          <w:rFonts w:ascii="Calibri" w:hAnsi="Calibri" w:cs="Calibri"/>
        </w:rPr>
        <w:t>North Carolina currently has nine permanent variances, one of which is a multi-state variance approved by OSHA.  No variances were issued by the State Plan in FY 202</w:t>
      </w:r>
      <w:r w:rsidRPr="00F336DA">
        <w:rPr>
          <w:rFonts w:ascii="Calibri" w:hAnsi="Calibri" w:cs="Calibri"/>
        </w:rPr>
        <w:t>4</w:t>
      </w:r>
      <w:r w:rsidRPr="006F7104">
        <w:rPr>
          <w:rFonts w:ascii="Calibri" w:hAnsi="Calibri" w:cs="Calibri"/>
        </w:rPr>
        <w:t>-202</w:t>
      </w:r>
      <w:r w:rsidRPr="00F336DA">
        <w:rPr>
          <w:rFonts w:ascii="Calibri" w:hAnsi="Calibri" w:cs="Calibri"/>
        </w:rPr>
        <w:t>5</w:t>
      </w:r>
      <w:r w:rsidRPr="006F7104">
        <w:rPr>
          <w:rFonts w:ascii="Calibri" w:hAnsi="Calibri" w:cs="Calibri"/>
        </w:rPr>
        <w:t xml:space="preserve">.  North Carolina does not have any temporary variances, and the State Plan appropriately shares variance requests with federal monitors.   </w:t>
      </w:r>
    </w:p>
    <w:p w14:paraId="65089735" w14:textId="77777777" w:rsidR="00D515AC" w:rsidRPr="0066611D" w:rsidRDefault="00D515AC" w:rsidP="0066611D">
      <w:pPr>
        <w:rPr>
          <w:rFonts w:asciiTheme="minorHAnsi" w:hAnsiTheme="minorHAnsi" w:cstheme="minorHAnsi"/>
        </w:rPr>
      </w:pPr>
    </w:p>
    <w:p w14:paraId="0C18BBB9" w14:textId="77777777" w:rsidR="0066611D" w:rsidRDefault="0066611D" w:rsidP="0066611D">
      <w:pPr>
        <w:ind w:left="1530" w:hanging="1170"/>
        <w:rPr>
          <w:rFonts w:asciiTheme="minorHAnsi" w:hAnsiTheme="minorHAnsi" w:cstheme="minorHAnsi"/>
          <w:b/>
          <w:caps/>
        </w:rPr>
      </w:pPr>
      <w:r w:rsidRPr="0066611D">
        <w:rPr>
          <w:rFonts w:asciiTheme="minorHAnsi" w:hAnsiTheme="minorHAnsi" w:cstheme="minorHAnsi"/>
          <w:b/>
        </w:rPr>
        <w:t xml:space="preserve">6.    </w:t>
      </w:r>
      <w:r w:rsidRPr="0066611D">
        <w:rPr>
          <w:rFonts w:asciiTheme="minorHAnsi" w:hAnsiTheme="minorHAnsi" w:cstheme="minorHAnsi"/>
          <w:b/>
          <w:caps/>
        </w:rPr>
        <w:t>STATE AND LOCAL government WORKER Program</w:t>
      </w:r>
    </w:p>
    <w:p w14:paraId="564CCA53" w14:textId="77777777" w:rsidR="004A058B" w:rsidRPr="0066611D" w:rsidRDefault="004A058B" w:rsidP="0066611D">
      <w:pPr>
        <w:ind w:left="1530" w:hanging="1170"/>
        <w:rPr>
          <w:rFonts w:asciiTheme="minorHAnsi" w:hAnsiTheme="minorHAnsi" w:cstheme="minorHAnsi"/>
          <w:b/>
          <w:caps/>
        </w:rPr>
      </w:pPr>
    </w:p>
    <w:p w14:paraId="183D97DA" w14:textId="1D7B6846" w:rsidR="00EB0C6E" w:rsidRDefault="00EB0C6E" w:rsidP="00EB0C6E">
      <w:pPr>
        <w:pStyle w:val="NoSpacing"/>
        <w:rPr>
          <w:rFonts w:asciiTheme="minorHAnsi" w:hAnsiTheme="minorHAnsi" w:cstheme="minorHAnsi"/>
          <w:sz w:val="24"/>
          <w:szCs w:val="24"/>
        </w:rPr>
      </w:pPr>
      <w:r w:rsidRPr="007D36C8">
        <w:rPr>
          <w:rFonts w:asciiTheme="minorHAnsi" w:hAnsiTheme="minorHAnsi" w:cstheme="minorHAnsi"/>
          <w:sz w:val="24"/>
          <w:szCs w:val="24"/>
        </w:rPr>
        <w:t xml:space="preserve">OSHNC’s Public Employee Program operates identically as the private sector. As with the private sector, public sector employers can be cited with monetary penalties. The penalty structure for both sectors is the same. </w:t>
      </w:r>
      <w:r w:rsidR="00C5748B">
        <w:rPr>
          <w:rFonts w:asciiTheme="minorHAnsi" w:hAnsiTheme="minorHAnsi" w:cstheme="minorHAnsi"/>
          <w:sz w:val="24"/>
          <w:szCs w:val="24"/>
        </w:rPr>
        <w:t xml:space="preserve"> </w:t>
      </w:r>
      <w:r w:rsidRPr="007D36C8">
        <w:rPr>
          <w:rFonts w:asciiTheme="minorHAnsi" w:hAnsiTheme="minorHAnsi" w:cstheme="minorHAnsi"/>
          <w:sz w:val="24"/>
          <w:szCs w:val="24"/>
        </w:rPr>
        <w:t>OSHNC conducted 69 public sector inspections in FY 2025, which accounted for 4.35% (SAMM 6) of all inspections</w:t>
      </w:r>
      <w:r w:rsidR="00160C4C">
        <w:rPr>
          <w:rFonts w:asciiTheme="minorHAnsi" w:hAnsiTheme="minorHAnsi" w:cstheme="minorHAnsi"/>
          <w:sz w:val="24"/>
          <w:szCs w:val="24"/>
        </w:rPr>
        <w:t>, which was within the FRL</w:t>
      </w:r>
      <w:r w:rsidRPr="007D36C8">
        <w:rPr>
          <w:rFonts w:asciiTheme="minorHAnsi" w:hAnsiTheme="minorHAnsi" w:cstheme="minorHAnsi"/>
          <w:sz w:val="24"/>
          <w:szCs w:val="24"/>
        </w:rPr>
        <w:t xml:space="preserve">. </w:t>
      </w:r>
      <w:r w:rsidR="00C5748B">
        <w:rPr>
          <w:rFonts w:asciiTheme="minorHAnsi" w:hAnsiTheme="minorHAnsi" w:cstheme="minorHAnsi"/>
          <w:sz w:val="24"/>
          <w:szCs w:val="24"/>
        </w:rPr>
        <w:t xml:space="preserve"> </w:t>
      </w:r>
      <w:r w:rsidRPr="007D36C8">
        <w:rPr>
          <w:rFonts w:asciiTheme="minorHAnsi" w:hAnsiTheme="minorHAnsi" w:cstheme="minorHAnsi"/>
          <w:sz w:val="24"/>
          <w:szCs w:val="24"/>
        </w:rPr>
        <w:t xml:space="preserve">In FY 2025, there were a total of </w:t>
      </w:r>
      <w:r w:rsidR="007D36C8" w:rsidRPr="007D36C8">
        <w:rPr>
          <w:rFonts w:asciiTheme="minorHAnsi" w:hAnsiTheme="minorHAnsi" w:cstheme="minorHAnsi"/>
          <w:sz w:val="24"/>
          <w:szCs w:val="24"/>
        </w:rPr>
        <w:t>3,306</w:t>
      </w:r>
      <w:r w:rsidRPr="007D36C8">
        <w:rPr>
          <w:rFonts w:asciiTheme="minorHAnsi" w:hAnsiTheme="minorHAnsi" w:cstheme="minorHAnsi"/>
          <w:sz w:val="24"/>
          <w:szCs w:val="24"/>
        </w:rPr>
        <w:t xml:space="preserve"> surveys mailed to public sector employers by the PSIM Bureau to collect 20</w:t>
      </w:r>
      <w:r w:rsidR="00072857" w:rsidRPr="007D36C8">
        <w:rPr>
          <w:rFonts w:asciiTheme="minorHAnsi" w:hAnsiTheme="minorHAnsi" w:cstheme="minorHAnsi"/>
          <w:sz w:val="24"/>
          <w:szCs w:val="24"/>
        </w:rPr>
        <w:t>25</w:t>
      </w:r>
      <w:r w:rsidRPr="007D36C8">
        <w:rPr>
          <w:rFonts w:asciiTheme="minorHAnsi" w:hAnsiTheme="minorHAnsi" w:cstheme="minorHAnsi"/>
          <w:sz w:val="24"/>
          <w:szCs w:val="24"/>
        </w:rPr>
        <w:t xml:space="preserve"> injury and illness data. </w:t>
      </w:r>
      <w:r w:rsidR="00C5748B">
        <w:rPr>
          <w:rFonts w:asciiTheme="minorHAnsi" w:hAnsiTheme="minorHAnsi" w:cstheme="minorHAnsi"/>
          <w:sz w:val="24"/>
          <w:szCs w:val="24"/>
        </w:rPr>
        <w:t xml:space="preserve"> </w:t>
      </w:r>
      <w:r w:rsidRPr="007D36C8">
        <w:rPr>
          <w:rFonts w:asciiTheme="minorHAnsi" w:hAnsiTheme="minorHAnsi" w:cstheme="minorHAnsi"/>
          <w:sz w:val="24"/>
          <w:szCs w:val="24"/>
        </w:rPr>
        <w:t>As of the end of FY 2025, all survey responses have been received, where the data as provided can be used to calculate injury and illness rates, and for targeting purposes.</w:t>
      </w:r>
    </w:p>
    <w:p w14:paraId="785DA048" w14:textId="77777777" w:rsidR="0066611D" w:rsidRPr="0066611D" w:rsidRDefault="0066611D" w:rsidP="0066611D">
      <w:pPr>
        <w:ind w:left="1800" w:hanging="1440"/>
        <w:rPr>
          <w:rFonts w:asciiTheme="minorHAnsi" w:hAnsiTheme="minorHAnsi" w:cstheme="minorHAnsi"/>
          <w:b/>
        </w:rPr>
      </w:pPr>
    </w:p>
    <w:p w14:paraId="3ADAF1ED" w14:textId="028B36B2" w:rsidR="0066611D" w:rsidRPr="0066611D" w:rsidRDefault="0066611D" w:rsidP="0066611D">
      <w:pPr>
        <w:ind w:left="1800" w:hanging="1440"/>
        <w:rPr>
          <w:rFonts w:asciiTheme="minorHAnsi" w:hAnsiTheme="minorHAnsi" w:cstheme="minorHAnsi"/>
          <w:i/>
        </w:rPr>
      </w:pPr>
      <w:r w:rsidRPr="0066611D">
        <w:rPr>
          <w:rFonts w:asciiTheme="minorHAnsi" w:hAnsiTheme="minorHAnsi" w:cstheme="minorHAnsi"/>
          <w:b/>
        </w:rPr>
        <w:t xml:space="preserve">7.   WHISTLEBLOWER </w:t>
      </w:r>
      <w:r w:rsidRPr="0066611D">
        <w:rPr>
          <w:rFonts w:asciiTheme="minorHAnsi" w:hAnsiTheme="minorHAnsi" w:cstheme="minorHAnsi"/>
          <w:b/>
          <w:caps/>
        </w:rPr>
        <w:t>Program</w:t>
      </w:r>
      <w:r w:rsidRPr="0066611D">
        <w:rPr>
          <w:rFonts w:asciiTheme="minorHAnsi" w:hAnsiTheme="minorHAnsi" w:cstheme="minorHAnsi"/>
        </w:rPr>
        <w:t xml:space="preserve"> </w:t>
      </w:r>
    </w:p>
    <w:p w14:paraId="31092051" w14:textId="77777777" w:rsidR="006C6D1D" w:rsidRDefault="006C6D1D" w:rsidP="006C6D1D">
      <w:pPr>
        <w:pStyle w:val="NoSpacing"/>
        <w:ind w:left="720"/>
        <w:jc w:val="both"/>
        <w:rPr>
          <w:rFonts w:asciiTheme="minorHAnsi" w:hAnsiTheme="minorHAnsi" w:cstheme="minorHAnsi"/>
          <w:b/>
          <w:bCs/>
          <w:sz w:val="24"/>
          <w:szCs w:val="24"/>
        </w:rPr>
      </w:pPr>
    </w:p>
    <w:p w14:paraId="27066A36" w14:textId="00F779D2" w:rsidR="006C6D1D" w:rsidRPr="00DD44BD" w:rsidRDefault="006C6D1D" w:rsidP="00B00E0F">
      <w:pPr>
        <w:pStyle w:val="NoSpacing"/>
        <w:jc w:val="both"/>
        <w:rPr>
          <w:rFonts w:asciiTheme="minorHAnsi" w:hAnsiTheme="minorHAnsi" w:cstheme="minorHAnsi"/>
          <w:b/>
          <w:bCs/>
          <w:sz w:val="24"/>
          <w:szCs w:val="24"/>
        </w:rPr>
      </w:pPr>
      <w:r w:rsidRPr="00DD44BD">
        <w:rPr>
          <w:rFonts w:asciiTheme="minorHAnsi" w:hAnsiTheme="minorHAnsi" w:cstheme="minorHAnsi"/>
          <w:b/>
          <w:bCs/>
          <w:sz w:val="24"/>
          <w:szCs w:val="24"/>
        </w:rPr>
        <w:t>Overview</w:t>
      </w:r>
    </w:p>
    <w:p w14:paraId="3C25606D" w14:textId="77777777" w:rsidR="006C6D1D" w:rsidRPr="00DD44BD" w:rsidRDefault="006C6D1D" w:rsidP="00B00E0F">
      <w:pPr>
        <w:pStyle w:val="NoSpacing"/>
        <w:jc w:val="both"/>
        <w:rPr>
          <w:rFonts w:asciiTheme="minorHAnsi" w:hAnsiTheme="minorHAnsi" w:cstheme="minorHAnsi"/>
          <w:sz w:val="24"/>
          <w:szCs w:val="24"/>
        </w:rPr>
      </w:pPr>
    </w:p>
    <w:p w14:paraId="00F10207" w14:textId="5A42E0B0"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The Retaliatory Employment Discrimination Bureau (REDB) of the North Carolina Department of Labor (NCDOL) is charged with enforcing the North Carolina Retaliatory Employment Discrimination Act (REDA). [N.C. Gen. Stat. § 95-240 </w:t>
      </w:r>
      <w:r w:rsidRPr="00DD44BD">
        <w:rPr>
          <w:rFonts w:asciiTheme="minorHAnsi" w:hAnsiTheme="minorHAnsi" w:cstheme="minorHAnsi"/>
          <w:i/>
          <w:sz w:val="24"/>
          <w:szCs w:val="24"/>
        </w:rPr>
        <w:t>et seq.</w:t>
      </w:r>
      <w:r w:rsidRPr="00DD44BD">
        <w:rPr>
          <w:rFonts w:asciiTheme="minorHAnsi" w:hAnsiTheme="minorHAnsi" w:cstheme="minorHAnsi"/>
          <w:sz w:val="24"/>
          <w:szCs w:val="24"/>
        </w:rPr>
        <w:t xml:space="preserve">]. </w:t>
      </w:r>
      <w:r w:rsidR="00C5748B">
        <w:rPr>
          <w:rFonts w:asciiTheme="minorHAnsi" w:hAnsiTheme="minorHAnsi" w:cstheme="minorHAnsi"/>
          <w:sz w:val="24"/>
          <w:szCs w:val="24"/>
        </w:rPr>
        <w:t xml:space="preserve"> </w:t>
      </w:r>
      <w:r w:rsidRPr="00DD44BD">
        <w:rPr>
          <w:rFonts w:asciiTheme="minorHAnsi" w:hAnsiTheme="minorHAnsi" w:cstheme="minorHAnsi"/>
          <w:sz w:val="24"/>
          <w:szCs w:val="24"/>
        </w:rPr>
        <w:t>North Carolina is one of 2</w:t>
      </w:r>
      <w:r w:rsidR="00C5748B">
        <w:rPr>
          <w:rFonts w:asciiTheme="minorHAnsi" w:hAnsiTheme="minorHAnsi" w:cstheme="minorHAnsi"/>
          <w:sz w:val="24"/>
          <w:szCs w:val="24"/>
        </w:rPr>
        <w:t>9</w:t>
      </w:r>
      <w:r w:rsidRPr="00DD44BD">
        <w:rPr>
          <w:rFonts w:asciiTheme="minorHAnsi" w:hAnsiTheme="minorHAnsi" w:cstheme="minorHAnsi"/>
          <w:sz w:val="24"/>
          <w:szCs w:val="24"/>
        </w:rPr>
        <w:t xml:space="preserve"> states</w:t>
      </w:r>
      <w:r w:rsidR="00C5748B">
        <w:rPr>
          <w:rFonts w:asciiTheme="minorHAnsi" w:hAnsiTheme="minorHAnsi" w:cstheme="minorHAnsi"/>
          <w:sz w:val="24"/>
          <w:szCs w:val="24"/>
        </w:rPr>
        <w:t xml:space="preserve"> or US </w:t>
      </w:r>
      <w:r w:rsidR="00E731B4">
        <w:rPr>
          <w:rFonts w:asciiTheme="minorHAnsi" w:hAnsiTheme="minorHAnsi" w:cstheme="minorHAnsi"/>
          <w:sz w:val="24"/>
          <w:szCs w:val="24"/>
        </w:rPr>
        <w:t>territories</w:t>
      </w:r>
      <w:r w:rsidRPr="00DD44BD">
        <w:rPr>
          <w:rFonts w:asciiTheme="minorHAnsi" w:hAnsiTheme="minorHAnsi" w:cstheme="minorHAnsi"/>
          <w:sz w:val="24"/>
          <w:szCs w:val="24"/>
        </w:rPr>
        <w:t xml:space="preserve"> operating a “State Plan” with federal OSHA.  Complaints filed under Section 11(c) of the Occupational Safety and Health Act of 1970 (OSH Act), [29 U.S.C. § 660(c)] which allege retaliation because the employee exercised a protected safety and health activity occurring in North Carolina are referred to the REDB of NCDOL.  REDB contacts each complainant and provides them with the REDB Complaint Form and OSH Addendum should they also wish to file a complaint under REDA. </w:t>
      </w:r>
      <w:r w:rsidR="00C5748B">
        <w:rPr>
          <w:rFonts w:asciiTheme="minorHAnsi" w:hAnsiTheme="minorHAnsi" w:cstheme="minorHAnsi"/>
          <w:sz w:val="24"/>
          <w:szCs w:val="24"/>
        </w:rPr>
        <w:t xml:space="preserve"> </w:t>
      </w:r>
      <w:r w:rsidRPr="00DD44BD">
        <w:rPr>
          <w:rFonts w:asciiTheme="minorHAnsi" w:hAnsiTheme="minorHAnsi" w:cstheme="minorHAnsi"/>
          <w:sz w:val="24"/>
          <w:szCs w:val="24"/>
        </w:rPr>
        <w:t xml:space="preserve">REDB will then review the complaint to determine if NCDOL has jurisdiction and if the allegations of the complaint state a prima facie case under REDA.  </w:t>
      </w:r>
    </w:p>
    <w:p w14:paraId="38E78482" w14:textId="77777777" w:rsidR="006C6D1D" w:rsidRPr="00DD44BD" w:rsidRDefault="006C6D1D" w:rsidP="00B00E0F">
      <w:pPr>
        <w:pStyle w:val="NoSpacing"/>
        <w:rPr>
          <w:rFonts w:asciiTheme="minorHAnsi" w:hAnsiTheme="minorHAnsi" w:cstheme="minorHAnsi"/>
          <w:sz w:val="24"/>
          <w:szCs w:val="24"/>
        </w:rPr>
      </w:pPr>
    </w:p>
    <w:p w14:paraId="24D35163" w14:textId="3095AA3D"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Organizationally, REDB falls under the Standards and Inspections Division of the North Carolina Department of Labor.  </w:t>
      </w:r>
      <w:r w:rsidR="00573370">
        <w:rPr>
          <w:rFonts w:asciiTheme="minorHAnsi" w:hAnsiTheme="minorHAnsi" w:cstheme="minorHAnsi"/>
          <w:sz w:val="24"/>
          <w:szCs w:val="24"/>
        </w:rPr>
        <w:t>Robert Olman</w:t>
      </w:r>
      <w:r w:rsidRPr="00DD44BD">
        <w:rPr>
          <w:rFonts w:asciiTheme="minorHAnsi" w:hAnsiTheme="minorHAnsi" w:cstheme="minorHAnsi"/>
          <w:sz w:val="24"/>
          <w:szCs w:val="24"/>
        </w:rPr>
        <w:t xml:space="preserve"> is the Deputy Commissioner of Standards and Inspections</w:t>
      </w:r>
      <w:r w:rsidR="008115F6">
        <w:rPr>
          <w:rFonts w:asciiTheme="minorHAnsi" w:hAnsiTheme="minorHAnsi" w:cstheme="minorHAnsi"/>
          <w:sz w:val="24"/>
          <w:szCs w:val="24"/>
        </w:rPr>
        <w:t xml:space="preserve"> </w:t>
      </w:r>
      <w:r w:rsidRPr="00DD44BD">
        <w:rPr>
          <w:rFonts w:asciiTheme="minorHAnsi" w:hAnsiTheme="minorHAnsi" w:cstheme="minorHAnsi"/>
          <w:sz w:val="24"/>
          <w:szCs w:val="24"/>
        </w:rPr>
        <w:t xml:space="preserve">and is responsible for ensuring effective communication and coordination between REDB and </w:t>
      </w:r>
      <w:r w:rsidR="00DB4837" w:rsidRPr="007D36C8">
        <w:rPr>
          <w:rFonts w:asciiTheme="minorHAnsi" w:hAnsiTheme="minorHAnsi" w:cstheme="minorHAnsi"/>
          <w:sz w:val="24"/>
          <w:szCs w:val="24"/>
        </w:rPr>
        <w:t>OSHNC</w:t>
      </w:r>
      <w:r w:rsidR="00DB4837" w:rsidRPr="00DD44BD" w:rsidDel="00DB4837">
        <w:rPr>
          <w:rFonts w:asciiTheme="minorHAnsi" w:hAnsiTheme="minorHAnsi" w:cstheme="minorHAnsi"/>
          <w:sz w:val="24"/>
          <w:szCs w:val="24"/>
        </w:rPr>
        <w:t xml:space="preserve"> </w:t>
      </w:r>
      <w:r w:rsidRPr="00DD44BD">
        <w:rPr>
          <w:rFonts w:asciiTheme="minorHAnsi" w:hAnsiTheme="minorHAnsi" w:cstheme="minorHAnsi"/>
          <w:sz w:val="24"/>
          <w:szCs w:val="24"/>
        </w:rPr>
        <w:t xml:space="preserve">in their efforts to promote workplace safety and health and protection from retaliation.  </w:t>
      </w:r>
    </w:p>
    <w:p w14:paraId="59E5FFF5" w14:textId="77777777" w:rsidR="006C6D1D" w:rsidRPr="00DD44BD" w:rsidRDefault="006C6D1D" w:rsidP="00B00E0F">
      <w:pPr>
        <w:pStyle w:val="NoSpacing"/>
        <w:rPr>
          <w:rFonts w:asciiTheme="minorHAnsi" w:hAnsiTheme="minorHAnsi" w:cstheme="minorHAnsi"/>
          <w:sz w:val="24"/>
          <w:szCs w:val="24"/>
        </w:rPr>
      </w:pPr>
    </w:p>
    <w:p w14:paraId="67992E4C" w14:textId="77777777"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REDA prohibits retaliation by employers against employees who engage in protected activities under eleven protected activity statutes incorporated into REDA, one of which is the North Carolina Occupational Safety and Health Act. [N.C. Gen. Stat. § 95-126 </w:t>
      </w:r>
      <w:r w:rsidRPr="00DD44BD">
        <w:rPr>
          <w:rFonts w:asciiTheme="minorHAnsi" w:hAnsiTheme="minorHAnsi" w:cstheme="minorHAnsi"/>
          <w:i/>
          <w:sz w:val="24"/>
          <w:szCs w:val="24"/>
        </w:rPr>
        <w:t>et seq</w:t>
      </w:r>
      <w:r w:rsidRPr="00DD44BD">
        <w:rPr>
          <w:rFonts w:asciiTheme="minorHAnsi" w:hAnsiTheme="minorHAnsi" w:cstheme="minorHAnsi"/>
          <w:sz w:val="24"/>
          <w:szCs w:val="24"/>
        </w:rPr>
        <w:t xml:space="preserve">.].  This is comparable to Federal OSHA protection from retaliation, under Section 11(c) noted above. </w:t>
      </w:r>
    </w:p>
    <w:p w14:paraId="7A9200B5" w14:textId="77777777" w:rsidR="006C6D1D" w:rsidRPr="00DD44BD" w:rsidRDefault="006C6D1D" w:rsidP="00B00E0F">
      <w:pPr>
        <w:pStyle w:val="NoSpacing"/>
        <w:rPr>
          <w:rFonts w:asciiTheme="minorHAnsi" w:hAnsiTheme="minorHAnsi" w:cstheme="minorHAnsi"/>
          <w:sz w:val="24"/>
          <w:szCs w:val="24"/>
        </w:rPr>
      </w:pPr>
    </w:p>
    <w:p w14:paraId="4E321D8F" w14:textId="77777777"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The REDB currently has seven discrimination investigator positions and two administrative staff positions.  All staff currently report to the Old Revenue Building in Raleigh, NC.  The program is </w:t>
      </w:r>
      <w:r w:rsidRPr="00DD44BD">
        <w:rPr>
          <w:rFonts w:asciiTheme="minorHAnsi" w:hAnsiTheme="minorHAnsi" w:cstheme="minorHAnsi"/>
          <w:sz w:val="24"/>
          <w:szCs w:val="24"/>
        </w:rPr>
        <w:lastRenderedPageBreak/>
        <w:t xml:space="preserve">supervised by an Administrator.  Each investigator is required to complete the OSHA 1420 course and three other related whistleblower training courses.  </w:t>
      </w:r>
    </w:p>
    <w:p w14:paraId="73A4CFE3" w14:textId="77777777" w:rsidR="006C6D1D" w:rsidRPr="00DD44BD" w:rsidRDefault="006C6D1D" w:rsidP="00B00E0F">
      <w:pPr>
        <w:pStyle w:val="NoSpacing"/>
        <w:rPr>
          <w:rFonts w:asciiTheme="minorHAnsi" w:hAnsiTheme="minorHAnsi" w:cstheme="minorHAnsi"/>
          <w:sz w:val="24"/>
          <w:szCs w:val="24"/>
        </w:rPr>
      </w:pPr>
    </w:p>
    <w:p w14:paraId="14C8289C" w14:textId="7FC15FA5"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The REDB Operations Manual outlines the procedures and other information </w:t>
      </w:r>
      <w:r w:rsidR="00C5748B" w:rsidRPr="00DD44BD">
        <w:rPr>
          <w:rFonts w:asciiTheme="minorHAnsi" w:hAnsiTheme="minorHAnsi" w:cstheme="minorHAnsi"/>
          <w:sz w:val="24"/>
          <w:szCs w:val="24"/>
        </w:rPr>
        <w:t>related</w:t>
      </w:r>
      <w:r w:rsidRPr="00DD44BD">
        <w:rPr>
          <w:rFonts w:asciiTheme="minorHAnsi" w:hAnsiTheme="minorHAnsi" w:cstheme="minorHAnsi"/>
          <w:sz w:val="24"/>
          <w:szCs w:val="24"/>
        </w:rPr>
        <w:t xml:space="preserve"> to the internal handling and investigation by the REDB.  Under the Operations Manual, all filed complaints must be uploaded into OnBase, the bureau’s electronic database system</w:t>
      </w:r>
      <w:r w:rsidR="00DB4837">
        <w:rPr>
          <w:rFonts w:asciiTheme="minorHAnsi" w:hAnsiTheme="minorHAnsi" w:cstheme="minorHAnsi"/>
          <w:sz w:val="24"/>
          <w:szCs w:val="24"/>
        </w:rPr>
        <w:t>,</w:t>
      </w:r>
      <w:r w:rsidRPr="00DD44BD">
        <w:rPr>
          <w:rFonts w:asciiTheme="minorHAnsi" w:hAnsiTheme="minorHAnsi" w:cstheme="minorHAnsi"/>
          <w:sz w:val="24"/>
          <w:szCs w:val="24"/>
        </w:rPr>
        <w:t xml:space="preserve"> which was initiated in 2021.  Additionally, all documents received and activities taken in every case must be uploaded and documented in the electronic file.  The Operations Manual is updated periodically to incorporate changes in federal whistleblower directives, statutory or rule revisions, and the bureau’s workflow processes.  The current Operations Manual establishes practices and procedures that are at least as effective as federal practices and procedures set out in the federal Whistleblower Investigations Manual, </w:t>
      </w:r>
      <w:r w:rsidR="00DB4837">
        <w:rPr>
          <w:rFonts w:asciiTheme="minorHAnsi" w:hAnsiTheme="minorHAnsi" w:cstheme="minorHAnsi"/>
          <w:sz w:val="24"/>
          <w:szCs w:val="24"/>
        </w:rPr>
        <w:t xml:space="preserve">with </w:t>
      </w:r>
      <w:r w:rsidRPr="00DD44BD">
        <w:rPr>
          <w:rFonts w:asciiTheme="minorHAnsi" w:hAnsiTheme="minorHAnsi" w:cstheme="minorHAnsi"/>
          <w:sz w:val="24"/>
          <w:szCs w:val="24"/>
        </w:rPr>
        <w:t xml:space="preserve">revisions adopted on April 27, 2023.  </w:t>
      </w:r>
    </w:p>
    <w:p w14:paraId="5DCAA6F0" w14:textId="77777777" w:rsidR="006C6D1D" w:rsidRPr="00DD44BD" w:rsidRDefault="006C6D1D" w:rsidP="00B00E0F">
      <w:pPr>
        <w:pStyle w:val="NoSpacing"/>
        <w:rPr>
          <w:rFonts w:asciiTheme="minorHAnsi" w:hAnsiTheme="minorHAnsi" w:cstheme="minorHAnsi"/>
          <w:sz w:val="24"/>
          <w:szCs w:val="24"/>
        </w:rPr>
      </w:pPr>
    </w:p>
    <w:p w14:paraId="42731CDB" w14:textId="0B5170DF" w:rsidR="006C6D1D" w:rsidRPr="00DD44BD" w:rsidRDefault="006C6D1D" w:rsidP="00B00E0F">
      <w:pPr>
        <w:pStyle w:val="NoSpacing"/>
        <w:rPr>
          <w:rFonts w:asciiTheme="minorHAnsi" w:hAnsiTheme="minorHAnsi" w:cstheme="minorHAnsi"/>
          <w:b/>
          <w:bCs/>
          <w:sz w:val="24"/>
          <w:szCs w:val="24"/>
        </w:rPr>
      </w:pPr>
      <w:r w:rsidRPr="00DD44BD">
        <w:rPr>
          <w:rFonts w:asciiTheme="minorHAnsi" w:hAnsiTheme="minorHAnsi" w:cstheme="minorHAnsi"/>
          <w:b/>
          <w:bCs/>
          <w:sz w:val="24"/>
          <w:szCs w:val="24"/>
        </w:rPr>
        <w:t>Annual Overview</w:t>
      </w:r>
    </w:p>
    <w:p w14:paraId="5526C4F7" w14:textId="77777777" w:rsidR="006C6D1D" w:rsidRPr="00DD44BD" w:rsidRDefault="006C6D1D" w:rsidP="00B00E0F">
      <w:pPr>
        <w:pStyle w:val="NoSpacing"/>
        <w:rPr>
          <w:rFonts w:asciiTheme="minorHAnsi" w:hAnsiTheme="minorHAnsi" w:cstheme="minorHAnsi"/>
          <w:b/>
          <w:bCs/>
          <w:sz w:val="24"/>
          <w:szCs w:val="24"/>
        </w:rPr>
      </w:pPr>
    </w:p>
    <w:p w14:paraId="4B5F158A" w14:textId="387F367A"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REDA complaints alleging safety and health protected activity under the NC Occupational Safety and Health Act have slightly decreased from 2</w:t>
      </w:r>
      <w:r w:rsidR="000C58E0">
        <w:rPr>
          <w:rFonts w:asciiTheme="minorHAnsi" w:hAnsiTheme="minorHAnsi" w:cstheme="minorHAnsi"/>
          <w:sz w:val="24"/>
          <w:szCs w:val="24"/>
        </w:rPr>
        <w:t>68</w:t>
      </w:r>
      <w:r w:rsidRPr="00DD44BD">
        <w:rPr>
          <w:rFonts w:asciiTheme="minorHAnsi" w:hAnsiTheme="minorHAnsi" w:cstheme="minorHAnsi"/>
          <w:sz w:val="24"/>
          <w:szCs w:val="24"/>
        </w:rPr>
        <w:t xml:space="preserve"> in FY 2023 to 252 for FY 2025, after continuously increasing year over year beginning with the COVID-19 pandemic in FY 2021.  Despite this slight decrease, Section 11(c) referrals have continuously increased dramatically from 123 referrals in FY2023 to 166 in FY 2025.  The REDB closed 213 REDA cases involving safety and health protected activities files in FY 2023 and 127 in FY 2025.  </w:t>
      </w:r>
    </w:p>
    <w:p w14:paraId="3102FAED" w14:textId="77777777" w:rsidR="002D3E45" w:rsidRDefault="002D3E45" w:rsidP="00B00E0F">
      <w:pPr>
        <w:pStyle w:val="NoSpacing"/>
        <w:rPr>
          <w:rFonts w:asciiTheme="minorHAnsi" w:hAnsiTheme="minorHAnsi" w:cstheme="minorHAnsi"/>
          <w:b/>
          <w:bCs/>
          <w:sz w:val="24"/>
          <w:szCs w:val="24"/>
        </w:rPr>
      </w:pPr>
    </w:p>
    <w:p w14:paraId="7DF40EB5" w14:textId="69565B8C" w:rsidR="006C6D1D" w:rsidRPr="00DD44BD" w:rsidRDefault="006C6D1D" w:rsidP="00B00E0F">
      <w:pPr>
        <w:pStyle w:val="NoSpacing"/>
        <w:rPr>
          <w:rFonts w:asciiTheme="minorHAnsi" w:hAnsiTheme="minorHAnsi" w:cstheme="minorHAnsi"/>
          <w:b/>
          <w:bCs/>
          <w:sz w:val="24"/>
          <w:szCs w:val="24"/>
        </w:rPr>
      </w:pPr>
      <w:r w:rsidRPr="00DD44BD">
        <w:rPr>
          <w:rFonts w:asciiTheme="minorHAnsi" w:hAnsiTheme="minorHAnsi" w:cstheme="minorHAnsi"/>
          <w:b/>
          <w:bCs/>
          <w:sz w:val="24"/>
          <w:szCs w:val="24"/>
        </w:rPr>
        <w:t>Evaluation</w:t>
      </w:r>
    </w:p>
    <w:p w14:paraId="71250B72" w14:textId="77777777" w:rsidR="006E0E61" w:rsidRDefault="006E0E61" w:rsidP="00B00E0F">
      <w:pPr>
        <w:pStyle w:val="NoSpacing"/>
        <w:rPr>
          <w:rFonts w:asciiTheme="minorHAnsi" w:hAnsiTheme="minorHAnsi" w:cstheme="minorHAnsi"/>
          <w:sz w:val="24"/>
          <w:szCs w:val="24"/>
        </w:rPr>
      </w:pPr>
    </w:p>
    <w:p w14:paraId="738FFB86" w14:textId="7ED3AFF8"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This evaluation included a thorough review of North Carolina’s discrimination program to determine whether REDB is following its own policy and procedures</w:t>
      </w:r>
      <w:r w:rsidR="00B45444">
        <w:rPr>
          <w:rFonts w:asciiTheme="minorHAnsi" w:hAnsiTheme="minorHAnsi" w:cstheme="minorHAnsi"/>
          <w:sz w:val="24"/>
          <w:szCs w:val="24"/>
        </w:rPr>
        <w:t>,</w:t>
      </w:r>
      <w:r w:rsidRPr="00DD44BD">
        <w:rPr>
          <w:rFonts w:asciiTheme="minorHAnsi" w:hAnsiTheme="minorHAnsi" w:cstheme="minorHAnsi"/>
          <w:sz w:val="24"/>
          <w:szCs w:val="24"/>
        </w:rPr>
        <w:t xml:space="preserve"> and whether the procedures and processes are “at least as effective” as those required in the current federal Whistleblower Manual.</w:t>
      </w:r>
    </w:p>
    <w:p w14:paraId="75B12B14" w14:textId="77777777" w:rsidR="006C6D1D" w:rsidRPr="00DD44BD" w:rsidRDefault="006C6D1D" w:rsidP="00B00E0F">
      <w:pPr>
        <w:pStyle w:val="NoSpacing"/>
        <w:rPr>
          <w:rFonts w:asciiTheme="minorHAnsi" w:hAnsiTheme="minorHAnsi" w:cstheme="minorHAnsi"/>
          <w:sz w:val="24"/>
          <w:szCs w:val="24"/>
        </w:rPr>
      </w:pPr>
    </w:p>
    <w:p w14:paraId="28CE9195" w14:textId="599CDD78"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The negotiated measure for SAMM 14, Average Number of days 11(c) Investigations are Pending </w:t>
      </w:r>
      <w:r w:rsidR="00525828">
        <w:rPr>
          <w:rFonts w:asciiTheme="minorHAnsi" w:hAnsiTheme="minorHAnsi" w:cstheme="minorHAnsi"/>
          <w:sz w:val="24"/>
          <w:szCs w:val="24"/>
        </w:rPr>
        <w:t>a</w:t>
      </w:r>
      <w:r w:rsidR="00525828" w:rsidRPr="00DD44BD">
        <w:rPr>
          <w:rFonts w:asciiTheme="minorHAnsi" w:hAnsiTheme="minorHAnsi" w:cstheme="minorHAnsi"/>
          <w:sz w:val="24"/>
          <w:szCs w:val="24"/>
        </w:rPr>
        <w:t xml:space="preserve">t </w:t>
      </w:r>
      <w:r w:rsidRPr="00DD44BD">
        <w:rPr>
          <w:rFonts w:asciiTheme="minorHAnsi" w:hAnsiTheme="minorHAnsi" w:cstheme="minorHAnsi"/>
          <w:sz w:val="24"/>
          <w:szCs w:val="24"/>
        </w:rPr>
        <w:t>the end of FY 2025was 270 days</w:t>
      </w:r>
      <w:r w:rsidR="008F4DA9">
        <w:rPr>
          <w:rFonts w:asciiTheme="minorHAnsi" w:hAnsiTheme="minorHAnsi" w:cstheme="minorHAnsi"/>
          <w:sz w:val="24"/>
          <w:szCs w:val="24"/>
        </w:rPr>
        <w:t>;</w:t>
      </w:r>
      <w:r w:rsidRPr="00DD44BD">
        <w:rPr>
          <w:rFonts w:asciiTheme="minorHAnsi" w:hAnsiTheme="minorHAnsi" w:cstheme="minorHAnsi"/>
          <w:sz w:val="24"/>
          <w:szCs w:val="24"/>
        </w:rPr>
        <w:t xml:space="preserve"> and the negotiated measure for SAMM 15, Percentage of 11(c) Cases over 90 Days Pending, was 67%.  At the end of FY 2025, the Bureau had 102 cases pending with an average age of 282.56 days, and 72.55% of the cases were over 90 days old.  The Bureau’s actual performance slightly exceeds the negotiated measures, however, not to an extent requiring further review. </w:t>
      </w:r>
    </w:p>
    <w:p w14:paraId="17B3C996" w14:textId="77777777" w:rsidR="006C6D1D" w:rsidRPr="00DD44BD" w:rsidRDefault="006C6D1D" w:rsidP="00B00E0F">
      <w:pPr>
        <w:pStyle w:val="NoSpacing"/>
        <w:rPr>
          <w:rFonts w:asciiTheme="minorHAnsi" w:hAnsiTheme="minorHAnsi" w:cstheme="minorHAnsi"/>
          <w:sz w:val="24"/>
          <w:szCs w:val="24"/>
        </w:rPr>
      </w:pPr>
    </w:p>
    <w:p w14:paraId="67494BC4" w14:textId="4EFB8E01" w:rsidR="006C6D1D" w:rsidRPr="00DD44BD" w:rsidRDefault="006C6D1D" w:rsidP="00B00E0F">
      <w:pPr>
        <w:pStyle w:val="NoSpacing"/>
        <w:rPr>
          <w:rFonts w:asciiTheme="minorHAnsi" w:hAnsiTheme="minorHAnsi" w:cstheme="minorHAnsi"/>
          <w:sz w:val="24"/>
          <w:szCs w:val="24"/>
        </w:rPr>
      </w:pPr>
      <w:r w:rsidRPr="00DD44BD">
        <w:rPr>
          <w:rFonts w:asciiTheme="minorHAnsi" w:hAnsiTheme="minorHAnsi" w:cstheme="minorHAnsi"/>
          <w:sz w:val="24"/>
          <w:szCs w:val="24"/>
        </w:rPr>
        <w:t xml:space="preserve">As part of this fiscal year’s FAME audit, </w:t>
      </w:r>
      <w:r w:rsidR="00B45444">
        <w:rPr>
          <w:rFonts w:asciiTheme="minorHAnsi" w:hAnsiTheme="minorHAnsi" w:cstheme="minorHAnsi"/>
          <w:sz w:val="24"/>
          <w:szCs w:val="24"/>
        </w:rPr>
        <w:t>25</w:t>
      </w:r>
      <w:r w:rsidRPr="00DD44BD">
        <w:rPr>
          <w:rFonts w:asciiTheme="minorHAnsi" w:hAnsiTheme="minorHAnsi" w:cstheme="minorHAnsi"/>
          <w:sz w:val="24"/>
          <w:szCs w:val="24"/>
        </w:rPr>
        <w:t xml:space="preserve"> REDA complaints alleging protected activity under the N</w:t>
      </w:r>
      <w:r w:rsidR="00B45444">
        <w:rPr>
          <w:rFonts w:asciiTheme="minorHAnsi" w:hAnsiTheme="minorHAnsi" w:cstheme="minorHAnsi"/>
          <w:sz w:val="24"/>
          <w:szCs w:val="24"/>
        </w:rPr>
        <w:t>orth Carolina</w:t>
      </w:r>
      <w:r w:rsidRPr="00DD44BD">
        <w:rPr>
          <w:rFonts w:asciiTheme="minorHAnsi" w:hAnsiTheme="minorHAnsi" w:cstheme="minorHAnsi"/>
          <w:sz w:val="24"/>
          <w:szCs w:val="24"/>
        </w:rPr>
        <w:t xml:space="preserve"> Occupational Safety and Health Act were randomly selected and reviewed by the Atlanta Region Assistant Regional Administrator and two Regional Investigators. </w:t>
      </w:r>
      <w:r w:rsidR="008F4DA9">
        <w:rPr>
          <w:rFonts w:asciiTheme="minorHAnsi" w:hAnsiTheme="minorHAnsi" w:cstheme="minorHAnsi"/>
          <w:sz w:val="24"/>
          <w:szCs w:val="24"/>
        </w:rPr>
        <w:t xml:space="preserve"> </w:t>
      </w:r>
      <w:r w:rsidRPr="00DD44BD">
        <w:rPr>
          <w:rFonts w:asciiTheme="minorHAnsi" w:hAnsiTheme="minorHAnsi" w:cstheme="minorHAnsi"/>
          <w:sz w:val="24"/>
          <w:szCs w:val="24"/>
        </w:rPr>
        <w:t xml:space="preserve">Files were selected to obtain a cross section of closed cases by investigator and determination.  The determinations were </w:t>
      </w:r>
      <w:r w:rsidR="00B45444">
        <w:rPr>
          <w:rFonts w:asciiTheme="minorHAnsi" w:hAnsiTheme="minorHAnsi" w:cstheme="minorHAnsi"/>
          <w:sz w:val="24"/>
          <w:szCs w:val="24"/>
        </w:rPr>
        <w:t xml:space="preserve">comprised of seven </w:t>
      </w:r>
      <w:r w:rsidRPr="00DD44BD">
        <w:rPr>
          <w:rFonts w:asciiTheme="minorHAnsi" w:hAnsiTheme="minorHAnsi" w:cstheme="minorHAnsi"/>
          <w:sz w:val="24"/>
          <w:szCs w:val="24"/>
        </w:rPr>
        <w:t xml:space="preserve">Dismissals, </w:t>
      </w:r>
      <w:r w:rsidR="00B45444">
        <w:rPr>
          <w:rFonts w:asciiTheme="minorHAnsi" w:hAnsiTheme="minorHAnsi" w:cstheme="minorHAnsi"/>
          <w:sz w:val="24"/>
          <w:szCs w:val="24"/>
        </w:rPr>
        <w:t>three</w:t>
      </w:r>
      <w:r w:rsidRPr="00DD44BD">
        <w:rPr>
          <w:rFonts w:asciiTheme="minorHAnsi" w:hAnsiTheme="minorHAnsi" w:cstheme="minorHAnsi"/>
          <w:sz w:val="24"/>
          <w:szCs w:val="24"/>
        </w:rPr>
        <w:t xml:space="preserve"> Withdrawal, 11 administrative closures, </w:t>
      </w:r>
      <w:r w:rsidR="00B45444">
        <w:rPr>
          <w:rFonts w:asciiTheme="minorHAnsi" w:hAnsiTheme="minorHAnsi" w:cstheme="minorHAnsi"/>
          <w:sz w:val="24"/>
          <w:szCs w:val="24"/>
        </w:rPr>
        <w:t>three</w:t>
      </w:r>
      <w:r w:rsidRPr="00DD44BD">
        <w:rPr>
          <w:rFonts w:asciiTheme="minorHAnsi" w:hAnsiTheme="minorHAnsi" w:cstheme="minorHAnsi"/>
          <w:sz w:val="24"/>
          <w:szCs w:val="24"/>
        </w:rPr>
        <w:t xml:space="preserve"> Requests for 90-Day Right-to-Sue letter, and </w:t>
      </w:r>
      <w:r w:rsidR="00B45444">
        <w:rPr>
          <w:rFonts w:asciiTheme="minorHAnsi" w:hAnsiTheme="minorHAnsi" w:cstheme="minorHAnsi"/>
          <w:sz w:val="24"/>
          <w:szCs w:val="24"/>
        </w:rPr>
        <w:t>one</w:t>
      </w:r>
      <w:r w:rsidRPr="00DD44BD">
        <w:rPr>
          <w:rFonts w:asciiTheme="minorHAnsi" w:hAnsiTheme="minorHAnsi" w:cstheme="minorHAnsi"/>
          <w:sz w:val="24"/>
          <w:szCs w:val="24"/>
        </w:rPr>
        <w:t xml:space="preserve"> settlement. </w:t>
      </w:r>
    </w:p>
    <w:p w14:paraId="01EC9AF6" w14:textId="77777777" w:rsidR="006C6D1D" w:rsidRPr="00DD44BD" w:rsidRDefault="006C6D1D" w:rsidP="00B00E0F">
      <w:pPr>
        <w:rPr>
          <w:rFonts w:asciiTheme="minorHAnsi" w:hAnsiTheme="minorHAnsi" w:cstheme="minorHAnsi"/>
        </w:rPr>
      </w:pPr>
    </w:p>
    <w:p w14:paraId="107586FF" w14:textId="71EA6271" w:rsidR="00B977D9" w:rsidRPr="00B977D9" w:rsidRDefault="00B977D9" w:rsidP="00B977D9">
      <w:pPr>
        <w:rPr>
          <w:rFonts w:asciiTheme="minorHAnsi" w:hAnsiTheme="minorHAnsi" w:cstheme="minorHAnsi"/>
        </w:rPr>
      </w:pPr>
      <w:r w:rsidRPr="00B977D9">
        <w:rPr>
          <w:rFonts w:asciiTheme="minorHAnsi" w:hAnsiTheme="minorHAnsi" w:cstheme="minorHAnsi"/>
        </w:rPr>
        <w:t>None of the reviewed files contained indications that the Administrator reviewed the case prior to issuing a case determination and closing the case.  It is important to note that during the FY 2023 FAME, it was recommended that the Operations Manual be revised to specify a method for documenting Administrator review to ensure clarity and consistency, although at that time, Administrator review was consistently documented in the Reports of Investigation, settlement documents, activity log</w:t>
      </w:r>
      <w:r w:rsidR="00A97606">
        <w:rPr>
          <w:rFonts w:asciiTheme="minorHAnsi" w:hAnsiTheme="minorHAnsi" w:cstheme="minorHAnsi"/>
        </w:rPr>
        <w:t>s</w:t>
      </w:r>
      <w:r w:rsidRPr="00B977D9">
        <w:rPr>
          <w:rFonts w:asciiTheme="minorHAnsi" w:hAnsiTheme="minorHAnsi" w:cstheme="minorHAnsi"/>
        </w:rPr>
        <w:t xml:space="preserve">, or </w:t>
      </w:r>
      <w:r w:rsidRPr="00B977D9">
        <w:rPr>
          <w:rFonts w:asciiTheme="minorHAnsi" w:hAnsiTheme="minorHAnsi" w:cstheme="minorHAnsi"/>
        </w:rPr>
        <w:lastRenderedPageBreak/>
        <w:t xml:space="preserve">correspondence with the investigator. </w:t>
      </w:r>
    </w:p>
    <w:p w14:paraId="61B449D2" w14:textId="77777777" w:rsidR="00B977D9" w:rsidRPr="00B977D9" w:rsidRDefault="00B977D9" w:rsidP="00B977D9">
      <w:pPr>
        <w:rPr>
          <w:rFonts w:asciiTheme="minorHAnsi" w:hAnsiTheme="minorHAnsi" w:cstheme="minorHAnsi"/>
        </w:rPr>
      </w:pPr>
    </w:p>
    <w:p w14:paraId="5C80FA31" w14:textId="0BCCA78E" w:rsidR="00B977D9" w:rsidRPr="00B977D9" w:rsidRDefault="00B977D9" w:rsidP="00B977D9">
      <w:pPr>
        <w:rPr>
          <w:rFonts w:asciiTheme="minorHAnsi" w:hAnsiTheme="minorHAnsi" w:cstheme="minorHAnsi"/>
        </w:rPr>
      </w:pPr>
      <w:r w:rsidRPr="00B977D9">
        <w:rPr>
          <w:rFonts w:asciiTheme="minorHAnsi" w:hAnsiTheme="minorHAnsi" w:cstheme="minorHAnsi"/>
        </w:rPr>
        <w:t xml:space="preserve">None of the files for complaints closed due to the </w:t>
      </w:r>
      <w:r w:rsidR="00A97606" w:rsidRPr="00B977D9">
        <w:rPr>
          <w:rFonts w:asciiTheme="minorHAnsi" w:hAnsiTheme="minorHAnsi" w:cstheme="minorHAnsi"/>
        </w:rPr>
        <w:t>complainant’s</w:t>
      </w:r>
      <w:r w:rsidRPr="00B977D9">
        <w:rPr>
          <w:rFonts w:asciiTheme="minorHAnsi" w:hAnsiTheme="minorHAnsi" w:cstheme="minorHAnsi"/>
        </w:rPr>
        <w:t xml:space="preserve"> lack of cooperation contained indications of </w:t>
      </w:r>
      <w:r w:rsidR="00EE6359">
        <w:rPr>
          <w:rFonts w:asciiTheme="minorHAnsi" w:hAnsiTheme="minorHAnsi" w:cstheme="minorHAnsi"/>
        </w:rPr>
        <w:t xml:space="preserve">sufficient </w:t>
      </w:r>
      <w:r w:rsidRPr="00B977D9">
        <w:rPr>
          <w:rFonts w:asciiTheme="minorHAnsi" w:hAnsiTheme="minorHAnsi" w:cstheme="minorHAnsi"/>
        </w:rPr>
        <w:t xml:space="preserve">due diligence, as defined in the Operations Manual.  </w:t>
      </w:r>
      <w:r w:rsidR="00EE6359">
        <w:rPr>
          <w:rFonts w:asciiTheme="minorHAnsi" w:hAnsiTheme="minorHAnsi" w:cstheme="minorHAnsi"/>
        </w:rPr>
        <w:t>T</w:t>
      </w:r>
      <w:r w:rsidRPr="00B977D9">
        <w:rPr>
          <w:rFonts w:asciiTheme="minorHAnsi" w:hAnsiTheme="minorHAnsi" w:cstheme="minorHAnsi"/>
        </w:rPr>
        <w:t xml:space="preserve">he Operations Manual specifies a greater degree of due diligence than is required in the </w:t>
      </w:r>
      <w:r w:rsidR="00A97606">
        <w:rPr>
          <w:rFonts w:asciiTheme="minorHAnsi" w:hAnsiTheme="minorHAnsi" w:cstheme="minorHAnsi"/>
        </w:rPr>
        <w:t xml:space="preserve">federal </w:t>
      </w:r>
      <w:r w:rsidRPr="00B977D9">
        <w:rPr>
          <w:rFonts w:asciiTheme="minorHAnsi" w:hAnsiTheme="minorHAnsi" w:cstheme="minorHAnsi"/>
        </w:rPr>
        <w:t>OSHA Whistleblower Investigations Manual (WIM).</w:t>
      </w:r>
      <w:r w:rsidR="00EE6359">
        <w:rPr>
          <w:rFonts w:asciiTheme="minorHAnsi" w:hAnsiTheme="minorHAnsi" w:cstheme="minorHAnsi"/>
        </w:rPr>
        <w:t xml:space="preserve"> </w:t>
      </w:r>
      <w:r w:rsidR="00837186">
        <w:rPr>
          <w:rFonts w:asciiTheme="minorHAnsi" w:hAnsiTheme="minorHAnsi" w:cstheme="minorHAnsi"/>
        </w:rPr>
        <w:t xml:space="preserve"> </w:t>
      </w:r>
      <w:r w:rsidR="00EE6359">
        <w:rPr>
          <w:rFonts w:asciiTheme="minorHAnsi" w:hAnsiTheme="minorHAnsi" w:cstheme="minorHAnsi"/>
        </w:rPr>
        <w:t>The Operations Manual should be updated to reflect changes in policy and procedures.</w:t>
      </w:r>
    </w:p>
    <w:p w14:paraId="5B0B2222" w14:textId="77777777" w:rsidR="00B977D9" w:rsidRPr="00B977D9" w:rsidRDefault="00B977D9" w:rsidP="00B977D9">
      <w:pPr>
        <w:rPr>
          <w:rFonts w:asciiTheme="minorHAnsi" w:hAnsiTheme="minorHAnsi" w:cstheme="minorHAnsi"/>
        </w:rPr>
      </w:pPr>
    </w:p>
    <w:p w14:paraId="5529679D" w14:textId="2A9A7904" w:rsidR="00B977D9" w:rsidRPr="00B977D9" w:rsidRDefault="00B977D9" w:rsidP="00B977D9">
      <w:pPr>
        <w:rPr>
          <w:rFonts w:asciiTheme="minorHAnsi" w:hAnsiTheme="minorHAnsi" w:cstheme="minorHAnsi"/>
        </w:rPr>
      </w:pPr>
      <w:r w:rsidRPr="00B977D9">
        <w:rPr>
          <w:rFonts w:asciiTheme="minorHAnsi" w:hAnsiTheme="minorHAnsi" w:cstheme="minorHAnsi"/>
        </w:rPr>
        <w:t xml:space="preserve">REDB must refer complaints to OSHA when the allegations implicate an OSHA-enforced federal statute other than Section 11(c) and when a Section 11(c) complaint is filed directly with REDB within OSHA’s 30-day filing period. </w:t>
      </w:r>
      <w:r w:rsidR="008F4DA9">
        <w:rPr>
          <w:rFonts w:asciiTheme="minorHAnsi" w:hAnsiTheme="minorHAnsi" w:cstheme="minorHAnsi"/>
        </w:rPr>
        <w:t xml:space="preserve"> </w:t>
      </w:r>
      <w:r w:rsidRPr="00B977D9">
        <w:rPr>
          <w:rFonts w:asciiTheme="minorHAnsi" w:hAnsiTheme="minorHAnsi" w:cstheme="minorHAnsi"/>
        </w:rPr>
        <w:t>However, there were three complaints that were administratively closed due to lack of alleged REDA-protected activity that nonetheless constitutes protected activity under another OSHA-enforced statute.  Additionally, there was one Section 11(c) complaint that was filed within OSHA’s 30-day filing period.  These case files contained no indications that the complaint was referred to OSHA.  OSHA’s records demonstrate that none of the complaints were dual-filed with OSHA.</w:t>
      </w:r>
    </w:p>
    <w:p w14:paraId="3078D624" w14:textId="77777777" w:rsidR="00B977D9" w:rsidRPr="00B977D9" w:rsidRDefault="00B977D9" w:rsidP="00B977D9">
      <w:pPr>
        <w:rPr>
          <w:rFonts w:asciiTheme="minorHAnsi" w:hAnsiTheme="minorHAnsi" w:cstheme="minorHAnsi"/>
        </w:rPr>
      </w:pPr>
    </w:p>
    <w:p w14:paraId="26BBF055" w14:textId="4544ADA1" w:rsidR="00B977D9" w:rsidRPr="00B977D9" w:rsidRDefault="00B977D9" w:rsidP="00B977D9">
      <w:pPr>
        <w:rPr>
          <w:rFonts w:asciiTheme="minorHAnsi" w:hAnsiTheme="minorHAnsi" w:cstheme="minorHAnsi"/>
        </w:rPr>
      </w:pPr>
      <w:r w:rsidRPr="00B977D9">
        <w:rPr>
          <w:rFonts w:asciiTheme="minorHAnsi" w:hAnsiTheme="minorHAnsi" w:cstheme="minorHAnsi"/>
        </w:rPr>
        <w:t xml:space="preserve">There were several instances of administrative closures due to lack of protected activity under REDA, where the alleged protected activity would have satisfied Section 11(c), for example, raising safety or health concerns and reporting workplace violence.  While Legal Affairs review of such determinations is only required where the Complainant submits evidence contradicting the Information Officer or investigator’s initial assessment regarding lack of protected activity, Legal Affairs review may be appropriate when the determination relates to the interpretation of law.  For each of these cases, the complaints should not have been administratively closed without gathering more information from the </w:t>
      </w:r>
      <w:r w:rsidR="00A97606">
        <w:rPr>
          <w:rFonts w:asciiTheme="minorHAnsi" w:hAnsiTheme="minorHAnsi" w:cstheme="minorHAnsi"/>
        </w:rPr>
        <w:t>c</w:t>
      </w:r>
      <w:r w:rsidR="00A97606" w:rsidRPr="00B977D9">
        <w:rPr>
          <w:rFonts w:asciiTheme="minorHAnsi" w:hAnsiTheme="minorHAnsi" w:cstheme="minorHAnsi"/>
        </w:rPr>
        <w:t>omplainant</w:t>
      </w:r>
      <w:r w:rsidRPr="00B977D9">
        <w:rPr>
          <w:rFonts w:asciiTheme="minorHAnsi" w:hAnsiTheme="minorHAnsi" w:cstheme="minorHAnsi"/>
        </w:rPr>
        <w:t xml:space="preserve">. </w:t>
      </w:r>
    </w:p>
    <w:p w14:paraId="12FFAAC6" w14:textId="77777777" w:rsidR="00B977D9" w:rsidRPr="00B977D9" w:rsidRDefault="00B977D9" w:rsidP="00B977D9">
      <w:pPr>
        <w:rPr>
          <w:rFonts w:asciiTheme="minorHAnsi" w:hAnsiTheme="minorHAnsi" w:cstheme="minorHAnsi"/>
        </w:rPr>
      </w:pPr>
    </w:p>
    <w:p w14:paraId="754722C0" w14:textId="23737DEE" w:rsidR="00B977D9" w:rsidRPr="00B977D9" w:rsidRDefault="00B977D9" w:rsidP="00B977D9">
      <w:pPr>
        <w:rPr>
          <w:rFonts w:asciiTheme="minorHAnsi" w:hAnsiTheme="minorHAnsi" w:cstheme="minorHAnsi"/>
        </w:rPr>
      </w:pPr>
      <w:r w:rsidRPr="00B977D9">
        <w:rPr>
          <w:rFonts w:asciiTheme="minorHAnsi" w:hAnsiTheme="minorHAnsi" w:cstheme="minorHAnsi"/>
        </w:rPr>
        <w:t xml:space="preserve">The case files indicate that the protracted intake process may discourage </w:t>
      </w:r>
      <w:r w:rsidR="00A97606">
        <w:rPr>
          <w:rFonts w:asciiTheme="minorHAnsi" w:hAnsiTheme="minorHAnsi" w:cstheme="minorHAnsi"/>
        </w:rPr>
        <w:t>c</w:t>
      </w:r>
      <w:r w:rsidR="00A97606" w:rsidRPr="00B977D9">
        <w:rPr>
          <w:rFonts w:asciiTheme="minorHAnsi" w:hAnsiTheme="minorHAnsi" w:cstheme="minorHAnsi"/>
        </w:rPr>
        <w:t xml:space="preserve">omplainants </w:t>
      </w:r>
      <w:r w:rsidRPr="00B977D9">
        <w:rPr>
          <w:rFonts w:asciiTheme="minorHAnsi" w:hAnsiTheme="minorHAnsi" w:cstheme="minorHAnsi"/>
        </w:rPr>
        <w:t xml:space="preserve">from pursuing their complaint, particularly those that are not represented by counsel.  The intake phase for the case files reviewed generally involved no oral contact with an REDB staff member and lasted more than six months, occasionally due to wait times for redacting complaints for release to </w:t>
      </w:r>
      <w:r w:rsidR="00B60427">
        <w:rPr>
          <w:rFonts w:asciiTheme="minorHAnsi" w:hAnsiTheme="minorHAnsi" w:cstheme="minorHAnsi"/>
        </w:rPr>
        <w:t>r</w:t>
      </w:r>
      <w:r w:rsidR="00A97606" w:rsidRPr="00B977D9">
        <w:rPr>
          <w:rFonts w:asciiTheme="minorHAnsi" w:hAnsiTheme="minorHAnsi" w:cstheme="minorHAnsi"/>
        </w:rPr>
        <w:t>espondents</w:t>
      </w:r>
      <w:r w:rsidRPr="00B977D9">
        <w:rPr>
          <w:rFonts w:asciiTheme="minorHAnsi" w:hAnsiTheme="minorHAnsi" w:cstheme="minorHAnsi"/>
        </w:rPr>
        <w:t xml:space="preserve">.  Unrepresented </w:t>
      </w:r>
      <w:r w:rsidR="00A97606">
        <w:rPr>
          <w:rFonts w:asciiTheme="minorHAnsi" w:hAnsiTheme="minorHAnsi" w:cstheme="minorHAnsi"/>
        </w:rPr>
        <w:t>c</w:t>
      </w:r>
      <w:r w:rsidRPr="00B977D9">
        <w:rPr>
          <w:rFonts w:asciiTheme="minorHAnsi" w:hAnsiTheme="minorHAnsi" w:cstheme="minorHAnsi"/>
        </w:rPr>
        <w:t xml:space="preserve">omplainants frequently failed to respond to written correspondence or attempts to conduct an opening conference for an investigation due </w:t>
      </w:r>
      <w:r w:rsidR="00B60427">
        <w:rPr>
          <w:rFonts w:asciiTheme="minorHAnsi" w:hAnsiTheme="minorHAnsi" w:cstheme="minorHAnsi"/>
        </w:rPr>
        <w:t>to receiving erroneous notices of lack of jurisdiction and</w:t>
      </w:r>
      <w:r w:rsidRPr="00B977D9">
        <w:rPr>
          <w:rFonts w:asciiTheme="minorHAnsi" w:hAnsiTheme="minorHAnsi" w:cstheme="minorHAnsi"/>
        </w:rPr>
        <w:t xml:space="preserve"> the significant passage of time and limited contact.  Contrarily, represented </w:t>
      </w:r>
      <w:r w:rsidR="00A97606">
        <w:rPr>
          <w:rFonts w:asciiTheme="minorHAnsi" w:hAnsiTheme="minorHAnsi" w:cstheme="minorHAnsi"/>
        </w:rPr>
        <w:t>c</w:t>
      </w:r>
      <w:r w:rsidR="00A97606" w:rsidRPr="00B977D9">
        <w:rPr>
          <w:rFonts w:asciiTheme="minorHAnsi" w:hAnsiTheme="minorHAnsi" w:cstheme="minorHAnsi"/>
        </w:rPr>
        <w:t xml:space="preserve">omplainants </w:t>
      </w:r>
      <w:r w:rsidRPr="00B977D9">
        <w:rPr>
          <w:rFonts w:asciiTheme="minorHAnsi" w:hAnsiTheme="minorHAnsi" w:cstheme="minorHAnsi"/>
        </w:rPr>
        <w:t xml:space="preserve">promptly requested Right to Sue letters to advance their claims in another venue. OSHA recommends </w:t>
      </w:r>
      <w:r w:rsidR="00A97606">
        <w:rPr>
          <w:rFonts w:asciiTheme="minorHAnsi" w:hAnsiTheme="minorHAnsi" w:cstheme="minorHAnsi"/>
        </w:rPr>
        <w:t>t</w:t>
      </w:r>
      <w:r w:rsidRPr="00B977D9">
        <w:rPr>
          <w:rFonts w:asciiTheme="minorHAnsi" w:hAnsiTheme="minorHAnsi" w:cstheme="minorHAnsi"/>
        </w:rPr>
        <w:t xml:space="preserve">he Bureau review its complaint intake procedures to increase efficiency and accuracy of determinations of jurisdiction. </w:t>
      </w:r>
    </w:p>
    <w:p w14:paraId="450D2220" w14:textId="77777777" w:rsidR="00B977D9" w:rsidRPr="00B977D9" w:rsidRDefault="00B977D9" w:rsidP="00B977D9">
      <w:pPr>
        <w:rPr>
          <w:rFonts w:asciiTheme="minorHAnsi" w:hAnsiTheme="minorHAnsi" w:cstheme="minorHAnsi"/>
        </w:rPr>
      </w:pPr>
    </w:p>
    <w:p w14:paraId="23E30190" w14:textId="528CAFD0" w:rsidR="00B977D9" w:rsidRPr="00B977D9" w:rsidRDefault="00B977D9" w:rsidP="00B977D9">
      <w:pPr>
        <w:rPr>
          <w:rFonts w:asciiTheme="minorHAnsi" w:hAnsiTheme="minorHAnsi" w:cstheme="minorHAnsi"/>
        </w:rPr>
      </w:pPr>
      <w:r w:rsidRPr="00B977D9">
        <w:rPr>
          <w:rFonts w:asciiTheme="minorHAnsi" w:hAnsiTheme="minorHAnsi" w:cstheme="minorHAnsi"/>
        </w:rPr>
        <w:t xml:space="preserve">It is important to note that for administrative closures based on lack of jurisdiction, correspondence with the </w:t>
      </w:r>
      <w:r w:rsidR="00A97606">
        <w:rPr>
          <w:rFonts w:asciiTheme="minorHAnsi" w:hAnsiTheme="minorHAnsi" w:cstheme="minorHAnsi"/>
        </w:rPr>
        <w:t>c</w:t>
      </w:r>
      <w:r w:rsidR="00A97606" w:rsidRPr="00B977D9">
        <w:rPr>
          <w:rFonts w:asciiTheme="minorHAnsi" w:hAnsiTheme="minorHAnsi" w:cstheme="minorHAnsi"/>
        </w:rPr>
        <w:t xml:space="preserve">omplainant </w:t>
      </w:r>
      <w:r w:rsidRPr="00B977D9">
        <w:rPr>
          <w:rFonts w:asciiTheme="minorHAnsi" w:hAnsiTheme="minorHAnsi" w:cstheme="minorHAnsi"/>
        </w:rPr>
        <w:t xml:space="preserve">includes a description of “at will” employment that may cause confusion regarding the applicability of REDA and/or other federal whistleblower protections for unrepresented Complainants.    </w:t>
      </w:r>
    </w:p>
    <w:p w14:paraId="5FD7831E" w14:textId="77777777" w:rsidR="006C6D1D" w:rsidRPr="003762D5" w:rsidRDefault="006C6D1D" w:rsidP="00B00E0F">
      <w:pPr>
        <w:pStyle w:val="NoSpacing"/>
        <w:tabs>
          <w:tab w:val="left" w:pos="-624"/>
          <w:tab w:val="left" w:pos="0"/>
          <w:tab w:val="left" w:pos="720"/>
          <w:tab w:val="left" w:pos="1440"/>
          <w:tab w:val="left" w:pos="2160"/>
          <w:tab w:val="left" w:pos="4986"/>
          <w:tab w:val="left" w:pos="5760"/>
          <w:tab w:val="left" w:pos="6480"/>
          <w:tab w:val="left" w:pos="7200"/>
          <w:tab w:val="left" w:pos="7920"/>
          <w:tab w:val="left" w:pos="8640"/>
          <w:tab w:val="left" w:pos="9360"/>
          <w:tab w:val="left" w:pos="10080"/>
          <w:tab w:val="left" w:pos="10800"/>
          <w:tab w:val="right" w:pos="11304"/>
          <w:tab w:val="left" w:pos="11520"/>
          <w:tab w:val="left" w:pos="12240"/>
          <w:tab w:val="left" w:pos="12960"/>
          <w:tab w:val="left" w:pos="13680"/>
          <w:tab w:val="left" w:pos="14400"/>
        </w:tabs>
        <w:rPr>
          <w:rFonts w:asciiTheme="minorHAnsi" w:hAnsiTheme="minorHAnsi" w:cstheme="minorHAnsi"/>
          <w:sz w:val="24"/>
          <w:szCs w:val="24"/>
        </w:rPr>
      </w:pPr>
    </w:p>
    <w:p w14:paraId="77FC3AD6" w14:textId="3ADE9D86" w:rsidR="0001015B" w:rsidRPr="006823CF" w:rsidRDefault="00152C6C" w:rsidP="0001015B">
      <w:pPr>
        <w:rPr>
          <w:rFonts w:asciiTheme="minorHAnsi" w:hAnsiTheme="minorHAnsi" w:cstheme="minorHAnsi"/>
        </w:rPr>
      </w:pPr>
      <w:bookmarkStart w:id="8" w:name="_Hlk160278571"/>
      <w:r w:rsidRPr="006823CF">
        <w:rPr>
          <w:rFonts w:asciiTheme="minorHAnsi" w:hAnsiTheme="minorHAnsi" w:cstheme="minorHAnsi"/>
          <w:b/>
          <w:bCs/>
          <w:u w:val="single"/>
        </w:rPr>
        <w:t>Observation FY 2025-OB-01:</w:t>
      </w:r>
      <w:r w:rsidR="0001015B" w:rsidRPr="006823CF">
        <w:rPr>
          <w:rFonts w:asciiTheme="minorHAnsi" w:hAnsiTheme="minorHAnsi" w:cstheme="minorHAnsi"/>
          <w:b/>
          <w:bCs/>
        </w:rPr>
        <w:t xml:space="preserve"> </w:t>
      </w:r>
      <w:r w:rsidR="0001015B" w:rsidRPr="006823CF">
        <w:rPr>
          <w:rFonts w:asciiTheme="minorHAnsi" w:hAnsiTheme="minorHAnsi" w:cstheme="minorHAnsi"/>
        </w:rPr>
        <w:t xml:space="preserve">The majority of complaints were not reviewed by a supervisor prior to case closure to assure compliance with REDB Operations Manual, contributing to several inappropriate case closures and failure to afford the complainants full exercise of their whistleblower rights. There were several instances where complaints filed directly with NC DOL that stated a claim under REDA and Section 11(c) or another OSHA-enforced federal statute were not referred to OSHA. There were also </w:t>
      </w:r>
      <w:r w:rsidR="0001015B" w:rsidRPr="006823CF">
        <w:rPr>
          <w:rFonts w:asciiTheme="minorHAnsi" w:hAnsiTheme="minorHAnsi" w:cstheme="minorHAnsi"/>
        </w:rPr>
        <w:lastRenderedPageBreak/>
        <w:t>several instances where complaints were closed during intake and the notice to the complainant erroneously stated that the allegations did not state a claim under REDA.</w:t>
      </w:r>
    </w:p>
    <w:p w14:paraId="68EA037F" w14:textId="5A91DFFE" w:rsidR="00EE242D" w:rsidRPr="003762D5" w:rsidRDefault="00EE242D" w:rsidP="00EE242D">
      <w:pPr>
        <w:contextualSpacing/>
        <w:rPr>
          <w:rFonts w:asciiTheme="minorHAnsi" w:hAnsiTheme="minorHAnsi" w:cstheme="minorHAnsi"/>
        </w:rPr>
      </w:pPr>
      <w:r w:rsidRPr="003762D5">
        <w:rPr>
          <w:rFonts w:asciiTheme="minorHAnsi" w:hAnsiTheme="minorHAnsi" w:cstheme="minorHAnsi"/>
          <w:b/>
          <w:bCs/>
          <w:u w:val="single"/>
        </w:rPr>
        <w:t>Federal Monitoring Plan:</w:t>
      </w:r>
      <w:r w:rsidRPr="003762D5">
        <w:rPr>
          <w:rFonts w:asciiTheme="minorHAnsi" w:hAnsiTheme="minorHAnsi" w:cstheme="minorHAnsi"/>
          <w:b/>
          <w:bCs/>
        </w:rPr>
        <w:t xml:space="preserve"> </w:t>
      </w:r>
      <w:r w:rsidR="009271D9" w:rsidRPr="0001015B">
        <w:rPr>
          <w:rFonts w:asciiTheme="minorHAnsi" w:hAnsiTheme="minorHAnsi" w:cstheme="minorHAnsi"/>
        </w:rPr>
        <w:t>NC DOL</w:t>
      </w:r>
      <w:r w:rsidR="009271D9">
        <w:rPr>
          <w:rFonts w:asciiTheme="minorHAnsi" w:hAnsiTheme="minorHAnsi" w:cstheme="minorHAnsi"/>
          <w:b/>
          <w:bCs/>
        </w:rPr>
        <w:t xml:space="preserve"> </w:t>
      </w:r>
      <w:r w:rsidR="009271D9" w:rsidRPr="0001015B">
        <w:rPr>
          <w:rFonts w:asciiTheme="minorHAnsi" w:hAnsiTheme="minorHAnsi" w:cstheme="minorHAnsi"/>
        </w:rPr>
        <w:t xml:space="preserve">has recently revised the REDB Operations </w:t>
      </w:r>
      <w:r w:rsidR="009271D9">
        <w:rPr>
          <w:rFonts w:asciiTheme="minorHAnsi" w:hAnsiTheme="minorHAnsi" w:cstheme="minorHAnsi"/>
        </w:rPr>
        <w:t>M</w:t>
      </w:r>
      <w:r w:rsidR="009271D9" w:rsidRPr="0001015B">
        <w:rPr>
          <w:rFonts w:asciiTheme="minorHAnsi" w:hAnsiTheme="minorHAnsi" w:cstheme="minorHAnsi"/>
        </w:rPr>
        <w:t xml:space="preserve">anual </w:t>
      </w:r>
      <w:r w:rsidR="009271D9">
        <w:rPr>
          <w:rFonts w:asciiTheme="minorHAnsi" w:hAnsiTheme="minorHAnsi" w:cstheme="minorHAnsi"/>
        </w:rPr>
        <w:t xml:space="preserve">(July 25, 2026) to require Administrator approval to screen out a complaint. </w:t>
      </w:r>
      <w:r w:rsidRPr="003762D5">
        <w:rPr>
          <w:rFonts w:asciiTheme="minorHAnsi" w:hAnsiTheme="minorHAnsi" w:cstheme="minorHAnsi"/>
        </w:rPr>
        <w:t xml:space="preserve">During next year’s FAME, a limited scope review will be conducted to determine if observation is reflected in the data trend.  In FY </w:t>
      </w:r>
      <w:r w:rsidR="006823CF">
        <w:rPr>
          <w:rFonts w:asciiTheme="minorHAnsi" w:hAnsiTheme="minorHAnsi" w:cstheme="minorHAnsi"/>
        </w:rPr>
        <w:t>2027</w:t>
      </w:r>
      <w:r w:rsidRPr="003762D5">
        <w:rPr>
          <w:rFonts w:asciiTheme="minorHAnsi" w:hAnsiTheme="minorHAnsi" w:cstheme="minorHAnsi"/>
        </w:rPr>
        <w:t>, a limited number of case files will be selected randomly and reviewed to determine if this item was addressed.</w:t>
      </w:r>
    </w:p>
    <w:p w14:paraId="07415969" w14:textId="77777777" w:rsidR="00EE242D" w:rsidRPr="003762D5" w:rsidRDefault="00EE242D" w:rsidP="00152C6C">
      <w:pPr>
        <w:contextualSpacing/>
        <w:jc w:val="both"/>
        <w:rPr>
          <w:rFonts w:asciiTheme="minorHAnsi" w:hAnsiTheme="minorHAnsi" w:cstheme="minorHAnsi"/>
          <w:b/>
          <w:bCs/>
          <w:u w:val="single"/>
        </w:rPr>
      </w:pPr>
    </w:p>
    <w:bookmarkEnd w:id="8"/>
    <w:p w14:paraId="318FB582" w14:textId="77777777" w:rsidR="0066611D" w:rsidRPr="00EA4F01" w:rsidRDefault="0066611D" w:rsidP="00EA4F01">
      <w:pPr>
        <w:tabs>
          <w:tab w:val="left" w:pos="1620"/>
        </w:tabs>
        <w:ind w:left="1440" w:hanging="1080"/>
        <w:rPr>
          <w:rFonts w:asciiTheme="minorHAnsi" w:hAnsiTheme="minorHAnsi" w:cstheme="minorHAnsi"/>
          <w:b/>
        </w:rPr>
      </w:pPr>
      <w:r w:rsidRPr="00EA4F01">
        <w:rPr>
          <w:rFonts w:asciiTheme="minorHAnsi" w:hAnsiTheme="minorHAnsi" w:cstheme="minorHAnsi"/>
          <w:b/>
        </w:rPr>
        <w:t xml:space="preserve">8.  </w:t>
      </w:r>
      <w:r w:rsidRPr="00EA4F01">
        <w:rPr>
          <w:rFonts w:asciiTheme="minorHAnsi" w:hAnsiTheme="minorHAnsi" w:cstheme="minorHAnsi"/>
          <w:b/>
          <w:caps/>
        </w:rPr>
        <w:t>Complaint About State Program Administration</w:t>
      </w:r>
      <w:r w:rsidRPr="00EA4F01">
        <w:rPr>
          <w:rFonts w:asciiTheme="minorHAnsi" w:hAnsiTheme="minorHAnsi" w:cstheme="minorHAnsi"/>
          <w:b/>
        </w:rPr>
        <w:t xml:space="preserve"> (CASPA) </w:t>
      </w:r>
    </w:p>
    <w:p w14:paraId="592BE90E" w14:textId="77777777" w:rsidR="006F7104" w:rsidRDefault="006F7104" w:rsidP="00EA4F01">
      <w:pPr>
        <w:contextualSpacing/>
        <w:rPr>
          <w:rFonts w:asciiTheme="minorHAnsi" w:hAnsiTheme="minorHAnsi" w:cstheme="minorHAnsi"/>
        </w:rPr>
      </w:pPr>
    </w:p>
    <w:p w14:paraId="4B850D68" w14:textId="2D04638D" w:rsidR="0066611D" w:rsidRDefault="006F7104" w:rsidP="00EA4F01">
      <w:pPr>
        <w:contextualSpacing/>
        <w:rPr>
          <w:rFonts w:asciiTheme="minorHAnsi" w:hAnsiTheme="minorHAnsi" w:cstheme="minorHAnsi"/>
        </w:rPr>
      </w:pPr>
      <w:r w:rsidRPr="006F7104">
        <w:rPr>
          <w:rFonts w:asciiTheme="minorHAnsi" w:hAnsiTheme="minorHAnsi" w:cstheme="minorHAnsi"/>
        </w:rPr>
        <w:t>During this evaluation period, no CASPAs were received regarding the NCDOL OSH Division.</w:t>
      </w:r>
    </w:p>
    <w:p w14:paraId="6F8D13CC" w14:textId="77777777" w:rsidR="006F7104" w:rsidRPr="00EA4F01" w:rsidRDefault="006F7104" w:rsidP="00EA4F01">
      <w:pPr>
        <w:contextualSpacing/>
        <w:rPr>
          <w:rFonts w:asciiTheme="minorHAnsi" w:hAnsiTheme="minorHAnsi" w:cstheme="minorHAnsi"/>
          <w:i/>
        </w:rPr>
      </w:pPr>
    </w:p>
    <w:p w14:paraId="4A602A32" w14:textId="77777777" w:rsidR="0066611D" w:rsidRDefault="0066611D" w:rsidP="00EA4F01">
      <w:pPr>
        <w:ind w:left="450"/>
        <w:rPr>
          <w:rFonts w:asciiTheme="minorHAnsi" w:hAnsiTheme="minorHAnsi" w:cstheme="minorHAnsi"/>
          <w:b/>
          <w:caps/>
        </w:rPr>
      </w:pPr>
      <w:r w:rsidRPr="00EA4F01">
        <w:rPr>
          <w:rFonts w:asciiTheme="minorHAnsi" w:hAnsiTheme="minorHAnsi" w:cstheme="minorHAnsi"/>
          <w:b/>
        </w:rPr>
        <w:t xml:space="preserve">9.   </w:t>
      </w:r>
      <w:r w:rsidRPr="00EA4F01">
        <w:rPr>
          <w:rFonts w:asciiTheme="minorHAnsi" w:hAnsiTheme="minorHAnsi" w:cstheme="minorHAnsi"/>
          <w:b/>
          <w:caps/>
        </w:rPr>
        <w:t>Voluntary Compliance Program</w:t>
      </w:r>
    </w:p>
    <w:p w14:paraId="1E427B8B" w14:textId="77777777" w:rsidR="001F7DF0" w:rsidRDefault="001F7DF0" w:rsidP="00EA4F01">
      <w:pPr>
        <w:ind w:left="450"/>
        <w:rPr>
          <w:rFonts w:asciiTheme="minorHAnsi" w:hAnsiTheme="minorHAnsi" w:cstheme="minorHAnsi"/>
          <w:b/>
          <w:caps/>
        </w:rPr>
      </w:pPr>
    </w:p>
    <w:p w14:paraId="5F93713C" w14:textId="4FCE8F1E" w:rsidR="000347DA" w:rsidRDefault="000347DA" w:rsidP="000347DA">
      <w:pPr>
        <w:rPr>
          <w:rFonts w:ascii="Calibri" w:hAnsi="Calibri" w:cs="Calibri"/>
        </w:rPr>
      </w:pPr>
      <w:r>
        <w:rPr>
          <w:rFonts w:ascii="Calibri" w:hAnsi="Calibri" w:cs="Calibri"/>
        </w:rPr>
        <w:t>The Education, Training and Technical Assistance (ETTA)</w:t>
      </w:r>
      <w:r w:rsidR="00C7100A">
        <w:rPr>
          <w:rFonts w:ascii="Calibri" w:hAnsi="Calibri" w:cs="Calibri"/>
        </w:rPr>
        <w:t xml:space="preserve"> Bureau</w:t>
      </w:r>
      <w:r>
        <w:rPr>
          <w:rFonts w:ascii="Calibri" w:hAnsi="Calibri" w:cs="Calibri"/>
        </w:rPr>
        <w:t xml:space="preserve"> and the Consultation Bureaus are responsible for the administration of the cooperative agreements. </w:t>
      </w:r>
      <w:r w:rsidR="008F4DA9">
        <w:rPr>
          <w:rFonts w:ascii="Calibri" w:hAnsi="Calibri" w:cs="Calibri"/>
        </w:rPr>
        <w:t xml:space="preserve"> </w:t>
      </w:r>
      <w:r>
        <w:rPr>
          <w:rFonts w:ascii="Calibri" w:hAnsi="Calibri" w:cs="Calibri"/>
        </w:rPr>
        <w:t>Administrative Procedure Notice (APN) 18U</w:t>
      </w:r>
      <w:r w:rsidR="000754B9">
        <w:rPr>
          <w:rFonts w:ascii="Calibri" w:hAnsi="Calibri" w:cs="Calibri"/>
        </w:rPr>
        <w:t xml:space="preserve">, Cooperative Agreements, </w:t>
      </w:r>
      <w:r>
        <w:rPr>
          <w:rFonts w:ascii="Calibri" w:hAnsi="Calibri" w:cs="Calibri"/>
        </w:rPr>
        <w:t xml:space="preserve">addresses the cooperative agreements programs and clearly distinguishes the differences between </w:t>
      </w:r>
      <w:r w:rsidR="000754B9">
        <w:rPr>
          <w:rFonts w:ascii="Calibri" w:hAnsi="Calibri" w:cs="Calibri"/>
        </w:rPr>
        <w:t xml:space="preserve">alliances </w:t>
      </w:r>
      <w:r>
        <w:rPr>
          <w:rFonts w:ascii="Calibri" w:hAnsi="Calibri" w:cs="Calibri"/>
        </w:rPr>
        <w:t xml:space="preserve">and </w:t>
      </w:r>
      <w:r w:rsidR="000754B9">
        <w:rPr>
          <w:rFonts w:ascii="Calibri" w:hAnsi="Calibri" w:cs="Calibri"/>
        </w:rPr>
        <w:t xml:space="preserve">partnerships This </w:t>
      </w:r>
      <w:r>
        <w:rPr>
          <w:rFonts w:ascii="Calibri" w:hAnsi="Calibri" w:cs="Calibri"/>
        </w:rPr>
        <w:t>document establish</w:t>
      </w:r>
      <w:r w:rsidR="000754B9">
        <w:rPr>
          <w:rFonts w:ascii="Calibri" w:hAnsi="Calibri" w:cs="Calibri"/>
        </w:rPr>
        <w:t>es</w:t>
      </w:r>
      <w:r>
        <w:rPr>
          <w:rFonts w:ascii="Calibri" w:hAnsi="Calibri" w:cs="Calibri"/>
        </w:rPr>
        <w:t xml:space="preserve"> the procedures to be followed for </w:t>
      </w:r>
      <w:r w:rsidR="000754B9">
        <w:rPr>
          <w:rFonts w:ascii="Calibri" w:hAnsi="Calibri" w:cs="Calibri"/>
        </w:rPr>
        <w:t xml:space="preserve">alliances </w:t>
      </w:r>
      <w:r>
        <w:rPr>
          <w:rFonts w:ascii="Calibri" w:hAnsi="Calibri" w:cs="Calibri"/>
        </w:rPr>
        <w:t xml:space="preserve">and </w:t>
      </w:r>
      <w:r w:rsidR="008F537B">
        <w:rPr>
          <w:rFonts w:ascii="Calibri" w:hAnsi="Calibri" w:cs="Calibri"/>
        </w:rPr>
        <w:t>partnerships</w:t>
      </w:r>
      <w:r w:rsidR="000754B9">
        <w:rPr>
          <w:rFonts w:ascii="Calibri" w:hAnsi="Calibri" w:cs="Calibri"/>
        </w:rPr>
        <w:t xml:space="preserve"> </w:t>
      </w:r>
      <w:r>
        <w:rPr>
          <w:rFonts w:ascii="Calibri" w:hAnsi="Calibri" w:cs="Calibri"/>
        </w:rPr>
        <w:t xml:space="preserve">agreements and is designed to enhance the ability of the Occupational Safety and Health Division to meet its strategic goals. </w:t>
      </w:r>
      <w:r w:rsidR="008F4DA9">
        <w:rPr>
          <w:rFonts w:ascii="Calibri" w:hAnsi="Calibri" w:cs="Calibri"/>
        </w:rPr>
        <w:t xml:space="preserve"> </w:t>
      </w:r>
      <w:r>
        <w:rPr>
          <w:rFonts w:ascii="Calibri" w:hAnsi="Calibri" w:cs="Calibri"/>
        </w:rPr>
        <w:t xml:space="preserve">North Carolina primarily uses </w:t>
      </w:r>
      <w:r w:rsidR="000754B9">
        <w:rPr>
          <w:rFonts w:ascii="Calibri" w:hAnsi="Calibri" w:cs="Calibri"/>
        </w:rPr>
        <w:t xml:space="preserve">alliances </w:t>
      </w:r>
      <w:r>
        <w:rPr>
          <w:rFonts w:ascii="Calibri" w:hAnsi="Calibri" w:cs="Calibri"/>
        </w:rPr>
        <w:t xml:space="preserve">and </w:t>
      </w:r>
      <w:r w:rsidR="000754B9">
        <w:rPr>
          <w:rFonts w:ascii="Calibri" w:hAnsi="Calibri" w:cs="Calibri"/>
        </w:rPr>
        <w:t xml:space="preserve">partnerships </w:t>
      </w:r>
      <w:r>
        <w:rPr>
          <w:rFonts w:ascii="Calibri" w:hAnsi="Calibri" w:cs="Calibri"/>
        </w:rPr>
        <w:t xml:space="preserve">to serve as an effective means of targeting resources to special emphasis programs (SEPs) areas in a cooperative manner.   </w:t>
      </w:r>
    </w:p>
    <w:p w14:paraId="71D1AE3A" w14:textId="77777777" w:rsidR="000347DA" w:rsidRDefault="000347DA" w:rsidP="000347DA">
      <w:pPr>
        <w:rPr>
          <w:rFonts w:ascii="Calibri" w:hAnsi="Calibri" w:cs="Calibri"/>
        </w:rPr>
      </w:pPr>
    </w:p>
    <w:p w14:paraId="0C10B292" w14:textId="2B0D8C0E" w:rsidR="008472AE" w:rsidRDefault="008472AE" w:rsidP="006F398B">
      <w:pPr>
        <w:rPr>
          <w:rFonts w:ascii="Calibri" w:hAnsi="Calibri" w:cs="Calibri"/>
          <w:b/>
          <w:bCs/>
        </w:rPr>
      </w:pPr>
      <w:r w:rsidRPr="008472AE">
        <w:rPr>
          <w:rFonts w:ascii="Calibri" w:hAnsi="Calibri" w:cs="Calibri"/>
          <w:b/>
          <w:bCs/>
        </w:rPr>
        <w:t>Alliance</w:t>
      </w:r>
    </w:p>
    <w:p w14:paraId="4410272A" w14:textId="77777777" w:rsidR="007037B2" w:rsidRPr="008472AE" w:rsidRDefault="007037B2" w:rsidP="006F398B">
      <w:pPr>
        <w:rPr>
          <w:rFonts w:ascii="Calibri" w:hAnsi="Calibri" w:cs="Calibri"/>
          <w:b/>
          <w:bCs/>
        </w:rPr>
      </w:pPr>
    </w:p>
    <w:p w14:paraId="0F6E181C" w14:textId="435B548C" w:rsidR="008472AE" w:rsidRDefault="008472AE" w:rsidP="006F398B">
      <w:pPr>
        <w:rPr>
          <w:rFonts w:ascii="Calibri" w:hAnsi="Calibri" w:cs="Calibri"/>
        </w:rPr>
      </w:pPr>
      <w:r w:rsidRPr="008472AE">
        <w:rPr>
          <w:rFonts w:ascii="Calibri" w:hAnsi="Calibri" w:cs="Calibri"/>
        </w:rPr>
        <w:t>The Alliance Team Leader is responsible for coordinating the Alliance Program.  The State Plan</w:t>
      </w:r>
      <w:r w:rsidR="000754B9">
        <w:rPr>
          <w:rFonts w:ascii="Calibri" w:hAnsi="Calibri" w:cs="Calibri"/>
        </w:rPr>
        <w:t>’</w:t>
      </w:r>
      <w:r w:rsidRPr="008472AE">
        <w:rPr>
          <w:rFonts w:ascii="Calibri" w:hAnsi="Calibri" w:cs="Calibri"/>
        </w:rPr>
        <w:t xml:space="preserve">s Alliance Program is similar to OSHA’s Alliance Program, with a few exceptions.  For example, most NC OSH’s </w:t>
      </w:r>
      <w:r w:rsidR="00DE6F8B">
        <w:rPr>
          <w:rFonts w:ascii="Calibri" w:hAnsi="Calibri" w:cs="Calibri"/>
        </w:rPr>
        <w:t>a</w:t>
      </w:r>
      <w:r w:rsidRPr="008472AE">
        <w:rPr>
          <w:rFonts w:ascii="Calibri" w:hAnsi="Calibri" w:cs="Calibri"/>
        </w:rPr>
        <w:t xml:space="preserve">lliances are limited to a two-year term with the opportunity for renewal.  The exceptions to this policy are in operation for an indefinite time-period. </w:t>
      </w:r>
      <w:r w:rsidR="008F4DA9">
        <w:rPr>
          <w:rFonts w:ascii="Calibri" w:hAnsi="Calibri" w:cs="Calibri"/>
        </w:rPr>
        <w:t xml:space="preserve"> </w:t>
      </w:r>
      <w:r w:rsidRPr="008472AE">
        <w:rPr>
          <w:rFonts w:ascii="Calibri" w:hAnsi="Calibri" w:cs="Calibri"/>
        </w:rPr>
        <w:t xml:space="preserve">During this audit, it was once again confirmed that the indefinite expiration period has not adversely impacted the State Plans Alliance Program.  Additionally, each </w:t>
      </w:r>
      <w:r w:rsidR="002A467B">
        <w:rPr>
          <w:rFonts w:ascii="Calibri" w:hAnsi="Calibri" w:cs="Calibri"/>
        </w:rPr>
        <w:t>a</w:t>
      </w:r>
      <w:r w:rsidRPr="008472AE">
        <w:rPr>
          <w:rFonts w:ascii="Calibri" w:hAnsi="Calibri" w:cs="Calibri"/>
        </w:rPr>
        <w:t xml:space="preserve">lliance agreement includes a termination clause, which enables OSHNC to terminate an ineffective agreement. </w:t>
      </w:r>
      <w:r w:rsidR="008F4DA9">
        <w:rPr>
          <w:rFonts w:ascii="Calibri" w:hAnsi="Calibri" w:cs="Calibri"/>
        </w:rPr>
        <w:t xml:space="preserve"> </w:t>
      </w:r>
      <w:r w:rsidRPr="008472AE">
        <w:rPr>
          <w:rFonts w:ascii="Calibri" w:hAnsi="Calibri" w:cs="Calibri"/>
        </w:rPr>
        <w:t xml:space="preserve">OSHNC currently </w:t>
      </w:r>
      <w:r w:rsidRPr="00946DAF">
        <w:rPr>
          <w:rFonts w:ascii="Calibri" w:hAnsi="Calibri" w:cs="Calibri"/>
        </w:rPr>
        <w:t xml:space="preserve">has </w:t>
      </w:r>
      <w:r w:rsidR="002A467B">
        <w:rPr>
          <w:rFonts w:ascii="Calibri" w:hAnsi="Calibri" w:cs="Calibri"/>
        </w:rPr>
        <w:t>nice</w:t>
      </w:r>
      <w:r w:rsidRPr="00946DAF">
        <w:rPr>
          <w:rFonts w:ascii="Calibri" w:hAnsi="Calibri" w:cs="Calibri"/>
        </w:rPr>
        <w:t xml:space="preserve"> active</w:t>
      </w:r>
      <w:r w:rsidRPr="008472AE">
        <w:rPr>
          <w:rFonts w:ascii="Calibri" w:hAnsi="Calibri" w:cs="Calibri"/>
        </w:rPr>
        <w:t xml:space="preserve"> </w:t>
      </w:r>
      <w:r w:rsidR="002A467B">
        <w:rPr>
          <w:rFonts w:ascii="Calibri" w:hAnsi="Calibri" w:cs="Calibri"/>
        </w:rPr>
        <w:t>a</w:t>
      </w:r>
      <w:r w:rsidRPr="008472AE">
        <w:rPr>
          <w:rFonts w:ascii="Calibri" w:hAnsi="Calibri" w:cs="Calibri"/>
        </w:rPr>
        <w:t xml:space="preserve">lliances focusing on SEPs.  A randomly selected number of the Alliance files were reviewed and found to contain the necessary information.  </w:t>
      </w:r>
    </w:p>
    <w:tbl>
      <w:tblPr>
        <w:tblStyle w:val="TableGrid"/>
        <w:tblpPr w:leftFromText="180" w:rightFromText="180" w:vertAnchor="text" w:horzAnchor="margin" w:tblpY="232"/>
        <w:tblW w:w="0" w:type="auto"/>
        <w:tblLook w:val="04A0" w:firstRow="1" w:lastRow="0" w:firstColumn="1" w:lastColumn="0" w:noHBand="0" w:noVBand="1"/>
      </w:tblPr>
      <w:tblGrid>
        <w:gridCol w:w="4675"/>
        <w:gridCol w:w="4675"/>
      </w:tblGrid>
      <w:tr w:rsidR="008472AE" w:rsidRPr="008472AE" w14:paraId="62510793" w14:textId="77777777" w:rsidTr="008472AE">
        <w:tc>
          <w:tcPr>
            <w:tcW w:w="4675" w:type="dxa"/>
          </w:tcPr>
          <w:p w14:paraId="3F91D667" w14:textId="77777777" w:rsidR="008472AE" w:rsidRPr="00946DAF" w:rsidRDefault="008472AE" w:rsidP="008472AE">
            <w:pPr>
              <w:rPr>
                <w:rFonts w:asciiTheme="minorHAnsi" w:hAnsiTheme="minorHAnsi" w:cstheme="minorHAnsi"/>
                <w:b/>
              </w:rPr>
            </w:pPr>
            <w:r w:rsidRPr="00946DAF">
              <w:rPr>
                <w:rFonts w:asciiTheme="minorHAnsi" w:hAnsiTheme="minorHAnsi" w:cstheme="minorHAnsi"/>
                <w:b/>
              </w:rPr>
              <w:t>Active Alliances</w:t>
            </w:r>
          </w:p>
        </w:tc>
        <w:tc>
          <w:tcPr>
            <w:tcW w:w="4675" w:type="dxa"/>
          </w:tcPr>
          <w:p w14:paraId="58DAF0B4" w14:textId="77777777" w:rsidR="008472AE" w:rsidRPr="00946DAF" w:rsidRDefault="008472AE" w:rsidP="008472AE">
            <w:pPr>
              <w:rPr>
                <w:rFonts w:asciiTheme="minorHAnsi" w:hAnsiTheme="minorHAnsi" w:cstheme="minorHAnsi"/>
                <w:b/>
              </w:rPr>
            </w:pPr>
          </w:p>
        </w:tc>
      </w:tr>
      <w:tr w:rsidR="008472AE" w:rsidRPr="008472AE" w14:paraId="39338F84" w14:textId="77777777" w:rsidTr="008472AE">
        <w:tc>
          <w:tcPr>
            <w:tcW w:w="4675" w:type="dxa"/>
          </w:tcPr>
          <w:p w14:paraId="599C789A" w14:textId="77777777" w:rsidR="008472AE" w:rsidRPr="00946DAF" w:rsidRDefault="008472AE" w:rsidP="008472AE">
            <w:pPr>
              <w:rPr>
                <w:rFonts w:asciiTheme="minorHAnsi" w:hAnsiTheme="minorHAnsi" w:cstheme="minorHAnsi"/>
              </w:rPr>
            </w:pPr>
            <w:r w:rsidRPr="00946DAF">
              <w:rPr>
                <w:rFonts w:asciiTheme="minorHAnsi" w:hAnsiTheme="minorHAnsi" w:cstheme="minorHAnsi"/>
              </w:rPr>
              <w:t>Carolinas Associated General Contractors</w:t>
            </w:r>
          </w:p>
        </w:tc>
        <w:tc>
          <w:tcPr>
            <w:tcW w:w="4675" w:type="dxa"/>
          </w:tcPr>
          <w:p w14:paraId="62CBA2DB" w14:textId="77777777" w:rsidR="008472AE" w:rsidRPr="00946DAF" w:rsidRDefault="008472AE" w:rsidP="008472AE">
            <w:pPr>
              <w:rPr>
                <w:rFonts w:asciiTheme="minorHAnsi" w:hAnsiTheme="minorHAnsi" w:cstheme="minorHAnsi"/>
              </w:rPr>
            </w:pPr>
            <w:r w:rsidRPr="00946DAF">
              <w:rPr>
                <w:rFonts w:asciiTheme="minorHAnsi" w:hAnsiTheme="minorHAnsi" w:cstheme="minorHAnsi"/>
              </w:rPr>
              <w:t>Lamar Advertising Company</w:t>
            </w:r>
          </w:p>
        </w:tc>
      </w:tr>
      <w:tr w:rsidR="008472AE" w:rsidRPr="008472AE" w14:paraId="2CB6D1F8" w14:textId="77777777" w:rsidTr="008472AE">
        <w:tc>
          <w:tcPr>
            <w:tcW w:w="4675" w:type="dxa"/>
          </w:tcPr>
          <w:p w14:paraId="0A157A45" w14:textId="77777777" w:rsidR="008472AE" w:rsidRPr="00946DAF" w:rsidRDefault="008472AE" w:rsidP="008472AE">
            <w:pPr>
              <w:rPr>
                <w:rFonts w:asciiTheme="minorHAnsi" w:hAnsiTheme="minorHAnsi" w:cstheme="minorHAnsi"/>
              </w:rPr>
            </w:pPr>
            <w:r w:rsidRPr="00946DAF">
              <w:rPr>
                <w:rFonts w:asciiTheme="minorHAnsi" w:hAnsiTheme="minorHAnsi" w:cstheme="minorHAnsi"/>
              </w:rPr>
              <w:t xml:space="preserve">Safety &amp; Health Council of North Carolina </w:t>
            </w:r>
          </w:p>
        </w:tc>
        <w:tc>
          <w:tcPr>
            <w:tcW w:w="4675" w:type="dxa"/>
          </w:tcPr>
          <w:p w14:paraId="75006F32" w14:textId="46754F9C" w:rsidR="008472AE" w:rsidRPr="00946DAF" w:rsidRDefault="00946DAF" w:rsidP="008472AE">
            <w:pPr>
              <w:rPr>
                <w:rFonts w:asciiTheme="minorHAnsi" w:hAnsiTheme="minorHAnsi" w:cstheme="minorHAnsi"/>
              </w:rPr>
            </w:pPr>
            <w:r w:rsidRPr="00946DAF">
              <w:rPr>
                <w:rFonts w:asciiTheme="minorHAnsi" w:hAnsiTheme="minorHAnsi" w:cstheme="minorHAnsi"/>
              </w:rPr>
              <w:t>North Carolina Utility Contractors Association of North Carolina (NCUCA)</w:t>
            </w:r>
          </w:p>
        </w:tc>
      </w:tr>
      <w:tr w:rsidR="008472AE" w:rsidRPr="008472AE" w14:paraId="0A73AE1A" w14:textId="77777777" w:rsidTr="008472AE">
        <w:tc>
          <w:tcPr>
            <w:tcW w:w="4675" w:type="dxa"/>
          </w:tcPr>
          <w:p w14:paraId="403ABBAE" w14:textId="77777777" w:rsidR="00946DAF" w:rsidRPr="00946DAF" w:rsidRDefault="00946DAF" w:rsidP="00946DAF">
            <w:pPr>
              <w:rPr>
                <w:rFonts w:asciiTheme="minorHAnsi" w:hAnsiTheme="minorHAnsi" w:cstheme="minorHAnsi"/>
              </w:rPr>
            </w:pPr>
            <w:r w:rsidRPr="00946DAF">
              <w:rPr>
                <w:rFonts w:asciiTheme="minorHAnsi" w:hAnsiTheme="minorHAnsi" w:cstheme="minorHAnsi"/>
              </w:rPr>
              <w:t>N.C. State – Industry Expansion Solutions</w:t>
            </w:r>
          </w:p>
          <w:p w14:paraId="7CA1D3DB" w14:textId="2478900B" w:rsidR="008472AE" w:rsidRPr="00946DAF" w:rsidRDefault="008472AE" w:rsidP="008472AE">
            <w:pPr>
              <w:rPr>
                <w:rFonts w:asciiTheme="minorHAnsi" w:hAnsiTheme="minorHAnsi" w:cstheme="minorHAnsi"/>
              </w:rPr>
            </w:pPr>
          </w:p>
        </w:tc>
        <w:tc>
          <w:tcPr>
            <w:tcW w:w="4675" w:type="dxa"/>
          </w:tcPr>
          <w:p w14:paraId="674984AC" w14:textId="554B7B09" w:rsidR="008472AE" w:rsidRPr="00946DAF" w:rsidRDefault="00946DAF" w:rsidP="008472AE">
            <w:pPr>
              <w:rPr>
                <w:rFonts w:asciiTheme="minorHAnsi" w:hAnsiTheme="minorHAnsi" w:cstheme="minorHAnsi"/>
              </w:rPr>
            </w:pPr>
            <w:r w:rsidRPr="00946DAF">
              <w:rPr>
                <w:rFonts w:asciiTheme="minorHAnsi" w:hAnsiTheme="minorHAnsi" w:cstheme="minorHAnsi"/>
              </w:rPr>
              <w:t>Tree Care Industry Association</w:t>
            </w:r>
          </w:p>
        </w:tc>
      </w:tr>
      <w:tr w:rsidR="008472AE" w:rsidRPr="008472AE" w14:paraId="6944BEF8" w14:textId="77777777" w:rsidTr="008472AE">
        <w:tc>
          <w:tcPr>
            <w:tcW w:w="4675" w:type="dxa"/>
          </w:tcPr>
          <w:p w14:paraId="12EAD957" w14:textId="54006A34" w:rsidR="008472AE" w:rsidRPr="00946DAF" w:rsidRDefault="00946DAF" w:rsidP="008472AE">
            <w:pPr>
              <w:rPr>
                <w:rFonts w:asciiTheme="minorHAnsi" w:hAnsiTheme="minorHAnsi" w:cstheme="minorHAnsi"/>
              </w:rPr>
            </w:pPr>
            <w:r w:rsidRPr="00946DAF">
              <w:rPr>
                <w:rFonts w:asciiTheme="minorHAnsi" w:hAnsiTheme="minorHAnsi" w:cstheme="minorHAnsi"/>
              </w:rPr>
              <w:t>Plumbing-Heating-Cooling Contractor’s Association</w:t>
            </w:r>
          </w:p>
        </w:tc>
        <w:tc>
          <w:tcPr>
            <w:tcW w:w="4675" w:type="dxa"/>
          </w:tcPr>
          <w:p w14:paraId="56A0936E" w14:textId="08D2349F" w:rsidR="008472AE" w:rsidRPr="00946DAF" w:rsidRDefault="00946DAF" w:rsidP="008472AE">
            <w:pPr>
              <w:rPr>
                <w:rFonts w:asciiTheme="minorHAnsi" w:hAnsiTheme="minorHAnsi" w:cstheme="minorHAnsi"/>
              </w:rPr>
            </w:pPr>
            <w:r w:rsidRPr="00946DAF">
              <w:rPr>
                <w:rFonts w:asciiTheme="minorHAnsi" w:hAnsiTheme="minorHAnsi" w:cstheme="minorHAnsi"/>
              </w:rPr>
              <w:t>N.C. Masonry Contractors Association</w:t>
            </w:r>
          </w:p>
        </w:tc>
      </w:tr>
      <w:tr w:rsidR="00946DAF" w:rsidRPr="008472AE" w14:paraId="392DDE0E" w14:textId="77777777" w:rsidTr="008472AE">
        <w:tc>
          <w:tcPr>
            <w:tcW w:w="4675" w:type="dxa"/>
          </w:tcPr>
          <w:p w14:paraId="0B9C9B70" w14:textId="1A4B0181" w:rsidR="00946DAF" w:rsidRPr="00946DAF" w:rsidRDefault="00946DAF" w:rsidP="008472AE">
            <w:pPr>
              <w:rPr>
                <w:rFonts w:asciiTheme="minorHAnsi" w:hAnsiTheme="minorHAnsi" w:cstheme="minorHAnsi"/>
              </w:rPr>
            </w:pPr>
            <w:r w:rsidRPr="00946DAF">
              <w:rPr>
                <w:rFonts w:asciiTheme="minorHAnsi" w:hAnsiTheme="minorHAnsi" w:cstheme="minorHAnsi"/>
              </w:rPr>
              <w:t>Associated Builders and Contractors Carolinas</w:t>
            </w:r>
          </w:p>
        </w:tc>
        <w:tc>
          <w:tcPr>
            <w:tcW w:w="4675" w:type="dxa"/>
          </w:tcPr>
          <w:p w14:paraId="1203DC7A" w14:textId="77777777" w:rsidR="00946DAF" w:rsidRPr="00946DAF" w:rsidRDefault="00946DAF" w:rsidP="008472AE">
            <w:pPr>
              <w:rPr>
                <w:rFonts w:asciiTheme="minorHAnsi" w:hAnsiTheme="minorHAnsi" w:cstheme="minorHAnsi"/>
              </w:rPr>
            </w:pPr>
          </w:p>
        </w:tc>
      </w:tr>
    </w:tbl>
    <w:p w14:paraId="2D24C43A" w14:textId="77777777" w:rsidR="008472AE" w:rsidRDefault="008472AE" w:rsidP="008472AE">
      <w:pPr>
        <w:jc w:val="both"/>
        <w:rPr>
          <w:rFonts w:ascii="Calibri" w:hAnsi="Calibri" w:cs="Calibri"/>
        </w:rPr>
      </w:pPr>
    </w:p>
    <w:p w14:paraId="7E7131DD" w14:textId="77777777" w:rsidR="008472AE" w:rsidRPr="008472AE" w:rsidRDefault="008472AE" w:rsidP="008472AE">
      <w:pPr>
        <w:jc w:val="both"/>
        <w:rPr>
          <w:rFonts w:ascii="Calibri" w:hAnsi="Calibri" w:cs="Calibri"/>
        </w:rPr>
      </w:pPr>
    </w:p>
    <w:p w14:paraId="4EF30358" w14:textId="77777777" w:rsidR="008472AE" w:rsidRPr="008472AE" w:rsidRDefault="008472AE" w:rsidP="008472AE">
      <w:pPr>
        <w:jc w:val="both"/>
        <w:rPr>
          <w:rFonts w:ascii="Calibri" w:hAnsi="Calibri" w:cs="Calibri"/>
        </w:rPr>
      </w:pPr>
    </w:p>
    <w:p w14:paraId="75A9727B" w14:textId="77777777" w:rsidR="008472AE" w:rsidRPr="008472AE" w:rsidRDefault="008472AE" w:rsidP="008472AE">
      <w:pPr>
        <w:jc w:val="both"/>
        <w:rPr>
          <w:rFonts w:ascii="Calibri" w:hAnsi="Calibri" w:cs="Calibri"/>
        </w:rPr>
      </w:pPr>
    </w:p>
    <w:p w14:paraId="2FB482B9" w14:textId="77777777" w:rsidR="008472AE" w:rsidRPr="008472AE" w:rsidRDefault="008472AE" w:rsidP="008472AE">
      <w:pPr>
        <w:jc w:val="both"/>
        <w:rPr>
          <w:rFonts w:ascii="Calibri" w:hAnsi="Calibri" w:cs="Calibri"/>
          <w:b/>
          <w:bCs/>
        </w:rPr>
      </w:pPr>
    </w:p>
    <w:p w14:paraId="1AD30C34" w14:textId="77777777" w:rsidR="002A467B" w:rsidRDefault="002A467B" w:rsidP="008472AE">
      <w:pPr>
        <w:jc w:val="both"/>
        <w:rPr>
          <w:rFonts w:ascii="Calibri" w:hAnsi="Calibri" w:cs="Calibri"/>
          <w:b/>
          <w:bCs/>
        </w:rPr>
      </w:pPr>
    </w:p>
    <w:p w14:paraId="4B3FCA53" w14:textId="1948D9AA" w:rsidR="008472AE" w:rsidRPr="008472AE" w:rsidRDefault="008472AE" w:rsidP="008472AE">
      <w:pPr>
        <w:jc w:val="both"/>
        <w:rPr>
          <w:rFonts w:ascii="Calibri" w:hAnsi="Calibri" w:cs="Calibri"/>
          <w:b/>
          <w:bCs/>
        </w:rPr>
      </w:pPr>
      <w:r w:rsidRPr="008472AE">
        <w:rPr>
          <w:rFonts w:ascii="Calibri" w:hAnsi="Calibri" w:cs="Calibri"/>
          <w:b/>
          <w:bCs/>
        </w:rPr>
        <w:t>Partnership</w:t>
      </w:r>
    </w:p>
    <w:p w14:paraId="18B4D256" w14:textId="77777777" w:rsidR="008472AE" w:rsidRDefault="008472AE" w:rsidP="008472AE">
      <w:pPr>
        <w:jc w:val="both"/>
        <w:rPr>
          <w:rFonts w:ascii="Calibri" w:hAnsi="Calibri" w:cs="Calibri"/>
          <w:b/>
          <w:bCs/>
        </w:rPr>
      </w:pPr>
    </w:p>
    <w:p w14:paraId="12EC704C" w14:textId="457CEF00" w:rsidR="00C547C0" w:rsidRPr="00C547C0" w:rsidRDefault="00C547C0" w:rsidP="00CE2779">
      <w:pPr>
        <w:rPr>
          <w:rFonts w:ascii="Calibri" w:hAnsi="Calibri" w:cs="Calibri"/>
        </w:rPr>
      </w:pPr>
      <w:r w:rsidRPr="00C547C0">
        <w:rPr>
          <w:rFonts w:ascii="Calibri" w:hAnsi="Calibri" w:cs="Calibri"/>
        </w:rPr>
        <w:t xml:space="preserve">The Partnership Team Leader is responsible for coordinating the State’s Partnership Program.  </w:t>
      </w:r>
      <w:r w:rsidRPr="00C547C0">
        <w:rPr>
          <w:rFonts w:ascii="Calibri" w:hAnsi="Calibri" w:cs="Calibri"/>
        </w:rPr>
        <w:lastRenderedPageBreak/>
        <w:t xml:space="preserve">Guidelines for the program can be found in APN 18S, which is the same directive that addresses the Alliance Program.  OSHNC’s Partnership Program is focused on the construction industry.  Currently, the State Plan has </w:t>
      </w:r>
      <w:r>
        <w:rPr>
          <w:rFonts w:ascii="Calibri" w:hAnsi="Calibri" w:cs="Calibri"/>
        </w:rPr>
        <w:t>four</w:t>
      </w:r>
      <w:r w:rsidRPr="00C547C0">
        <w:rPr>
          <w:rFonts w:ascii="Calibri" w:hAnsi="Calibri" w:cs="Calibri"/>
        </w:rPr>
        <w:t xml:space="preserve"> active </w:t>
      </w:r>
      <w:r w:rsidR="00173E53">
        <w:rPr>
          <w:rFonts w:ascii="Calibri" w:hAnsi="Calibri" w:cs="Calibri"/>
        </w:rPr>
        <w:t>p</w:t>
      </w:r>
      <w:r w:rsidR="00173E53" w:rsidRPr="00C547C0">
        <w:rPr>
          <w:rFonts w:ascii="Calibri" w:hAnsi="Calibri" w:cs="Calibri"/>
        </w:rPr>
        <w:t>artnerships</w:t>
      </w:r>
      <w:r w:rsidRPr="00C547C0">
        <w:rPr>
          <w:rFonts w:ascii="Calibri" w:hAnsi="Calibri" w:cs="Calibri"/>
        </w:rPr>
        <w:t xml:space="preserve">, which were reviewed during this audit. Participants must </w:t>
      </w:r>
      <w:r w:rsidR="00855914" w:rsidRPr="00C547C0">
        <w:rPr>
          <w:rFonts w:ascii="Calibri" w:hAnsi="Calibri" w:cs="Calibri"/>
        </w:rPr>
        <w:t>apply</w:t>
      </w:r>
      <w:r w:rsidRPr="00C547C0">
        <w:rPr>
          <w:rFonts w:ascii="Calibri" w:hAnsi="Calibri" w:cs="Calibri"/>
        </w:rPr>
        <w:t xml:space="preserve"> for participation, which must be approved by a panel within OSHNC.  Participants are limited to two </w:t>
      </w:r>
      <w:r w:rsidR="00173E53">
        <w:rPr>
          <w:rFonts w:ascii="Calibri" w:hAnsi="Calibri" w:cs="Calibri"/>
        </w:rPr>
        <w:t>p</w:t>
      </w:r>
      <w:r w:rsidR="00173E53" w:rsidRPr="00C547C0">
        <w:rPr>
          <w:rFonts w:ascii="Calibri" w:hAnsi="Calibri" w:cs="Calibri"/>
        </w:rPr>
        <w:t xml:space="preserve">artnership </w:t>
      </w:r>
      <w:r w:rsidRPr="00C547C0">
        <w:rPr>
          <w:rFonts w:ascii="Calibri" w:hAnsi="Calibri" w:cs="Calibri"/>
        </w:rPr>
        <w:t xml:space="preserve">worksites, within a ten-year period; however, the OSHNC Director or Commissioner of Labor can waive this restriction.  This limit was established to ensure that a diverse group of employers are permitted the opportunity to participate in the program. </w:t>
      </w:r>
      <w:r w:rsidR="008F4DA9">
        <w:rPr>
          <w:rFonts w:ascii="Calibri" w:hAnsi="Calibri" w:cs="Calibri"/>
        </w:rPr>
        <w:t xml:space="preserve"> </w:t>
      </w:r>
      <w:r w:rsidRPr="00C547C0">
        <w:rPr>
          <w:rFonts w:ascii="Calibri" w:hAnsi="Calibri" w:cs="Calibri"/>
        </w:rPr>
        <w:t xml:space="preserve">Also, a variety of construction projects are represented in the program, and the partnership limit ensures that OSHNC can effectively manage the program.  </w:t>
      </w:r>
    </w:p>
    <w:p w14:paraId="139CE1B0" w14:textId="77777777" w:rsidR="00C547C0" w:rsidRPr="00C547C0" w:rsidRDefault="00C547C0" w:rsidP="00CE2779">
      <w:pPr>
        <w:rPr>
          <w:rFonts w:ascii="Calibri" w:hAnsi="Calibri" w:cs="Calibri"/>
        </w:rPr>
      </w:pPr>
    </w:p>
    <w:p w14:paraId="048ADAC2" w14:textId="2612D5FB" w:rsidR="00C547C0" w:rsidRPr="00C547C0" w:rsidRDefault="00C547C0" w:rsidP="00CE2779">
      <w:pPr>
        <w:rPr>
          <w:rFonts w:ascii="Calibri" w:hAnsi="Calibri" w:cs="Calibri"/>
        </w:rPr>
      </w:pPr>
      <w:r w:rsidRPr="00C547C0">
        <w:rPr>
          <w:rFonts w:ascii="Calibri" w:hAnsi="Calibri" w:cs="Calibri"/>
        </w:rPr>
        <w:t xml:space="preserve">OSHNC’s Partnership Program includes a provision that exempts </w:t>
      </w:r>
      <w:r w:rsidR="00173E53">
        <w:rPr>
          <w:rFonts w:ascii="Calibri" w:hAnsi="Calibri" w:cs="Calibri"/>
        </w:rPr>
        <w:t>p</w:t>
      </w:r>
      <w:r w:rsidRPr="00C547C0">
        <w:rPr>
          <w:rFonts w:ascii="Calibri" w:hAnsi="Calibri" w:cs="Calibri"/>
        </w:rPr>
        <w:t xml:space="preserve">artnership worksites from programmed inspections.  However, these worksites must provide the State Plan with injury and illness data, monthly.  In Addition, </w:t>
      </w:r>
      <w:r w:rsidR="00173E53">
        <w:rPr>
          <w:rFonts w:ascii="Calibri" w:hAnsi="Calibri" w:cs="Calibri"/>
        </w:rPr>
        <w:t>p</w:t>
      </w:r>
      <w:r w:rsidRPr="00C547C0">
        <w:rPr>
          <w:rFonts w:ascii="Calibri" w:hAnsi="Calibri" w:cs="Calibri"/>
        </w:rPr>
        <w:t xml:space="preserve">artnership worksites receive quarterly inspections from OSHNC.  Serious violations observed during the verification must be abated immediately.  The </w:t>
      </w:r>
      <w:r w:rsidR="00173E53">
        <w:rPr>
          <w:rFonts w:ascii="Calibri" w:hAnsi="Calibri" w:cs="Calibri"/>
        </w:rPr>
        <w:t>p</w:t>
      </w:r>
      <w:r w:rsidRPr="00C547C0">
        <w:rPr>
          <w:rFonts w:ascii="Calibri" w:hAnsi="Calibri" w:cs="Calibri"/>
        </w:rPr>
        <w:t xml:space="preserve">artnership worksites are also required to meet quarterly to assess the site’s progress.  Additionally, the worksite must maintain a DART rate 20% below the national DART rate for the industry.  </w:t>
      </w:r>
    </w:p>
    <w:p w14:paraId="5DF6F255" w14:textId="77777777" w:rsidR="00C547C0" w:rsidRPr="00C547C0" w:rsidRDefault="00C547C0" w:rsidP="00CE2779">
      <w:pPr>
        <w:rPr>
          <w:rFonts w:ascii="Calibri" w:hAnsi="Calibri" w:cs="Calibri"/>
        </w:rPr>
      </w:pPr>
    </w:p>
    <w:p w14:paraId="65BB8703" w14:textId="3BA7B75B" w:rsidR="00C547C0" w:rsidRDefault="00C547C0" w:rsidP="00CE2779">
      <w:pPr>
        <w:rPr>
          <w:rFonts w:ascii="Calibri" w:hAnsi="Calibri" w:cs="Calibri"/>
        </w:rPr>
      </w:pPr>
      <w:r w:rsidRPr="00C547C0">
        <w:rPr>
          <w:rFonts w:ascii="Calibri" w:hAnsi="Calibri" w:cs="Calibri"/>
        </w:rPr>
        <w:t xml:space="preserve">The State Plan’s current </w:t>
      </w:r>
      <w:r w:rsidR="00173E53">
        <w:rPr>
          <w:rFonts w:ascii="Calibri" w:hAnsi="Calibri" w:cs="Calibri"/>
        </w:rPr>
        <w:t>p</w:t>
      </w:r>
      <w:r w:rsidRPr="00C547C0">
        <w:rPr>
          <w:rFonts w:ascii="Calibri" w:hAnsi="Calibri" w:cs="Calibri"/>
        </w:rPr>
        <w:t xml:space="preserve">artnership policy is continually reviewed, and unprogrammed inspections are still conducted, because of formal complaints, or job site accidents resulting in hospitalizations or death. A review of the Partnership files revealed that they contained the necessary information, including the quarterly technical assistance visits and the monthly reports. </w:t>
      </w:r>
    </w:p>
    <w:p w14:paraId="67F64507" w14:textId="77777777" w:rsidR="00C547C0" w:rsidRDefault="00C547C0" w:rsidP="00D211EE">
      <w:pPr>
        <w:jc w:val="both"/>
        <w:rPr>
          <w:rFonts w:ascii="Calibri" w:hAnsi="Calibri" w:cs="Calibri"/>
        </w:rPr>
      </w:pPr>
    </w:p>
    <w:tbl>
      <w:tblPr>
        <w:tblStyle w:val="TableGrid"/>
        <w:tblW w:w="0" w:type="auto"/>
        <w:tblLook w:val="04A0" w:firstRow="1" w:lastRow="0" w:firstColumn="1" w:lastColumn="0" w:noHBand="0" w:noVBand="1"/>
      </w:tblPr>
      <w:tblGrid>
        <w:gridCol w:w="5080"/>
        <w:gridCol w:w="5080"/>
      </w:tblGrid>
      <w:tr w:rsidR="00C547C0" w14:paraId="34075250" w14:textId="77777777" w:rsidTr="00C547C0">
        <w:tc>
          <w:tcPr>
            <w:tcW w:w="5080" w:type="dxa"/>
          </w:tcPr>
          <w:p w14:paraId="2E9B5BA4" w14:textId="418DB2DC" w:rsidR="00C547C0" w:rsidRDefault="00C547C0" w:rsidP="00D211EE">
            <w:pPr>
              <w:jc w:val="both"/>
              <w:rPr>
                <w:rFonts w:ascii="Calibri" w:hAnsi="Calibri" w:cs="Calibri"/>
              </w:rPr>
            </w:pPr>
            <w:r w:rsidRPr="008472AE">
              <w:rPr>
                <w:rFonts w:ascii="Calibri" w:hAnsi="Calibri" w:cs="Calibri"/>
                <w:b/>
                <w:bCs/>
              </w:rPr>
              <w:t>Partnership</w:t>
            </w:r>
            <w:r>
              <w:rPr>
                <w:rFonts w:ascii="Calibri" w:hAnsi="Calibri" w:cs="Calibri"/>
                <w:b/>
                <w:bCs/>
              </w:rPr>
              <w:t>s</w:t>
            </w:r>
          </w:p>
        </w:tc>
        <w:tc>
          <w:tcPr>
            <w:tcW w:w="5080" w:type="dxa"/>
          </w:tcPr>
          <w:p w14:paraId="1917759A" w14:textId="77777777" w:rsidR="00C547C0" w:rsidRDefault="00C547C0" w:rsidP="00D211EE">
            <w:pPr>
              <w:jc w:val="both"/>
              <w:rPr>
                <w:rFonts w:ascii="Calibri" w:hAnsi="Calibri" w:cs="Calibri"/>
              </w:rPr>
            </w:pPr>
          </w:p>
        </w:tc>
      </w:tr>
      <w:tr w:rsidR="00C547C0" w14:paraId="7F436079" w14:textId="77777777" w:rsidTr="00C547C0">
        <w:tc>
          <w:tcPr>
            <w:tcW w:w="5080" w:type="dxa"/>
          </w:tcPr>
          <w:p w14:paraId="42BAB1ED" w14:textId="77777777" w:rsidR="00C547C0" w:rsidRPr="00C547C0" w:rsidRDefault="00C547C0" w:rsidP="00C547C0">
            <w:pPr>
              <w:rPr>
                <w:rFonts w:ascii="Calibri" w:hAnsi="Calibri" w:cs="Calibri"/>
              </w:rPr>
            </w:pPr>
            <w:r w:rsidRPr="00C547C0">
              <w:rPr>
                <w:rFonts w:ascii="Calibri" w:hAnsi="Calibri" w:cs="Calibri"/>
              </w:rPr>
              <w:t>Holder – Edison Foard – Leeper, A Joint Venture</w:t>
            </w:r>
          </w:p>
          <w:p w14:paraId="17ED97D7" w14:textId="771E82B8" w:rsidR="00C547C0" w:rsidRDefault="00C547C0" w:rsidP="00C547C0">
            <w:pPr>
              <w:rPr>
                <w:rFonts w:ascii="Calibri" w:hAnsi="Calibri" w:cs="Calibri"/>
              </w:rPr>
            </w:pPr>
            <w:r w:rsidRPr="00C547C0">
              <w:rPr>
                <w:rFonts w:ascii="Calibri" w:hAnsi="Calibri" w:cs="Calibri"/>
              </w:rPr>
              <w:t>Charlotte – Charlotte Douglas International Airport – Terminal Lobby Expansion – Phase 6  (2023 – 2025) – Closing ceremony on August 20.</w:t>
            </w:r>
          </w:p>
        </w:tc>
        <w:tc>
          <w:tcPr>
            <w:tcW w:w="5080" w:type="dxa"/>
          </w:tcPr>
          <w:p w14:paraId="412B3433" w14:textId="77777777" w:rsidR="00C547C0" w:rsidRPr="00C547C0" w:rsidRDefault="00C547C0" w:rsidP="00C547C0">
            <w:pPr>
              <w:rPr>
                <w:rFonts w:ascii="Calibri" w:hAnsi="Calibri" w:cs="Calibri"/>
              </w:rPr>
            </w:pPr>
            <w:r w:rsidRPr="00C547C0">
              <w:rPr>
                <w:rFonts w:ascii="Calibri" w:hAnsi="Calibri" w:cs="Calibri"/>
              </w:rPr>
              <w:t>Jacobs Engineering Group</w:t>
            </w:r>
          </w:p>
          <w:p w14:paraId="10E6BF3E" w14:textId="317E5D0C" w:rsidR="00C547C0" w:rsidRDefault="00C547C0" w:rsidP="00C547C0">
            <w:pPr>
              <w:rPr>
                <w:rFonts w:ascii="Calibri" w:hAnsi="Calibri" w:cs="Calibri"/>
              </w:rPr>
            </w:pPr>
            <w:r w:rsidRPr="00C547C0">
              <w:rPr>
                <w:rFonts w:ascii="Calibri" w:hAnsi="Calibri" w:cs="Calibri"/>
              </w:rPr>
              <w:t>Holly Springs – FUJIFILM Diosynth Biotechnologies Manufacturing Facility and Campus – Phase 2 (2022 – 2026) - Extended</w:t>
            </w:r>
          </w:p>
        </w:tc>
      </w:tr>
      <w:tr w:rsidR="00C547C0" w14:paraId="5232CF0D" w14:textId="77777777" w:rsidTr="00C547C0">
        <w:tc>
          <w:tcPr>
            <w:tcW w:w="5080" w:type="dxa"/>
          </w:tcPr>
          <w:p w14:paraId="56D8EF93" w14:textId="53D61B6A" w:rsidR="00C547C0" w:rsidRDefault="00C547C0" w:rsidP="00C547C0">
            <w:pPr>
              <w:rPr>
                <w:rFonts w:ascii="Calibri" w:hAnsi="Calibri" w:cs="Calibri"/>
              </w:rPr>
            </w:pPr>
            <w:r w:rsidRPr="00C547C0">
              <w:rPr>
                <w:rFonts w:ascii="Calibri" w:hAnsi="Calibri" w:cs="Calibri"/>
              </w:rPr>
              <w:t>Barnhill – Balfour Beatty – Metcon, A Joint Venture</w:t>
            </w:r>
            <w:r>
              <w:rPr>
                <w:rFonts w:ascii="Calibri" w:hAnsi="Calibri" w:cs="Calibri"/>
              </w:rPr>
              <w:t xml:space="preserve">, </w:t>
            </w:r>
            <w:r w:rsidRPr="00C547C0">
              <w:rPr>
                <w:rFonts w:ascii="Calibri" w:hAnsi="Calibri" w:cs="Calibri"/>
              </w:rPr>
              <w:t>Raleigh – NC Education (2024 – 2026)</w:t>
            </w:r>
          </w:p>
        </w:tc>
        <w:tc>
          <w:tcPr>
            <w:tcW w:w="5080" w:type="dxa"/>
          </w:tcPr>
          <w:p w14:paraId="5F161EFB" w14:textId="77777777" w:rsidR="00C547C0" w:rsidRPr="00C547C0" w:rsidRDefault="00C547C0" w:rsidP="00C547C0">
            <w:pPr>
              <w:rPr>
                <w:rFonts w:ascii="Calibri" w:hAnsi="Calibri" w:cs="Calibri"/>
              </w:rPr>
            </w:pPr>
            <w:r w:rsidRPr="00C547C0">
              <w:rPr>
                <w:rFonts w:ascii="Calibri" w:hAnsi="Calibri" w:cs="Calibri"/>
              </w:rPr>
              <w:t>Ames Construction</w:t>
            </w:r>
          </w:p>
          <w:p w14:paraId="5B6BD0B6" w14:textId="6EAF6A82" w:rsidR="00C547C0" w:rsidRDefault="00C547C0" w:rsidP="00C547C0">
            <w:pPr>
              <w:rPr>
                <w:rFonts w:ascii="Calibri" w:hAnsi="Calibri" w:cs="Calibri"/>
              </w:rPr>
            </w:pPr>
            <w:r w:rsidRPr="00C547C0">
              <w:rPr>
                <w:rFonts w:ascii="Calibri" w:hAnsi="Calibri" w:cs="Calibri"/>
              </w:rPr>
              <w:t>Waynesville – I-40 Repair Project (2025 – 2028)</w:t>
            </w:r>
          </w:p>
        </w:tc>
      </w:tr>
    </w:tbl>
    <w:p w14:paraId="6FC68C29" w14:textId="77777777" w:rsidR="00C547C0" w:rsidRDefault="00C547C0" w:rsidP="00D211EE">
      <w:pPr>
        <w:jc w:val="both"/>
        <w:rPr>
          <w:rFonts w:ascii="Calibri" w:hAnsi="Calibri" w:cs="Calibri"/>
        </w:rPr>
      </w:pPr>
    </w:p>
    <w:p w14:paraId="4AF25443" w14:textId="6941B475" w:rsidR="008472AE" w:rsidRDefault="008472AE" w:rsidP="008472AE">
      <w:pPr>
        <w:jc w:val="both"/>
        <w:rPr>
          <w:rFonts w:ascii="Calibri" w:hAnsi="Calibri" w:cs="Calibri"/>
          <w:b/>
        </w:rPr>
      </w:pPr>
      <w:r w:rsidRPr="008472AE">
        <w:rPr>
          <w:rFonts w:ascii="Calibri" w:hAnsi="Calibri" w:cs="Calibri"/>
          <w:b/>
        </w:rPr>
        <w:t>Carolina Star Program – Voluntary Protection Programs (VPP)</w:t>
      </w:r>
    </w:p>
    <w:p w14:paraId="12C9AB8A" w14:textId="77777777" w:rsidR="006F398B" w:rsidRDefault="006F398B" w:rsidP="008472AE">
      <w:pPr>
        <w:jc w:val="both"/>
        <w:rPr>
          <w:rFonts w:ascii="Calibri" w:hAnsi="Calibri" w:cs="Calibri"/>
          <w:b/>
        </w:rPr>
      </w:pPr>
    </w:p>
    <w:p w14:paraId="2F8727EF" w14:textId="3CD1EF14" w:rsidR="006F398B" w:rsidRDefault="006F398B" w:rsidP="006F398B">
      <w:pPr>
        <w:pStyle w:val="NoSpacing"/>
        <w:rPr>
          <w:rFonts w:eastAsia="Aptos"/>
          <w:sz w:val="24"/>
          <w:szCs w:val="24"/>
        </w:rPr>
      </w:pPr>
      <w:r w:rsidRPr="006F398B">
        <w:rPr>
          <w:sz w:val="24"/>
          <w:szCs w:val="24"/>
        </w:rPr>
        <w:t>Voluntary Protection Program eligibility requirements for the Carolina Star Program are more stringent than OSHA’s.</w:t>
      </w:r>
      <w:r w:rsidRPr="006F398B">
        <w:rPr>
          <w:rFonts w:eastAsia="Aptos"/>
          <w:sz w:val="24"/>
          <w:szCs w:val="24"/>
        </w:rPr>
        <w:t xml:space="preserve">  </w:t>
      </w:r>
      <w:r w:rsidRPr="006F398B">
        <w:rPr>
          <w:sz w:val="24"/>
          <w:szCs w:val="24"/>
        </w:rPr>
        <w:t>Employers are required to maintain injury and illness rates at least 50% below the rate for that industry in North Carolina.  Initial re-evaluations are conducted at three</w:t>
      </w:r>
      <w:r w:rsidR="00F01AF8">
        <w:rPr>
          <w:sz w:val="24"/>
          <w:szCs w:val="24"/>
        </w:rPr>
        <w:t xml:space="preserve"> </w:t>
      </w:r>
      <w:r w:rsidRPr="006F398B">
        <w:rPr>
          <w:sz w:val="24"/>
          <w:szCs w:val="24"/>
        </w:rPr>
        <w:t>years, and the subsequent re-evaluations are conducted every five</w:t>
      </w:r>
      <w:r w:rsidR="00F01AF8">
        <w:rPr>
          <w:sz w:val="24"/>
          <w:szCs w:val="24"/>
        </w:rPr>
        <w:t xml:space="preserve"> </w:t>
      </w:r>
      <w:r w:rsidRPr="006F398B">
        <w:rPr>
          <w:sz w:val="24"/>
          <w:szCs w:val="24"/>
        </w:rPr>
        <w:t>years.</w:t>
      </w:r>
      <w:r w:rsidRPr="006F398B">
        <w:rPr>
          <w:rFonts w:eastAsia="Aptos"/>
          <w:sz w:val="24"/>
          <w:szCs w:val="24"/>
        </w:rPr>
        <w:t xml:space="preserve">  </w:t>
      </w:r>
      <w:r w:rsidRPr="006F398B">
        <w:rPr>
          <w:sz w:val="24"/>
          <w:szCs w:val="24"/>
        </w:rPr>
        <w:t xml:space="preserve">The Carolina Star Program had 28 Star re-certifications and approved four new Star work sites. </w:t>
      </w:r>
      <w:r w:rsidR="008F4DA9">
        <w:rPr>
          <w:sz w:val="24"/>
          <w:szCs w:val="24"/>
        </w:rPr>
        <w:t xml:space="preserve"> </w:t>
      </w:r>
      <w:r w:rsidRPr="006F398B">
        <w:rPr>
          <w:sz w:val="24"/>
          <w:szCs w:val="24"/>
        </w:rPr>
        <w:t>At the end of F</w:t>
      </w:r>
      <w:r w:rsidR="00F928B6">
        <w:rPr>
          <w:sz w:val="24"/>
          <w:szCs w:val="24"/>
        </w:rPr>
        <w:t>Y</w:t>
      </w:r>
      <w:r w:rsidRPr="006F398B">
        <w:rPr>
          <w:sz w:val="24"/>
          <w:szCs w:val="24"/>
        </w:rPr>
        <w:t xml:space="preserve"> 2025, there were 148 Star Sites: 103 Carolina Star sites, 23 Building Star sites, 18 Public Sector Star sites and four Rising Star sites.</w:t>
      </w:r>
      <w:r w:rsidRPr="006F398B">
        <w:rPr>
          <w:rFonts w:eastAsia="Aptos"/>
          <w:sz w:val="24"/>
          <w:szCs w:val="24"/>
        </w:rPr>
        <w:t xml:space="preserve"> </w:t>
      </w:r>
    </w:p>
    <w:p w14:paraId="6344171B" w14:textId="77777777" w:rsidR="006F398B" w:rsidRDefault="006F398B" w:rsidP="006F398B">
      <w:pPr>
        <w:pStyle w:val="NoSpacing"/>
        <w:rPr>
          <w:rFonts w:eastAsia="Aptos"/>
          <w:sz w:val="24"/>
          <w:szCs w:val="24"/>
        </w:rPr>
      </w:pPr>
    </w:p>
    <w:p w14:paraId="362689FD" w14:textId="4282BD7D" w:rsidR="002A467B" w:rsidRDefault="006F398B" w:rsidP="006F398B">
      <w:pPr>
        <w:pStyle w:val="NoSpacing"/>
        <w:rPr>
          <w:rFonts w:eastAsia="Aptos"/>
          <w:sz w:val="24"/>
          <w:szCs w:val="24"/>
        </w:rPr>
      </w:pPr>
      <w:r>
        <w:rPr>
          <w:sz w:val="24"/>
          <w:szCs w:val="24"/>
        </w:rPr>
        <w:t>T</w:t>
      </w:r>
      <w:r w:rsidRPr="006F398B">
        <w:rPr>
          <w:sz w:val="24"/>
          <w:szCs w:val="24"/>
        </w:rPr>
        <w:t xml:space="preserve">he 28th Annual Carolina Star Safety Conference was held </w:t>
      </w:r>
      <w:r w:rsidR="008F4DA9">
        <w:rPr>
          <w:sz w:val="24"/>
          <w:szCs w:val="24"/>
        </w:rPr>
        <w:t xml:space="preserve">on </w:t>
      </w:r>
      <w:r w:rsidRPr="006F398B">
        <w:rPr>
          <w:sz w:val="24"/>
          <w:szCs w:val="24"/>
        </w:rPr>
        <w:t xml:space="preserve">September 17-19, 2025, with a total attendance of 615. </w:t>
      </w:r>
      <w:r w:rsidR="008F4DA9">
        <w:rPr>
          <w:sz w:val="24"/>
          <w:szCs w:val="24"/>
        </w:rPr>
        <w:t xml:space="preserve"> </w:t>
      </w:r>
      <w:r w:rsidRPr="006F398B">
        <w:rPr>
          <w:sz w:val="24"/>
          <w:szCs w:val="24"/>
        </w:rPr>
        <w:t xml:space="preserve">The theme of the conference was “SURF’S UP FOR SAFETY.” </w:t>
      </w:r>
      <w:r w:rsidRPr="006F398B">
        <w:rPr>
          <w:rFonts w:eastAsia="Aptos"/>
          <w:sz w:val="24"/>
          <w:szCs w:val="24"/>
        </w:rPr>
        <w:t xml:space="preserve"> </w:t>
      </w:r>
      <w:r w:rsidRPr="006F398B">
        <w:rPr>
          <w:sz w:val="24"/>
          <w:szCs w:val="24"/>
        </w:rPr>
        <w:t xml:space="preserve">During the 2025 Carolina Star Conference, two Star sites were recognized for achieving 25 years in the Star Program. </w:t>
      </w:r>
      <w:r w:rsidR="00524692">
        <w:rPr>
          <w:sz w:val="24"/>
          <w:szCs w:val="24"/>
        </w:rPr>
        <w:t>A</w:t>
      </w:r>
      <w:r w:rsidRPr="006F398B">
        <w:rPr>
          <w:sz w:val="24"/>
          <w:szCs w:val="24"/>
        </w:rPr>
        <w:t xml:space="preserve"> total of nine Star worksites have achieved the status of 25 years as a Star Program participant.</w:t>
      </w:r>
      <w:r w:rsidRPr="006F398B">
        <w:rPr>
          <w:rFonts w:eastAsia="Aptos"/>
          <w:sz w:val="24"/>
          <w:szCs w:val="24"/>
        </w:rPr>
        <w:t xml:space="preserve">  </w:t>
      </w:r>
    </w:p>
    <w:p w14:paraId="02161A0B" w14:textId="77777777" w:rsidR="002A467B" w:rsidRDefault="002A467B" w:rsidP="006F398B">
      <w:pPr>
        <w:pStyle w:val="NoSpacing"/>
        <w:rPr>
          <w:rFonts w:eastAsia="Aptos"/>
          <w:sz w:val="24"/>
          <w:szCs w:val="24"/>
        </w:rPr>
      </w:pPr>
    </w:p>
    <w:p w14:paraId="05A860B2" w14:textId="5EAF6F61" w:rsidR="006F398B" w:rsidRDefault="006F398B" w:rsidP="006F398B">
      <w:pPr>
        <w:pStyle w:val="NoSpacing"/>
        <w:rPr>
          <w:sz w:val="24"/>
          <w:szCs w:val="24"/>
        </w:rPr>
      </w:pPr>
      <w:r w:rsidRPr="006F398B">
        <w:rPr>
          <w:sz w:val="24"/>
          <w:szCs w:val="24"/>
        </w:rPr>
        <w:t>Through a Special Star Team Member (SSTM) Program, OSH</w:t>
      </w:r>
      <w:r w:rsidR="001A4ED3">
        <w:rPr>
          <w:sz w:val="24"/>
          <w:szCs w:val="24"/>
        </w:rPr>
        <w:t>NC</w:t>
      </w:r>
      <w:r w:rsidRPr="006F398B">
        <w:rPr>
          <w:sz w:val="24"/>
          <w:szCs w:val="24"/>
        </w:rPr>
        <w:t xml:space="preserve"> continued to leverage its limited resources by using specially trained Star site employees and independent private sector safety and </w:t>
      </w:r>
      <w:r w:rsidRPr="006F398B">
        <w:rPr>
          <w:sz w:val="24"/>
          <w:szCs w:val="24"/>
        </w:rPr>
        <w:lastRenderedPageBreak/>
        <w:t xml:space="preserve">health professionals for on-site Star evaluations. </w:t>
      </w:r>
      <w:r w:rsidR="008F4DA9">
        <w:rPr>
          <w:sz w:val="24"/>
          <w:szCs w:val="24"/>
        </w:rPr>
        <w:t xml:space="preserve"> </w:t>
      </w:r>
      <w:r w:rsidRPr="006F398B">
        <w:rPr>
          <w:sz w:val="24"/>
          <w:szCs w:val="24"/>
        </w:rPr>
        <w:t xml:space="preserve">During FY 2025, three initial courses for SSTMs were conducted. </w:t>
      </w:r>
      <w:r w:rsidR="008F4DA9">
        <w:rPr>
          <w:sz w:val="24"/>
          <w:szCs w:val="24"/>
        </w:rPr>
        <w:t xml:space="preserve"> </w:t>
      </w:r>
      <w:r w:rsidRPr="006F398B">
        <w:rPr>
          <w:sz w:val="24"/>
          <w:szCs w:val="24"/>
        </w:rPr>
        <w:t xml:space="preserve">This included the initial training of 37 SSTMs. </w:t>
      </w:r>
      <w:r w:rsidR="002A467B">
        <w:rPr>
          <w:sz w:val="24"/>
          <w:szCs w:val="24"/>
        </w:rPr>
        <w:t xml:space="preserve"> </w:t>
      </w:r>
      <w:r w:rsidRPr="006F398B">
        <w:rPr>
          <w:sz w:val="24"/>
          <w:szCs w:val="24"/>
        </w:rPr>
        <w:t>A total of 190 SSTMs are trained across the state.</w:t>
      </w:r>
    </w:p>
    <w:p w14:paraId="606076F8" w14:textId="77777777" w:rsidR="00524692" w:rsidRDefault="00524692" w:rsidP="006F398B">
      <w:pPr>
        <w:pStyle w:val="NoSpacing"/>
        <w:rPr>
          <w:sz w:val="24"/>
          <w:szCs w:val="24"/>
        </w:rPr>
      </w:pPr>
    </w:p>
    <w:p w14:paraId="4EA984B3" w14:textId="77777777" w:rsidR="00EA4F01" w:rsidRPr="00EA4F01" w:rsidRDefault="00EA4F01" w:rsidP="00EA4F01">
      <w:pPr>
        <w:tabs>
          <w:tab w:val="left" w:pos="1170"/>
        </w:tabs>
        <w:ind w:left="810" w:hanging="450"/>
        <w:rPr>
          <w:rFonts w:asciiTheme="minorHAnsi" w:hAnsiTheme="minorHAnsi" w:cstheme="minorHAnsi"/>
          <w:b/>
          <w:caps/>
        </w:rPr>
      </w:pPr>
      <w:r w:rsidRPr="00EA4F01">
        <w:rPr>
          <w:rFonts w:asciiTheme="minorHAnsi" w:hAnsiTheme="minorHAnsi" w:cstheme="minorHAnsi"/>
          <w:b/>
          <w:caps/>
        </w:rPr>
        <w:t>10.   STATE AND LOCAL GOVERNMENT 23</w:t>
      </w:r>
      <w:r w:rsidRPr="00EA4F01">
        <w:rPr>
          <w:rFonts w:asciiTheme="minorHAnsi" w:hAnsiTheme="minorHAnsi" w:cstheme="minorHAnsi"/>
          <w:b/>
        </w:rPr>
        <w:t>(g</w:t>
      </w:r>
      <w:r w:rsidRPr="00EA4F01">
        <w:rPr>
          <w:rFonts w:asciiTheme="minorHAnsi" w:hAnsiTheme="minorHAnsi" w:cstheme="minorHAnsi"/>
          <w:b/>
          <w:caps/>
        </w:rPr>
        <w:t xml:space="preserve">) On-site CONSULTATION PROGRAM </w:t>
      </w:r>
    </w:p>
    <w:p w14:paraId="403BDD9A" w14:textId="77777777" w:rsidR="00DB145D" w:rsidRDefault="00DB145D" w:rsidP="00DB145D">
      <w:pPr>
        <w:widowControl/>
        <w:autoSpaceDE/>
        <w:autoSpaceDN/>
        <w:adjustRightInd/>
        <w:rPr>
          <w:rFonts w:ascii="Aptos" w:eastAsia="Aptos" w:hAnsi="Aptos" w:cs="Aptos"/>
          <w14:ligatures w14:val="standardContextual"/>
        </w:rPr>
      </w:pPr>
    </w:p>
    <w:p w14:paraId="36C68846" w14:textId="08EA245B" w:rsidR="00DB145D" w:rsidRPr="00DB145D" w:rsidRDefault="00DB145D" w:rsidP="00DB145D">
      <w:pPr>
        <w:widowControl/>
        <w:autoSpaceDE/>
        <w:autoSpaceDN/>
        <w:adjustRightInd/>
        <w:rPr>
          <w:rFonts w:asciiTheme="minorHAnsi" w:eastAsia="Aptos" w:hAnsiTheme="minorHAnsi" w:cstheme="minorHAnsi"/>
          <w14:ligatures w14:val="standardContextual"/>
        </w:rPr>
      </w:pPr>
      <w:r w:rsidRPr="00DB145D">
        <w:rPr>
          <w:rFonts w:asciiTheme="minorHAnsi" w:eastAsia="Aptos" w:hAnsiTheme="minorHAnsi" w:cstheme="minorHAnsi"/>
          <w14:ligatures w14:val="standardContextual"/>
        </w:rPr>
        <w:t xml:space="preserve">The North Carolina consultation program continues to provide effective services to the state and local government employers and employees throughout the State.  For state and local government agency visits, the State Plan had a goal to reach 180 establishments during FY </w:t>
      </w:r>
      <w:r w:rsidR="006F7104" w:rsidRPr="00DB145D">
        <w:rPr>
          <w:rFonts w:asciiTheme="minorHAnsi" w:eastAsia="Aptos" w:hAnsiTheme="minorHAnsi" w:cstheme="minorHAnsi"/>
          <w14:ligatures w14:val="standardContextual"/>
        </w:rPr>
        <w:t>2025 and</w:t>
      </w:r>
      <w:r w:rsidRPr="00DB145D">
        <w:rPr>
          <w:rFonts w:asciiTheme="minorHAnsi" w:eastAsia="Aptos" w:hAnsiTheme="minorHAnsi" w:cstheme="minorHAnsi"/>
          <w14:ligatures w14:val="standardContextual"/>
        </w:rPr>
        <w:t xml:space="preserve"> reached that goal with 245 public sector visits.  The number of hazards abated during these visits to state and local government agencies are in the table below:</w:t>
      </w:r>
    </w:p>
    <w:p w14:paraId="7966AE68" w14:textId="77777777" w:rsidR="00DB145D" w:rsidRPr="00DB145D" w:rsidRDefault="00DB145D" w:rsidP="00DB145D">
      <w:pPr>
        <w:widowControl/>
        <w:autoSpaceDE/>
        <w:autoSpaceDN/>
        <w:adjustRightInd/>
        <w:rPr>
          <w:rFonts w:asciiTheme="minorHAnsi" w:eastAsia="Aptos" w:hAnsiTheme="minorHAnsi" w:cstheme="minorHAnsi"/>
          <w14:ligatures w14:val="standardContextual"/>
        </w:rPr>
      </w:pPr>
    </w:p>
    <w:tbl>
      <w:tblPr>
        <w:tblW w:w="0" w:type="auto"/>
        <w:tblInd w:w="-10" w:type="dxa"/>
        <w:tblCellMar>
          <w:left w:w="0" w:type="dxa"/>
          <w:right w:w="0" w:type="dxa"/>
        </w:tblCellMar>
        <w:tblLook w:val="04A0" w:firstRow="1" w:lastRow="0" w:firstColumn="1" w:lastColumn="0" w:noHBand="0" w:noVBand="1"/>
      </w:tblPr>
      <w:tblGrid>
        <w:gridCol w:w="2412"/>
        <w:gridCol w:w="2270"/>
        <w:gridCol w:w="2406"/>
        <w:gridCol w:w="2252"/>
      </w:tblGrid>
      <w:tr w:rsidR="00DB145D" w:rsidRPr="00DB145D" w14:paraId="766C4245" w14:textId="77777777" w:rsidTr="00DB145D">
        <w:tc>
          <w:tcPr>
            <w:tcW w:w="468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3DC8D5"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Serious Hazards Confirmed Abated</w:t>
            </w:r>
          </w:p>
        </w:tc>
        <w:tc>
          <w:tcPr>
            <w:tcW w:w="465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4E99BA"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Non-Serious and Regulatory Hazards Confirmed Abated</w:t>
            </w:r>
          </w:p>
        </w:tc>
      </w:tr>
      <w:tr w:rsidR="00DB145D" w:rsidRPr="00DB145D" w14:paraId="2CDD515F" w14:textId="77777777" w:rsidTr="00DB145D">
        <w:tc>
          <w:tcPr>
            <w:tcW w:w="24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738C5"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 xml:space="preserve">Total State and Local Government  </w:t>
            </w:r>
          </w:p>
        </w:tc>
        <w:tc>
          <w:tcPr>
            <w:tcW w:w="2270" w:type="dxa"/>
            <w:tcBorders>
              <w:top w:val="nil"/>
              <w:left w:val="nil"/>
              <w:bottom w:val="single" w:sz="8" w:space="0" w:color="auto"/>
              <w:right w:val="single" w:sz="8" w:space="0" w:color="auto"/>
            </w:tcBorders>
            <w:tcMar>
              <w:top w:w="0" w:type="dxa"/>
              <w:left w:w="108" w:type="dxa"/>
              <w:bottom w:w="0" w:type="dxa"/>
              <w:right w:w="108" w:type="dxa"/>
            </w:tcMar>
            <w:hideMark/>
          </w:tcPr>
          <w:p w14:paraId="0B89A008"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837</w:t>
            </w:r>
          </w:p>
        </w:tc>
        <w:tc>
          <w:tcPr>
            <w:tcW w:w="2406" w:type="dxa"/>
            <w:tcBorders>
              <w:top w:val="nil"/>
              <w:left w:val="nil"/>
              <w:bottom w:val="single" w:sz="8" w:space="0" w:color="auto"/>
              <w:right w:val="single" w:sz="8" w:space="0" w:color="auto"/>
            </w:tcBorders>
            <w:tcMar>
              <w:top w:w="0" w:type="dxa"/>
              <w:left w:w="108" w:type="dxa"/>
              <w:bottom w:w="0" w:type="dxa"/>
              <w:right w:w="108" w:type="dxa"/>
            </w:tcMar>
            <w:hideMark/>
          </w:tcPr>
          <w:p w14:paraId="39CD0ACE"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 xml:space="preserve">Total State and Local Government </w:t>
            </w:r>
          </w:p>
        </w:tc>
        <w:tc>
          <w:tcPr>
            <w:tcW w:w="2252" w:type="dxa"/>
            <w:tcBorders>
              <w:top w:val="nil"/>
              <w:left w:val="nil"/>
              <w:bottom w:val="single" w:sz="8" w:space="0" w:color="auto"/>
              <w:right w:val="single" w:sz="8" w:space="0" w:color="auto"/>
            </w:tcBorders>
            <w:tcMar>
              <w:top w:w="0" w:type="dxa"/>
              <w:left w:w="108" w:type="dxa"/>
              <w:bottom w:w="0" w:type="dxa"/>
              <w:right w:w="108" w:type="dxa"/>
            </w:tcMar>
            <w:hideMark/>
          </w:tcPr>
          <w:p w14:paraId="0A2447A6"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r w:rsidRPr="00DB145D">
              <w:rPr>
                <w:rFonts w:asciiTheme="minorHAnsi" w:eastAsia="Aptos" w:hAnsiTheme="minorHAnsi" w:cstheme="minorHAnsi"/>
                <w:b/>
                <w:bCs/>
                <w14:ligatures w14:val="standardContextual"/>
              </w:rPr>
              <w:t>50</w:t>
            </w:r>
          </w:p>
        </w:tc>
      </w:tr>
      <w:tr w:rsidR="00DB145D" w:rsidRPr="00DB145D" w14:paraId="0C56E2EA" w14:textId="77777777" w:rsidTr="00DB145D">
        <w:tc>
          <w:tcPr>
            <w:tcW w:w="2412" w:type="dxa"/>
            <w:vAlign w:val="center"/>
            <w:hideMark/>
          </w:tcPr>
          <w:p w14:paraId="4187677A" w14:textId="77777777" w:rsidR="00DB145D" w:rsidRPr="00DB145D" w:rsidRDefault="00DB145D" w:rsidP="00DB145D">
            <w:pPr>
              <w:widowControl/>
              <w:autoSpaceDE/>
              <w:autoSpaceDN/>
              <w:adjustRightInd/>
              <w:rPr>
                <w:rFonts w:asciiTheme="minorHAnsi" w:eastAsia="Aptos" w:hAnsiTheme="minorHAnsi" w:cstheme="minorHAnsi"/>
                <w:b/>
                <w:bCs/>
                <w14:ligatures w14:val="standardContextual"/>
              </w:rPr>
            </w:pPr>
          </w:p>
        </w:tc>
        <w:tc>
          <w:tcPr>
            <w:tcW w:w="2270" w:type="dxa"/>
            <w:vAlign w:val="center"/>
            <w:hideMark/>
          </w:tcPr>
          <w:p w14:paraId="0299957B" w14:textId="77777777" w:rsidR="00DB145D" w:rsidRPr="00DB145D" w:rsidRDefault="00DB145D" w:rsidP="00DB145D">
            <w:pPr>
              <w:widowControl/>
              <w:autoSpaceDE/>
              <w:autoSpaceDN/>
              <w:adjustRightInd/>
              <w:rPr>
                <w:rFonts w:asciiTheme="minorHAnsi" w:hAnsiTheme="minorHAnsi" w:cstheme="minorHAnsi"/>
                <w:sz w:val="20"/>
                <w:szCs w:val="20"/>
              </w:rPr>
            </w:pPr>
          </w:p>
        </w:tc>
        <w:tc>
          <w:tcPr>
            <w:tcW w:w="2406" w:type="dxa"/>
            <w:vAlign w:val="center"/>
            <w:hideMark/>
          </w:tcPr>
          <w:p w14:paraId="59084136" w14:textId="77777777" w:rsidR="00DB145D" w:rsidRPr="00DB145D" w:rsidRDefault="00DB145D" w:rsidP="00DB145D">
            <w:pPr>
              <w:widowControl/>
              <w:autoSpaceDE/>
              <w:autoSpaceDN/>
              <w:adjustRightInd/>
              <w:rPr>
                <w:rFonts w:asciiTheme="minorHAnsi" w:hAnsiTheme="minorHAnsi" w:cstheme="minorHAnsi"/>
                <w:sz w:val="20"/>
                <w:szCs w:val="20"/>
              </w:rPr>
            </w:pPr>
          </w:p>
        </w:tc>
        <w:tc>
          <w:tcPr>
            <w:tcW w:w="2252" w:type="dxa"/>
            <w:vAlign w:val="center"/>
            <w:hideMark/>
          </w:tcPr>
          <w:p w14:paraId="2CBA90EF" w14:textId="77777777" w:rsidR="00DB145D" w:rsidRPr="00DB145D" w:rsidRDefault="00DB145D" w:rsidP="00DB145D">
            <w:pPr>
              <w:widowControl/>
              <w:autoSpaceDE/>
              <w:autoSpaceDN/>
              <w:adjustRightInd/>
              <w:rPr>
                <w:rFonts w:asciiTheme="minorHAnsi" w:hAnsiTheme="minorHAnsi" w:cstheme="minorHAnsi"/>
                <w:sz w:val="20"/>
                <w:szCs w:val="20"/>
              </w:rPr>
            </w:pPr>
          </w:p>
        </w:tc>
      </w:tr>
    </w:tbl>
    <w:p w14:paraId="06D3BF04" w14:textId="6E1C3626" w:rsidR="00DB145D" w:rsidRPr="00DB145D" w:rsidRDefault="00DB145D" w:rsidP="00DB145D">
      <w:pPr>
        <w:widowControl/>
        <w:autoSpaceDE/>
        <w:autoSpaceDN/>
        <w:adjustRightInd/>
        <w:rPr>
          <w:rFonts w:asciiTheme="minorHAnsi" w:eastAsia="Aptos" w:hAnsiTheme="minorHAnsi" w:cstheme="minorHAnsi"/>
          <w14:ligatures w14:val="standardContextual"/>
        </w:rPr>
      </w:pPr>
      <w:r w:rsidRPr="00DB145D">
        <w:rPr>
          <w:rFonts w:asciiTheme="minorHAnsi" w:eastAsia="Aptos" w:hAnsiTheme="minorHAnsi" w:cstheme="minorHAnsi"/>
          <w14:ligatures w14:val="standardContextual"/>
        </w:rPr>
        <w:t xml:space="preserve">NCDOL Consultants continue to demonstrate special commitment to the state and local government agency surveys and services, since many of the state and local government sector employers in small towns have very limited safety and health resources.  They can quickly assist state and local government agencies with safety and health program development, expert hazard evaluations, and other services.  Because of the number of public sites with similar operations. </w:t>
      </w:r>
      <w:r w:rsidR="002A467B">
        <w:rPr>
          <w:rFonts w:asciiTheme="minorHAnsi" w:eastAsia="Aptos" w:hAnsiTheme="minorHAnsi" w:cstheme="minorHAnsi"/>
          <w14:ligatures w14:val="standardContextual"/>
        </w:rPr>
        <w:t xml:space="preserve"> </w:t>
      </w:r>
      <w:r w:rsidRPr="00DB145D">
        <w:rPr>
          <w:rFonts w:asciiTheme="minorHAnsi" w:eastAsia="Aptos" w:hAnsiTheme="minorHAnsi" w:cstheme="minorHAnsi"/>
          <w14:ligatures w14:val="standardContextual"/>
        </w:rPr>
        <w:t xml:space="preserve">Based on the select sample of state and local government sector consultation case files chosen for review, the determination was made that the program continues to effectively serve the state and local government sector with high-quality work.  </w:t>
      </w:r>
    </w:p>
    <w:p w14:paraId="0453A0A6" w14:textId="77777777" w:rsidR="00DB145D" w:rsidRPr="00DB145D" w:rsidRDefault="00DB145D" w:rsidP="00DB145D">
      <w:pPr>
        <w:widowControl/>
        <w:autoSpaceDE/>
        <w:autoSpaceDN/>
        <w:adjustRightInd/>
        <w:rPr>
          <w:rFonts w:ascii="Aptos" w:eastAsia="Aptos" w:hAnsi="Aptos" w:cs="Aptos"/>
          <w14:ligatures w14:val="standardContextual"/>
        </w:rPr>
      </w:pPr>
    </w:p>
    <w:p w14:paraId="1746A985" w14:textId="77777777" w:rsidR="00DB145D" w:rsidRPr="00DB145D" w:rsidRDefault="00DB145D" w:rsidP="00DB145D">
      <w:pPr>
        <w:widowControl/>
        <w:autoSpaceDE/>
        <w:autoSpaceDN/>
        <w:adjustRightInd/>
        <w:rPr>
          <w:rFonts w:ascii="Aptos" w:eastAsia="Aptos" w:hAnsi="Aptos" w:cs="Aptos"/>
          <w14:ligatures w14:val="standardContextual"/>
        </w:rPr>
      </w:pPr>
    </w:p>
    <w:p w14:paraId="0CE2030D" w14:textId="77777777" w:rsidR="00DB145D" w:rsidRPr="00DB145D" w:rsidRDefault="00DB145D" w:rsidP="00DB145D">
      <w:pPr>
        <w:widowControl/>
        <w:autoSpaceDE/>
        <w:autoSpaceDN/>
        <w:adjustRightInd/>
        <w:rPr>
          <w:rFonts w:ascii="Aptos" w:eastAsia="Aptos" w:hAnsi="Aptos" w:cs="Aptos"/>
          <w14:ligatures w14:val="standardContextual"/>
        </w:rPr>
      </w:pPr>
    </w:p>
    <w:p w14:paraId="45B183AE" w14:textId="4724A7C2" w:rsidR="00387CDC" w:rsidRPr="003D1ECF" w:rsidRDefault="00387CDC" w:rsidP="00A601EB">
      <w:pPr>
        <w:ind w:left="900" w:hanging="540"/>
        <w:rPr>
          <w:rFonts w:asciiTheme="minorHAnsi" w:hAnsiTheme="minorHAnsi" w:cstheme="minorHAnsi"/>
        </w:rPr>
      </w:pPr>
    </w:p>
    <w:p w14:paraId="366E4148" w14:textId="77777777" w:rsidR="00BC1B03" w:rsidRPr="0081725F" w:rsidRDefault="00BC1B03" w:rsidP="00BC1B03">
      <w:pPr>
        <w:rPr>
          <w:rFonts w:asciiTheme="minorHAnsi" w:hAnsiTheme="minorHAnsi" w:cstheme="minorHAnsi"/>
          <w:i/>
          <w:iCs/>
        </w:rPr>
      </w:pPr>
    </w:p>
    <w:p w14:paraId="5CD2538C" w14:textId="5C3B5D4A" w:rsidR="00387CDC" w:rsidRPr="0081725F" w:rsidRDefault="00387CDC" w:rsidP="00BC1B03">
      <w:pPr>
        <w:ind w:left="900"/>
        <w:rPr>
          <w:rFonts w:asciiTheme="minorHAnsi" w:hAnsiTheme="minorHAnsi" w:cstheme="minorHAnsi"/>
          <w:iCs/>
        </w:rPr>
        <w:sectPr w:rsidR="00387CDC" w:rsidRPr="0081725F" w:rsidSect="002161A5">
          <w:footerReference w:type="default" r:id="rId10"/>
          <w:footerReference w:type="first" r:id="rId11"/>
          <w:pgSz w:w="12240" w:h="15840"/>
          <w:pgMar w:top="1170" w:right="900" w:bottom="720" w:left="1170" w:header="720" w:footer="443" w:gutter="0"/>
          <w:cols w:space="720"/>
          <w:titlePg/>
          <w:rtlGutter/>
          <w:docGrid w:linePitch="360"/>
        </w:sectPr>
      </w:pPr>
    </w:p>
    <w:p w14:paraId="1F8A34DE"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5B5008" w14:paraId="66E9EADF" w14:textId="77777777" w:rsidTr="005B5008">
        <w:trPr>
          <w:trHeight w:val="350"/>
        </w:trPr>
        <w:tc>
          <w:tcPr>
            <w:tcW w:w="1440" w:type="dxa"/>
          </w:tcPr>
          <w:p w14:paraId="5EBC7F3C" w14:textId="7EB9650A"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FY 20</w:t>
            </w:r>
            <w:r w:rsidR="003D1ECF">
              <w:rPr>
                <w:rFonts w:ascii="Calibri" w:hAnsi="Calibri" w:cs="Calibri"/>
                <w:b/>
              </w:rPr>
              <w:t>2</w:t>
            </w:r>
            <w:r w:rsidR="003D1ECF" w:rsidRPr="003D1ECF">
              <w:rPr>
                <w:rFonts w:ascii="Calibri" w:hAnsi="Calibri" w:cs="Calibri"/>
                <w:b/>
              </w:rPr>
              <w:t>5</w:t>
            </w:r>
            <w:r w:rsidRPr="003D1ECF">
              <w:rPr>
                <w:rFonts w:ascii="Calibri" w:hAnsi="Calibri" w:cs="Calibri"/>
                <w:b/>
              </w:rPr>
              <w:t>-#</w:t>
            </w:r>
          </w:p>
        </w:tc>
        <w:tc>
          <w:tcPr>
            <w:tcW w:w="4721" w:type="dxa"/>
          </w:tcPr>
          <w:p w14:paraId="0069FAFA"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Finding</w:t>
            </w:r>
          </w:p>
        </w:tc>
        <w:tc>
          <w:tcPr>
            <w:tcW w:w="4819" w:type="dxa"/>
          </w:tcPr>
          <w:p w14:paraId="7CCE0044"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Recommendation</w:t>
            </w:r>
          </w:p>
        </w:tc>
        <w:tc>
          <w:tcPr>
            <w:tcW w:w="1890" w:type="dxa"/>
          </w:tcPr>
          <w:p w14:paraId="05ED1A6F" w14:textId="77777777" w:rsidR="005B5008" w:rsidRPr="00E941F4" w:rsidRDefault="005B5008" w:rsidP="005B5008">
            <w:pPr>
              <w:widowControl/>
              <w:autoSpaceDE/>
              <w:autoSpaceDN/>
              <w:adjustRightInd/>
              <w:jc w:val="center"/>
              <w:rPr>
                <w:rFonts w:ascii="Calibri" w:hAnsi="Calibri" w:cs="Calibri"/>
                <w:b/>
              </w:rPr>
            </w:pPr>
            <w:r w:rsidRPr="00E941F4">
              <w:rPr>
                <w:rFonts w:ascii="Calibri" w:hAnsi="Calibri" w:cs="Calibri"/>
                <w:b/>
              </w:rPr>
              <w:t xml:space="preserve">FY 20XX-# or </w:t>
            </w:r>
          </w:p>
          <w:p w14:paraId="741BBB36" w14:textId="77777777" w:rsidR="005B5008" w:rsidRPr="005B5008" w:rsidRDefault="005B5008" w:rsidP="005B5008">
            <w:pPr>
              <w:widowControl/>
              <w:autoSpaceDE/>
              <w:autoSpaceDN/>
              <w:adjustRightInd/>
              <w:jc w:val="center"/>
              <w:rPr>
                <w:rFonts w:ascii="Calibri" w:hAnsi="Calibri" w:cs="Calibri"/>
                <w:b/>
              </w:rPr>
            </w:pPr>
            <w:r w:rsidRPr="00E941F4">
              <w:rPr>
                <w:rFonts w:ascii="Calibri" w:hAnsi="Calibri" w:cs="Calibri"/>
                <w:b/>
              </w:rPr>
              <w:t>FY 20XX-OB-#</w:t>
            </w:r>
          </w:p>
        </w:tc>
      </w:tr>
      <w:tr w:rsidR="005B5008" w:rsidRPr="005B5008" w14:paraId="29DC66D4" w14:textId="77777777" w:rsidTr="005B5008">
        <w:tc>
          <w:tcPr>
            <w:tcW w:w="1440" w:type="dxa"/>
          </w:tcPr>
          <w:p w14:paraId="36E4485A"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6EB86847" w14:textId="77777777" w:rsidR="005B5008" w:rsidRPr="005B5008" w:rsidRDefault="005B5008" w:rsidP="005B5008">
            <w:pPr>
              <w:widowControl/>
              <w:autoSpaceDE/>
              <w:autoSpaceDN/>
              <w:adjustRightInd/>
              <w:rPr>
                <w:rFonts w:ascii="Calibri" w:hAnsi="Calibri" w:cs="Calibri"/>
              </w:rPr>
            </w:pPr>
          </w:p>
        </w:tc>
        <w:tc>
          <w:tcPr>
            <w:tcW w:w="4721" w:type="dxa"/>
          </w:tcPr>
          <w:p w14:paraId="338565DA" w14:textId="76AC8B12" w:rsidR="005B5008" w:rsidRPr="003E66F5" w:rsidRDefault="00072857" w:rsidP="005B5008">
            <w:pPr>
              <w:widowControl/>
              <w:autoSpaceDE/>
              <w:autoSpaceDN/>
              <w:adjustRightInd/>
              <w:rPr>
                <w:rFonts w:ascii="Calibri" w:hAnsi="Calibri" w:cs="Calibri"/>
                <w:b/>
                <w:bCs/>
              </w:rPr>
            </w:pPr>
            <w:r w:rsidRPr="003E66F5">
              <w:rPr>
                <w:rFonts w:ascii="Calibri" w:hAnsi="Calibri" w:cs="Calibri"/>
                <w:b/>
                <w:bCs/>
              </w:rPr>
              <w:t>None</w:t>
            </w:r>
          </w:p>
        </w:tc>
        <w:tc>
          <w:tcPr>
            <w:tcW w:w="4819" w:type="dxa"/>
          </w:tcPr>
          <w:p w14:paraId="1FA131FE"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06078FEE" w14:textId="77777777" w:rsidR="005B5008" w:rsidRPr="005B5008" w:rsidRDefault="005B5008" w:rsidP="005B5008">
            <w:pPr>
              <w:widowControl/>
              <w:autoSpaceDE/>
              <w:autoSpaceDN/>
              <w:adjustRightInd/>
              <w:rPr>
                <w:rFonts w:ascii="Calibri" w:hAnsi="Calibri" w:cs="Calibri"/>
              </w:rPr>
            </w:pPr>
          </w:p>
        </w:tc>
        <w:tc>
          <w:tcPr>
            <w:tcW w:w="1890" w:type="dxa"/>
          </w:tcPr>
          <w:p w14:paraId="6B2948D8"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r>
      <w:tr w:rsidR="005B5008" w:rsidRPr="005B5008" w14:paraId="1D0E705E" w14:textId="77777777" w:rsidTr="005B5008">
        <w:tc>
          <w:tcPr>
            <w:tcW w:w="1440" w:type="dxa"/>
          </w:tcPr>
          <w:p w14:paraId="07619D46"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46DB3A21" w14:textId="77777777" w:rsidR="005B5008" w:rsidRPr="005B5008" w:rsidRDefault="005B5008" w:rsidP="005B5008">
            <w:pPr>
              <w:widowControl/>
              <w:autoSpaceDE/>
              <w:autoSpaceDN/>
              <w:adjustRightInd/>
              <w:rPr>
                <w:rFonts w:ascii="Calibri" w:hAnsi="Calibri" w:cs="Calibri"/>
              </w:rPr>
            </w:pPr>
          </w:p>
        </w:tc>
        <w:tc>
          <w:tcPr>
            <w:tcW w:w="4721" w:type="dxa"/>
          </w:tcPr>
          <w:p w14:paraId="6351EA90"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58A089B3" w14:textId="77777777" w:rsidR="005B5008" w:rsidRPr="005B5008" w:rsidRDefault="005B5008" w:rsidP="005B5008">
            <w:pPr>
              <w:widowControl/>
              <w:autoSpaceDE/>
              <w:autoSpaceDN/>
              <w:adjustRightInd/>
              <w:rPr>
                <w:rFonts w:ascii="Calibri" w:hAnsi="Calibri" w:cs="Calibri"/>
              </w:rPr>
            </w:pPr>
          </w:p>
        </w:tc>
        <w:tc>
          <w:tcPr>
            <w:tcW w:w="4819" w:type="dxa"/>
          </w:tcPr>
          <w:p w14:paraId="21CF8DBE"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327D7336" w14:textId="77777777" w:rsidR="005B5008" w:rsidRPr="005B5008" w:rsidRDefault="005B5008" w:rsidP="005B5008">
            <w:pPr>
              <w:widowControl/>
              <w:autoSpaceDE/>
              <w:autoSpaceDN/>
              <w:adjustRightInd/>
              <w:rPr>
                <w:rFonts w:ascii="Calibri" w:hAnsi="Calibri" w:cs="Calibri"/>
              </w:rPr>
            </w:pPr>
          </w:p>
        </w:tc>
        <w:tc>
          <w:tcPr>
            <w:tcW w:w="1890" w:type="dxa"/>
          </w:tcPr>
          <w:p w14:paraId="11B9B982"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r>
      <w:tr w:rsidR="005B5008" w:rsidRPr="005B5008" w14:paraId="1EBD28B1" w14:textId="77777777" w:rsidTr="005B5008">
        <w:tc>
          <w:tcPr>
            <w:tcW w:w="1440" w:type="dxa"/>
          </w:tcPr>
          <w:p w14:paraId="4DF98C35"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c>
          <w:tcPr>
            <w:tcW w:w="4721" w:type="dxa"/>
          </w:tcPr>
          <w:p w14:paraId="7984A0B9"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c>
          <w:tcPr>
            <w:tcW w:w="4819" w:type="dxa"/>
          </w:tcPr>
          <w:p w14:paraId="7016C061"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33DF4E16" w14:textId="77777777" w:rsidR="005B5008" w:rsidRPr="005B5008" w:rsidRDefault="005B5008" w:rsidP="005B5008">
            <w:pPr>
              <w:widowControl/>
              <w:autoSpaceDE/>
              <w:autoSpaceDN/>
              <w:adjustRightInd/>
              <w:rPr>
                <w:rFonts w:ascii="Calibri" w:hAnsi="Calibri" w:cs="Calibri"/>
              </w:rPr>
            </w:pPr>
          </w:p>
        </w:tc>
        <w:tc>
          <w:tcPr>
            <w:tcW w:w="1890" w:type="dxa"/>
          </w:tcPr>
          <w:p w14:paraId="18C37DC8"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r>
    </w:tbl>
    <w:p w14:paraId="1A792945"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A4E412B" w14:textId="77777777" w:rsidR="005B5008" w:rsidRPr="005B5008" w:rsidRDefault="005B5008" w:rsidP="005B5008">
      <w:pPr>
        <w:widowControl/>
        <w:autoSpaceDE/>
        <w:autoSpaceDN/>
        <w:adjustRightInd/>
        <w:rPr>
          <w:rFonts w:ascii="Calibri" w:hAnsi="Calibri" w:cs="Calibri"/>
          <w:iCs/>
          <w:color w:val="0070C0"/>
        </w:rPr>
      </w:pPr>
    </w:p>
    <w:p w14:paraId="11612341" w14:textId="77777777" w:rsidR="005B5008" w:rsidRPr="005B5008" w:rsidRDefault="005B5008" w:rsidP="005B5008">
      <w:pPr>
        <w:widowControl/>
        <w:autoSpaceDE/>
        <w:autoSpaceDN/>
        <w:adjustRightInd/>
        <w:rPr>
          <w:rFonts w:ascii="Calibri" w:hAnsi="Calibri" w:cs="Calibri"/>
          <w:iCs/>
          <w:color w:val="0070C0"/>
        </w:rPr>
      </w:pPr>
    </w:p>
    <w:p w14:paraId="4D588D8F" w14:textId="7A014000" w:rsidR="005B5008" w:rsidRPr="005B5008" w:rsidRDefault="005B5008" w:rsidP="005B5008">
      <w:pPr>
        <w:widowControl/>
        <w:autoSpaceDE/>
        <w:autoSpaceDN/>
        <w:adjustRightInd/>
        <w:rPr>
          <w:rFonts w:ascii="Calibri" w:hAnsi="Calibri" w:cs="Calibri"/>
          <w:iCs/>
          <w:color w:val="0070C0"/>
        </w:rPr>
      </w:pPr>
    </w:p>
    <w:p w14:paraId="5187F9C1"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FAE2E4" w14:textId="6EA4E48F" w:rsidR="00DF5A0A" w:rsidRPr="00692B3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F34FA17"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79051127"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C4079A4"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5530EFC"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06A124B8" w14:textId="77777777" w:rsidR="0027745A" w:rsidRPr="005B5008" w:rsidRDefault="0027745A" w:rsidP="002C4A9F">
      <w:pPr>
        <w:tabs>
          <w:tab w:val="left" w:pos="7200"/>
        </w:tabs>
        <w:rPr>
          <w:rFonts w:asciiTheme="minorHAnsi" w:eastAsia="PMingLiU" w:hAnsiTheme="minorHAnsi" w:cstheme="minorHAnsi"/>
          <w:b/>
          <w:iCs/>
        </w:rPr>
      </w:pPr>
    </w:p>
    <w:tbl>
      <w:tblPr>
        <w:tblStyle w:val="TableGrid"/>
        <w:tblW w:w="13082" w:type="dxa"/>
        <w:tblLook w:val="04A0" w:firstRow="1" w:lastRow="0" w:firstColumn="1" w:lastColumn="0" w:noHBand="0" w:noVBand="1"/>
      </w:tblPr>
      <w:tblGrid>
        <w:gridCol w:w="1795"/>
        <w:gridCol w:w="1890"/>
        <w:gridCol w:w="4860"/>
        <w:gridCol w:w="3420"/>
        <w:gridCol w:w="1117"/>
      </w:tblGrid>
      <w:tr w:rsidR="005B5008" w:rsidRPr="005B5008" w14:paraId="52709F40" w14:textId="77777777" w:rsidTr="00070308">
        <w:trPr>
          <w:cantSplit/>
          <w:tblHeader/>
        </w:trPr>
        <w:tc>
          <w:tcPr>
            <w:tcW w:w="1795" w:type="dxa"/>
          </w:tcPr>
          <w:p w14:paraId="33AF2A94" w14:textId="77777777" w:rsidR="005B5008" w:rsidRPr="005B5008" w:rsidRDefault="005B5008" w:rsidP="005B5008">
            <w:pPr>
              <w:widowControl/>
              <w:autoSpaceDE/>
              <w:autoSpaceDN/>
              <w:adjustRightInd/>
              <w:rPr>
                <w:rFonts w:ascii="Calibri" w:hAnsi="Calibri" w:cs="Calibri"/>
                <w:b/>
              </w:rPr>
            </w:pPr>
            <w:r w:rsidRPr="005B5008">
              <w:rPr>
                <w:rFonts w:ascii="Calibri" w:hAnsi="Calibri" w:cs="Calibri"/>
                <w:b/>
              </w:rPr>
              <w:lastRenderedPageBreak/>
              <w:t>Observation #</w:t>
            </w:r>
          </w:p>
          <w:p w14:paraId="620151E1" w14:textId="4002BDB3" w:rsidR="005B5008" w:rsidRPr="005B5008" w:rsidRDefault="005B5008" w:rsidP="005B5008">
            <w:pPr>
              <w:widowControl/>
              <w:autoSpaceDE/>
              <w:autoSpaceDN/>
              <w:adjustRightInd/>
              <w:rPr>
                <w:rFonts w:ascii="Calibri" w:hAnsi="Calibri" w:cs="Calibri"/>
                <w:b/>
              </w:rPr>
            </w:pPr>
            <w:r w:rsidRPr="005B5008">
              <w:rPr>
                <w:rFonts w:ascii="Calibri" w:hAnsi="Calibri" w:cs="Calibri"/>
                <w:b/>
              </w:rPr>
              <w:t>FY 20</w:t>
            </w:r>
            <w:r w:rsidR="003D1ECF">
              <w:rPr>
                <w:rFonts w:ascii="Calibri" w:hAnsi="Calibri" w:cs="Calibri"/>
                <w:b/>
              </w:rPr>
              <w:t>25</w:t>
            </w:r>
            <w:r w:rsidRPr="005B5008">
              <w:rPr>
                <w:rFonts w:ascii="Calibri" w:hAnsi="Calibri" w:cs="Calibri"/>
                <w:b/>
              </w:rPr>
              <w:t>-O</w:t>
            </w:r>
            <w:r w:rsidRPr="003D1ECF">
              <w:rPr>
                <w:rFonts w:ascii="Calibri" w:hAnsi="Calibri" w:cs="Calibri"/>
                <w:b/>
              </w:rPr>
              <w:t>B-#</w:t>
            </w:r>
          </w:p>
          <w:p w14:paraId="67AF1BAF" w14:textId="77777777" w:rsidR="005B5008" w:rsidRPr="005B5008" w:rsidRDefault="005B5008" w:rsidP="005B5008">
            <w:pPr>
              <w:widowControl/>
              <w:autoSpaceDE/>
              <w:autoSpaceDN/>
              <w:adjustRightInd/>
              <w:rPr>
                <w:rFonts w:ascii="Calibri" w:hAnsi="Calibri" w:cs="Calibri"/>
                <w:i/>
              </w:rPr>
            </w:pPr>
          </w:p>
        </w:tc>
        <w:tc>
          <w:tcPr>
            <w:tcW w:w="1890" w:type="dxa"/>
          </w:tcPr>
          <w:p w14:paraId="43C60328" w14:textId="77777777" w:rsidR="005B5008" w:rsidRPr="00E77E5A" w:rsidRDefault="005B5008" w:rsidP="005B5008">
            <w:pPr>
              <w:widowControl/>
              <w:autoSpaceDE/>
              <w:autoSpaceDN/>
              <w:adjustRightInd/>
              <w:rPr>
                <w:rFonts w:ascii="Calibri" w:hAnsi="Calibri" w:cs="Calibri"/>
                <w:b/>
              </w:rPr>
            </w:pPr>
            <w:r w:rsidRPr="00E77E5A">
              <w:rPr>
                <w:rFonts w:ascii="Calibri" w:hAnsi="Calibri" w:cs="Calibri"/>
                <w:b/>
              </w:rPr>
              <w:t>Observation#</w:t>
            </w:r>
          </w:p>
          <w:p w14:paraId="1964753E" w14:textId="4CDE01C0" w:rsidR="005B5008" w:rsidRPr="00E77E5A" w:rsidRDefault="005B5008" w:rsidP="005B5008">
            <w:pPr>
              <w:widowControl/>
              <w:autoSpaceDE/>
              <w:autoSpaceDN/>
              <w:adjustRightInd/>
              <w:rPr>
                <w:rFonts w:ascii="Calibri" w:hAnsi="Calibri" w:cs="Calibri"/>
                <w:b/>
              </w:rPr>
            </w:pPr>
            <w:r w:rsidRPr="00E77E5A">
              <w:rPr>
                <w:rFonts w:ascii="Calibri" w:hAnsi="Calibri" w:cs="Calibri"/>
                <w:b/>
              </w:rPr>
              <w:t>FY 20</w:t>
            </w:r>
            <w:r w:rsidR="008861B2" w:rsidRPr="00E77E5A">
              <w:rPr>
                <w:rFonts w:ascii="Calibri" w:hAnsi="Calibri" w:cs="Calibri"/>
                <w:b/>
              </w:rPr>
              <w:t>24</w:t>
            </w:r>
            <w:r w:rsidRPr="00E77E5A">
              <w:rPr>
                <w:rFonts w:ascii="Calibri" w:hAnsi="Calibri" w:cs="Calibri"/>
                <w:b/>
              </w:rPr>
              <w:t xml:space="preserve">-OB-# </w:t>
            </w:r>
            <w:r w:rsidRPr="00E77E5A">
              <w:rPr>
                <w:rFonts w:ascii="Calibri" w:hAnsi="Calibri" w:cs="Calibri"/>
                <w:b/>
                <w:iCs/>
              </w:rPr>
              <w:t>or</w:t>
            </w:r>
            <w:r w:rsidRPr="00E77E5A">
              <w:rPr>
                <w:rFonts w:ascii="Calibri" w:hAnsi="Calibri" w:cs="Calibri"/>
                <w:b/>
              </w:rPr>
              <w:t xml:space="preserve"> </w:t>
            </w:r>
          </w:p>
          <w:p w14:paraId="1E73F5AB" w14:textId="53559C19" w:rsidR="005B5008" w:rsidRPr="00E77E5A" w:rsidRDefault="005B5008" w:rsidP="005B5008">
            <w:pPr>
              <w:widowControl/>
              <w:autoSpaceDE/>
              <w:autoSpaceDN/>
              <w:adjustRightInd/>
              <w:rPr>
                <w:rFonts w:ascii="Calibri" w:hAnsi="Calibri" w:cs="Calibri"/>
                <w:i/>
              </w:rPr>
            </w:pPr>
            <w:r w:rsidRPr="00E77E5A">
              <w:rPr>
                <w:rFonts w:ascii="Calibri" w:hAnsi="Calibri" w:cs="Calibri"/>
                <w:b/>
              </w:rPr>
              <w:t>FY 20</w:t>
            </w:r>
            <w:r w:rsidR="008861B2" w:rsidRPr="00E77E5A">
              <w:rPr>
                <w:rFonts w:ascii="Calibri" w:hAnsi="Calibri" w:cs="Calibri"/>
                <w:b/>
              </w:rPr>
              <w:t>24</w:t>
            </w:r>
            <w:r w:rsidRPr="00E77E5A">
              <w:rPr>
                <w:rFonts w:ascii="Calibri" w:hAnsi="Calibri" w:cs="Calibri"/>
                <w:b/>
              </w:rPr>
              <w:t>-#</w:t>
            </w:r>
          </w:p>
        </w:tc>
        <w:tc>
          <w:tcPr>
            <w:tcW w:w="4860" w:type="dxa"/>
          </w:tcPr>
          <w:p w14:paraId="61A45652" w14:textId="77777777" w:rsidR="005B5008" w:rsidRPr="005B5008" w:rsidRDefault="005B5008" w:rsidP="005B5008">
            <w:pPr>
              <w:widowControl/>
              <w:autoSpaceDE/>
              <w:autoSpaceDN/>
              <w:adjustRightInd/>
              <w:rPr>
                <w:rFonts w:ascii="Calibri" w:hAnsi="Calibri" w:cs="Calibri"/>
                <w:i/>
              </w:rPr>
            </w:pPr>
            <w:r w:rsidRPr="005B5008">
              <w:rPr>
                <w:rFonts w:ascii="Calibri" w:hAnsi="Calibri" w:cs="Calibri"/>
                <w:b/>
              </w:rPr>
              <w:t>Observation</w:t>
            </w:r>
          </w:p>
        </w:tc>
        <w:tc>
          <w:tcPr>
            <w:tcW w:w="3420" w:type="dxa"/>
          </w:tcPr>
          <w:p w14:paraId="78906047" w14:textId="77777777" w:rsidR="005B5008" w:rsidRPr="005B5008" w:rsidRDefault="005B5008" w:rsidP="005B5008">
            <w:pPr>
              <w:widowControl/>
              <w:autoSpaceDE/>
              <w:autoSpaceDN/>
              <w:adjustRightInd/>
              <w:rPr>
                <w:rFonts w:ascii="Calibri" w:hAnsi="Calibri" w:cs="Calibri"/>
                <w:i/>
              </w:rPr>
            </w:pPr>
            <w:r w:rsidRPr="005B5008">
              <w:rPr>
                <w:rFonts w:ascii="Calibri" w:hAnsi="Calibri" w:cs="Calibri"/>
                <w:b/>
              </w:rPr>
              <w:t>Federal Monitoring Plan</w:t>
            </w:r>
          </w:p>
        </w:tc>
        <w:tc>
          <w:tcPr>
            <w:tcW w:w="1117" w:type="dxa"/>
          </w:tcPr>
          <w:p w14:paraId="55CA717D" w14:textId="77777777" w:rsidR="005B5008" w:rsidRPr="005B5008" w:rsidRDefault="005B5008" w:rsidP="005B5008">
            <w:pPr>
              <w:widowControl/>
              <w:autoSpaceDE/>
              <w:autoSpaceDN/>
              <w:adjustRightInd/>
              <w:rPr>
                <w:rFonts w:ascii="Calibri" w:hAnsi="Calibri" w:cs="Calibri"/>
                <w:b/>
              </w:rPr>
            </w:pPr>
            <w:r w:rsidRPr="005B5008">
              <w:rPr>
                <w:rFonts w:ascii="Calibri" w:hAnsi="Calibri" w:cs="Calibri"/>
                <w:b/>
              </w:rPr>
              <w:t>Current Status</w:t>
            </w:r>
          </w:p>
        </w:tc>
      </w:tr>
      <w:tr w:rsidR="005B5008" w:rsidRPr="005B5008" w14:paraId="1DDB9AE9" w14:textId="77777777" w:rsidTr="00070308">
        <w:trPr>
          <w:cantSplit/>
        </w:trPr>
        <w:tc>
          <w:tcPr>
            <w:tcW w:w="1795" w:type="dxa"/>
          </w:tcPr>
          <w:p w14:paraId="459A4818" w14:textId="307CC09B" w:rsidR="005B5008" w:rsidRPr="003D1ECF" w:rsidRDefault="005B5008" w:rsidP="005B5008">
            <w:pPr>
              <w:widowControl/>
              <w:autoSpaceDE/>
              <w:autoSpaceDN/>
              <w:adjustRightInd/>
              <w:rPr>
                <w:rFonts w:ascii="Calibri" w:hAnsi="Calibri" w:cs="Calibri"/>
                <w:iCs/>
              </w:rPr>
            </w:pPr>
            <w:r w:rsidRPr="003D1ECF">
              <w:rPr>
                <w:rFonts w:ascii="Calibri" w:hAnsi="Calibri" w:cs="Calibri"/>
                <w:iCs/>
              </w:rPr>
              <w:t>FY 20</w:t>
            </w:r>
            <w:r w:rsidR="003D1ECF" w:rsidRPr="003D1ECF">
              <w:rPr>
                <w:rFonts w:ascii="Calibri" w:hAnsi="Calibri" w:cs="Calibri"/>
                <w:iCs/>
              </w:rPr>
              <w:t>25</w:t>
            </w:r>
            <w:r w:rsidRPr="003D1ECF">
              <w:rPr>
                <w:rFonts w:ascii="Calibri" w:hAnsi="Calibri" w:cs="Calibri"/>
                <w:iCs/>
              </w:rPr>
              <w:t>-OB-01</w:t>
            </w:r>
          </w:p>
          <w:p w14:paraId="4ACCA57F" w14:textId="77777777" w:rsidR="005B5008" w:rsidRPr="005B5008" w:rsidRDefault="005B5008" w:rsidP="005B5008">
            <w:pPr>
              <w:widowControl/>
              <w:autoSpaceDE/>
              <w:autoSpaceDN/>
              <w:adjustRightInd/>
              <w:rPr>
                <w:rFonts w:ascii="Calibri" w:hAnsi="Calibri" w:cs="Calibri"/>
                <w:iCs/>
                <w:color w:val="0070C0"/>
              </w:rPr>
            </w:pPr>
          </w:p>
        </w:tc>
        <w:tc>
          <w:tcPr>
            <w:tcW w:w="1890" w:type="dxa"/>
          </w:tcPr>
          <w:p w14:paraId="27F5DEBE" w14:textId="098FDD71" w:rsidR="005B5008" w:rsidRPr="005B5008" w:rsidRDefault="005B5008" w:rsidP="005B5008">
            <w:pPr>
              <w:widowControl/>
              <w:autoSpaceDE/>
              <w:autoSpaceDN/>
              <w:adjustRightInd/>
              <w:rPr>
                <w:rFonts w:ascii="Calibri" w:hAnsi="Calibri" w:cs="Calibri"/>
                <w:iCs/>
                <w:color w:val="0070C0"/>
              </w:rPr>
            </w:pPr>
          </w:p>
          <w:p w14:paraId="1E6EDE31" w14:textId="77777777" w:rsidR="005B5008" w:rsidRPr="005B5008" w:rsidRDefault="005B5008" w:rsidP="005B5008">
            <w:pPr>
              <w:widowControl/>
              <w:autoSpaceDE/>
              <w:autoSpaceDN/>
              <w:adjustRightInd/>
              <w:rPr>
                <w:rFonts w:ascii="Calibri" w:hAnsi="Calibri" w:cs="Calibri"/>
                <w:iCs/>
                <w:color w:val="0070C0"/>
              </w:rPr>
            </w:pPr>
          </w:p>
        </w:tc>
        <w:tc>
          <w:tcPr>
            <w:tcW w:w="4860" w:type="dxa"/>
          </w:tcPr>
          <w:p w14:paraId="1E4EB600" w14:textId="23AE670B" w:rsidR="005B5008" w:rsidRPr="0001015B" w:rsidRDefault="0001015B" w:rsidP="001E76D8">
            <w:pPr>
              <w:contextualSpacing/>
              <w:jc w:val="both"/>
              <w:rPr>
                <w:rFonts w:asciiTheme="minorHAnsi" w:hAnsiTheme="minorHAnsi" w:cstheme="minorHAnsi"/>
                <w:iCs/>
              </w:rPr>
            </w:pPr>
            <w:r w:rsidRPr="0001015B">
              <w:rPr>
                <w:rFonts w:asciiTheme="minorHAnsi" w:hAnsiTheme="minorHAnsi" w:cstheme="minorHAnsi"/>
              </w:rPr>
              <w:t xml:space="preserve">The majority of complaints were not reviewed by a supervisor prior to case closure to assure compliance with REDB Operations Manual, contributing to several inappropriate case closures and failure to afford the complainants full exercise of their whistleblower rights. </w:t>
            </w:r>
          </w:p>
        </w:tc>
        <w:tc>
          <w:tcPr>
            <w:tcW w:w="3420" w:type="dxa"/>
          </w:tcPr>
          <w:p w14:paraId="04CC37BC" w14:textId="73140140" w:rsidR="005B5008" w:rsidRPr="000E2D87" w:rsidRDefault="005B5008" w:rsidP="005B5008">
            <w:pPr>
              <w:widowControl/>
              <w:autoSpaceDE/>
              <w:autoSpaceDN/>
              <w:adjustRightInd/>
              <w:rPr>
                <w:rFonts w:ascii="Calibri" w:hAnsi="Calibri" w:cs="Calibri"/>
                <w:iCs/>
              </w:rPr>
            </w:pPr>
            <w:r w:rsidRPr="000E2D87">
              <w:rPr>
                <w:rFonts w:ascii="Calibri" w:hAnsi="Calibri" w:cs="Calibri"/>
                <w:iCs/>
              </w:rPr>
              <w:t>During next year’s FAME, a limited scope review of selected case files will be reviewed to determine if this reflects the data trend.</w:t>
            </w:r>
            <w:r w:rsidR="00911992">
              <w:rPr>
                <w:rFonts w:ascii="Calibri" w:hAnsi="Calibri" w:cs="Calibri"/>
                <w:iCs/>
              </w:rPr>
              <w:t xml:space="preserve"> </w:t>
            </w:r>
            <w:r w:rsidR="00064D33">
              <w:rPr>
                <w:rFonts w:asciiTheme="minorHAnsi" w:hAnsiTheme="minorHAnsi" w:cstheme="minorHAnsi"/>
              </w:rPr>
              <w:t>I</w:t>
            </w:r>
            <w:r w:rsidR="00064D33" w:rsidRPr="0091601C">
              <w:rPr>
                <w:rFonts w:asciiTheme="minorHAnsi" w:hAnsiTheme="minorHAnsi" w:cstheme="minorHAnsi"/>
              </w:rPr>
              <w:t xml:space="preserve">n FY </w:t>
            </w:r>
            <w:r w:rsidR="004B7D85">
              <w:rPr>
                <w:rFonts w:asciiTheme="minorHAnsi" w:hAnsiTheme="minorHAnsi" w:cstheme="minorHAnsi"/>
              </w:rPr>
              <w:t>2027</w:t>
            </w:r>
            <w:r w:rsidR="00064D33" w:rsidRPr="0091601C">
              <w:rPr>
                <w:rFonts w:asciiTheme="minorHAnsi" w:hAnsiTheme="minorHAnsi" w:cstheme="minorHAnsi"/>
              </w:rPr>
              <w:t>, a limited number of case files will be selected randomly and reviewed to determine if this item was addressed</w:t>
            </w:r>
            <w:r w:rsidR="003E4918">
              <w:rPr>
                <w:rFonts w:asciiTheme="minorHAnsi" w:hAnsiTheme="minorHAnsi" w:cstheme="minorHAnsi"/>
              </w:rPr>
              <w:t>.</w:t>
            </w:r>
          </w:p>
        </w:tc>
        <w:tc>
          <w:tcPr>
            <w:tcW w:w="1117" w:type="dxa"/>
          </w:tcPr>
          <w:p w14:paraId="2982E6C3" w14:textId="4E53AACA" w:rsidR="005B5008" w:rsidRPr="000E2D87" w:rsidRDefault="004E595C" w:rsidP="005B5008">
            <w:pPr>
              <w:widowControl/>
              <w:autoSpaceDE/>
              <w:autoSpaceDN/>
              <w:adjustRightInd/>
              <w:rPr>
                <w:rFonts w:ascii="Calibri" w:hAnsi="Calibri" w:cs="Calibri"/>
                <w:iCs/>
              </w:rPr>
            </w:pPr>
            <w:r w:rsidRPr="000E2D87">
              <w:rPr>
                <w:rFonts w:ascii="Calibri" w:hAnsi="Calibri" w:cs="Calibri"/>
                <w:iCs/>
              </w:rPr>
              <w:t>New</w:t>
            </w:r>
          </w:p>
        </w:tc>
      </w:tr>
    </w:tbl>
    <w:p w14:paraId="50A76A36" w14:textId="77777777" w:rsidR="00986697" w:rsidRDefault="00986697" w:rsidP="002C4A9F">
      <w:pPr>
        <w:tabs>
          <w:tab w:val="left" w:pos="7200"/>
        </w:tabs>
        <w:rPr>
          <w:rFonts w:asciiTheme="minorHAnsi" w:eastAsia="PMingLiU" w:hAnsiTheme="minorHAnsi" w:cstheme="minorHAnsi"/>
          <w:b/>
        </w:rPr>
      </w:pPr>
    </w:p>
    <w:p w14:paraId="57A1ACD4" w14:textId="18C75293" w:rsidR="00986697" w:rsidRPr="002C4A9F" w:rsidRDefault="00986697" w:rsidP="002C4A9F">
      <w:pPr>
        <w:tabs>
          <w:tab w:val="left" w:pos="7200"/>
        </w:tabs>
        <w:rPr>
          <w:rFonts w:asciiTheme="minorHAnsi" w:eastAsia="PMingLiU" w:hAnsiTheme="minorHAnsi" w:cstheme="minorHAnsi"/>
          <w:b/>
        </w:rPr>
        <w:sectPr w:rsidR="00986697" w:rsidRPr="002C4A9F" w:rsidSect="00DD555E">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rtlGutter/>
          <w:docGrid w:linePitch="360"/>
        </w:sectPr>
      </w:pPr>
    </w:p>
    <w:p w14:paraId="1B04AFBA" w14:textId="289A172F" w:rsidR="0052265F" w:rsidRPr="00692B34" w:rsidRDefault="0052265F" w:rsidP="007A71AC">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986697" w14:paraId="08C8D00D" w14:textId="77777777" w:rsidTr="005B5008">
        <w:trPr>
          <w:trHeight w:val="412"/>
        </w:trPr>
        <w:tc>
          <w:tcPr>
            <w:tcW w:w="1435" w:type="dxa"/>
          </w:tcPr>
          <w:p w14:paraId="225E9F58" w14:textId="2A1B8637" w:rsidR="00986697" w:rsidRPr="00986697" w:rsidRDefault="00986697" w:rsidP="00986697">
            <w:pPr>
              <w:rPr>
                <w:rFonts w:ascii="Calibri" w:hAnsi="Calibri" w:cs="Calibri"/>
                <w:b/>
              </w:rPr>
            </w:pPr>
            <w:r w:rsidRPr="00986697">
              <w:rPr>
                <w:rFonts w:ascii="Calibri" w:hAnsi="Calibri" w:cs="Calibri"/>
                <w:b/>
              </w:rPr>
              <w:t>FY 20</w:t>
            </w:r>
            <w:r w:rsidR="008861B2" w:rsidRPr="008861B2">
              <w:rPr>
                <w:rFonts w:ascii="Calibri" w:hAnsi="Calibri" w:cs="Calibri"/>
                <w:b/>
              </w:rPr>
              <w:t>24</w:t>
            </w:r>
            <w:r w:rsidRPr="00E941F4">
              <w:rPr>
                <w:rFonts w:ascii="Calibri" w:hAnsi="Calibri" w:cs="Calibri"/>
                <w:b/>
              </w:rPr>
              <w:t>-#</w:t>
            </w:r>
          </w:p>
        </w:tc>
        <w:tc>
          <w:tcPr>
            <w:tcW w:w="2098" w:type="dxa"/>
          </w:tcPr>
          <w:p w14:paraId="2313A9BE" w14:textId="77777777" w:rsidR="00986697" w:rsidRPr="00986697" w:rsidRDefault="00986697" w:rsidP="00986697">
            <w:pPr>
              <w:rPr>
                <w:rFonts w:ascii="Calibri" w:hAnsi="Calibri" w:cs="Calibri"/>
                <w:b/>
              </w:rPr>
            </w:pPr>
            <w:r w:rsidRPr="00986697">
              <w:rPr>
                <w:rFonts w:ascii="Calibri" w:hAnsi="Calibri" w:cs="Calibri"/>
                <w:b/>
              </w:rPr>
              <w:t>Finding</w:t>
            </w:r>
          </w:p>
        </w:tc>
        <w:tc>
          <w:tcPr>
            <w:tcW w:w="2250" w:type="dxa"/>
          </w:tcPr>
          <w:p w14:paraId="4463AF65" w14:textId="77777777" w:rsidR="00986697" w:rsidRPr="00986697" w:rsidRDefault="00986697" w:rsidP="00986697">
            <w:pPr>
              <w:rPr>
                <w:rFonts w:ascii="Calibri" w:hAnsi="Calibri" w:cs="Calibri"/>
                <w:b/>
              </w:rPr>
            </w:pPr>
            <w:r w:rsidRPr="00986697">
              <w:rPr>
                <w:rFonts w:ascii="Calibri" w:hAnsi="Calibri" w:cs="Calibri"/>
                <w:b/>
              </w:rPr>
              <w:t>Recommendation</w:t>
            </w:r>
          </w:p>
        </w:tc>
        <w:tc>
          <w:tcPr>
            <w:tcW w:w="3960" w:type="dxa"/>
          </w:tcPr>
          <w:p w14:paraId="3F4C9992" w14:textId="77777777" w:rsidR="00986697" w:rsidRPr="00986697" w:rsidRDefault="00986697" w:rsidP="00986697">
            <w:pPr>
              <w:rPr>
                <w:rFonts w:ascii="Calibri" w:hAnsi="Calibri" w:cs="Calibri"/>
                <w:b/>
              </w:rPr>
            </w:pPr>
            <w:r w:rsidRPr="00986697">
              <w:rPr>
                <w:rFonts w:ascii="Calibri" w:hAnsi="Calibri" w:cs="Calibri"/>
                <w:b/>
              </w:rPr>
              <w:t>State Plan Corrective Action</w:t>
            </w:r>
          </w:p>
        </w:tc>
        <w:tc>
          <w:tcPr>
            <w:tcW w:w="1592" w:type="dxa"/>
          </w:tcPr>
          <w:p w14:paraId="78AC54BF" w14:textId="634696CC" w:rsidR="00986697" w:rsidRPr="00986697" w:rsidRDefault="00986697" w:rsidP="00986697">
            <w:pPr>
              <w:rPr>
                <w:rFonts w:ascii="Calibri" w:hAnsi="Calibri" w:cs="Calibri"/>
                <w:b/>
              </w:rPr>
            </w:pPr>
            <w:r w:rsidRPr="00986697">
              <w:rPr>
                <w:rFonts w:ascii="Calibri" w:hAnsi="Calibri" w:cs="Calibri"/>
                <w:b/>
              </w:rPr>
              <w:t>Completion Date</w:t>
            </w:r>
            <w:r w:rsidR="00F40C8D">
              <w:rPr>
                <w:rFonts w:ascii="Calibri" w:hAnsi="Calibri" w:cs="Calibri"/>
                <w:b/>
              </w:rPr>
              <w:t xml:space="preserve"> (If Applicable)</w:t>
            </w:r>
          </w:p>
        </w:tc>
        <w:tc>
          <w:tcPr>
            <w:tcW w:w="2250" w:type="dxa"/>
          </w:tcPr>
          <w:p w14:paraId="063C1402" w14:textId="77777777" w:rsidR="00986697" w:rsidRPr="00986697" w:rsidRDefault="00986697" w:rsidP="00986697">
            <w:pPr>
              <w:rPr>
                <w:rFonts w:ascii="Calibri" w:hAnsi="Calibri" w:cs="Calibri"/>
                <w:b/>
              </w:rPr>
            </w:pPr>
            <w:r w:rsidRPr="00986697">
              <w:rPr>
                <w:rFonts w:ascii="Calibri" w:hAnsi="Calibri" w:cs="Calibri"/>
                <w:b/>
              </w:rPr>
              <w:t xml:space="preserve">Current Status </w:t>
            </w:r>
          </w:p>
          <w:p w14:paraId="49D84480" w14:textId="77777777" w:rsidR="00986697" w:rsidRPr="00986697" w:rsidRDefault="00986697" w:rsidP="00986697">
            <w:pPr>
              <w:rPr>
                <w:rFonts w:ascii="Calibri" w:hAnsi="Calibri" w:cs="Calibri"/>
                <w:b/>
              </w:rPr>
            </w:pPr>
            <w:r w:rsidRPr="00986697">
              <w:rPr>
                <w:rFonts w:ascii="Calibri" w:hAnsi="Calibri" w:cs="Calibri"/>
                <w:b/>
              </w:rPr>
              <w:t>and Date</w:t>
            </w:r>
          </w:p>
        </w:tc>
      </w:tr>
      <w:tr w:rsidR="00986697" w:rsidRPr="00986697" w14:paraId="3F6D7086" w14:textId="77777777" w:rsidTr="005B5008">
        <w:trPr>
          <w:trHeight w:val="412"/>
        </w:trPr>
        <w:tc>
          <w:tcPr>
            <w:tcW w:w="1435" w:type="dxa"/>
          </w:tcPr>
          <w:p w14:paraId="1AE22544" w14:textId="01F254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p>
        </w:tc>
        <w:tc>
          <w:tcPr>
            <w:tcW w:w="2098" w:type="dxa"/>
          </w:tcPr>
          <w:p w14:paraId="70BC716D" w14:textId="79DEE898" w:rsidR="00986697" w:rsidRPr="00986697" w:rsidRDefault="00E26C5B" w:rsidP="007C542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Pr>
                <w:rFonts w:ascii="Calibri" w:eastAsia="PMingLiU" w:hAnsi="Calibri" w:cs="Calibri"/>
                <w:b/>
                <w:bCs/>
                <w:sz w:val="22"/>
                <w:szCs w:val="22"/>
              </w:rPr>
              <w:t>None</w:t>
            </w:r>
          </w:p>
        </w:tc>
        <w:tc>
          <w:tcPr>
            <w:tcW w:w="2250" w:type="dxa"/>
          </w:tcPr>
          <w:p w14:paraId="085846A1"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3960" w:type="dxa"/>
          </w:tcPr>
          <w:p w14:paraId="3D9A54D9"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1592" w:type="dxa"/>
          </w:tcPr>
          <w:p w14:paraId="64B5D1CF"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2250" w:type="dxa"/>
          </w:tcPr>
          <w:p w14:paraId="2E3EEF42"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r>
      <w:tr w:rsidR="00986697" w:rsidRPr="00986697" w14:paraId="6305BBE5" w14:textId="77777777" w:rsidTr="005B5008">
        <w:trPr>
          <w:trHeight w:val="385"/>
        </w:trPr>
        <w:tc>
          <w:tcPr>
            <w:tcW w:w="1435" w:type="dxa"/>
          </w:tcPr>
          <w:p w14:paraId="64828B56"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r w:rsidRPr="00986697">
              <w:rPr>
                <w:rFonts w:ascii="Calibri" w:eastAsia="PMingLiU" w:hAnsi="Calibri" w:cs="Calibri"/>
                <w:b/>
                <w:bCs/>
                <w:sz w:val="22"/>
                <w:szCs w:val="22"/>
              </w:rPr>
              <w:t> </w:t>
            </w:r>
          </w:p>
        </w:tc>
        <w:tc>
          <w:tcPr>
            <w:tcW w:w="2098" w:type="dxa"/>
          </w:tcPr>
          <w:p w14:paraId="7F284718"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2250" w:type="dxa"/>
          </w:tcPr>
          <w:p w14:paraId="473C504A"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3960" w:type="dxa"/>
          </w:tcPr>
          <w:p w14:paraId="6FE1085D"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1592" w:type="dxa"/>
          </w:tcPr>
          <w:p w14:paraId="270ABDB1"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2250" w:type="dxa"/>
          </w:tcPr>
          <w:p w14:paraId="621BE3F9"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r>
      <w:tr w:rsidR="00986697" w:rsidRPr="00986697" w14:paraId="2235F89F" w14:textId="77777777" w:rsidTr="005B5008">
        <w:trPr>
          <w:trHeight w:val="385"/>
        </w:trPr>
        <w:tc>
          <w:tcPr>
            <w:tcW w:w="1435" w:type="dxa"/>
          </w:tcPr>
          <w:p w14:paraId="6E06245E"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p>
        </w:tc>
        <w:tc>
          <w:tcPr>
            <w:tcW w:w="2098" w:type="dxa"/>
          </w:tcPr>
          <w:p w14:paraId="7CAE24BA"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p>
        </w:tc>
        <w:tc>
          <w:tcPr>
            <w:tcW w:w="2250" w:type="dxa"/>
          </w:tcPr>
          <w:p w14:paraId="3FC3FA11"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p>
        </w:tc>
        <w:tc>
          <w:tcPr>
            <w:tcW w:w="3960" w:type="dxa"/>
          </w:tcPr>
          <w:p w14:paraId="5C5D39D0"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p>
        </w:tc>
        <w:tc>
          <w:tcPr>
            <w:tcW w:w="1592" w:type="dxa"/>
          </w:tcPr>
          <w:p w14:paraId="7F7FC005"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p>
        </w:tc>
        <w:tc>
          <w:tcPr>
            <w:tcW w:w="2250" w:type="dxa"/>
          </w:tcPr>
          <w:p w14:paraId="62F66963"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p>
        </w:tc>
      </w:tr>
    </w:tbl>
    <w:p w14:paraId="0E019549" w14:textId="77777777" w:rsidR="008861B2" w:rsidRDefault="008861B2" w:rsidP="00986697">
      <w:pPr>
        <w:widowControl/>
        <w:autoSpaceDE/>
        <w:autoSpaceDN/>
        <w:adjustRightInd/>
        <w:rPr>
          <w:rFonts w:ascii="Calibri" w:hAnsi="Calibri" w:cs="Calibri"/>
          <w:iCs/>
          <w:color w:val="0070C0"/>
        </w:rPr>
      </w:pPr>
    </w:p>
    <w:p w14:paraId="663DC69C" w14:textId="77F051EE" w:rsidR="00E941F4" w:rsidRDefault="00E941F4" w:rsidP="00E941F4">
      <w:pPr>
        <w:widowControl/>
        <w:tabs>
          <w:tab w:val="left" w:pos="630"/>
        </w:tabs>
        <w:autoSpaceDE/>
        <w:autoSpaceDN/>
        <w:adjustRightInd/>
        <w:ind w:left="720" w:hanging="360"/>
        <w:rPr>
          <w:rFonts w:ascii="Calibri" w:hAnsi="Calibri" w:cs="Calibri"/>
          <w:iCs/>
          <w:color w:val="0070C0"/>
        </w:rPr>
      </w:pPr>
    </w:p>
    <w:p w14:paraId="0A98CBF4" w14:textId="3BF1420E" w:rsidR="00986697" w:rsidRPr="00986697" w:rsidRDefault="00986697" w:rsidP="00D97609">
      <w:pPr>
        <w:widowControl/>
        <w:tabs>
          <w:tab w:val="left" w:pos="630"/>
        </w:tabs>
        <w:autoSpaceDE/>
        <w:autoSpaceDN/>
        <w:adjustRightInd/>
        <w:ind w:left="720" w:hanging="360"/>
        <w:rPr>
          <w:rFonts w:ascii="Calibri" w:hAnsi="Calibri" w:cs="Calibri"/>
          <w:iCs/>
          <w:color w:val="0070C0"/>
        </w:rPr>
        <w:sectPr w:rsidR="00986697" w:rsidRPr="00986697" w:rsidSect="00986697">
          <w:headerReference w:type="default" r:id="rId16"/>
          <w:headerReference w:type="first" r:id="rId17"/>
          <w:footerReference w:type="first" r:id="rId18"/>
          <w:pgSz w:w="15840" w:h="12240" w:orient="landscape"/>
          <w:pgMar w:top="1440" w:right="1440" w:bottom="1440" w:left="1440" w:header="630" w:footer="720" w:gutter="0"/>
          <w:cols w:space="720"/>
          <w:titlePg/>
          <w:docGrid w:linePitch="360"/>
        </w:sectPr>
      </w:pPr>
    </w:p>
    <w:p w14:paraId="61EC1C9E" w14:textId="77777777" w:rsidR="00187523" w:rsidRPr="00187523" w:rsidRDefault="00187523" w:rsidP="00187523">
      <w:pPr>
        <w:keepNext/>
        <w:keepLines/>
        <w:spacing w:before="120"/>
        <w:outlineLvl w:val="2"/>
        <w:rPr>
          <w:rFonts w:ascii="Calibri" w:hAnsi="Calibri" w:cs="Calibri"/>
          <w:b/>
          <w:bCs/>
          <w:color w:val="0070C0"/>
          <w:sz w:val="28"/>
          <w:szCs w:val="28"/>
        </w:rPr>
      </w:pPr>
      <w:bookmarkStart w:id="9" w:name="_Toc119418672"/>
      <w:r w:rsidRPr="00187523">
        <w:rPr>
          <w:rFonts w:ascii="Calibri" w:hAnsi="Calibri" w:cs="Calibri"/>
          <w:b/>
          <w:bCs/>
          <w:sz w:val="28"/>
          <w:szCs w:val="28"/>
        </w:rPr>
        <w:lastRenderedPageBreak/>
        <w:t xml:space="preserve">Appendix D – </w:t>
      </w:r>
      <w:bookmarkStart w:id="10" w:name="_Hlk119349018"/>
      <w:r w:rsidRPr="00187523">
        <w:rPr>
          <w:rFonts w:ascii="Calibri" w:hAnsi="Calibri" w:cs="Calibri"/>
          <w:b/>
          <w:bCs/>
          <w:sz w:val="28"/>
          <w:szCs w:val="28"/>
        </w:rPr>
        <w:t>FY 2025 State Activity Mandated Measures (SAMM) Report</w:t>
      </w:r>
      <w:bookmarkEnd w:id="9"/>
      <w:bookmarkEnd w:id="10"/>
    </w:p>
    <w:p w14:paraId="3A12C90B" w14:textId="77777777" w:rsidR="00187523" w:rsidRPr="00187523" w:rsidRDefault="00187523" w:rsidP="00187523">
      <w:pPr>
        <w:tabs>
          <w:tab w:val="center" w:pos="4680"/>
          <w:tab w:val="right" w:pos="9360"/>
        </w:tabs>
        <w:rPr>
          <w:rFonts w:ascii="Calibri" w:hAnsi="Calibri"/>
        </w:rPr>
      </w:pPr>
      <w:r w:rsidRPr="00187523">
        <w:rPr>
          <w:rFonts w:ascii="Calibri" w:hAnsi="Calibri"/>
        </w:rPr>
        <w:t>FY 2025 North Carolina FAME Report</w:t>
      </w:r>
    </w:p>
    <w:p w14:paraId="7DB77732" w14:textId="77777777" w:rsidR="00187523" w:rsidRPr="00187523" w:rsidRDefault="00187523" w:rsidP="00187523">
      <w:pPr>
        <w:widowControl/>
        <w:autoSpaceDE/>
        <w:autoSpaceDN/>
        <w:adjustRightInd/>
        <w:rPr>
          <w:rFonts w:ascii="Calibri" w:hAnsi="Calibri" w:cs="Calibri"/>
          <w:b/>
          <w:color w:val="1F497D"/>
          <w:sz w:val="28"/>
          <w:szCs w:val="28"/>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187523" w:rsidRPr="00187523" w14:paraId="45D1AB5B" w14:textId="77777777" w:rsidTr="00F10FC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0264AEF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color w:val="000000"/>
              </w:rPr>
            </w:pPr>
            <w:r w:rsidRPr="00187523">
              <w:rPr>
                <w:rFonts w:ascii="Calibri" w:eastAsia="PMingLiU" w:hAnsi="Calibri" w:cs="Calibri"/>
                <w:color w:val="000000"/>
              </w:rPr>
              <w:t>SAMM Number</w:t>
            </w:r>
          </w:p>
        </w:tc>
        <w:tc>
          <w:tcPr>
            <w:tcW w:w="2255" w:type="dxa"/>
            <w:tcBorders>
              <w:left w:val="single" w:sz="4" w:space="0" w:color="000000"/>
              <w:right w:val="single" w:sz="4" w:space="0" w:color="000000"/>
            </w:tcBorders>
            <w:shd w:val="clear" w:color="auto" w:fill="auto"/>
          </w:tcPr>
          <w:p w14:paraId="6B988EC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187523">
              <w:rPr>
                <w:rFonts w:ascii="Calibri" w:eastAsia="PMingLiU" w:hAnsi="Calibri" w:cs="Calibri"/>
                <w:color w:val="000000"/>
              </w:rPr>
              <w:t>SAMM Name</w:t>
            </w:r>
          </w:p>
        </w:tc>
        <w:tc>
          <w:tcPr>
            <w:tcW w:w="1282" w:type="dxa"/>
            <w:tcBorders>
              <w:left w:val="single" w:sz="4" w:space="0" w:color="000000"/>
              <w:right w:val="single" w:sz="4" w:space="0" w:color="000000"/>
            </w:tcBorders>
            <w:shd w:val="clear" w:color="auto" w:fill="auto"/>
          </w:tcPr>
          <w:p w14:paraId="56AAFEE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187523">
              <w:rPr>
                <w:rFonts w:ascii="Calibri" w:eastAsia="PMingLiU" w:hAnsi="Calibri" w:cs="Calibri"/>
                <w:color w:val="000000"/>
              </w:rPr>
              <w:t>State Plan Data</w:t>
            </w:r>
          </w:p>
        </w:tc>
        <w:tc>
          <w:tcPr>
            <w:tcW w:w="1408" w:type="dxa"/>
            <w:tcBorders>
              <w:left w:val="single" w:sz="4" w:space="0" w:color="000000"/>
              <w:right w:val="single" w:sz="4" w:space="0" w:color="000000"/>
            </w:tcBorders>
            <w:shd w:val="clear" w:color="auto" w:fill="auto"/>
          </w:tcPr>
          <w:p w14:paraId="7900D55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187523">
              <w:rPr>
                <w:rFonts w:ascii="Calibri" w:eastAsia="PMingLiU" w:hAnsi="Calibri" w:cs="Calibri"/>
                <w:color w:val="000000"/>
              </w:rPr>
              <w:t>Further Review Level</w:t>
            </w:r>
          </w:p>
        </w:tc>
        <w:tc>
          <w:tcPr>
            <w:tcW w:w="4371" w:type="dxa"/>
            <w:tcBorders>
              <w:left w:val="single" w:sz="4" w:space="0" w:color="000000"/>
            </w:tcBorders>
            <w:shd w:val="clear" w:color="auto" w:fill="auto"/>
          </w:tcPr>
          <w:p w14:paraId="3004DE5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187523">
              <w:rPr>
                <w:rFonts w:ascii="Calibri" w:eastAsia="PMingLiU" w:hAnsi="Calibri" w:cs="Calibri"/>
                <w:color w:val="000000"/>
              </w:rPr>
              <w:t>Notes</w:t>
            </w:r>
          </w:p>
        </w:tc>
      </w:tr>
      <w:tr w:rsidR="00187523" w:rsidRPr="00187523" w14:paraId="41084A9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17A7AB6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1a</w:t>
            </w:r>
          </w:p>
        </w:tc>
        <w:tc>
          <w:tcPr>
            <w:tcW w:w="2255" w:type="dxa"/>
          </w:tcPr>
          <w:p w14:paraId="16679D7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r w:rsidRPr="00187523">
                <w:rPr>
                  <w:rFonts w:ascii="Calibri" w:hAnsi="Calibri" w:cs="Calibri"/>
                  <w:color w:val="000000"/>
                  <w:sz w:val="22"/>
                  <w:szCs w:val="22"/>
                </w:rPr>
                <w:t>Average Number of Workdays to Initiate Serious Complaint Inspections (State Formula)</w:t>
              </w:r>
            </w:hyperlink>
          </w:p>
        </w:tc>
        <w:tc>
          <w:tcPr>
            <w:tcW w:w="1282" w:type="dxa"/>
          </w:tcPr>
          <w:p w14:paraId="201061D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3.05</w:t>
            </w:r>
          </w:p>
        </w:tc>
        <w:tc>
          <w:tcPr>
            <w:tcW w:w="1408" w:type="dxa"/>
          </w:tcPr>
          <w:p w14:paraId="2F85D11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10</w:t>
            </w:r>
          </w:p>
        </w:tc>
        <w:tc>
          <w:tcPr>
            <w:tcW w:w="4371" w:type="dxa"/>
          </w:tcPr>
          <w:p w14:paraId="3BB244D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w:t>
            </w:r>
          </w:p>
        </w:tc>
      </w:tr>
      <w:tr w:rsidR="00187523" w:rsidRPr="00187523" w14:paraId="7432283B"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762181A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1b</w:t>
            </w:r>
          </w:p>
        </w:tc>
        <w:tc>
          <w:tcPr>
            <w:tcW w:w="2255" w:type="dxa"/>
          </w:tcPr>
          <w:p w14:paraId="7E78C45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history="1">
              <w:r w:rsidRPr="00187523">
                <w:rPr>
                  <w:rFonts w:ascii="Calibri" w:hAnsi="Calibri" w:cs="Calibri"/>
                  <w:color w:val="000000"/>
                  <w:sz w:val="22"/>
                  <w:szCs w:val="22"/>
                </w:rPr>
                <w:t>Average Number of Workdays to</w:t>
              </w:r>
              <w:r w:rsidRPr="00187523" w:rsidDel="003E70D0">
                <w:rPr>
                  <w:rFonts w:ascii="Calibri" w:hAnsi="Calibri" w:cs="Calibri"/>
                  <w:color w:val="000000"/>
                  <w:sz w:val="22"/>
                  <w:szCs w:val="22"/>
                </w:rPr>
                <w:t xml:space="preserve"> </w:t>
              </w:r>
              <w:r w:rsidRPr="00187523">
                <w:rPr>
                  <w:rFonts w:ascii="Calibri" w:hAnsi="Calibri" w:cs="Calibri"/>
                  <w:color w:val="000000"/>
                  <w:sz w:val="22"/>
                  <w:szCs w:val="22"/>
                </w:rPr>
                <w:t xml:space="preserve">Initiate </w:t>
              </w:r>
              <w:r w:rsidRPr="00187523">
                <w:rPr>
                  <w:rFonts w:ascii="Calibri" w:hAnsi="Calibri" w:cs="Calibri"/>
                  <w:bCs/>
                  <w:color w:val="000000"/>
                  <w:sz w:val="22"/>
                  <w:szCs w:val="22"/>
                </w:rPr>
                <w:t>Other-than-Serious Complaint Inspections (State Formula)</w:t>
              </w:r>
            </w:hyperlink>
          </w:p>
        </w:tc>
        <w:tc>
          <w:tcPr>
            <w:tcW w:w="1282" w:type="dxa"/>
          </w:tcPr>
          <w:p w14:paraId="7A11B04C"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3.84</w:t>
            </w:r>
          </w:p>
        </w:tc>
        <w:tc>
          <w:tcPr>
            <w:tcW w:w="1408" w:type="dxa"/>
          </w:tcPr>
          <w:p w14:paraId="13A53A5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15</w:t>
            </w:r>
          </w:p>
        </w:tc>
        <w:tc>
          <w:tcPr>
            <w:tcW w:w="4371" w:type="dxa"/>
          </w:tcPr>
          <w:p w14:paraId="44BBD04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w:t>
            </w:r>
          </w:p>
        </w:tc>
      </w:tr>
      <w:tr w:rsidR="00187523" w:rsidRPr="00187523" w14:paraId="115B4B6C" w14:textId="77777777" w:rsidTr="00F10FCD">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433E439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1c*</w:t>
            </w:r>
          </w:p>
        </w:tc>
        <w:tc>
          <w:tcPr>
            <w:tcW w:w="2255" w:type="dxa"/>
          </w:tcPr>
          <w:p w14:paraId="46B4B25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187523">
                <w:rPr>
                  <w:rFonts w:ascii="Calibri" w:hAnsi="Calibri" w:cs="Calibri"/>
                  <w:color w:val="000000"/>
                  <w:sz w:val="22"/>
                  <w:szCs w:val="22"/>
                </w:rPr>
                <w:t>Average Number of Workdays to</w:t>
              </w:r>
              <w:r w:rsidRPr="00187523" w:rsidDel="003E70D0">
                <w:rPr>
                  <w:rFonts w:ascii="Calibri" w:hAnsi="Calibri" w:cs="Calibri"/>
                  <w:color w:val="000000"/>
                  <w:sz w:val="22"/>
                  <w:szCs w:val="22"/>
                </w:rPr>
                <w:t xml:space="preserve"> </w:t>
              </w:r>
              <w:r w:rsidRPr="00187523">
                <w:rPr>
                  <w:rFonts w:ascii="Calibri" w:hAnsi="Calibri" w:cs="Calibri"/>
                  <w:color w:val="000000"/>
                  <w:sz w:val="22"/>
                  <w:szCs w:val="22"/>
                </w:rPr>
                <w:t xml:space="preserve">Initiate </w:t>
              </w:r>
              <w:r w:rsidRPr="00187523">
                <w:rPr>
                  <w:rFonts w:ascii="Calibri" w:hAnsi="Calibri" w:cs="Calibri"/>
                  <w:bCs/>
                  <w:color w:val="000000"/>
                  <w:sz w:val="22"/>
                  <w:szCs w:val="22"/>
                </w:rPr>
                <w:t>Serious Complaint Inspections (Federal Formula)</w:t>
              </w:r>
            </w:hyperlink>
          </w:p>
        </w:tc>
        <w:tc>
          <w:tcPr>
            <w:tcW w:w="1282" w:type="dxa"/>
          </w:tcPr>
          <w:p w14:paraId="1D2A279F"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1.37</w:t>
            </w:r>
          </w:p>
        </w:tc>
        <w:tc>
          <w:tcPr>
            <w:tcW w:w="1408" w:type="dxa"/>
          </w:tcPr>
          <w:p w14:paraId="753EAFD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N/A</w:t>
            </w:r>
          </w:p>
        </w:tc>
        <w:tc>
          <w:tcPr>
            <w:tcW w:w="4371" w:type="dxa"/>
          </w:tcPr>
          <w:p w14:paraId="00ECA3F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This measure is for informational purposes only and is not a mandated measure.</w:t>
            </w:r>
          </w:p>
        </w:tc>
      </w:tr>
      <w:tr w:rsidR="00187523" w:rsidRPr="00187523" w14:paraId="1401B704" w14:textId="77777777" w:rsidTr="00F10FCD">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7669180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1d*</w:t>
            </w:r>
          </w:p>
        </w:tc>
        <w:tc>
          <w:tcPr>
            <w:tcW w:w="2255" w:type="dxa"/>
          </w:tcPr>
          <w:p w14:paraId="38CC50F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187523">
                <w:rPr>
                  <w:rFonts w:ascii="Calibri" w:hAnsi="Calibri" w:cs="Calibri"/>
                  <w:color w:val="000000"/>
                  <w:sz w:val="22"/>
                  <w:szCs w:val="22"/>
                </w:rPr>
                <w:t xml:space="preserve">Average Number of Workdays to Initiate </w:t>
              </w:r>
              <w:r w:rsidRPr="00187523">
                <w:rPr>
                  <w:rFonts w:ascii="Calibri" w:hAnsi="Calibri" w:cs="Calibri"/>
                  <w:bCs/>
                  <w:color w:val="000000"/>
                  <w:sz w:val="22"/>
                  <w:szCs w:val="22"/>
                </w:rPr>
                <w:t>Other-than-Serious Complaint Inspections (Federal Formula)</w:t>
              </w:r>
            </w:hyperlink>
          </w:p>
        </w:tc>
        <w:tc>
          <w:tcPr>
            <w:tcW w:w="1282" w:type="dxa"/>
          </w:tcPr>
          <w:p w14:paraId="114B432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1.89</w:t>
            </w:r>
          </w:p>
        </w:tc>
        <w:tc>
          <w:tcPr>
            <w:tcW w:w="1408" w:type="dxa"/>
          </w:tcPr>
          <w:p w14:paraId="0F5B780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N/A</w:t>
            </w:r>
          </w:p>
        </w:tc>
        <w:tc>
          <w:tcPr>
            <w:tcW w:w="4371" w:type="dxa"/>
          </w:tcPr>
          <w:p w14:paraId="43183DA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This measure is for informational purposes only and is not a mandated measure.</w:t>
            </w:r>
          </w:p>
        </w:tc>
      </w:tr>
      <w:tr w:rsidR="00187523" w:rsidRPr="00187523" w14:paraId="780B2BE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20D6C04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2a</w:t>
            </w:r>
          </w:p>
        </w:tc>
        <w:tc>
          <w:tcPr>
            <w:tcW w:w="2255" w:type="dxa"/>
          </w:tcPr>
          <w:p w14:paraId="699B945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187523">
                <w:rPr>
                  <w:rFonts w:ascii="Calibri" w:hAnsi="Calibri" w:cs="Calibri"/>
                  <w:color w:val="000000"/>
                  <w:sz w:val="22"/>
                  <w:szCs w:val="22"/>
                </w:rPr>
                <w:t xml:space="preserve">Average Number of Workdays </w:t>
              </w:r>
              <w:r w:rsidRPr="00187523">
                <w:rPr>
                  <w:rFonts w:ascii="Calibri" w:hAnsi="Calibri" w:cs="Calibri"/>
                  <w:bCs/>
                  <w:color w:val="000000"/>
                  <w:sz w:val="22"/>
                  <w:szCs w:val="22"/>
                </w:rPr>
                <w:t xml:space="preserve">to Initiate Serious Complaint Investigations (State Formula) </w:t>
              </w:r>
            </w:hyperlink>
          </w:p>
        </w:tc>
        <w:tc>
          <w:tcPr>
            <w:tcW w:w="1282" w:type="dxa"/>
          </w:tcPr>
          <w:p w14:paraId="10960BE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2.19</w:t>
            </w:r>
          </w:p>
        </w:tc>
        <w:tc>
          <w:tcPr>
            <w:tcW w:w="1408" w:type="dxa"/>
          </w:tcPr>
          <w:p w14:paraId="67531E9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4</w:t>
            </w:r>
          </w:p>
        </w:tc>
        <w:tc>
          <w:tcPr>
            <w:tcW w:w="4371" w:type="dxa"/>
          </w:tcPr>
          <w:p w14:paraId="7AC87A5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w:t>
            </w:r>
          </w:p>
        </w:tc>
      </w:tr>
      <w:tr w:rsidR="00187523" w:rsidRPr="00187523" w14:paraId="22C63BD5"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5F9F5EB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2b</w:t>
            </w:r>
          </w:p>
        </w:tc>
        <w:tc>
          <w:tcPr>
            <w:tcW w:w="2255" w:type="dxa"/>
          </w:tcPr>
          <w:p w14:paraId="00021FD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187523">
                <w:rPr>
                  <w:rFonts w:ascii="Calibri" w:hAnsi="Calibri" w:cs="Calibri"/>
                  <w:color w:val="000000"/>
                  <w:sz w:val="22"/>
                  <w:szCs w:val="22"/>
                </w:rPr>
                <w:t xml:space="preserve">Average Number of Workdays </w:t>
              </w:r>
              <w:r w:rsidRPr="00187523">
                <w:rPr>
                  <w:rFonts w:ascii="Calibri" w:hAnsi="Calibri" w:cs="Calibri"/>
                  <w:bCs/>
                  <w:color w:val="000000"/>
                  <w:sz w:val="22"/>
                  <w:szCs w:val="22"/>
                </w:rPr>
                <w:t xml:space="preserve">to Initiate Other-than-Serious Complaint Investigations (State Formula) </w:t>
              </w:r>
            </w:hyperlink>
          </w:p>
        </w:tc>
        <w:tc>
          <w:tcPr>
            <w:tcW w:w="1282" w:type="dxa"/>
          </w:tcPr>
          <w:p w14:paraId="6C8CA19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2.06</w:t>
            </w:r>
          </w:p>
        </w:tc>
        <w:tc>
          <w:tcPr>
            <w:tcW w:w="1408" w:type="dxa"/>
          </w:tcPr>
          <w:p w14:paraId="6A20354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4</w:t>
            </w:r>
          </w:p>
        </w:tc>
        <w:tc>
          <w:tcPr>
            <w:tcW w:w="4371" w:type="dxa"/>
          </w:tcPr>
          <w:p w14:paraId="70A91CE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w:t>
            </w:r>
          </w:p>
        </w:tc>
      </w:tr>
      <w:tr w:rsidR="00187523" w:rsidRPr="00187523" w14:paraId="48A38FF5" w14:textId="77777777" w:rsidTr="00F10FCD">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29F22E8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2c*</w:t>
            </w:r>
          </w:p>
        </w:tc>
        <w:tc>
          <w:tcPr>
            <w:tcW w:w="2255" w:type="dxa"/>
          </w:tcPr>
          <w:p w14:paraId="4AEFA3D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187523">
                <w:rPr>
                  <w:rFonts w:ascii="Calibri" w:hAnsi="Calibri" w:cs="Calibri"/>
                  <w:color w:val="000000"/>
                  <w:sz w:val="22"/>
                  <w:szCs w:val="22"/>
                </w:rPr>
                <w:t xml:space="preserve">Average Number of Workdays to Initiate </w:t>
              </w:r>
              <w:r w:rsidRPr="00187523">
                <w:rPr>
                  <w:rFonts w:ascii="Calibri" w:hAnsi="Calibri" w:cs="Calibri"/>
                  <w:bCs/>
                  <w:color w:val="000000"/>
                  <w:sz w:val="22"/>
                  <w:szCs w:val="22"/>
                </w:rPr>
                <w:t xml:space="preserve">Serious Complaint Investigations (Federal Formula) </w:t>
              </w:r>
            </w:hyperlink>
          </w:p>
        </w:tc>
        <w:tc>
          <w:tcPr>
            <w:tcW w:w="1282" w:type="dxa"/>
          </w:tcPr>
          <w:p w14:paraId="666D752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0.81</w:t>
            </w:r>
          </w:p>
        </w:tc>
        <w:tc>
          <w:tcPr>
            <w:tcW w:w="1408" w:type="dxa"/>
          </w:tcPr>
          <w:p w14:paraId="1034314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N/A</w:t>
            </w:r>
          </w:p>
        </w:tc>
        <w:tc>
          <w:tcPr>
            <w:tcW w:w="4371" w:type="dxa"/>
          </w:tcPr>
          <w:p w14:paraId="3D53886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This measure is for informational purposes only and is not a mandated measure.</w:t>
            </w:r>
          </w:p>
        </w:tc>
      </w:tr>
      <w:tr w:rsidR="00187523" w:rsidRPr="00187523" w14:paraId="7341E354" w14:textId="77777777" w:rsidTr="00F10FCD">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45D695F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lastRenderedPageBreak/>
              <w:t>2d*</w:t>
            </w:r>
          </w:p>
        </w:tc>
        <w:tc>
          <w:tcPr>
            <w:tcW w:w="2255" w:type="dxa"/>
          </w:tcPr>
          <w:p w14:paraId="544467D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187523">
                <w:rPr>
                  <w:rFonts w:ascii="Calibri" w:hAnsi="Calibri" w:cs="Calibri"/>
                  <w:color w:val="000000"/>
                  <w:sz w:val="22"/>
                  <w:szCs w:val="22"/>
                </w:rPr>
                <w:t>Average Number of Workdays to</w:t>
              </w:r>
              <w:r w:rsidRPr="00187523">
                <w:rPr>
                  <w:rFonts w:ascii="Calibri" w:hAnsi="Calibri" w:cs="Calibri"/>
                  <w:bCs/>
                  <w:color w:val="000000"/>
                  <w:sz w:val="22"/>
                  <w:szCs w:val="22"/>
                </w:rPr>
                <w:t xml:space="preserve"> Initiate Other-than-Serious Complaint Investigations (Federal Formula)</w:t>
              </w:r>
            </w:hyperlink>
          </w:p>
        </w:tc>
        <w:tc>
          <w:tcPr>
            <w:tcW w:w="1282" w:type="dxa"/>
          </w:tcPr>
          <w:p w14:paraId="5F50A30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0.87</w:t>
            </w:r>
          </w:p>
        </w:tc>
        <w:tc>
          <w:tcPr>
            <w:tcW w:w="1408" w:type="dxa"/>
          </w:tcPr>
          <w:p w14:paraId="338A5FE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N/A</w:t>
            </w:r>
          </w:p>
        </w:tc>
        <w:tc>
          <w:tcPr>
            <w:tcW w:w="4371" w:type="dxa"/>
          </w:tcPr>
          <w:p w14:paraId="5E8D715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This measure is for informational purposes only and is not a mandated measure.</w:t>
            </w:r>
          </w:p>
        </w:tc>
      </w:tr>
      <w:tr w:rsidR="00187523" w:rsidRPr="00187523" w14:paraId="274B9FB8"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41BB0DB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3</w:t>
            </w:r>
          </w:p>
        </w:tc>
        <w:tc>
          <w:tcPr>
            <w:tcW w:w="2255" w:type="dxa"/>
          </w:tcPr>
          <w:p w14:paraId="400A1D9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3" w:history="1">
              <w:r w:rsidRPr="00187523">
                <w:rPr>
                  <w:rFonts w:ascii="Calibri" w:hAnsi="Calibri" w:cs="Calibri"/>
                  <w:color w:val="000000"/>
                  <w:sz w:val="22"/>
                  <w:szCs w:val="22"/>
                </w:rPr>
                <w:t>Percent of Imminent</w:t>
              </w:r>
              <w:r w:rsidRPr="00187523">
                <w:rPr>
                  <w:rFonts w:ascii="Calibri" w:hAnsi="Calibri" w:cs="Calibri"/>
                  <w:bCs/>
                  <w:color w:val="000000"/>
                  <w:sz w:val="22"/>
                  <w:szCs w:val="22"/>
                </w:rPr>
                <w:t xml:space="preserve"> Danger Complaints and Referrals responded to within One Workday</w:t>
              </w:r>
            </w:hyperlink>
          </w:p>
        </w:tc>
        <w:tc>
          <w:tcPr>
            <w:tcW w:w="1282" w:type="dxa"/>
          </w:tcPr>
          <w:p w14:paraId="5F1E0A3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100%</w:t>
            </w:r>
          </w:p>
        </w:tc>
        <w:tc>
          <w:tcPr>
            <w:tcW w:w="1408" w:type="dxa"/>
          </w:tcPr>
          <w:p w14:paraId="1E7AAA1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100%</w:t>
            </w:r>
          </w:p>
        </w:tc>
        <w:tc>
          <w:tcPr>
            <w:tcW w:w="4371" w:type="dxa"/>
          </w:tcPr>
          <w:p w14:paraId="62DBDA1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fixed for all State Plans.</w:t>
            </w:r>
          </w:p>
        </w:tc>
      </w:tr>
      <w:tr w:rsidR="00187523" w:rsidRPr="00187523" w14:paraId="31D32FD3"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1B3B222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4</w:t>
            </w:r>
          </w:p>
        </w:tc>
        <w:tc>
          <w:tcPr>
            <w:tcW w:w="2255" w:type="dxa"/>
          </w:tcPr>
          <w:p w14:paraId="4698D5A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4" w:history="1">
              <w:r w:rsidRPr="00187523">
                <w:rPr>
                  <w:rFonts w:ascii="Calibri" w:hAnsi="Calibri" w:cs="Calibri"/>
                  <w:color w:val="000000"/>
                  <w:sz w:val="22"/>
                  <w:szCs w:val="22"/>
                </w:rPr>
                <w:t>Number of Denials where Entry Not Obtained</w:t>
              </w:r>
            </w:hyperlink>
          </w:p>
        </w:tc>
        <w:tc>
          <w:tcPr>
            <w:tcW w:w="1282" w:type="dxa"/>
          </w:tcPr>
          <w:p w14:paraId="7049521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0</w:t>
            </w:r>
          </w:p>
        </w:tc>
        <w:tc>
          <w:tcPr>
            <w:tcW w:w="1408" w:type="dxa"/>
          </w:tcPr>
          <w:p w14:paraId="47DE2D5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0</w:t>
            </w:r>
          </w:p>
        </w:tc>
        <w:tc>
          <w:tcPr>
            <w:tcW w:w="4371" w:type="dxa"/>
          </w:tcPr>
          <w:p w14:paraId="317D5FD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fixed for all State Plans.</w:t>
            </w:r>
          </w:p>
        </w:tc>
      </w:tr>
      <w:tr w:rsidR="00187523" w:rsidRPr="00187523" w14:paraId="3D5C10BB" w14:textId="77777777" w:rsidTr="00F10FCD">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0DDE6E4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5a</w:t>
            </w:r>
          </w:p>
        </w:tc>
        <w:tc>
          <w:tcPr>
            <w:tcW w:w="2255" w:type="dxa"/>
          </w:tcPr>
          <w:p w14:paraId="293924E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5" w:history="1">
              <w:r w:rsidRPr="00187523">
                <w:rPr>
                  <w:rFonts w:ascii="Calibri" w:hAnsi="Calibri" w:cs="Calibri"/>
                  <w:color w:val="000000"/>
                  <w:sz w:val="22"/>
                  <w:szCs w:val="22"/>
                </w:rPr>
                <w:t>Average Number of Serious/Willful/Repeat Violations per Inspection with Violations</w:t>
              </w:r>
            </w:hyperlink>
          </w:p>
        </w:tc>
        <w:tc>
          <w:tcPr>
            <w:tcW w:w="1282" w:type="dxa"/>
          </w:tcPr>
          <w:p w14:paraId="1048C773"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1.97</w:t>
            </w:r>
          </w:p>
        </w:tc>
        <w:tc>
          <w:tcPr>
            <w:tcW w:w="1408" w:type="dxa"/>
          </w:tcPr>
          <w:p w14:paraId="531835FB"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187523">
              <w:rPr>
                <w:rFonts w:ascii="Calibri" w:hAnsi="Calibri" w:cs="Calibri"/>
                <w:sz w:val="22"/>
                <w:szCs w:val="22"/>
              </w:rPr>
              <w:t>- 20% of 1.72</w:t>
            </w:r>
          </w:p>
          <w:p w14:paraId="62DBC8A8"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24ADB32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36BE4B5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eastAsia="PMingLiU" w:hAnsi="Calibri" w:cs="Calibri"/>
                <w:color w:val="000000"/>
                <w:sz w:val="22"/>
                <w:szCs w:val="22"/>
              </w:rPr>
              <w:t xml:space="preserve">The further review level is based on a three-year national average.  The minimum not requiring further review is 1.38. </w:t>
            </w:r>
          </w:p>
        </w:tc>
      </w:tr>
      <w:tr w:rsidR="00187523" w:rsidRPr="00187523" w14:paraId="61137A7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0FFAB98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5b</w:t>
            </w:r>
          </w:p>
        </w:tc>
        <w:tc>
          <w:tcPr>
            <w:tcW w:w="2255" w:type="dxa"/>
          </w:tcPr>
          <w:p w14:paraId="20ABBFC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5" w:history="1">
              <w:r w:rsidRPr="00187523">
                <w:rPr>
                  <w:rFonts w:ascii="Calibri" w:hAnsi="Calibri" w:cs="Calibri"/>
                  <w:color w:val="000000"/>
                  <w:sz w:val="22"/>
                  <w:szCs w:val="22"/>
                </w:rPr>
                <w:t>Average Number of Other-than-Serious Violations per Inspection with Violations</w:t>
              </w:r>
            </w:hyperlink>
          </w:p>
        </w:tc>
        <w:tc>
          <w:tcPr>
            <w:tcW w:w="1282" w:type="dxa"/>
          </w:tcPr>
          <w:p w14:paraId="77E9831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0.92</w:t>
            </w:r>
          </w:p>
        </w:tc>
        <w:tc>
          <w:tcPr>
            <w:tcW w:w="1408" w:type="dxa"/>
          </w:tcPr>
          <w:p w14:paraId="545814D3"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187523">
              <w:rPr>
                <w:rFonts w:ascii="Calibri" w:hAnsi="Calibri" w:cs="Calibri"/>
                <w:sz w:val="22"/>
                <w:szCs w:val="22"/>
              </w:rPr>
              <w:t>- 20% of 0.95</w:t>
            </w:r>
          </w:p>
          <w:p w14:paraId="5223D77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40DD0E3"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eastAsia="PMingLiU" w:hAnsi="Calibri" w:cs="Calibri"/>
                <w:color w:val="000000"/>
                <w:sz w:val="22"/>
                <w:szCs w:val="22"/>
              </w:rPr>
              <w:t>The further review level is based on a three-year national average.  The minimum not requiring further review is 0.76.</w:t>
            </w:r>
          </w:p>
        </w:tc>
      </w:tr>
      <w:tr w:rsidR="00187523" w:rsidRPr="00187523" w14:paraId="13B6379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434D230F"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6</w:t>
            </w:r>
          </w:p>
        </w:tc>
        <w:tc>
          <w:tcPr>
            <w:tcW w:w="2255" w:type="dxa"/>
          </w:tcPr>
          <w:p w14:paraId="0146C06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 xml:space="preserve">Percent of Total inspections in State and Local Government </w:t>
            </w:r>
          </w:p>
        </w:tc>
        <w:tc>
          <w:tcPr>
            <w:tcW w:w="1282" w:type="dxa"/>
          </w:tcPr>
          <w:p w14:paraId="125013F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4.35%</w:t>
            </w:r>
          </w:p>
        </w:tc>
        <w:tc>
          <w:tcPr>
            <w:tcW w:w="1408" w:type="dxa"/>
          </w:tcPr>
          <w:p w14:paraId="251B0828"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w:t>
            </w:r>
          </w:p>
          <w:p w14:paraId="1914BD9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Grant 5.00%</w:t>
            </w:r>
          </w:p>
        </w:tc>
        <w:tc>
          <w:tcPr>
            <w:tcW w:w="4371" w:type="dxa"/>
          </w:tcPr>
          <w:p w14:paraId="4BB9030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eastAsia="PMingLiU" w:hAnsi="Calibri" w:cs="Calibri"/>
                <w:color w:val="000000"/>
                <w:sz w:val="22"/>
                <w:szCs w:val="22"/>
              </w:rPr>
              <w:t>The further review level is based on a number negotiated by OSHA and the State Plan through the grant application.  The minimum not requiring further review is 4.00%.</w:t>
            </w:r>
          </w:p>
        </w:tc>
      </w:tr>
      <w:tr w:rsidR="00187523" w:rsidRPr="00187523" w14:paraId="3390D73C"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507E75D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7a</w:t>
            </w:r>
          </w:p>
        </w:tc>
        <w:tc>
          <w:tcPr>
            <w:tcW w:w="2255" w:type="dxa"/>
          </w:tcPr>
          <w:p w14:paraId="1E7A98FC"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7" w:history="1">
              <w:r w:rsidRPr="00187523">
                <w:rPr>
                  <w:rFonts w:ascii="Calibri" w:hAnsi="Calibri" w:cs="Calibri"/>
                  <w:color w:val="000000"/>
                  <w:sz w:val="22"/>
                  <w:szCs w:val="22"/>
                </w:rPr>
                <w:t>Number of Safety Inspections</w:t>
              </w:r>
            </w:hyperlink>
          </w:p>
        </w:tc>
        <w:tc>
          <w:tcPr>
            <w:tcW w:w="1282" w:type="dxa"/>
          </w:tcPr>
          <w:p w14:paraId="604BCF0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1,003</w:t>
            </w:r>
          </w:p>
        </w:tc>
        <w:tc>
          <w:tcPr>
            <w:tcW w:w="1408" w:type="dxa"/>
          </w:tcPr>
          <w:p w14:paraId="5751B3A1"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- 20% of </w:t>
            </w:r>
          </w:p>
          <w:p w14:paraId="746505E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Grant 1,080</w:t>
            </w:r>
          </w:p>
        </w:tc>
        <w:tc>
          <w:tcPr>
            <w:tcW w:w="4371" w:type="dxa"/>
          </w:tcPr>
          <w:p w14:paraId="62A01D4C"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hAnsi="Calibri" w:cs="Calibri"/>
                <w:color w:val="000000"/>
                <w:sz w:val="22"/>
                <w:szCs w:val="22"/>
              </w:rPr>
              <w:t xml:space="preserve">The further review level is based on a number negotiated by OSHA and the State Plan through the grant application.  </w:t>
            </w:r>
            <w:r w:rsidRPr="00187523">
              <w:rPr>
                <w:rFonts w:ascii="Calibri" w:eastAsia="PMingLiU" w:hAnsi="Calibri" w:cs="Calibri"/>
                <w:color w:val="000000"/>
                <w:sz w:val="22"/>
                <w:szCs w:val="22"/>
              </w:rPr>
              <w:t>The minimum not requiring further review is 864.</w:t>
            </w:r>
          </w:p>
        </w:tc>
      </w:tr>
      <w:tr w:rsidR="00187523" w:rsidRPr="00187523" w14:paraId="7C5A89E2"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569DDE7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7b</w:t>
            </w:r>
          </w:p>
        </w:tc>
        <w:tc>
          <w:tcPr>
            <w:tcW w:w="2255" w:type="dxa"/>
          </w:tcPr>
          <w:p w14:paraId="016CEBA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7" w:history="1">
              <w:r w:rsidRPr="00187523">
                <w:rPr>
                  <w:rFonts w:ascii="Calibri" w:hAnsi="Calibri" w:cs="Calibri"/>
                  <w:color w:val="000000"/>
                  <w:sz w:val="22"/>
                  <w:szCs w:val="22"/>
                </w:rPr>
                <w:t>Number of Health Inspections</w:t>
              </w:r>
            </w:hyperlink>
          </w:p>
        </w:tc>
        <w:tc>
          <w:tcPr>
            <w:tcW w:w="1282" w:type="dxa"/>
          </w:tcPr>
          <w:p w14:paraId="4A9A214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584</w:t>
            </w:r>
          </w:p>
        </w:tc>
        <w:tc>
          <w:tcPr>
            <w:tcW w:w="1408" w:type="dxa"/>
          </w:tcPr>
          <w:p w14:paraId="15FB0A3E"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- 20% of </w:t>
            </w:r>
          </w:p>
          <w:p w14:paraId="5AC4B7F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Grant 620</w:t>
            </w:r>
          </w:p>
        </w:tc>
        <w:tc>
          <w:tcPr>
            <w:tcW w:w="4371" w:type="dxa"/>
          </w:tcPr>
          <w:p w14:paraId="47D2C84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hAnsi="Calibri" w:cs="Calibri"/>
                <w:color w:val="000000"/>
                <w:sz w:val="22"/>
                <w:szCs w:val="22"/>
              </w:rPr>
              <w:t xml:space="preserve">The further review level is based on a number negotiated by OSHA and the State Plan through the grant application.  </w:t>
            </w:r>
            <w:r w:rsidRPr="00187523">
              <w:rPr>
                <w:rFonts w:ascii="Calibri" w:eastAsia="PMingLiU" w:hAnsi="Calibri" w:cs="Calibri"/>
                <w:color w:val="000000"/>
                <w:sz w:val="22"/>
                <w:szCs w:val="22"/>
              </w:rPr>
              <w:t>The minimum not requiring further review is 496.</w:t>
            </w:r>
          </w:p>
        </w:tc>
      </w:tr>
      <w:tr w:rsidR="00187523" w:rsidRPr="00187523" w14:paraId="3B582CF4"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38689C7C"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8a</w:t>
            </w:r>
          </w:p>
        </w:tc>
        <w:tc>
          <w:tcPr>
            <w:tcW w:w="2255" w:type="dxa"/>
          </w:tcPr>
          <w:p w14:paraId="204824C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8" w:history="1">
              <w:r w:rsidRPr="00187523">
                <w:rPr>
                  <w:rFonts w:ascii="Calibri" w:hAnsi="Calibri" w:cs="Calibri"/>
                  <w:color w:val="000000"/>
                  <w:sz w:val="22"/>
                  <w:szCs w:val="22"/>
                </w:rPr>
                <w:t>Average Current Penalty per Private Sector Serious Violation Total (1 to greater than 250 workers)</w:t>
              </w:r>
            </w:hyperlink>
          </w:p>
        </w:tc>
        <w:tc>
          <w:tcPr>
            <w:tcW w:w="1282" w:type="dxa"/>
          </w:tcPr>
          <w:p w14:paraId="0AB7B71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$2,972.05</w:t>
            </w:r>
          </w:p>
        </w:tc>
        <w:tc>
          <w:tcPr>
            <w:tcW w:w="1408" w:type="dxa"/>
          </w:tcPr>
          <w:p w14:paraId="44F6D9AC"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- 25% of </w:t>
            </w:r>
          </w:p>
          <w:p w14:paraId="4D0974CC"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r w:rsidRPr="00187523">
              <w:rPr>
                <w:rFonts w:ascii="Calibri" w:eastAsia="PMingLiU" w:hAnsi="Calibri" w:cs="Calibri"/>
                <w:sz w:val="22"/>
                <w:szCs w:val="22"/>
              </w:rPr>
              <w:t>$3,926.69</w:t>
            </w:r>
          </w:p>
          <w:p w14:paraId="7ED2A3B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1E00CCE" w14:textId="77777777" w:rsidR="00187523" w:rsidRPr="00187523" w:rsidRDefault="00187523" w:rsidP="00187523">
            <w:pPr>
              <w:tabs>
                <w:tab w:val="left" w:pos="241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187523">
              <w:rPr>
                <w:rFonts w:ascii="Calibri" w:hAnsi="Calibri" w:cs="Calibri"/>
                <w:color w:val="000000"/>
                <w:sz w:val="22"/>
                <w:szCs w:val="22"/>
              </w:rPr>
              <w:t>The further review level is based on a three-year national average.  The minimum not requiring further review is $2,945.02.</w:t>
            </w:r>
          </w:p>
        </w:tc>
      </w:tr>
      <w:tr w:rsidR="00187523" w:rsidRPr="00187523" w14:paraId="55A940A5"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40C158B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lastRenderedPageBreak/>
              <w:t>8b</w:t>
            </w:r>
          </w:p>
        </w:tc>
        <w:tc>
          <w:tcPr>
            <w:tcW w:w="2255" w:type="dxa"/>
          </w:tcPr>
          <w:p w14:paraId="5474662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187523">
                <w:rPr>
                  <w:rFonts w:ascii="Calibri" w:hAnsi="Calibri" w:cs="Calibri"/>
                  <w:color w:val="000000"/>
                  <w:sz w:val="22"/>
                  <w:szCs w:val="22"/>
                </w:rPr>
                <w:t>Average Current Penalty per Private Sector Serious Violation (1 – 25 workers)</w:t>
              </w:r>
            </w:hyperlink>
          </w:p>
        </w:tc>
        <w:tc>
          <w:tcPr>
            <w:tcW w:w="1282" w:type="dxa"/>
          </w:tcPr>
          <w:p w14:paraId="107FB69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$1,951.00</w:t>
            </w:r>
          </w:p>
        </w:tc>
        <w:tc>
          <w:tcPr>
            <w:tcW w:w="1408" w:type="dxa"/>
          </w:tcPr>
          <w:p w14:paraId="0E8BAEB2"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- 25% of </w:t>
            </w:r>
          </w:p>
          <w:p w14:paraId="1FB9AA39"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187523">
              <w:rPr>
                <w:rFonts w:ascii="Calibri" w:hAnsi="Calibri" w:cs="Calibri"/>
                <w:sz w:val="22"/>
                <w:szCs w:val="22"/>
              </w:rPr>
              <w:t>$2,602.76</w:t>
            </w:r>
          </w:p>
          <w:p w14:paraId="30C4121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CF6DDD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color w:val="000000"/>
                <w:sz w:val="22"/>
                <w:szCs w:val="22"/>
              </w:rPr>
              <w:t xml:space="preserve">The further review level is based on a three-year national average.  The minimum not requiring further review is $1,952.07. </w:t>
            </w:r>
          </w:p>
        </w:tc>
      </w:tr>
      <w:tr w:rsidR="00187523" w:rsidRPr="00187523" w14:paraId="2B9041D5"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5921D4F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8c</w:t>
            </w:r>
          </w:p>
        </w:tc>
        <w:tc>
          <w:tcPr>
            <w:tcW w:w="2255" w:type="dxa"/>
          </w:tcPr>
          <w:p w14:paraId="01F46F43"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c" w:history="1">
              <w:r w:rsidRPr="00187523">
                <w:rPr>
                  <w:rFonts w:ascii="Calibri" w:hAnsi="Calibri" w:cs="Calibri"/>
                  <w:color w:val="000000"/>
                  <w:sz w:val="22"/>
                  <w:szCs w:val="22"/>
                </w:rPr>
                <w:t>Average Current Penalty per Private Sector Serious Violation (26 – 100 workers)</w:t>
              </w:r>
            </w:hyperlink>
          </w:p>
        </w:tc>
        <w:tc>
          <w:tcPr>
            <w:tcW w:w="1282" w:type="dxa"/>
          </w:tcPr>
          <w:p w14:paraId="195D1B2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$3,447.43</w:t>
            </w:r>
          </w:p>
        </w:tc>
        <w:tc>
          <w:tcPr>
            <w:tcW w:w="1408" w:type="dxa"/>
          </w:tcPr>
          <w:p w14:paraId="23E7A1C1"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- 25% of </w:t>
            </w:r>
          </w:p>
          <w:p w14:paraId="083539E4"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187523">
              <w:rPr>
                <w:rFonts w:ascii="Calibri" w:hAnsi="Calibri" w:cs="Calibri"/>
                <w:sz w:val="22"/>
                <w:szCs w:val="22"/>
              </w:rPr>
              <w:t>$4,443.40</w:t>
            </w:r>
          </w:p>
          <w:p w14:paraId="7CFA8BF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32D835AF"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hAnsi="Calibri" w:cs="Calibri"/>
                <w:color w:val="000000"/>
                <w:sz w:val="22"/>
                <w:szCs w:val="22"/>
              </w:rPr>
              <w:t>The further review level is based on a three-year national average.  The minimum not requiring further review is $3,332.55.</w:t>
            </w:r>
          </w:p>
        </w:tc>
      </w:tr>
      <w:tr w:rsidR="00187523" w:rsidRPr="00187523" w14:paraId="2FE4AD3A"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583A584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8d</w:t>
            </w:r>
          </w:p>
        </w:tc>
        <w:tc>
          <w:tcPr>
            <w:tcW w:w="2255" w:type="dxa"/>
          </w:tcPr>
          <w:p w14:paraId="5158813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d" w:history="1">
              <w:r w:rsidRPr="00187523">
                <w:rPr>
                  <w:rFonts w:ascii="Calibri" w:hAnsi="Calibri" w:cs="Calibri"/>
                  <w:color w:val="000000"/>
                  <w:sz w:val="22"/>
                  <w:szCs w:val="22"/>
                </w:rPr>
                <w:t>Average Current Penalty per Private Sector Serious Violation (101 – 250 workers)</w:t>
              </w:r>
            </w:hyperlink>
          </w:p>
        </w:tc>
        <w:tc>
          <w:tcPr>
            <w:tcW w:w="1282" w:type="dxa"/>
          </w:tcPr>
          <w:p w14:paraId="4B61FF6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$5,158.34</w:t>
            </w:r>
          </w:p>
        </w:tc>
        <w:tc>
          <w:tcPr>
            <w:tcW w:w="1408" w:type="dxa"/>
          </w:tcPr>
          <w:p w14:paraId="098F3BBB"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- 25% of </w:t>
            </w:r>
          </w:p>
          <w:p w14:paraId="56F32257"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187523">
              <w:rPr>
                <w:rFonts w:ascii="Calibri" w:hAnsi="Calibri" w:cs="Calibri"/>
                <w:sz w:val="22"/>
                <w:szCs w:val="22"/>
              </w:rPr>
              <w:t>$6,330.65</w:t>
            </w:r>
          </w:p>
          <w:p w14:paraId="4879404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EA44B2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hAnsi="Calibri" w:cs="Calibri"/>
                <w:color w:val="000000"/>
                <w:sz w:val="22"/>
                <w:szCs w:val="22"/>
              </w:rPr>
              <w:t>The further review level is based on a three-year national average.  The minimum not requiring further review is $4,747.99.</w:t>
            </w:r>
          </w:p>
        </w:tc>
      </w:tr>
      <w:tr w:rsidR="00187523" w:rsidRPr="00187523" w14:paraId="52DC1D90"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72D6669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8e</w:t>
            </w:r>
          </w:p>
        </w:tc>
        <w:tc>
          <w:tcPr>
            <w:tcW w:w="2255" w:type="dxa"/>
          </w:tcPr>
          <w:p w14:paraId="262B2EA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187523">
                <w:rPr>
                  <w:rFonts w:ascii="Calibri" w:hAnsi="Calibri" w:cs="Calibri"/>
                  <w:color w:val="000000"/>
                  <w:sz w:val="22"/>
                  <w:szCs w:val="22"/>
                </w:rPr>
                <w:t>Average Current Penalty per Private Sector Serious Violation (greater than 250 workers)</w:t>
              </w:r>
            </w:hyperlink>
          </w:p>
        </w:tc>
        <w:tc>
          <w:tcPr>
            <w:tcW w:w="1282" w:type="dxa"/>
          </w:tcPr>
          <w:p w14:paraId="61A9E80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$8,498.31</w:t>
            </w:r>
          </w:p>
        </w:tc>
        <w:tc>
          <w:tcPr>
            <w:tcW w:w="1408" w:type="dxa"/>
          </w:tcPr>
          <w:p w14:paraId="4E373E31"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xml:space="preserve">- 25% of </w:t>
            </w:r>
          </w:p>
          <w:p w14:paraId="3859BBFD"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$7,873.27</w:t>
            </w:r>
          </w:p>
          <w:p w14:paraId="658D98BF"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429CE4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187523">
              <w:rPr>
                <w:rFonts w:ascii="Calibri" w:hAnsi="Calibri" w:cs="Calibri"/>
                <w:color w:val="000000"/>
                <w:sz w:val="22"/>
                <w:szCs w:val="22"/>
              </w:rPr>
              <w:t>The further review level is based on a three-year national average.  The minimum not requiring further review is $5,904.95.</w:t>
            </w:r>
          </w:p>
        </w:tc>
      </w:tr>
      <w:tr w:rsidR="00187523" w:rsidRPr="00187523" w14:paraId="49C27375"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616702F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9a</w:t>
            </w:r>
          </w:p>
        </w:tc>
        <w:tc>
          <w:tcPr>
            <w:tcW w:w="2255" w:type="dxa"/>
          </w:tcPr>
          <w:p w14:paraId="47EA906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187523">
                <w:rPr>
                  <w:rFonts w:ascii="Calibri" w:hAnsi="Calibri" w:cs="Calibri"/>
                  <w:color w:val="000000"/>
                  <w:sz w:val="22"/>
                  <w:szCs w:val="22"/>
                </w:rPr>
                <w:t>Percent In-Compliance Programmed Safety</w:t>
              </w:r>
            </w:hyperlink>
          </w:p>
        </w:tc>
        <w:tc>
          <w:tcPr>
            <w:tcW w:w="1282" w:type="dxa"/>
          </w:tcPr>
          <w:p w14:paraId="0CB2C03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39.50%</w:t>
            </w:r>
          </w:p>
        </w:tc>
        <w:tc>
          <w:tcPr>
            <w:tcW w:w="1408" w:type="dxa"/>
          </w:tcPr>
          <w:p w14:paraId="40850766"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30.44%</w:t>
            </w:r>
          </w:p>
          <w:p w14:paraId="4A79B2D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p>
        </w:tc>
        <w:tc>
          <w:tcPr>
            <w:tcW w:w="4371" w:type="dxa"/>
          </w:tcPr>
          <w:p w14:paraId="39CEB35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based on a three-year national average.  The minimum not requiring further review is 36.53%.</w:t>
            </w:r>
          </w:p>
        </w:tc>
      </w:tr>
      <w:tr w:rsidR="00187523" w:rsidRPr="00187523" w14:paraId="6B09ECF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43D4367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9b</w:t>
            </w:r>
          </w:p>
        </w:tc>
        <w:tc>
          <w:tcPr>
            <w:tcW w:w="2255" w:type="dxa"/>
          </w:tcPr>
          <w:p w14:paraId="3F39F00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187523">
                <w:rPr>
                  <w:rFonts w:ascii="Calibri" w:hAnsi="Calibri" w:cs="Calibri"/>
                  <w:bCs/>
                  <w:color w:val="000000"/>
                  <w:sz w:val="22"/>
                  <w:szCs w:val="22"/>
                </w:rPr>
                <w:t>Percent In-Compliance Unprogrammed Safety</w:t>
              </w:r>
            </w:hyperlink>
          </w:p>
        </w:tc>
        <w:tc>
          <w:tcPr>
            <w:tcW w:w="1282" w:type="dxa"/>
          </w:tcPr>
          <w:p w14:paraId="2CB95DD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40.80%</w:t>
            </w:r>
          </w:p>
        </w:tc>
        <w:tc>
          <w:tcPr>
            <w:tcW w:w="1408" w:type="dxa"/>
          </w:tcPr>
          <w:p w14:paraId="5E519DCD"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38.03%</w:t>
            </w:r>
          </w:p>
          <w:p w14:paraId="7C1FB11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6DA981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based on a three-year national average.  The minimum not requiring further review is 45.64%.</w:t>
            </w:r>
          </w:p>
        </w:tc>
      </w:tr>
      <w:tr w:rsidR="00187523" w:rsidRPr="00187523" w14:paraId="1ABE9D61"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76D3CF0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9c</w:t>
            </w:r>
          </w:p>
        </w:tc>
        <w:tc>
          <w:tcPr>
            <w:tcW w:w="2255" w:type="dxa"/>
          </w:tcPr>
          <w:p w14:paraId="36BA854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187523">
                <w:rPr>
                  <w:rFonts w:ascii="Calibri" w:hAnsi="Calibri" w:cs="Calibri"/>
                  <w:bCs/>
                  <w:color w:val="000000"/>
                  <w:sz w:val="22"/>
                  <w:szCs w:val="22"/>
                </w:rPr>
                <w:t>Percent In-Compliance Programmed Health</w:t>
              </w:r>
            </w:hyperlink>
          </w:p>
        </w:tc>
        <w:tc>
          <w:tcPr>
            <w:tcW w:w="1282" w:type="dxa"/>
          </w:tcPr>
          <w:p w14:paraId="2C97DC1F"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25.96%</w:t>
            </w:r>
          </w:p>
        </w:tc>
        <w:tc>
          <w:tcPr>
            <w:tcW w:w="1408" w:type="dxa"/>
          </w:tcPr>
          <w:p w14:paraId="58E4573E"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w:t>
            </w:r>
          </w:p>
          <w:p w14:paraId="4AF3D863"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43.40%</w:t>
            </w:r>
          </w:p>
        </w:tc>
        <w:tc>
          <w:tcPr>
            <w:tcW w:w="4371" w:type="dxa"/>
          </w:tcPr>
          <w:p w14:paraId="07C1394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The further review level is based on a three-year national average.  The minimum not requiring further review is 52.08%.</w:t>
            </w:r>
          </w:p>
        </w:tc>
      </w:tr>
      <w:tr w:rsidR="00187523" w:rsidRPr="00187523" w14:paraId="75B12AC2" w14:textId="77777777" w:rsidTr="00F10FCD">
        <w:trPr>
          <w:cantSplit/>
        </w:trPr>
        <w:tc>
          <w:tcPr>
            <w:cnfStyle w:val="001000000000" w:firstRow="0" w:lastRow="0" w:firstColumn="1" w:lastColumn="0" w:oddVBand="0" w:evenVBand="0" w:oddHBand="0" w:evenHBand="0" w:firstRowFirstColumn="0" w:firstRowLastColumn="0" w:lastRowFirstColumn="0" w:lastRowLastColumn="0"/>
            <w:tcW w:w="1034" w:type="dxa"/>
          </w:tcPr>
          <w:p w14:paraId="1DA8442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9d</w:t>
            </w:r>
          </w:p>
        </w:tc>
        <w:tc>
          <w:tcPr>
            <w:tcW w:w="2255" w:type="dxa"/>
          </w:tcPr>
          <w:p w14:paraId="5B4AF1D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9" w:history="1">
              <w:r w:rsidRPr="00187523">
                <w:rPr>
                  <w:rFonts w:ascii="Calibri" w:hAnsi="Calibri" w:cs="Calibri"/>
                  <w:bCs/>
                  <w:color w:val="000000"/>
                  <w:sz w:val="22"/>
                  <w:szCs w:val="22"/>
                </w:rPr>
                <w:t>Percent In-Compliance Unprogrammed Health</w:t>
              </w:r>
            </w:hyperlink>
          </w:p>
          <w:p w14:paraId="652DB4D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257FFBEB"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41.21%</w:t>
            </w:r>
          </w:p>
        </w:tc>
        <w:tc>
          <w:tcPr>
            <w:tcW w:w="1408" w:type="dxa"/>
          </w:tcPr>
          <w:p w14:paraId="39F02F5A"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w:t>
            </w:r>
          </w:p>
          <w:p w14:paraId="4E556663"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43.63%</w:t>
            </w:r>
          </w:p>
          <w:p w14:paraId="3D45C3E0"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4371" w:type="dxa"/>
          </w:tcPr>
          <w:p w14:paraId="38782F0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The further review level is based on a three-year national average.  The minimum not requiring further review is 52.35%.</w:t>
            </w:r>
          </w:p>
        </w:tc>
      </w:tr>
      <w:tr w:rsidR="00187523" w:rsidRPr="00187523" w14:paraId="0330076C" w14:textId="77777777" w:rsidTr="00F10FCD">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28C2410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10</w:t>
            </w:r>
          </w:p>
        </w:tc>
        <w:tc>
          <w:tcPr>
            <w:tcW w:w="2255" w:type="dxa"/>
          </w:tcPr>
          <w:p w14:paraId="3F464AD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0" w:history="1">
              <w:r w:rsidRPr="00187523">
                <w:rPr>
                  <w:rFonts w:ascii="Calibri" w:hAnsi="Calibri" w:cs="Calibri"/>
                  <w:color w:val="000000"/>
                  <w:sz w:val="22"/>
                  <w:szCs w:val="22"/>
                </w:rPr>
                <w:t xml:space="preserve">Percent of </w:t>
              </w:r>
              <w:r w:rsidRPr="00187523">
                <w:rPr>
                  <w:rFonts w:ascii="Calibri" w:hAnsi="Calibri" w:cs="Calibri"/>
                  <w:bCs/>
                  <w:color w:val="000000"/>
                  <w:sz w:val="22"/>
                  <w:szCs w:val="22"/>
                </w:rPr>
                <w:t>Work-related Fatalities Responded to in One Workday</w:t>
              </w:r>
            </w:hyperlink>
          </w:p>
          <w:p w14:paraId="06B20003"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75B727C3"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100%</w:t>
            </w:r>
          </w:p>
        </w:tc>
        <w:tc>
          <w:tcPr>
            <w:tcW w:w="1408" w:type="dxa"/>
          </w:tcPr>
          <w:p w14:paraId="0E7D584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100%</w:t>
            </w:r>
          </w:p>
        </w:tc>
        <w:tc>
          <w:tcPr>
            <w:tcW w:w="4371" w:type="dxa"/>
          </w:tcPr>
          <w:p w14:paraId="79B0801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fixed for all State Plans.</w:t>
            </w:r>
          </w:p>
        </w:tc>
      </w:tr>
      <w:tr w:rsidR="00187523" w:rsidRPr="00187523" w14:paraId="1870E199"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64996BE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11a</w:t>
            </w:r>
          </w:p>
        </w:tc>
        <w:tc>
          <w:tcPr>
            <w:tcW w:w="2255" w:type="dxa"/>
          </w:tcPr>
          <w:p w14:paraId="6CCDB3E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187523">
                <w:rPr>
                  <w:rFonts w:ascii="Calibri" w:hAnsi="Calibri" w:cs="Calibri"/>
                  <w:color w:val="000000"/>
                  <w:sz w:val="22"/>
                  <w:szCs w:val="22"/>
                </w:rPr>
                <w:t>Average Safety Lapse Time</w:t>
              </w:r>
            </w:hyperlink>
          </w:p>
        </w:tc>
        <w:tc>
          <w:tcPr>
            <w:tcW w:w="1282" w:type="dxa"/>
          </w:tcPr>
          <w:p w14:paraId="2A7B386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56.19</w:t>
            </w:r>
          </w:p>
        </w:tc>
        <w:tc>
          <w:tcPr>
            <w:tcW w:w="1408" w:type="dxa"/>
          </w:tcPr>
          <w:p w14:paraId="542F8396"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56.29</w:t>
            </w:r>
          </w:p>
          <w:p w14:paraId="3DD7E5D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1E9A16F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The further review level is based on a three-year national average.  The minimum not requiring further review is 67.54.</w:t>
            </w:r>
          </w:p>
        </w:tc>
      </w:tr>
      <w:tr w:rsidR="00187523" w:rsidRPr="00187523" w14:paraId="6400669F"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3D8B5D7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11b</w:t>
            </w:r>
          </w:p>
        </w:tc>
        <w:tc>
          <w:tcPr>
            <w:tcW w:w="2255" w:type="dxa"/>
          </w:tcPr>
          <w:p w14:paraId="268D382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187523">
                <w:rPr>
                  <w:rFonts w:ascii="Calibri" w:hAnsi="Calibri" w:cs="Calibri"/>
                  <w:color w:val="000000"/>
                  <w:sz w:val="22"/>
                  <w:szCs w:val="22"/>
                </w:rPr>
                <w:t>Average Health Lapse Time</w:t>
              </w:r>
            </w:hyperlink>
          </w:p>
        </w:tc>
        <w:tc>
          <w:tcPr>
            <w:tcW w:w="1282" w:type="dxa"/>
          </w:tcPr>
          <w:p w14:paraId="12B02A8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64.19</w:t>
            </w:r>
          </w:p>
        </w:tc>
        <w:tc>
          <w:tcPr>
            <w:tcW w:w="1408" w:type="dxa"/>
          </w:tcPr>
          <w:p w14:paraId="0B5C4846"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67.00</w:t>
            </w:r>
          </w:p>
          <w:p w14:paraId="6E4D66F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2A74F5A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based on a three-year national average.  The minimum not requiring further review is 80.40.</w:t>
            </w:r>
          </w:p>
        </w:tc>
      </w:tr>
      <w:tr w:rsidR="00187523" w:rsidRPr="00187523" w14:paraId="10CED8B4"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7E6DDDF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lastRenderedPageBreak/>
              <w:t>12</w:t>
            </w:r>
          </w:p>
        </w:tc>
        <w:tc>
          <w:tcPr>
            <w:tcW w:w="2255" w:type="dxa"/>
          </w:tcPr>
          <w:p w14:paraId="57EA394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Percent Penalty Retained</w:t>
            </w:r>
          </w:p>
        </w:tc>
        <w:tc>
          <w:tcPr>
            <w:tcW w:w="1282" w:type="dxa"/>
          </w:tcPr>
          <w:p w14:paraId="4FA366A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82.63%</w:t>
            </w:r>
          </w:p>
        </w:tc>
        <w:tc>
          <w:tcPr>
            <w:tcW w:w="1408" w:type="dxa"/>
          </w:tcPr>
          <w:p w14:paraId="4AA6E28C"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70.58%</w:t>
            </w:r>
          </w:p>
          <w:p w14:paraId="7F4DFDA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E0A00D5"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based on a three-year national average.  The minimum not requiring further review is 56.47%.</w:t>
            </w:r>
          </w:p>
        </w:tc>
      </w:tr>
      <w:tr w:rsidR="00187523" w:rsidRPr="00187523" w14:paraId="1E199FAC"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6A5C2577"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13</w:t>
            </w:r>
          </w:p>
        </w:tc>
        <w:tc>
          <w:tcPr>
            <w:tcW w:w="2255" w:type="dxa"/>
          </w:tcPr>
          <w:p w14:paraId="6C16294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3" w:history="1">
              <w:r w:rsidRPr="00187523">
                <w:rPr>
                  <w:rFonts w:ascii="Calibri" w:hAnsi="Calibri" w:cs="Calibri"/>
                  <w:color w:val="000000"/>
                  <w:sz w:val="22"/>
                  <w:szCs w:val="22"/>
                </w:rPr>
                <w:t>Percent of Initial Inspections with Employee Walk Around Representation or Employee Interview</w:t>
              </w:r>
            </w:hyperlink>
          </w:p>
        </w:tc>
        <w:tc>
          <w:tcPr>
            <w:tcW w:w="1282" w:type="dxa"/>
          </w:tcPr>
          <w:p w14:paraId="293AB44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100%</w:t>
            </w:r>
          </w:p>
        </w:tc>
        <w:tc>
          <w:tcPr>
            <w:tcW w:w="1408" w:type="dxa"/>
          </w:tcPr>
          <w:p w14:paraId="4C23E5A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100%</w:t>
            </w:r>
          </w:p>
        </w:tc>
        <w:tc>
          <w:tcPr>
            <w:tcW w:w="4371" w:type="dxa"/>
          </w:tcPr>
          <w:p w14:paraId="182D54C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fixed for all State Plans.</w:t>
            </w:r>
          </w:p>
        </w:tc>
      </w:tr>
      <w:tr w:rsidR="00187523" w:rsidRPr="00187523" w14:paraId="08E031C7"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580F535D"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14</w:t>
            </w:r>
          </w:p>
        </w:tc>
        <w:tc>
          <w:tcPr>
            <w:tcW w:w="2255" w:type="dxa"/>
          </w:tcPr>
          <w:p w14:paraId="5EFDF45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4" w:history="1">
              <w:r w:rsidRPr="00187523">
                <w:rPr>
                  <w:rFonts w:ascii="Calibri" w:hAnsi="Calibri" w:cs="Calibri"/>
                  <w:color w:val="000000"/>
                  <w:sz w:val="22"/>
                  <w:szCs w:val="22"/>
                </w:rPr>
                <w:t>Average Number of Days 11(c) Investigation Pending</w:t>
              </w:r>
            </w:hyperlink>
          </w:p>
        </w:tc>
        <w:tc>
          <w:tcPr>
            <w:tcW w:w="1282" w:type="dxa"/>
          </w:tcPr>
          <w:p w14:paraId="4F94B55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282.56</w:t>
            </w:r>
          </w:p>
        </w:tc>
        <w:tc>
          <w:tcPr>
            <w:tcW w:w="1408" w:type="dxa"/>
          </w:tcPr>
          <w:p w14:paraId="16FD490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270</w:t>
            </w:r>
          </w:p>
        </w:tc>
        <w:tc>
          <w:tcPr>
            <w:tcW w:w="4371" w:type="dxa"/>
          </w:tcPr>
          <w:p w14:paraId="0DE798DE"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w:t>
            </w:r>
          </w:p>
        </w:tc>
      </w:tr>
      <w:tr w:rsidR="00187523" w:rsidRPr="00187523" w14:paraId="453A3EC5"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1BE24A74"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15</w:t>
            </w:r>
          </w:p>
        </w:tc>
        <w:tc>
          <w:tcPr>
            <w:tcW w:w="2255" w:type="dxa"/>
          </w:tcPr>
          <w:p w14:paraId="534F0F9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5" w:history="1">
              <w:r w:rsidRPr="00187523">
                <w:rPr>
                  <w:rFonts w:ascii="Calibri" w:hAnsi="Calibri" w:cs="Calibri"/>
                  <w:color w:val="000000"/>
                  <w:sz w:val="22"/>
                  <w:szCs w:val="22"/>
                </w:rPr>
                <w:t>Percent of 11(c) Cases Pending Investigation Over 90 Days</w:t>
              </w:r>
            </w:hyperlink>
          </w:p>
        </w:tc>
        <w:tc>
          <w:tcPr>
            <w:tcW w:w="1282" w:type="dxa"/>
          </w:tcPr>
          <w:p w14:paraId="1B1610B0"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72.55%</w:t>
            </w:r>
          </w:p>
        </w:tc>
        <w:tc>
          <w:tcPr>
            <w:tcW w:w="1408" w:type="dxa"/>
          </w:tcPr>
          <w:p w14:paraId="388AFAF1"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eastAsia="PMingLiU" w:hAnsi="Calibri" w:cs="Calibri"/>
                <w:sz w:val="22"/>
                <w:szCs w:val="22"/>
              </w:rPr>
              <w:t>+ 20% of 67%</w:t>
            </w:r>
          </w:p>
        </w:tc>
        <w:tc>
          <w:tcPr>
            <w:tcW w:w="4371" w:type="dxa"/>
          </w:tcPr>
          <w:p w14:paraId="46C9C29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negotiated by OSHA and the State Plan.  The minimum not requiring further review is 80.40%.</w:t>
            </w:r>
          </w:p>
        </w:tc>
      </w:tr>
      <w:tr w:rsidR="00187523" w:rsidRPr="00187523" w14:paraId="19E3869B" w14:textId="77777777" w:rsidTr="00F10FCD">
        <w:tc>
          <w:tcPr>
            <w:cnfStyle w:val="001000000000" w:firstRow="0" w:lastRow="0" w:firstColumn="1" w:lastColumn="0" w:oddVBand="0" w:evenVBand="0" w:oddHBand="0" w:evenHBand="0" w:firstRowFirstColumn="0" w:firstRowLastColumn="0" w:lastRowFirstColumn="0" w:lastRowLastColumn="0"/>
            <w:tcW w:w="1034" w:type="dxa"/>
          </w:tcPr>
          <w:p w14:paraId="6686DC56"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187523">
              <w:rPr>
                <w:rFonts w:ascii="Calibri" w:eastAsia="PMingLiU" w:hAnsi="Calibri" w:cs="Calibri"/>
              </w:rPr>
              <w:t>16</w:t>
            </w:r>
          </w:p>
        </w:tc>
        <w:tc>
          <w:tcPr>
            <w:tcW w:w="2255" w:type="dxa"/>
          </w:tcPr>
          <w:p w14:paraId="5EBFC81A"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6" w:history="1">
              <w:r w:rsidRPr="00187523">
                <w:rPr>
                  <w:rFonts w:ascii="Calibri" w:hAnsi="Calibri" w:cs="Calibri"/>
                  <w:color w:val="000000"/>
                  <w:sz w:val="22"/>
                  <w:szCs w:val="22"/>
                </w:rPr>
                <w:t>Percent of Enforcement Presence</w:t>
              </w:r>
            </w:hyperlink>
          </w:p>
        </w:tc>
        <w:tc>
          <w:tcPr>
            <w:tcW w:w="1282" w:type="dxa"/>
          </w:tcPr>
          <w:p w14:paraId="7E6C66C2"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0.73%</w:t>
            </w:r>
          </w:p>
        </w:tc>
        <w:tc>
          <w:tcPr>
            <w:tcW w:w="1408" w:type="dxa"/>
          </w:tcPr>
          <w:p w14:paraId="1FAF0E19" w14:textId="77777777" w:rsidR="00187523" w:rsidRPr="00187523" w:rsidRDefault="00187523" w:rsidP="00187523">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87523">
              <w:rPr>
                <w:rFonts w:ascii="Calibri" w:hAnsi="Calibri" w:cs="Calibri"/>
                <w:sz w:val="22"/>
                <w:szCs w:val="22"/>
              </w:rPr>
              <w:t>- 20% of 0.97%</w:t>
            </w:r>
          </w:p>
          <w:p w14:paraId="19BCA508"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513F679" w14:textId="77777777" w:rsidR="00187523" w:rsidRPr="00187523" w:rsidRDefault="00187523" w:rsidP="001875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187523">
              <w:rPr>
                <w:rFonts w:ascii="Calibri" w:hAnsi="Calibri" w:cs="Calibri"/>
                <w:sz w:val="22"/>
                <w:szCs w:val="22"/>
              </w:rPr>
              <w:t>The further review level is based on a three-year national average.  The minimum not requiring further review is 0.78%.</w:t>
            </w:r>
          </w:p>
        </w:tc>
      </w:tr>
    </w:tbl>
    <w:p w14:paraId="1653E489" w14:textId="77777777" w:rsidR="00187523" w:rsidRPr="00187523" w:rsidRDefault="00187523" w:rsidP="00187523">
      <w:pPr>
        <w:widowControl/>
        <w:autoSpaceDE/>
        <w:autoSpaceDN/>
        <w:adjustRightInd/>
        <w:spacing w:after="160" w:line="259" w:lineRule="auto"/>
        <w:rPr>
          <w:rFonts w:ascii="Calibri" w:eastAsia="Calibri" w:hAnsi="Calibri"/>
          <w:sz w:val="22"/>
          <w:szCs w:val="22"/>
        </w:rPr>
      </w:pPr>
      <w:r w:rsidRPr="00187523">
        <w:rPr>
          <w:rFonts w:ascii="Calibri" w:eastAsia="Calibri" w:hAnsi="Calibri"/>
          <w:sz w:val="22"/>
          <w:szCs w:val="22"/>
        </w:rPr>
        <w:t>NOTE: The national averages in this report are three-year rolling averages.  Unless otherwise noted, the data contained in this Appendix D is pulled from the State Activity Mandated Measures (SAMM) Report in OIS and the State Plan WebIMIS report run on December 09, 2025, as part of OSHA’s official end-of-year data run.</w:t>
      </w:r>
    </w:p>
    <w:p w14:paraId="32C81229" w14:textId="77777777" w:rsidR="00BE1529" w:rsidRDefault="00BE1529">
      <w:pPr>
        <w:rPr>
          <w:rFonts w:asciiTheme="minorHAnsi" w:hAnsiTheme="minorHAnsi" w:cstheme="minorHAnsi"/>
        </w:rPr>
      </w:pPr>
    </w:p>
    <w:sectPr w:rsidR="00BE1529" w:rsidSect="0027745A">
      <w:headerReference w:type="default" r:id="rId19"/>
      <w:footerReference w:type="default" r:id="rId20"/>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4D1F" w14:textId="77777777" w:rsidR="0003220E" w:rsidRDefault="0003220E" w:rsidP="00C872A0">
      <w:r>
        <w:separator/>
      </w:r>
    </w:p>
  </w:endnote>
  <w:endnote w:type="continuationSeparator" w:id="0">
    <w:p w14:paraId="3C263DB8" w14:textId="77777777" w:rsidR="0003220E" w:rsidRDefault="0003220E"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03DE" w14:textId="77777777" w:rsidR="0003220E" w:rsidRDefault="0003220E" w:rsidP="00C872A0">
      <w:r>
        <w:separator/>
      </w:r>
    </w:p>
  </w:footnote>
  <w:footnote w:type="continuationSeparator" w:id="0">
    <w:p w14:paraId="7B3D3AF0" w14:textId="77777777" w:rsidR="0003220E" w:rsidRDefault="0003220E"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270D32D9"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Appendix B – Observations Subject to New and Continued Monitoring</w:t>
    </w:r>
  </w:p>
  <w:p w14:paraId="2E359CA9" w14:textId="2331A714"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E941F4">
      <w:rPr>
        <w:rFonts w:asciiTheme="minorHAnsi" w:hAnsiTheme="minorHAnsi" w:cstheme="minorHAnsi"/>
      </w:rPr>
      <w:t>20</w:t>
    </w:r>
    <w:r w:rsidR="003D1ECF" w:rsidRPr="00E941F4">
      <w:rPr>
        <w:rFonts w:asciiTheme="minorHAnsi" w:hAnsiTheme="minorHAnsi" w:cstheme="minorHAnsi"/>
      </w:rPr>
      <w:t>25</w:t>
    </w:r>
    <w:r w:rsidR="0027745A" w:rsidRPr="00E941F4">
      <w:rPr>
        <w:rFonts w:asciiTheme="minorHAnsi" w:hAnsiTheme="minorHAnsi" w:cstheme="minorHAnsi"/>
      </w:rPr>
      <w:t xml:space="preserve"> </w:t>
    </w:r>
    <w:r w:rsidR="00E941F4" w:rsidRPr="00E941F4">
      <w:rPr>
        <w:rFonts w:asciiTheme="minorHAnsi" w:hAnsiTheme="minorHAnsi" w:cstheme="minorHAnsi"/>
      </w:rPr>
      <w:t>North Carolina</w:t>
    </w:r>
    <w:r w:rsidR="0027745A" w:rsidRPr="00E941F4">
      <w:rPr>
        <w:rFonts w:asciiTheme="minorHAnsi" w:hAnsiTheme="minorHAnsi" w:cstheme="minorHAnsi"/>
      </w:rPr>
      <w:t xml:space="preserve"> </w:t>
    </w:r>
    <w:r w:rsidRPr="00E941F4">
      <w:rPr>
        <w:rFonts w:asciiTheme="minorHAnsi" w:hAnsiTheme="minorHAnsi" w:cstheme="minorHAnsi"/>
      </w:rPr>
      <w:t xml:space="preserve">Comprehensive </w:t>
    </w:r>
    <w:r w:rsidRPr="009C64FE">
      <w:rPr>
        <w:rFonts w:asciiTheme="minorHAnsi" w:hAnsiTheme="minorHAnsi" w:cstheme="minorHAnsi"/>
      </w:rPr>
      <w:t>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6E88BEE8"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E941F4" w:rsidRPr="00E941F4">
      <w:rPr>
        <w:rFonts w:asciiTheme="minorHAnsi" w:hAnsiTheme="minorHAnsi" w:cstheme="minorHAnsi"/>
      </w:rPr>
      <w:t>North Carolina</w:t>
    </w:r>
    <w:r w:rsidR="0027745A" w:rsidRPr="00E941F4">
      <w:rPr>
        <w:rFonts w:asciiTheme="minorHAnsi" w:hAnsiTheme="minorHAnsi" w:cstheme="minorHAnsi"/>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3C1F1E18"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E941F4">
      <w:rPr>
        <w:rFonts w:asciiTheme="minorHAnsi" w:hAnsiTheme="minorHAnsi" w:cstheme="minorHAnsi"/>
      </w:rPr>
      <w:t>20</w:t>
    </w:r>
    <w:r w:rsidR="008861B2" w:rsidRPr="00E941F4">
      <w:rPr>
        <w:rFonts w:asciiTheme="minorHAnsi" w:hAnsiTheme="minorHAnsi" w:cstheme="minorHAnsi"/>
      </w:rPr>
      <w:t>25</w:t>
    </w:r>
    <w:r w:rsidRPr="00E941F4">
      <w:rPr>
        <w:rFonts w:asciiTheme="minorHAnsi" w:hAnsiTheme="minorHAnsi" w:cstheme="minorHAnsi"/>
      </w:rPr>
      <w:t xml:space="preserve"> </w:t>
    </w:r>
    <w:r w:rsidR="00E941F4" w:rsidRPr="00E941F4">
      <w:rPr>
        <w:rFonts w:asciiTheme="minorHAnsi" w:hAnsiTheme="minorHAnsi" w:cstheme="minorHAnsi"/>
      </w:rPr>
      <w:t>North Carolina</w:t>
    </w:r>
    <w:r w:rsidRPr="00E941F4">
      <w:rPr>
        <w:rFonts w:asciiTheme="minorHAnsi" w:hAnsiTheme="minorHAnsi" w:cstheme="minorHAnsi"/>
      </w:rPr>
      <w:t xml:space="preserve">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760BC735"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516F6B">
      <w:rPr>
        <w:rFonts w:asciiTheme="minorHAnsi" w:hAnsiTheme="minorHAnsi" w:cstheme="minorHAnsi"/>
      </w:rPr>
      <w:t>20</w:t>
    </w:r>
    <w:r w:rsidR="008861B2" w:rsidRPr="00516F6B">
      <w:rPr>
        <w:rFonts w:asciiTheme="minorHAnsi" w:hAnsiTheme="minorHAnsi" w:cstheme="minorHAnsi"/>
      </w:rPr>
      <w:t>25</w:t>
    </w:r>
    <w:r w:rsidRPr="00516F6B">
      <w:rPr>
        <w:rFonts w:asciiTheme="minorHAnsi" w:hAnsiTheme="minorHAnsi" w:cstheme="minorHAnsi"/>
      </w:rPr>
      <w:t xml:space="preserve"> </w:t>
    </w:r>
    <w:r w:rsidR="00516F6B" w:rsidRPr="00516F6B">
      <w:rPr>
        <w:rFonts w:asciiTheme="minorHAnsi" w:hAnsiTheme="minorHAnsi" w:cstheme="minorHAnsi"/>
      </w:rPr>
      <w:t>North Carolina</w:t>
    </w:r>
    <w:r w:rsidRPr="00516F6B">
      <w:rPr>
        <w:rFonts w:asciiTheme="minorHAnsi" w:hAnsiTheme="minorHAnsi" w:cstheme="minorHAnsi"/>
      </w:rPr>
      <w:t xml:space="preserve">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7C263152"/>
    <w:lvl w:ilvl="0" w:tplc="6E32E8BE">
      <w:start w:val="2"/>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5" w15:restartNumberingAfterBreak="0">
    <w:nsid w:val="0A8B18E7"/>
    <w:multiLevelType w:val="hybridMultilevel"/>
    <w:tmpl w:val="1A267A7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6"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C2B010D"/>
    <w:multiLevelType w:val="hybridMultilevel"/>
    <w:tmpl w:val="F388741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15:restartNumberingAfterBreak="0">
    <w:nsid w:val="40704845"/>
    <w:multiLevelType w:val="hybridMultilevel"/>
    <w:tmpl w:val="31BED34E"/>
    <w:lvl w:ilvl="0" w:tplc="FF62EBE0">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5E9F3E31"/>
    <w:multiLevelType w:val="hybridMultilevel"/>
    <w:tmpl w:val="3212608E"/>
    <w:lvl w:ilvl="0" w:tplc="9DA654EE">
      <w:start w:val="1"/>
      <w:numFmt w:val="lowerLetter"/>
      <w:lvlText w:val="%1)"/>
      <w:lvlJc w:val="left"/>
      <w:pPr>
        <w:ind w:left="135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15:restartNumberingAfterBreak="0">
    <w:nsid w:val="619900C4"/>
    <w:multiLevelType w:val="hybridMultilevel"/>
    <w:tmpl w:val="179AD116"/>
    <w:lvl w:ilvl="0" w:tplc="934C6C4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4" w15:restartNumberingAfterBreak="0">
    <w:nsid w:val="718838ED"/>
    <w:multiLevelType w:val="hybridMultilevel"/>
    <w:tmpl w:val="523053B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5"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36"/>
  </w:num>
  <w:num w:numId="5" w16cid:durableId="957688246">
    <w:abstractNumId w:val="31"/>
  </w:num>
  <w:num w:numId="6" w16cid:durableId="1641574927">
    <w:abstractNumId w:val="30"/>
  </w:num>
  <w:num w:numId="7" w16cid:durableId="521359101">
    <w:abstractNumId w:val="26"/>
  </w:num>
  <w:num w:numId="8" w16cid:durableId="285309317">
    <w:abstractNumId w:val="33"/>
  </w:num>
  <w:num w:numId="9" w16cid:durableId="1464157711">
    <w:abstractNumId w:val="37"/>
  </w:num>
  <w:num w:numId="10" w16cid:durableId="1737849693">
    <w:abstractNumId w:val="27"/>
  </w:num>
  <w:num w:numId="11" w16cid:durableId="1825199997">
    <w:abstractNumId w:val="24"/>
  </w:num>
  <w:num w:numId="12" w16cid:durableId="1151871631">
    <w:abstractNumId w:val="23"/>
  </w:num>
  <w:num w:numId="13" w16cid:durableId="1901747032">
    <w:abstractNumId w:val="35"/>
  </w:num>
  <w:num w:numId="14" w16cid:durableId="1307124853">
    <w:abstractNumId w:val="28"/>
  </w:num>
  <w:num w:numId="15" w16cid:durableId="1920166433">
    <w:abstractNumId w:val="32"/>
  </w:num>
  <w:num w:numId="16" w16cid:durableId="1804735290">
    <w:abstractNumId w:val="29"/>
  </w:num>
  <w:num w:numId="17" w16cid:durableId="1739009369">
    <w:abstractNumId w:val="34"/>
  </w:num>
  <w:num w:numId="18" w16cid:durableId="1866749277">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B73"/>
    <w:rsid w:val="00003428"/>
    <w:rsid w:val="000036AB"/>
    <w:rsid w:val="00004200"/>
    <w:rsid w:val="0000730D"/>
    <w:rsid w:val="00007781"/>
    <w:rsid w:val="00007B3F"/>
    <w:rsid w:val="0001015B"/>
    <w:rsid w:val="00010527"/>
    <w:rsid w:val="00011174"/>
    <w:rsid w:val="000116C0"/>
    <w:rsid w:val="00011AE5"/>
    <w:rsid w:val="00012245"/>
    <w:rsid w:val="00012344"/>
    <w:rsid w:val="00012DEA"/>
    <w:rsid w:val="00012FCD"/>
    <w:rsid w:val="0001328B"/>
    <w:rsid w:val="000140B4"/>
    <w:rsid w:val="0001437F"/>
    <w:rsid w:val="00014C7A"/>
    <w:rsid w:val="00015637"/>
    <w:rsid w:val="00016214"/>
    <w:rsid w:val="0001670C"/>
    <w:rsid w:val="00016803"/>
    <w:rsid w:val="0001693A"/>
    <w:rsid w:val="0001706D"/>
    <w:rsid w:val="00017349"/>
    <w:rsid w:val="000175B9"/>
    <w:rsid w:val="000201A9"/>
    <w:rsid w:val="00021274"/>
    <w:rsid w:val="000217D1"/>
    <w:rsid w:val="00021FE0"/>
    <w:rsid w:val="00022BEE"/>
    <w:rsid w:val="0002332D"/>
    <w:rsid w:val="00023946"/>
    <w:rsid w:val="00023A95"/>
    <w:rsid w:val="00023E67"/>
    <w:rsid w:val="000242A4"/>
    <w:rsid w:val="00024441"/>
    <w:rsid w:val="000244FA"/>
    <w:rsid w:val="000248F0"/>
    <w:rsid w:val="00025F57"/>
    <w:rsid w:val="0002659E"/>
    <w:rsid w:val="00026B4E"/>
    <w:rsid w:val="00026D63"/>
    <w:rsid w:val="00027093"/>
    <w:rsid w:val="00027C8C"/>
    <w:rsid w:val="000306B1"/>
    <w:rsid w:val="0003072C"/>
    <w:rsid w:val="000308EA"/>
    <w:rsid w:val="00030CE1"/>
    <w:rsid w:val="000315FB"/>
    <w:rsid w:val="0003220E"/>
    <w:rsid w:val="00032FBA"/>
    <w:rsid w:val="000337FE"/>
    <w:rsid w:val="000338AE"/>
    <w:rsid w:val="0003442F"/>
    <w:rsid w:val="0003444C"/>
    <w:rsid w:val="000347DA"/>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2327"/>
    <w:rsid w:val="0004262E"/>
    <w:rsid w:val="0004274E"/>
    <w:rsid w:val="0004329F"/>
    <w:rsid w:val="00043515"/>
    <w:rsid w:val="00044436"/>
    <w:rsid w:val="000447C9"/>
    <w:rsid w:val="000449F8"/>
    <w:rsid w:val="00044CCF"/>
    <w:rsid w:val="00044E35"/>
    <w:rsid w:val="00045479"/>
    <w:rsid w:val="00045BD6"/>
    <w:rsid w:val="00045C51"/>
    <w:rsid w:val="00046151"/>
    <w:rsid w:val="000465DA"/>
    <w:rsid w:val="000468C6"/>
    <w:rsid w:val="00046BEE"/>
    <w:rsid w:val="00046E13"/>
    <w:rsid w:val="000470EE"/>
    <w:rsid w:val="00047BEE"/>
    <w:rsid w:val="0005007B"/>
    <w:rsid w:val="00050184"/>
    <w:rsid w:val="00050B2A"/>
    <w:rsid w:val="000517FA"/>
    <w:rsid w:val="00051A22"/>
    <w:rsid w:val="000522E9"/>
    <w:rsid w:val="00052B36"/>
    <w:rsid w:val="0005308B"/>
    <w:rsid w:val="00053171"/>
    <w:rsid w:val="00053A2C"/>
    <w:rsid w:val="00053FD7"/>
    <w:rsid w:val="00055243"/>
    <w:rsid w:val="0005564F"/>
    <w:rsid w:val="0005589E"/>
    <w:rsid w:val="00055B40"/>
    <w:rsid w:val="00055F2C"/>
    <w:rsid w:val="00056CFD"/>
    <w:rsid w:val="00057774"/>
    <w:rsid w:val="00057840"/>
    <w:rsid w:val="00060D39"/>
    <w:rsid w:val="00060ED9"/>
    <w:rsid w:val="00061875"/>
    <w:rsid w:val="000625FB"/>
    <w:rsid w:val="0006398D"/>
    <w:rsid w:val="00063E73"/>
    <w:rsid w:val="000642F9"/>
    <w:rsid w:val="00064492"/>
    <w:rsid w:val="00064547"/>
    <w:rsid w:val="00064815"/>
    <w:rsid w:val="000648EA"/>
    <w:rsid w:val="00064C8D"/>
    <w:rsid w:val="00064D33"/>
    <w:rsid w:val="000654C0"/>
    <w:rsid w:val="000657F3"/>
    <w:rsid w:val="00065AB2"/>
    <w:rsid w:val="00066A7B"/>
    <w:rsid w:val="00066C1C"/>
    <w:rsid w:val="00066C52"/>
    <w:rsid w:val="00066F4B"/>
    <w:rsid w:val="000701E4"/>
    <w:rsid w:val="00070308"/>
    <w:rsid w:val="0007073F"/>
    <w:rsid w:val="0007157F"/>
    <w:rsid w:val="000715C6"/>
    <w:rsid w:val="00071E18"/>
    <w:rsid w:val="00071E2A"/>
    <w:rsid w:val="00071E71"/>
    <w:rsid w:val="000724F1"/>
    <w:rsid w:val="000726ED"/>
    <w:rsid w:val="00072857"/>
    <w:rsid w:val="0007306B"/>
    <w:rsid w:val="000743D1"/>
    <w:rsid w:val="00074876"/>
    <w:rsid w:val="00074EBD"/>
    <w:rsid w:val="000751DC"/>
    <w:rsid w:val="000754B9"/>
    <w:rsid w:val="00075C1C"/>
    <w:rsid w:val="000762C5"/>
    <w:rsid w:val="00076601"/>
    <w:rsid w:val="000767C0"/>
    <w:rsid w:val="00076DBD"/>
    <w:rsid w:val="00077018"/>
    <w:rsid w:val="00077410"/>
    <w:rsid w:val="00080614"/>
    <w:rsid w:val="00081FA6"/>
    <w:rsid w:val="000832E3"/>
    <w:rsid w:val="00083A76"/>
    <w:rsid w:val="00084829"/>
    <w:rsid w:val="00084D0B"/>
    <w:rsid w:val="00085230"/>
    <w:rsid w:val="00085266"/>
    <w:rsid w:val="00085629"/>
    <w:rsid w:val="00085EFD"/>
    <w:rsid w:val="00086F2F"/>
    <w:rsid w:val="0008759E"/>
    <w:rsid w:val="00087720"/>
    <w:rsid w:val="00087E9F"/>
    <w:rsid w:val="00087EE9"/>
    <w:rsid w:val="00090034"/>
    <w:rsid w:val="00090155"/>
    <w:rsid w:val="000902ED"/>
    <w:rsid w:val="00091167"/>
    <w:rsid w:val="00091286"/>
    <w:rsid w:val="0009134A"/>
    <w:rsid w:val="000917A7"/>
    <w:rsid w:val="00091ABD"/>
    <w:rsid w:val="00091AE2"/>
    <w:rsid w:val="00091B54"/>
    <w:rsid w:val="00091CB3"/>
    <w:rsid w:val="000923E0"/>
    <w:rsid w:val="00092555"/>
    <w:rsid w:val="00092667"/>
    <w:rsid w:val="000928F6"/>
    <w:rsid w:val="000929B5"/>
    <w:rsid w:val="00092F1B"/>
    <w:rsid w:val="00093239"/>
    <w:rsid w:val="00093DDA"/>
    <w:rsid w:val="00094325"/>
    <w:rsid w:val="00094381"/>
    <w:rsid w:val="00094618"/>
    <w:rsid w:val="00094DC5"/>
    <w:rsid w:val="00095322"/>
    <w:rsid w:val="0009535D"/>
    <w:rsid w:val="0009583F"/>
    <w:rsid w:val="000959EF"/>
    <w:rsid w:val="00095AC8"/>
    <w:rsid w:val="00096361"/>
    <w:rsid w:val="000969E2"/>
    <w:rsid w:val="00096B65"/>
    <w:rsid w:val="000A134A"/>
    <w:rsid w:val="000A1BF4"/>
    <w:rsid w:val="000A1CE9"/>
    <w:rsid w:val="000A2DE7"/>
    <w:rsid w:val="000A337C"/>
    <w:rsid w:val="000A3878"/>
    <w:rsid w:val="000A3C69"/>
    <w:rsid w:val="000A40EC"/>
    <w:rsid w:val="000A55DB"/>
    <w:rsid w:val="000A658C"/>
    <w:rsid w:val="000A6CB8"/>
    <w:rsid w:val="000A7279"/>
    <w:rsid w:val="000A7A05"/>
    <w:rsid w:val="000B04AA"/>
    <w:rsid w:val="000B0796"/>
    <w:rsid w:val="000B07D7"/>
    <w:rsid w:val="000B0946"/>
    <w:rsid w:val="000B162F"/>
    <w:rsid w:val="000B1A5B"/>
    <w:rsid w:val="000B1ACA"/>
    <w:rsid w:val="000B1D81"/>
    <w:rsid w:val="000B1ECC"/>
    <w:rsid w:val="000B22E4"/>
    <w:rsid w:val="000B2349"/>
    <w:rsid w:val="000B25C0"/>
    <w:rsid w:val="000B275B"/>
    <w:rsid w:val="000B3A37"/>
    <w:rsid w:val="000B4852"/>
    <w:rsid w:val="000B5B34"/>
    <w:rsid w:val="000B6334"/>
    <w:rsid w:val="000C04C6"/>
    <w:rsid w:val="000C0E15"/>
    <w:rsid w:val="000C12C6"/>
    <w:rsid w:val="000C1882"/>
    <w:rsid w:val="000C1ED8"/>
    <w:rsid w:val="000C264D"/>
    <w:rsid w:val="000C295F"/>
    <w:rsid w:val="000C2E74"/>
    <w:rsid w:val="000C3344"/>
    <w:rsid w:val="000C368E"/>
    <w:rsid w:val="000C38BD"/>
    <w:rsid w:val="000C4141"/>
    <w:rsid w:val="000C43DE"/>
    <w:rsid w:val="000C46E4"/>
    <w:rsid w:val="000C58E0"/>
    <w:rsid w:val="000C5C82"/>
    <w:rsid w:val="000C609E"/>
    <w:rsid w:val="000C719E"/>
    <w:rsid w:val="000C7469"/>
    <w:rsid w:val="000C7C9A"/>
    <w:rsid w:val="000D0695"/>
    <w:rsid w:val="000D08E3"/>
    <w:rsid w:val="000D1822"/>
    <w:rsid w:val="000D22D8"/>
    <w:rsid w:val="000D2510"/>
    <w:rsid w:val="000D251B"/>
    <w:rsid w:val="000D343F"/>
    <w:rsid w:val="000D34E1"/>
    <w:rsid w:val="000D3E62"/>
    <w:rsid w:val="000D4A64"/>
    <w:rsid w:val="000D63AD"/>
    <w:rsid w:val="000D750A"/>
    <w:rsid w:val="000D7AAD"/>
    <w:rsid w:val="000E0408"/>
    <w:rsid w:val="000E0528"/>
    <w:rsid w:val="000E0535"/>
    <w:rsid w:val="000E07E7"/>
    <w:rsid w:val="000E0DD1"/>
    <w:rsid w:val="000E142B"/>
    <w:rsid w:val="000E1AA2"/>
    <w:rsid w:val="000E1AC9"/>
    <w:rsid w:val="000E1B55"/>
    <w:rsid w:val="000E20A2"/>
    <w:rsid w:val="000E2D87"/>
    <w:rsid w:val="000E3504"/>
    <w:rsid w:val="000E46F3"/>
    <w:rsid w:val="000E5C64"/>
    <w:rsid w:val="000E6466"/>
    <w:rsid w:val="000E6544"/>
    <w:rsid w:val="000E6DCF"/>
    <w:rsid w:val="000E7288"/>
    <w:rsid w:val="000E7CE8"/>
    <w:rsid w:val="000E7DF4"/>
    <w:rsid w:val="000E7F42"/>
    <w:rsid w:val="000F1B88"/>
    <w:rsid w:val="000F1D68"/>
    <w:rsid w:val="000F1E49"/>
    <w:rsid w:val="000F40AE"/>
    <w:rsid w:val="000F46ED"/>
    <w:rsid w:val="000F4DA3"/>
    <w:rsid w:val="000F5631"/>
    <w:rsid w:val="000F5A36"/>
    <w:rsid w:val="000F6A5C"/>
    <w:rsid w:val="000F6D4A"/>
    <w:rsid w:val="000F7ECC"/>
    <w:rsid w:val="00101D01"/>
    <w:rsid w:val="00101D9A"/>
    <w:rsid w:val="00101E51"/>
    <w:rsid w:val="00103733"/>
    <w:rsid w:val="001039FA"/>
    <w:rsid w:val="001039FB"/>
    <w:rsid w:val="00103B7F"/>
    <w:rsid w:val="00103D0B"/>
    <w:rsid w:val="0010413B"/>
    <w:rsid w:val="00104A81"/>
    <w:rsid w:val="001056A7"/>
    <w:rsid w:val="00105D6F"/>
    <w:rsid w:val="00107312"/>
    <w:rsid w:val="0011001D"/>
    <w:rsid w:val="0011011A"/>
    <w:rsid w:val="00110732"/>
    <w:rsid w:val="00110CB0"/>
    <w:rsid w:val="001113A1"/>
    <w:rsid w:val="00112C81"/>
    <w:rsid w:val="0011326F"/>
    <w:rsid w:val="00114FC3"/>
    <w:rsid w:val="0011522A"/>
    <w:rsid w:val="00115B48"/>
    <w:rsid w:val="00115DF5"/>
    <w:rsid w:val="00116055"/>
    <w:rsid w:val="00116B67"/>
    <w:rsid w:val="001170E4"/>
    <w:rsid w:val="00117115"/>
    <w:rsid w:val="001174A0"/>
    <w:rsid w:val="0012164B"/>
    <w:rsid w:val="00122159"/>
    <w:rsid w:val="001221AF"/>
    <w:rsid w:val="00122228"/>
    <w:rsid w:val="0012279E"/>
    <w:rsid w:val="00122835"/>
    <w:rsid w:val="00122839"/>
    <w:rsid w:val="00122BCD"/>
    <w:rsid w:val="00122BD3"/>
    <w:rsid w:val="001232B0"/>
    <w:rsid w:val="001244C7"/>
    <w:rsid w:val="00125065"/>
    <w:rsid w:val="00125345"/>
    <w:rsid w:val="00125C8A"/>
    <w:rsid w:val="00127CA4"/>
    <w:rsid w:val="00127F3B"/>
    <w:rsid w:val="00131CC6"/>
    <w:rsid w:val="00132701"/>
    <w:rsid w:val="00132F71"/>
    <w:rsid w:val="001330C1"/>
    <w:rsid w:val="001330E6"/>
    <w:rsid w:val="00133D7F"/>
    <w:rsid w:val="001341FE"/>
    <w:rsid w:val="00134438"/>
    <w:rsid w:val="0013481B"/>
    <w:rsid w:val="00134F5D"/>
    <w:rsid w:val="001358F0"/>
    <w:rsid w:val="00136DA3"/>
    <w:rsid w:val="00136F23"/>
    <w:rsid w:val="00137218"/>
    <w:rsid w:val="00140C21"/>
    <w:rsid w:val="00141064"/>
    <w:rsid w:val="00141758"/>
    <w:rsid w:val="00142198"/>
    <w:rsid w:val="0014244E"/>
    <w:rsid w:val="001426E1"/>
    <w:rsid w:val="00142744"/>
    <w:rsid w:val="0014277F"/>
    <w:rsid w:val="00142BA8"/>
    <w:rsid w:val="00143518"/>
    <w:rsid w:val="00143ACD"/>
    <w:rsid w:val="0014420A"/>
    <w:rsid w:val="00144A53"/>
    <w:rsid w:val="00144C81"/>
    <w:rsid w:val="00145BC1"/>
    <w:rsid w:val="001469F6"/>
    <w:rsid w:val="00146A43"/>
    <w:rsid w:val="001471B8"/>
    <w:rsid w:val="001479BD"/>
    <w:rsid w:val="00147D9A"/>
    <w:rsid w:val="00147F8B"/>
    <w:rsid w:val="0015001D"/>
    <w:rsid w:val="00150473"/>
    <w:rsid w:val="00150BAA"/>
    <w:rsid w:val="00150F03"/>
    <w:rsid w:val="001515BB"/>
    <w:rsid w:val="00151F7F"/>
    <w:rsid w:val="00152207"/>
    <w:rsid w:val="0015235C"/>
    <w:rsid w:val="00152C6C"/>
    <w:rsid w:val="00153C77"/>
    <w:rsid w:val="00155591"/>
    <w:rsid w:val="00156BBB"/>
    <w:rsid w:val="00156CD6"/>
    <w:rsid w:val="00156DDB"/>
    <w:rsid w:val="00156E0C"/>
    <w:rsid w:val="00157520"/>
    <w:rsid w:val="00157921"/>
    <w:rsid w:val="00160402"/>
    <w:rsid w:val="001609A7"/>
    <w:rsid w:val="00160C4C"/>
    <w:rsid w:val="00161740"/>
    <w:rsid w:val="00163E90"/>
    <w:rsid w:val="00165072"/>
    <w:rsid w:val="00165167"/>
    <w:rsid w:val="00165699"/>
    <w:rsid w:val="00166CCD"/>
    <w:rsid w:val="0016719C"/>
    <w:rsid w:val="001700B7"/>
    <w:rsid w:val="00172085"/>
    <w:rsid w:val="001723D2"/>
    <w:rsid w:val="0017278B"/>
    <w:rsid w:val="001729BD"/>
    <w:rsid w:val="00173853"/>
    <w:rsid w:val="00173E53"/>
    <w:rsid w:val="00174667"/>
    <w:rsid w:val="0017552C"/>
    <w:rsid w:val="001756D0"/>
    <w:rsid w:val="001763A4"/>
    <w:rsid w:val="00176DF8"/>
    <w:rsid w:val="00177A1E"/>
    <w:rsid w:val="00177D70"/>
    <w:rsid w:val="00180573"/>
    <w:rsid w:val="00180E1F"/>
    <w:rsid w:val="00182222"/>
    <w:rsid w:val="00182B5C"/>
    <w:rsid w:val="00182CE0"/>
    <w:rsid w:val="001843E2"/>
    <w:rsid w:val="001861B8"/>
    <w:rsid w:val="00186535"/>
    <w:rsid w:val="00186CA0"/>
    <w:rsid w:val="00187065"/>
    <w:rsid w:val="00187182"/>
    <w:rsid w:val="00187523"/>
    <w:rsid w:val="00187875"/>
    <w:rsid w:val="00190252"/>
    <w:rsid w:val="001902FE"/>
    <w:rsid w:val="00190540"/>
    <w:rsid w:val="00190F85"/>
    <w:rsid w:val="00191B07"/>
    <w:rsid w:val="001927A4"/>
    <w:rsid w:val="00192881"/>
    <w:rsid w:val="001928D8"/>
    <w:rsid w:val="001929DA"/>
    <w:rsid w:val="00192C14"/>
    <w:rsid w:val="001938F9"/>
    <w:rsid w:val="00193E53"/>
    <w:rsid w:val="001941DE"/>
    <w:rsid w:val="001950D7"/>
    <w:rsid w:val="00195153"/>
    <w:rsid w:val="001951A1"/>
    <w:rsid w:val="001958C8"/>
    <w:rsid w:val="001962E9"/>
    <w:rsid w:val="00197003"/>
    <w:rsid w:val="00197254"/>
    <w:rsid w:val="0019783D"/>
    <w:rsid w:val="00197C80"/>
    <w:rsid w:val="001A0894"/>
    <w:rsid w:val="001A2307"/>
    <w:rsid w:val="001A2336"/>
    <w:rsid w:val="001A2967"/>
    <w:rsid w:val="001A3273"/>
    <w:rsid w:val="001A35F4"/>
    <w:rsid w:val="001A3671"/>
    <w:rsid w:val="001A4ED3"/>
    <w:rsid w:val="001A4FD2"/>
    <w:rsid w:val="001A5886"/>
    <w:rsid w:val="001A6B79"/>
    <w:rsid w:val="001A7BB9"/>
    <w:rsid w:val="001A7F60"/>
    <w:rsid w:val="001B0219"/>
    <w:rsid w:val="001B02D7"/>
    <w:rsid w:val="001B0632"/>
    <w:rsid w:val="001B0AF1"/>
    <w:rsid w:val="001B0DE2"/>
    <w:rsid w:val="001B160F"/>
    <w:rsid w:val="001B17AF"/>
    <w:rsid w:val="001B1C4C"/>
    <w:rsid w:val="001B2484"/>
    <w:rsid w:val="001B284A"/>
    <w:rsid w:val="001B30D1"/>
    <w:rsid w:val="001B346B"/>
    <w:rsid w:val="001B40AD"/>
    <w:rsid w:val="001B6DA7"/>
    <w:rsid w:val="001B762D"/>
    <w:rsid w:val="001B77A2"/>
    <w:rsid w:val="001C154D"/>
    <w:rsid w:val="001C1D09"/>
    <w:rsid w:val="001C2B11"/>
    <w:rsid w:val="001C3276"/>
    <w:rsid w:val="001C4253"/>
    <w:rsid w:val="001C44E8"/>
    <w:rsid w:val="001C487D"/>
    <w:rsid w:val="001C560E"/>
    <w:rsid w:val="001C56AC"/>
    <w:rsid w:val="001C58C2"/>
    <w:rsid w:val="001C5CF9"/>
    <w:rsid w:val="001C5F4A"/>
    <w:rsid w:val="001C620B"/>
    <w:rsid w:val="001C6D9A"/>
    <w:rsid w:val="001C6DD3"/>
    <w:rsid w:val="001C7AFD"/>
    <w:rsid w:val="001D1819"/>
    <w:rsid w:val="001D1A16"/>
    <w:rsid w:val="001D1F8E"/>
    <w:rsid w:val="001D3CF5"/>
    <w:rsid w:val="001D431C"/>
    <w:rsid w:val="001D4D7C"/>
    <w:rsid w:val="001D50C7"/>
    <w:rsid w:val="001D6530"/>
    <w:rsid w:val="001D681F"/>
    <w:rsid w:val="001D6D59"/>
    <w:rsid w:val="001D7428"/>
    <w:rsid w:val="001D7613"/>
    <w:rsid w:val="001E0EFF"/>
    <w:rsid w:val="001E1B35"/>
    <w:rsid w:val="001E1C5D"/>
    <w:rsid w:val="001E1FD1"/>
    <w:rsid w:val="001E24F4"/>
    <w:rsid w:val="001E2D62"/>
    <w:rsid w:val="001E5ABD"/>
    <w:rsid w:val="001E5C43"/>
    <w:rsid w:val="001E5FE4"/>
    <w:rsid w:val="001E6727"/>
    <w:rsid w:val="001E76D8"/>
    <w:rsid w:val="001E799B"/>
    <w:rsid w:val="001F0B51"/>
    <w:rsid w:val="001F16F6"/>
    <w:rsid w:val="001F1D8A"/>
    <w:rsid w:val="001F2B37"/>
    <w:rsid w:val="001F2C7F"/>
    <w:rsid w:val="001F3750"/>
    <w:rsid w:val="001F40E1"/>
    <w:rsid w:val="001F410D"/>
    <w:rsid w:val="001F4B84"/>
    <w:rsid w:val="001F5249"/>
    <w:rsid w:val="001F5516"/>
    <w:rsid w:val="001F58B8"/>
    <w:rsid w:val="001F5C13"/>
    <w:rsid w:val="001F7DF0"/>
    <w:rsid w:val="002004FA"/>
    <w:rsid w:val="00200AB1"/>
    <w:rsid w:val="00200D27"/>
    <w:rsid w:val="002011AC"/>
    <w:rsid w:val="00201B11"/>
    <w:rsid w:val="00201CCC"/>
    <w:rsid w:val="00201EB9"/>
    <w:rsid w:val="0020244D"/>
    <w:rsid w:val="00202BD7"/>
    <w:rsid w:val="002032E3"/>
    <w:rsid w:val="0020361D"/>
    <w:rsid w:val="0020441F"/>
    <w:rsid w:val="00204792"/>
    <w:rsid w:val="002048CC"/>
    <w:rsid w:val="00205108"/>
    <w:rsid w:val="00205391"/>
    <w:rsid w:val="00205A99"/>
    <w:rsid w:val="00205B04"/>
    <w:rsid w:val="00205B95"/>
    <w:rsid w:val="0020682E"/>
    <w:rsid w:val="0020733F"/>
    <w:rsid w:val="00207B94"/>
    <w:rsid w:val="00207EDC"/>
    <w:rsid w:val="002102C2"/>
    <w:rsid w:val="00210E15"/>
    <w:rsid w:val="00211296"/>
    <w:rsid w:val="00211626"/>
    <w:rsid w:val="00211715"/>
    <w:rsid w:val="0021277A"/>
    <w:rsid w:val="00212BC7"/>
    <w:rsid w:val="002139E2"/>
    <w:rsid w:val="00213FCA"/>
    <w:rsid w:val="002145AF"/>
    <w:rsid w:val="00214F0C"/>
    <w:rsid w:val="002161A5"/>
    <w:rsid w:val="00216494"/>
    <w:rsid w:val="00216621"/>
    <w:rsid w:val="00216A80"/>
    <w:rsid w:val="00216B0E"/>
    <w:rsid w:val="00217433"/>
    <w:rsid w:val="00217437"/>
    <w:rsid w:val="00217506"/>
    <w:rsid w:val="002175FA"/>
    <w:rsid w:val="00217F37"/>
    <w:rsid w:val="002212B0"/>
    <w:rsid w:val="0022214A"/>
    <w:rsid w:val="00222350"/>
    <w:rsid w:val="002231D3"/>
    <w:rsid w:val="0022335B"/>
    <w:rsid w:val="002235F3"/>
    <w:rsid w:val="0022364F"/>
    <w:rsid w:val="00223A5E"/>
    <w:rsid w:val="00223C75"/>
    <w:rsid w:val="00224479"/>
    <w:rsid w:val="002247E7"/>
    <w:rsid w:val="0022537C"/>
    <w:rsid w:val="0022685E"/>
    <w:rsid w:val="00227736"/>
    <w:rsid w:val="00227868"/>
    <w:rsid w:val="00230915"/>
    <w:rsid w:val="00230BF3"/>
    <w:rsid w:val="00230C4A"/>
    <w:rsid w:val="00230D53"/>
    <w:rsid w:val="0023191B"/>
    <w:rsid w:val="00232543"/>
    <w:rsid w:val="00232E03"/>
    <w:rsid w:val="002335B5"/>
    <w:rsid w:val="002337B2"/>
    <w:rsid w:val="00233C64"/>
    <w:rsid w:val="00233D9C"/>
    <w:rsid w:val="00234310"/>
    <w:rsid w:val="002369D7"/>
    <w:rsid w:val="00236A6E"/>
    <w:rsid w:val="00236BCC"/>
    <w:rsid w:val="002370C3"/>
    <w:rsid w:val="002404BA"/>
    <w:rsid w:val="002408D3"/>
    <w:rsid w:val="00240C3E"/>
    <w:rsid w:val="00240F9A"/>
    <w:rsid w:val="0024113B"/>
    <w:rsid w:val="002420CE"/>
    <w:rsid w:val="002427F7"/>
    <w:rsid w:val="00243015"/>
    <w:rsid w:val="0024338F"/>
    <w:rsid w:val="0024636C"/>
    <w:rsid w:val="002469A7"/>
    <w:rsid w:val="00246A7F"/>
    <w:rsid w:val="00246BA2"/>
    <w:rsid w:val="00247C5A"/>
    <w:rsid w:val="002501B6"/>
    <w:rsid w:val="002511A8"/>
    <w:rsid w:val="002512E8"/>
    <w:rsid w:val="00251FA2"/>
    <w:rsid w:val="002523FB"/>
    <w:rsid w:val="00253249"/>
    <w:rsid w:val="0025357C"/>
    <w:rsid w:val="002536CB"/>
    <w:rsid w:val="00253746"/>
    <w:rsid w:val="00253D93"/>
    <w:rsid w:val="0025526A"/>
    <w:rsid w:val="00255EA4"/>
    <w:rsid w:val="00260A36"/>
    <w:rsid w:val="00260A89"/>
    <w:rsid w:val="00260C9F"/>
    <w:rsid w:val="00260F23"/>
    <w:rsid w:val="00261362"/>
    <w:rsid w:val="00261A11"/>
    <w:rsid w:val="00261EF5"/>
    <w:rsid w:val="0026257D"/>
    <w:rsid w:val="00262826"/>
    <w:rsid w:val="00262A51"/>
    <w:rsid w:val="00262DDC"/>
    <w:rsid w:val="00263395"/>
    <w:rsid w:val="002646ED"/>
    <w:rsid w:val="00264C6E"/>
    <w:rsid w:val="002653DE"/>
    <w:rsid w:val="00265778"/>
    <w:rsid w:val="00265F84"/>
    <w:rsid w:val="00266F77"/>
    <w:rsid w:val="002679E5"/>
    <w:rsid w:val="00270695"/>
    <w:rsid w:val="002707B8"/>
    <w:rsid w:val="0027222C"/>
    <w:rsid w:val="002725BC"/>
    <w:rsid w:val="00272EBC"/>
    <w:rsid w:val="002731DD"/>
    <w:rsid w:val="002731DE"/>
    <w:rsid w:val="002735F9"/>
    <w:rsid w:val="00273CD1"/>
    <w:rsid w:val="00274463"/>
    <w:rsid w:val="0027502F"/>
    <w:rsid w:val="0027745A"/>
    <w:rsid w:val="00277C24"/>
    <w:rsid w:val="00277DD4"/>
    <w:rsid w:val="0028166F"/>
    <w:rsid w:val="00281733"/>
    <w:rsid w:val="0028174D"/>
    <w:rsid w:val="00281A30"/>
    <w:rsid w:val="002823D9"/>
    <w:rsid w:val="002831C6"/>
    <w:rsid w:val="00283432"/>
    <w:rsid w:val="0028520E"/>
    <w:rsid w:val="0028666A"/>
    <w:rsid w:val="0028789E"/>
    <w:rsid w:val="002902AB"/>
    <w:rsid w:val="00290422"/>
    <w:rsid w:val="00290B29"/>
    <w:rsid w:val="00290DEE"/>
    <w:rsid w:val="00290E59"/>
    <w:rsid w:val="00291330"/>
    <w:rsid w:val="00291C2D"/>
    <w:rsid w:val="00291E0E"/>
    <w:rsid w:val="00292313"/>
    <w:rsid w:val="00292868"/>
    <w:rsid w:val="00292DAA"/>
    <w:rsid w:val="00293B3D"/>
    <w:rsid w:val="00293D89"/>
    <w:rsid w:val="00294168"/>
    <w:rsid w:val="00294245"/>
    <w:rsid w:val="002948AE"/>
    <w:rsid w:val="00294BB9"/>
    <w:rsid w:val="00294FD0"/>
    <w:rsid w:val="002954DC"/>
    <w:rsid w:val="0029647F"/>
    <w:rsid w:val="00296B1E"/>
    <w:rsid w:val="00296B5D"/>
    <w:rsid w:val="00297ABC"/>
    <w:rsid w:val="00297C60"/>
    <w:rsid w:val="002A14EE"/>
    <w:rsid w:val="002A2421"/>
    <w:rsid w:val="002A2624"/>
    <w:rsid w:val="002A30D1"/>
    <w:rsid w:val="002A40A1"/>
    <w:rsid w:val="002A42F7"/>
    <w:rsid w:val="002A4594"/>
    <w:rsid w:val="002A467B"/>
    <w:rsid w:val="002A4934"/>
    <w:rsid w:val="002A50A7"/>
    <w:rsid w:val="002A5CC2"/>
    <w:rsid w:val="002A65C4"/>
    <w:rsid w:val="002A6EA8"/>
    <w:rsid w:val="002A7519"/>
    <w:rsid w:val="002A7DCE"/>
    <w:rsid w:val="002B001C"/>
    <w:rsid w:val="002B0715"/>
    <w:rsid w:val="002B2093"/>
    <w:rsid w:val="002B2507"/>
    <w:rsid w:val="002B334F"/>
    <w:rsid w:val="002B3E2F"/>
    <w:rsid w:val="002B3E37"/>
    <w:rsid w:val="002B4100"/>
    <w:rsid w:val="002B4250"/>
    <w:rsid w:val="002B429D"/>
    <w:rsid w:val="002B43D0"/>
    <w:rsid w:val="002B43F3"/>
    <w:rsid w:val="002B4680"/>
    <w:rsid w:val="002B4830"/>
    <w:rsid w:val="002B49D7"/>
    <w:rsid w:val="002B4A30"/>
    <w:rsid w:val="002B4F49"/>
    <w:rsid w:val="002B59F1"/>
    <w:rsid w:val="002B5E96"/>
    <w:rsid w:val="002B63FA"/>
    <w:rsid w:val="002B65CA"/>
    <w:rsid w:val="002B65D5"/>
    <w:rsid w:val="002B7D36"/>
    <w:rsid w:val="002C06B5"/>
    <w:rsid w:val="002C09BA"/>
    <w:rsid w:val="002C1E78"/>
    <w:rsid w:val="002C1FF0"/>
    <w:rsid w:val="002C21A1"/>
    <w:rsid w:val="002C24CE"/>
    <w:rsid w:val="002C26F9"/>
    <w:rsid w:val="002C3197"/>
    <w:rsid w:val="002C4A9F"/>
    <w:rsid w:val="002C4E8C"/>
    <w:rsid w:val="002C5E1F"/>
    <w:rsid w:val="002C651B"/>
    <w:rsid w:val="002C65D1"/>
    <w:rsid w:val="002C6C92"/>
    <w:rsid w:val="002C75B3"/>
    <w:rsid w:val="002D0261"/>
    <w:rsid w:val="002D0DA5"/>
    <w:rsid w:val="002D1002"/>
    <w:rsid w:val="002D1D1E"/>
    <w:rsid w:val="002D2D8E"/>
    <w:rsid w:val="002D2F7B"/>
    <w:rsid w:val="002D3E45"/>
    <w:rsid w:val="002D4660"/>
    <w:rsid w:val="002D473A"/>
    <w:rsid w:val="002D4D59"/>
    <w:rsid w:val="002D4F37"/>
    <w:rsid w:val="002D54B7"/>
    <w:rsid w:val="002D595E"/>
    <w:rsid w:val="002D61CE"/>
    <w:rsid w:val="002D6E03"/>
    <w:rsid w:val="002D7A75"/>
    <w:rsid w:val="002E030B"/>
    <w:rsid w:val="002E04B5"/>
    <w:rsid w:val="002E09CA"/>
    <w:rsid w:val="002E0CF6"/>
    <w:rsid w:val="002E1671"/>
    <w:rsid w:val="002E1782"/>
    <w:rsid w:val="002E211F"/>
    <w:rsid w:val="002E26A9"/>
    <w:rsid w:val="002E318F"/>
    <w:rsid w:val="002E397D"/>
    <w:rsid w:val="002E3EF7"/>
    <w:rsid w:val="002E43B7"/>
    <w:rsid w:val="002E4405"/>
    <w:rsid w:val="002E4FDC"/>
    <w:rsid w:val="002E50F9"/>
    <w:rsid w:val="002E516E"/>
    <w:rsid w:val="002E5F0C"/>
    <w:rsid w:val="002E6386"/>
    <w:rsid w:val="002E6CD0"/>
    <w:rsid w:val="002E6E73"/>
    <w:rsid w:val="002E799C"/>
    <w:rsid w:val="002F0D97"/>
    <w:rsid w:val="002F140C"/>
    <w:rsid w:val="002F163A"/>
    <w:rsid w:val="002F1A8A"/>
    <w:rsid w:val="002F29AB"/>
    <w:rsid w:val="002F2F62"/>
    <w:rsid w:val="002F313C"/>
    <w:rsid w:val="002F398D"/>
    <w:rsid w:val="002F41E6"/>
    <w:rsid w:val="002F4E5A"/>
    <w:rsid w:val="002F4FA0"/>
    <w:rsid w:val="002F5908"/>
    <w:rsid w:val="002F5F07"/>
    <w:rsid w:val="002F671E"/>
    <w:rsid w:val="002F672F"/>
    <w:rsid w:val="002F78C9"/>
    <w:rsid w:val="002F7F47"/>
    <w:rsid w:val="0030105C"/>
    <w:rsid w:val="00302747"/>
    <w:rsid w:val="0030459C"/>
    <w:rsid w:val="00304846"/>
    <w:rsid w:val="00304930"/>
    <w:rsid w:val="00304967"/>
    <w:rsid w:val="003051F7"/>
    <w:rsid w:val="0030523E"/>
    <w:rsid w:val="00305E5A"/>
    <w:rsid w:val="00311426"/>
    <w:rsid w:val="00311AAF"/>
    <w:rsid w:val="00312CB7"/>
    <w:rsid w:val="00312D97"/>
    <w:rsid w:val="00312FDE"/>
    <w:rsid w:val="0031493F"/>
    <w:rsid w:val="00315669"/>
    <w:rsid w:val="0031592E"/>
    <w:rsid w:val="00315E58"/>
    <w:rsid w:val="00315EB4"/>
    <w:rsid w:val="00315EF6"/>
    <w:rsid w:val="0031613D"/>
    <w:rsid w:val="003162DA"/>
    <w:rsid w:val="00317DEF"/>
    <w:rsid w:val="003201FA"/>
    <w:rsid w:val="003207DD"/>
    <w:rsid w:val="00320A32"/>
    <w:rsid w:val="00320AF3"/>
    <w:rsid w:val="00322518"/>
    <w:rsid w:val="003235C8"/>
    <w:rsid w:val="00324086"/>
    <w:rsid w:val="003249AC"/>
    <w:rsid w:val="00324AE8"/>
    <w:rsid w:val="0032597C"/>
    <w:rsid w:val="00326DD8"/>
    <w:rsid w:val="00327926"/>
    <w:rsid w:val="00327E12"/>
    <w:rsid w:val="003306BF"/>
    <w:rsid w:val="003307B4"/>
    <w:rsid w:val="00331F49"/>
    <w:rsid w:val="0033232A"/>
    <w:rsid w:val="0033247E"/>
    <w:rsid w:val="003325C0"/>
    <w:rsid w:val="00332899"/>
    <w:rsid w:val="00333033"/>
    <w:rsid w:val="00334155"/>
    <w:rsid w:val="003354D4"/>
    <w:rsid w:val="00336075"/>
    <w:rsid w:val="00336613"/>
    <w:rsid w:val="00336FF6"/>
    <w:rsid w:val="0033715B"/>
    <w:rsid w:val="00337EF1"/>
    <w:rsid w:val="00340289"/>
    <w:rsid w:val="00340ED2"/>
    <w:rsid w:val="00341244"/>
    <w:rsid w:val="00341B64"/>
    <w:rsid w:val="00341DD1"/>
    <w:rsid w:val="003421BB"/>
    <w:rsid w:val="00343604"/>
    <w:rsid w:val="00343701"/>
    <w:rsid w:val="00344186"/>
    <w:rsid w:val="00344D3F"/>
    <w:rsid w:val="0034504D"/>
    <w:rsid w:val="00345174"/>
    <w:rsid w:val="0034562A"/>
    <w:rsid w:val="00345A77"/>
    <w:rsid w:val="003468BE"/>
    <w:rsid w:val="00346C98"/>
    <w:rsid w:val="003478A8"/>
    <w:rsid w:val="00350A75"/>
    <w:rsid w:val="003510CD"/>
    <w:rsid w:val="00351ABE"/>
    <w:rsid w:val="00351DAD"/>
    <w:rsid w:val="00353460"/>
    <w:rsid w:val="0035483B"/>
    <w:rsid w:val="00354C60"/>
    <w:rsid w:val="00355663"/>
    <w:rsid w:val="0035620E"/>
    <w:rsid w:val="00356D71"/>
    <w:rsid w:val="0035765D"/>
    <w:rsid w:val="00360CDE"/>
    <w:rsid w:val="00360CEB"/>
    <w:rsid w:val="00361953"/>
    <w:rsid w:val="003625AF"/>
    <w:rsid w:val="00363176"/>
    <w:rsid w:val="00363AF6"/>
    <w:rsid w:val="00363B05"/>
    <w:rsid w:val="0036420B"/>
    <w:rsid w:val="00365779"/>
    <w:rsid w:val="00366FCA"/>
    <w:rsid w:val="0036752E"/>
    <w:rsid w:val="003675BA"/>
    <w:rsid w:val="00367717"/>
    <w:rsid w:val="0036791C"/>
    <w:rsid w:val="00371330"/>
    <w:rsid w:val="003717D0"/>
    <w:rsid w:val="00372AFC"/>
    <w:rsid w:val="00372E55"/>
    <w:rsid w:val="00373067"/>
    <w:rsid w:val="00373624"/>
    <w:rsid w:val="00373DFC"/>
    <w:rsid w:val="00374643"/>
    <w:rsid w:val="00374C13"/>
    <w:rsid w:val="00374E61"/>
    <w:rsid w:val="0037554E"/>
    <w:rsid w:val="003759CE"/>
    <w:rsid w:val="00375AFE"/>
    <w:rsid w:val="003762D5"/>
    <w:rsid w:val="003774A9"/>
    <w:rsid w:val="00380246"/>
    <w:rsid w:val="0038038C"/>
    <w:rsid w:val="003807BF"/>
    <w:rsid w:val="00380DBE"/>
    <w:rsid w:val="003810F0"/>
    <w:rsid w:val="00382125"/>
    <w:rsid w:val="003822A8"/>
    <w:rsid w:val="0038253D"/>
    <w:rsid w:val="00382632"/>
    <w:rsid w:val="00382B75"/>
    <w:rsid w:val="00383151"/>
    <w:rsid w:val="00383223"/>
    <w:rsid w:val="003840BC"/>
    <w:rsid w:val="00384A7B"/>
    <w:rsid w:val="00384FB0"/>
    <w:rsid w:val="003861AB"/>
    <w:rsid w:val="0038622A"/>
    <w:rsid w:val="00386A92"/>
    <w:rsid w:val="00386FB5"/>
    <w:rsid w:val="00387B03"/>
    <w:rsid w:val="00387C8A"/>
    <w:rsid w:val="00387CDC"/>
    <w:rsid w:val="0039036E"/>
    <w:rsid w:val="0039224B"/>
    <w:rsid w:val="00392942"/>
    <w:rsid w:val="00392C0A"/>
    <w:rsid w:val="003959AB"/>
    <w:rsid w:val="00395A18"/>
    <w:rsid w:val="0039632A"/>
    <w:rsid w:val="00396513"/>
    <w:rsid w:val="00396CFB"/>
    <w:rsid w:val="00396D6C"/>
    <w:rsid w:val="003973B3"/>
    <w:rsid w:val="003A117C"/>
    <w:rsid w:val="003A15AE"/>
    <w:rsid w:val="003A16AE"/>
    <w:rsid w:val="003A1C45"/>
    <w:rsid w:val="003A1E5E"/>
    <w:rsid w:val="003A1F58"/>
    <w:rsid w:val="003A20DA"/>
    <w:rsid w:val="003A2119"/>
    <w:rsid w:val="003A24EE"/>
    <w:rsid w:val="003A437D"/>
    <w:rsid w:val="003A53CD"/>
    <w:rsid w:val="003A5A24"/>
    <w:rsid w:val="003A5D41"/>
    <w:rsid w:val="003A79DB"/>
    <w:rsid w:val="003B1BCB"/>
    <w:rsid w:val="003B2977"/>
    <w:rsid w:val="003B3314"/>
    <w:rsid w:val="003B3D85"/>
    <w:rsid w:val="003B3DD0"/>
    <w:rsid w:val="003B44E2"/>
    <w:rsid w:val="003B572B"/>
    <w:rsid w:val="003B5B99"/>
    <w:rsid w:val="003C0D15"/>
    <w:rsid w:val="003C24E4"/>
    <w:rsid w:val="003C25AC"/>
    <w:rsid w:val="003C3543"/>
    <w:rsid w:val="003C355A"/>
    <w:rsid w:val="003C39FF"/>
    <w:rsid w:val="003C3E4A"/>
    <w:rsid w:val="003C3E93"/>
    <w:rsid w:val="003C4331"/>
    <w:rsid w:val="003C45C1"/>
    <w:rsid w:val="003C5067"/>
    <w:rsid w:val="003C5371"/>
    <w:rsid w:val="003C553A"/>
    <w:rsid w:val="003C5C8B"/>
    <w:rsid w:val="003C6195"/>
    <w:rsid w:val="003C664A"/>
    <w:rsid w:val="003C70C3"/>
    <w:rsid w:val="003C7FAB"/>
    <w:rsid w:val="003D1ECF"/>
    <w:rsid w:val="003D248B"/>
    <w:rsid w:val="003D2F8F"/>
    <w:rsid w:val="003D2F9B"/>
    <w:rsid w:val="003D345F"/>
    <w:rsid w:val="003D4747"/>
    <w:rsid w:val="003D4CC4"/>
    <w:rsid w:val="003D4ED4"/>
    <w:rsid w:val="003D53B8"/>
    <w:rsid w:val="003D55A5"/>
    <w:rsid w:val="003D56B2"/>
    <w:rsid w:val="003D5D7B"/>
    <w:rsid w:val="003D6D33"/>
    <w:rsid w:val="003D7434"/>
    <w:rsid w:val="003D750D"/>
    <w:rsid w:val="003E01A1"/>
    <w:rsid w:val="003E1251"/>
    <w:rsid w:val="003E145F"/>
    <w:rsid w:val="003E1D6A"/>
    <w:rsid w:val="003E2170"/>
    <w:rsid w:val="003E231E"/>
    <w:rsid w:val="003E375A"/>
    <w:rsid w:val="003E4222"/>
    <w:rsid w:val="003E4294"/>
    <w:rsid w:val="003E4918"/>
    <w:rsid w:val="003E4B5E"/>
    <w:rsid w:val="003E5292"/>
    <w:rsid w:val="003E57A7"/>
    <w:rsid w:val="003E5ECF"/>
    <w:rsid w:val="003E6165"/>
    <w:rsid w:val="003E66F5"/>
    <w:rsid w:val="003E67AF"/>
    <w:rsid w:val="003E6A8F"/>
    <w:rsid w:val="003E6E8B"/>
    <w:rsid w:val="003E713A"/>
    <w:rsid w:val="003E75A0"/>
    <w:rsid w:val="003E7A6E"/>
    <w:rsid w:val="003E7AEA"/>
    <w:rsid w:val="003F0994"/>
    <w:rsid w:val="003F0FB1"/>
    <w:rsid w:val="003F11AA"/>
    <w:rsid w:val="003F1614"/>
    <w:rsid w:val="003F221B"/>
    <w:rsid w:val="003F2626"/>
    <w:rsid w:val="003F2A7C"/>
    <w:rsid w:val="003F2C9D"/>
    <w:rsid w:val="003F46FA"/>
    <w:rsid w:val="003F49AA"/>
    <w:rsid w:val="003F6589"/>
    <w:rsid w:val="003F65B2"/>
    <w:rsid w:val="003F6C61"/>
    <w:rsid w:val="003F7844"/>
    <w:rsid w:val="003F78C1"/>
    <w:rsid w:val="003F7A1E"/>
    <w:rsid w:val="004007AC"/>
    <w:rsid w:val="00401DF0"/>
    <w:rsid w:val="0040227E"/>
    <w:rsid w:val="0040326B"/>
    <w:rsid w:val="00403973"/>
    <w:rsid w:val="00403ADC"/>
    <w:rsid w:val="0040424A"/>
    <w:rsid w:val="004044D4"/>
    <w:rsid w:val="00405681"/>
    <w:rsid w:val="00407264"/>
    <w:rsid w:val="00407582"/>
    <w:rsid w:val="00407657"/>
    <w:rsid w:val="004076BB"/>
    <w:rsid w:val="00407F7C"/>
    <w:rsid w:val="004103CD"/>
    <w:rsid w:val="00410A18"/>
    <w:rsid w:val="00410CBE"/>
    <w:rsid w:val="00410D47"/>
    <w:rsid w:val="00410F3F"/>
    <w:rsid w:val="00411962"/>
    <w:rsid w:val="004119E8"/>
    <w:rsid w:val="00411AF2"/>
    <w:rsid w:val="00411E44"/>
    <w:rsid w:val="004134D7"/>
    <w:rsid w:val="004138A5"/>
    <w:rsid w:val="004138DF"/>
    <w:rsid w:val="00413B4B"/>
    <w:rsid w:val="00413B64"/>
    <w:rsid w:val="00414885"/>
    <w:rsid w:val="00414F98"/>
    <w:rsid w:val="004151A6"/>
    <w:rsid w:val="0041560D"/>
    <w:rsid w:val="00416112"/>
    <w:rsid w:val="004166C9"/>
    <w:rsid w:val="004166F1"/>
    <w:rsid w:val="004167FD"/>
    <w:rsid w:val="00416B3C"/>
    <w:rsid w:val="00417922"/>
    <w:rsid w:val="00420D70"/>
    <w:rsid w:val="00421D4F"/>
    <w:rsid w:val="00422070"/>
    <w:rsid w:val="0042395F"/>
    <w:rsid w:val="00424E17"/>
    <w:rsid w:val="0042568D"/>
    <w:rsid w:val="004258DD"/>
    <w:rsid w:val="00425EE1"/>
    <w:rsid w:val="0042623B"/>
    <w:rsid w:val="00426918"/>
    <w:rsid w:val="0042694A"/>
    <w:rsid w:val="004271C3"/>
    <w:rsid w:val="0043036A"/>
    <w:rsid w:val="00431115"/>
    <w:rsid w:val="00431337"/>
    <w:rsid w:val="00431578"/>
    <w:rsid w:val="004315A7"/>
    <w:rsid w:val="00431F6C"/>
    <w:rsid w:val="0043241F"/>
    <w:rsid w:val="00432644"/>
    <w:rsid w:val="0043296A"/>
    <w:rsid w:val="00434D2A"/>
    <w:rsid w:val="00435115"/>
    <w:rsid w:val="00435253"/>
    <w:rsid w:val="004359BB"/>
    <w:rsid w:val="00437030"/>
    <w:rsid w:val="00437EF0"/>
    <w:rsid w:val="00437FBB"/>
    <w:rsid w:val="0044003D"/>
    <w:rsid w:val="00440A6A"/>
    <w:rsid w:val="00440DF1"/>
    <w:rsid w:val="00440FA1"/>
    <w:rsid w:val="004419F6"/>
    <w:rsid w:val="0044247C"/>
    <w:rsid w:val="0044248C"/>
    <w:rsid w:val="00442E88"/>
    <w:rsid w:val="00443D46"/>
    <w:rsid w:val="0044444E"/>
    <w:rsid w:val="00444745"/>
    <w:rsid w:val="00444E97"/>
    <w:rsid w:val="004458A9"/>
    <w:rsid w:val="00446455"/>
    <w:rsid w:val="004473F6"/>
    <w:rsid w:val="0044758B"/>
    <w:rsid w:val="00451D3D"/>
    <w:rsid w:val="00451DA6"/>
    <w:rsid w:val="00452072"/>
    <w:rsid w:val="0045307E"/>
    <w:rsid w:val="00454277"/>
    <w:rsid w:val="00454314"/>
    <w:rsid w:val="00454615"/>
    <w:rsid w:val="00454FE1"/>
    <w:rsid w:val="004559B2"/>
    <w:rsid w:val="00455A67"/>
    <w:rsid w:val="004566F5"/>
    <w:rsid w:val="00456950"/>
    <w:rsid w:val="00456A58"/>
    <w:rsid w:val="00456AB3"/>
    <w:rsid w:val="00456EA5"/>
    <w:rsid w:val="00457149"/>
    <w:rsid w:val="00457C7E"/>
    <w:rsid w:val="0046047E"/>
    <w:rsid w:val="00460CD3"/>
    <w:rsid w:val="00463DD9"/>
    <w:rsid w:val="00464590"/>
    <w:rsid w:val="004645FE"/>
    <w:rsid w:val="00464C75"/>
    <w:rsid w:val="0046584D"/>
    <w:rsid w:val="004658D1"/>
    <w:rsid w:val="004667BF"/>
    <w:rsid w:val="00466B8D"/>
    <w:rsid w:val="004675B8"/>
    <w:rsid w:val="00470794"/>
    <w:rsid w:val="00470F0F"/>
    <w:rsid w:val="00471157"/>
    <w:rsid w:val="0047158B"/>
    <w:rsid w:val="00471EC7"/>
    <w:rsid w:val="00472606"/>
    <w:rsid w:val="004729E0"/>
    <w:rsid w:val="00472B08"/>
    <w:rsid w:val="004734ED"/>
    <w:rsid w:val="00473850"/>
    <w:rsid w:val="00473B86"/>
    <w:rsid w:val="00473DD7"/>
    <w:rsid w:val="00473E98"/>
    <w:rsid w:val="004740E8"/>
    <w:rsid w:val="00474334"/>
    <w:rsid w:val="004745DA"/>
    <w:rsid w:val="00474896"/>
    <w:rsid w:val="004755D1"/>
    <w:rsid w:val="00475E79"/>
    <w:rsid w:val="00476460"/>
    <w:rsid w:val="004766E7"/>
    <w:rsid w:val="00477542"/>
    <w:rsid w:val="00477632"/>
    <w:rsid w:val="004776FE"/>
    <w:rsid w:val="0047789A"/>
    <w:rsid w:val="0047794D"/>
    <w:rsid w:val="00477951"/>
    <w:rsid w:val="00480855"/>
    <w:rsid w:val="00480BEA"/>
    <w:rsid w:val="00480EE8"/>
    <w:rsid w:val="004811CE"/>
    <w:rsid w:val="0048173C"/>
    <w:rsid w:val="00483334"/>
    <w:rsid w:val="004834B7"/>
    <w:rsid w:val="00483779"/>
    <w:rsid w:val="0048380E"/>
    <w:rsid w:val="0048427F"/>
    <w:rsid w:val="00484C84"/>
    <w:rsid w:val="00485461"/>
    <w:rsid w:val="00486665"/>
    <w:rsid w:val="0048668C"/>
    <w:rsid w:val="00486971"/>
    <w:rsid w:val="00486BE3"/>
    <w:rsid w:val="00487D91"/>
    <w:rsid w:val="0049123E"/>
    <w:rsid w:val="0049137F"/>
    <w:rsid w:val="00491ECF"/>
    <w:rsid w:val="004923EB"/>
    <w:rsid w:val="0049240B"/>
    <w:rsid w:val="0049331D"/>
    <w:rsid w:val="0049342D"/>
    <w:rsid w:val="00493E60"/>
    <w:rsid w:val="0049420B"/>
    <w:rsid w:val="0049474F"/>
    <w:rsid w:val="0049492E"/>
    <w:rsid w:val="00494FCE"/>
    <w:rsid w:val="00495293"/>
    <w:rsid w:val="004954D4"/>
    <w:rsid w:val="00495EC4"/>
    <w:rsid w:val="00496745"/>
    <w:rsid w:val="00497316"/>
    <w:rsid w:val="00497C0D"/>
    <w:rsid w:val="00497CF7"/>
    <w:rsid w:val="004A055B"/>
    <w:rsid w:val="004A058B"/>
    <w:rsid w:val="004A1639"/>
    <w:rsid w:val="004A17E0"/>
    <w:rsid w:val="004A18BA"/>
    <w:rsid w:val="004A18E3"/>
    <w:rsid w:val="004A57F6"/>
    <w:rsid w:val="004A5A2F"/>
    <w:rsid w:val="004A613F"/>
    <w:rsid w:val="004A6283"/>
    <w:rsid w:val="004A642F"/>
    <w:rsid w:val="004A7126"/>
    <w:rsid w:val="004A7AB2"/>
    <w:rsid w:val="004A7C66"/>
    <w:rsid w:val="004B07E0"/>
    <w:rsid w:val="004B0896"/>
    <w:rsid w:val="004B0D97"/>
    <w:rsid w:val="004B106A"/>
    <w:rsid w:val="004B134E"/>
    <w:rsid w:val="004B19BB"/>
    <w:rsid w:val="004B2609"/>
    <w:rsid w:val="004B2A33"/>
    <w:rsid w:val="004B31ED"/>
    <w:rsid w:val="004B394F"/>
    <w:rsid w:val="004B3BF1"/>
    <w:rsid w:val="004B3D81"/>
    <w:rsid w:val="004B6514"/>
    <w:rsid w:val="004B75BE"/>
    <w:rsid w:val="004B76C7"/>
    <w:rsid w:val="004B7D85"/>
    <w:rsid w:val="004C06FC"/>
    <w:rsid w:val="004C1432"/>
    <w:rsid w:val="004C3ECD"/>
    <w:rsid w:val="004C4037"/>
    <w:rsid w:val="004C4576"/>
    <w:rsid w:val="004C4E39"/>
    <w:rsid w:val="004C4F75"/>
    <w:rsid w:val="004C52A0"/>
    <w:rsid w:val="004C5E86"/>
    <w:rsid w:val="004C641B"/>
    <w:rsid w:val="004C69CB"/>
    <w:rsid w:val="004C6A5B"/>
    <w:rsid w:val="004C7EFC"/>
    <w:rsid w:val="004C7FC0"/>
    <w:rsid w:val="004D0505"/>
    <w:rsid w:val="004D05C8"/>
    <w:rsid w:val="004D0B18"/>
    <w:rsid w:val="004D0DB7"/>
    <w:rsid w:val="004D0DD0"/>
    <w:rsid w:val="004D0F7F"/>
    <w:rsid w:val="004D194A"/>
    <w:rsid w:val="004D1CA7"/>
    <w:rsid w:val="004D354C"/>
    <w:rsid w:val="004D4A2C"/>
    <w:rsid w:val="004D4AAC"/>
    <w:rsid w:val="004D5251"/>
    <w:rsid w:val="004D6DF4"/>
    <w:rsid w:val="004D7611"/>
    <w:rsid w:val="004E11D8"/>
    <w:rsid w:val="004E2062"/>
    <w:rsid w:val="004E22AA"/>
    <w:rsid w:val="004E2D8F"/>
    <w:rsid w:val="004E3225"/>
    <w:rsid w:val="004E40FD"/>
    <w:rsid w:val="004E4C79"/>
    <w:rsid w:val="004E58BC"/>
    <w:rsid w:val="004E595C"/>
    <w:rsid w:val="004E6043"/>
    <w:rsid w:val="004E72DE"/>
    <w:rsid w:val="004E7417"/>
    <w:rsid w:val="004E7689"/>
    <w:rsid w:val="004E7745"/>
    <w:rsid w:val="004F0127"/>
    <w:rsid w:val="004F3BF4"/>
    <w:rsid w:val="004F4561"/>
    <w:rsid w:val="004F476D"/>
    <w:rsid w:val="004F4B9A"/>
    <w:rsid w:val="004F4DAF"/>
    <w:rsid w:val="004F5900"/>
    <w:rsid w:val="004F5FF4"/>
    <w:rsid w:val="004F706D"/>
    <w:rsid w:val="004F7483"/>
    <w:rsid w:val="004F7758"/>
    <w:rsid w:val="00500243"/>
    <w:rsid w:val="005002F9"/>
    <w:rsid w:val="00500704"/>
    <w:rsid w:val="0050077F"/>
    <w:rsid w:val="00500DCB"/>
    <w:rsid w:val="00500DEF"/>
    <w:rsid w:val="00501CB0"/>
    <w:rsid w:val="005024F2"/>
    <w:rsid w:val="00502AFB"/>
    <w:rsid w:val="00502CA4"/>
    <w:rsid w:val="00502D50"/>
    <w:rsid w:val="005044C0"/>
    <w:rsid w:val="0050509A"/>
    <w:rsid w:val="00505D38"/>
    <w:rsid w:val="005060DF"/>
    <w:rsid w:val="005060E1"/>
    <w:rsid w:val="005062C1"/>
    <w:rsid w:val="005102D9"/>
    <w:rsid w:val="0051107A"/>
    <w:rsid w:val="00511BBB"/>
    <w:rsid w:val="00511D68"/>
    <w:rsid w:val="00512665"/>
    <w:rsid w:val="005129C3"/>
    <w:rsid w:val="005133E4"/>
    <w:rsid w:val="00513906"/>
    <w:rsid w:val="00513BF3"/>
    <w:rsid w:val="00514582"/>
    <w:rsid w:val="0051489E"/>
    <w:rsid w:val="00514AB4"/>
    <w:rsid w:val="00514C2E"/>
    <w:rsid w:val="00514F47"/>
    <w:rsid w:val="00515984"/>
    <w:rsid w:val="00516517"/>
    <w:rsid w:val="00516F6B"/>
    <w:rsid w:val="005175EF"/>
    <w:rsid w:val="005179A1"/>
    <w:rsid w:val="00517C69"/>
    <w:rsid w:val="00517D02"/>
    <w:rsid w:val="00520D0E"/>
    <w:rsid w:val="00521191"/>
    <w:rsid w:val="00521E3E"/>
    <w:rsid w:val="00522159"/>
    <w:rsid w:val="0052265F"/>
    <w:rsid w:val="005230B7"/>
    <w:rsid w:val="00523941"/>
    <w:rsid w:val="00524692"/>
    <w:rsid w:val="0052483D"/>
    <w:rsid w:val="0052566E"/>
    <w:rsid w:val="00525828"/>
    <w:rsid w:val="0052587C"/>
    <w:rsid w:val="00525F49"/>
    <w:rsid w:val="0052604A"/>
    <w:rsid w:val="00526B5D"/>
    <w:rsid w:val="0052759F"/>
    <w:rsid w:val="00527DB3"/>
    <w:rsid w:val="00530044"/>
    <w:rsid w:val="0053044F"/>
    <w:rsid w:val="005307D7"/>
    <w:rsid w:val="00531978"/>
    <w:rsid w:val="0053288A"/>
    <w:rsid w:val="005330E2"/>
    <w:rsid w:val="005353EA"/>
    <w:rsid w:val="00535BCB"/>
    <w:rsid w:val="00536FF5"/>
    <w:rsid w:val="00537323"/>
    <w:rsid w:val="0053751B"/>
    <w:rsid w:val="005404A8"/>
    <w:rsid w:val="005409D7"/>
    <w:rsid w:val="00540A1E"/>
    <w:rsid w:val="00540D4C"/>
    <w:rsid w:val="00541771"/>
    <w:rsid w:val="00541BE6"/>
    <w:rsid w:val="00542FFC"/>
    <w:rsid w:val="00543D20"/>
    <w:rsid w:val="00543F37"/>
    <w:rsid w:val="005446C0"/>
    <w:rsid w:val="00544F5B"/>
    <w:rsid w:val="0054533A"/>
    <w:rsid w:val="00545AD4"/>
    <w:rsid w:val="005461C0"/>
    <w:rsid w:val="00547676"/>
    <w:rsid w:val="00551791"/>
    <w:rsid w:val="00551AA7"/>
    <w:rsid w:val="0055228B"/>
    <w:rsid w:val="00552434"/>
    <w:rsid w:val="00552EB3"/>
    <w:rsid w:val="0055321B"/>
    <w:rsid w:val="00553352"/>
    <w:rsid w:val="00553F90"/>
    <w:rsid w:val="005543E0"/>
    <w:rsid w:val="00554AC6"/>
    <w:rsid w:val="00555259"/>
    <w:rsid w:val="00555593"/>
    <w:rsid w:val="005556B2"/>
    <w:rsid w:val="00561034"/>
    <w:rsid w:val="00561182"/>
    <w:rsid w:val="00561459"/>
    <w:rsid w:val="00561B12"/>
    <w:rsid w:val="0056204C"/>
    <w:rsid w:val="005623EA"/>
    <w:rsid w:val="00562433"/>
    <w:rsid w:val="00562495"/>
    <w:rsid w:val="00562880"/>
    <w:rsid w:val="00562AAA"/>
    <w:rsid w:val="00562AE6"/>
    <w:rsid w:val="00562F0E"/>
    <w:rsid w:val="00563F82"/>
    <w:rsid w:val="005641CC"/>
    <w:rsid w:val="005643CE"/>
    <w:rsid w:val="0056467E"/>
    <w:rsid w:val="005647C8"/>
    <w:rsid w:val="00564DCB"/>
    <w:rsid w:val="00565D72"/>
    <w:rsid w:val="00565F80"/>
    <w:rsid w:val="00566E92"/>
    <w:rsid w:val="005672B5"/>
    <w:rsid w:val="00567D65"/>
    <w:rsid w:val="005700FC"/>
    <w:rsid w:val="00570CBC"/>
    <w:rsid w:val="0057110B"/>
    <w:rsid w:val="00571660"/>
    <w:rsid w:val="005718D3"/>
    <w:rsid w:val="00571D17"/>
    <w:rsid w:val="00572079"/>
    <w:rsid w:val="0057283B"/>
    <w:rsid w:val="00573370"/>
    <w:rsid w:val="00573AF2"/>
    <w:rsid w:val="005742AE"/>
    <w:rsid w:val="00575B51"/>
    <w:rsid w:val="00576178"/>
    <w:rsid w:val="00576382"/>
    <w:rsid w:val="0057704E"/>
    <w:rsid w:val="005773FD"/>
    <w:rsid w:val="0057789C"/>
    <w:rsid w:val="0058075C"/>
    <w:rsid w:val="005809CE"/>
    <w:rsid w:val="00581186"/>
    <w:rsid w:val="005817DF"/>
    <w:rsid w:val="005819C5"/>
    <w:rsid w:val="005821D8"/>
    <w:rsid w:val="005824E9"/>
    <w:rsid w:val="00582701"/>
    <w:rsid w:val="00582C97"/>
    <w:rsid w:val="00583373"/>
    <w:rsid w:val="0058464C"/>
    <w:rsid w:val="00584756"/>
    <w:rsid w:val="00584F2E"/>
    <w:rsid w:val="0058593F"/>
    <w:rsid w:val="005860FD"/>
    <w:rsid w:val="005865F2"/>
    <w:rsid w:val="005866F4"/>
    <w:rsid w:val="00586C2C"/>
    <w:rsid w:val="00587EE4"/>
    <w:rsid w:val="00590091"/>
    <w:rsid w:val="005903FA"/>
    <w:rsid w:val="0059072C"/>
    <w:rsid w:val="00590DE7"/>
    <w:rsid w:val="005915D6"/>
    <w:rsid w:val="00591A40"/>
    <w:rsid w:val="00591F96"/>
    <w:rsid w:val="00594452"/>
    <w:rsid w:val="005949EE"/>
    <w:rsid w:val="00594F37"/>
    <w:rsid w:val="005953DF"/>
    <w:rsid w:val="0059544B"/>
    <w:rsid w:val="00597441"/>
    <w:rsid w:val="00597E22"/>
    <w:rsid w:val="005A02B8"/>
    <w:rsid w:val="005A0888"/>
    <w:rsid w:val="005A1AFE"/>
    <w:rsid w:val="005A2F63"/>
    <w:rsid w:val="005A2F6F"/>
    <w:rsid w:val="005A327A"/>
    <w:rsid w:val="005A39AF"/>
    <w:rsid w:val="005A40FF"/>
    <w:rsid w:val="005A43D0"/>
    <w:rsid w:val="005A573D"/>
    <w:rsid w:val="005A59F4"/>
    <w:rsid w:val="005A5B9A"/>
    <w:rsid w:val="005A5EEE"/>
    <w:rsid w:val="005A6B9B"/>
    <w:rsid w:val="005A7525"/>
    <w:rsid w:val="005A7708"/>
    <w:rsid w:val="005A7E14"/>
    <w:rsid w:val="005B0257"/>
    <w:rsid w:val="005B0650"/>
    <w:rsid w:val="005B0F17"/>
    <w:rsid w:val="005B1367"/>
    <w:rsid w:val="005B13A4"/>
    <w:rsid w:val="005B2248"/>
    <w:rsid w:val="005B368D"/>
    <w:rsid w:val="005B3E85"/>
    <w:rsid w:val="005B49E6"/>
    <w:rsid w:val="005B5008"/>
    <w:rsid w:val="005B50B8"/>
    <w:rsid w:val="005B5B2D"/>
    <w:rsid w:val="005B5BFC"/>
    <w:rsid w:val="005B5DBB"/>
    <w:rsid w:val="005B6297"/>
    <w:rsid w:val="005B6F87"/>
    <w:rsid w:val="005B72FA"/>
    <w:rsid w:val="005B7F7F"/>
    <w:rsid w:val="005C08BB"/>
    <w:rsid w:val="005C0A06"/>
    <w:rsid w:val="005C138B"/>
    <w:rsid w:val="005C203B"/>
    <w:rsid w:val="005C3F96"/>
    <w:rsid w:val="005C489D"/>
    <w:rsid w:val="005C59CE"/>
    <w:rsid w:val="005C5F99"/>
    <w:rsid w:val="005C6529"/>
    <w:rsid w:val="005C7BB3"/>
    <w:rsid w:val="005D01C9"/>
    <w:rsid w:val="005D027D"/>
    <w:rsid w:val="005D1101"/>
    <w:rsid w:val="005D1B1B"/>
    <w:rsid w:val="005D1EFD"/>
    <w:rsid w:val="005D1FFE"/>
    <w:rsid w:val="005D241C"/>
    <w:rsid w:val="005D25EC"/>
    <w:rsid w:val="005D2A8C"/>
    <w:rsid w:val="005D2ABC"/>
    <w:rsid w:val="005D2D13"/>
    <w:rsid w:val="005D42DA"/>
    <w:rsid w:val="005D49FF"/>
    <w:rsid w:val="005D4F29"/>
    <w:rsid w:val="005D5070"/>
    <w:rsid w:val="005D54CA"/>
    <w:rsid w:val="005D5717"/>
    <w:rsid w:val="005D5AE6"/>
    <w:rsid w:val="005D5CD7"/>
    <w:rsid w:val="005D6827"/>
    <w:rsid w:val="005D7D4E"/>
    <w:rsid w:val="005D7FB3"/>
    <w:rsid w:val="005E0BB0"/>
    <w:rsid w:val="005E1543"/>
    <w:rsid w:val="005E18EB"/>
    <w:rsid w:val="005E1D1F"/>
    <w:rsid w:val="005E20BF"/>
    <w:rsid w:val="005E2179"/>
    <w:rsid w:val="005E2647"/>
    <w:rsid w:val="005E28CB"/>
    <w:rsid w:val="005E316B"/>
    <w:rsid w:val="005E38B1"/>
    <w:rsid w:val="005E3EFB"/>
    <w:rsid w:val="005E4462"/>
    <w:rsid w:val="005E4CDD"/>
    <w:rsid w:val="005E4FBA"/>
    <w:rsid w:val="005E56E6"/>
    <w:rsid w:val="005E6055"/>
    <w:rsid w:val="005E61ED"/>
    <w:rsid w:val="005F0BB0"/>
    <w:rsid w:val="005F1373"/>
    <w:rsid w:val="005F26A9"/>
    <w:rsid w:val="005F2C62"/>
    <w:rsid w:val="005F4085"/>
    <w:rsid w:val="005F460E"/>
    <w:rsid w:val="005F5DC9"/>
    <w:rsid w:val="005F6EEB"/>
    <w:rsid w:val="005F70AA"/>
    <w:rsid w:val="005F7CBE"/>
    <w:rsid w:val="005F7DCB"/>
    <w:rsid w:val="006005B6"/>
    <w:rsid w:val="00600B02"/>
    <w:rsid w:val="00600F93"/>
    <w:rsid w:val="00601444"/>
    <w:rsid w:val="00601A7C"/>
    <w:rsid w:val="006025A4"/>
    <w:rsid w:val="00602922"/>
    <w:rsid w:val="006036FD"/>
    <w:rsid w:val="00603B4A"/>
    <w:rsid w:val="006049B0"/>
    <w:rsid w:val="00604E29"/>
    <w:rsid w:val="00605D38"/>
    <w:rsid w:val="00607125"/>
    <w:rsid w:val="00607964"/>
    <w:rsid w:val="00610702"/>
    <w:rsid w:val="006109F6"/>
    <w:rsid w:val="00612473"/>
    <w:rsid w:val="006124DB"/>
    <w:rsid w:val="0061276B"/>
    <w:rsid w:val="006129F8"/>
    <w:rsid w:val="00613597"/>
    <w:rsid w:val="00613722"/>
    <w:rsid w:val="00615341"/>
    <w:rsid w:val="006163AE"/>
    <w:rsid w:val="00616ADA"/>
    <w:rsid w:val="00616C0D"/>
    <w:rsid w:val="006175A7"/>
    <w:rsid w:val="00617E57"/>
    <w:rsid w:val="006220FA"/>
    <w:rsid w:val="00622818"/>
    <w:rsid w:val="00622C39"/>
    <w:rsid w:val="00622E0E"/>
    <w:rsid w:val="00623184"/>
    <w:rsid w:val="006239C7"/>
    <w:rsid w:val="00623BE6"/>
    <w:rsid w:val="00623EDB"/>
    <w:rsid w:val="0062454B"/>
    <w:rsid w:val="006247E3"/>
    <w:rsid w:val="006252C6"/>
    <w:rsid w:val="0062567E"/>
    <w:rsid w:val="0062576C"/>
    <w:rsid w:val="00625D43"/>
    <w:rsid w:val="0062674D"/>
    <w:rsid w:val="00630505"/>
    <w:rsid w:val="00630860"/>
    <w:rsid w:val="00630922"/>
    <w:rsid w:val="00630E11"/>
    <w:rsid w:val="00631143"/>
    <w:rsid w:val="006312BF"/>
    <w:rsid w:val="00631459"/>
    <w:rsid w:val="0063159D"/>
    <w:rsid w:val="00631C17"/>
    <w:rsid w:val="0063248E"/>
    <w:rsid w:val="006324CB"/>
    <w:rsid w:val="00632A5E"/>
    <w:rsid w:val="00632CF0"/>
    <w:rsid w:val="00632E7D"/>
    <w:rsid w:val="006331B0"/>
    <w:rsid w:val="006332DC"/>
    <w:rsid w:val="0063415D"/>
    <w:rsid w:val="006345B2"/>
    <w:rsid w:val="006360DB"/>
    <w:rsid w:val="00636481"/>
    <w:rsid w:val="00636B85"/>
    <w:rsid w:val="006375A1"/>
    <w:rsid w:val="006375A7"/>
    <w:rsid w:val="006375CA"/>
    <w:rsid w:val="00637ABC"/>
    <w:rsid w:val="006402B4"/>
    <w:rsid w:val="0064102F"/>
    <w:rsid w:val="0064166B"/>
    <w:rsid w:val="00641EA9"/>
    <w:rsid w:val="0064206E"/>
    <w:rsid w:val="00642F8C"/>
    <w:rsid w:val="00643DC9"/>
    <w:rsid w:val="00644F2A"/>
    <w:rsid w:val="00645529"/>
    <w:rsid w:val="00645C59"/>
    <w:rsid w:val="006460B8"/>
    <w:rsid w:val="0064646B"/>
    <w:rsid w:val="006465E9"/>
    <w:rsid w:val="00646FB2"/>
    <w:rsid w:val="006479EF"/>
    <w:rsid w:val="00650491"/>
    <w:rsid w:val="00650593"/>
    <w:rsid w:val="0065064A"/>
    <w:rsid w:val="006514A3"/>
    <w:rsid w:val="006529AA"/>
    <w:rsid w:val="00654707"/>
    <w:rsid w:val="00654F53"/>
    <w:rsid w:val="00657DDE"/>
    <w:rsid w:val="0066010E"/>
    <w:rsid w:val="00660D00"/>
    <w:rsid w:val="00662965"/>
    <w:rsid w:val="00664D23"/>
    <w:rsid w:val="00665397"/>
    <w:rsid w:val="0066611D"/>
    <w:rsid w:val="0066658E"/>
    <w:rsid w:val="006668D8"/>
    <w:rsid w:val="00666D5A"/>
    <w:rsid w:val="00670051"/>
    <w:rsid w:val="00670523"/>
    <w:rsid w:val="00670587"/>
    <w:rsid w:val="00670C47"/>
    <w:rsid w:val="006712EB"/>
    <w:rsid w:val="00671912"/>
    <w:rsid w:val="00672D7A"/>
    <w:rsid w:val="00673A06"/>
    <w:rsid w:val="0067419C"/>
    <w:rsid w:val="00675794"/>
    <w:rsid w:val="00675CCF"/>
    <w:rsid w:val="00675D10"/>
    <w:rsid w:val="00676044"/>
    <w:rsid w:val="006765F9"/>
    <w:rsid w:val="00677275"/>
    <w:rsid w:val="00680315"/>
    <w:rsid w:val="00680333"/>
    <w:rsid w:val="00680E08"/>
    <w:rsid w:val="00681052"/>
    <w:rsid w:val="00681057"/>
    <w:rsid w:val="006813E9"/>
    <w:rsid w:val="00681DA9"/>
    <w:rsid w:val="006823CF"/>
    <w:rsid w:val="006826C6"/>
    <w:rsid w:val="0068287A"/>
    <w:rsid w:val="00683C7D"/>
    <w:rsid w:val="00684057"/>
    <w:rsid w:val="00684729"/>
    <w:rsid w:val="006856D8"/>
    <w:rsid w:val="006857A8"/>
    <w:rsid w:val="00686D1E"/>
    <w:rsid w:val="00686E4E"/>
    <w:rsid w:val="0068709A"/>
    <w:rsid w:val="006870E0"/>
    <w:rsid w:val="00687569"/>
    <w:rsid w:val="00687DDC"/>
    <w:rsid w:val="00687F36"/>
    <w:rsid w:val="00690430"/>
    <w:rsid w:val="00690C77"/>
    <w:rsid w:val="0069149D"/>
    <w:rsid w:val="006915C5"/>
    <w:rsid w:val="00691C71"/>
    <w:rsid w:val="00692B34"/>
    <w:rsid w:val="00692B5D"/>
    <w:rsid w:val="006936D1"/>
    <w:rsid w:val="00693E90"/>
    <w:rsid w:val="00693F32"/>
    <w:rsid w:val="00694365"/>
    <w:rsid w:val="0069437A"/>
    <w:rsid w:val="00694464"/>
    <w:rsid w:val="00694549"/>
    <w:rsid w:val="00694616"/>
    <w:rsid w:val="00695011"/>
    <w:rsid w:val="00695FDB"/>
    <w:rsid w:val="00696044"/>
    <w:rsid w:val="00696E76"/>
    <w:rsid w:val="00697198"/>
    <w:rsid w:val="00697625"/>
    <w:rsid w:val="00697734"/>
    <w:rsid w:val="00697AC6"/>
    <w:rsid w:val="00697AE2"/>
    <w:rsid w:val="006A01D7"/>
    <w:rsid w:val="006A201E"/>
    <w:rsid w:val="006A424B"/>
    <w:rsid w:val="006A4410"/>
    <w:rsid w:val="006A4B1B"/>
    <w:rsid w:val="006A551F"/>
    <w:rsid w:val="006A6032"/>
    <w:rsid w:val="006A6EF2"/>
    <w:rsid w:val="006A79FB"/>
    <w:rsid w:val="006A7B6C"/>
    <w:rsid w:val="006B0884"/>
    <w:rsid w:val="006B16CD"/>
    <w:rsid w:val="006B2246"/>
    <w:rsid w:val="006B22CB"/>
    <w:rsid w:val="006B22FA"/>
    <w:rsid w:val="006B2BD1"/>
    <w:rsid w:val="006B2C36"/>
    <w:rsid w:val="006B33DA"/>
    <w:rsid w:val="006B345B"/>
    <w:rsid w:val="006B3ABA"/>
    <w:rsid w:val="006B3CA3"/>
    <w:rsid w:val="006B4C20"/>
    <w:rsid w:val="006B514A"/>
    <w:rsid w:val="006B559B"/>
    <w:rsid w:val="006B5795"/>
    <w:rsid w:val="006B5FC7"/>
    <w:rsid w:val="006B664F"/>
    <w:rsid w:val="006B6ACF"/>
    <w:rsid w:val="006B6F5A"/>
    <w:rsid w:val="006B72DC"/>
    <w:rsid w:val="006C0489"/>
    <w:rsid w:val="006C0DF1"/>
    <w:rsid w:val="006C0E51"/>
    <w:rsid w:val="006C1162"/>
    <w:rsid w:val="006C179B"/>
    <w:rsid w:val="006C19FF"/>
    <w:rsid w:val="006C252F"/>
    <w:rsid w:val="006C26AA"/>
    <w:rsid w:val="006C26E8"/>
    <w:rsid w:val="006C2749"/>
    <w:rsid w:val="006C2C06"/>
    <w:rsid w:val="006C3519"/>
    <w:rsid w:val="006C370D"/>
    <w:rsid w:val="006C40EC"/>
    <w:rsid w:val="006C4152"/>
    <w:rsid w:val="006C43A3"/>
    <w:rsid w:val="006C4B0D"/>
    <w:rsid w:val="006C5C95"/>
    <w:rsid w:val="006C6D1D"/>
    <w:rsid w:val="006C70ED"/>
    <w:rsid w:val="006C75A8"/>
    <w:rsid w:val="006C7AD8"/>
    <w:rsid w:val="006D045D"/>
    <w:rsid w:val="006D05F8"/>
    <w:rsid w:val="006D08D6"/>
    <w:rsid w:val="006D123F"/>
    <w:rsid w:val="006D1715"/>
    <w:rsid w:val="006D1B81"/>
    <w:rsid w:val="006D219A"/>
    <w:rsid w:val="006D2FCF"/>
    <w:rsid w:val="006D3126"/>
    <w:rsid w:val="006D3407"/>
    <w:rsid w:val="006D34ED"/>
    <w:rsid w:val="006D3AD7"/>
    <w:rsid w:val="006D3E76"/>
    <w:rsid w:val="006D44D3"/>
    <w:rsid w:val="006D49F8"/>
    <w:rsid w:val="006D52C6"/>
    <w:rsid w:val="006D5B72"/>
    <w:rsid w:val="006D64A8"/>
    <w:rsid w:val="006D68FE"/>
    <w:rsid w:val="006D6F0C"/>
    <w:rsid w:val="006D7194"/>
    <w:rsid w:val="006D7281"/>
    <w:rsid w:val="006E0020"/>
    <w:rsid w:val="006E02C8"/>
    <w:rsid w:val="006E0832"/>
    <w:rsid w:val="006E09FA"/>
    <w:rsid w:val="006E0BB0"/>
    <w:rsid w:val="006E0DA4"/>
    <w:rsid w:val="006E0E61"/>
    <w:rsid w:val="006E11C5"/>
    <w:rsid w:val="006E2139"/>
    <w:rsid w:val="006E25CC"/>
    <w:rsid w:val="006E2E96"/>
    <w:rsid w:val="006E31DC"/>
    <w:rsid w:val="006E4324"/>
    <w:rsid w:val="006E4ADC"/>
    <w:rsid w:val="006E4AFB"/>
    <w:rsid w:val="006E5B1C"/>
    <w:rsid w:val="006E60C6"/>
    <w:rsid w:val="006E6AF1"/>
    <w:rsid w:val="006E6CC3"/>
    <w:rsid w:val="006E7241"/>
    <w:rsid w:val="006E7A97"/>
    <w:rsid w:val="006F01DD"/>
    <w:rsid w:val="006F1081"/>
    <w:rsid w:val="006F10FB"/>
    <w:rsid w:val="006F13F6"/>
    <w:rsid w:val="006F1799"/>
    <w:rsid w:val="006F1912"/>
    <w:rsid w:val="006F22ED"/>
    <w:rsid w:val="006F32FE"/>
    <w:rsid w:val="006F398B"/>
    <w:rsid w:val="006F3FF7"/>
    <w:rsid w:val="006F4D78"/>
    <w:rsid w:val="006F511E"/>
    <w:rsid w:val="006F52DD"/>
    <w:rsid w:val="006F5521"/>
    <w:rsid w:val="006F5C6B"/>
    <w:rsid w:val="006F5CBA"/>
    <w:rsid w:val="006F5D72"/>
    <w:rsid w:val="006F5F73"/>
    <w:rsid w:val="006F6852"/>
    <w:rsid w:val="006F7104"/>
    <w:rsid w:val="006F7EA9"/>
    <w:rsid w:val="00700807"/>
    <w:rsid w:val="007010B5"/>
    <w:rsid w:val="00702538"/>
    <w:rsid w:val="007025D9"/>
    <w:rsid w:val="0070267C"/>
    <w:rsid w:val="0070369D"/>
    <w:rsid w:val="007037B2"/>
    <w:rsid w:val="00703E39"/>
    <w:rsid w:val="00704431"/>
    <w:rsid w:val="007052B7"/>
    <w:rsid w:val="007054DC"/>
    <w:rsid w:val="0070595E"/>
    <w:rsid w:val="00705A09"/>
    <w:rsid w:val="00705F58"/>
    <w:rsid w:val="00706DBB"/>
    <w:rsid w:val="007076B5"/>
    <w:rsid w:val="00710360"/>
    <w:rsid w:val="00711F3A"/>
    <w:rsid w:val="0071331E"/>
    <w:rsid w:val="00714CC3"/>
    <w:rsid w:val="00716505"/>
    <w:rsid w:val="007166D8"/>
    <w:rsid w:val="0072002A"/>
    <w:rsid w:val="0072015A"/>
    <w:rsid w:val="00720230"/>
    <w:rsid w:val="00720865"/>
    <w:rsid w:val="00721C75"/>
    <w:rsid w:val="00722501"/>
    <w:rsid w:val="007232E0"/>
    <w:rsid w:val="007237AD"/>
    <w:rsid w:val="00723AE2"/>
    <w:rsid w:val="007249B2"/>
    <w:rsid w:val="00724A9A"/>
    <w:rsid w:val="00725BBB"/>
    <w:rsid w:val="00726338"/>
    <w:rsid w:val="007270F4"/>
    <w:rsid w:val="00730EA0"/>
    <w:rsid w:val="00731276"/>
    <w:rsid w:val="00731312"/>
    <w:rsid w:val="00732324"/>
    <w:rsid w:val="00732C5B"/>
    <w:rsid w:val="00733A22"/>
    <w:rsid w:val="007340FB"/>
    <w:rsid w:val="00734139"/>
    <w:rsid w:val="00735867"/>
    <w:rsid w:val="00735E94"/>
    <w:rsid w:val="007366D8"/>
    <w:rsid w:val="00736A3D"/>
    <w:rsid w:val="00737318"/>
    <w:rsid w:val="00737B21"/>
    <w:rsid w:val="007408CB"/>
    <w:rsid w:val="00740A97"/>
    <w:rsid w:val="00740A9B"/>
    <w:rsid w:val="00740F2A"/>
    <w:rsid w:val="00741494"/>
    <w:rsid w:val="00742840"/>
    <w:rsid w:val="0074312B"/>
    <w:rsid w:val="007442C1"/>
    <w:rsid w:val="007443F6"/>
    <w:rsid w:val="007453B6"/>
    <w:rsid w:val="007458FA"/>
    <w:rsid w:val="00745A81"/>
    <w:rsid w:val="00745BAE"/>
    <w:rsid w:val="00746640"/>
    <w:rsid w:val="007467DE"/>
    <w:rsid w:val="00747079"/>
    <w:rsid w:val="00747E84"/>
    <w:rsid w:val="00750997"/>
    <w:rsid w:val="00750ADF"/>
    <w:rsid w:val="007517FD"/>
    <w:rsid w:val="00751C55"/>
    <w:rsid w:val="00751F87"/>
    <w:rsid w:val="0075274C"/>
    <w:rsid w:val="007529AA"/>
    <w:rsid w:val="00752B72"/>
    <w:rsid w:val="00752FD3"/>
    <w:rsid w:val="00752FE4"/>
    <w:rsid w:val="00753357"/>
    <w:rsid w:val="00753EE9"/>
    <w:rsid w:val="00754555"/>
    <w:rsid w:val="00755256"/>
    <w:rsid w:val="007552CC"/>
    <w:rsid w:val="0075534D"/>
    <w:rsid w:val="00755907"/>
    <w:rsid w:val="007562DA"/>
    <w:rsid w:val="007569E1"/>
    <w:rsid w:val="00756FF8"/>
    <w:rsid w:val="0075756B"/>
    <w:rsid w:val="00757C70"/>
    <w:rsid w:val="00757FFA"/>
    <w:rsid w:val="007604F4"/>
    <w:rsid w:val="0076059A"/>
    <w:rsid w:val="00762319"/>
    <w:rsid w:val="007627D2"/>
    <w:rsid w:val="00762C7C"/>
    <w:rsid w:val="00762FBE"/>
    <w:rsid w:val="007634A9"/>
    <w:rsid w:val="0076356B"/>
    <w:rsid w:val="007638AF"/>
    <w:rsid w:val="007651EA"/>
    <w:rsid w:val="007664E4"/>
    <w:rsid w:val="0076691B"/>
    <w:rsid w:val="00766A7A"/>
    <w:rsid w:val="00770948"/>
    <w:rsid w:val="00770D8D"/>
    <w:rsid w:val="00771BAB"/>
    <w:rsid w:val="00771C54"/>
    <w:rsid w:val="00772CEA"/>
    <w:rsid w:val="007740BD"/>
    <w:rsid w:val="007747BE"/>
    <w:rsid w:val="00775886"/>
    <w:rsid w:val="00775913"/>
    <w:rsid w:val="00775967"/>
    <w:rsid w:val="0077602A"/>
    <w:rsid w:val="007768DF"/>
    <w:rsid w:val="007768FB"/>
    <w:rsid w:val="00776F99"/>
    <w:rsid w:val="0077790A"/>
    <w:rsid w:val="00777C67"/>
    <w:rsid w:val="007802AD"/>
    <w:rsid w:val="0078047F"/>
    <w:rsid w:val="00780A59"/>
    <w:rsid w:val="00781203"/>
    <w:rsid w:val="00781B56"/>
    <w:rsid w:val="00781EF8"/>
    <w:rsid w:val="00781F73"/>
    <w:rsid w:val="00782443"/>
    <w:rsid w:val="00782EEC"/>
    <w:rsid w:val="00782FF3"/>
    <w:rsid w:val="007838C5"/>
    <w:rsid w:val="00783E5B"/>
    <w:rsid w:val="007845E1"/>
    <w:rsid w:val="00784ACA"/>
    <w:rsid w:val="0078587A"/>
    <w:rsid w:val="00785927"/>
    <w:rsid w:val="00785982"/>
    <w:rsid w:val="00786EAE"/>
    <w:rsid w:val="00787686"/>
    <w:rsid w:val="00787904"/>
    <w:rsid w:val="00787A5A"/>
    <w:rsid w:val="00787E50"/>
    <w:rsid w:val="00790C73"/>
    <w:rsid w:val="00790E72"/>
    <w:rsid w:val="00791150"/>
    <w:rsid w:val="00792408"/>
    <w:rsid w:val="00793541"/>
    <w:rsid w:val="007936FA"/>
    <w:rsid w:val="00793D9F"/>
    <w:rsid w:val="00794941"/>
    <w:rsid w:val="00795DE6"/>
    <w:rsid w:val="00795EF2"/>
    <w:rsid w:val="007967D3"/>
    <w:rsid w:val="007968B8"/>
    <w:rsid w:val="00796ABD"/>
    <w:rsid w:val="00796B1B"/>
    <w:rsid w:val="007971B6"/>
    <w:rsid w:val="00797778"/>
    <w:rsid w:val="00797C76"/>
    <w:rsid w:val="007A0B2C"/>
    <w:rsid w:val="007A0FEC"/>
    <w:rsid w:val="007A12B9"/>
    <w:rsid w:val="007A12C9"/>
    <w:rsid w:val="007A17BB"/>
    <w:rsid w:val="007A2721"/>
    <w:rsid w:val="007A272C"/>
    <w:rsid w:val="007A28CD"/>
    <w:rsid w:val="007A2B3E"/>
    <w:rsid w:val="007A2EE6"/>
    <w:rsid w:val="007A4323"/>
    <w:rsid w:val="007A45B2"/>
    <w:rsid w:val="007A5794"/>
    <w:rsid w:val="007A584C"/>
    <w:rsid w:val="007A5E93"/>
    <w:rsid w:val="007A6135"/>
    <w:rsid w:val="007A71AC"/>
    <w:rsid w:val="007A744E"/>
    <w:rsid w:val="007A7540"/>
    <w:rsid w:val="007A7AF1"/>
    <w:rsid w:val="007A7CFC"/>
    <w:rsid w:val="007A7D02"/>
    <w:rsid w:val="007B0D7B"/>
    <w:rsid w:val="007B0E92"/>
    <w:rsid w:val="007B1087"/>
    <w:rsid w:val="007B177C"/>
    <w:rsid w:val="007B18D0"/>
    <w:rsid w:val="007B1F3E"/>
    <w:rsid w:val="007B21AB"/>
    <w:rsid w:val="007B2A08"/>
    <w:rsid w:val="007B2E9D"/>
    <w:rsid w:val="007B5E8E"/>
    <w:rsid w:val="007B6225"/>
    <w:rsid w:val="007B6843"/>
    <w:rsid w:val="007B74E6"/>
    <w:rsid w:val="007B75D9"/>
    <w:rsid w:val="007B7E72"/>
    <w:rsid w:val="007C09B3"/>
    <w:rsid w:val="007C0B6B"/>
    <w:rsid w:val="007C0D75"/>
    <w:rsid w:val="007C12FC"/>
    <w:rsid w:val="007C13B8"/>
    <w:rsid w:val="007C22D2"/>
    <w:rsid w:val="007C2617"/>
    <w:rsid w:val="007C2DF3"/>
    <w:rsid w:val="007C2FE3"/>
    <w:rsid w:val="007C3072"/>
    <w:rsid w:val="007C38C6"/>
    <w:rsid w:val="007C4284"/>
    <w:rsid w:val="007C4D6B"/>
    <w:rsid w:val="007C4FEE"/>
    <w:rsid w:val="007C5428"/>
    <w:rsid w:val="007C5A3B"/>
    <w:rsid w:val="007C68B5"/>
    <w:rsid w:val="007C79A2"/>
    <w:rsid w:val="007D0C25"/>
    <w:rsid w:val="007D1457"/>
    <w:rsid w:val="007D14A3"/>
    <w:rsid w:val="007D1D5D"/>
    <w:rsid w:val="007D2185"/>
    <w:rsid w:val="007D2511"/>
    <w:rsid w:val="007D354A"/>
    <w:rsid w:val="007D36C8"/>
    <w:rsid w:val="007D38AE"/>
    <w:rsid w:val="007D4151"/>
    <w:rsid w:val="007D41D8"/>
    <w:rsid w:val="007D4FDA"/>
    <w:rsid w:val="007D52F7"/>
    <w:rsid w:val="007D5554"/>
    <w:rsid w:val="007D5AD8"/>
    <w:rsid w:val="007D6269"/>
    <w:rsid w:val="007D62F3"/>
    <w:rsid w:val="007D6425"/>
    <w:rsid w:val="007D7600"/>
    <w:rsid w:val="007D7696"/>
    <w:rsid w:val="007E01D5"/>
    <w:rsid w:val="007E120E"/>
    <w:rsid w:val="007E28A0"/>
    <w:rsid w:val="007E2D45"/>
    <w:rsid w:val="007E39AE"/>
    <w:rsid w:val="007E45DE"/>
    <w:rsid w:val="007E489C"/>
    <w:rsid w:val="007E48CF"/>
    <w:rsid w:val="007E623F"/>
    <w:rsid w:val="007E7124"/>
    <w:rsid w:val="007E73B9"/>
    <w:rsid w:val="007E79F6"/>
    <w:rsid w:val="007F00FF"/>
    <w:rsid w:val="007F035B"/>
    <w:rsid w:val="007F1946"/>
    <w:rsid w:val="007F1980"/>
    <w:rsid w:val="007F1C22"/>
    <w:rsid w:val="007F2C92"/>
    <w:rsid w:val="007F2D88"/>
    <w:rsid w:val="007F2EC5"/>
    <w:rsid w:val="007F31B2"/>
    <w:rsid w:val="007F34B6"/>
    <w:rsid w:val="007F352D"/>
    <w:rsid w:val="007F36F6"/>
    <w:rsid w:val="007F446E"/>
    <w:rsid w:val="007F497E"/>
    <w:rsid w:val="007F49BC"/>
    <w:rsid w:val="007F4E1E"/>
    <w:rsid w:val="007F549E"/>
    <w:rsid w:val="007F607A"/>
    <w:rsid w:val="007F6FB1"/>
    <w:rsid w:val="007F708D"/>
    <w:rsid w:val="007F71DF"/>
    <w:rsid w:val="007F75B0"/>
    <w:rsid w:val="00800E71"/>
    <w:rsid w:val="00800E8F"/>
    <w:rsid w:val="0080170D"/>
    <w:rsid w:val="00801EB3"/>
    <w:rsid w:val="00802ABC"/>
    <w:rsid w:val="00802AF1"/>
    <w:rsid w:val="00802DCF"/>
    <w:rsid w:val="00803052"/>
    <w:rsid w:val="008033C2"/>
    <w:rsid w:val="0080342B"/>
    <w:rsid w:val="00803AF3"/>
    <w:rsid w:val="00803DB8"/>
    <w:rsid w:val="0080547D"/>
    <w:rsid w:val="008058F8"/>
    <w:rsid w:val="00805E6A"/>
    <w:rsid w:val="00805FBE"/>
    <w:rsid w:val="00806604"/>
    <w:rsid w:val="00806A19"/>
    <w:rsid w:val="00806A3A"/>
    <w:rsid w:val="00806D17"/>
    <w:rsid w:val="00810570"/>
    <w:rsid w:val="008115F6"/>
    <w:rsid w:val="0081207E"/>
    <w:rsid w:val="00812232"/>
    <w:rsid w:val="00812A8C"/>
    <w:rsid w:val="00812AA1"/>
    <w:rsid w:val="00812C53"/>
    <w:rsid w:val="008131FA"/>
    <w:rsid w:val="008133C0"/>
    <w:rsid w:val="00813F1A"/>
    <w:rsid w:val="00814A3A"/>
    <w:rsid w:val="00815A3E"/>
    <w:rsid w:val="0081725F"/>
    <w:rsid w:val="008177EE"/>
    <w:rsid w:val="00820BED"/>
    <w:rsid w:val="00821692"/>
    <w:rsid w:val="00821B54"/>
    <w:rsid w:val="00821CCF"/>
    <w:rsid w:val="00822091"/>
    <w:rsid w:val="00822725"/>
    <w:rsid w:val="00822A6D"/>
    <w:rsid w:val="00823311"/>
    <w:rsid w:val="00823C69"/>
    <w:rsid w:val="008246E3"/>
    <w:rsid w:val="008247AC"/>
    <w:rsid w:val="008259CF"/>
    <w:rsid w:val="00825E35"/>
    <w:rsid w:val="008260A4"/>
    <w:rsid w:val="0082610A"/>
    <w:rsid w:val="00827673"/>
    <w:rsid w:val="00827686"/>
    <w:rsid w:val="00827C22"/>
    <w:rsid w:val="00827EC4"/>
    <w:rsid w:val="008305E0"/>
    <w:rsid w:val="00830CC4"/>
    <w:rsid w:val="00830DCE"/>
    <w:rsid w:val="00830F03"/>
    <w:rsid w:val="00830FE7"/>
    <w:rsid w:val="0083168B"/>
    <w:rsid w:val="00831D33"/>
    <w:rsid w:val="0083297E"/>
    <w:rsid w:val="00832D88"/>
    <w:rsid w:val="008330AB"/>
    <w:rsid w:val="0083338D"/>
    <w:rsid w:val="00833722"/>
    <w:rsid w:val="00833FB6"/>
    <w:rsid w:val="0083471E"/>
    <w:rsid w:val="00834BC3"/>
    <w:rsid w:val="00834E65"/>
    <w:rsid w:val="00836129"/>
    <w:rsid w:val="00836157"/>
    <w:rsid w:val="00837186"/>
    <w:rsid w:val="00837769"/>
    <w:rsid w:val="008402A4"/>
    <w:rsid w:val="00841CA3"/>
    <w:rsid w:val="00841E8B"/>
    <w:rsid w:val="00841F18"/>
    <w:rsid w:val="00842FE7"/>
    <w:rsid w:val="00844434"/>
    <w:rsid w:val="00844E8E"/>
    <w:rsid w:val="008455EF"/>
    <w:rsid w:val="00845891"/>
    <w:rsid w:val="00845DFC"/>
    <w:rsid w:val="0084695A"/>
    <w:rsid w:val="008472AE"/>
    <w:rsid w:val="008507FE"/>
    <w:rsid w:val="00850E16"/>
    <w:rsid w:val="00851F41"/>
    <w:rsid w:val="00852018"/>
    <w:rsid w:val="0085210E"/>
    <w:rsid w:val="008543E8"/>
    <w:rsid w:val="00855914"/>
    <w:rsid w:val="00855ED6"/>
    <w:rsid w:val="00856121"/>
    <w:rsid w:val="00860AF0"/>
    <w:rsid w:val="008618B2"/>
    <w:rsid w:val="00861E8F"/>
    <w:rsid w:val="0086265D"/>
    <w:rsid w:val="00862760"/>
    <w:rsid w:val="00863502"/>
    <w:rsid w:val="0086562B"/>
    <w:rsid w:val="008657E0"/>
    <w:rsid w:val="00866B44"/>
    <w:rsid w:val="00867A25"/>
    <w:rsid w:val="008700BA"/>
    <w:rsid w:val="00871DD7"/>
    <w:rsid w:val="0087209B"/>
    <w:rsid w:val="0087298D"/>
    <w:rsid w:val="00872BF5"/>
    <w:rsid w:val="00873666"/>
    <w:rsid w:val="00873733"/>
    <w:rsid w:val="00873AB0"/>
    <w:rsid w:val="00873B7F"/>
    <w:rsid w:val="00874736"/>
    <w:rsid w:val="0087483B"/>
    <w:rsid w:val="008748B4"/>
    <w:rsid w:val="00874F51"/>
    <w:rsid w:val="008751F6"/>
    <w:rsid w:val="00875789"/>
    <w:rsid w:val="00875CD5"/>
    <w:rsid w:val="00876854"/>
    <w:rsid w:val="008768BB"/>
    <w:rsid w:val="00876986"/>
    <w:rsid w:val="008769E3"/>
    <w:rsid w:val="008769F5"/>
    <w:rsid w:val="00876C2D"/>
    <w:rsid w:val="00877D7A"/>
    <w:rsid w:val="008804BC"/>
    <w:rsid w:val="00880D1A"/>
    <w:rsid w:val="00881C6D"/>
    <w:rsid w:val="00881D81"/>
    <w:rsid w:val="00881E2C"/>
    <w:rsid w:val="00882091"/>
    <w:rsid w:val="008824B1"/>
    <w:rsid w:val="008825F5"/>
    <w:rsid w:val="00883566"/>
    <w:rsid w:val="008839D0"/>
    <w:rsid w:val="00883E59"/>
    <w:rsid w:val="00884691"/>
    <w:rsid w:val="008849FF"/>
    <w:rsid w:val="00884ED9"/>
    <w:rsid w:val="008859AC"/>
    <w:rsid w:val="008861B2"/>
    <w:rsid w:val="00886588"/>
    <w:rsid w:val="0088694E"/>
    <w:rsid w:val="008869C8"/>
    <w:rsid w:val="00886A03"/>
    <w:rsid w:val="00886AC3"/>
    <w:rsid w:val="008906DF"/>
    <w:rsid w:val="00890775"/>
    <w:rsid w:val="00890FAF"/>
    <w:rsid w:val="00891128"/>
    <w:rsid w:val="00893BB7"/>
    <w:rsid w:val="00894F33"/>
    <w:rsid w:val="00895A04"/>
    <w:rsid w:val="00896574"/>
    <w:rsid w:val="008A0025"/>
    <w:rsid w:val="008A0990"/>
    <w:rsid w:val="008A0B5C"/>
    <w:rsid w:val="008A1D93"/>
    <w:rsid w:val="008A2094"/>
    <w:rsid w:val="008A212A"/>
    <w:rsid w:val="008A2249"/>
    <w:rsid w:val="008A2B08"/>
    <w:rsid w:val="008A337D"/>
    <w:rsid w:val="008A338C"/>
    <w:rsid w:val="008A37BA"/>
    <w:rsid w:val="008A4178"/>
    <w:rsid w:val="008A4819"/>
    <w:rsid w:val="008A4E18"/>
    <w:rsid w:val="008A571F"/>
    <w:rsid w:val="008A64F4"/>
    <w:rsid w:val="008A674D"/>
    <w:rsid w:val="008A751C"/>
    <w:rsid w:val="008A78EC"/>
    <w:rsid w:val="008A7991"/>
    <w:rsid w:val="008A7C07"/>
    <w:rsid w:val="008A7D38"/>
    <w:rsid w:val="008B0E67"/>
    <w:rsid w:val="008B11C9"/>
    <w:rsid w:val="008B155F"/>
    <w:rsid w:val="008B1863"/>
    <w:rsid w:val="008B191C"/>
    <w:rsid w:val="008B1BC6"/>
    <w:rsid w:val="008B2586"/>
    <w:rsid w:val="008B3F6A"/>
    <w:rsid w:val="008B40C8"/>
    <w:rsid w:val="008B42FF"/>
    <w:rsid w:val="008B4A36"/>
    <w:rsid w:val="008B6B71"/>
    <w:rsid w:val="008B6DB1"/>
    <w:rsid w:val="008B7258"/>
    <w:rsid w:val="008B74C1"/>
    <w:rsid w:val="008C0158"/>
    <w:rsid w:val="008C0EC9"/>
    <w:rsid w:val="008C174F"/>
    <w:rsid w:val="008C2937"/>
    <w:rsid w:val="008C3928"/>
    <w:rsid w:val="008C3F3A"/>
    <w:rsid w:val="008C4902"/>
    <w:rsid w:val="008C5042"/>
    <w:rsid w:val="008C544B"/>
    <w:rsid w:val="008C67C8"/>
    <w:rsid w:val="008D1310"/>
    <w:rsid w:val="008D1581"/>
    <w:rsid w:val="008D166D"/>
    <w:rsid w:val="008D1BAD"/>
    <w:rsid w:val="008D1C55"/>
    <w:rsid w:val="008D1E28"/>
    <w:rsid w:val="008D1EBE"/>
    <w:rsid w:val="008D1F95"/>
    <w:rsid w:val="008D246A"/>
    <w:rsid w:val="008D2C38"/>
    <w:rsid w:val="008D2CFC"/>
    <w:rsid w:val="008D2EC9"/>
    <w:rsid w:val="008D33E2"/>
    <w:rsid w:val="008D4019"/>
    <w:rsid w:val="008D4075"/>
    <w:rsid w:val="008D51F3"/>
    <w:rsid w:val="008D5324"/>
    <w:rsid w:val="008D53AB"/>
    <w:rsid w:val="008D60A5"/>
    <w:rsid w:val="008D68A8"/>
    <w:rsid w:val="008E051D"/>
    <w:rsid w:val="008E0F34"/>
    <w:rsid w:val="008E1E03"/>
    <w:rsid w:val="008E2478"/>
    <w:rsid w:val="008E2B3B"/>
    <w:rsid w:val="008E3101"/>
    <w:rsid w:val="008E3D6D"/>
    <w:rsid w:val="008E4551"/>
    <w:rsid w:val="008E460A"/>
    <w:rsid w:val="008E4A0D"/>
    <w:rsid w:val="008E69B6"/>
    <w:rsid w:val="008E7142"/>
    <w:rsid w:val="008E7249"/>
    <w:rsid w:val="008E7E0F"/>
    <w:rsid w:val="008F093F"/>
    <w:rsid w:val="008F12FA"/>
    <w:rsid w:val="008F1B64"/>
    <w:rsid w:val="008F1D30"/>
    <w:rsid w:val="008F1DA9"/>
    <w:rsid w:val="008F1FE6"/>
    <w:rsid w:val="008F2A12"/>
    <w:rsid w:val="008F3779"/>
    <w:rsid w:val="008F431C"/>
    <w:rsid w:val="008F4901"/>
    <w:rsid w:val="008F4DA9"/>
    <w:rsid w:val="008F5289"/>
    <w:rsid w:val="008F537B"/>
    <w:rsid w:val="008F5430"/>
    <w:rsid w:val="008F5789"/>
    <w:rsid w:val="008F57F8"/>
    <w:rsid w:val="008F5903"/>
    <w:rsid w:val="008F617F"/>
    <w:rsid w:val="008F68F1"/>
    <w:rsid w:val="008F6AD8"/>
    <w:rsid w:val="008F6CBC"/>
    <w:rsid w:val="008F79E8"/>
    <w:rsid w:val="00900C92"/>
    <w:rsid w:val="00901219"/>
    <w:rsid w:val="00901BA6"/>
    <w:rsid w:val="00901E39"/>
    <w:rsid w:val="00902957"/>
    <w:rsid w:val="00903370"/>
    <w:rsid w:val="00903410"/>
    <w:rsid w:val="00903AF6"/>
    <w:rsid w:val="00903B5B"/>
    <w:rsid w:val="009042CC"/>
    <w:rsid w:val="00904571"/>
    <w:rsid w:val="00904F81"/>
    <w:rsid w:val="0090566A"/>
    <w:rsid w:val="00906134"/>
    <w:rsid w:val="00907160"/>
    <w:rsid w:val="009076A8"/>
    <w:rsid w:val="00907882"/>
    <w:rsid w:val="00907DA6"/>
    <w:rsid w:val="00907EF2"/>
    <w:rsid w:val="00910D95"/>
    <w:rsid w:val="009111FD"/>
    <w:rsid w:val="00911788"/>
    <w:rsid w:val="00911992"/>
    <w:rsid w:val="009127A4"/>
    <w:rsid w:val="00912AE9"/>
    <w:rsid w:val="00913BF3"/>
    <w:rsid w:val="00913D5F"/>
    <w:rsid w:val="00914A3B"/>
    <w:rsid w:val="00914B76"/>
    <w:rsid w:val="00914EB1"/>
    <w:rsid w:val="00915435"/>
    <w:rsid w:val="009159B2"/>
    <w:rsid w:val="00915CB8"/>
    <w:rsid w:val="0091601C"/>
    <w:rsid w:val="00916060"/>
    <w:rsid w:val="0091695C"/>
    <w:rsid w:val="00916A3B"/>
    <w:rsid w:val="009179D3"/>
    <w:rsid w:val="00917B96"/>
    <w:rsid w:val="00920BBD"/>
    <w:rsid w:val="00921178"/>
    <w:rsid w:val="0092172A"/>
    <w:rsid w:val="00921D13"/>
    <w:rsid w:val="00921EA8"/>
    <w:rsid w:val="009222CA"/>
    <w:rsid w:val="009226D8"/>
    <w:rsid w:val="0092337A"/>
    <w:rsid w:val="009246DC"/>
    <w:rsid w:val="00925876"/>
    <w:rsid w:val="0092646E"/>
    <w:rsid w:val="00926AB4"/>
    <w:rsid w:val="00926FEB"/>
    <w:rsid w:val="009271D9"/>
    <w:rsid w:val="00927692"/>
    <w:rsid w:val="0093032C"/>
    <w:rsid w:val="009310B5"/>
    <w:rsid w:val="00931611"/>
    <w:rsid w:val="009329AE"/>
    <w:rsid w:val="00933C53"/>
    <w:rsid w:val="00933F6B"/>
    <w:rsid w:val="00934C83"/>
    <w:rsid w:val="00935B6B"/>
    <w:rsid w:val="009369AE"/>
    <w:rsid w:val="00936F94"/>
    <w:rsid w:val="009373D5"/>
    <w:rsid w:val="00937733"/>
    <w:rsid w:val="00937E49"/>
    <w:rsid w:val="00937F45"/>
    <w:rsid w:val="00944178"/>
    <w:rsid w:val="00944184"/>
    <w:rsid w:val="0094439D"/>
    <w:rsid w:val="00944AFA"/>
    <w:rsid w:val="0094554D"/>
    <w:rsid w:val="00945650"/>
    <w:rsid w:val="00945A2A"/>
    <w:rsid w:val="00945FE2"/>
    <w:rsid w:val="0094621D"/>
    <w:rsid w:val="00946DAF"/>
    <w:rsid w:val="00946EEC"/>
    <w:rsid w:val="00950727"/>
    <w:rsid w:val="0095154C"/>
    <w:rsid w:val="00951779"/>
    <w:rsid w:val="00951FDB"/>
    <w:rsid w:val="009522DA"/>
    <w:rsid w:val="009527C3"/>
    <w:rsid w:val="00952CCA"/>
    <w:rsid w:val="00952EAF"/>
    <w:rsid w:val="00953E02"/>
    <w:rsid w:val="00954127"/>
    <w:rsid w:val="00954323"/>
    <w:rsid w:val="00954F85"/>
    <w:rsid w:val="00955015"/>
    <w:rsid w:val="009565E3"/>
    <w:rsid w:val="009567B8"/>
    <w:rsid w:val="00957680"/>
    <w:rsid w:val="00957EF8"/>
    <w:rsid w:val="009607C3"/>
    <w:rsid w:val="00960D34"/>
    <w:rsid w:val="009611D2"/>
    <w:rsid w:val="009612B7"/>
    <w:rsid w:val="009621A0"/>
    <w:rsid w:val="00962BC2"/>
    <w:rsid w:val="00962E6A"/>
    <w:rsid w:val="00964224"/>
    <w:rsid w:val="009655D1"/>
    <w:rsid w:val="00966824"/>
    <w:rsid w:val="0096696A"/>
    <w:rsid w:val="00966E7B"/>
    <w:rsid w:val="00967201"/>
    <w:rsid w:val="0097020F"/>
    <w:rsid w:val="00970215"/>
    <w:rsid w:val="0097022B"/>
    <w:rsid w:val="00971FDA"/>
    <w:rsid w:val="009722A8"/>
    <w:rsid w:val="00972548"/>
    <w:rsid w:val="009726E0"/>
    <w:rsid w:val="009728FF"/>
    <w:rsid w:val="009739A9"/>
    <w:rsid w:val="00974486"/>
    <w:rsid w:val="00974888"/>
    <w:rsid w:val="00974B47"/>
    <w:rsid w:val="00974D53"/>
    <w:rsid w:val="00976887"/>
    <w:rsid w:val="00976C15"/>
    <w:rsid w:val="009772A5"/>
    <w:rsid w:val="00977550"/>
    <w:rsid w:val="00977978"/>
    <w:rsid w:val="00980B5D"/>
    <w:rsid w:val="00981173"/>
    <w:rsid w:val="00981A75"/>
    <w:rsid w:val="00981B3E"/>
    <w:rsid w:val="00981F83"/>
    <w:rsid w:val="009831EF"/>
    <w:rsid w:val="009841A8"/>
    <w:rsid w:val="00984626"/>
    <w:rsid w:val="00984CD1"/>
    <w:rsid w:val="00986697"/>
    <w:rsid w:val="009866C8"/>
    <w:rsid w:val="009868BE"/>
    <w:rsid w:val="00986A0E"/>
    <w:rsid w:val="00986B64"/>
    <w:rsid w:val="00986EFA"/>
    <w:rsid w:val="009876A4"/>
    <w:rsid w:val="00987C65"/>
    <w:rsid w:val="009911BB"/>
    <w:rsid w:val="009917E9"/>
    <w:rsid w:val="00992A05"/>
    <w:rsid w:val="00993789"/>
    <w:rsid w:val="0099427B"/>
    <w:rsid w:val="00994395"/>
    <w:rsid w:val="00994F61"/>
    <w:rsid w:val="00995100"/>
    <w:rsid w:val="00996057"/>
    <w:rsid w:val="00996394"/>
    <w:rsid w:val="00996C89"/>
    <w:rsid w:val="009979B9"/>
    <w:rsid w:val="00997AB4"/>
    <w:rsid w:val="00997E15"/>
    <w:rsid w:val="00997EAB"/>
    <w:rsid w:val="009A02BC"/>
    <w:rsid w:val="009A03C7"/>
    <w:rsid w:val="009A1399"/>
    <w:rsid w:val="009A22FD"/>
    <w:rsid w:val="009A23E7"/>
    <w:rsid w:val="009A2ED6"/>
    <w:rsid w:val="009A31E7"/>
    <w:rsid w:val="009A514B"/>
    <w:rsid w:val="009A546A"/>
    <w:rsid w:val="009A579B"/>
    <w:rsid w:val="009A621C"/>
    <w:rsid w:val="009A64D1"/>
    <w:rsid w:val="009A6677"/>
    <w:rsid w:val="009A6C66"/>
    <w:rsid w:val="009A6EF9"/>
    <w:rsid w:val="009A7BBC"/>
    <w:rsid w:val="009B2500"/>
    <w:rsid w:val="009B2A11"/>
    <w:rsid w:val="009B2A6D"/>
    <w:rsid w:val="009B3201"/>
    <w:rsid w:val="009B4328"/>
    <w:rsid w:val="009B5014"/>
    <w:rsid w:val="009B5287"/>
    <w:rsid w:val="009B5581"/>
    <w:rsid w:val="009B5940"/>
    <w:rsid w:val="009B61A1"/>
    <w:rsid w:val="009B63ED"/>
    <w:rsid w:val="009B710D"/>
    <w:rsid w:val="009B781B"/>
    <w:rsid w:val="009B7BF1"/>
    <w:rsid w:val="009C0EFF"/>
    <w:rsid w:val="009C15DA"/>
    <w:rsid w:val="009C2538"/>
    <w:rsid w:val="009C3862"/>
    <w:rsid w:val="009C4171"/>
    <w:rsid w:val="009C44E7"/>
    <w:rsid w:val="009C475C"/>
    <w:rsid w:val="009C4771"/>
    <w:rsid w:val="009C47D1"/>
    <w:rsid w:val="009C4C2D"/>
    <w:rsid w:val="009C4EAF"/>
    <w:rsid w:val="009C5878"/>
    <w:rsid w:val="009C5AFF"/>
    <w:rsid w:val="009C5D89"/>
    <w:rsid w:val="009C5EDF"/>
    <w:rsid w:val="009C64FE"/>
    <w:rsid w:val="009C6522"/>
    <w:rsid w:val="009C6968"/>
    <w:rsid w:val="009C75C9"/>
    <w:rsid w:val="009C7BC7"/>
    <w:rsid w:val="009D1492"/>
    <w:rsid w:val="009D169E"/>
    <w:rsid w:val="009D17E7"/>
    <w:rsid w:val="009D1916"/>
    <w:rsid w:val="009D257B"/>
    <w:rsid w:val="009D2602"/>
    <w:rsid w:val="009D2F13"/>
    <w:rsid w:val="009D2FD9"/>
    <w:rsid w:val="009D31B3"/>
    <w:rsid w:val="009D3234"/>
    <w:rsid w:val="009D3D46"/>
    <w:rsid w:val="009D41B7"/>
    <w:rsid w:val="009D46CC"/>
    <w:rsid w:val="009D5CA7"/>
    <w:rsid w:val="009D65CD"/>
    <w:rsid w:val="009D6CC8"/>
    <w:rsid w:val="009D6E2E"/>
    <w:rsid w:val="009D7298"/>
    <w:rsid w:val="009D76E9"/>
    <w:rsid w:val="009E03C7"/>
    <w:rsid w:val="009E0911"/>
    <w:rsid w:val="009E0B0A"/>
    <w:rsid w:val="009E1724"/>
    <w:rsid w:val="009E1A02"/>
    <w:rsid w:val="009E1B4C"/>
    <w:rsid w:val="009E3C1C"/>
    <w:rsid w:val="009E3C57"/>
    <w:rsid w:val="009E4C1F"/>
    <w:rsid w:val="009E51E3"/>
    <w:rsid w:val="009E6433"/>
    <w:rsid w:val="009E6ACB"/>
    <w:rsid w:val="009E79E0"/>
    <w:rsid w:val="009F1043"/>
    <w:rsid w:val="009F16C9"/>
    <w:rsid w:val="009F2D78"/>
    <w:rsid w:val="009F3018"/>
    <w:rsid w:val="009F3070"/>
    <w:rsid w:val="009F36CA"/>
    <w:rsid w:val="009F3BB0"/>
    <w:rsid w:val="009F4FE2"/>
    <w:rsid w:val="009F6167"/>
    <w:rsid w:val="009F6A4C"/>
    <w:rsid w:val="009F752A"/>
    <w:rsid w:val="00A001A0"/>
    <w:rsid w:val="00A003BE"/>
    <w:rsid w:val="00A00EE1"/>
    <w:rsid w:val="00A02078"/>
    <w:rsid w:val="00A022AB"/>
    <w:rsid w:val="00A03435"/>
    <w:rsid w:val="00A03567"/>
    <w:rsid w:val="00A0385F"/>
    <w:rsid w:val="00A0422E"/>
    <w:rsid w:val="00A06C2D"/>
    <w:rsid w:val="00A079D0"/>
    <w:rsid w:val="00A11132"/>
    <w:rsid w:val="00A11969"/>
    <w:rsid w:val="00A12975"/>
    <w:rsid w:val="00A1297E"/>
    <w:rsid w:val="00A13F71"/>
    <w:rsid w:val="00A157B9"/>
    <w:rsid w:val="00A158FB"/>
    <w:rsid w:val="00A16922"/>
    <w:rsid w:val="00A1712E"/>
    <w:rsid w:val="00A17F2D"/>
    <w:rsid w:val="00A20667"/>
    <w:rsid w:val="00A206E7"/>
    <w:rsid w:val="00A21E0E"/>
    <w:rsid w:val="00A22348"/>
    <w:rsid w:val="00A242C4"/>
    <w:rsid w:val="00A24B40"/>
    <w:rsid w:val="00A24C62"/>
    <w:rsid w:val="00A25146"/>
    <w:rsid w:val="00A254EC"/>
    <w:rsid w:val="00A25733"/>
    <w:rsid w:val="00A25A43"/>
    <w:rsid w:val="00A25BFE"/>
    <w:rsid w:val="00A25F51"/>
    <w:rsid w:val="00A26182"/>
    <w:rsid w:val="00A264D5"/>
    <w:rsid w:val="00A26647"/>
    <w:rsid w:val="00A30382"/>
    <w:rsid w:val="00A30CEC"/>
    <w:rsid w:val="00A32604"/>
    <w:rsid w:val="00A32E5B"/>
    <w:rsid w:val="00A32EF3"/>
    <w:rsid w:val="00A33CAA"/>
    <w:rsid w:val="00A34CC4"/>
    <w:rsid w:val="00A34DA2"/>
    <w:rsid w:val="00A351F4"/>
    <w:rsid w:val="00A35312"/>
    <w:rsid w:val="00A354C8"/>
    <w:rsid w:val="00A36008"/>
    <w:rsid w:val="00A364D3"/>
    <w:rsid w:val="00A364FC"/>
    <w:rsid w:val="00A37980"/>
    <w:rsid w:val="00A407E6"/>
    <w:rsid w:val="00A417AE"/>
    <w:rsid w:val="00A4246A"/>
    <w:rsid w:val="00A43345"/>
    <w:rsid w:val="00A44040"/>
    <w:rsid w:val="00A447E6"/>
    <w:rsid w:val="00A4489B"/>
    <w:rsid w:val="00A44CC8"/>
    <w:rsid w:val="00A463E3"/>
    <w:rsid w:val="00A46B11"/>
    <w:rsid w:val="00A46F92"/>
    <w:rsid w:val="00A47EBA"/>
    <w:rsid w:val="00A50AD6"/>
    <w:rsid w:val="00A50D0F"/>
    <w:rsid w:val="00A50E2B"/>
    <w:rsid w:val="00A51495"/>
    <w:rsid w:val="00A533F4"/>
    <w:rsid w:val="00A539A0"/>
    <w:rsid w:val="00A54097"/>
    <w:rsid w:val="00A55D47"/>
    <w:rsid w:val="00A55FF5"/>
    <w:rsid w:val="00A56A47"/>
    <w:rsid w:val="00A5702E"/>
    <w:rsid w:val="00A57661"/>
    <w:rsid w:val="00A57859"/>
    <w:rsid w:val="00A57C29"/>
    <w:rsid w:val="00A601EB"/>
    <w:rsid w:val="00A60C8A"/>
    <w:rsid w:val="00A60E34"/>
    <w:rsid w:val="00A60F33"/>
    <w:rsid w:val="00A623D7"/>
    <w:rsid w:val="00A62606"/>
    <w:rsid w:val="00A62EA7"/>
    <w:rsid w:val="00A635D3"/>
    <w:rsid w:val="00A6455F"/>
    <w:rsid w:val="00A6459E"/>
    <w:rsid w:val="00A64686"/>
    <w:rsid w:val="00A64CAE"/>
    <w:rsid w:val="00A6578C"/>
    <w:rsid w:val="00A66825"/>
    <w:rsid w:val="00A669B0"/>
    <w:rsid w:val="00A71A0A"/>
    <w:rsid w:val="00A71AB6"/>
    <w:rsid w:val="00A72227"/>
    <w:rsid w:val="00A72CC1"/>
    <w:rsid w:val="00A72FEA"/>
    <w:rsid w:val="00A73E12"/>
    <w:rsid w:val="00A748F2"/>
    <w:rsid w:val="00A74911"/>
    <w:rsid w:val="00A74939"/>
    <w:rsid w:val="00A74D6F"/>
    <w:rsid w:val="00A75F0B"/>
    <w:rsid w:val="00A76F39"/>
    <w:rsid w:val="00A77B52"/>
    <w:rsid w:val="00A77EE5"/>
    <w:rsid w:val="00A80044"/>
    <w:rsid w:val="00A8117A"/>
    <w:rsid w:val="00A81845"/>
    <w:rsid w:val="00A81F5B"/>
    <w:rsid w:val="00A82025"/>
    <w:rsid w:val="00A8271D"/>
    <w:rsid w:val="00A82B34"/>
    <w:rsid w:val="00A83611"/>
    <w:rsid w:val="00A8510F"/>
    <w:rsid w:val="00A8580C"/>
    <w:rsid w:val="00A8581F"/>
    <w:rsid w:val="00A85A45"/>
    <w:rsid w:val="00A85F3E"/>
    <w:rsid w:val="00A8681D"/>
    <w:rsid w:val="00A86A92"/>
    <w:rsid w:val="00A86CEB"/>
    <w:rsid w:val="00A90AA5"/>
    <w:rsid w:val="00A912BA"/>
    <w:rsid w:val="00A91E4E"/>
    <w:rsid w:val="00A924F3"/>
    <w:rsid w:val="00A92842"/>
    <w:rsid w:val="00A92AF0"/>
    <w:rsid w:val="00A92C29"/>
    <w:rsid w:val="00A94369"/>
    <w:rsid w:val="00A946F4"/>
    <w:rsid w:val="00A9598C"/>
    <w:rsid w:val="00A95F17"/>
    <w:rsid w:val="00A975A6"/>
    <w:rsid w:val="00A97606"/>
    <w:rsid w:val="00A97923"/>
    <w:rsid w:val="00A97FEE"/>
    <w:rsid w:val="00AA0DE7"/>
    <w:rsid w:val="00AA0E31"/>
    <w:rsid w:val="00AA0FEB"/>
    <w:rsid w:val="00AA1803"/>
    <w:rsid w:val="00AA20EA"/>
    <w:rsid w:val="00AA2224"/>
    <w:rsid w:val="00AA250E"/>
    <w:rsid w:val="00AA3505"/>
    <w:rsid w:val="00AA4155"/>
    <w:rsid w:val="00AA446F"/>
    <w:rsid w:val="00AA4DC5"/>
    <w:rsid w:val="00AA59A6"/>
    <w:rsid w:val="00AA5C46"/>
    <w:rsid w:val="00AA6793"/>
    <w:rsid w:val="00AA700A"/>
    <w:rsid w:val="00AA739B"/>
    <w:rsid w:val="00AB0BDE"/>
    <w:rsid w:val="00AB0D80"/>
    <w:rsid w:val="00AB0D9D"/>
    <w:rsid w:val="00AB0DAE"/>
    <w:rsid w:val="00AB1FC8"/>
    <w:rsid w:val="00AB284D"/>
    <w:rsid w:val="00AB2F02"/>
    <w:rsid w:val="00AB304E"/>
    <w:rsid w:val="00AB46C2"/>
    <w:rsid w:val="00AB49E6"/>
    <w:rsid w:val="00AB5BCA"/>
    <w:rsid w:val="00AB6C17"/>
    <w:rsid w:val="00AB7ADE"/>
    <w:rsid w:val="00AC0335"/>
    <w:rsid w:val="00AC0586"/>
    <w:rsid w:val="00AC0A1C"/>
    <w:rsid w:val="00AC0A9D"/>
    <w:rsid w:val="00AC0C9E"/>
    <w:rsid w:val="00AC20C0"/>
    <w:rsid w:val="00AC2876"/>
    <w:rsid w:val="00AC3349"/>
    <w:rsid w:val="00AC33C8"/>
    <w:rsid w:val="00AC355B"/>
    <w:rsid w:val="00AC449A"/>
    <w:rsid w:val="00AC4C13"/>
    <w:rsid w:val="00AC4C74"/>
    <w:rsid w:val="00AC4CD2"/>
    <w:rsid w:val="00AC5891"/>
    <w:rsid w:val="00AC5D5B"/>
    <w:rsid w:val="00AC640A"/>
    <w:rsid w:val="00AC6F7F"/>
    <w:rsid w:val="00AC7BE1"/>
    <w:rsid w:val="00AD059B"/>
    <w:rsid w:val="00AD102A"/>
    <w:rsid w:val="00AD1502"/>
    <w:rsid w:val="00AD1796"/>
    <w:rsid w:val="00AD2353"/>
    <w:rsid w:val="00AD239A"/>
    <w:rsid w:val="00AD26D4"/>
    <w:rsid w:val="00AD3102"/>
    <w:rsid w:val="00AD3EDC"/>
    <w:rsid w:val="00AD3F49"/>
    <w:rsid w:val="00AD4BF1"/>
    <w:rsid w:val="00AD505E"/>
    <w:rsid w:val="00AD5CCC"/>
    <w:rsid w:val="00AD5CFA"/>
    <w:rsid w:val="00AD5F02"/>
    <w:rsid w:val="00AD6507"/>
    <w:rsid w:val="00AD6864"/>
    <w:rsid w:val="00AD6869"/>
    <w:rsid w:val="00AD6CC5"/>
    <w:rsid w:val="00AD6E5B"/>
    <w:rsid w:val="00AD713A"/>
    <w:rsid w:val="00AD7E0B"/>
    <w:rsid w:val="00AD7F40"/>
    <w:rsid w:val="00AE055E"/>
    <w:rsid w:val="00AE065E"/>
    <w:rsid w:val="00AE0E58"/>
    <w:rsid w:val="00AE199E"/>
    <w:rsid w:val="00AE1ACA"/>
    <w:rsid w:val="00AE2CD5"/>
    <w:rsid w:val="00AE488F"/>
    <w:rsid w:val="00AE594A"/>
    <w:rsid w:val="00AE640D"/>
    <w:rsid w:val="00AE67A4"/>
    <w:rsid w:val="00AE6895"/>
    <w:rsid w:val="00AE7C4E"/>
    <w:rsid w:val="00AF0189"/>
    <w:rsid w:val="00AF061D"/>
    <w:rsid w:val="00AF098A"/>
    <w:rsid w:val="00AF098D"/>
    <w:rsid w:val="00AF09C5"/>
    <w:rsid w:val="00AF0A77"/>
    <w:rsid w:val="00AF12CE"/>
    <w:rsid w:val="00AF1DBB"/>
    <w:rsid w:val="00AF2658"/>
    <w:rsid w:val="00AF2859"/>
    <w:rsid w:val="00AF2DB8"/>
    <w:rsid w:val="00AF3FE0"/>
    <w:rsid w:val="00AF4080"/>
    <w:rsid w:val="00AF45EB"/>
    <w:rsid w:val="00AF4794"/>
    <w:rsid w:val="00AF50C9"/>
    <w:rsid w:val="00AF63CB"/>
    <w:rsid w:val="00AF66E6"/>
    <w:rsid w:val="00AF695E"/>
    <w:rsid w:val="00AF6EC6"/>
    <w:rsid w:val="00AF7191"/>
    <w:rsid w:val="00AF7C74"/>
    <w:rsid w:val="00B001EB"/>
    <w:rsid w:val="00B004CE"/>
    <w:rsid w:val="00B00586"/>
    <w:rsid w:val="00B00972"/>
    <w:rsid w:val="00B0098B"/>
    <w:rsid w:val="00B00D91"/>
    <w:rsid w:val="00B00E0F"/>
    <w:rsid w:val="00B0146D"/>
    <w:rsid w:val="00B02E7B"/>
    <w:rsid w:val="00B041BF"/>
    <w:rsid w:val="00B045B7"/>
    <w:rsid w:val="00B04D77"/>
    <w:rsid w:val="00B04DCD"/>
    <w:rsid w:val="00B06231"/>
    <w:rsid w:val="00B06B70"/>
    <w:rsid w:val="00B11AF9"/>
    <w:rsid w:val="00B1288B"/>
    <w:rsid w:val="00B12DF4"/>
    <w:rsid w:val="00B14145"/>
    <w:rsid w:val="00B1482D"/>
    <w:rsid w:val="00B15759"/>
    <w:rsid w:val="00B163B8"/>
    <w:rsid w:val="00B17AC0"/>
    <w:rsid w:val="00B17B7B"/>
    <w:rsid w:val="00B17D2D"/>
    <w:rsid w:val="00B17D41"/>
    <w:rsid w:val="00B2013D"/>
    <w:rsid w:val="00B20BF8"/>
    <w:rsid w:val="00B21333"/>
    <w:rsid w:val="00B22A6E"/>
    <w:rsid w:val="00B22E7D"/>
    <w:rsid w:val="00B22E97"/>
    <w:rsid w:val="00B23266"/>
    <w:rsid w:val="00B23DB2"/>
    <w:rsid w:val="00B241DC"/>
    <w:rsid w:val="00B24AD9"/>
    <w:rsid w:val="00B25959"/>
    <w:rsid w:val="00B25C25"/>
    <w:rsid w:val="00B2659B"/>
    <w:rsid w:val="00B267CA"/>
    <w:rsid w:val="00B30315"/>
    <w:rsid w:val="00B3096F"/>
    <w:rsid w:val="00B3199D"/>
    <w:rsid w:val="00B32A7C"/>
    <w:rsid w:val="00B3306F"/>
    <w:rsid w:val="00B3350A"/>
    <w:rsid w:val="00B33A5B"/>
    <w:rsid w:val="00B34378"/>
    <w:rsid w:val="00B3572E"/>
    <w:rsid w:val="00B40734"/>
    <w:rsid w:val="00B40C90"/>
    <w:rsid w:val="00B4160E"/>
    <w:rsid w:val="00B41FAA"/>
    <w:rsid w:val="00B42EA2"/>
    <w:rsid w:val="00B43A13"/>
    <w:rsid w:val="00B45444"/>
    <w:rsid w:val="00B46A1E"/>
    <w:rsid w:val="00B46F12"/>
    <w:rsid w:val="00B47097"/>
    <w:rsid w:val="00B4710E"/>
    <w:rsid w:val="00B47553"/>
    <w:rsid w:val="00B5134D"/>
    <w:rsid w:val="00B516F5"/>
    <w:rsid w:val="00B51789"/>
    <w:rsid w:val="00B52BBF"/>
    <w:rsid w:val="00B53660"/>
    <w:rsid w:val="00B53896"/>
    <w:rsid w:val="00B53C68"/>
    <w:rsid w:val="00B5413B"/>
    <w:rsid w:val="00B542F6"/>
    <w:rsid w:val="00B54341"/>
    <w:rsid w:val="00B5496A"/>
    <w:rsid w:val="00B559F2"/>
    <w:rsid w:val="00B560A0"/>
    <w:rsid w:val="00B57130"/>
    <w:rsid w:val="00B57730"/>
    <w:rsid w:val="00B57816"/>
    <w:rsid w:val="00B57D82"/>
    <w:rsid w:val="00B57F7A"/>
    <w:rsid w:val="00B60427"/>
    <w:rsid w:val="00B6087C"/>
    <w:rsid w:val="00B60E4E"/>
    <w:rsid w:val="00B60ED3"/>
    <w:rsid w:val="00B61973"/>
    <w:rsid w:val="00B61BC2"/>
    <w:rsid w:val="00B61ED6"/>
    <w:rsid w:val="00B62815"/>
    <w:rsid w:val="00B62E41"/>
    <w:rsid w:val="00B63D6F"/>
    <w:rsid w:val="00B64243"/>
    <w:rsid w:val="00B64388"/>
    <w:rsid w:val="00B64648"/>
    <w:rsid w:val="00B64D94"/>
    <w:rsid w:val="00B6685A"/>
    <w:rsid w:val="00B6764B"/>
    <w:rsid w:val="00B70AD6"/>
    <w:rsid w:val="00B710C6"/>
    <w:rsid w:val="00B71940"/>
    <w:rsid w:val="00B72C0F"/>
    <w:rsid w:val="00B72D36"/>
    <w:rsid w:val="00B7349F"/>
    <w:rsid w:val="00B735E5"/>
    <w:rsid w:val="00B743E8"/>
    <w:rsid w:val="00B753AC"/>
    <w:rsid w:val="00B75FEC"/>
    <w:rsid w:val="00B76239"/>
    <w:rsid w:val="00B7671C"/>
    <w:rsid w:val="00B76EA8"/>
    <w:rsid w:val="00B76F5C"/>
    <w:rsid w:val="00B7759F"/>
    <w:rsid w:val="00B775F5"/>
    <w:rsid w:val="00B808E4"/>
    <w:rsid w:val="00B810C9"/>
    <w:rsid w:val="00B81A7D"/>
    <w:rsid w:val="00B8268C"/>
    <w:rsid w:val="00B82B33"/>
    <w:rsid w:val="00B8321B"/>
    <w:rsid w:val="00B83729"/>
    <w:rsid w:val="00B839FB"/>
    <w:rsid w:val="00B83DFF"/>
    <w:rsid w:val="00B84A9F"/>
    <w:rsid w:val="00B84EA0"/>
    <w:rsid w:val="00B85C12"/>
    <w:rsid w:val="00B8620B"/>
    <w:rsid w:val="00B86623"/>
    <w:rsid w:val="00B87E5D"/>
    <w:rsid w:val="00B87EE3"/>
    <w:rsid w:val="00B9099D"/>
    <w:rsid w:val="00B909F2"/>
    <w:rsid w:val="00B910D6"/>
    <w:rsid w:val="00B91749"/>
    <w:rsid w:val="00B928DE"/>
    <w:rsid w:val="00B928F3"/>
    <w:rsid w:val="00B92912"/>
    <w:rsid w:val="00B92BEA"/>
    <w:rsid w:val="00B941FE"/>
    <w:rsid w:val="00B94870"/>
    <w:rsid w:val="00B949C9"/>
    <w:rsid w:val="00B95605"/>
    <w:rsid w:val="00B968AA"/>
    <w:rsid w:val="00B96B6A"/>
    <w:rsid w:val="00B9743E"/>
    <w:rsid w:val="00B977D9"/>
    <w:rsid w:val="00BA0943"/>
    <w:rsid w:val="00BA0C81"/>
    <w:rsid w:val="00BA0EFE"/>
    <w:rsid w:val="00BA1F04"/>
    <w:rsid w:val="00BA2067"/>
    <w:rsid w:val="00BA21E1"/>
    <w:rsid w:val="00BA23ED"/>
    <w:rsid w:val="00BA2B60"/>
    <w:rsid w:val="00BA423F"/>
    <w:rsid w:val="00BA430B"/>
    <w:rsid w:val="00BA5906"/>
    <w:rsid w:val="00BA59F4"/>
    <w:rsid w:val="00BA5E24"/>
    <w:rsid w:val="00BA5F5F"/>
    <w:rsid w:val="00BA64E8"/>
    <w:rsid w:val="00BA6508"/>
    <w:rsid w:val="00BA6512"/>
    <w:rsid w:val="00BA75BB"/>
    <w:rsid w:val="00BA7CD8"/>
    <w:rsid w:val="00BB0343"/>
    <w:rsid w:val="00BB07DF"/>
    <w:rsid w:val="00BB0974"/>
    <w:rsid w:val="00BB09F8"/>
    <w:rsid w:val="00BB0DDB"/>
    <w:rsid w:val="00BB13CF"/>
    <w:rsid w:val="00BB1922"/>
    <w:rsid w:val="00BB235B"/>
    <w:rsid w:val="00BB27EB"/>
    <w:rsid w:val="00BB2C23"/>
    <w:rsid w:val="00BB344E"/>
    <w:rsid w:val="00BB3726"/>
    <w:rsid w:val="00BB3C2B"/>
    <w:rsid w:val="00BB3CBD"/>
    <w:rsid w:val="00BB458D"/>
    <w:rsid w:val="00BB4640"/>
    <w:rsid w:val="00BB4A00"/>
    <w:rsid w:val="00BB4CA1"/>
    <w:rsid w:val="00BB54A2"/>
    <w:rsid w:val="00BB5CDE"/>
    <w:rsid w:val="00BB6000"/>
    <w:rsid w:val="00BB600D"/>
    <w:rsid w:val="00BB683B"/>
    <w:rsid w:val="00BB72F4"/>
    <w:rsid w:val="00BB7D5B"/>
    <w:rsid w:val="00BC0BB3"/>
    <w:rsid w:val="00BC0C8C"/>
    <w:rsid w:val="00BC0E8D"/>
    <w:rsid w:val="00BC10BC"/>
    <w:rsid w:val="00BC12EF"/>
    <w:rsid w:val="00BC15AE"/>
    <w:rsid w:val="00BC17C3"/>
    <w:rsid w:val="00BC1B03"/>
    <w:rsid w:val="00BC23FB"/>
    <w:rsid w:val="00BC2458"/>
    <w:rsid w:val="00BC4909"/>
    <w:rsid w:val="00BC55A7"/>
    <w:rsid w:val="00BC60A8"/>
    <w:rsid w:val="00BC6254"/>
    <w:rsid w:val="00BC6255"/>
    <w:rsid w:val="00BC6AB0"/>
    <w:rsid w:val="00BC6C92"/>
    <w:rsid w:val="00BC7A4C"/>
    <w:rsid w:val="00BD05FC"/>
    <w:rsid w:val="00BD091E"/>
    <w:rsid w:val="00BD2129"/>
    <w:rsid w:val="00BD2B40"/>
    <w:rsid w:val="00BD2B8D"/>
    <w:rsid w:val="00BD2F1E"/>
    <w:rsid w:val="00BD3834"/>
    <w:rsid w:val="00BD4895"/>
    <w:rsid w:val="00BD53A7"/>
    <w:rsid w:val="00BD5513"/>
    <w:rsid w:val="00BD5923"/>
    <w:rsid w:val="00BD6750"/>
    <w:rsid w:val="00BD6DAE"/>
    <w:rsid w:val="00BD7018"/>
    <w:rsid w:val="00BD7314"/>
    <w:rsid w:val="00BD7A6B"/>
    <w:rsid w:val="00BD7D58"/>
    <w:rsid w:val="00BD7DD0"/>
    <w:rsid w:val="00BE0493"/>
    <w:rsid w:val="00BE0E43"/>
    <w:rsid w:val="00BE1153"/>
    <w:rsid w:val="00BE1529"/>
    <w:rsid w:val="00BE423A"/>
    <w:rsid w:val="00BE4505"/>
    <w:rsid w:val="00BE700D"/>
    <w:rsid w:val="00BE7092"/>
    <w:rsid w:val="00BF0852"/>
    <w:rsid w:val="00BF0D4C"/>
    <w:rsid w:val="00BF0E77"/>
    <w:rsid w:val="00BF1FE0"/>
    <w:rsid w:val="00BF3962"/>
    <w:rsid w:val="00BF4442"/>
    <w:rsid w:val="00BF487A"/>
    <w:rsid w:val="00BF4D3D"/>
    <w:rsid w:val="00BF5642"/>
    <w:rsid w:val="00BF640F"/>
    <w:rsid w:val="00BF66D5"/>
    <w:rsid w:val="00BF6BF4"/>
    <w:rsid w:val="00BF6F68"/>
    <w:rsid w:val="00BF7129"/>
    <w:rsid w:val="00BF79BE"/>
    <w:rsid w:val="00BF7B50"/>
    <w:rsid w:val="00C0060B"/>
    <w:rsid w:val="00C00706"/>
    <w:rsid w:val="00C01F72"/>
    <w:rsid w:val="00C01FEE"/>
    <w:rsid w:val="00C02C51"/>
    <w:rsid w:val="00C033E7"/>
    <w:rsid w:val="00C04166"/>
    <w:rsid w:val="00C04FA8"/>
    <w:rsid w:val="00C07DF4"/>
    <w:rsid w:val="00C10836"/>
    <w:rsid w:val="00C1104C"/>
    <w:rsid w:val="00C11FD0"/>
    <w:rsid w:val="00C122BA"/>
    <w:rsid w:val="00C12D78"/>
    <w:rsid w:val="00C133B2"/>
    <w:rsid w:val="00C14DDE"/>
    <w:rsid w:val="00C15234"/>
    <w:rsid w:val="00C153C0"/>
    <w:rsid w:val="00C15A52"/>
    <w:rsid w:val="00C15E83"/>
    <w:rsid w:val="00C15E93"/>
    <w:rsid w:val="00C1632D"/>
    <w:rsid w:val="00C1694F"/>
    <w:rsid w:val="00C170C0"/>
    <w:rsid w:val="00C17DE9"/>
    <w:rsid w:val="00C204A6"/>
    <w:rsid w:val="00C211B3"/>
    <w:rsid w:val="00C2197D"/>
    <w:rsid w:val="00C2248E"/>
    <w:rsid w:val="00C22DAC"/>
    <w:rsid w:val="00C22EDD"/>
    <w:rsid w:val="00C2352A"/>
    <w:rsid w:val="00C23BD1"/>
    <w:rsid w:val="00C264CB"/>
    <w:rsid w:val="00C27EF9"/>
    <w:rsid w:val="00C300E4"/>
    <w:rsid w:val="00C303A9"/>
    <w:rsid w:val="00C306A7"/>
    <w:rsid w:val="00C30CD3"/>
    <w:rsid w:val="00C31569"/>
    <w:rsid w:val="00C318E1"/>
    <w:rsid w:val="00C31905"/>
    <w:rsid w:val="00C31AF7"/>
    <w:rsid w:val="00C321B6"/>
    <w:rsid w:val="00C33853"/>
    <w:rsid w:val="00C33CFA"/>
    <w:rsid w:val="00C341AA"/>
    <w:rsid w:val="00C344E9"/>
    <w:rsid w:val="00C346BA"/>
    <w:rsid w:val="00C35F90"/>
    <w:rsid w:val="00C36BFD"/>
    <w:rsid w:val="00C4188E"/>
    <w:rsid w:val="00C42588"/>
    <w:rsid w:val="00C42DCE"/>
    <w:rsid w:val="00C443EA"/>
    <w:rsid w:val="00C449C8"/>
    <w:rsid w:val="00C451D8"/>
    <w:rsid w:val="00C461C2"/>
    <w:rsid w:val="00C4636A"/>
    <w:rsid w:val="00C4663F"/>
    <w:rsid w:val="00C4671E"/>
    <w:rsid w:val="00C46A4B"/>
    <w:rsid w:val="00C46C07"/>
    <w:rsid w:val="00C5138B"/>
    <w:rsid w:val="00C5164B"/>
    <w:rsid w:val="00C51EEC"/>
    <w:rsid w:val="00C51F1C"/>
    <w:rsid w:val="00C52C11"/>
    <w:rsid w:val="00C52CB2"/>
    <w:rsid w:val="00C537A3"/>
    <w:rsid w:val="00C547C0"/>
    <w:rsid w:val="00C549F3"/>
    <w:rsid w:val="00C55A51"/>
    <w:rsid w:val="00C55A71"/>
    <w:rsid w:val="00C5748B"/>
    <w:rsid w:val="00C57D39"/>
    <w:rsid w:val="00C608B8"/>
    <w:rsid w:val="00C60E0E"/>
    <w:rsid w:val="00C610FD"/>
    <w:rsid w:val="00C61526"/>
    <w:rsid w:val="00C61F0A"/>
    <w:rsid w:val="00C630AC"/>
    <w:rsid w:val="00C632AD"/>
    <w:rsid w:val="00C6348B"/>
    <w:rsid w:val="00C63620"/>
    <w:rsid w:val="00C654D9"/>
    <w:rsid w:val="00C65EA7"/>
    <w:rsid w:val="00C6601C"/>
    <w:rsid w:val="00C66599"/>
    <w:rsid w:val="00C665D9"/>
    <w:rsid w:val="00C66BC5"/>
    <w:rsid w:val="00C66E12"/>
    <w:rsid w:val="00C67434"/>
    <w:rsid w:val="00C704AA"/>
    <w:rsid w:val="00C708D4"/>
    <w:rsid w:val="00C70B64"/>
    <w:rsid w:val="00C7100A"/>
    <w:rsid w:val="00C7155A"/>
    <w:rsid w:val="00C71652"/>
    <w:rsid w:val="00C7184D"/>
    <w:rsid w:val="00C71B50"/>
    <w:rsid w:val="00C72DC0"/>
    <w:rsid w:val="00C74CA5"/>
    <w:rsid w:val="00C74E27"/>
    <w:rsid w:val="00C76AC4"/>
    <w:rsid w:val="00C76EE5"/>
    <w:rsid w:val="00C773B8"/>
    <w:rsid w:val="00C779B2"/>
    <w:rsid w:val="00C77C6A"/>
    <w:rsid w:val="00C77D06"/>
    <w:rsid w:val="00C77F54"/>
    <w:rsid w:val="00C800CC"/>
    <w:rsid w:val="00C80798"/>
    <w:rsid w:val="00C80A74"/>
    <w:rsid w:val="00C818BD"/>
    <w:rsid w:val="00C81B55"/>
    <w:rsid w:val="00C822E1"/>
    <w:rsid w:val="00C82687"/>
    <w:rsid w:val="00C82A5B"/>
    <w:rsid w:val="00C8310A"/>
    <w:rsid w:val="00C8335A"/>
    <w:rsid w:val="00C8360B"/>
    <w:rsid w:val="00C839AC"/>
    <w:rsid w:val="00C850D8"/>
    <w:rsid w:val="00C8517B"/>
    <w:rsid w:val="00C85CAB"/>
    <w:rsid w:val="00C85F05"/>
    <w:rsid w:val="00C865A9"/>
    <w:rsid w:val="00C872A0"/>
    <w:rsid w:val="00C87D24"/>
    <w:rsid w:val="00C9046E"/>
    <w:rsid w:val="00C90EE5"/>
    <w:rsid w:val="00C914BD"/>
    <w:rsid w:val="00C924E7"/>
    <w:rsid w:val="00C93677"/>
    <w:rsid w:val="00C93B4B"/>
    <w:rsid w:val="00C9448B"/>
    <w:rsid w:val="00C94E65"/>
    <w:rsid w:val="00C94FA3"/>
    <w:rsid w:val="00C9531D"/>
    <w:rsid w:val="00C9589E"/>
    <w:rsid w:val="00C95F1F"/>
    <w:rsid w:val="00C95FC8"/>
    <w:rsid w:val="00C968AE"/>
    <w:rsid w:val="00C97781"/>
    <w:rsid w:val="00C97809"/>
    <w:rsid w:val="00C97DDC"/>
    <w:rsid w:val="00CA1905"/>
    <w:rsid w:val="00CA2286"/>
    <w:rsid w:val="00CA396C"/>
    <w:rsid w:val="00CA3D17"/>
    <w:rsid w:val="00CA5220"/>
    <w:rsid w:val="00CA5380"/>
    <w:rsid w:val="00CA5C2E"/>
    <w:rsid w:val="00CA61D3"/>
    <w:rsid w:val="00CA7F47"/>
    <w:rsid w:val="00CB04A3"/>
    <w:rsid w:val="00CB0B25"/>
    <w:rsid w:val="00CB1B3B"/>
    <w:rsid w:val="00CB2B58"/>
    <w:rsid w:val="00CB4C22"/>
    <w:rsid w:val="00CB5186"/>
    <w:rsid w:val="00CB5257"/>
    <w:rsid w:val="00CB52E3"/>
    <w:rsid w:val="00CB540B"/>
    <w:rsid w:val="00CB70D5"/>
    <w:rsid w:val="00CB7600"/>
    <w:rsid w:val="00CB7EDE"/>
    <w:rsid w:val="00CC00D5"/>
    <w:rsid w:val="00CC014E"/>
    <w:rsid w:val="00CC084B"/>
    <w:rsid w:val="00CC0E07"/>
    <w:rsid w:val="00CC1054"/>
    <w:rsid w:val="00CC1CB6"/>
    <w:rsid w:val="00CC22A8"/>
    <w:rsid w:val="00CC319A"/>
    <w:rsid w:val="00CC3303"/>
    <w:rsid w:val="00CC4104"/>
    <w:rsid w:val="00CC4C6A"/>
    <w:rsid w:val="00CC4F20"/>
    <w:rsid w:val="00CC5997"/>
    <w:rsid w:val="00CC665E"/>
    <w:rsid w:val="00CC66D7"/>
    <w:rsid w:val="00CC6E87"/>
    <w:rsid w:val="00CC79E0"/>
    <w:rsid w:val="00CD00AD"/>
    <w:rsid w:val="00CD011B"/>
    <w:rsid w:val="00CD059B"/>
    <w:rsid w:val="00CD157B"/>
    <w:rsid w:val="00CD1748"/>
    <w:rsid w:val="00CD1C1F"/>
    <w:rsid w:val="00CD251B"/>
    <w:rsid w:val="00CD51F5"/>
    <w:rsid w:val="00CD571C"/>
    <w:rsid w:val="00CD5B28"/>
    <w:rsid w:val="00CD5E06"/>
    <w:rsid w:val="00CD670F"/>
    <w:rsid w:val="00CE0290"/>
    <w:rsid w:val="00CE0BF0"/>
    <w:rsid w:val="00CE0EF4"/>
    <w:rsid w:val="00CE0FA9"/>
    <w:rsid w:val="00CE1258"/>
    <w:rsid w:val="00CE2779"/>
    <w:rsid w:val="00CE2BEB"/>
    <w:rsid w:val="00CE3842"/>
    <w:rsid w:val="00CE3F81"/>
    <w:rsid w:val="00CE4800"/>
    <w:rsid w:val="00CE57AA"/>
    <w:rsid w:val="00CE6394"/>
    <w:rsid w:val="00CE688B"/>
    <w:rsid w:val="00CE7CAB"/>
    <w:rsid w:val="00CE7F54"/>
    <w:rsid w:val="00CF061B"/>
    <w:rsid w:val="00CF0BB6"/>
    <w:rsid w:val="00CF1A32"/>
    <w:rsid w:val="00CF1A61"/>
    <w:rsid w:val="00CF2BA3"/>
    <w:rsid w:val="00CF317C"/>
    <w:rsid w:val="00CF3423"/>
    <w:rsid w:val="00CF422B"/>
    <w:rsid w:val="00CF4C38"/>
    <w:rsid w:val="00CF504D"/>
    <w:rsid w:val="00CF57EA"/>
    <w:rsid w:val="00CF590D"/>
    <w:rsid w:val="00CF679D"/>
    <w:rsid w:val="00CF6DE1"/>
    <w:rsid w:val="00CF7D58"/>
    <w:rsid w:val="00D00330"/>
    <w:rsid w:val="00D0089D"/>
    <w:rsid w:val="00D00FD6"/>
    <w:rsid w:val="00D012B0"/>
    <w:rsid w:val="00D018B7"/>
    <w:rsid w:val="00D01BA1"/>
    <w:rsid w:val="00D02492"/>
    <w:rsid w:val="00D027E6"/>
    <w:rsid w:val="00D02E83"/>
    <w:rsid w:val="00D03079"/>
    <w:rsid w:val="00D03616"/>
    <w:rsid w:val="00D03BEC"/>
    <w:rsid w:val="00D03F7E"/>
    <w:rsid w:val="00D05841"/>
    <w:rsid w:val="00D05D30"/>
    <w:rsid w:val="00D05F49"/>
    <w:rsid w:val="00D05F8E"/>
    <w:rsid w:val="00D0678E"/>
    <w:rsid w:val="00D07BB7"/>
    <w:rsid w:val="00D07FBD"/>
    <w:rsid w:val="00D10405"/>
    <w:rsid w:val="00D10BDF"/>
    <w:rsid w:val="00D110CF"/>
    <w:rsid w:val="00D1186B"/>
    <w:rsid w:val="00D11C10"/>
    <w:rsid w:val="00D12DCB"/>
    <w:rsid w:val="00D132FA"/>
    <w:rsid w:val="00D13AEE"/>
    <w:rsid w:val="00D13B29"/>
    <w:rsid w:val="00D144D9"/>
    <w:rsid w:val="00D14751"/>
    <w:rsid w:val="00D1582D"/>
    <w:rsid w:val="00D15D33"/>
    <w:rsid w:val="00D1749C"/>
    <w:rsid w:val="00D1764E"/>
    <w:rsid w:val="00D17C95"/>
    <w:rsid w:val="00D2028E"/>
    <w:rsid w:val="00D202A1"/>
    <w:rsid w:val="00D20CE3"/>
    <w:rsid w:val="00D20F1B"/>
    <w:rsid w:val="00D211EE"/>
    <w:rsid w:val="00D214C1"/>
    <w:rsid w:val="00D228CE"/>
    <w:rsid w:val="00D22BED"/>
    <w:rsid w:val="00D22CD2"/>
    <w:rsid w:val="00D233C2"/>
    <w:rsid w:val="00D23434"/>
    <w:rsid w:val="00D23477"/>
    <w:rsid w:val="00D23754"/>
    <w:rsid w:val="00D23A75"/>
    <w:rsid w:val="00D2466C"/>
    <w:rsid w:val="00D24728"/>
    <w:rsid w:val="00D25027"/>
    <w:rsid w:val="00D250FD"/>
    <w:rsid w:val="00D254BA"/>
    <w:rsid w:val="00D276BC"/>
    <w:rsid w:val="00D279F3"/>
    <w:rsid w:val="00D305E7"/>
    <w:rsid w:val="00D3125A"/>
    <w:rsid w:val="00D31519"/>
    <w:rsid w:val="00D31908"/>
    <w:rsid w:val="00D31E7C"/>
    <w:rsid w:val="00D32166"/>
    <w:rsid w:val="00D32C28"/>
    <w:rsid w:val="00D33D34"/>
    <w:rsid w:val="00D3428F"/>
    <w:rsid w:val="00D3493F"/>
    <w:rsid w:val="00D34D18"/>
    <w:rsid w:val="00D35071"/>
    <w:rsid w:val="00D35A6B"/>
    <w:rsid w:val="00D35BB1"/>
    <w:rsid w:val="00D36B33"/>
    <w:rsid w:val="00D37A04"/>
    <w:rsid w:val="00D37B8F"/>
    <w:rsid w:val="00D37D8A"/>
    <w:rsid w:val="00D40574"/>
    <w:rsid w:val="00D41A52"/>
    <w:rsid w:val="00D437AF"/>
    <w:rsid w:val="00D4417E"/>
    <w:rsid w:val="00D44789"/>
    <w:rsid w:val="00D45268"/>
    <w:rsid w:val="00D46618"/>
    <w:rsid w:val="00D46800"/>
    <w:rsid w:val="00D46C7E"/>
    <w:rsid w:val="00D46D6E"/>
    <w:rsid w:val="00D4742C"/>
    <w:rsid w:val="00D4766A"/>
    <w:rsid w:val="00D4786B"/>
    <w:rsid w:val="00D50134"/>
    <w:rsid w:val="00D50B41"/>
    <w:rsid w:val="00D50E0E"/>
    <w:rsid w:val="00D51525"/>
    <w:rsid w:val="00D515AC"/>
    <w:rsid w:val="00D519B7"/>
    <w:rsid w:val="00D51D7E"/>
    <w:rsid w:val="00D51E9B"/>
    <w:rsid w:val="00D521CC"/>
    <w:rsid w:val="00D5320C"/>
    <w:rsid w:val="00D54448"/>
    <w:rsid w:val="00D54C49"/>
    <w:rsid w:val="00D55598"/>
    <w:rsid w:val="00D557BF"/>
    <w:rsid w:val="00D56517"/>
    <w:rsid w:val="00D571B4"/>
    <w:rsid w:val="00D57236"/>
    <w:rsid w:val="00D608E9"/>
    <w:rsid w:val="00D60A29"/>
    <w:rsid w:val="00D60C9C"/>
    <w:rsid w:val="00D6289E"/>
    <w:rsid w:val="00D62ECD"/>
    <w:rsid w:val="00D6337A"/>
    <w:rsid w:val="00D63C8B"/>
    <w:rsid w:val="00D641D6"/>
    <w:rsid w:val="00D64690"/>
    <w:rsid w:val="00D65827"/>
    <w:rsid w:val="00D65888"/>
    <w:rsid w:val="00D65B51"/>
    <w:rsid w:val="00D66301"/>
    <w:rsid w:val="00D701DD"/>
    <w:rsid w:val="00D70B1F"/>
    <w:rsid w:val="00D715F7"/>
    <w:rsid w:val="00D717AD"/>
    <w:rsid w:val="00D7255B"/>
    <w:rsid w:val="00D72659"/>
    <w:rsid w:val="00D72C6E"/>
    <w:rsid w:val="00D72DDD"/>
    <w:rsid w:val="00D72E09"/>
    <w:rsid w:val="00D73016"/>
    <w:rsid w:val="00D731B1"/>
    <w:rsid w:val="00D7419B"/>
    <w:rsid w:val="00D742B5"/>
    <w:rsid w:val="00D744F3"/>
    <w:rsid w:val="00D751B3"/>
    <w:rsid w:val="00D75B88"/>
    <w:rsid w:val="00D75CD5"/>
    <w:rsid w:val="00D77658"/>
    <w:rsid w:val="00D80209"/>
    <w:rsid w:val="00D8047B"/>
    <w:rsid w:val="00D81445"/>
    <w:rsid w:val="00D81AE6"/>
    <w:rsid w:val="00D82509"/>
    <w:rsid w:val="00D825EA"/>
    <w:rsid w:val="00D82A17"/>
    <w:rsid w:val="00D83751"/>
    <w:rsid w:val="00D83995"/>
    <w:rsid w:val="00D83CC0"/>
    <w:rsid w:val="00D83D8F"/>
    <w:rsid w:val="00D84607"/>
    <w:rsid w:val="00D84901"/>
    <w:rsid w:val="00D85577"/>
    <w:rsid w:val="00D855AF"/>
    <w:rsid w:val="00D85D0B"/>
    <w:rsid w:val="00D86182"/>
    <w:rsid w:val="00D86250"/>
    <w:rsid w:val="00D8651C"/>
    <w:rsid w:val="00D86879"/>
    <w:rsid w:val="00D86F47"/>
    <w:rsid w:val="00D8715F"/>
    <w:rsid w:val="00D874B0"/>
    <w:rsid w:val="00D876B3"/>
    <w:rsid w:val="00D87E6A"/>
    <w:rsid w:val="00D87EFC"/>
    <w:rsid w:val="00D90320"/>
    <w:rsid w:val="00D90362"/>
    <w:rsid w:val="00D91654"/>
    <w:rsid w:val="00D91DCA"/>
    <w:rsid w:val="00D92790"/>
    <w:rsid w:val="00D93B80"/>
    <w:rsid w:val="00D943B6"/>
    <w:rsid w:val="00D94975"/>
    <w:rsid w:val="00D94BAC"/>
    <w:rsid w:val="00D94CE2"/>
    <w:rsid w:val="00D95665"/>
    <w:rsid w:val="00D956C3"/>
    <w:rsid w:val="00D958B1"/>
    <w:rsid w:val="00D96976"/>
    <w:rsid w:val="00D96D6A"/>
    <w:rsid w:val="00D96F97"/>
    <w:rsid w:val="00D97481"/>
    <w:rsid w:val="00D974F0"/>
    <w:rsid w:val="00D97609"/>
    <w:rsid w:val="00D97C66"/>
    <w:rsid w:val="00DA0CF5"/>
    <w:rsid w:val="00DA10A4"/>
    <w:rsid w:val="00DA1A87"/>
    <w:rsid w:val="00DA1B90"/>
    <w:rsid w:val="00DA211B"/>
    <w:rsid w:val="00DA2D94"/>
    <w:rsid w:val="00DA32D1"/>
    <w:rsid w:val="00DA42B5"/>
    <w:rsid w:val="00DA5270"/>
    <w:rsid w:val="00DA5B20"/>
    <w:rsid w:val="00DA70B4"/>
    <w:rsid w:val="00DA75FD"/>
    <w:rsid w:val="00DA78F5"/>
    <w:rsid w:val="00DA7F12"/>
    <w:rsid w:val="00DB02C2"/>
    <w:rsid w:val="00DB0CC6"/>
    <w:rsid w:val="00DB0EFF"/>
    <w:rsid w:val="00DB145D"/>
    <w:rsid w:val="00DB18FD"/>
    <w:rsid w:val="00DB1CD2"/>
    <w:rsid w:val="00DB32BF"/>
    <w:rsid w:val="00DB3ABE"/>
    <w:rsid w:val="00DB4837"/>
    <w:rsid w:val="00DB4A52"/>
    <w:rsid w:val="00DB5B03"/>
    <w:rsid w:val="00DB6078"/>
    <w:rsid w:val="00DB63A4"/>
    <w:rsid w:val="00DB76D9"/>
    <w:rsid w:val="00DB7A60"/>
    <w:rsid w:val="00DC03F3"/>
    <w:rsid w:val="00DC074E"/>
    <w:rsid w:val="00DC07B4"/>
    <w:rsid w:val="00DC0E99"/>
    <w:rsid w:val="00DC162F"/>
    <w:rsid w:val="00DC2E09"/>
    <w:rsid w:val="00DC330A"/>
    <w:rsid w:val="00DC38DE"/>
    <w:rsid w:val="00DC4A62"/>
    <w:rsid w:val="00DC5A54"/>
    <w:rsid w:val="00DC5FE6"/>
    <w:rsid w:val="00DC60D2"/>
    <w:rsid w:val="00DC650E"/>
    <w:rsid w:val="00DC6A5E"/>
    <w:rsid w:val="00DC6BAF"/>
    <w:rsid w:val="00DC7013"/>
    <w:rsid w:val="00DC7221"/>
    <w:rsid w:val="00DD09CF"/>
    <w:rsid w:val="00DD0F62"/>
    <w:rsid w:val="00DD12F8"/>
    <w:rsid w:val="00DD17C1"/>
    <w:rsid w:val="00DD1881"/>
    <w:rsid w:val="00DD20B7"/>
    <w:rsid w:val="00DD233A"/>
    <w:rsid w:val="00DD254F"/>
    <w:rsid w:val="00DD2820"/>
    <w:rsid w:val="00DD2EB4"/>
    <w:rsid w:val="00DD4693"/>
    <w:rsid w:val="00DD4ABA"/>
    <w:rsid w:val="00DD54CA"/>
    <w:rsid w:val="00DD555E"/>
    <w:rsid w:val="00DD57E7"/>
    <w:rsid w:val="00DD57EB"/>
    <w:rsid w:val="00DD5DE3"/>
    <w:rsid w:val="00DD5F50"/>
    <w:rsid w:val="00DD6045"/>
    <w:rsid w:val="00DD7206"/>
    <w:rsid w:val="00DD7D54"/>
    <w:rsid w:val="00DE00B2"/>
    <w:rsid w:val="00DE04F8"/>
    <w:rsid w:val="00DE096C"/>
    <w:rsid w:val="00DE0A12"/>
    <w:rsid w:val="00DE14F6"/>
    <w:rsid w:val="00DE1F10"/>
    <w:rsid w:val="00DE1FFC"/>
    <w:rsid w:val="00DE2D03"/>
    <w:rsid w:val="00DE368D"/>
    <w:rsid w:val="00DE38DF"/>
    <w:rsid w:val="00DE3B47"/>
    <w:rsid w:val="00DE3BFE"/>
    <w:rsid w:val="00DE3D20"/>
    <w:rsid w:val="00DE3ED2"/>
    <w:rsid w:val="00DE4028"/>
    <w:rsid w:val="00DE43D9"/>
    <w:rsid w:val="00DE48B2"/>
    <w:rsid w:val="00DE5E4B"/>
    <w:rsid w:val="00DE6CFB"/>
    <w:rsid w:val="00DE6F8B"/>
    <w:rsid w:val="00DE7017"/>
    <w:rsid w:val="00DE76B9"/>
    <w:rsid w:val="00DF0540"/>
    <w:rsid w:val="00DF1356"/>
    <w:rsid w:val="00DF2DD2"/>
    <w:rsid w:val="00DF370C"/>
    <w:rsid w:val="00DF505B"/>
    <w:rsid w:val="00DF5A0A"/>
    <w:rsid w:val="00DF631B"/>
    <w:rsid w:val="00DF6960"/>
    <w:rsid w:val="00DF78FB"/>
    <w:rsid w:val="00E005BB"/>
    <w:rsid w:val="00E006CC"/>
    <w:rsid w:val="00E00EE8"/>
    <w:rsid w:val="00E019D5"/>
    <w:rsid w:val="00E01DCD"/>
    <w:rsid w:val="00E02095"/>
    <w:rsid w:val="00E0242C"/>
    <w:rsid w:val="00E0359B"/>
    <w:rsid w:val="00E04989"/>
    <w:rsid w:val="00E05350"/>
    <w:rsid w:val="00E05851"/>
    <w:rsid w:val="00E05892"/>
    <w:rsid w:val="00E073B9"/>
    <w:rsid w:val="00E078F5"/>
    <w:rsid w:val="00E112CB"/>
    <w:rsid w:val="00E11F9C"/>
    <w:rsid w:val="00E12335"/>
    <w:rsid w:val="00E125C6"/>
    <w:rsid w:val="00E135CE"/>
    <w:rsid w:val="00E147F9"/>
    <w:rsid w:val="00E148E5"/>
    <w:rsid w:val="00E14BC3"/>
    <w:rsid w:val="00E14FE2"/>
    <w:rsid w:val="00E15C25"/>
    <w:rsid w:val="00E162B6"/>
    <w:rsid w:val="00E1696A"/>
    <w:rsid w:val="00E16C4E"/>
    <w:rsid w:val="00E1739F"/>
    <w:rsid w:val="00E1762B"/>
    <w:rsid w:val="00E17A5E"/>
    <w:rsid w:val="00E218D8"/>
    <w:rsid w:val="00E23059"/>
    <w:rsid w:val="00E23F07"/>
    <w:rsid w:val="00E24AAC"/>
    <w:rsid w:val="00E258BC"/>
    <w:rsid w:val="00E25EE0"/>
    <w:rsid w:val="00E25FA3"/>
    <w:rsid w:val="00E26C5B"/>
    <w:rsid w:val="00E27769"/>
    <w:rsid w:val="00E3047A"/>
    <w:rsid w:val="00E30740"/>
    <w:rsid w:val="00E30C19"/>
    <w:rsid w:val="00E3116D"/>
    <w:rsid w:val="00E31853"/>
    <w:rsid w:val="00E33321"/>
    <w:rsid w:val="00E3370A"/>
    <w:rsid w:val="00E34937"/>
    <w:rsid w:val="00E35664"/>
    <w:rsid w:val="00E37663"/>
    <w:rsid w:val="00E376CB"/>
    <w:rsid w:val="00E3787C"/>
    <w:rsid w:val="00E37E61"/>
    <w:rsid w:val="00E418A6"/>
    <w:rsid w:val="00E424E0"/>
    <w:rsid w:val="00E42626"/>
    <w:rsid w:val="00E42CBA"/>
    <w:rsid w:val="00E43E68"/>
    <w:rsid w:val="00E44F28"/>
    <w:rsid w:val="00E44FA2"/>
    <w:rsid w:val="00E454E2"/>
    <w:rsid w:val="00E458FF"/>
    <w:rsid w:val="00E460C7"/>
    <w:rsid w:val="00E4629D"/>
    <w:rsid w:val="00E46472"/>
    <w:rsid w:val="00E466D1"/>
    <w:rsid w:val="00E4679F"/>
    <w:rsid w:val="00E46890"/>
    <w:rsid w:val="00E46E66"/>
    <w:rsid w:val="00E4787F"/>
    <w:rsid w:val="00E5027F"/>
    <w:rsid w:val="00E50489"/>
    <w:rsid w:val="00E50592"/>
    <w:rsid w:val="00E507CF"/>
    <w:rsid w:val="00E50A96"/>
    <w:rsid w:val="00E50ECC"/>
    <w:rsid w:val="00E51BFC"/>
    <w:rsid w:val="00E51CA0"/>
    <w:rsid w:val="00E51F18"/>
    <w:rsid w:val="00E521AE"/>
    <w:rsid w:val="00E523AE"/>
    <w:rsid w:val="00E527B8"/>
    <w:rsid w:val="00E52E82"/>
    <w:rsid w:val="00E52F76"/>
    <w:rsid w:val="00E537FF"/>
    <w:rsid w:val="00E5416A"/>
    <w:rsid w:val="00E54445"/>
    <w:rsid w:val="00E54FBD"/>
    <w:rsid w:val="00E55209"/>
    <w:rsid w:val="00E556FA"/>
    <w:rsid w:val="00E557C1"/>
    <w:rsid w:val="00E55EAA"/>
    <w:rsid w:val="00E56539"/>
    <w:rsid w:val="00E565FB"/>
    <w:rsid w:val="00E56885"/>
    <w:rsid w:val="00E56AC9"/>
    <w:rsid w:val="00E577BF"/>
    <w:rsid w:val="00E5794D"/>
    <w:rsid w:val="00E60C1F"/>
    <w:rsid w:val="00E60DC6"/>
    <w:rsid w:val="00E65077"/>
    <w:rsid w:val="00E65DC2"/>
    <w:rsid w:val="00E65DDE"/>
    <w:rsid w:val="00E669C4"/>
    <w:rsid w:val="00E66EAD"/>
    <w:rsid w:val="00E6740C"/>
    <w:rsid w:val="00E70C17"/>
    <w:rsid w:val="00E70DF0"/>
    <w:rsid w:val="00E70E21"/>
    <w:rsid w:val="00E70FCB"/>
    <w:rsid w:val="00E71027"/>
    <w:rsid w:val="00E71235"/>
    <w:rsid w:val="00E71308"/>
    <w:rsid w:val="00E71691"/>
    <w:rsid w:val="00E71D99"/>
    <w:rsid w:val="00E72466"/>
    <w:rsid w:val="00E72ED0"/>
    <w:rsid w:val="00E731B4"/>
    <w:rsid w:val="00E73F9F"/>
    <w:rsid w:val="00E747AA"/>
    <w:rsid w:val="00E747E3"/>
    <w:rsid w:val="00E74B4F"/>
    <w:rsid w:val="00E759AB"/>
    <w:rsid w:val="00E75ACD"/>
    <w:rsid w:val="00E76ADF"/>
    <w:rsid w:val="00E770BA"/>
    <w:rsid w:val="00E774A4"/>
    <w:rsid w:val="00E77E5A"/>
    <w:rsid w:val="00E77F65"/>
    <w:rsid w:val="00E77FDA"/>
    <w:rsid w:val="00E80106"/>
    <w:rsid w:val="00E806EE"/>
    <w:rsid w:val="00E81AA1"/>
    <w:rsid w:val="00E82042"/>
    <w:rsid w:val="00E821BF"/>
    <w:rsid w:val="00E82621"/>
    <w:rsid w:val="00E835E9"/>
    <w:rsid w:val="00E840AA"/>
    <w:rsid w:val="00E8494C"/>
    <w:rsid w:val="00E85252"/>
    <w:rsid w:val="00E85665"/>
    <w:rsid w:val="00E858C0"/>
    <w:rsid w:val="00E8689E"/>
    <w:rsid w:val="00E8692D"/>
    <w:rsid w:val="00E87299"/>
    <w:rsid w:val="00E9006A"/>
    <w:rsid w:val="00E909DF"/>
    <w:rsid w:val="00E90E1E"/>
    <w:rsid w:val="00E90EE0"/>
    <w:rsid w:val="00E91B4B"/>
    <w:rsid w:val="00E92647"/>
    <w:rsid w:val="00E930DA"/>
    <w:rsid w:val="00E940B0"/>
    <w:rsid w:val="00E941F4"/>
    <w:rsid w:val="00E95510"/>
    <w:rsid w:val="00E95FC7"/>
    <w:rsid w:val="00E969E9"/>
    <w:rsid w:val="00E96BF3"/>
    <w:rsid w:val="00E97F1B"/>
    <w:rsid w:val="00EA04E6"/>
    <w:rsid w:val="00EA0B19"/>
    <w:rsid w:val="00EA120A"/>
    <w:rsid w:val="00EA1480"/>
    <w:rsid w:val="00EA2ABA"/>
    <w:rsid w:val="00EA2E7A"/>
    <w:rsid w:val="00EA3BAC"/>
    <w:rsid w:val="00EA4614"/>
    <w:rsid w:val="00EA4F01"/>
    <w:rsid w:val="00EA5046"/>
    <w:rsid w:val="00EA546C"/>
    <w:rsid w:val="00EA5653"/>
    <w:rsid w:val="00EA5B26"/>
    <w:rsid w:val="00EA5B42"/>
    <w:rsid w:val="00EA5C0F"/>
    <w:rsid w:val="00EA6178"/>
    <w:rsid w:val="00EA70FF"/>
    <w:rsid w:val="00EA7286"/>
    <w:rsid w:val="00EA7911"/>
    <w:rsid w:val="00EA7C36"/>
    <w:rsid w:val="00EA7C95"/>
    <w:rsid w:val="00EA7F30"/>
    <w:rsid w:val="00EB083B"/>
    <w:rsid w:val="00EB0C6E"/>
    <w:rsid w:val="00EB1EB7"/>
    <w:rsid w:val="00EB2623"/>
    <w:rsid w:val="00EB264B"/>
    <w:rsid w:val="00EB2DCD"/>
    <w:rsid w:val="00EB30C9"/>
    <w:rsid w:val="00EB31F4"/>
    <w:rsid w:val="00EB37BB"/>
    <w:rsid w:val="00EB3F04"/>
    <w:rsid w:val="00EB4306"/>
    <w:rsid w:val="00EB4370"/>
    <w:rsid w:val="00EB5A71"/>
    <w:rsid w:val="00EB64AB"/>
    <w:rsid w:val="00EB6746"/>
    <w:rsid w:val="00EB6AD5"/>
    <w:rsid w:val="00EB6D36"/>
    <w:rsid w:val="00EC26B0"/>
    <w:rsid w:val="00EC3897"/>
    <w:rsid w:val="00EC3E42"/>
    <w:rsid w:val="00EC4241"/>
    <w:rsid w:val="00EC4FED"/>
    <w:rsid w:val="00EC5A36"/>
    <w:rsid w:val="00EC6B24"/>
    <w:rsid w:val="00EC7073"/>
    <w:rsid w:val="00ED0545"/>
    <w:rsid w:val="00ED1321"/>
    <w:rsid w:val="00ED1876"/>
    <w:rsid w:val="00ED1D4F"/>
    <w:rsid w:val="00ED3388"/>
    <w:rsid w:val="00ED38C3"/>
    <w:rsid w:val="00ED440C"/>
    <w:rsid w:val="00ED4724"/>
    <w:rsid w:val="00ED5C0A"/>
    <w:rsid w:val="00ED6A18"/>
    <w:rsid w:val="00ED6F8F"/>
    <w:rsid w:val="00EE101F"/>
    <w:rsid w:val="00EE15CE"/>
    <w:rsid w:val="00EE1C69"/>
    <w:rsid w:val="00EE22DC"/>
    <w:rsid w:val="00EE242D"/>
    <w:rsid w:val="00EE2BC4"/>
    <w:rsid w:val="00EE2D47"/>
    <w:rsid w:val="00EE3118"/>
    <w:rsid w:val="00EE3379"/>
    <w:rsid w:val="00EE357F"/>
    <w:rsid w:val="00EE52D6"/>
    <w:rsid w:val="00EE62EA"/>
    <w:rsid w:val="00EE6359"/>
    <w:rsid w:val="00EE7613"/>
    <w:rsid w:val="00EE76EC"/>
    <w:rsid w:val="00EE77F7"/>
    <w:rsid w:val="00EE7DB4"/>
    <w:rsid w:val="00EE7F98"/>
    <w:rsid w:val="00EF0435"/>
    <w:rsid w:val="00EF0823"/>
    <w:rsid w:val="00EF11AE"/>
    <w:rsid w:val="00EF1810"/>
    <w:rsid w:val="00EF1969"/>
    <w:rsid w:val="00EF1BC8"/>
    <w:rsid w:val="00EF1D77"/>
    <w:rsid w:val="00EF1EB1"/>
    <w:rsid w:val="00EF2589"/>
    <w:rsid w:val="00EF25EC"/>
    <w:rsid w:val="00EF2E0D"/>
    <w:rsid w:val="00EF34B9"/>
    <w:rsid w:val="00EF35FB"/>
    <w:rsid w:val="00EF383F"/>
    <w:rsid w:val="00EF3D10"/>
    <w:rsid w:val="00EF4AFC"/>
    <w:rsid w:val="00EF5252"/>
    <w:rsid w:val="00EF573C"/>
    <w:rsid w:val="00EF5B74"/>
    <w:rsid w:val="00EF616D"/>
    <w:rsid w:val="00EF6541"/>
    <w:rsid w:val="00EF66A2"/>
    <w:rsid w:val="00EF6CBE"/>
    <w:rsid w:val="00EF7362"/>
    <w:rsid w:val="00EF76F7"/>
    <w:rsid w:val="00EF7D97"/>
    <w:rsid w:val="00F0014B"/>
    <w:rsid w:val="00F00AC0"/>
    <w:rsid w:val="00F00AD0"/>
    <w:rsid w:val="00F01AF8"/>
    <w:rsid w:val="00F02B7B"/>
    <w:rsid w:val="00F02FB6"/>
    <w:rsid w:val="00F0311C"/>
    <w:rsid w:val="00F036A0"/>
    <w:rsid w:val="00F0678A"/>
    <w:rsid w:val="00F074BF"/>
    <w:rsid w:val="00F077A8"/>
    <w:rsid w:val="00F077B3"/>
    <w:rsid w:val="00F07A5F"/>
    <w:rsid w:val="00F07B5E"/>
    <w:rsid w:val="00F07E19"/>
    <w:rsid w:val="00F102CD"/>
    <w:rsid w:val="00F1048B"/>
    <w:rsid w:val="00F105DC"/>
    <w:rsid w:val="00F10951"/>
    <w:rsid w:val="00F10B61"/>
    <w:rsid w:val="00F1164A"/>
    <w:rsid w:val="00F1186C"/>
    <w:rsid w:val="00F11A11"/>
    <w:rsid w:val="00F135BE"/>
    <w:rsid w:val="00F13BE8"/>
    <w:rsid w:val="00F13FA4"/>
    <w:rsid w:val="00F142FD"/>
    <w:rsid w:val="00F14AF4"/>
    <w:rsid w:val="00F1752D"/>
    <w:rsid w:val="00F177C2"/>
    <w:rsid w:val="00F20167"/>
    <w:rsid w:val="00F201B9"/>
    <w:rsid w:val="00F20723"/>
    <w:rsid w:val="00F20FC5"/>
    <w:rsid w:val="00F213D3"/>
    <w:rsid w:val="00F21A48"/>
    <w:rsid w:val="00F2244E"/>
    <w:rsid w:val="00F23EDB"/>
    <w:rsid w:val="00F2477F"/>
    <w:rsid w:val="00F24906"/>
    <w:rsid w:val="00F24E6F"/>
    <w:rsid w:val="00F25BBC"/>
    <w:rsid w:val="00F26294"/>
    <w:rsid w:val="00F264EB"/>
    <w:rsid w:val="00F267F9"/>
    <w:rsid w:val="00F26B70"/>
    <w:rsid w:val="00F27A32"/>
    <w:rsid w:val="00F300E9"/>
    <w:rsid w:val="00F30516"/>
    <w:rsid w:val="00F31BDD"/>
    <w:rsid w:val="00F31CE0"/>
    <w:rsid w:val="00F323C8"/>
    <w:rsid w:val="00F32B46"/>
    <w:rsid w:val="00F3340D"/>
    <w:rsid w:val="00F33550"/>
    <w:rsid w:val="00F336DA"/>
    <w:rsid w:val="00F338E7"/>
    <w:rsid w:val="00F33973"/>
    <w:rsid w:val="00F33A38"/>
    <w:rsid w:val="00F35987"/>
    <w:rsid w:val="00F35F68"/>
    <w:rsid w:val="00F3765A"/>
    <w:rsid w:val="00F40BE3"/>
    <w:rsid w:val="00F40C8D"/>
    <w:rsid w:val="00F40E31"/>
    <w:rsid w:val="00F425DF"/>
    <w:rsid w:val="00F42E3D"/>
    <w:rsid w:val="00F43937"/>
    <w:rsid w:val="00F43E59"/>
    <w:rsid w:val="00F461E4"/>
    <w:rsid w:val="00F46270"/>
    <w:rsid w:val="00F4791D"/>
    <w:rsid w:val="00F5030C"/>
    <w:rsid w:val="00F519F0"/>
    <w:rsid w:val="00F526EB"/>
    <w:rsid w:val="00F52C95"/>
    <w:rsid w:val="00F5367B"/>
    <w:rsid w:val="00F5387B"/>
    <w:rsid w:val="00F5467E"/>
    <w:rsid w:val="00F54BA5"/>
    <w:rsid w:val="00F54FF0"/>
    <w:rsid w:val="00F56134"/>
    <w:rsid w:val="00F5665F"/>
    <w:rsid w:val="00F57CFE"/>
    <w:rsid w:val="00F60A49"/>
    <w:rsid w:val="00F60A93"/>
    <w:rsid w:val="00F60F45"/>
    <w:rsid w:val="00F6137F"/>
    <w:rsid w:val="00F63864"/>
    <w:rsid w:val="00F6407E"/>
    <w:rsid w:val="00F64150"/>
    <w:rsid w:val="00F64C92"/>
    <w:rsid w:val="00F64F1D"/>
    <w:rsid w:val="00F657D6"/>
    <w:rsid w:val="00F65A4D"/>
    <w:rsid w:val="00F65E2D"/>
    <w:rsid w:val="00F65EA5"/>
    <w:rsid w:val="00F66AFB"/>
    <w:rsid w:val="00F66D2D"/>
    <w:rsid w:val="00F708DA"/>
    <w:rsid w:val="00F71596"/>
    <w:rsid w:val="00F717E1"/>
    <w:rsid w:val="00F7399D"/>
    <w:rsid w:val="00F73E5E"/>
    <w:rsid w:val="00F743C1"/>
    <w:rsid w:val="00F749B5"/>
    <w:rsid w:val="00F74C40"/>
    <w:rsid w:val="00F76033"/>
    <w:rsid w:val="00F7699A"/>
    <w:rsid w:val="00F769C3"/>
    <w:rsid w:val="00F76CC4"/>
    <w:rsid w:val="00F773FD"/>
    <w:rsid w:val="00F77DBF"/>
    <w:rsid w:val="00F80868"/>
    <w:rsid w:val="00F80B30"/>
    <w:rsid w:val="00F80D0D"/>
    <w:rsid w:val="00F81469"/>
    <w:rsid w:val="00F8252F"/>
    <w:rsid w:val="00F8391F"/>
    <w:rsid w:val="00F83B13"/>
    <w:rsid w:val="00F83FEA"/>
    <w:rsid w:val="00F84339"/>
    <w:rsid w:val="00F846A9"/>
    <w:rsid w:val="00F84836"/>
    <w:rsid w:val="00F856E9"/>
    <w:rsid w:val="00F862D0"/>
    <w:rsid w:val="00F86355"/>
    <w:rsid w:val="00F869A4"/>
    <w:rsid w:val="00F903FA"/>
    <w:rsid w:val="00F90909"/>
    <w:rsid w:val="00F92206"/>
    <w:rsid w:val="00F928B6"/>
    <w:rsid w:val="00F931B1"/>
    <w:rsid w:val="00F933E0"/>
    <w:rsid w:val="00F93B5C"/>
    <w:rsid w:val="00F93D50"/>
    <w:rsid w:val="00F94116"/>
    <w:rsid w:val="00F95126"/>
    <w:rsid w:val="00F95B7B"/>
    <w:rsid w:val="00F95D6A"/>
    <w:rsid w:val="00F95E36"/>
    <w:rsid w:val="00F962F3"/>
    <w:rsid w:val="00F96371"/>
    <w:rsid w:val="00F96718"/>
    <w:rsid w:val="00F970A5"/>
    <w:rsid w:val="00F97ACC"/>
    <w:rsid w:val="00FA04AD"/>
    <w:rsid w:val="00FA0DCF"/>
    <w:rsid w:val="00FA19CC"/>
    <w:rsid w:val="00FA1DC6"/>
    <w:rsid w:val="00FA2035"/>
    <w:rsid w:val="00FA296B"/>
    <w:rsid w:val="00FA2C37"/>
    <w:rsid w:val="00FA3D9A"/>
    <w:rsid w:val="00FA3F38"/>
    <w:rsid w:val="00FA41CF"/>
    <w:rsid w:val="00FA467D"/>
    <w:rsid w:val="00FA4E44"/>
    <w:rsid w:val="00FA576D"/>
    <w:rsid w:val="00FA69A5"/>
    <w:rsid w:val="00FA6B86"/>
    <w:rsid w:val="00FA7386"/>
    <w:rsid w:val="00FA759D"/>
    <w:rsid w:val="00FB0850"/>
    <w:rsid w:val="00FB1949"/>
    <w:rsid w:val="00FB2626"/>
    <w:rsid w:val="00FB2C32"/>
    <w:rsid w:val="00FB37FF"/>
    <w:rsid w:val="00FB38D2"/>
    <w:rsid w:val="00FB3BA0"/>
    <w:rsid w:val="00FB4FBC"/>
    <w:rsid w:val="00FB5370"/>
    <w:rsid w:val="00FB5436"/>
    <w:rsid w:val="00FB57A6"/>
    <w:rsid w:val="00FB5905"/>
    <w:rsid w:val="00FB6536"/>
    <w:rsid w:val="00FB6868"/>
    <w:rsid w:val="00FB7A54"/>
    <w:rsid w:val="00FB7A61"/>
    <w:rsid w:val="00FC04EC"/>
    <w:rsid w:val="00FC067D"/>
    <w:rsid w:val="00FC0D89"/>
    <w:rsid w:val="00FC0FA3"/>
    <w:rsid w:val="00FC10B0"/>
    <w:rsid w:val="00FC1E77"/>
    <w:rsid w:val="00FC22AF"/>
    <w:rsid w:val="00FC29F6"/>
    <w:rsid w:val="00FC333D"/>
    <w:rsid w:val="00FC3EB4"/>
    <w:rsid w:val="00FC41C1"/>
    <w:rsid w:val="00FC4360"/>
    <w:rsid w:val="00FC4E6C"/>
    <w:rsid w:val="00FC52DF"/>
    <w:rsid w:val="00FC60D3"/>
    <w:rsid w:val="00FC6328"/>
    <w:rsid w:val="00FC6471"/>
    <w:rsid w:val="00FC67DA"/>
    <w:rsid w:val="00FC6FB3"/>
    <w:rsid w:val="00FC7308"/>
    <w:rsid w:val="00FC7E3B"/>
    <w:rsid w:val="00FD0B7B"/>
    <w:rsid w:val="00FD1787"/>
    <w:rsid w:val="00FD1D4B"/>
    <w:rsid w:val="00FD20F9"/>
    <w:rsid w:val="00FD2772"/>
    <w:rsid w:val="00FD31FF"/>
    <w:rsid w:val="00FD383B"/>
    <w:rsid w:val="00FD4221"/>
    <w:rsid w:val="00FD4244"/>
    <w:rsid w:val="00FD441F"/>
    <w:rsid w:val="00FD56F8"/>
    <w:rsid w:val="00FD6A7C"/>
    <w:rsid w:val="00FD6B45"/>
    <w:rsid w:val="00FD6CB1"/>
    <w:rsid w:val="00FE00B5"/>
    <w:rsid w:val="00FE027F"/>
    <w:rsid w:val="00FE11A7"/>
    <w:rsid w:val="00FE2833"/>
    <w:rsid w:val="00FE2EE5"/>
    <w:rsid w:val="00FE32C0"/>
    <w:rsid w:val="00FE337E"/>
    <w:rsid w:val="00FE3B79"/>
    <w:rsid w:val="00FE3F35"/>
    <w:rsid w:val="00FE5BEF"/>
    <w:rsid w:val="00FE6760"/>
    <w:rsid w:val="00FE6F63"/>
    <w:rsid w:val="00FE7047"/>
    <w:rsid w:val="00FE71B9"/>
    <w:rsid w:val="00FE76F1"/>
    <w:rsid w:val="00FF01BC"/>
    <w:rsid w:val="00FF026F"/>
    <w:rsid w:val="00FF0510"/>
    <w:rsid w:val="00FF127C"/>
    <w:rsid w:val="00FF15AD"/>
    <w:rsid w:val="00FF15DB"/>
    <w:rsid w:val="00FF1BB7"/>
    <w:rsid w:val="00FF2778"/>
    <w:rsid w:val="00FF2BC5"/>
    <w:rsid w:val="00FF3188"/>
    <w:rsid w:val="00FF50FC"/>
    <w:rsid w:val="00FF6828"/>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rsid w:val="00216621"/>
    <w:pPr>
      <w:widowControl/>
      <w:autoSpaceDE/>
      <w:autoSpaceDN/>
      <w:adjustRightInd/>
      <w:spacing w:before="100" w:beforeAutospacing="1" w:after="100" w:afterAutospacing="1"/>
    </w:pPr>
    <w:rPr>
      <w:sz w:val="19"/>
      <w:szCs w:val="19"/>
    </w:rPr>
  </w:style>
  <w:style w:type="paragraph" w:styleId="NoSpacing">
    <w:name w:val="No Spacing"/>
    <w:uiPriority w:val="1"/>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paragraph" w:customStyle="1" w:styleId="xmsonormal">
    <w:name w:val="xmsonormal"/>
    <w:basedOn w:val="Normal"/>
    <w:rsid w:val="00A72FEA"/>
    <w:pPr>
      <w:widowControl/>
      <w:autoSpaceDE/>
      <w:autoSpaceDN/>
      <w:adjustRightInd/>
      <w:spacing w:before="100" w:beforeAutospacing="1" w:after="100" w:afterAutospacing="1"/>
    </w:pPr>
    <w:rPr>
      <w:rFonts w:ascii="Aptos" w:eastAsiaTheme="minorHAnsi" w:hAnsi="Aptos" w:cs="Aptos"/>
    </w:rPr>
  </w:style>
  <w:style w:type="table" w:customStyle="1" w:styleId="GridTable41">
    <w:name w:val="Grid Table 41"/>
    <w:basedOn w:val="TableNormal"/>
    <w:next w:val="GridTable4"/>
    <w:uiPriority w:val="49"/>
    <w:rsid w:val="00187523"/>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9223</Words>
  <Characters>53586</Characters>
  <Application>Microsoft Office Word</Application>
  <DocSecurity>0</DocSecurity>
  <Lines>1786</Lines>
  <Paragraphs>826</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Yang, Fan - OSHA</cp:lastModifiedBy>
  <cp:revision>5</cp:revision>
  <cp:lastPrinted>2026-02-24T20:04:00Z</cp:lastPrinted>
  <dcterms:created xsi:type="dcterms:W3CDTF">2026-08-27T17:05:00Z</dcterms:created>
  <dcterms:modified xsi:type="dcterms:W3CDTF">2026-10-02T14:03:00Z</dcterms:modified>
</cp:coreProperties>
</file>