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32"/>
        <w:ind w:left="2148" w:right="1330" w:hanging="185"/>
        <w:jc w:val="left"/>
        <w:rPr>
          <w:b/>
          <w:sz w:val="24"/>
        </w:rPr>
      </w:pPr>
      <w:r>
        <w:rPr>
          <w:b/>
          <w:sz w:val="24"/>
        </w:rPr>
        <mc:AlternateContent>
          <mc:Choice Requires="wps">
            <w:drawing>
              <wp:anchor distT="0" distB="0" distL="0" distR="0" allowOverlap="1" layoutInCell="1" locked="0" behindDoc="1" simplePos="0" relativeHeight="487587840">
                <wp:simplePos x="0" y="0"/>
                <wp:positionH relativeFrom="page">
                  <wp:posOffset>896111</wp:posOffset>
                </wp:positionH>
                <wp:positionV relativeFrom="paragraph">
                  <wp:posOffset>404875</wp:posOffset>
                </wp:positionV>
                <wp:extent cx="5980430" cy="635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59998pt;margin-top:31.879999pt;width:470.88pt;height:.48pt;mso-position-horizontal-relative:page;mso-position-vertical-relative:paragraph;z-index:-15728640;mso-wrap-distance-left:0;mso-wrap-distance-right:0" id="docshape1" filled="true" fillcolor="#000000" stroked="false">
                <v:fill type="solid"/>
                <w10:wrap type="topAndBottom"/>
              </v:rect>
            </w:pict>
          </mc:Fallback>
        </mc:AlternateContent>
      </w:r>
      <w:r>
        <w:rPr>
          <w:b/>
          <w:color w:val="44536A"/>
          <w:sz w:val="24"/>
        </w:rPr>
        <w:t>NY</w:t>
      </w:r>
      <w:r>
        <w:rPr>
          <w:b/>
          <w:color w:val="44536A"/>
          <w:spacing w:val="-4"/>
          <w:sz w:val="24"/>
        </w:rPr>
        <w:t> </w:t>
      </w:r>
      <w:r>
        <w:rPr>
          <w:b/>
          <w:color w:val="44536A"/>
          <w:sz w:val="24"/>
        </w:rPr>
        <w:t>State</w:t>
      </w:r>
      <w:r>
        <w:rPr>
          <w:b/>
          <w:color w:val="44536A"/>
          <w:spacing w:val="-5"/>
          <w:sz w:val="24"/>
        </w:rPr>
        <w:t> </w:t>
      </w:r>
      <w:r>
        <w:rPr>
          <w:b/>
          <w:color w:val="44536A"/>
          <w:sz w:val="24"/>
        </w:rPr>
        <w:t>Public</w:t>
      </w:r>
      <w:r>
        <w:rPr>
          <w:b/>
          <w:color w:val="44536A"/>
          <w:spacing w:val="-7"/>
          <w:sz w:val="24"/>
        </w:rPr>
        <w:t> </w:t>
      </w:r>
      <w:r>
        <w:rPr>
          <w:b/>
          <w:color w:val="44536A"/>
          <w:sz w:val="24"/>
        </w:rPr>
        <w:t>Employee</w:t>
      </w:r>
      <w:r>
        <w:rPr>
          <w:b/>
          <w:color w:val="44536A"/>
          <w:spacing w:val="-5"/>
          <w:sz w:val="24"/>
        </w:rPr>
        <w:t> </w:t>
      </w:r>
      <w:r>
        <w:rPr>
          <w:b/>
          <w:color w:val="44536A"/>
          <w:sz w:val="24"/>
        </w:rPr>
        <w:t>Safety</w:t>
      </w:r>
      <w:r>
        <w:rPr>
          <w:b/>
          <w:color w:val="44536A"/>
          <w:spacing w:val="-5"/>
          <w:sz w:val="24"/>
        </w:rPr>
        <w:t> </w:t>
      </w:r>
      <w:r>
        <w:rPr>
          <w:b/>
          <w:color w:val="44536A"/>
          <w:sz w:val="24"/>
        </w:rPr>
        <w:t>and</w:t>
      </w:r>
      <w:r>
        <w:rPr>
          <w:b/>
          <w:color w:val="44536A"/>
          <w:spacing w:val="-4"/>
          <w:sz w:val="24"/>
        </w:rPr>
        <w:t> </w:t>
      </w:r>
      <w:r>
        <w:rPr>
          <w:b/>
          <w:color w:val="44536A"/>
          <w:sz w:val="24"/>
        </w:rPr>
        <w:t>Health</w:t>
      </w:r>
      <w:r>
        <w:rPr>
          <w:b/>
          <w:color w:val="44536A"/>
          <w:spacing w:val="-4"/>
          <w:sz w:val="24"/>
        </w:rPr>
        <w:t> </w:t>
      </w:r>
      <w:r>
        <w:rPr>
          <w:b/>
          <w:color w:val="44536A"/>
          <w:sz w:val="24"/>
        </w:rPr>
        <w:t>(PESH)</w:t>
      </w:r>
      <w:r>
        <w:rPr>
          <w:b/>
          <w:color w:val="44536A"/>
          <w:spacing w:val="-5"/>
          <w:sz w:val="24"/>
        </w:rPr>
        <w:t> </w:t>
      </w:r>
      <w:r>
        <w:rPr>
          <w:b/>
          <w:color w:val="44536A"/>
          <w:sz w:val="24"/>
        </w:rPr>
        <w:t>State</w:t>
      </w:r>
      <w:r>
        <w:rPr>
          <w:b/>
          <w:color w:val="44536A"/>
          <w:spacing w:val="-5"/>
          <w:sz w:val="24"/>
        </w:rPr>
        <w:t> </w:t>
      </w:r>
      <w:r>
        <w:rPr>
          <w:b/>
          <w:color w:val="44536A"/>
          <w:sz w:val="24"/>
        </w:rPr>
        <w:t>Plan Formal Response to FY 2025 Comprehensive FAME Report</w:t>
      </w:r>
    </w:p>
    <w:p>
      <w:pPr>
        <w:pStyle w:val="BodyText"/>
        <w:spacing w:before="1"/>
        <w:ind w:left="0"/>
        <w:rPr>
          <w:b/>
        </w:rPr>
      </w:pPr>
    </w:p>
    <w:p>
      <w:pPr>
        <w:spacing w:before="0"/>
        <w:ind w:left="360" w:right="0" w:firstLine="0"/>
        <w:jc w:val="left"/>
        <w:rPr>
          <w:b/>
          <w:sz w:val="24"/>
        </w:rPr>
      </w:pPr>
      <w:r>
        <w:rPr>
          <w:b/>
          <w:spacing w:val="-2"/>
          <w:sz w:val="24"/>
        </w:rPr>
        <w:t>Finding:</w:t>
      </w:r>
    </w:p>
    <w:p>
      <w:pPr>
        <w:spacing w:before="0"/>
        <w:ind w:left="360" w:right="0" w:firstLine="0"/>
        <w:jc w:val="left"/>
        <w:rPr>
          <w:b/>
          <w:sz w:val="24"/>
        </w:rPr>
      </w:pPr>
      <w:r>
        <w:rPr>
          <w:b/>
          <w:sz w:val="24"/>
        </w:rPr>
        <w:t>FY</w:t>
      </w:r>
      <w:r>
        <w:rPr>
          <w:b/>
          <w:spacing w:val="-2"/>
          <w:sz w:val="24"/>
        </w:rPr>
        <w:t> </w:t>
      </w:r>
      <w:r>
        <w:rPr>
          <w:b/>
          <w:sz w:val="24"/>
        </w:rPr>
        <w:t>2025-02:</w:t>
      </w:r>
      <w:r>
        <w:rPr>
          <w:b/>
          <w:spacing w:val="-3"/>
          <w:sz w:val="24"/>
        </w:rPr>
        <w:t> </w:t>
      </w:r>
      <w:r>
        <w:rPr>
          <w:b/>
          <w:sz w:val="24"/>
        </w:rPr>
        <w:t>Safety</w:t>
      </w:r>
      <w:r>
        <w:rPr>
          <w:b/>
          <w:spacing w:val="-2"/>
          <w:sz w:val="24"/>
        </w:rPr>
        <w:t> </w:t>
      </w:r>
      <w:r>
        <w:rPr>
          <w:b/>
          <w:sz w:val="24"/>
        </w:rPr>
        <w:t>Lapse</w:t>
      </w:r>
      <w:r>
        <w:rPr>
          <w:b/>
          <w:spacing w:val="-2"/>
          <w:sz w:val="24"/>
        </w:rPr>
        <w:t> </w:t>
      </w:r>
      <w:r>
        <w:rPr>
          <w:b/>
          <w:spacing w:val="-4"/>
          <w:sz w:val="24"/>
        </w:rPr>
        <w:t>Time</w:t>
      </w:r>
    </w:p>
    <w:p>
      <w:pPr>
        <w:spacing w:before="0"/>
        <w:ind w:left="360" w:right="381" w:firstLine="0"/>
        <w:jc w:val="left"/>
        <w:rPr>
          <w:b/>
          <w:sz w:val="24"/>
        </w:rPr>
      </w:pPr>
      <w:r>
        <w:rPr>
          <w:b/>
          <w:sz w:val="24"/>
        </w:rPr>
        <w:t>In</w:t>
      </w:r>
      <w:r>
        <w:rPr>
          <w:b/>
          <w:spacing w:val="-1"/>
          <w:sz w:val="24"/>
        </w:rPr>
        <w:t> </w:t>
      </w:r>
      <w:r>
        <w:rPr>
          <w:b/>
          <w:sz w:val="24"/>
        </w:rPr>
        <w:t>FY</w:t>
      </w:r>
      <w:r>
        <w:rPr>
          <w:b/>
          <w:spacing w:val="-4"/>
          <w:sz w:val="24"/>
        </w:rPr>
        <w:t> </w:t>
      </w:r>
      <w:r>
        <w:rPr>
          <w:b/>
          <w:sz w:val="24"/>
        </w:rPr>
        <w:t>2025,</w:t>
      </w:r>
      <w:r>
        <w:rPr>
          <w:b/>
          <w:spacing w:val="-3"/>
          <w:sz w:val="24"/>
        </w:rPr>
        <w:t> </w:t>
      </w:r>
      <w:r>
        <w:rPr>
          <w:b/>
          <w:sz w:val="24"/>
        </w:rPr>
        <w:t>NY</w:t>
      </w:r>
      <w:r>
        <w:rPr>
          <w:b/>
          <w:spacing w:val="-1"/>
          <w:sz w:val="24"/>
        </w:rPr>
        <w:t> </w:t>
      </w:r>
      <w:r>
        <w:rPr>
          <w:b/>
          <w:sz w:val="24"/>
        </w:rPr>
        <w:t>PESH's</w:t>
      </w:r>
      <w:r>
        <w:rPr>
          <w:b/>
          <w:spacing w:val="-1"/>
          <w:sz w:val="24"/>
        </w:rPr>
        <w:t> </w:t>
      </w:r>
      <w:r>
        <w:rPr>
          <w:b/>
          <w:sz w:val="24"/>
        </w:rPr>
        <w:t>average</w:t>
      </w:r>
      <w:r>
        <w:rPr>
          <w:b/>
          <w:spacing w:val="-2"/>
          <w:sz w:val="24"/>
        </w:rPr>
        <w:t> </w:t>
      </w:r>
      <w:r>
        <w:rPr>
          <w:b/>
          <w:sz w:val="24"/>
        </w:rPr>
        <w:t>safety</w:t>
      </w:r>
      <w:r>
        <w:rPr>
          <w:b/>
          <w:spacing w:val="-2"/>
          <w:sz w:val="24"/>
        </w:rPr>
        <w:t> </w:t>
      </w:r>
      <w:r>
        <w:rPr>
          <w:b/>
          <w:sz w:val="24"/>
        </w:rPr>
        <w:t>lapse</w:t>
      </w:r>
      <w:r>
        <w:rPr>
          <w:b/>
          <w:spacing w:val="-2"/>
          <w:sz w:val="24"/>
        </w:rPr>
        <w:t> </w:t>
      </w:r>
      <w:r>
        <w:rPr>
          <w:b/>
          <w:sz w:val="24"/>
        </w:rPr>
        <w:t>time</w:t>
      </w:r>
      <w:r>
        <w:rPr>
          <w:b/>
          <w:spacing w:val="-2"/>
          <w:sz w:val="24"/>
        </w:rPr>
        <w:t> </w:t>
      </w:r>
      <w:r>
        <w:rPr>
          <w:b/>
          <w:sz w:val="24"/>
        </w:rPr>
        <w:t>(SAMM</w:t>
      </w:r>
      <w:r>
        <w:rPr>
          <w:b/>
          <w:spacing w:val="-3"/>
          <w:sz w:val="24"/>
        </w:rPr>
        <w:t> </w:t>
      </w:r>
      <w:r>
        <w:rPr>
          <w:b/>
          <w:sz w:val="24"/>
        </w:rPr>
        <w:t>#11A)</w:t>
      </w:r>
      <w:r>
        <w:rPr>
          <w:b/>
          <w:spacing w:val="-4"/>
          <w:sz w:val="24"/>
        </w:rPr>
        <w:t> </w:t>
      </w:r>
      <w:r>
        <w:rPr>
          <w:b/>
          <w:sz w:val="24"/>
        </w:rPr>
        <w:t>was</w:t>
      </w:r>
      <w:r>
        <w:rPr>
          <w:b/>
          <w:spacing w:val="-1"/>
          <w:sz w:val="24"/>
        </w:rPr>
        <w:t> </w:t>
      </w:r>
      <w:r>
        <w:rPr>
          <w:b/>
          <w:sz w:val="24"/>
        </w:rPr>
        <w:t>84.79</w:t>
      </w:r>
      <w:r>
        <w:rPr>
          <w:b/>
          <w:spacing w:val="-6"/>
          <w:sz w:val="24"/>
        </w:rPr>
        <w:t> </w:t>
      </w:r>
      <w:r>
        <w:rPr>
          <w:b/>
          <w:sz w:val="24"/>
        </w:rPr>
        <w:t>days,</w:t>
      </w:r>
      <w:r>
        <w:rPr>
          <w:b/>
          <w:spacing w:val="-1"/>
          <w:sz w:val="24"/>
        </w:rPr>
        <w:t> </w:t>
      </w:r>
      <w:r>
        <w:rPr>
          <w:b/>
          <w:sz w:val="24"/>
        </w:rPr>
        <w:t>exceeding</w:t>
      </w:r>
      <w:r>
        <w:rPr>
          <w:b/>
          <w:spacing w:val="-3"/>
          <w:sz w:val="24"/>
        </w:rPr>
        <w:t> </w:t>
      </w:r>
      <w:r>
        <w:rPr>
          <w:b/>
          <w:sz w:val="24"/>
        </w:rPr>
        <w:t>the FRL of 67.54 days.</w:t>
      </w:r>
    </w:p>
    <w:p>
      <w:pPr>
        <w:spacing w:before="293"/>
        <w:ind w:left="360" w:right="0" w:firstLine="0"/>
        <w:jc w:val="left"/>
        <w:rPr>
          <w:b/>
          <w:sz w:val="24"/>
        </w:rPr>
      </w:pPr>
      <w:r>
        <w:rPr>
          <w:b/>
          <w:sz w:val="24"/>
        </w:rPr>
        <w:t>FY</w:t>
      </w:r>
      <w:r>
        <w:rPr>
          <w:b/>
          <w:spacing w:val="-2"/>
          <w:sz w:val="24"/>
        </w:rPr>
        <w:t> </w:t>
      </w:r>
      <w:r>
        <w:rPr>
          <w:b/>
          <w:sz w:val="24"/>
        </w:rPr>
        <w:t>2025-03:</w:t>
      </w:r>
      <w:r>
        <w:rPr>
          <w:b/>
          <w:spacing w:val="-4"/>
          <w:sz w:val="24"/>
        </w:rPr>
        <w:t> </w:t>
      </w:r>
      <w:r>
        <w:rPr>
          <w:b/>
          <w:sz w:val="24"/>
        </w:rPr>
        <w:t>Health</w:t>
      </w:r>
      <w:r>
        <w:rPr>
          <w:b/>
          <w:spacing w:val="-2"/>
          <w:sz w:val="24"/>
        </w:rPr>
        <w:t> </w:t>
      </w:r>
      <w:r>
        <w:rPr>
          <w:b/>
          <w:sz w:val="24"/>
        </w:rPr>
        <w:t>Lapse</w:t>
      </w:r>
      <w:r>
        <w:rPr>
          <w:b/>
          <w:spacing w:val="-2"/>
          <w:sz w:val="24"/>
        </w:rPr>
        <w:t> </w:t>
      </w:r>
      <w:r>
        <w:rPr>
          <w:b/>
          <w:spacing w:val="-4"/>
          <w:sz w:val="24"/>
        </w:rPr>
        <w:t>Time</w:t>
      </w:r>
    </w:p>
    <w:p>
      <w:pPr>
        <w:spacing w:before="0"/>
        <w:ind w:left="360" w:right="381" w:firstLine="0"/>
        <w:jc w:val="left"/>
        <w:rPr>
          <w:b/>
          <w:sz w:val="24"/>
        </w:rPr>
      </w:pPr>
      <w:r>
        <w:rPr>
          <w:b/>
          <w:sz w:val="24"/>
        </w:rPr>
        <w:t>In</w:t>
      </w:r>
      <w:r>
        <w:rPr>
          <w:b/>
          <w:spacing w:val="-2"/>
          <w:sz w:val="24"/>
        </w:rPr>
        <w:t> </w:t>
      </w:r>
      <w:r>
        <w:rPr>
          <w:b/>
          <w:sz w:val="24"/>
        </w:rPr>
        <w:t>FY</w:t>
      </w:r>
      <w:r>
        <w:rPr>
          <w:b/>
          <w:spacing w:val="-5"/>
          <w:sz w:val="24"/>
        </w:rPr>
        <w:t> </w:t>
      </w:r>
      <w:r>
        <w:rPr>
          <w:b/>
          <w:sz w:val="24"/>
        </w:rPr>
        <w:t>2025,</w:t>
      </w:r>
      <w:r>
        <w:rPr>
          <w:b/>
          <w:spacing w:val="-4"/>
          <w:sz w:val="24"/>
        </w:rPr>
        <w:t> </w:t>
      </w:r>
      <w:r>
        <w:rPr>
          <w:b/>
          <w:sz w:val="24"/>
        </w:rPr>
        <w:t>NY</w:t>
      </w:r>
      <w:r>
        <w:rPr>
          <w:b/>
          <w:spacing w:val="-2"/>
          <w:sz w:val="24"/>
        </w:rPr>
        <w:t> </w:t>
      </w:r>
      <w:r>
        <w:rPr>
          <w:b/>
          <w:sz w:val="24"/>
        </w:rPr>
        <w:t>PESH’s</w:t>
      </w:r>
      <w:r>
        <w:rPr>
          <w:b/>
          <w:spacing w:val="-2"/>
          <w:sz w:val="24"/>
        </w:rPr>
        <w:t> </w:t>
      </w:r>
      <w:r>
        <w:rPr>
          <w:b/>
          <w:sz w:val="24"/>
        </w:rPr>
        <w:t>average</w:t>
      </w:r>
      <w:r>
        <w:rPr>
          <w:b/>
          <w:spacing w:val="-3"/>
          <w:sz w:val="24"/>
        </w:rPr>
        <w:t> </w:t>
      </w:r>
      <w:r>
        <w:rPr>
          <w:b/>
          <w:sz w:val="24"/>
        </w:rPr>
        <w:t>health</w:t>
      </w:r>
      <w:r>
        <w:rPr>
          <w:b/>
          <w:spacing w:val="-2"/>
          <w:sz w:val="24"/>
        </w:rPr>
        <w:t> </w:t>
      </w:r>
      <w:r>
        <w:rPr>
          <w:b/>
          <w:sz w:val="24"/>
        </w:rPr>
        <w:t>lapse</w:t>
      </w:r>
      <w:r>
        <w:rPr>
          <w:b/>
          <w:spacing w:val="-3"/>
          <w:sz w:val="24"/>
        </w:rPr>
        <w:t> </w:t>
      </w:r>
      <w:r>
        <w:rPr>
          <w:b/>
          <w:sz w:val="24"/>
        </w:rPr>
        <w:t>time</w:t>
      </w:r>
      <w:r>
        <w:rPr>
          <w:b/>
          <w:spacing w:val="-3"/>
          <w:sz w:val="24"/>
        </w:rPr>
        <w:t> </w:t>
      </w:r>
      <w:r>
        <w:rPr>
          <w:b/>
          <w:sz w:val="24"/>
        </w:rPr>
        <w:t>(SAMM</w:t>
      </w:r>
      <w:r>
        <w:rPr>
          <w:b/>
          <w:spacing w:val="-4"/>
          <w:sz w:val="24"/>
        </w:rPr>
        <w:t> </w:t>
      </w:r>
      <w:r>
        <w:rPr>
          <w:b/>
          <w:sz w:val="24"/>
        </w:rPr>
        <w:t>#11B)</w:t>
      </w:r>
      <w:r>
        <w:rPr>
          <w:b/>
          <w:spacing w:val="-3"/>
          <w:sz w:val="24"/>
        </w:rPr>
        <w:t> </w:t>
      </w:r>
      <w:r>
        <w:rPr>
          <w:b/>
          <w:sz w:val="24"/>
        </w:rPr>
        <w:t>was</w:t>
      </w:r>
      <w:r>
        <w:rPr>
          <w:b/>
          <w:spacing w:val="-2"/>
          <w:sz w:val="24"/>
        </w:rPr>
        <w:t> </w:t>
      </w:r>
      <w:r>
        <w:rPr>
          <w:b/>
          <w:sz w:val="24"/>
        </w:rPr>
        <w:t>95.28</w:t>
      </w:r>
      <w:r>
        <w:rPr>
          <w:b/>
          <w:spacing w:val="-4"/>
          <w:sz w:val="24"/>
        </w:rPr>
        <w:t> </w:t>
      </w:r>
      <w:r>
        <w:rPr>
          <w:b/>
          <w:sz w:val="24"/>
        </w:rPr>
        <w:t>days,</w:t>
      </w:r>
      <w:r>
        <w:rPr>
          <w:b/>
          <w:spacing w:val="-2"/>
          <w:sz w:val="24"/>
        </w:rPr>
        <w:t> </w:t>
      </w:r>
      <w:r>
        <w:rPr>
          <w:b/>
          <w:sz w:val="24"/>
        </w:rPr>
        <w:t>exceeding</w:t>
      </w:r>
      <w:r>
        <w:rPr>
          <w:b/>
          <w:spacing w:val="-4"/>
          <w:sz w:val="24"/>
        </w:rPr>
        <w:t> </w:t>
      </w:r>
      <w:r>
        <w:rPr>
          <w:b/>
          <w:sz w:val="24"/>
        </w:rPr>
        <w:t>the FRL of 80.40 days.</w:t>
      </w:r>
    </w:p>
    <w:p>
      <w:pPr>
        <w:pStyle w:val="BodyText"/>
        <w:spacing w:before="292"/>
      </w:pPr>
      <w:r>
        <w:rPr/>
        <w:t>State</w:t>
      </w:r>
      <w:r>
        <w:rPr>
          <w:spacing w:val="-2"/>
        </w:rPr>
        <w:t> </w:t>
      </w:r>
      <w:r>
        <w:rPr/>
        <w:t>Plan</w:t>
      </w:r>
      <w:r>
        <w:rPr>
          <w:spacing w:val="2"/>
        </w:rPr>
        <w:t> </w:t>
      </w:r>
      <w:r>
        <w:rPr>
          <w:spacing w:val="-2"/>
        </w:rPr>
        <w:t>Response:</w:t>
      </w:r>
    </w:p>
    <w:p>
      <w:pPr>
        <w:pStyle w:val="BodyText"/>
        <w:ind w:right="381"/>
      </w:pPr>
      <w:r>
        <w:rPr/>
        <w:t>PESH Response: PESH recognizes the importance of this metric but believes that it should be taken</w:t>
      </w:r>
      <w:r>
        <w:rPr>
          <w:spacing w:val="-1"/>
        </w:rPr>
        <w:t> </w:t>
      </w:r>
      <w:r>
        <w:rPr/>
        <w:t>into</w:t>
      </w:r>
      <w:r>
        <w:rPr>
          <w:spacing w:val="-4"/>
        </w:rPr>
        <w:t> </w:t>
      </w:r>
      <w:r>
        <w:rPr/>
        <w:t>consideration</w:t>
      </w:r>
      <w:r>
        <w:rPr>
          <w:spacing w:val="-6"/>
        </w:rPr>
        <w:t> </w:t>
      </w:r>
      <w:r>
        <w:rPr/>
        <w:t>together</w:t>
      </w:r>
      <w:r>
        <w:rPr>
          <w:spacing w:val="-5"/>
        </w:rPr>
        <w:t> </w:t>
      </w:r>
      <w:r>
        <w:rPr/>
        <w:t>with</w:t>
      </w:r>
      <w:r>
        <w:rPr>
          <w:spacing w:val="-4"/>
        </w:rPr>
        <w:t> </w:t>
      </w:r>
      <w:r>
        <w:rPr/>
        <w:t>SAMM</w:t>
      </w:r>
      <w:r>
        <w:rPr>
          <w:spacing w:val="-1"/>
        </w:rPr>
        <w:t> </w:t>
      </w:r>
      <w:r>
        <w:rPr/>
        <w:t>metric</w:t>
      </w:r>
      <w:r>
        <w:rPr>
          <w:spacing w:val="-3"/>
        </w:rPr>
        <w:t> </w:t>
      </w:r>
      <w:r>
        <w:rPr/>
        <w:t>5a,</w:t>
      </w:r>
      <w:r>
        <w:rPr>
          <w:spacing w:val="-5"/>
        </w:rPr>
        <w:t> </w:t>
      </w:r>
      <w:r>
        <w:rPr/>
        <w:t>the</w:t>
      </w:r>
      <w:r>
        <w:rPr>
          <w:spacing w:val="-2"/>
        </w:rPr>
        <w:t> </w:t>
      </w:r>
      <w:r>
        <w:rPr/>
        <w:t>average</w:t>
      </w:r>
      <w:r>
        <w:rPr>
          <w:spacing w:val="-4"/>
        </w:rPr>
        <w:t> </w:t>
      </w:r>
      <w:r>
        <w:rPr/>
        <w:t>number</w:t>
      </w:r>
      <w:r>
        <w:rPr>
          <w:spacing w:val="-2"/>
        </w:rPr>
        <w:t> </w:t>
      </w:r>
      <w:r>
        <w:rPr/>
        <w:t>of</w:t>
      </w:r>
      <w:r>
        <w:rPr>
          <w:spacing w:val="-1"/>
        </w:rPr>
        <w:t> </w:t>
      </w:r>
      <w:r>
        <w:rPr/>
        <w:t>Serious,</w:t>
      </w:r>
      <w:r>
        <w:rPr>
          <w:spacing w:val="-2"/>
        </w:rPr>
        <w:t> </w:t>
      </w:r>
      <w:r>
        <w:rPr/>
        <w:t>Willful or Repeat (S/W/R) violations per inspection with violations. PESH believes that this metric is more closely aligned with the core mission of the program – identification and correction of hazards – and should be considered a primary metric, as opposed to lapse time, which should be</w:t>
      </w:r>
      <w:r>
        <w:rPr>
          <w:spacing w:val="-1"/>
        </w:rPr>
        <w:t> </w:t>
      </w:r>
      <w:r>
        <w:rPr/>
        <w:t>labeled as</w:t>
      </w:r>
      <w:r>
        <w:rPr>
          <w:spacing w:val="-4"/>
        </w:rPr>
        <w:t> </w:t>
      </w:r>
      <w:r>
        <w:rPr/>
        <w:t>a</w:t>
      </w:r>
      <w:r>
        <w:rPr>
          <w:spacing w:val="-1"/>
        </w:rPr>
        <w:t> </w:t>
      </w:r>
      <w:r>
        <w:rPr/>
        <w:t>secondary</w:t>
      </w:r>
      <w:r>
        <w:rPr>
          <w:spacing w:val="-2"/>
        </w:rPr>
        <w:t> </w:t>
      </w:r>
      <w:r>
        <w:rPr/>
        <w:t>measure.</w:t>
      </w:r>
      <w:r>
        <w:rPr>
          <w:spacing w:val="-2"/>
        </w:rPr>
        <w:t> </w:t>
      </w:r>
      <w:r>
        <w:rPr/>
        <w:t>While</w:t>
      </w:r>
      <w:r>
        <w:rPr>
          <w:spacing w:val="-3"/>
        </w:rPr>
        <w:t> </w:t>
      </w:r>
      <w:r>
        <w:rPr/>
        <w:t>issuing</w:t>
      </w:r>
      <w:r>
        <w:rPr>
          <w:spacing w:val="-4"/>
        </w:rPr>
        <w:t> </w:t>
      </w:r>
      <w:r>
        <w:rPr/>
        <w:t>citations</w:t>
      </w:r>
      <w:r>
        <w:rPr>
          <w:spacing w:val="-5"/>
        </w:rPr>
        <w:t> </w:t>
      </w:r>
      <w:r>
        <w:rPr/>
        <w:t>quickly</w:t>
      </w:r>
      <w:r>
        <w:rPr>
          <w:spacing w:val="-3"/>
        </w:rPr>
        <w:t> </w:t>
      </w:r>
      <w:r>
        <w:rPr/>
        <w:t>is</w:t>
      </w:r>
      <w:r>
        <w:rPr>
          <w:spacing w:val="-2"/>
        </w:rPr>
        <w:t> </w:t>
      </w:r>
      <w:r>
        <w:rPr/>
        <w:t>important,</w:t>
      </w:r>
      <w:r>
        <w:rPr>
          <w:spacing w:val="-1"/>
        </w:rPr>
        <w:t> </w:t>
      </w:r>
      <w:r>
        <w:rPr/>
        <w:t>it should not</w:t>
      </w:r>
      <w:r>
        <w:rPr>
          <w:spacing w:val="-3"/>
        </w:rPr>
        <w:t> </w:t>
      </w:r>
      <w:r>
        <w:rPr/>
        <w:t>be placed above the substance of the citations. Placing greater emphasis on lapse time may incentivize citing fewer or easier violations.</w:t>
      </w:r>
    </w:p>
    <w:p>
      <w:pPr>
        <w:pStyle w:val="BodyText"/>
        <w:ind w:left="0"/>
      </w:pPr>
    </w:p>
    <w:p>
      <w:pPr>
        <w:spacing w:before="1"/>
        <w:ind w:left="360" w:right="0" w:firstLine="0"/>
        <w:jc w:val="left"/>
        <w:rPr>
          <w:b/>
          <w:sz w:val="24"/>
        </w:rPr>
      </w:pPr>
      <w:r>
        <w:rPr>
          <w:b/>
          <w:spacing w:val="-2"/>
          <w:sz w:val="24"/>
        </w:rPr>
        <w:t>Finding:</w:t>
      </w:r>
    </w:p>
    <w:p>
      <w:pPr>
        <w:spacing w:before="0"/>
        <w:ind w:left="360" w:right="0" w:firstLine="0"/>
        <w:jc w:val="left"/>
        <w:rPr>
          <w:b/>
          <w:sz w:val="24"/>
        </w:rPr>
      </w:pPr>
      <w:r>
        <w:rPr>
          <w:b/>
          <w:sz w:val="24"/>
        </w:rPr>
        <w:t>FY</w:t>
      </w:r>
      <w:r>
        <w:rPr>
          <w:b/>
          <w:spacing w:val="-2"/>
          <w:sz w:val="24"/>
        </w:rPr>
        <w:t> </w:t>
      </w:r>
      <w:r>
        <w:rPr>
          <w:b/>
          <w:sz w:val="24"/>
        </w:rPr>
        <w:t>2025-06:</w:t>
      </w:r>
      <w:r>
        <w:rPr>
          <w:b/>
          <w:spacing w:val="-3"/>
          <w:sz w:val="24"/>
        </w:rPr>
        <w:t> </w:t>
      </w:r>
      <w:r>
        <w:rPr>
          <w:b/>
          <w:sz w:val="24"/>
        </w:rPr>
        <w:t>Consultation</w:t>
      </w:r>
      <w:r>
        <w:rPr>
          <w:b/>
          <w:spacing w:val="-2"/>
          <w:sz w:val="24"/>
        </w:rPr>
        <w:t> </w:t>
      </w:r>
      <w:r>
        <w:rPr>
          <w:b/>
          <w:sz w:val="24"/>
        </w:rPr>
        <w:t>Case</w:t>
      </w:r>
      <w:r>
        <w:rPr>
          <w:b/>
          <w:spacing w:val="-2"/>
          <w:sz w:val="24"/>
        </w:rPr>
        <w:t> </w:t>
      </w:r>
      <w:r>
        <w:rPr>
          <w:b/>
          <w:sz w:val="24"/>
        </w:rPr>
        <w:t>File</w:t>
      </w:r>
      <w:r>
        <w:rPr>
          <w:b/>
          <w:spacing w:val="-2"/>
          <w:sz w:val="24"/>
        </w:rPr>
        <w:t> Documentation</w:t>
      </w:r>
    </w:p>
    <w:p>
      <w:pPr>
        <w:spacing w:before="0"/>
        <w:ind w:left="359" w:right="1330" w:firstLine="0"/>
        <w:jc w:val="left"/>
        <w:rPr>
          <w:b/>
          <w:sz w:val="24"/>
        </w:rPr>
      </w:pPr>
      <w:r>
        <w:rPr>
          <w:b/>
          <w:sz w:val="24"/>
        </w:rPr>
        <w:t>13</w:t>
      </w:r>
      <w:r>
        <w:rPr>
          <w:b/>
          <w:spacing w:val="-3"/>
          <w:sz w:val="24"/>
        </w:rPr>
        <w:t> </w:t>
      </w:r>
      <w:r>
        <w:rPr>
          <w:b/>
          <w:sz w:val="24"/>
        </w:rPr>
        <w:t>of</w:t>
      </w:r>
      <w:r>
        <w:rPr>
          <w:b/>
          <w:spacing w:val="-3"/>
          <w:sz w:val="24"/>
        </w:rPr>
        <w:t> </w:t>
      </w:r>
      <w:r>
        <w:rPr>
          <w:b/>
          <w:sz w:val="24"/>
        </w:rPr>
        <w:t>19</w:t>
      </w:r>
      <w:r>
        <w:rPr>
          <w:b/>
          <w:spacing w:val="-3"/>
          <w:sz w:val="24"/>
        </w:rPr>
        <w:t> </w:t>
      </w:r>
      <w:r>
        <w:rPr>
          <w:b/>
          <w:sz w:val="24"/>
        </w:rPr>
        <w:t>(68%)</w:t>
      </w:r>
      <w:r>
        <w:rPr>
          <w:b/>
          <w:spacing w:val="-4"/>
          <w:sz w:val="24"/>
        </w:rPr>
        <w:t> </w:t>
      </w:r>
      <w:r>
        <w:rPr>
          <w:b/>
          <w:sz w:val="24"/>
        </w:rPr>
        <w:t>consultation</w:t>
      </w:r>
      <w:r>
        <w:rPr>
          <w:b/>
          <w:spacing w:val="-5"/>
          <w:sz w:val="24"/>
        </w:rPr>
        <w:t> </w:t>
      </w:r>
      <w:r>
        <w:rPr>
          <w:b/>
          <w:sz w:val="24"/>
        </w:rPr>
        <w:t>case</w:t>
      </w:r>
      <w:r>
        <w:rPr>
          <w:b/>
          <w:spacing w:val="-4"/>
          <w:sz w:val="24"/>
        </w:rPr>
        <w:t> </w:t>
      </w:r>
      <w:r>
        <w:rPr>
          <w:b/>
          <w:sz w:val="24"/>
        </w:rPr>
        <w:t>files</w:t>
      </w:r>
      <w:r>
        <w:rPr>
          <w:b/>
          <w:spacing w:val="-3"/>
          <w:sz w:val="24"/>
        </w:rPr>
        <w:t> </w:t>
      </w:r>
      <w:r>
        <w:rPr>
          <w:b/>
          <w:sz w:val="24"/>
        </w:rPr>
        <w:t>reviewed</w:t>
      </w:r>
      <w:r>
        <w:rPr>
          <w:b/>
          <w:spacing w:val="-5"/>
          <w:sz w:val="24"/>
        </w:rPr>
        <w:t> </w:t>
      </w:r>
      <w:r>
        <w:rPr>
          <w:b/>
          <w:sz w:val="24"/>
        </w:rPr>
        <w:t>identified</w:t>
      </w:r>
      <w:r>
        <w:rPr>
          <w:b/>
          <w:spacing w:val="-5"/>
          <w:sz w:val="24"/>
        </w:rPr>
        <w:t> </w:t>
      </w:r>
      <w:r>
        <w:rPr>
          <w:b/>
          <w:sz w:val="24"/>
        </w:rPr>
        <w:t>widespread</w:t>
      </w:r>
      <w:r>
        <w:rPr>
          <w:b/>
          <w:spacing w:val="-3"/>
          <w:sz w:val="24"/>
        </w:rPr>
        <w:t> </w:t>
      </w:r>
      <w:r>
        <w:rPr>
          <w:b/>
          <w:sz w:val="24"/>
        </w:rPr>
        <w:t>and</w:t>
      </w:r>
      <w:r>
        <w:rPr>
          <w:b/>
          <w:spacing w:val="-3"/>
          <w:sz w:val="24"/>
        </w:rPr>
        <w:t> </w:t>
      </w:r>
      <w:r>
        <w:rPr>
          <w:b/>
          <w:sz w:val="24"/>
        </w:rPr>
        <w:t>recurring documentation deficiencies.</w:t>
      </w:r>
    </w:p>
    <w:p>
      <w:pPr>
        <w:pStyle w:val="BodyText"/>
        <w:spacing w:before="292"/>
        <w:ind w:left="359"/>
      </w:pPr>
      <w:r>
        <w:rPr/>
        <w:t>State</w:t>
      </w:r>
      <w:r>
        <w:rPr>
          <w:spacing w:val="-2"/>
        </w:rPr>
        <w:t> </w:t>
      </w:r>
      <w:r>
        <w:rPr/>
        <w:t>Plan</w:t>
      </w:r>
      <w:r>
        <w:rPr>
          <w:spacing w:val="2"/>
        </w:rPr>
        <w:t> </w:t>
      </w:r>
      <w:r>
        <w:rPr>
          <w:spacing w:val="-2"/>
        </w:rPr>
        <w:t>Response:</w:t>
      </w:r>
    </w:p>
    <w:p>
      <w:pPr>
        <w:pStyle w:val="BodyText"/>
        <w:spacing w:before="2"/>
        <w:ind w:right="389"/>
      </w:pPr>
      <w:r>
        <w:rPr/>
        <w:t>PESH</w:t>
      </w:r>
      <w:r>
        <w:rPr>
          <w:spacing w:val="-3"/>
        </w:rPr>
        <w:t> </w:t>
      </w:r>
      <w:r>
        <w:rPr/>
        <w:t>Response:</w:t>
      </w:r>
      <w:r>
        <w:rPr>
          <w:spacing w:val="-4"/>
        </w:rPr>
        <w:t> </w:t>
      </w:r>
      <w:r>
        <w:rPr/>
        <w:t>Deficiencies</w:t>
      </w:r>
      <w:r>
        <w:rPr>
          <w:spacing w:val="-3"/>
        </w:rPr>
        <w:t> </w:t>
      </w:r>
      <w:r>
        <w:rPr/>
        <w:t>were</w:t>
      </w:r>
      <w:r>
        <w:rPr>
          <w:spacing w:val="-4"/>
        </w:rPr>
        <w:t> </w:t>
      </w:r>
      <w:r>
        <w:rPr/>
        <w:t>noted</w:t>
      </w:r>
      <w:r>
        <w:rPr>
          <w:spacing w:val="-1"/>
        </w:rPr>
        <w:t> </w:t>
      </w:r>
      <w:r>
        <w:rPr/>
        <w:t>in</w:t>
      </w:r>
      <w:r>
        <w:rPr>
          <w:spacing w:val="-1"/>
        </w:rPr>
        <w:t> </w:t>
      </w:r>
      <w:r>
        <w:rPr/>
        <w:t>six</w:t>
      </w:r>
      <w:r>
        <w:rPr>
          <w:spacing w:val="-3"/>
        </w:rPr>
        <w:t> </w:t>
      </w:r>
      <w:r>
        <w:rPr/>
        <w:t>categories</w:t>
      </w:r>
      <w:r>
        <w:rPr>
          <w:spacing w:val="-4"/>
        </w:rPr>
        <w:t> </w:t>
      </w:r>
      <w:r>
        <w:rPr/>
        <w:t>(details</w:t>
      </w:r>
      <w:r>
        <w:rPr>
          <w:spacing w:val="-5"/>
        </w:rPr>
        <w:t> </w:t>
      </w:r>
      <w:r>
        <w:rPr/>
        <w:t>in</w:t>
      </w:r>
      <w:r>
        <w:rPr>
          <w:spacing w:val="-4"/>
        </w:rPr>
        <w:t> </w:t>
      </w:r>
      <w:r>
        <w:rPr>
          <w:b/>
        </w:rPr>
        <w:t>bold</w:t>
      </w:r>
      <w:r>
        <w:rPr/>
        <w:t>),</w:t>
      </w:r>
      <w:r>
        <w:rPr>
          <w:spacing w:val="-5"/>
        </w:rPr>
        <w:t> </w:t>
      </w:r>
      <w:r>
        <w:rPr/>
        <w:t>addressed</w:t>
      </w:r>
      <w:r>
        <w:rPr>
          <w:spacing w:val="-1"/>
        </w:rPr>
        <w:t> </w:t>
      </w:r>
      <w:r>
        <w:rPr/>
        <w:t>in</w:t>
      </w:r>
      <w:r>
        <w:rPr>
          <w:spacing w:val="-1"/>
        </w:rPr>
        <w:t> </w:t>
      </w:r>
      <w:r>
        <w:rPr/>
        <w:t>order </w:t>
      </w:r>
      <w:r>
        <w:rPr>
          <w:spacing w:val="-2"/>
        </w:rPr>
        <w:t>below:</w:t>
      </w:r>
    </w:p>
    <w:p>
      <w:pPr>
        <w:pStyle w:val="ListParagraph"/>
        <w:numPr>
          <w:ilvl w:val="0"/>
          <w:numId w:val="1"/>
        </w:numPr>
        <w:tabs>
          <w:tab w:pos="1079" w:val="left" w:leader="none"/>
        </w:tabs>
        <w:spacing w:line="259" w:lineRule="auto" w:before="292" w:after="0"/>
        <w:ind w:left="1079" w:right="473" w:hanging="360"/>
        <w:jc w:val="left"/>
        <w:rPr>
          <w:sz w:val="24"/>
        </w:rPr>
      </w:pPr>
      <w:r>
        <w:rPr>
          <w:b/>
          <w:sz w:val="24"/>
        </w:rPr>
        <w:t>Four out of 19 (21%) of the files (initial) reviewed had no evidence that employees were</w:t>
      </w:r>
      <w:r>
        <w:rPr>
          <w:b/>
          <w:spacing w:val="-3"/>
          <w:sz w:val="24"/>
        </w:rPr>
        <w:t> </w:t>
      </w:r>
      <w:r>
        <w:rPr>
          <w:b/>
          <w:sz w:val="24"/>
        </w:rPr>
        <w:t>interviewed</w:t>
      </w:r>
      <w:r>
        <w:rPr>
          <w:b/>
          <w:i/>
          <w:sz w:val="24"/>
        </w:rPr>
        <w:t>.</w:t>
      </w:r>
      <w:r>
        <w:rPr>
          <w:b/>
          <w:i/>
          <w:spacing w:val="-4"/>
          <w:sz w:val="24"/>
        </w:rPr>
        <w:t> </w:t>
      </w:r>
      <w:r>
        <w:rPr>
          <w:sz w:val="24"/>
        </w:rPr>
        <w:t>Interviews</w:t>
      </w:r>
      <w:r>
        <w:rPr>
          <w:spacing w:val="-3"/>
          <w:sz w:val="24"/>
        </w:rPr>
        <w:t> </w:t>
      </w:r>
      <w:r>
        <w:rPr>
          <w:sz w:val="24"/>
        </w:rPr>
        <w:t>are</w:t>
      </w:r>
      <w:r>
        <w:rPr>
          <w:spacing w:val="-2"/>
          <w:sz w:val="24"/>
        </w:rPr>
        <w:t> </w:t>
      </w:r>
      <w:r>
        <w:rPr>
          <w:sz w:val="24"/>
        </w:rPr>
        <w:t>conducted</w:t>
      </w:r>
      <w:r>
        <w:rPr>
          <w:spacing w:val="-4"/>
          <w:sz w:val="24"/>
        </w:rPr>
        <w:t> </w:t>
      </w:r>
      <w:r>
        <w:rPr>
          <w:sz w:val="24"/>
        </w:rPr>
        <w:t>by</w:t>
      </w:r>
      <w:r>
        <w:rPr>
          <w:spacing w:val="-6"/>
          <w:sz w:val="24"/>
        </w:rPr>
        <w:t> </w:t>
      </w:r>
      <w:r>
        <w:rPr>
          <w:sz w:val="24"/>
        </w:rPr>
        <w:t>the</w:t>
      </w:r>
      <w:r>
        <w:rPr>
          <w:spacing w:val="-2"/>
          <w:sz w:val="24"/>
        </w:rPr>
        <w:t> </w:t>
      </w:r>
      <w:r>
        <w:rPr>
          <w:sz w:val="24"/>
        </w:rPr>
        <w:t>consultant</w:t>
      </w:r>
      <w:r>
        <w:rPr>
          <w:spacing w:val="-1"/>
          <w:sz w:val="24"/>
        </w:rPr>
        <w:t> </w:t>
      </w:r>
      <w:r>
        <w:rPr>
          <w:sz w:val="24"/>
        </w:rPr>
        <w:t>as</w:t>
      </w:r>
      <w:r>
        <w:rPr>
          <w:spacing w:val="-5"/>
          <w:sz w:val="24"/>
        </w:rPr>
        <w:t> </w:t>
      </w:r>
      <w:r>
        <w:rPr>
          <w:sz w:val="24"/>
        </w:rPr>
        <w:t>appropriate,</w:t>
      </w:r>
      <w:r>
        <w:rPr>
          <w:spacing w:val="-5"/>
          <w:sz w:val="24"/>
        </w:rPr>
        <w:t> </w:t>
      </w:r>
      <w:r>
        <w:rPr>
          <w:sz w:val="24"/>
        </w:rPr>
        <w:t>but</w:t>
      </w:r>
      <w:r>
        <w:rPr>
          <w:spacing w:val="-4"/>
          <w:sz w:val="24"/>
        </w:rPr>
        <w:t> </w:t>
      </w:r>
      <w:r>
        <w:rPr>
          <w:sz w:val="24"/>
        </w:rPr>
        <w:t>they are not required to be documented as they are in enforcement, hence the lack of any related text fields in the visit form.</w:t>
      </w:r>
    </w:p>
    <w:p>
      <w:pPr>
        <w:pStyle w:val="ListParagraph"/>
        <w:numPr>
          <w:ilvl w:val="0"/>
          <w:numId w:val="1"/>
        </w:numPr>
        <w:tabs>
          <w:tab w:pos="1080" w:val="left" w:leader="none"/>
        </w:tabs>
        <w:spacing w:line="259" w:lineRule="auto" w:before="0" w:after="0"/>
        <w:ind w:left="1080" w:right="459" w:hanging="360"/>
        <w:jc w:val="left"/>
        <w:rPr>
          <w:sz w:val="24"/>
        </w:rPr>
      </w:pPr>
      <w:r>
        <w:rPr>
          <w:b/>
          <w:sz w:val="24"/>
        </w:rPr>
        <w:t>Five out 19 (26%) of the files reviewed did not have the accurate number of employees</w:t>
      </w:r>
      <w:r>
        <w:rPr>
          <w:b/>
          <w:spacing w:val="-2"/>
          <w:sz w:val="24"/>
        </w:rPr>
        <w:t> </w:t>
      </w:r>
      <w:r>
        <w:rPr>
          <w:b/>
          <w:sz w:val="24"/>
        </w:rPr>
        <w:t>covered,</w:t>
      </w:r>
      <w:r>
        <w:rPr>
          <w:b/>
          <w:spacing w:val="-2"/>
          <w:sz w:val="24"/>
        </w:rPr>
        <w:t> </w:t>
      </w:r>
      <w:r>
        <w:rPr>
          <w:b/>
          <w:sz w:val="24"/>
        </w:rPr>
        <w:t>number</w:t>
      </w:r>
      <w:r>
        <w:rPr>
          <w:b/>
          <w:spacing w:val="-1"/>
          <w:sz w:val="24"/>
        </w:rPr>
        <w:t> </w:t>
      </w:r>
      <w:r>
        <w:rPr>
          <w:b/>
          <w:sz w:val="24"/>
        </w:rPr>
        <w:t>of</w:t>
      </w:r>
      <w:r>
        <w:rPr>
          <w:b/>
          <w:spacing w:val="-2"/>
          <w:sz w:val="24"/>
        </w:rPr>
        <w:t> </w:t>
      </w:r>
      <w:r>
        <w:rPr>
          <w:b/>
          <w:sz w:val="24"/>
        </w:rPr>
        <w:t>employees</w:t>
      </w:r>
      <w:r>
        <w:rPr>
          <w:b/>
          <w:spacing w:val="-2"/>
          <w:sz w:val="24"/>
        </w:rPr>
        <w:t> </w:t>
      </w:r>
      <w:r>
        <w:rPr>
          <w:b/>
          <w:sz w:val="24"/>
        </w:rPr>
        <w:t>in</w:t>
      </w:r>
      <w:r>
        <w:rPr>
          <w:b/>
          <w:spacing w:val="-2"/>
          <w:sz w:val="24"/>
        </w:rPr>
        <w:t> </w:t>
      </w:r>
      <w:r>
        <w:rPr>
          <w:b/>
          <w:sz w:val="24"/>
        </w:rPr>
        <w:t>establishment,</w:t>
      </w:r>
      <w:r>
        <w:rPr>
          <w:b/>
          <w:spacing w:val="-2"/>
          <w:sz w:val="24"/>
        </w:rPr>
        <w:t> </w:t>
      </w:r>
      <w:r>
        <w:rPr>
          <w:b/>
          <w:sz w:val="24"/>
        </w:rPr>
        <w:t>or</w:t>
      </w:r>
      <w:r>
        <w:rPr>
          <w:b/>
          <w:spacing w:val="-4"/>
          <w:sz w:val="24"/>
        </w:rPr>
        <w:t> </w:t>
      </w:r>
      <w:r>
        <w:rPr>
          <w:b/>
          <w:sz w:val="24"/>
        </w:rPr>
        <w:t>number</w:t>
      </w:r>
      <w:r>
        <w:rPr>
          <w:b/>
          <w:spacing w:val="-4"/>
          <w:sz w:val="24"/>
        </w:rPr>
        <w:t> </w:t>
      </w:r>
      <w:r>
        <w:rPr>
          <w:b/>
          <w:sz w:val="24"/>
        </w:rPr>
        <w:t>of</w:t>
      </w:r>
      <w:r>
        <w:rPr>
          <w:b/>
          <w:spacing w:val="-2"/>
          <w:sz w:val="24"/>
        </w:rPr>
        <w:t> </w:t>
      </w:r>
      <w:r>
        <w:rPr>
          <w:b/>
          <w:sz w:val="24"/>
        </w:rPr>
        <w:t>employees controlled by the employer information entered into OIS</w:t>
      </w:r>
      <w:r>
        <w:rPr>
          <w:b/>
          <w:i/>
          <w:sz w:val="24"/>
        </w:rPr>
        <w:t>. </w:t>
      </w:r>
      <w:r>
        <w:rPr>
          <w:sz w:val="24"/>
        </w:rPr>
        <w:t>All reviewed cases had the number</w:t>
      </w:r>
      <w:r>
        <w:rPr>
          <w:spacing w:val="-5"/>
          <w:sz w:val="24"/>
        </w:rPr>
        <w:t> </w:t>
      </w:r>
      <w:r>
        <w:rPr>
          <w:sz w:val="24"/>
        </w:rPr>
        <w:t>of</w:t>
      </w:r>
      <w:r>
        <w:rPr>
          <w:spacing w:val="-4"/>
          <w:sz w:val="24"/>
        </w:rPr>
        <w:t> </w:t>
      </w:r>
      <w:r>
        <w:rPr>
          <w:sz w:val="24"/>
        </w:rPr>
        <w:t>employees</w:t>
      </w:r>
      <w:r>
        <w:rPr>
          <w:spacing w:val="-3"/>
          <w:sz w:val="24"/>
        </w:rPr>
        <w:t> </w:t>
      </w:r>
      <w:r>
        <w:rPr>
          <w:sz w:val="24"/>
        </w:rPr>
        <w:t>in</w:t>
      </w:r>
      <w:r>
        <w:rPr>
          <w:spacing w:val="-6"/>
          <w:sz w:val="24"/>
        </w:rPr>
        <w:t> </w:t>
      </w:r>
      <w:r>
        <w:rPr>
          <w:sz w:val="24"/>
        </w:rPr>
        <w:t>the</w:t>
      </w:r>
      <w:r>
        <w:rPr>
          <w:spacing w:val="-4"/>
          <w:sz w:val="24"/>
        </w:rPr>
        <w:t> </w:t>
      </w:r>
      <w:r>
        <w:rPr>
          <w:sz w:val="24"/>
        </w:rPr>
        <w:t>establishment</w:t>
      </w:r>
      <w:r>
        <w:rPr>
          <w:spacing w:val="-1"/>
          <w:sz w:val="24"/>
        </w:rPr>
        <w:t> </w:t>
      </w:r>
      <w:r>
        <w:rPr>
          <w:sz w:val="24"/>
        </w:rPr>
        <w:t>and</w:t>
      </w:r>
      <w:r>
        <w:rPr>
          <w:spacing w:val="-4"/>
          <w:sz w:val="24"/>
        </w:rPr>
        <w:t> </w:t>
      </w:r>
      <w:r>
        <w:rPr>
          <w:sz w:val="24"/>
        </w:rPr>
        <w:t>number</w:t>
      </w:r>
      <w:r>
        <w:rPr>
          <w:spacing w:val="-5"/>
          <w:sz w:val="24"/>
        </w:rPr>
        <w:t> </w:t>
      </w:r>
      <w:r>
        <w:rPr>
          <w:sz w:val="24"/>
        </w:rPr>
        <w:t>of</w:t>
      </w:r>
      <w:r>
        <w:rPr>
          <w:spacing w:val="-1"/>
          <w:sz w:val="24"/>
        </w:rPr>
        <w:t> </w:t>
      </w:r>
      <w:r>
        <w:rPr>
          <w:sz w:val="24"/>
        </w:rPr>
        <w:t>employees</w:t>
      </w:r>
      <w:r>
        <w:rPr>
          <w:spacing w:val="-5"/>
          <w:sz w:val="24"/>
        </w:rPr>
        <w:t> </w:t>
      </w:r>
      <w:r>
        <w:rPr>
          <w:sz w:val="24"/>
        </w:rPr>
        <w:t>controlled</w:t>
      </w:r>
      <w:r>
        <w:rPr>
          <w:spacing w:val="-4"/>
          <w:sz w:val="24"/>
        </w:rPr>
        <w:t> </w:t>
      </w:r>
      <w:r>
        <w:rPr>
          <w:sz w:val="24"/>
        </w:rPr>
        <w:t>by</w:t>
      </w:r>
      <w:r>
        <w:rPr>
          <w:spacing w:val="-3"/>
          <w:sz w:val="24"/>
        </w:rPr>
        <w:t> </w:t>
      </w:r>
      <w:r>
        <w:rPr>
          <w:sz w:val="24"/>
        </w:rPr>
        <w:t>the employer on the visit form. Seven of the reviewed cases did not have the number of covered employees listed on the form. An assumption may have been made that the</w:t>
      </w:r>
    </w:p>
    <w:p>
      <w:pPr>
        <w:pStyle w:val="ListParagraph"/>
        <w:spacing w:after="0" w:line="259" w:lineRule="auto"/>
        <w:jc w:val="left"/>
        <w:rPr>
          <w:sz w:val="24"/>
        </w:rPr>
        <w:sectPr>
          <w:type w:val="continuous"/>
          <w:pgSz w:w="12240" w:h="15840"/>
          <w:pgMar w:top="1700" w:bottom="280" w:left="1080" w:right="1080"/>
        </w:sectPr>
      </w:pPr>
    </w:p>
    <w:p>
      <w:pPr>
        <w:pStyle w:val="BodyText"/>
        <w:spacing w:line="259" w:lineRule="auto" w:before="39"/>
        <w:ind w:left="1080" w:right="389"/>
      </w:pPr>
      <w:r>
        <w:rPr/>
        <w:t>number</w:t>
      </w:r>
      <w:r>
        <w:rPr>
          <w:spacing w:val="-1"/>
        </w:rPr>
        <w:t> </w:t>
      </w:r>
      <w:r>
        <w:rPr/>
        <w:t>is</w:t>
      </w:r>
      <w:r>
        <w:rPr>
          <w:spacing w:val="-4"/>
        </w:rPr>
        <w:t> </w:t>
      </w:r>
      <w:r>
        <w:rPr/>
        <w:t>the</w:t>
      </w:r>
      <w:r>
        <w:rPr>
          <w:spacing w:val="-1"/>
        </w:rPr>
        <w:t> </w:t>
      </w:r>
      <w:r>
        <w:rPr/>
        <w:t>same</w:t>
      </w:r>
      <w:r>
        <w:rPr>
          <w:spacing w:val="-3"/>
        </w:rPr>
        <w:t> </w:t>
      </w:r>
      <w:r>
        <w:rPr/>
        <w:t>as</w:t>
      </w:r>
      <w:r>
        <w:rPr>
          <w:spacing w:val="-4"/>
        </w:rPr>
        <w:t> </w:t>
      </w:r>
      <w:r>
        <w:rPr/>
        <w:t>the</w:t>
      </w:r>
      <w:r>
        <w:rPr>
          <w:spacing w:val="-1"/>
        </w:rPr>
        <w:t> </w:t>
      </w:r>
      <w:r>
        <w:rPr/>
        <w:t>number</w:t>
      </w:r>
      <w:r>
        <w:rPr>
          <w:spacing w:val="-4"/>
        </w:rPr>
        <w:t> </w:t>
      </w:r>
      <w:r>
        <w:rPr/>
        <w:t>of employees</w:t>
      </w:r>
      <w:r>
        <w:rPr>
          <w:spacing w:val="-4"/>
        </w:rPr>
        <w:t> </w:t>
      </w:r>
      <w:r>
        <w:rPr/>
        <w:t>in the</w:t>
      </w:r>
      <w:r>
        <w:rPr>
          <w:spacing w:val="-3"/>
        </w:rPr>
        <w:t> </w:t>
      </w:r>
      <w:r>
        <w:rPr/>
        <w:t>establishment.</w:t>
      </w:r>
      <w:r>
        <w:rPr>
          <w:spacing w:val="-5"/>
        </w:rPr>
        <w:t> </w:t>
      </w:r>
      <w:r>
        <w:rPr/>
        <w:t>This</w:t>
      </w:r>
      <w:r>
        <w:rPr>
          <w:spacing w:val="-4"/>
        </w:rPr>
        <w:t> </w:t>
      </w:r>
      <w:r>
        <w:rPr/>
        <w:t>does</w:t>
      </w:r>
      <w:r>
        <w:rPr>
          <w:spacing w:val="-4"/>
        </w:rPr>
        <w:t> </w:t>
      </w:r>
      <w:r>
        <w:rPr/>
        <w:t>not seem to rise to the level of a finding and could be noted as an observation.</w:t>
      </w:r>
    </w:p>
    <w:p>
      <w:pPr>
        <w:pStyle w:val="ListParagraph"/>
        <w:numPr>
          <w:ilvl w:val="0"/>
          <w:numId w:val="1"/>
        </w:numPr>
        <w:tabs>
          <w:tab w:pos="1080" w:val="left" w:leader="none"/>
        </w:tabs>
        <w:spacing w:line="259" w:lineRule="auto" w:before="0" w:after="0"/>
        <w:ind w:left="1080" w:right="485" w:hanging="360"/>
        <w:jc w:val="left"/>
        <w:rPr>
          <w:sz w:val="24"/>
        </w:rPr>
      </w:pPr>
      <w:r>
        <w:rPr>
          <w:b/>
          <w:sz w:val="24"/>
        </w:rPr>
        <w:t>Seven</w:t>
      </w:r>
      <w:r>
        <w:rPr>
          <w:b/>
          <w:spacing w:val="-2"/>
          <w:sz w:val="24"/>
        </w:rPr>
        <w:t> </w:t>
      </w:r>
      <w:r>
        <w:rPr>
          <w:b/>
          <w:sz w:val="24"/>
        </w:rPr>
        <w:t>out</w:t>
      </w:r>
      <w:r>
        <w:rPr>
          <w:b/>
          <w:spacing w:val="-2"/>
          <w:sz w:val="24"/>
        </w:rPr>
        <w:t> </w:t>
      </w:r>
      <w:r>
        <w:rPr>
          <w:b/>
          <w:sz w:val="24"/>
        </w:rPr>
        <w:t>of</w:t>
      </w:r>
      <w:r>
        <w:rPr>
          <w:b/>
          <w:spacing w:val="-4"/>
          <w:sz w:val="24"/>
        </w:rPr>
        <w:t> </w:t>
      </w:r>
      <w:r>
        <w:rPr>
          <w:b/>
          <w:sz w:val="24"/>
        </w:rPr>
        <w:t>the</w:t>
      </w:r>
      <w:r>
        <w:rPr>
          <w:b/>
          <w:spacing w:val="-6"/>
          <w:sz w:val="24"/>
        </w:rPr>
        <w:t> </w:t>
      </w:r>
      <w:r>
        <w:rPr>
          <w:b/>
          <w:sz w:val="24"/>
        </w:rPr>
        <w:t>11</w:t>
      </w:r>
      <w:r>
        <w:rPr>
          <w:b/>
          <w:spacing w:val="-4"/>
          <w:sz w:val="24"/>
        </w:rPr>
        <w:t> </w:t>
      </w:r>
      <w:r>
        <w:rPr>
          <w:b/>
          <w:sz w:val="24"/>
        </w:rPr>
        <w:t>initial</w:t>
      </w:r>
      <w:r>
        <w:rPr>
          <w:b/>
          <w:spacing w:val="-1"/>
          <w:sz w:val="24"/>
        </w:rPr>
        <w:t> </w:t>
      </w:r>
      <w:r>
        <w:rPr>
          <w:b/>
          <w:sz w:val="24"/>
        </w:rPr>
        <w:t>(64%)</w:t>
      </w:r>
      <w:r>
        <w:rPr>
          <w:b/>
          <w:spacing w:val="-3"/>
          <w:sz w:val="24"/>
        </w:rPr>
        <w:t> </w:t>
      </w:r>
      <w:r>
        <w:rPr>
          <w:b/>
          <w:sz w:val="24"/>
        </w:rPr>
        <w:t>of</w:t>
      </w:r>
      <w:r>
        <w:rPr>
          <w:b/>
          <w:spacing w:val="-4"/>
          <w:sz w:val="24"/>
        </w:rPr>
        <w:t> </w:t>
      </w:r>
      <w:r>
        <w:rPr>
          <w:b/>
          <w:sz w:val="24"/>
        </w:rPr>
        <w:t>the</w:t>
      </w:r>
      <w:r>
        <w:rPr>
          <w:b/>
          <w:spacing w:val="-3"/>
          <w:sz w:val="24"/>
        </w:rPr>
        <w:t> </w:t>
      </w:r>
      <w:r>
        <w:rPr>
          <w:b/>
          <w:sz w:val="24"/>
        </w:rPr>
        <w:t>files</w:t>
      </w:r>
      <w:r>
        <w:rPr>
          <w:b/>
          <w:spacing w:val="-5"/>
          <w:sz w:val="24"/>
        </w:rPr>
        <w:t> </w:t>
      </w:r>
      <w:r>
        <w:rPr>
          <w:b/>
          <w:sz w:val="24"/>
        </w:rPr>
        <w:t>reviewed</w:t>
      </w:r>
      <w:r>
        <w:rPr>
          <w:b/>
          <w:spacing w:val="-2"/>
          <w:sz w:val="24"/>
        </w:rPr>
        <w:t> </w:t>
      </w:r>
      <w:r>
        <w:rPr>
          <w:b/>
          <w:sz w:val="24"/>
        </w:rPr>
        <w:t>did</w:t>
      </w:r>
      <w:r>
        <w:rPr>
          <w:b/>
          <w:spacing w:val="-2"/>
          <w:sz w:val="24"/>
        </w:rPr>
        <w:t> </w:t>
      </w:r>
      <w:r>
        <w:rPr>
          <w:b/>
          <w:sz w:val="24"/>
        </w:rPr>
        <w:t>not</w:t>
      </w:r>
      <w:r>
        <w:rPr>
          <w:b/>
          <w:spacing w:val="-4"/>
          <w:sz w:val="24"/>
        </w:rPr>
        <w:t> </w:t>
      </w:r>
      <w:r>
        <w:rPr>
          <w:b/>
          <w:sz w:val="24"/>
        </w:rPr>
        <w:t>have</w:t>
      </w:r>
      <w:r>
        <w:rPr>
          <w:b/>
          <w:spacing w:val="-3"/>
          <w:sz w:val="24"/>
        </w:rPr>
        <w:t> </w:t>
      </w:r>
      <w:r>
        <w:rPr>
          <w:b/>
          <w:sz w:val="24"/>
        </w:rPr>
        <w:t>comparative</w:t>
      </w:r>
      <w:r>
        <w:rPr>
          <w:b/>
          <w:spacing w:val="-3"/>
          <w:sz w:val="24"/>
        </w:rPr>
        <w:t> </w:t>
      </w:r>
      <w:r>
        <w:rPr>
          <w:b/>
          <w:sz w:val="24"/>
        </w:rPr>
        <w:t>injury and illness rates compared to the national data</w:t>
      </w:r>
      <w:r>
        <w:rPr>
          <w:b/>
          <w:i/>
          <w:sz w:val="24"/>
        </w:rPr>
        <w:t>. </w:t>
      </w:r>
      <w:r>
        <w:rPr>
          <w:sz w:val="24"/>
        </w:rPr>
        <w:t>This is not disputed but should be noted as an observation.</w:t>
      </w:r>
    </w:p>
    <w:p>
      <w:pPr>
        <w:pStyle w:val="ListParagraph"/>
        <w:numPr>
          <w:ilvl w:val="0"/>
          <w:numId w:val="1"/>
        </w:numPr>
        <w:tabs>
          <w:tab w:pos="1080" w:val="left" w:leader="none"/>
        </w:tabs>
        <w:spacing w:line="259" w:lineRule="auto" w:before="0" w:after="0"/>
        <w:ind w:left="1080" w:right="480" w:hanging="360"/>
        <w:jc w:val="left"/>
        <w:rPr>
          <w:sz w:val="24"/>
        </w:rPr>
      </w:pPr>
      <w:r>
        <w:rPr>
          <w:b/>
          <w:sz w:val="24"/>
        </w:rPr>
        <w:t>Four of 12 (33%) of the files reviewed did not have evidence that the List of Hazards was transmitted to the union. Additionally, it was noted that there was conflicting information</w:t>
      </w:r>
      <w:r>
        <w:rPr>
          <w:b/>
          <w:spacing w:val="-2"/>
          <w:sz w:val="24"/>
        </w:rPr>
        <w:t> </w:t>
      </w:r>
      <w:r>
        <w:rPr>
          <w:b/>
          <w:sz w:val="24"/>
        </w:rPr>
        <w:t>within</w:t>
      </w:r>
      <w:r>
        <w:rPr>
          <w:b/>
          <w:spacing w:val="-2"/>
          <w:sz w:val="24"/>
        </w:rPr>
        <w:t> </w:t>
      </w:r>
      <w:r>
        <w:rPr>
          <w:b/>
          <w:sz w:val="24"/>
        </w:rPr>
        <w:t>the</w:t>
      </w:r>
      <w:r>
        <w:rPr>
          <w:b/>
          <w:spacing w:val="-1"/>
          <w:sz w:val="24"/>
        </w:rPr>
        <w:t> </w:t>
      </w:r>
      <w:r>
        <w:rPr>
          <w:b/>
          <w:sz w:val="24"/>
        </w:rPr>
        <w:t>case</w:t>
      </w:r>
      <w:r>
        <w:rPr>
          <w:b/>
          <w:spacing w:val="-1"/>
          <w:sz w:val="24"/>
        </w:rPr>
        <w:t> </w:t>
      </w:r>
      <w:r>
        <w:rPr>
          <w:b/>
          <w:sz w:val="24"/>
        </w:rPr>
        <w:t>file</w:t>
      </w:r>
      <w:r>
        <w:rPr>
          <w:b/>
          <w:spacing w:val="-4"/>
          <w:sz w:val="24"/>
        </w:rPr>
        <w:t> </w:t>
      </w:r>
      <w:r>
        <w:rPr>
          <w:b/>
          <w:sz w:val="24"/>
        </w:rPr>
        <w:t>relating</w:t>
      </w:r>
      <w:r>
        <w:rPr>
          <w:b/>
          <w:spacing w:val="-4"/>
          <w:sz w:val="24"/>
        </w:rPr>
        <w:t> </w:t>
      </w:r>
      <w:r>
        <w:rPr>
          <w:b/>
          <w:sz w:val="24"/>
        </w:rPr>
        <w:t>to</w:t>
      </w:r>
      <w:r>
        <w:rPr>
          <w:b/>
          <w:spacing w:val="-2"/>
          <w:sz w:val="24"/>
        </w:rPr>
        <w:t> </w:t>
      </w:r>
      <w:r>
        <w:rPr>
          <w:b/>
          <w:sz w:val="24"/>
        </w:rPr>
        <w:t>union</w:t>
      </w:r>
      <w:r>
        <w:rPr>
          <w:b/>
          <w:spacing w:val="-2"/>
          <w:sz w:val="24"/>
        </w:rPr>
        <w:t> </w:t>
      </w:r>
      <w:r>
        <w:rPr>
          <w:b/>
          <w:sz w:val="24"/>
        </w:rPr>
        <w:t>coverage</w:t>
      </w:r>
      <w:r>
        <w:rPr>
          <w:b/>
          <w:spacing w:val="-1"/>
          <w:sz w:val="24"/>
        </w:rPr>
        <w:t> </w:t>
      </w:r>
      <w:r>
        <w:rPr>
          <w:b/>
          <w:sz w:val="24"/>
        </w:rPr>
        <w:t>at the</w:t>
      </w:r>
      <w:r>
        <w:rPr>
          <w:b/>
          <w:spacing w:val="-1"/>
          <w:sz w:val="24"/>
        </w:rPr>
        <w:t> </w:t>
      </w:r>
      <w:r>
        <w:rPr>
          <w:b/>
          <w:sz w:val="24"/>
        </w:rPr>
        <w:t>facilities. It</w:t>
      </w:r>
      <w:r>
        <w:rPr>
          <w:b/>
          <w:spacing w:val="-2"/>
          <w:sz w:val="24"/>
        </w:rPr>
        <w:t> </w:t>
      </w:r>
      <w:r>
        <w:rPr>
          <w:b/>
          <w:sz w:val="24"/>
        </w:rPr>
        <w:t>was also noted that three previous years’ injury and illness records were not reviewed.</w:t>
      </w:r>
      <w:r>
        <w:rPr>
          <w:b/>
          <w:spacing w:val="40"/>
          <w:sz w:val="24"/>
        </w:rPr>
        <w:t> </w:t>
      </w:r>
      <w:r>
        <w:rPr>
          <w:sz w:val="24"/>
        </w:rPr>
        <w:t>This concern was noted for three, not four cases in the reviewer’s summary. In two cases, the</w:t>
      </w:r>
      <w:r>
        <w:rPr>
          <w:spacing w:val="-3"/>
          <w:sz w:val="24"/>
        </w:rPr>
        <w:t> </w:t>
      </w:r>
      <w:r>
        <w:rPr>
          <w:sz w:val="24"/>
        </w:rPr>
        <w:t>date</w:t>
      </w:r>
      <w:r>
        <w:rPr>
          <w:spacing w:val="-3"/>
          <w:sz w:val="24"/>
        </w:rPr>
        <w:t> </w:t>
      </w:r>
      <w:r>
        <w:rPr>
          <w:sz w:val="24"/>
        </w:rPr>
        <w:t>of</w:t>
      </w:r>
      <w:r>
        <w:rPr>
          <w:spacing w:val="-3"/>
          <w:sz w:val="24"/>
        </w:rPr>
        <w:t> </w:t>
      </w:r>
      <w:r>
        <w:rPr>
          <w:sz w:val="24"/>
        </w:rPr>
        <w:t>the</w:t>
      </w:r>
      <w:r>
        <w:rPr>
          <w:spacing w:val="-1"/>
          <w:sz w:val="24"/>
        </w:rPr>
        <w:t> </w:t>
      </w:r>
      <w:r>
        <w:rPr>
          <w:sz w:val="24"/>
        </w:rPr>
        <w:t>visit</w:t>
      </w:r>
      <w:r>
        <w:rPr>
          <w:spacing w:val="-3"/>
          <w:sz w:val="24"/>
        </w:rPr>
        <w:t> </w:t>
      </w:r>
      <w:r>
        <w:rPr>
          <w:sz w:val="24"/>
        </w:rPr>
        <w:t>was</w:t>
      </w:r>
      <w:r>
        <w:rPr>
          <w:spacing w:val="-7"/>
          <w:sz w:val="24"/>
        </w:rPr>
        <w:t> </w:t>
      </w:r>
      <w:r>
        <w:rPr>
          <w:sz w:val="24"/>
        </w:rPr>
        <w:t>prior</w:t>
      </w:r>
      <w:r>
        <w:rPr>
          <w:spacing w:val="-4"/>
          <w:sz w:val="24"/>
        </w:rPr>
        <w:t> </w:t>
      </w:r>
      <w:r>
        <w:rPr>
          <w:sz w:val="24"/>
        </w:rPr>
        <w:t>to</w:t>
      </w:r>
      <w:r>
        <w:rPr>
          <w:spacing w:val="-3"/>
          <w:sz w:val="24"/>
        </w:rPr>
        <w:t> </w:t>
      </w:r>
      <w:r>
        <w:rPr>
          <w:sz w:val="24"/>
        </w:rPr>
        <w:t>the</w:t>
      </w:r>
      <w:r>
        <w:rPr>
          <w:spacing w:val="-3"/>
          <w:sz w:val="24"/>
        </w:rPr>
        <w:t> </w:t>
      </w:r>
      <w:r>
        <w:rPr>
          <w:sz w:val="24"/>
        </w:rPr>
        <w:t>date</w:t>
      </w:r>
      <w:r>
        <w:rPr>
          <w:spacing w:val="-4"/>
          <w:sz w:val="24"/>
        </w:rPr>
        <w:t> </w:t>
      </w:r>
      <w:r>
        <w:rPr>
          <w:sz w:val="24"/>
        </w:rPr>
        <w:t>the</w:t>
      </w:r>
      <w:r>
        <w:rPr>
          <w:spacing w:val="-3"/>
          <w:sz w:val="24"/>
        </w:rPr>
        <w:t> </w:t>
      </w:r>
      <w:r>
        <w:rPr>
          <w:sz w:val="24"/>
        </w:rPr>
        <w:t>revised CPPM</w:t>
      </w:r>
      <w:r>
        <w:rPr>
          <w:spacing w:val="-3"/>
          <w:sz w:val="24"/>
        </w:rPr>
        <w:t> </w:t>
      </w:r>
      <w:r>
        <w:rPr>
          <w:sz w:val="24"/>
        </w:rPr>
        <w:t>was</w:t>
      </w:r>
      <w:r>
        <w:rPr>
          <w:spacing w:val="-2"/>
          <w:sz w:val="24"/>
        </w:rPr>
        <w:t> </w:t>
      </w:r>
      <w:r>
        <w:rPr>
          <w:sz w:val="24"/>
        </w:rPr>
        <w:t>adopted and rolled</w:t>
      </w:r>
      <w:r>
        <w:rPr>
          <w:spacing w:val="-3"/>
          <w:sz w:val="24"/>
        </w:rPr>
        <w:t> </w:t>
      </w:r>
      <w:r>
        <w:rPr>
          <w:sz w:val="24"/>
        </w:rPr>
        <w:t>out to staff, which was March 4, 2025. The date of both visits was December 10, 2024. The third noted visit was a follow-up visit, which did not involve the identification of any new hazards, and the List of Hazards would not be required.</w:t>
      </w:r>
    </w:p>
    <w:p>
      <w:pPr>
        <w:pStyle w:val="ListParagraph"/>
        <w:numPr>
          <w:ilvl w:val="0"/>
          <w:numId w:val="1"/>
        </w:numPr>
        <w:tabs>
          <w:tab w:pos="1080" w:val="left" w:leader="none"/>
        </w:tabs>
        <w:spacing w:line="259" w:lineRule="auto" w:before="0" w:after="0"/>
        <w:ind w:left="1080" w:right="454" w:hanging="360"/>
        <w:jc w:val="left"/>
        <w:rPr>
          <w:sz w:val="24"/>
        </w:rPr>
      </w:pPr>
      <w:r>
        <w:rPr>
          <w:b/>
          <w:sz w:val="24"/>
        </w:rPr>
        <w:t>One</w:t>
      </w:r>
      <w:r>
        <w:rPr>
          <w:b/>
          <w:spacing w:val="-3"/>
          <w:sz w:val="24"/>
        </w:rPr>
        <w:t> </w:t>
      </w:r>
      <w:r>
        <w:rPr>
          <w:b/>
          <w:sz w:val="24"/>
        </w:rPr>
        <w:t>of</w:t>
      </w:r>
      <w:r>
        <w:rPr>
          <w:b/>
          <w:spacing w:val="-4"/>
          <w:sz w:val="24"/>
        </w:rPr>
        <w:t> </w:t>
      </w:r>
      <w:r>
        <w:rPr>
          <w:b/>
          <w:sz w:val="24"/>
        </w:rPr>
        <w:t>seven</w:t>
      </w:r>
      <w:r>
        <w:rPr>
          <w:b/>
          <w:spacing w:val="-2"/>
          <w:sz w:val="24"/>
        </w:rPr>
        <w:t> </w:t>
      </w:r>
      <w:r>
        <w:rPr>
          <w:b/>
          <w:sz w:val="24"/>
        </w:rPr>
        <w:t>(14%)</w:t>
      </w:r>
      <w:r>
        <w:rPr>
          <w:b/>
          <w:spacing w:val="-5"/>
          <w:sz w:val="24"/>
        </w:rPr>
        <w:t> </w:t>
      </w:r>
      <w:r>
        <w:rPr>
          <w:b/>
          <w:sz w:val="24"/>
        </w:rPr>
        <w:t>training</w:t>
      </w:r>
      <w:r>
        <w:rPr>
          <w:b/>
          <w:spacing w:val="-4"/>
          <w:sz w:val="24"/>
        </w:rPr>
        <w:t> </w:t>
      </w:r>
      <w:r>
        <w:rPr>
          <w:b/>
          <w:sz w:val="24"/>
        </w:rPr>
        <w:t>and</w:t>
      </w:r>
      <w:r>
        <w:rPr>
          <w:b/>
          <w:spacing w:val="-2"/>
          <w:sz w:val="24"/>
        </w:rPr>
        <w:t> </w:t>
      </w:r>
      <w:r>
        <w:rPr>
          <w:b/>
          <w:sz w:val="24"/>
        </w:rPr>
        <w:t>education</w:t>
      </w:r>
      <w:r>
        <w:rPr>
          <w:b/>
          <w:spacing w:val="-4"/>
          <w:sz w:val="24"/>
        </w:rPr>
        <w:t> </w:t>
      </w:r>
      <w:r>
        <w:rPr>
          <w:b/>
          <w:sz w:val="24"/>
        </w:rPr>
        <w:t>files</w:t>
      </w:r>
      <w:r>
        <w:rPr>
          <w:b/>
          <w:spacing w:val="-5"/>
          <w:sz w:val="24"/>
        </w:rPr>
        <w:t> </w:t>
      </w:r>
      <w:r>
        <w:rPr>
          <w:b/>
          <w:sz w:val="24"/>
        </w:rPr>
        <w:t>reviewed</w:t>
      </w:r>
      <w:r>
        <w:rPr>
          <w:b/>
          <w:spacing w:val="-2"/>
          <w:sz w:val="24"/>
        </w:rPr>
        <w:t> </w:t>
      </w:r>
      <w:r>
        <w:rPr>
          <w:b/>
          <w:sz w:val="24"/>
        </w:rPr>
        <w:t>did</w:t>
      </w:r>
      <w:r>
        <w:rPr>
          <w:b/>
          <w:spacing w:val="-4"/>
          <w:sz w:val="24"/>
        </w:rPr>
        <w:t> </w:t>
      </w:r>
      <w:r>
        <w:rPr>
          <w:b/>
          <w:sz w:val="24"/>
        </w:rPr>
        <w:t>not</w:t>
      </w:r>
      <w:r>
        <w:rPr>
          <w:b/>
          <w:spacing w:val="-2"/>
          <w:sz w:val="24"/>
        </w:rPr>
        <w:t> </w:t>
      </w:r>
      <w:r>
        <w:rPr>
          <w:b/>
          <w:sz w:val="24"/>
        </w:rPr>
        <w:t>have</w:t>
      </w:r>
      <w:r>
        <w:rPr>
          <w:b/>
          <w:spacing w:val="-3"/>
          <w:sz w:val="24"/>
        </w:rPr>
        <w:t> </w:t>
      </w:r>
      <w:r>
        <w:rPr>
          <w:b/>
          <w:sz w:val="24"/>
        </w:rPr>
        <w:t>a</w:t>
      </w:r>
      <w:r>
        <w:rPr>
          <w:b/>
          <w:spacing w:val="-3"/>
          <w:sz w:val="24"/>
        </w:rPr>
        <w:t> </w:t>
      </w:r>
      <w:r>
        <w:rPr>
          <w:b/>
          <w:sz w:val="24"/>
        </w:rPr>
        <w:t>list</w:t>
      </w:r>
      <w:r>
        <w:rPr>
          <w:b/>
          <w:spacing w:val="-2"/>
          <w:sz w:val="24"/>
        </w:rPr>
        <w:t> </w:t>
      </w:r>
      <w:r>
        <w:rPr>
          <w:b/>
          <w:sz w:val="24"/>
        </w:rPr>
        <w:t>of</w:t>
      </w:r>
      <w:r>
        <w:rPr>
          <w:b/>
          <w:spacing w:val="-4"/>
          <w:sz w:val="24"/>
        </w:rPr>
        <w:t> </w:t>
      </w:r>
      <w:r>
        <w:rPr>
          <w:b/>
          <w:sz w:val="24"/>
        </w:rPr>
        <w:t>trainee attendees. </w:t>
      </w:r>
      <w:r>
        <w:rPr>
          <w:sz w:val="24"/>
        </w:rPr>
        <w:t>PESH does not dispute this but notes that the training was an employer organized event on a virtual platform.</w:t>
      </w:r>
    </w:p>
    <w:p>
      <w:pPr>
        <w:pStyle w:val="ListParagraph"/>
        <w:numPr>
          <w:ilvl w:val="0"/>
          <w:numId w:val="1"/>
        </w:numPr>
        <w:tabs>
          <w:tab w:pos="1080" w:val="left" w:leader="none"/>
        </w:tabs>
        <w:spacing w:line="259" w:lineRule="auto" w:before="0" w:after="0"/>
        <w:ind w:left="1080" w:right="576" w:hanging="360"/>
        <w:jc w:val="left"/>
        <w:rPr>
          <w:sz w:val="24"/>
        </w:rPr>
      </w:pPr>
      <w:r>
        <w:rPr>
          <w:b/>
          <w:sz w:val="24"/>
        </w:rPr>
        <w:t>The form 33 was not utilized in all initial case files reviewed. </w:t>
      </w:r>
      <w:r>
        <w:rPr>
          <w:sz w:val="24"/>
        </w:rPr>
        <w:t>PESH grant term (26) requires</w:t>
      </w:r>
      <w:r>
        <w:rPr>
          <w:spacing w:val="-3"/>
          <w:sz w:val="24"/>
        </w:rPr>
        <w:t> </w:t>
      </w:r>
      <w:r>
        <w:rPr>
          <w:sz w:val="24"/>
        </w:rPr>
        <w:t>that</w:t>
      </w:r>
      <w:r>
        <w:rPr>
          <w:spacing w:val="-1"/>
          <w:sz w:val="24"/>
        </w:rPr>
        <w:t> </w:t>
      </w:r>
      <w:r>
        <w:rPr>
          <w:sz w:val="24"/>
        </w:rPr>
        <w:t>PESH</w:t>
      </w:r>
      <w:r>
        <w:rPr>
          <w:spacing w:val="-6"/>
          <w:sz w:val="24"/>
        </w:rPr>
        <w:t> </w:t>
      </w:r>
      <w:r>
        <w:rPr>
          <w:sz w:val="24"/>
        </w:rPr>
        <w:t>follow</w:t>
      </w:r>
      <w:r>
        <w:rPr>
          <w:spacing w:val="-1"/>
          <w:sz w:val="24"/>
        </w:rPr>
        <w:t> </w:t>
      </w:r>
      <w:r>
        <w:rPr>
          <w:sz w:val="24"/>
        </w:rPr>
        <w:t>the</w:t>
      </w:r>
      <w:r>
        <w:rPr>
          <w:spacing w:val="-2"/>
          <w:sz w:val="24"/>
        </w:rPr>
        <w:t> </w:t>
      </w:r>
      <w:r>
        <w:rPr>
          <w:sz w:val="24"/>
        </w:rPr>
        <w:t>CPPM</w:t>
      </w:r>
      <w:r>
        <w:rPr>
          <w:spacing w:val="-4"/>
          <w:sz w:val="24"/>
        </w:rPr>
        <w:t> </w:t>
      </w:r>
      <w:r>
        <w:rPr>
          <w:sz w:val="24"/>
        </w:rPr>
        <w:t>or</w:t>
      </w:r>
      <w:r>
        <w:rPr>
          <w:spacing w:val="-5"/>
          <w:sz w:val="24"/>
        </w:rPr>
        <w:t> </w:t>
      </w:r>
      <w:r>
        <w:rPr>
          <w:sz w:val="24"/>
        </w:rPr>
        <w:t>an</w:t>
      </w:r>
      <w:r>
        <w:rPr>
          <w:spacing w:val="-4"/>
          <w:sz w:val="24"/>
        </w:rPr>
        <w:t> </w:t>
      </w:r>
      <w:r>
        <w:rPr>
          <w:sz w:val="24"/>
        </w:rPr>
        <w:t>approved,</w:t>
      </w:r>
      <w:r>
        <w:rPr>
          <w:spacing w:val="-2"/>
          <w:sz w:val="24"/>
        </w:rPr>
        <w:t> </w:t>
      </w:r>
      <w:r>
        <w:rPr>
          <w:sz w:val="24"/>
        </w:rPr>
        <w:t>state</w:t>
      </w:r>
      <w:r>
        <w:rPr>
          <w:spacing w:val="-4"/>
          <w:sz w:val="24"/>
        </w:rPr>
        <w:t> </w:t>
      </w:r>
      <w:r>
        <w:rPr>
          <w:sz w:val="24"/>
        </w:rPr>
        <w:t>specific,</w:t>
      </w:r>
      <w:r>
        <w:rPr>
          <w:spacing w:val="-5"/>
          <w:sz w:val="24"/>
        </w:rPr>
        <w:t> </w:t>
      </w:r>
      <w:r>
        <w:rPr>
          <w:sz w:val="24"/>
        </w:rPr>
        <w:t>at</w:t>
      </w:r>
      <w:r>
        <w:rPr>
          <w:spacing w:val="-4"/>
          <w:sz w:val="24"/>
        </w:rPr>
        <w:t> </w:t>
      </w:r>
      <w:r>
        <w:rPr>
          <w:sz w:val="24"/>
        </w:rPr>
        <w:t>least</w:t>
      </w:r>
      <w:r>
        <w:rPr>
          <w:spacing w:val="-1"/>
          <w:sz w:val="24"/>
        </w:rPr>
        <w:t> </w:t>
      </w:r>
      <w:r>
        <w:rPr>
          <w:sz w:val="24"/>
        </w:rPr>
        <w:t>as</w:t>
      </w:r>
      <w:r>
        <w:rPr>
          <w:spacing w:val="-3"/>
          <w:sz w:val="24"/>
        </w:rPr>
        <w:t> </w:t>
      </w:r>
      <w:r>
        <w:rPr>
          <w:sz w:val="24"/>
        </w:rPr>
        <w:t>effective alternative. The excerpt below from the current PESH CPPM (p. 30) was preserved verbatim</w:t>
      </w:r>
      <w:r>
        <w:rPr>
          <w:spacing w:val="-4"/>
          <w:sz w:val="24"/>
        </w:rPr>
        <w:t> </w:t>
      </w:r>
      <w:r>
        <w:rPr>
          <w:sz w:val="24"/>
        </w:rPr>
        <w:t>from</w:t>
      </w:r>
      <w:r>
        <w:rPr>
          <w:spacing w:val="-4"/>
          <w:sz w:val="24"/>
        </w:rPr>
        <w:t> </w:t>
      </w:r>
      <w:r>
        <w:rPr>
          <w:sz w:val="24"/>
        </w:rPr>
        <w:t>the</w:t>
      </w:r>
      <w:r>
        <w:rPr>
          <w:spacing w:val="-3"/>
          <w:sz w:val="24"/>
        </w:rPr>
        <w:t> </w:t>
      </w:r>
      <w:r>
        <w:rPr>
          <w:sz w:val="24"/>
        </w:rPr>
        <w:t>OSHA</w:t>
      </w:r>
      <w:r>
        <w:rPr>
          <w:spacing w:val="-4"/>
          <w:sz w:val="24"/>
        </w:rPr>
        <w:t> </w:t>
      </w:r>
      <w:r>
        <w:rPr>
          <w:sz w:val="24"/>
        </w:rPr>
        <w:t>version and</w:t>
      </w:r>
      <w:r>
        <w:rPr>
          <w:spacing w:val="-3"/>
          <w:sz w:val="24"/>
        </w:rPr>
        <w:t> </w:t>
      </w:r>
      <w:r>
        <w:rPr>
          <w:sz w:val="24"/>
        </w:rPr>
        <w:t>does</w:t>
      </w:r>
      <w:r>
        <w:rPr>
          <w:spacing w:val="-2"/>
          <w:sz w:val="24"/>
        </w:rPr>
        <w:t> </w:t>
      </w:r>
      <w:r>
        <w:rPr>
          <w:sz w:val="24"/>
        </w:rPr>
        <w:t>not</w:t>
      </w:r>
      <w:r>
        <w:rPr>
          <w:spacing w:val="-3"/>
          <w:sz w:val="24"/>
        </w:rPr>
        <w:t> </w:t>
      </w:r>
      <w:r>
        <w:rPr>
          <w:sz w:val="24"/>
        </w:rPr>
        <w:t>require</w:t>
      </w:r>
      <w:r>
        <w:rPr>
          <w:spacing w:val="-3"/>
          <w:sz w:val="24"/>
        </w:rPr>
        <w:t> </w:t>
      </w:r>
      <w:r>
        <w:rPr>
          <w:sz w:val="24"/>
        </w:rPr>
        <w:t>our</w:t>
      </w:r>
      <w:r>
        <w:rPr>
          <w:spacing w:val="-4"/>
          <w:sz w:val="24"/>
        </w:rPr>
        <w:t> </w:t>
      </w:r>
      <w:r>
        <w:rPr>
          <w:sz w:val="24"/>
        </w:rPr>
        <w:t>23(g)</w:t>
      </w:r>
      <w:r>
        <w:rPr>
          <w:spacing w:val="-2"/>
          <w:sz w:val="24"/>
        </w:rPr>
        <w:t> </w:t>
      </w:r>
      <w:r>
        <w:rPr>
          <w:sz w:val="24"/>
        </w:rPr>
        <w:t>public</w:t>
      </w:r>
      <w:r>
        <w:rPr>
          <w:spacing w:val="-2"/>
          <w:sz w:val="24"/>
        </w:rPr>
        <w:t> </w:t>
      </w:r>
      <w:r>
        <w:rPr>
          <w:sz w:val="24"/>
        </w:rPr>
        <w:t>sector</w:t>
      </w:r>
      <w:r>
        <w:rPr>
          <w:spacing w:val="-1"/>
          <w:sz w:val="24"/>
        </w:rPr>
        <w:t> </w:t>
      </w:r>
      <w:r>
        <w:rPr>
          <w:sz w:val="24"/>
        </w:rPr>
        <w:t>program to use form 33:</w:t>
      </w:r>
    </w:p>
    <w:p>
      <w:pPr>
        <w:pStyle w:val="BodyText"/>
        <w:spacing w:before="155"/>
        <w:ind w:left="1080"/>
      </w:pPr>
      <w:r>
        <w:rPr/>
        <w:t>B.</w:t>
      </w:r>
      <w:r>
        <w:rPr>
          <w:spacing w:val="-1"/>
        </w:rPr>
        <w:t> </w:t>
      </w:r>
      <w:r>
        <w:rPr/>
        <w:t>Form 33</w:t>
      </w:r>
      <w:r>
        <w:rPr>
          <w:spacing w:val="-1"/>
        </w:rPr>
        <w:t> </w:t>
      </w:r>
      <w:r>
        <w:rPr>
          <w:spacing w:val="-2"/>
        </w:rPr>
        <w:t>Usage.</w:t>
      </w:r>
    </w:p>
    <w:p>
      <w:pPr>
        <w:pStyle w:val="BodyText"/>
        <w:ind w:left="0"/>
      </w:pPr>
    </w:p>
    <w:p>
      <w:pPr>
        <w:pStyle w:val="ListParagraph"/>
        <w:numPr>
          <w:ilvl w:val="1"/>
          <w:numId w:val="1"/>
        </w:numPr>
        <w:tabs>
          <w:tab w:pos="2520" w:val="left" w:leader="none"/>
        </w:tabs>
        <w:spacing w:line="240" w:lineRule="auto" w:before="0" w:after="0"/>
        <w:ind w:left="2520" w:right="514" w:hanging="720"/>
        <w:jc w:val="left"/>
        <w:rPr>
          <w:sz w:val="24"/>
        </w:rPr>
      </w:pPr>
      <w:r>
        <w:rPr>
          <w:sz w:val="24"/>
        </w:rPr>
        <w:t>Form 33 must be used by all 21(d) Consultation programs to conduct safety and health program evaluations.</w:t>
      </w:r>
      <w:r>
        <w:rPr>
          <w:spacing w:val="40"/>
          <w:sz w:val="24"/>
        </w:rPr>
        <w:t> </w:t>
      </w:r>
      <w:r>
        <w:rPr>
          <w:sz w:val="24"/>
        </w:rPr>
        <w:t>States operating private sector consultation</w:t>
      </w:r>
      <w:r>
        <w:rPr>
          <w:spacing w:val="-4"/>
          <w:sz w:val="24"/>
        </w:rPr>
        <w:t> </w:t>
      </w:r>
      <w:r>
        <w:rPr>
          <w:sz w:val="24"/>
        </w:rPr>
        <w:t>under</w:t>
      </w:r>
      <w:r>
        <w:rPr>
          <w:spacing w:val="-2"/>
          <w:sz w:val="24"/>
        </w:rPr>
        <w:t> </w:t>
      </w:r>
      <w:r>
        <w:rPr>
          <w:sz w:val="24"/>
        </w:rPr>
        <w:t>a</w:t>
      </w:r>
      <w:r>
        <w:rPr>
          <w:spacing w:val="-5"/>
          <w:sz w:val="24"/>
        </w:rPr>
        <w:t> </w:t>
      </w:r>
      <w:r>
        <w:rPr>
          <w:sz w:val="24"/>
        </w:rPr>
        <w:t>23(g)</w:t>
      </w:r>
      <w:r>
        <w:rPr>
          <w:spacing w:val="-3"/>
          <w:sz w:val="24"/>
        </w:rPr>
        <w:t> </w:t>
      </w:r>
      <w:r>
        <w:rPr>
          <w:sz w:val="24"/>
        </w:rPr>
        <w:t>State</w:t>
      </w:r>
      <w:r>
        <w:rPr>
          <w:spacing w:val="-4"/>
          <w:sz w:val="24"/>
        </w:rPr>
        <w:t> </w:t>
      </w:r>
      <w:r>
        <w:rPr>
          <w:sz w:val="24"/>
        </w:rPr>
        <w:t>Plan</w:t>
      </w:r>
      <w:r>
        <w:rPr>
          <w:spacing w:val="-2"/>
          <w:sz w:val="24"/>
        </w:rPr>
        <w:t> </w:t>
      </w:r>
      <w:r>
        <w:rPr>
          <w:sz w:val="24"/>
        </w:rPr>
        <w:t>may</w:t>
      </w:r>
      <w:r>
        <w:rPr>
          <w:spacing w:val="-6"/>
          <w:sz w:val="24"/>
        </w:rPr>
        <w:t> </w:t>
      </w:r>
      <w:r>
        <w:rPr>
          <w:sz w:val="24"/>
        </w:rPr>
        <w:t>use</w:t>
      </w:r>
      <w:r>
        <w:rPr>
          <w:spacing w:val="-2"/>
          <w:sz w:val="24"/>
        </w:rPr>
        <w:t> </w:t>
      </w:r>
      <w:r>
        <w:rPr>
          <w:sz w:val="24"/>
        </w:rPr>
        <w:t>Form</w:t>
      </w:r>
      <w:r>
        <w:rPr>
          <w:spacing w:val="-2"/>
          <w:sz w:val="24"/>
        </w:rPr>
        <w:t> </w:t>
      </w:r>
      <w:r>
        <w:rPr>
          <w:sz w:val="24"/>
        </w:rPr>
        <w:t>33</w:t>
      </w:r>
      <w:r>
        <w:rPr>
          <w:spacing w:val="-4"/>
          <w:sz w:val="24"/>
        </w:rPr>
        <w:t> </w:t>
      </w:r>
      <w:r>
        <w:rPr>
          <w:sz w:val="24"/>
        </w:rPr>
        <w:t>after</w:t>
      </w:r>
      <w:r>
        <w:rPr>
          <w:spacing w:val="-2"/>
          <w:sz w:val="24"/>
        </w:rPr>
        <w:t> </w:t>
      </w:r>
      <w:r>
        <w:rPr>
          <w:sz w:val="24"/>
        </w:rPr>
        <w:t>consultants have taken the training offered by the OSHA Training Institute.</w:t>
      </w:r>
    </w:p>
    <w:p>
      <w:pPr>
        <w:pStyle w:val="BodyText"/>
        <w:spacing w:before="292"/>
        <w:ind w:left="1079" w:right="381"/>
      </w:pPr>
      <w:r>
        <w:rPr/>
        <w:t>Additionally,</w:t>
      </w:r>
      <w:r>
        <w:rPr>
          <w:spacing w:val="-1"/>
        </w:rPr>
        <w:t> </w:t>
      </w:r>
      <w:r>
        <w:rPr/>
        <w:t>the</w:t>
      </w:r>
      <w:r>
        <w:rPr>
          <w:spacing w:val="-1"/>
        </w:rPr>
        <w:t> </w:t>
      </w:r>
      <w:r>
        <w:rPr/>
        <w:t>current</w:t>
      </w:r>
      <w:r>
        <w:rPr>
          <w:spacing w:val="-3"/>
        </w:rPr>
        <w:t> </w:t>
      </w:r>
      <w:r>
        <w:rPr/>
        <w:t>PESH</w:t>
      </w:r>
      <w:r>
        <w:rPr>
          <w:spacing w:val="-2"/>
        </w:rPr>
        <w:t> </w:t>
      </w:r>
      <w:r>
        <w:rPr/>
        <w:t>CPPM</w:t>
      </w:r>
      <w:r>
        <w:rPr>
          <w:spacing w:val="-3"/>
        </w:rPr>
        <w:t> </w:t>
      </w:r>
      <w:r>
        <w:rPr/>
        <w:t>allows</w:t>
      </w:r>
      <w:r>
        <w:rPr>
          <w:spacing w:val="-5"/>
        </w:rPr>
        <w:t> </w:t>
      </w:r>
      <w:r>
        <w:rPr/>
        <w:t>the</w:t>
      </w:r>
      <w:r>
        <w:rPr>
          <w:spacing w:val="-3"/>
        </w:rPr>
        <w:t> </w:t>
      </w:r>
      <w:r>
        <w:rPr/>
        <w:t>use</w:t>
      </w:r>
      <w:r>
        <w:rPr>
          <w:spacing w:val="-1"/>
        </w:rPr>
        <w:t> </w:t>
      </w:r>
      <w:r>
        <w:rPr/>
        <w:t>of</w:t>
      </w:r>
      <w:r>
        <w:rPr>
          <w:spacing w:val="-3"/>
        </w:rPr>
        <w:t> </w:t>
      </w:r>
      <w:r>
        <w:rPr/>
        <w:t>Form</w:t>
      </w:r>
      <w:r>
        <w:rPr>
          <w:spacing w:val="-4"/>
        </w:rPr>
        <w:t> </w:t>
      </w:r>
      <w:r>
        <w:rPr/>
        <w:t>33</w:t>
      </w:r>
      <w:r>
        <w:rPr>
          <w:spacing w:val="-3"/>
        </w:rPr>
        <w:t> </w:t>
      </w:r>
      <w:r>
        <w:rPr/>
        <w:t>during</w:t>
      </w:r>
      <w:r>
        <w:rPr>
          <w:spacing w:val="-2"/>
        </w:rPr>
        <w:t> </w:t>
      </w:r>
      <w:r>
        <w:rPr/>
        <w:t>complete</w:t>
      </w:r>
      <w:r>
        <w:rPr>
          <w:spacing w:val="-1"/>
        </w:rPr>
        <w:t> </w:t>
      </w:r>
      <w:r>
        <w:rPr/>
        <w:t>safety and health program reviews, or as specifically requested by the employer.</w:t>
      </w:r>
    </w:p>
    <w:p>
      <w:pPr>
        <w:pStyle w:val="BodyText"/>
        <w:spacing w:after="0"/>
        <w:sectPr>
          <w:pgSz w:w="12240" w:h="15840"/>
          <w:pgMar w:top="1400" w:bottom="280" w:left="1080" w:right="1080"/>
        </w:sectPr>
      </w:pPr>
    </w:p>
    <w:p>
      <w:pPr>
        <w:spacing w:before="39"/>
        <w:ind w:left="360" w:right="0" w:firstLine="0"/>
        <w:jc w:val="left"/>
        <w:rPr>
          <w:b/>
          <w:sz w:val="24"/>
        </w:rPr>
      </w:pPr>
      <w:r>
        <w:rPr>
          <w:b/>
          <w:spacing w:val="-2"/>
          <w:sz w:val="24"/>
        </w:rPr>
        <w:t>Observation:</w:t>
      </w:r>
    </w:p>
    <w:p>
      <w:pPr>
        <w:spacing w:before="0"/>
        <w:ind w:left="359" w:right="0" w:firstLine="0"/>
        <w:jc w:val="left"/>
        <w:rPr>
          <w:b/>
          <w:sz w:val="24"/>
        </w:rPr>
      </w:pPr>
      <w:r>
        <w:rPr>
          <w:b/>
          <w:sz w:val="24"/>
        </w:rPr>
        <w:t>FY</w:t>
      </w:r>
      <w:r>
        <w:rPr>
          <w:b/>
          <w:spacing w:val="-3"/>
          <w:sz w:val="24"/>
        </w:rPr>
        <w:t> </w:t>
      </w:r>
      <w:r>
        <w:rPr>
          <w:b/>
          <w:sz w:val="24"/>
        </w:rPr>
        <w:t>2025-OB-01:</w:t>
      </w:r>
      <w:r>
        <w:rPr>
          <w:b/>
          <w:spacing w:val="-3"/>
          <w:sz w:val="24"/>
        </w:rPr>
        <w:t> </w:t>
      </w:r>
      <w:r>
        <w:rPr>
          <w:b/>
          <w:sz w:val="24"/>
        </w:rPr>
        <w:t>Documenting</w:t>
      </w:r>
      <w:r>
        <w:rPr>
          <w:b/>
          <w:spacing w:val="-4"/>
          <w:sz w:val="24"/>
        </w:rPr>
        <w:t> </w:t>
      </w:r>
      <w:r>
        <w:rPr>
          <w:b/>
          <w:sz w:val="24"/>
        </w:rPr>
        <w:t>Contests</w:t>
      </w:r>
      <w:r>
        <w:rPr>
          <w:b/>
          <w:spacing w:val="-3"/>
          <w:sz w:val="24"/>
        </w:rPr>
        <w:t> </w:t>
      </w:r>
      <w:r>
        <w:rPr>
          <w:b/>
          <w:sz w:val="24"/>
        </w:rPr>
        <w:t>in</w:t>
      </w:r>
      <w:r>
        <w:rPr>
          <w:b/>
          <w:spacing w:val="-2"/>
          <w:sz w:val="24"/>
        </w:rPr>
        <w:t> </w:t>
      </w:r>
      <w:r>
        <w:rPr>
          <w:b/>
          <w:spacing w:val="-5"/>
          <w:sz w:val="24"/>
        </w:rPr>
        <w:t>OIS</w:t>
      </w:r>
    </w:p>
    <w:p>
      <w:pPr>
        <w:spacing w:before="0"/>
        <w:ind w:left="359" w:right="0" w:firstLine="0"/>
        <w:jc w:val="left"/>
        <w:rPr>
          <w:b/>
          <w:sz w:val="24"/>
        </w:rPr>
      </w:pPr>
      <w:r>
        <w:rPr>
          <w:b/>
          <w:sz w:val="24"/>
        </w:rPr>
        <w:t>NY PESH is not entering contest information into OIS for appeals being received only from affected</w:t>
      </w:r>
      <w:r>
        <w:rPr>
          <w:b/>
          <w:spacing w:val="-2"/>
          <w:sz w:val="24"/>
        </w:rPr>
        <w:t> </w:t>
      </w:r>
      <w:r>
        <w:rPr>
          <w:b/>
          <w:sz w:val="24"/>
        </w:rPr>
        <w:t>employees</w:t>
      </w:r>
      <w:r>
        <w:rPr>
          <w:b/>
          <w:spacing w:val="-2"/>
          <w:sz w:val="24"/>
        </w:rPr>
        <w:t> </w:t>
      </w:r>
      <w:r>
        <w:rPr>
          <w:b/>
          <w:sz w:val="24"/>
        </w:rPr>
        <w:t>or</w:t>
      </w:r>
      <w:r>
        <w:rPr>
          <w:b/>
          <w:spacing w:val="-4"/>
          <w:sz w:val="24"/>
        </w:rPr>
        <w:t> </w:t>
      </w:r>
      <w:r>
        <w:rPr>
          <w:b/>
          <w:sz w:val="24"/>
        </w:rPr>
        <w:t>union</w:t>
      </w:r>
      <w:r>
        <w:rPr>
          <w:b/>
          <w:spacing w:val="-4"/>
          <w:sz w:val="24"/>
        </w:rPr>
        <w:t> </w:t>
      </w:r>
      <w:r>
        <w:rPr>
          <w:b/>
          <w:sz w:val="24"/>
        </w:rPr>
        <w:t>representatives</w:t>
      </w:r>
      <w:r>
        <w:rPr>
          <w:b/>
          <w:spacing w:val="-2"/>
          <w:sz w:val="24"/>
        </w:rPr>
        <w:t> </w:t>
      </w:r>
      <w:r>
        <w:rPr>
          <w:b/>
          <w:sz w:val="24"/>
        </w:rPr>
        <w:t>at</w:t>
      </w:r>
      <w:r>
        <w:rPr>
          <w:b/>
          <w:spacing w:val="-4"/>
          <w:sz w:val="24"/>
        </w:rPr>
        <w:t> </w:t>
      </w:r>
      <w:r>
        <w:rPr>
          <w:b/>
          <w:sz w:val="24"/>
        </w:rPr>
        <w:t>sites</w:t>
      </w:r>
      <w:r>
        <w:rPr>
          <w:b/>
          <w:spacing w:val="-2"/>
          <w:sz w:val="24"/>
        </w:rPr>
        <w:t> </w:t>
      </w:r>
      <w:r>
        <w:rPr>
          <w:b/>
          <w:sz w:val="24"/>
        </w:rPr>
        <w:t>that</w:t>
      </w:r>
      <w:r>
        <w:rPr>
          <w:b/>
          <w:spacing w:val="-2"/>
          <w:sz w:val="24"/>
        </w:rPr>
        <w:t> </w:t>
      </w:r>
      <w:r>
        <w:rPr>
          <w:b/>
          <w:sz w:val="24"/>
        </w:rPr>
        <w:t>have</w:t>
      </w:r>
      <w:r>
        <w:rPr>
          <w:b/>
          <w:spacing w:val="-3"/>
          <w:sz w:val="24"/>
        </w:rPr>
        <w:t> </w:t>
      </w:r>
      <w:r>
        <w:rPr>
          <w:b/>
          <w:sz w:val="24"/>
        </w:rPr>
        <w:t>received</w:t>
      </w:r>
      <w:r>
        <w:rPr>
          <w:b/>
          <w:spacing w:val="-4"/>
          <w:sz w:val="24"/>
        </w:rPr>
        <w:t> </w:t>
      </w:r>
      <w:r>
        <w:rPr>
          <w:b/>
          <w:sz w:val="24"/>
        </w:rPr>
        <w:t>notices</w:t>
      </w:r>
      <w:r>
        <w:rPr>
          <w:b/>
          <w:spacing w:val="-5"/>
          <w:sz w:val="24"/>
        </w:rPr>
        <w:t> </w:t>
      </w:r>
      <w:r>
        <w:rPr>
          <w:b/>
          <w:sz w:val="24"/>
        </w:rPr>
        <w:t>of</w:t>
      </w:r>
      <w:r>
        <w:rPr>
          <w:b/>
          <w:spacing w:val="-4"/>
          <w:sz w:val="24"/>
        </w:rPr>
        <w:t> </w:t>
      </w:r>
      <w:r>
        <w:rPr>
          <w:b/>
          <w:sz w:val="24"/>
        </w:rPr>
        <w:t>violations. These inspection files are marked as final order and closed in OIS before a decision has been issued by the NYS Industrial Board of Appeals.</w:t>
      </w:r>
    </w:p>
    <w:p>
      <w:pPr>
        <w:pStyle w:val="BodyText"/>
        <w:spacing w:before="292"/>
        <w:ind w:left="359"/>
      </w:pPr>
      <w:r>
        <w:rPr/>
        <w:t>State</w:t>
      </w:r>
      <w:r>
        <w:rPr>
          <w:spacing w:val="-2"/>
        </w:rPr>
        <w:t> </w:t>
      </w:r>
      <w:r>
        <w:rPr/>
        <w:t>Plan</w:t>
      </w:r>
      <w:r>
        <w:rPr>
          <w:spacing w:val="2"/>
        </w:rPr>
        <w:t> </w:t>
      </w:r>
      <w:r>
        <w:rPr>
          <w:spacing w:val="-2"/>
        </w:rPr>
        <w:t>Response:</w:t>
      </w:r>
    </w:p>
    <w:p>
      <w:pPr>
        <w:pStyle w:val="BodyText"/>
        <w:spacing w:before="2"/>
        <w:ind w:left="359" w:right="381"/>
      </w:pPr>
      <w:r>
        <w:rPr/>
        <w:t>PESH Response: PESH</w:t>
      </w:r>
      <w:r>
        <w:rPr>
          <w:spacing w:val="-2"/>
        </w:rPr>
        <w:t> </w:t>
      </w:r>
      <w:r>
        <w:rPr/>
        <w:t>would appreciate any guidance for</w:t>
      </w:r>
      <w:r>
        <w:rPr>
          <w:spacing w:val="-1"/>
        </w:rPr>
        <w:t> </w:t>
      </w:r>
      <w:r>
        <w:rPr/>
        <w:t>how these cases</w:t>
      </w:r>
      <w:r>
        <w:rPr>
          <w:spacing w:val="-1"/>
        </w:rPr>
        <w:t> </w:t>
      </w:r>
      <w:r>
        <w:rPr/>
        <w:t>should be handled. PESH’s</w:t>
      </w:r>
      <w:r>
        <w:rPr>
          <w:spacing w:val="-3"/>
        </w:rPr>
        <w:t> </w:t>
      </w:r>
      <w:r>
        <w:rPr/>
        <w:t>practice</w:t>
      </w:r>
      <w:r>
        <w:rPr>
          <w:spacing w:val="-2"/>
        </w:rPr>
        <w:t> </w:t>
      </w:r>
      <w:r>
        <w:rPr/>
        <w:t>has</w:t>
      </w:r>
      <w:r>
        <w:rPr>
          <w:spacing w:val="-5"/>
        </w:rPr>
        <w:t> </w:t>
      </w:r>
      <w:r>
        <w:rPr/>
        <w:t>been</w:t>
      </w:r>
      <w:r>
        <w:rPr>
          <w:spacing w:val="-4"/>
        </w:rPr>
        <w:t> </w:t>
      </w:r>
      <w:r>
        <w:rPr/>
        <w:t>closing</w:t>
      </w:r>
      <w:r>
        <w:rPr>
          <w:spacing w:val="-3"/>
        </w:rPr>
        <w:t> </w:t>
      </w:r>
      <w:r>
        <w:rPr/>
        <w:t>cases</w:t>
      </w:r>
      <w:r>
        <w:rPr>
          <w:spacing w:val="-5"/>
        </w:rPr>
        <w:t> </w:t>
      </w:r>
      <w:r>
        <w:rPr/>
        <w:t>when</w:t>
      </w:r>
      <w:r>
        <w:rPr>
          <w:spacing w:val="-1"/>
        </w:rPr>
        <w:t> </w:t>
      </w:r>
      <w:r>
        <w:rPr/>
        <w:t>all</w:t>
      </w:r>
      <w:r>
        <w:rPr>
          <w:spacing w:val="-2"/>
        </w:rPr>
        <w:t> </w:t>
      </w:r>
      <w:r>
        <w:rPr/>
        <w:t>outstanding</w:t>
      </w:r>
      <w:r>
        <w:rPr>
          <w:spacing w:val="-3"/>
        </w:rPr>
        <w:t> </w:t>
      </w:r>
      <w:r>
        <w:rPr/>
        <w:t>violations</w:t>
      </w:r>
      <w:r>
        <w:rPr>
          <w:spacing w:val="-3"/>
        </w:rPr>
        <w:t> </w:t>
      </w:r>
      <w:r>
        <w:rPr/>
        <w:t>have</w:t>
      </w:r>
      <w:r>
        <w:rPr>
          <w:spacing w:val="-2"/>
        </w:rPr>
        <w:t> </w:t>
      </w:r>
      <w:r>
        <w:rPr/>
        <w:t>been</w:t>
      </w:r>
      <w:r>
        <w:rPr>
          <w:spacing w:val="-4"/>
        </w:rPr>
        <w:t> </w:t>
      </w:r>
      <w:r>
        <w:rPr/>
        <w:t>abated.</w:t>
      </w:r>
      <w:r>
        <w:rPr>
          <w:spacing w:val="-3"/>
        </w:rPr>
        <w:t> </w:t>
      </w:r>
      <w:r>
        <w:rPr/>
        <w:t>One variable is that determinations from IBA appeals can take several years resulting in cases remaining open long after compliance.</w:t>
      </w:r>
    </w:p>
    <w:p>
      <w:pPr>
        <w:spacing w:before="292"/>
        <w:ind w:left="359" w:right="0" w:firstLine="0"/>
        <w:jc w:val="left"/>
        <w:rPr>
          <w:b/>
          <w:sz w:val="24"/>
        </w:rPr>
      </w:pPr>
      <w:r>
        <w:rPr>
          <w:b/>
          <w:spacing w:val="-2"/>
          <w:sz w:val="24"/>
        </w:rPr>
        <w:t>Observation:</w:t>
      </w:r>
    </w:p>
    <w:p>
      <w:pPr>
        <w:spacing w:before="0"/>
        <w:ind w:left="359" w:right="0" w:firstLine="0"/>
        <w:jc w:val="left"/>
        <w:rPr>
          <w:b/>
          <w:sz w:val="24"/>
        </w:rPr>
      </w:pPr>
      <w:r>
        <w:rPr>
          <w:b/>
          <w:sz w:val="24"/>
        </w:rPr>
        <w:t>FY</w:t>
      </w:r>
      <w:r>
        <w:rPr>
          <w:b/>
          <w:spacing w:val="-5"/>
          <w:sz w:val="24"/>
        </w:rPr>
        <w:t> </w:t>
      </w:r>
      <w:r>
        <w:rPr>
          <w:b/>
          <w:sz w:val="24"/>
        </w:rPr>
        <w:t>2025-OB-02:</w:t>
      </w:r>
      <w:r>
        <w:rPr>
          <w:b/>
          <w:spacing w:val="-4"/>
          <w:sz w:val="24"/>
        </w:rPr>
        <w:t> </w:t>
      </w:r>
      <w:r>
        <w:rPr>
          <w:b/>
          <w:sz w:val="24"/>
        </w:rPr>
        <w:t>Dismissing</w:t>
      </w:r>
      <w:r>
        <w:rPr>
          <w:b/>
          <w:spacing w:val="-5"/>
          <w:sz w:val="24"/>
        </w:rPr>
        <w:t> </w:t>
      </w:r>
      <w:r>
        <w:rPr>
          <w:b/>
          <w:spacing w:val="-2"/>
          <w:sz w:val="24"/>
        </w:rPr>
        <w:t>Referrals</w:t>
      </w:r>
    </w:p>
    <w:p>
      <w:pPr>
        <w:spacing w:before="0"/>
        <w:ind w:left="360" w:right="381" w:firstLine="0"/>
        <w:jc w:val="left"/>
        <w:rPr>
          <w:b/>
          <w:sz w:val="24"/>
        </w:rPr>
      </w:pPr>
      <w:r>
        <w:rPr>
          <w:b/>
          <w:sz w:val="24"/>
        </w:rPr>
        <w:t>In seven of 33 referrals (21%) received under NY PESH reporting requirements for work-related incidents, NY PESH dismissed the referral without conducting an inspection or investigation,</w:t>
      </w:r>
      <w:r>
        <w:rPr>
          <w:b/>
          <w:spacing w:val="-2"/>
          <w:sz w:val="24"/>
        </w:rPr>
        <w:t> </w:t>
      </w:r>
      <w:r>
        <w:rPr>
          <w:b/>
          <w:sz w:val="24"/>
        </w:rPr>
        <w:t>despite</w:t>
      </w:r>
      <w:r>
        <w:rPr>
          <w:b/>
          <w:spacing w:val="-6"/>
          <w:sz w:val="24"/>
        </w:rPr>
        <w:t> </w:t>
      </w:r>
      <w:r>
        <w:rPr>
          <w:b/>
          <w:sz w:val="24"/>
        </w:rPr>
        <w:t>the</w:t>
      </w:r>
      <w:r>
        <w:rPr>
          <w:b/>
          <w:spacing w:val="-3"/>
          <w:sz w:val="24"/>
        </w:rPr>
        <w:t> </w:t>
      </w:r>
      <w:r>
        <w:rPr>
          <w:b/>
          <w:sz w:val="24"/>
        </w:rPr>
        <w:t>referral</w:t>
      </w:r>
      <w:r>
        <w:rPr>
          <w:b/>
          <w:spacing w:val="-4"/>
          <w:sz w:val="24"/>
        </w:rPr>
        <w:t> </w:t>
      </w:r>
      <w:r>
        <w:rPr>
          <w:b/>
          <w:sz w:val="24"/>
        </w:rPr>
        <w:t>involving</w:t>
      </w:r>
      <w:r>
        <w:rPr>
          <w:b/>
          <w:spacing w:val="-4"/>
          <w:sz w:val="24"/>
        </w:rPr>
        <w:t> </w:t>
      </w:r>
      <w:r>
        <w:rPr>
          <w:b/>
          <w:sz w:val="24"/>
        </w:rPr>
        <w:t>a</w:t>
      </w:r>
      <w:r>
        <w:rPr>
          <w:b/>
          <w:spacing w:val="-6"/>
          <w:sz w:val="24"/>
        </w:rPr>
        <w:t> </w:t>
      </w:r>
      <w:r>
        <w:rPr>
          <w:b/>
          <w:sz w:val="24"/>
        </w:rPr>
        <w:t>reportable</w:t>
      </w:r>
      <w:r>
        <w:rPr>
          <w:b/>
          <w:spacing w:val="-6"/>
          <w:sz w:val="24"/>
        </w:rPr>
        <w:t> </w:t>
      </w:r>
      <w:r>
        <w:rPr>
          <w:b/>
          <w:sz w:val="24"/>
        </w:rPr>
        <w:t>work-related</w:t>
      </w:r>
      <w:r>
        <w:rPr>
          <w:b/>
          <w:spacing w:val="-2"/>
          <w:sz w:val="24"/>
        </w:rPr>
        <w:t> </w:t>
      </w:r>
      <w:r>
        <w:rPr>
          <w:b/>
          <w:sz w:val="24"/>
        </w:rPr>
        <w:t>incident</w:t>
      </w:r>
      <w:r>
        <w:rPr>
          <w:b/>
          <w:spacing w:val="-4"/>
          <w:sz w:val="24"/>
        </w:rPr>
        <w:t> </w:t>
      </w:r>
      <w:r>
        <w:rPr>
          <w:b/>
          <w:sz w:val="24"/>
        </w:rPr>
        <w:t>covered</w:t>
      </w:r>
      <w:r>
        <w:rPr>
          <w:b/>
          <w:spacing w:val="-2"/>
          <w:sz w:val="24"/>
        </w:rPr>
        <w:t> </w:t>
      </w:r>
      <w:r>
        <w:rPr>
          <w:b/>
          <w:sz w:val="24"/>
        </w:rPr>
        <w:t>by</w:t>
      </w:r>
      <w:r>
        <w:rPr>
          <w:b/>
          <w:spacing w:val="-6"/>
          <w:sz w:val="24"/>
        </w:rPr>
        <w:t> </w:t>
      </w:r>
      <w:r>
        <w:rPr>
          <w:b/>
          <w:sz w:val="24"/>
        </w:rPr>
        <w:t>NY </w:t>
      </w:r>
      <w:r>
        <w:rPr>
          <w:b/>
          <w:spacing w:val="-2"/>
          <w:sz w:val="24"/>
        </w:rPr>
        <w:t>PESH.</w:t>
      </w:r>
    </w:p>
    <w:p>
      <w:pPr>
        <w:pStyle w:val="BodyText"/>
        <w:spacing w:before="292"/>
      </w:pPr>
      <w:r>
        <w:rPr/>
        <w:t>State</w:t>
      </w:r>
      <w:r>
        <w:rPr>
          <w:spacing w:val="-2"/>
        </w:rPr>
        <w:t> </w:t>
      </w:r>
      <w:r>
        <w:rPr/>
        <w:t>Plan</w:t>
      </w:r>
      <w:r>
        <w:rPr>
          <w:spacing w:val="2"/>
        </w:rPr>
        <w:t> </w:t>
      </w:r>
      <w:r>
        <w:rPr>
          <w:spacing w:val="-2"/>
        </w:rPr>
        <w:t>Response:</w:t>
      </w:r>
    </w:p>
    <w:p>
      <w:pPr>
        <w:pStyle w:val="BodyText"/>
      </w:pPr>
      <w:r>
        <w:rPr/>
        <w:t>PESH</w:t>
      </w:r>
      <w:r>
        <w:rPr>
          <w:spacing w:val="-7"/>
        </w:rPr>
        <w:t> </w:t>
      </w:r>
      <w:r>
        <w:rPr/>
        <w:t>Response:</w:t>
      </w:r>
      <w:r>
        <w:rPr>
          <w:spacing w:val="-5"/>
        </w:rPr>
        <w:t> </w:t>
      </w:r>
      <w:r>
        <w:rPr/>
        <w:t>PESH</w:t>
      </w:r>
      <w:r>
        <w:rPr>
          <w:spacing w:val="-4"/>
        </w:rPr>
        <w:t> </w:t>
      </w:r>
      <w:r>
        <w:rPr/>
        <w:t>is</w:t>
      </w:r>
      <w:r>
        <w:rPr>
          <w:spacing w:val="-6"/>
        </w:rPr>
        <w:t> </w:t>
      </w:r>
      <w:r>
        <w:rPr/>
        <w:t>not</w:t>
      </w:r>
      <w:r>
        <w:rPr>
          <w:spacing w:val="-5"/>
        </w:rPr>
        <w:t> </w:t>
      </w:r>
      <w:r>
        <w:rPr/>
        <w:t>clear</w:t>
      </w:r>
      <w:r>
        <w:rPr>
          <w:spacing w:val="-3"/>
        </w:rPr>
        <w:t> </w:t>
      </w:r>
      <w:r>
        <w:rPr/>
        <w:t>about</w:t>
      </w:r>
      <w:r>
        <w:rPr>
          <w:spacing w:val="-5"/>
        </w:rPr>
        <w:t> </w:t>
      </w:r>
      <w:r>
        <w:rPr/>
        <w:t>the</w:t>
      </w:r>
      <w:r>
        <w:rPr>
          <w:spacing w:val="-3"/>
        </w:rPr>
        <w:t> </w:t>
      </w:r>
      <w:r>
        <w:rPr/>
        <w:t>33</w:t>
      </w:r>
      <w:r>
        <w:rPr>
          <w:spacing w:val="-3"/>
        </w:rPr>
        <w:t> </w:t>
      </w:r>
      <w:r>
        <w:rPr/>
        <w:t>referrals</w:t>
      </w:r>
      <w:r>
        <w:rPr>
          <w:spacing w:val="-4"/>
        </w:rPr>
        <w:t> </w:t>
      </w:r>
      <w:r>
        <w:rPr/>
        <w:t>referenced</w:t>
      </w:r>
      <w:r>
        <w:rPr>
          <w:spacing w:val="-5"/>
        </w:rPr>
        <w:t> </w:t>
      </w:r>
      <w:r>
        <w:rPr/>
        <w:t>in</w:t>
      </w:r>
      <w:r>
        <w:rPr>
          <w:spacing w:val="-5"/>
        </w:rPr>
        <w:t> </w:t>
      </w:r>
      <w:r>
        <w:rPr/>
        <w:t>the</w:t>
      </w:r>
      <w:r>
        <w:rPr>
          <w:spacing w:val="-5"/>
        </w:rPr>
        <w:t> </w:t>
      </w:r>
      <w:r>
        <w:rPr/>
        <w:t>report.</w:t>
      </w:r>
      <w:r>
        <w:rPr>
          <w:spacing w:val="-4"/>
        </w:rPr>
        <w:t> </w:t>
      </w:r>
      <w:r>
        <w:rPr>
          <w:spacing w:val="-5"/>
        </w:rPr>
        <w:t>The</w:t>
      </w:r>
    </w:p>
    <w:p>
      <w:pPr>
        <w:pStyle w:val="BodyText"/>
        <w:spacing w:before="2"/>
      </w:pPr>
      <w:r>
        <w:rPr/>
        <w:t>spreadsheet</w:t>
      </w:r>
      <w:r>
        <w:rPr>
          <w:spacing w:val="-8"/>
        </w:rPr>
        <w:t> </w:t>
      </w:r>
      <w:r>
        <w:rPr/>
        <w:t>titled</w:t>
      </w:r>
      <w:r>
        <w:rPr>
          <w:spacing w:val="-8"/>
        </w:rPr>
        <w:t> </w:t>
      </w:r>
      <w:r>
        <w:rPr/>
        <w:t>“UPAs</w:t>
      </w:r>
      <w:r>
        <w:rPr>
          <w:spacing w:val="-7"/>
        </w:rPr>
        <w:t> </w:t>
      </w:r>
      <w:r>
        <w:rPr/>
        <w:t>Not</w:t>
      </w:r>
      <w:r>
        <w:rPr>
          <w:spacing w:val="-8"/>
        </w:rPr>
        <w:t> </w:t>
      </w:r>
      <w:r>
        <w:rPr/>
        <w:t>Inspected</w:t>
      </w:r>
      <w:r>
        <w:rPr>
          <w:spacing w:val="-6"/>
        </w:rPr>
        <w:t> </w:t>
      </w:r>
      <w:r>
        <w:rPr/>
        <w:t>or</w:t>
      </w:r>
      <w:r>
        <w:rPr>
          <w:spacing w:val="-6"/>
        </w:rPr>
        <w:t> </w:t>
      </w:r>
      <w:r>
        <w:rPr/>
        <w:t>Investigated”</w:t>
      </w:r>
      <w:r>
        <w:rPr>
          <w:spacing w:val="-6"/>
        </w:rPr>
        <w:t> </w:t>
      </w:r>
      <w:r>
        <w:rPr/>
        <w:t>only</w:t>
      </w:r>
      <w:r>
        <w:rPr>
          <w:spacing w:val="-10"/>
        </w:rPr>
        <w:t> </w:t>
      </w:r>
      <w:r>
        <w:rPr/>
        <w:t>lists</w:t>
      </w:r>
      <w:r>
        <w:rPr>
          <w:spacing w:val="-7"/>
        </w:rPr>
        <w:t> </w:t>
      </w:r>
      <w:r>
        <w:rPr/>
        <w:t>5</w:t>
      </w:r>
      <w:r>
        <w:rPr>
          <w:spacing w:val="-8"/>
        </w:rPr>
        <w:t> </w:t>
      </w:r>
      <w:r>
        <w:rPr>
          <w:spacing w:val="-2"/>
        </w:rPr>
        <w:t>referrals.</w:t>
      </w:r>
    </w:p>
    <w:p>
      <w:pPr>
        <w:pStyle w:val="BodyText"/>
        <w:ind w:left="0"/>
      </w:pPr>
    </w:p>
    <w:p>
      <w:pPr>
        <w:pStyle w:val="BodyText"/>
        <w:ind w:right="389"/>
      </w:pPr>
      <w:r>
        <w:rPr/>
        <w:t>Single hospitalizations and/or other workplace incidents reported to PESH have been carefully screened by the Enforcement Case Coordinator (ECC) since June 2025. Not all incidents reported to PESH indicate occupational exposure to workplace hazards. Examples include medical</w:t>
      </w:r>
      <w:r>
        <w:rPr>
          <w:spacing w:val="-2"/>
        </w:rPr>
        <w:t> </w:t>
      </w:r>
      <w:r>
        <w:rPr/>
        <w:t>events</w:t>
      </w:r>
      <w:r>
        <w:rPr>
          <w:spacing w:val="-4"/>
        </w:rPr>
        <w:t> </w:t>
      </w:r>
      <w:r>
        <w:rPr/>
        <w:t>unrelated</w:t>
      </w:r>
      <w:r>
        <w:rPr>
          <w:spacing w:val="-1"/>
        </w:rPr>
        <w:t> </w:t>
      </w:r>
      <w:r>
        <w:rPr/>
        <w:t>to</w:t>
      </w:r>
      <w:r>
        <w:rPr>
          <w:spacing w:val="-3"/>
        </w:rPr>
        <w:t> </w:t>
      </w:r>
      <w:r>
        <w:rPr/>
        <w:t>workplace</w:t>
      </w:r>
      <w:r>
        <w:rPr>
          <w:spacing w:val="-3"/>
        </w:rPr>
        <w:t> </w:t>
      </w:r>
      <w:r>
        <w:rPr/>
        <w:t>tasks</w:t>
      </w:r>
      <w:r>
        <w:rPr>
          <w:spacing w:val="-2"/>
        </w:rPr>
        <w:t> </w:t>
      </w:r>
      <w:r>
        <w:rPr/>
        <w:t>or</w:t>
      </w:r>
      <w:r>
        <w:rPr>
          <w:spacing w:val="-4"/>
        </w:rPr>
        <w:t> </w:t>
      </w:r>
      <w:r>
        <w:rPr/>
        <w:t>exposures.</w:t>
      </w:r>
      <w:r>
        <w:rPr>
          <w:spacing w:val="40"/>
        </w:rPr>
        <w:t> </w:t>
      </w:r>
      <w:r>
        <w:rPr/>
        <w:t>Clarification</w:t>
      </w:r>
      <w:r>
        <w:rPr>
          <w:spacing w:val="-3"/>
        </w:rPr>
        <w:t> </w:t>
      </w:r>
      <w:r>
        <w:rPr/>
        <w:t>is</w:t>
      </w:r>
      <w:r>
        <w:rPr>
          <w:spacing w:val="-2"/>
        </w:rPr>
        <w:t> </w:t>
      </w:r>
      <w:r>
        <w:rPr/>
        <w:t>needed</w:t>
      </w:r>
      <w:r>
        <w:rPr>
          <w:spacing w:val="-3"/>
        </w:rPr>
        <w:t> </w:t>
      </w:r>
      <w:r>
        <w:rPr/>
        <w:t>on</w:t>
      </w:r>
      <w:r>
        <w:rPr>
          <w:spacing w:val="-1"/>
        </w:rPr>
        <w:t> </w:t>
      </w:r>
      <w:r>
        <w:rPr/>
        <w:t>which</w:t>
      </w:r>
      <w:r>
        <w:rPr>
          <w:spacing w:val="-3"/>
        </w:rPr>
        <w:t> </w:t>
      </w:r>
      <w:r>
        <w:rPr/>
        <w:t>“33 referrals” are referenced in the report.</w:t>
      </w:r>
    </w:p>
    <w:sectPr>
      <w:pgSz w:w="12240" w:h="15840"/>
      <w:pgMar w:top="140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80" w:hanging="360"/>
        <w:jc w:val="left"/>
      </w:pPr>
      <w:rPr>
        <w:rFonts w:hint="default" w:ascii="Calibri" w:hAnsi="Calibri" w:eastAsia="Calibri" w:cs="Calibri"/>
        <w:b w:val="0"/>
        <w:bCs w:val="0"/>
        <w:i w:val="0"/>
        <w:iCs w:val="0"/>
        <w:spacing w:val="0"/>
        <w:w w:val="100"/>
        <w:sz w:val="24"/>
        <w:szCs w:val="24"/>
        <w:lang w:val="en-US" w:eastAsia="en-US" w:bidi="ar-SA"/>
      </w:rPr>
    </w:lvl>
    <w:lvl w:ilvl="1">
      <w:start w:val="1"/>
      <w:numFmt w:val="decimal"/>
      <w:lvlText w:val="%2."/>
      <w:lvlJc w:val="left"/>
      <w:pPr>
        <w:ind w:left="2520" w:hanging="72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3360" w:hanging="720"/>
      </w:pPr>
      <w:rPr>
        <w:rFonts w:hint="default"/>
        <w:lang w:val="en-US" w:eastAsia="en-US" w:bidi="ar-SA"/>
      </w:rPr>
    </w:lvl>
    <w:lvl w:ilvl="3">
      <w:start w:val="0"/>
      <w:numFmt w:val="bullet"/>
      <w:lvlText w:val="•"/>
      <w:lvlJc w:val="left"/>
      <w:pPr>
        <w:ind w:left="4200" w:hanging="720"/>
      </w:pPr>
      <w:rPr>
        <w:rFonts w:hint="default"/>
        <w:lang w:val="en-US" w:eastAsia="en-US" w:bidi="ar-SA"/>
      </w:rPr>
    </w:lvl>
    <w:lvl w:ilvl="4">
      <w:start w:val="0"/>
      <w:numFmt w:val="bullet"/>
      <w:lvlText w:val="•"/>
      <w:lvlJc w:val="left"/>
      <w:pPr>
        <w:ind w:left="5040" w:hanging="720"/>
      </w:pPr>
      <w:rPr>
        <w:rFonts w:hint="default"/>
        <w:lang w:val="en-US" w:eastAsia="en-US" w:bidi="ar-SA"/>
      </w:rPr>
    </w:lvl>
    <w:lvl w:ilvl="5">
      <w:start w:val="0"/>
      <w:numFmt w:val="bullet"/>
      <w:lvlText w:val="•"/>
      <w:lvlJc w:val="left"/>
      <w:pPr>
        <w:ind w:left="5880" w:hanging="720"/>
      </w:pPr>
      <w:rPr>
        <w:rFonts w:hint="default"/>
        <w:lang w:val="en-US" w:eastAsia="en-US" w:bidi="ar-SA"/>
      </w:rPr>
    </w:lvl>
    <w:lvl w:ilvl="6">
      <w:start w:val="0"/>
      <w:numFmt w:val="bullet"/>
      <w:lvlText w:val="•"/>
      <w:lvlJc w:val="left"/>
      <w:pPr>
        <w:ind w:left="6720" w:hanging="720"/>
      </w:pPr>
      <w:rPr>
        <w:rFonts w:hint="default"/>
        <w:lang w:val="en-US" w:eastAsia="en-US" w:bidi="ar-SA"/>
      </w:rPr>
    </w:lvl>
    <w:lvl w:ilvl="7">
      <w:start w:val="0"/>
      <w:numFmt w:val="bullet"/>
      <w:lvlText w:val="•"/>
      <w:lvlJc w:val="left"/>
      <w:pPr>
        <w:ind w:left="7560" w:hanging="720"/>
      </w:pPr>
      <w:rPr>
        <w:rFonts w:hint="default"/>
        <w:lang w:val="en-US" w:eastAsia="en-US" w:bidi="ar-SA"/>
      </w:rPr>
    </w:lvl>
    <w:lvl w:ilvl="8">
      <w:start w:val="0"/>
      <w:numFmt w:val="bullet"/>
      <w:lvlText w:val="•"/>
      <w:lvlJc w:val="left"/>
      <w:pPr>
        <w:ind w:left="8400"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360"/>
    </w:pPr>
    <w:rPr>
      <w:rFonts w:ascii="Calibri" w:hAnsi="Calibri" w:eastAsia="Calibri" w:cs="Calibri"/>
      <w:sz w:val="24"/>
      <w:szCs w:val="24"/>
      <w:lang w:val="en-US" w:eastAsia="en-US" w:bidi="ar-SA"/>
    </w:rPr>
  </w:style>
  <w:style w:styleId="ListParagraph" w:type="paragraph">
    <w:name w:val="List Paragraph"/>
    <w:basedOn w:val="Normal"/>
    <w:uiPriority w:val="1"/>
    <w:qFormat/>
    <w:pPr>
      <w:ind w:left="1080" w:right="454"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U.S. Department of Labor</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Gibbs, Danielle - OSHA</dc:creator>
  <dc:description/>
  <dcterms:created xsi:type="dcterms:W3CDTF">2026-10-15T04:47:57Z</dcterms:created>
  <dcterms:modified xsi:type="dcterms:W3CDTF">2026-10-15T04:47:57Z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26 for Word</vt:lpwstr>
  </property>
  <property fmtid="{D5CDD505-2E9C-101B-9397-08002B2CF9AE}" pid="4" name="LastSaved">
    <vt:filetime>2026-10-15T00:00:00Z</vt:filetime>
  </property>
  <property fmtid="{D5CDD505-2E9C-101B-9397-08002B2CF9AE}" pid="5" name="Producer">
    <vt:lpwstr>Adobe PDF Library 26.2.141</vt:lpwstr>
  </property>
  <property fmtid="{D5CDD505-2E9C-101B-9397-08002B2CF9AE}" pid="6" name="SourceModified">
    <vt:lpwstr>D:20261014123418</vt:lpwstr>
  </property>
</Properties>
</file>