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73EE52E" w14:textId="7CEEF2C6" w:rsidR="0092646E" w:rsidRPr="00AB7C44" w:rsidRDefault="0092646E" w:rsidP="002F23C7">
      <w:pPr>
        <w:tabs>
          <w:tab w:val="left" w:pos="3870"/>
          <w:tab w:val="center" w:pos="4680"/>
        </w:tabs>
        <w:jc w:val="center"/>
        <w:rPr>
          <w:rFonts w:asciiTheme="minorHAnsi" w:hAnsiTheme="minorHAnsi" w:cstheme="minorHAnsi"/>
          <w:b/>
          <w:bCs/>
          <w:iCs/>
          <w:sz w:val="28"/>
          <w:szCs w:val="28"/>
        </w:rPr>
      </w:pPr>
      <w:r w:rsidRPr="00AB7C44">
        <w:rPr>
          <w:rFonts w:asciiTheme="minorHAnsi" w:hAnsiTheme="minorHAnsi" w:cstheme="minorHAnsi"/>
          <w:b/>
          <w:bCs/>
          <w:iCs/>
          <w:sz w:val="28"/>
          <w:szCs w:val="28"/>
        </w:rPr>
        <w:t>FY 20</w:t>
      </w:r>
      <w:r w:rsidR="00AB7C44" w:rsidRPr="00AB7C44">
        <w:rPr>
          <w:rFonts w:asciiTheme="minorHAnsi" w:hAnsiTheme="minorHAnsi" w:cstheme="minorHAnsi"/>
          <w:b/>
          <w:bCs/>
          <w:iCs/>
          <w:sz w:val="28"/>
          <w:szCs w:val="28"/>
        </w:rPr>
        <w:t>2</w:t>
      </w:r>
      <w:r w:rsidR="006C3B00">
        <w:rPr>
          <w:rFonts w:asciiTheme="minorHAnsi" w:hAnsiTheme="minorHAnsi" w:cstheme="minorHAnsi"/>
          <w:b/>
          <w:bCs/>
          <w:iCs/>
          <w:sz w:val="28"/>
          <w:szCs w:val="28"/>
        </w:rPr>
        <w:t>5</w:t>
      </w:r>
      <w:r w:rsidR="00833FB6" w:rsidRPr="00AB7C44">
        <w:rPr>
          <w:rFonts w:asciiTheme="minorHAnsi" w:hAnsiTheme="minorHAnsi" w:cstheme="minorHAnsi"/>
          <w:b/>
          <w:bCs/>
          <w:iCs/>
          <w:sz w:val="28"/>
          <w:szCs w:val="28"/>
        </w:rPr>
        <w:t xml:space="preserve"> Comprehensive</w:t>
      </w:r>
      <w:r w:rsidR="00AB7C44">
        <w:rPr>
          <w:rFonts w:asciiTheme="minorHAnsi" w:hAnsiTheme="minorHAnsi" w:cstheme="minorHAnsi"/>
          <w:b/>
          <w:bCs/>
          <w:iCs/>
          <w:sz w:val="28"/>
          <w:szCs w:val="28"/>
        </w:rPr>
        <w:t xml:space="preserve"> </w:t>
      </w:r>
      <w:r w:rsidR="00E51F18" w:rsidRPr="00AB7C44">
        <w:rPr>
          <w:rFonts w:asciiTheme="minorHAnsi" w:hAnsiTheme="minorHAnsi" w:cstheme="minorHAnsi"/>
          <w:b/>
          <w:bCs/>
          <w:sz w:val="28"/>
          <w:szCs w:val="28"/>
        </w:rPr>
        <w:t xml:space="preserve">Federal Annual Monitoring </w:t>
      </w:r>
      <w:r w:rsidRPr="00AB7C44">
        <w:rPr>
          <w:rFonts w:asciiTheme="minorHAnsi" w:hAnsiTheme="minorHAnsi" w:cstheme="minorHAnsi"/>
          <w:b/>
          <w:bCs/>
          <w:sz w:val="28"/>
          <w:szCs w:val="28"/>
        </w:rPr>
        <w:t>Evaluation (FAME) Report</w:t>
      </w:r>
    </w:p>
    <w:p w14:paraId="11C32DC7" w14:textId="77777777" w:rsidR="0092646E" w:rsidRDefault="0092646E" w:rsidP="002F23C7">
      <w:pPr>
        <w:jc w:val="center"/>
        <w:rPr>
          <w:rFonts w:asciiTheme="minorHAnsi" w:hAnsiTheme="minorHAnsi" w:cstheme="minorHAnsi"/>
          <w:b/>
          <w:sz w:val="28"/>
          <w:szCs w:val="28"/>
        </w:rPr>
      </w:pPr>
    </w:p>
    <w:p w14:paraId="17377E7D" w14:textId="77777777" w:rsidR="007E16AA" w:rsidRDefault="007E16AA" w:rsidP="002F23C7">
      <w:pPr>
        <w:jc w:val="center"/>
        <w:rPr>
          <w:rFonts w:asciiTheme="minorHAnsi" w:hAnsiTheme="minorHAnsi" w:cstheme="minorHAnsi"/>
          <w:b/>
          <w:sz w:val="28"/>
          <w:szCs w:val="28"/>
        </w:rPr>
      </w:pPr>
    </w:p>
    <w:p w14:paraId="1CE6B5A0" w14:textId="77777777" w:rsidR="007E16AA" w:rsidRPr="00AB7C44" w:rsidRDefault="007E16AA" w:rsidP="002F23C7">
      <w:pPr>
        <w:jc w:val="center"/>
        <w:rPr>
          <w:rFonts w:asciiTheme="minorHAnsi" w:hAnsiTheme="minorHAnsi" w:cstheme="minorHAnsi"/>
          <w:b/>
          <w:sz w:val="28"/>
          <w:szCs w:val="28"/>
        </w:rPr>
      </w:pPr>
    </w:p>
    <w:p w14:paraId="1BC1E53D" w14:textId="77777777" w:rsidR="006C3B00" w:rsidRDefault="006C3B00" w:rsidP="002F23C7">
      <w:pPr>
        <w:jc w:val="center"/>
        <w:rPr>
          <w:rStyle w:val="normaltextrun"/>
          <w:rFonts w:ascii="Calibri" w:hAnsi="Calibri" w:cs="Calibri"/>
          <w:b/>
          <w:bCs/>
          <w:color w:val="000000"/>
          <w:sz w:val="28"/>
          <w:szCs w:val="28"/>
        </w:rPr>
      </w:pPr>
      <w:r>
        <w:rPr>
          <w:rStyle w:val="normaltextrun"/>
          <w:rFonts w:ascii="Calibri" w:hAnsi="Calibri" w:cs="Calibri"/>
          <w:b/>
          <w:bCs/>
          <w:color w:val="000000"/>
          <w:sz w:val="28"/>
          <w:szCs w:val="28"/>
        </w:rPr>
        <w:t>State of Arizona</w:t>
      </w:r>
    </w:p>
    <w:p w14:paraId="695979FE" w14:textId="7C7E7E58" w:rsidR="0058037B" w:rsidRPr="0058037B" w:rsidRDefault="0058037B" w:rsidP="002F23C7">
      <w:pPr>
        <w:jc w:val="center"/>
        <w:rPr>
          <w:rStyle w:val="normaltextrun"/>
          <w:rFonts w:ascii="Calibri" w:hAnsi="Calibri" w:cs="Calibri"/>
          <w:b/>
          <w:bCs/>
          <w:color w:val="000000"/>
          <w:sz w:val="28"/>
          <w:szCs w:val="28"/>
        </w:rPr>
      </w:pPr>
      <w:r w:rsidRPr="0058037B">
        <w:rPr>
          <w:rStyle w:val="normaltextrun"/>
          <w:rFonts w:ascii="Calibri" w:hAnsi="Calibri" w:cs="Calibri"/>
          <w:b/>
          <w:bCs/>
          <w:color w:val="000000"/>
          <w:sz w:val="28"/>
          <w:szCs w:val="28"/>
        </w:rPr>
        <w:t>Industrial Commission of Arizona (ICA)</w:t>
      </w:r>
    </w:p>
    <w:p w14:paraId="694780EA" w14:textId="28A9F751" w:rsidR="0092646E" w:rsidRDefault="0058037B" w:rsidP="002F23C7">
      <w:pPr>
        <w:jc w:val="center"/>
        <w:rPr>
          <w:rFonts w:asciiTheme="minorHAnsi" w:hAnsiTheme="minorHAnsi" w:cstheme="minorHAnsi"/>
        </w:rPr>
      </w:pPr>
      <w:r w:rsidRPr="0058037B">
        <w:rPr>
          <w:rStyle w:val="normaltextrun"/>
          <w:rFonts w:ascii="Calibri" w:hAnsi="Calibri" w:cs="Calibri"/>
          <w:b/>
          <w:bCs/>
          <w:color w:val="000000"/>
          <w:sz w:val="28"/>
          <w:szCs w:val="28"/>
        </w:rPr>
        <w:t>Arizona Division of Occupational Safety and Health (ADOSH)</w:t>
      </w:r>
    </w:p>
    <w:p w14:paraId="5E9C3DE9" w14:textId="21B6A9DE" w:rsidR="00AB7C44" w:rsidRDefault="00AB7C44" w:rsidP="00F446BF">
      <w:pPr>
        <w:rPr>
          <w:rFonts w:asciiTheme="minorHAnsi" w:hAnsiTheme="minorHAnsi" w:cstheme="minorHAnsi"/>
          <w:bCs/>
        </w:rPr>
      </w:pPr>
    </w:p>
    <w:p w14:paraId="327DB02E" w14:textId="779F64C4" w:rsidR="0058037B" w:rsidRPr="00AB7C44" w:rsidRDefault="002F23C7" w:rsidP="00F446BF">
      <w:pPr>
        <w:rPr>
          <w:rFonts w:asciiTheme="minorHAnsi" w:hAnsiTheme="minorHAnsi" w:cstheme="minorHAnsi"/>
          <w:bCs/>
        </w:rPr>
      </w:pPr>
      <w:r>
        <w:rPr>
          <w:noProof/>
        </w:rPr>
        <w:drawing>
          <wp:anchor distT="0" distB="0" distL="114300" distR="114300" simplePos="0" relativeHeight="251658240" behindDoc="0" locked="0" layoutInCell="1" allowOverlap="1" wp14:anchorId="4006DDD5" wp14:editId="3A01FD28">
            <wp:simplePos x="0" y="0"/>
            <wp:positionH relativeFrom="margin">
              <wp:posOffset>1993900</wp:posOffset>
            </wp:positionH>
            <wp:positionV relativeFrom="paragraph">
              <wp:posOffset>41275</wp:posOffset>
            </wp:positionV>
            <wp:extent cx="1857600" cy="1828800"/>
            <wp:effectExtent l="0" t="0" r="9525" b="0"/>
            <wp:wrapNone/>
            <wp:docPr id="714477392" name="Picture 7144773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77392" name="Picture 71447739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600" cy="1828800"/>
                    </a:xfrm>
                    <a:prstGeom prst="rect">
                      <a:avLst/>
                    </a:prstGeom>
                    <a:noFill/>
                  </pic:spPr>
                </pic:pic>
              </a:graphicData>
            </a:graphic>
            <wp14:sizeRelH relativeFrom="page">
              <wp14:pctWidth>0</wp14:pctWidth>
            </wp14:sizeRelH>
            <wp14:sizeRelV relativeFrom="page">
              <wp14:pctHeight>0</wp14:pctHeight>
            </wp14:sizeRelV>
          </wp:anchor>
        </w:drawing>
      </w:r>
    </w:p>
    <w:p w14:paraId="5E7ED0EF" w14:textId="21F9AB67" w:rsidR="00414C35" w:rsidRDefault="00414C35" w:rsidP="00F446BF">
      <w:pPr>
        <w:rPr>
          <w:noProof/>
        </w:rPr>
      </w:pPr>
    </w:p>
    <w:p w14:paraId="380E87F6" w14:textId="4B60CD91" w:rsidR="00414C35" w:rsidRDefault="00414C35" w:rsidP="00F446BF">
      <w:pPr>
        <w:rPr>
          <w:noProof/>
        </w:rPr>
      </w:pPr>
    </w:p>
    <w:p w14:paraId="54473294" w14:textId="43766A27" w:rsidR="00414C35" w:rsidRDefault="00414C35" w:rsidP="00F446BF">
      <w:pPr>
        <w:rPr>
          <w:noProof/>
        </w:rPr>
      </w:pPr>
    </w:p>
    <w:p w14:paraId="35FC7EDC" w14:textId="77777777" w:rsidR="00414C35" w:rsidRDefault="00414C35" w:rsidP="00F446BF">
      <w:pPr>
        <w:rPr>
          <w:noProof/>
        </w:rPr>
      </w:pPr>
    </w:p>
    <w:p w14:paraId="12039497" w14:textId="77777777" w:rsidR="00414C35" w:rsidRDefault="00414C35" w:rsidP="00F446BF">
      <w:pPr>
        <w:rPr>
          <w:noProof/>
        </w:rPr>
      </w:pPr>
    </w:p>
    <w:p w14:paraId="6AFE8099" w14:textId="77777777" w:rsidR="00414C35" w:rsidRDefault="00414C35" w:rsidP="00AB7C44">
      <w:pPr>
        <w:rPr>
          <w:noProof/>
        </w:rPr>
      </w:pPr>
    </w:p>
    <w:p w14:paraId="47024D35" w14:textId="77777777" w:rsidR="00414C35" w:rsidRDefault="00414C35" w:rsidP="00AB7C44">
      <w:pPr>
        <w:rPr>
          <w:noProof/>
        </w:rPr>
      </w:pPr>
    </w:p>
    <w:p w14:paraId="43EFA533" w14:textId="2E681BC8" w:rsidR="0092646E" w:rsidRDefault="00AB7C44" w:rsidP="00AB7C44">
      <w:pPr>
        <w:rPr>
          <w:rFonts w:asciiTheme="minorHAnsi" w:hAnsiTheme="minorHAnsi" w:cstheme="minorHAnsi"/>
          <w:bCs/>
        </w:rPr>
      </w:pPr>
      <w:r>
        <w:rPr>
          <w:rFonts w:ascii="Calibri" w:hAnsi="Calibri" w:cs="Calibri"/>
          <w:color w:val="000000"/>
          <w:shd w:val="clear" w:color="auto" w:fill="FFFFFF"/>
        </w:rPr>
        <w:br/>
      </w:r>
    </w:p>
    <w:p w14:paraId="394348D4" w14:textId="77777777" w:rsidR="00AB7C44" w:rsidRPr="00AB7C44" w:rsidRDefault="00AB7C44" w:rsidP="00AB7C44">
      <w:pPr>
        <w:rPr>
          <w:rFonts w:asciiTheme="minorHAnsi" w:hAnsiTheme="minorHAnsi" w:cstheme="minorHAnsi"/>
          <w:bCs/>
        </w:rPr>
      </w:pPr>
    </w:p>
    <w:p w14:paraId="7FCA6517" w14:textId="6AA581F1" w:rsidR="0092646E" w:rsidRPr="00AB7C44" w:rsidRDefault="0092646E" w:rsidP="002F23C7">
      <w:pPr>
        <w:tabs>
          <w:tab w:val="left" w:pos="720"/>
          <w:tab w:val="left" w:pos="1440"/>
          <w:tab w:val="left" w:pos="2160"/>
        </w:tabs>
        <w:jc w:val="center"/>
        <w:rPr>
          <w:rFonts w:asciiTheme="minorHAnsi" w:eastAsia="Batang" w:hAnsiTheme="minorHAnsi" w:cstheme="minorHAnsi"/>
          <w:b/>
          <w:sz w:val="28"/>
          <w:szCs w:val="28"/>
        </w:rPr>
      </w:pPr>
      <w:r w:rsidRPr="00AB7C44">
        <w:rPr>
          <w:rFonts w:asciiTheme="minorHAnsi" w:eastAsia="Batang" w:hAnsiTheme="minorHAnsi" w:cstheme="minorHAnsi"/>
          <w:b/>
          <w:sz w:val="28"/>
          <w:szCs w:val="28"/>
        </w:rPr>
        <w:t>Evaluation Period: October 1, 20</w:t>
      </w:r>
      <w:r w:rsidR="00AB7C44">
        <w:rPr>
          <w:rFonts w:asciiTheme="minorHAnsi" w:eastAsia="Batang" w:hAnsiTheme="minorHAnsi" w:cstheme="minorHAnsi"/>
          <w:b/>
          <w:sz w:val="28"/>
          <w:szCs w:val="28"/>
        </w:rPr>
        <w:t>2</w:t>
      </w:r>
      <w:r w:rsidR="006C3B00">
        <w:rPr>
          <w:rFonts w:asciiTheme="minorHAnsi" w:eastAsia="Batang" w:hAnsiTheme="minorHAnsi" w:cstheme="minorHAnsi"/>
          <w:b/>
          <w:sz w:val="28"/>
          <w:szCs w:val="28"/>
        </w:rPr>
        <w:t>4</w:t>
      </w:r>
      <w:r w:rsidRPr="00AB7C44">
        <w:rPr>
          <w:rFonts w:asciiTheme="minorHAnsi" w:eastAsia="Batang" w:hAnsiTheme="minorHAnsi" w:cstheme="minorHAnsi"/>
          <w:b/>
          <w:sz w:val="28"/>
          <w:szCs w:val="28"/>
        </w:rPr>
        <w:t xml:space="preserve"> – September 30, 20</w:t>
      </w:r>
      <w:r w:rsidR="00AB7C44">
        <w:rPr>
          <w:rFonts w:asciiTheme="minorHAnsi" w:eastAsia="Batang" w:hAnsiTheme="minorHAnsi" w:cstheme="minorHAnsi"/>
          <w:b/>
          <w:sz w:val="28"/>
          <w:szCs w:val="28"/>
        </w:rPr>
        <w:t>2</w:t>
      </w:r>
      <w:r w:rsidR="006C3B00">
        <w:rPr>
          <w:rFonts w:asciiTheme="minorHAnsi" w:eastAsia="Batang" w:hAnsiTheme="minorHAnsi" w:cstheme="minorHAnsi"/>
          <w:b/>
          <w:sz w:val="28"/>
          <w:szCs w:val="28"/>
        </w:rPr>
        <w:t>5</w:t>
      </w:r>
    </w:p>
    <w:p w14:paraId="12952476" w14:textId="77777777" w:rsidR="0092646E" w:rsidRPr="00AB7C44" w:rsidRDefault="0092646E" w:rsidP="002F23C7">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sz w:val="28"/>
          <w:szCs w:val="28"/>
        </w:rPr>
      </w:pPr>
    </w:p>
    <w:p w14:paraId="7CA19D8B" w14:textId="0D93AEFF" w:rsidR="0058037B" w:rsidRPr="0058037B" w:rsidRDefault="0058037B" w:rsidP="002F23C7">
      <w:pPr>
        <w:jc w:val="center"/>
        <w:rPr>
          <w:rFonts w:asciiTheme="minorHAnsi" w:hAnsiTheme="minorHAnsi" w:cstheme="minorHAnsi"/>
          <w:b/>
          <w:bCs/>
        </w:rPr>
      </w:pPr>
      <w:r w:rsidRPr="0058037B">
        <w:rPr>
          <w:rFonts w:asciiTheme="minorHAnsi" w:hAnsiTheme="minorHAnsi" w:cstheme="minorHAnsi"/>
          <w:b/>
          <w:bCs/>
        </w:rPr>
        <w:t>Initial Approval Date: November 5, 1974</w:t>
      </w:r>
    </w:p>
    <w:p w14:paraId="5F25E531" w14:textId="10D9C628" w:rsidR="0058037B" w:rsidRPr="0058037B" w:rsidRDefault="0058037B" w:rsidP="002F23C7">
      <w:pPr>
        <w:jc w:val="center"/>
        <w:rPr>
          <w:rFonts w:asciiTheme="minorHAnsi" w:hAnsiTheme="minorHAnsi" w:cstheme="minorHAnsi"/>
          <w:b/>
          <w:bCs/>
        </w:rPr>
      </w:pPr>
      <w:r w:rsidRPr="0058037B">
        <w:rPr>
          <w:rFonts w:asciiTheme="minorHAnsi" w:hAnsiTheme="minorHAnsi" w:cstheme="minorHAnsi"/>
          <w:b/>
          <w:bCs/>
        </w:rPr>
        <w:t>Program Certification Date: September 18, 1981</w:t>
      </w:r>
    </w:p>
    <w:p w14:paraId="21B7C31C" w14:textId="7AC28485" w:rsidR="0092646E" w:rsidRPr="00AB7C44" w:rsidRDefault="0058037B" w:rsidP="002F23C7">
      <w:pPr>
        <w:jc w:val="center"/>
        <w:rPr>
          <w:rFonts w:asciiTheme="minorHAnsi" w:hAnsiTheme="minorHAnsi" w:cstheme="minorHAnsi"/>
          <w:iCs/>
        </w:rPr>
      </w:pPr>
      <w:r w:rsidRPr="0058037B">
        <w:rPr>
          <w:rFonts w:asciiTheme="minorHAnsi" w:hAnsiTheme="minorHAnsi" w:cstheme="minorHAnsi"/>
          <w:b/>
          <w:bCs/>
        </w:rPr>
        <w:t>Final Approval Date: June 20, 1985</w:t>
      </w:r>
    </w:p>
    <w:p w14:paraId="21C4C1AC" w14:textId="77777777" w:rsidR="0092646E" w:rsidRDefault="0092646E" w:rsidP="002F23C7">
      <w:pPr>
        <w:jc w:val="center"/>
        <w:rPr>
          <w:rFonts w:asciiTheme="minorHAnsi" w:hAnsiTheme="minorHAnsi" w:cstheme="minorHAnsi"/>
          <w:iCs/>
        </w:rPr>
      </w:pPr>
    </w:p>
    <w:p w14:paraId="1DBD2644" w14:textId="77777777" w:rsidR="0058037B" w:rsidRPr="00AB7C44" w:rsidRDefault="0058037B" w:rsidP="00F446BF">
      <w:pPr>
        <w:rPr>
          <w:rFonts w:asciiTheme="minorHAnsi" w:hAnsiTheme="minorHAnsi" w:cstheme="minorHAnsi"/>
          <w:iCs/>
        </w:rPr>
      </w:pPr>
    </w:p>
    <w:p w14:paraId="301A8573" w14:textId="77777777" w:rsidR="00AB7C44" w:rsidRPr="00AB7C44" w:rsidRDefault="00AB7C44" w:rsidP="002F23C7">
      <w:pPr>
        <w:jc w:val="center"/>
        <w:rPr>
          <w:rFonts w:asciiTheme="minorHAnsi" w:hAnsiTheme="minorHAnsi" w:cstheme="minorHAnsi"/>
          <w:b/>
        </w:rPr>
      </w:pPr>
      <w:r w:rsidRPr="00AB7C44">
        <w:rPr>
          <w:rFonts w:asciiTheme="minorHAnsi" w:hAnsiTheme="minorHAnsi" w:cstheme="minorHAnsi"/>
          <w:b/>
        </w:rPr>
        <w:t>Prepared by:</w:t>
      </w:r>
    </w:p>
    <w:p w14:paraId="047E6A11" w14:textId="77777777" w:rsidR="00AB7C44" w:rsidRPr="00AB7C44" w:rsidRDefault="00AB7C44" w:rsidP="002F23C7">
      <w:pPr>
        <w:jc w:val="center"/>
        <w:rPr>
          <w:rFonts w:asciiTheme="minorHAnsi" w:hAnsiTheme="minorHAnsi" w:cstheme="minorHAnsi"/>
          <w:b/>
        </w:rPr>
      </w:pPr>
      <w:r w:rsidRPr="00AB7C44">
        <w:rPr>
          <w:rFonts w:asciiTheme="minorHAnsi" w:hAnsiTheme="minorHAnsi" w:cstheme="minorHAnsi"/>
          <w:b/>
        </w:rPr>
        <w:t>U. S. Department of Labor</w:t>
      </w:r>
    </w:p>
    <w:p w14:paraId="00B7C720" w14:textId="77777777" w:rsidR="00AB7C44" w:rsidRPr="00AB7C44" w:rsidRDefault="00AB7C44" w:rsidP="002F23C7">
      <w:pPr>
        <w:jc w:val="center"/>
        <w:rPr>
          <w:rFonts w:asciiTheme="minorHAnsi" w:hAnsiTheme="minorHAnsi" w:cstheme="minorHAnsi"/>
          <w:b/>
        </w:rPr>
      </w:pPr>
      <w:r w:rsidRPr="00AB7C44">
        <w:rPr>
          <w:rFonts w:asciiTheme="minorHAnsi" w:hAnsiTheme="minorHAnsi" w:cstheme="minorHAnsi"/>
          <w:b/>
        </w:rPr>
        <w:t>Occupational Safety and Health Administration</w:t>
      </w:r>
    </w:p>
    <w:p w14:paraId="409B5484" w14:textId="0454399E" w:rsidR="0092646E" w:rsidRDefault="006C3B00" w:rsidP="002F23C7">
      <w:pPr>
        <w:jc w:val="center"/>
        <w:rPr>
          <w:rFonts w:asciiTheme="minorHAnsi" w:hAnsiTheme="minorHAnsi" w:cstheme="minorHAnsi"/>
          <w:b/>
        </w:rPr>
      </w:pPr>
      <w:r>
        <w:rPr>
          <w:rFonts w:asciiTheme="minorHAnsi" w:hAnsiTheme="minorHAnsi" w:cstheme="minorHAnsi"/>
          <w:b/>
        </w:rPr>
        <w:t>San Francisco Region</w:t>
      </w:r>
    </w:p>
    <w:p w14:paraId="792017EF" w14:textId="6E06AF66" w:rsidR="006C3B00" w:rsidRDefault="006C3B00" w:rsidP="002F23C7">
      <w:pPr>
        <w:jc w:val="center"/>
        <w:rPr>
          <w:rFonts w:asciiTheme="minorHAnsi" w:hAnsiTheme="minorHAnsi" w:cstheme="minorHAnsi"/>
          <w:b/>
        </w:rPr>
      </w:pPr>
      <w:r>
        <w:rPr>
          <w:rFonts w:asciiTheme="minorHAnsi" w:hAnsiTheme="minorHAnsi" w:cstheme="minorHAnsi"/>
          <w:b/>
        </w:rPr>
        <w:t>San Francisco, California</w:t>
      </w:r>
    </w:p>
    <w:p w14:paraId="523FBE49" w14:textId="77777777" w:rsidR="0058037B" w:rsidRDefault="0058037B" w:rsidP="0058037B">
      <w:pPr>
        <w:rPr>
          <w:rFonts w:asciiTheme="minorHAnsi" w:hAnsiTheme="minorHAnsi" w:cstheme="minorHAnsi"/>
          <w:b/>
        </w:rPr>
      </w:pPr>
    </w:p>
    <w:p w14:paraId="5EF93782" w14:textId="77777777" w:rsidR="0058037B" w:rsidRDefault="0058037B" w:rsidP="0058037B">
      <w:pPr>
        <w:rPr>
          <w:rFonts w:asciiTheme="minorHAnsi" w:hAnsiTheme="minorHAnsi" w:cstheme="minorHAnsi"/>
          <w:b/>
        </w:rPr>
      </w:pPr>
    </w:p>
    <w:p w14:paraId="1ED5CFAB" w14:textId="77777777" w:rsidR="00826F6E" w:rsidRDefault="00826F6E" w:rsidP="0058037B">
      <w:pPr>
        <w:rPr>
          <w:rFonts w:asciiTheme="minorHAnsi" w:hAnsiTheme="minorHAnsi" w:cstheme="minorHAnsi"/>
          <w:b/>
        </w:rPr>
      </w:pPr>
    </w:p>
    <w:p w14:paraId="4EC02F84" w14:textId="2B850207" w:rsidR="00826F6E" w:rsidRDefault="00826F6E" w:rsidP="002F23C7">
      <w:pPr>
        <w:jc w:val="center"/>
        <w:rPr>
          <w:rFonts w:asciiTheme="minorHAnsi" w:hAnsiTheme="minorHAnsi" w:cstheme="minorHAnsi"/>
          <w:b/>
        </w:rPr>
      </w:pPr>
      <w:r w:rsidRPr="00AB7C44">
        <w:rPr>
          <w:rFonts w:asciiTheme="minorHAnsi" w:hAnsiTheme="minorHAnsi" w:cstheme="minorHAnsi"/>
          <w:noProof/>
        </w:rPr>
        <w:drawing>
          <wp:inline distT="0" distB="0" distL="0" distR="0" wp14:anchorId="28ABA39B" wp14:editId="5BB03BB6">
            <wp:extent cx="1581150" cy="1009650"/>
            <wp:effectExtent l="0" t="0" r="0" b="0"/>
            <wp:docPr id="1621644790" name="Picture 1621644790"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580E50" w14:textId="77777777" w:rsidR="00826F6E" w:rsidRDefault="00826F6E" w:rsidP="0058037B">
      <w:pPr>
        <w:rPr>
          <w:rFonts w:asciiTheme="minorHAnsi" w:hAnsiTheme="minorHAnsi" w:cstheme="minorHAnsi"/>
          <w:b/>
        </w:rPr>
      </w:pPr>
    </w:p>
    <w:p w14:paraId="3B0A56DC" w14:textId="77777777" w:rsidR="00826F6E" w:rsidRDefault="00826F6E" w:rsidP="0058037B">
      <w:pPr>
        <w:rPr>
          <w:rFonts w:asciiTheme="minorHAnsi" w:hAnsiTheme="minorHAnsi" w:cstheme="minorHAnsi"/>
          <w:b/>
        </w:rPr>
      </w:pPr>
    </w:p>
    <w:p w14:paraId="754E5476" w14:textId="77777777" w:rsidR="00414C35" w:rsidRPr="00AB7C44" w:rsidRDefault="00414C35" w:rsidP="002F23C7">
      <w:pPr>
        <w:jc w:val="center"/>
        <w:rPr>
          <w:rFonts w:asciiTheme="minorHAnsi" w:hAnsiTheme="minorHAnsi" w:cstheme="minorHAnsi"/>
        </w:rPr>
      </w:pPr>
    </w:p>
    <w:sdt>
      <w:sdtPr>
        <w:rPr>
          <w:rFonts w:asciiTheme="minorHAnsi" w:hAnsiTheme="minorHAnsi" w:cstheme="minorBidi"/>
          <w:b w:val="0"/>
          <w:bCs w:val="0"/>
          <w:color w:val="auto"/>
          <w:sz w:val="24"/>
          <w:szCs w:val="24"/>
          <w:lang w:eastAsia="en-US"/>
        </w:rPr>
        <w:id w:val="223186090"/>
        <w:docPartObj>
          <w:docPartGallery w:val="Table of Contents"/>
          <w:docPartUnique/>
        </w:docPartObj>
      </w:sdtPr>
      <w:sdtEndPr/>
      <w:sdtContent>
        <w:p w14:paraId="534CFEA6" w14:textId="4C557CEF" w:rsidR="00C40C64" w:rsidRPr="0074719B" w:rsidRDefault="00C40C64" w:rsidP="002F23C7">
          <w:pPr>
            <w:pStyle w:val="TOCHeading"/>
            <w:jc w:val="center"/>
            <w:rPr>
              <w:rFonts w:asciiTheme="minorHAnsi" w:hAnsiTheme="minorHAnsi" w:cstheme="minorHAnsi"/>
              <w:color w:val="auto"/>
            </w:rPr>
          </w:pPr>
          <w:r w:rsidRPr="0074719B">
            <w:rPr>
              <w:rFonts w:asciiTheme="minorHAnsi" w:hAnsiTheme="minorHAnsi" w:cstheme="minorHAnsi"/>
              <w:color w:val="auto"/>
            </w:rPr>
            <w:t>Table of Contents</w:t>
          </w:r>
        </w:p>
        <w:p w14:paraId="0D8424BE" w14:textId="6509891C" w:rsidR="0000655A" w:rsidRDefault="00AF3068" w:rsidP="002F23C7">
          <w:pPr>
            <w:pStyle w:val="TOC2"/>
            <w:tabs>
              <w:tab w:val="left" w:pos="720"/>
              <w:tab w:val="right" w:leader="dot" w:pos="9530"/>
            </w:tabs>
            <w:spacing w:before="0"/>
            <w:jc w:val="center"/>
          </w:pPr>
          <w:r w:rsidRPr="0000655A">
            <w:rPr>
              <w:i w:val="0"/>
              <w:iCs w:val="0"/>
              <w:sz w:val="24"/>
              <w:szCs w:val="24"/>
            </w:rPr>
            <w:fldChar w:fldCharType="begin"/>
          </w:r>
          <w:r w:rsidRPr="0000655A">
            <w:rPr>
              <w:i w:val="0"/>
              <w:iCs w:val="0"/>
              <w:sz w:val="24"/>
              <w:szCs w:val="24"/>
            </w:rPr>
            <w:instrText xml:space="preserve"> TOC \o "1-4" \h \z \u </w:instrText>
          </w:r>
          <w:r w:rsidRPr="0000655A">
            <w:rPr>
              <w:i w:val="0"/>
              <w:iCs w:val="0"/>
              <w:sz w:val="24"/>
              <w:szCs w:val="24"/>
            </w:rPr>
            <w:fldChar w:fldCharType="separate"/>
          </w:r>
          <w:hyperlink w:anchor="_Toc225327050" w:history="1">
            <w:r w:rsidR="0000655A" w:rsidRPr="001E7CF8">
              <w:rPr>
                <w:rStyle w:val="Hyperlink"/>
                <w:i w:val="0"/>
                <w:iCs w:val="0"/>
                <w:noProof/>
                <w:sz w:val="24"/>
                <w:szCs w:val="24"/>
              </w:rPr>
              <w:t>I.</w:t>
            </w:r>
            <w:r w:rsidR="0000655A" w:rsidRPr="00826F6E">
              <w:rPr>
                <w:rFonts w:eastAsiaTheme="minorEastAsia" w:cstheme="minorBidi"/>
                <w:i w:val="0"/>
                <w:iCs w:val="0"/>
                <w:noProof/>
                <w:kern w:val="2"/>
                <w:sz w:val="24"/>
                <w:szCs w:val="24"/>
                <w14:ligatures w14:val="standardContextual"/>
              </w:rPr>
              <w:tab/>
            </w:r>
            <w:r w:rsidR="0000655A" w:rsidRPr="001E7CF8">
              <w:rPr>
                <w:rStyle w:val="Hyperlink"/>
                <w:i w:val="0"/>
                <w:iCs w:val="0"/>
                <w:noProof/>
                <w:sz w:val="24"/>
                <w:szCs w:val="24"/>
              </w:rPr>
              <w:t>Executive Summary</w:t>
            </w:r>
            <w:r w:rsidR="0000655A" w:rsidRPr="001E7CF8">
              <w:rPr>
                <w:i w:val="0"/>
                <w:iCs w:val="0"/>
                <w:noProof/>
                <w:webHidden/>
                <w:sz w:val="24"/>
                <w:szCs w:val="24"/>
              </w:rPr>
              <w:tab/>
            </w:r>
            <w:r w:rsidR="0000655A" w:rsidRPr="001E7CF8">
              <w:rPr>
                <w:i w:val="0"/>
                <w:iCs w:val="0"/>
                <w:noProof/>
                <w:webHidden/>
                <w:sz w:val="24"/>
                <w:szCs w:val="24"/>
              </w:rPr>
              <w:fldChar w:fldCharType="begin"/>
            </w:r>
            <w:r w:rsidR="0000655A" w:rsidRPr="001E7CF8">
              <w:rPr>
                <w:i w:val="0"/>
                <w:iCs w:val="0"/>
                <w:noProof/>
                <w:webHidden/>
                <w:sz w:val="24"/>
                <w:szCs w:val="24"/>
              </w:rPr>
              <w:instrText xml:space="preserve"> PAGEREF _Toc225327050 \h </w:instrText>
            </w:r>
            <w:r w:rsidR="0000655A" w:rsidRPr="001E7CF8">
              <w:rPr>
                <w:i w:val="0"/>
                <w:iCs w:val="0"/>
                <w:noProof/>
                <w:webHidden/>
                <w:sz w:val="24"/>
                <w:szCs w:val="24"/>
              </w:rPr>
            </w:r>
            <w:r w:rsidR="0000655A" w:rsidRPr="001E7CF8">
              <w:rPr>
                <w:i w:val="0"/>
                <w:iCs w:val="0"/>
                <w:noProof/>
                <w:webHidden/>
                <w:sz w:val="24"/>
                <w:szCs w:val="24"/>
              </w:rPr>
              <w:fldChar w:fldCharType="separate"/>
            </w:r>
            <w:r w:rsidR="002F3168">
              <w:rPr>
                <w:i w:val="0"/>
                <w:iCs w:val="0"/>
                <w:noProof/>
                <w:webHidden/>
                <w:sz w:val="24"/>
                <w:szCs w:val="24"/>
              </w:rPr>
              <w:t>3</w:t>
            </w:r>
            <w:r w:rsidR="0000655A" w:rsidRPr="001E7CF8">
              <w:rPr>
                <w:i w:val="0"/>
                <w:iCs w:val="0"/>
                <w:noProof/>
                <w:webHidden/>
                <w:sz w:val="24"/>
                <w:szCs w:val="24"/>
              </w:rPr>
              <w:fldChar w:fldCharType="end"/>
            </w:r>
          </w:hyperlink>
        </w:p>
        <w:p w14:paraId="7FFA31BA" w14:textId="77777777" w:rsidR="004D45C9" w:rsidRPr="004D45C9" w:rsidRDefault="004D45C9" w:rsidP="004D45C9"/>
        <w:p w14:paraId="218251F6" w14:textId="3353484F" w:rsidR="0000655A" w:rsidRPr="00826F6E" w:rsidRDefault="0000655A" w:rsidP="002F23C7">
          <w:pPr>
            <w:pStyle w:val="TOC2"/>
            <w:tabs>
              <w:tab w:val="left" w:pos="720"/>
              <w:tab w:val="right" w:leader="dot" w:pos="9530"/>
            </w:tabs>
            <w:spacing w:before="0"/>
            <w:jc w:val="center"/>
            <w:rPr>
              <w:rFonts w:eastAsiaTheme="minorEastAsia" w:cstheme="minorBidi"/>
              <w:i w:val="0"/>
              <w:iCs w:val="0"/>
              <w:noProof/>
              <w:kern w:val="2"/>
              <w:sz w:val="24"/>
              <w:szCs w:val="24"/>
              <w14:ligatures w14:val="standardContextual"/>
            </w:rPr>
          </w:pPr>
          <w:hyperlink w:anchor="_Toc225327051" w:history="1">
            <w:r w:rsidRPr="001E7CF8">
              <w:rPr>
                <w:rStyle w:val="Hyperlink"/>
                <w:i w:val="0"/>
                <w:iCs w:val="0"/>
                <w:noProof/>
                <w:sz w:val="24"/>
                <w:szCs w:val="24"/>
              </w:rPr>
              <w:t>II.</w:t>
            </w:r>
            <w:r w:rsidRPr="00826F6E">
              <w:rPr>
                <w:rFonts w:eastAsiaTheme="minorEastAsia" w:cstheme="minorBidi"/>
                <w:i w:val="0"/>
                <w:iCs w:val="0"/>
                <w:noProof/>
                <w:kern w:val="2"/>
                <w:sz w:val="24"/>
                <w:szCs w:val="24"/>
                <w14:ligatures w14:val="standardContextual"/>
              </w:rPr>
              <w:tab/>
            </w:r>
            <w:r w:rsidRPr="001E7CF8">
              <w:rPr>
                <w:rStyle w:val="Hyperlink"/>
                <w:i w:val="0"/>
                <w:iCs w:val="0"/>
                <w:noProof/>
                <w:sz w:val="24"/>
                <w:szCs w:val="24"/>
              </w:rPr>
              <w:t>State Plan Background</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_Toc225327051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3</w:t>
            </w:r>
            <w:r w:rsidRPr="001E7CF8">
              <w:rPr>
                <w:i w:val="0"/>
                <w:iCs w:val="0"/>
                <w:noProof/>
                <w:webHidden/>
                <w:sz w:val="24"/>
                <w:szCs w:val="24"/>
              </w:rPr>
              <w:fldChar w:fldCharType="end"/>
            </w:r>
          </w:hyperlink>
        </w:p>
        <w:p w14:paraId="1F8F020B" w14:textId="7085FC94" w:rsidR="0000655A" w:rsidRPr="00826F6E" w:rsidRDefault="0000655A" w:rsidP="002F23C7">
          <w:pPr>
            <w:pStyle w:val="TOC3"/>
            <w:jc w:val="center"/>
            <w:rPr>
              <w:rFonts w:asciiTheme="minorHAnsi" w:eastAsiaTheme="minorEastAsia" w:hAnsiTheme="minorHAnsi" w:cstheme="minorBidi"/>
              <w:i w:val="0"/>
              <w:iCs w:val="0"/>
              <w:noProof/>
              <w:kern w:val="2"/>
              <w:sz w:val="24"/>
              <w:szCs w:val="24"/>
              <w14:ligatures w14:val="standardContextual"/>
            </w:rPr>
          </w:pPr>
          <w:hyperlink w:anchor="_Toc225327052" w:history="1">
            <w:r w:rsidRPr="001E7CF8">
              <w:rPr>
                <w:rStyle w:val="Hyperlink"/>
                <w:rFonts w:cstheme="minorHAnsi"/>
                <w:i w:val="0"/>
                <w:iCs w:val="0"/>
                <w:noProof/>
                <w:sz w:val="24"/>
                <w:szCs w:val="24"/>
              </w:rPr>
              <w:t>A.</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rFonts w:cstheme="minorHAnsi"/>
                <w:i w:val="0"/>
                <w:iCs w:val="0"/>
                <w:noProof/>
                <w:sz w:val="24"/>
                <w:szCs w:val="24"/>
              </w:rPr>
              <w:t>Background</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_Toc225327052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3</w:t>
            </w:r>
            <w:r w:rsidRPr="001E7CF8">
              <w:rPr>
                <w:i w:val="0"/>
                <w:iCs w:val="0"/>
                <w:noProof/>
                <w:webHidden/>
                <w:sz w:val="24"/>
                <w:szCs w:val="24"/>
              </w:rPr>
              <w:fldChar w:fldCharType="end"/>
            </w:r>
          </w:hyperlink>
        </w:p>
        <w:p w14:paraId="4C4E11E6" w14:textId="682EDDAA" w:rsidR="0000655A" w:rsidRDefault="0000655A" w:rsidP="002F23C7">
          <w:pPr>
            <w:pStyle w:val="TOC3"/>
            <w:jc w:val="center"/>
          </w:pPr>
          <w:hyperlink w:anchor="_Toc225327053" w:history="1">
            <w:r w:rsidRPr="001E7CF8">
              <w:rPr>
                <w:rStyle w:val="Hyperlink"/>
                <w:i w:val="0"/>
                <w:iCs w:val="0"/>
                <w:noProof/>
                <w:sz w:val="24"/>
                <w:szCs w:val="24"/>
              </w:rPr>
              <w:t>B.</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New Issues</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_Toc225327053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5</w:t>
            </w:r>
            <w:r w:rsidRPr="001E7CF8">
              <w:rPr>
                <w:i w:val="0"/>
                <w:iCs w:val="0"/>
                <w:noProof/>
                <w:webHidden/>
                <w:sz w:val="24"/>
                <w:szCs w:val="24"/>
              </w:rPr>
              <w:fldChar w:fldCharType="end"/>
            </w:r>
          </w:hyperlink>
        </w:p>
        <w:p w14:paraId="47BE5C14" w14:textId="77777777" w:rsidR="004D45C9" w:rsidRPr="004D45C9" w:rsidRDefault="004D45C9" w:rsidP="004D45C9"/>
        <w:p w14:paraId="6A117D58" w14:textId="2F3085B5" w:rsidR="0000655A" w:rsidRPr="00826F6E" w:rsidRDefault="0000655A" w:rsidP="002F23C7">
          <w:pPr>
            <w:pStyle w:val="TOC2"/>
            <w:tabs>
              <w:tab w:val="left" w:pos="720"/>
              <w:tab w:val="right" w:leader="dot" w:pos="9530"/>
            </w:tabs>
            <w:spacing w:before="0"/>
            <w:jc w:val="center"/>
            <w:rPr>
              <w:rFonts w:eastAsiaTheme="minorEastAsia" w:cstheme="minorBidi"/>
              <w:i w:val="0"/>
              <w:iCs w:val="0"/>
              <w:noProof/>
              <w:kern w:val="2"/>
              <w:sz w:val="24"/>
              <w:szCs w:val="24"/>
              <w14:ligatures w14:val="standardContextual"/>
            </w:rPr>
          </w:pPr>
          <w:hyperlink w:anchor="_Toc225327054" w:history="1">
            <w:r w:rsidRPr="001E7CF8">
              <w:rPr>
                <w:rStyle w:val="Hyperlink"/>
                <w:i w:val="0"/>
                <w:iCs w:val="0"/>
                <w:noProof/>
                <w:sz w:val="24"/>
                <w:szCs w:val="24"/>
              </w:rPr>
              <w:t>III.</w:t>
            </w:r>
            <w:r w:rsidRPr="00826F6E">
              <w:rPr>
                <w:rFonts w:eastAsiaTheme="minorEastAsia" w:cstheme="minorBidi"/>
                <w:i w:val="0"/>
                <w:iCs w:val="0"/>
                <w:noProof/>
                <w:kern w:val="2"/>
                <w:sz w:val="24"/>
                <w:szCs w:val="24"/>
                <w14:ligatures w14:val="standardContextual"/>
              </w:rPr>
              <w:tab/>
            </w:r>
            <w:r w:rsidRPr="001E7CF8">
              <w:rPr>
                <w:rStyle w:val="Hyperlink"/>
                <w:i w:val="0"/>
                <w:iCs w:val="0"/>
                <w:noProof/>
                <w:sz w:val="24"/>
                <w:szCs w:val="24"/>
              </w:rPr>
              <w:t>Assessment of State Plan Progress and Performance</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_Toc225327054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5</w:t>
            </w:r>
            <w:r w:rsidRPr="001E7CF8">
              <w:rPr>
                <w:i w:val="0"/>
                <w:iCs w:val="0"/>
                <w:noProof/>
                <w:webHidden/>
                <w:sz w:val="24"/>
                <w:szCs w:val="24"/>
              </w:rPr>
              <w:fldChar w:fldCharType="end"/>
            </w:r>
          </w:hyperlink>
        </w:p>
        <w:p w14:paraId="3C027C2D" w14:textId="2799B274" w:rsidR="0000655A" w:rsidRPr="00826F6E" w:rsidRDefault="0000655A" w:rsidP="002F23C7">
          <w:pPr>
            <w:pStyle w:val="TOC3"/>
            <w:jc w:val="center"/>
            <w:rPr>
              <w:rFonts w:asciiTheme="minorHAnsi" w:eastAsiaTheme="minorEastAsia" w:hAnsiTheme="minorHAnsi" w:cstheme="minorBidi"/>
              <w:i w:val="0"/>
              <w:iCs w:val="0"/>
              <w:noProof/>
              <w:kern w:val="2"/>
              <w:sz w:val="24"/>
              <w:szCs w:val="24"/>
              <w14:ligatures w14:val="standardContextual"/>
            </w:rPr>
          </w:pPr>
          <w:hyperlink w:anchor="_Toc225327055" w:history="1">
            <w:r w:rsidRPr="001E7CF8">
              <w:rPr>
                <w:rStyle w:val="Hyperlink"/>
                <w:rFonts w:cstheme="minorHAnsi"/>
                <w:i w:val="0"/>
                <w:iCs w:val="0"/>
                <w:noProof/>
                <w:sz w:val="24"/>
                <w:szCs w:val="24"/>
              </w:rPr>
              <w:t>A.</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Data</w:t>
            </w:r>
            <w:r w:rsidRPr="001E7CF8">
              <w:rPr>
                <w:rStyle w:val="Hyperlink"/>
                <w:rFonts w:cstheme="minorHAnsi"/>
                <w:i w:val="0"/>
                <w:iCs w:val="0"/>
                <w:noProof/>
                <w:sz w:val="24"/>
                <w:szCs w:val="24"/>
              </w:rPr>
              <w:t xml:space="preserve"> and Methodology</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_Toc225327055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5</w:t>
            </w:r>
            <w:r w:rsidRPr="001E7CF8">
              <w:rPr>
                <w:i w:val="0"/>
                <w:iCs w:val="0"/>
                <w:noProof/>
                <w:webHidden/>
                <w:sz w:val="24"/>
                <w:szCs w:val="24"/>
              </w:rPr>
              <w:fldChar w:fldCharType="end"/>
            </w:r>
          </w:hyperlink>
        </w:p>
        <w:p w14:paraId="466290B5" w14:textId="58B98EF5" w:rsidR="0000655A" w:rsidRPr="00826F6E" w:rsidRDefault="0000655A" w:rsidP="002F23C7">
          <w:pPr>
            <w:pStyle w:val="TOC3"/>
            <w:jc w:val="center"/>
            <w:rPr>
              <w:rFonts w:asciiTheme="minorHAnsi" w:eastAsiaTheme="minorEastAsia" w:hAnsiTheme="minorHAnsi" w:cstheme="minorBidi"/>
              <w:i w:val="0"/>
              <w:iCs w:val="0"/>
              <w:noProof/>
              <w:kern w:val="2"/>
              <w:sz w:val="24"/>
              <w:szCs w:val="24"/>
              <w14:ligatures w14:val="standardContextual"/>
            </w:rPr>
          </w:pPr>
          <w:hyperlink w:anchor="_Toc225327056" w:history="1">
            <w:r w:rsidRPr="001E7CF8">
              <w:rPr>
                <w:rStyle w:val="Hyperlink"/>
                <w:i w:val="0"/>
                <w:iCs w:val="0"/>
                <w:noProof/>
                <w:sz w:val="24"/>
                <w:szCs w:val="24"/>
              </w:rPr>
              <w:t>B.</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Review of State Plan Performance</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_Toc225327056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6</w:t>
            </w:r>
            <w:r w:rsidRPr="001E7CF8">
              <w:rPr>
                <w:i w:val="0"/>
                <w:iCs w:val="0"/>
                <w:noProof/>
                <w:webHidden/>
                <w:sz w:val="24"/>
                <w:szCs w:val="24"/>
              </w:rPr>
              <w:fldChar w:fldCharType="end"/>
            </w:r>
          </w:hyperlink>
        </w:p>
        <w:p w14:paraId="4E5638BC" w14:textId="10843772"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57" w:history="1">
            <w:r w:rsidRPr="001E7CF8">
              <w:rPr>
                <w:rStyle w:val="Hyperlink"/>
                <w:i w:val="0"/>
                <w:iCs w:val="0"/>
                <w:noProof/>
                <w:sz w:val="24"/>
                <w:szCs w:val="24"/>
              </w:rPr>
              <w:t>1.</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Program Administration</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_Toc225327057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6</w:t>
            </w:r>
            <w:r w:rsidRPr="001E7CF8">
              <w:rPr>
                <w:i w:val="0"/>
                <w:iCs w:val="0"/>
                <w:noProof/>
                <w:webHidden/>
                <w:sz w:val="24"/>
                <w:szCs w:val="24"/>
              </w:rPr>
              <w:fldChar w:fldCharType="end"/>
            </w:r>
          </w:hyperlink>
        </w:p>
        <w:p w14:paraId="5CCB5AFD" w14:textId="178DF8CF"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58" w:history="1">
            <w:r w:rsidRPr="001E7CF8">
              <w:rPr>
                <w:rStyle w:val="Hyperlink"/>
                <w:i w:val="0"/>
                <w:iCs w:val="0"/>
                <w:noProof/>
                <w:sz w:val="24"/>
                <w:szCs w:val="24"/>
              </w:rPr>
              <w:t>2.</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Enforcement</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_Toc225327058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7</w:t>
            </w:r>
            <w:r w:rsidRPr="001E7CF8">
              <w:rPr>
                <w:i w:val="0"/>
                <w:iCs w:val="0"/>
                <w:noProof/>
                <w:webHidden/>
                <w:sz w:val="24"/>
                <w:szCs w:val="24"/>
              </w:rPr>
              <w:fldChar w:fldCharType="end"/>
            </w:r>
          </w:hyperlink>
        </w:p>
        <w:p w14:paraId="006E7BD3" w14:textId="07B56459"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59" w:history="1">
            <w:r w:rsidRPr="001E7CF8">
              <w:rPr>
                <w:rStyle w:val="Hyperlink"/>
                <w:rFonts w:cstheme="minorHAnsi"/>
                <w:i w:val="0"/>
                <w:iCs w:val="0"/>
                <w:noProof/>
                <w:sz w:val="24"/>
                <w:szCs w:val="24"/>
              </w:rPr>
              <w:t>3.</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Review Procedures</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_Toc225327059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14</w:t>
            </w:r>
            <w:r w:rsidRPr="001E7CF8">
              <w:rPr>
                <w:i w:val="0"/>
                <w:iCs w:val="0"/>
                <w:noProof/>
                <w:webHidden/>
                <w:sz w:val="24"/>
                <w:szCs w:val="24"/>
              </w:rPr>
              <w:fldChar w:fldCharType="end"/>
            </w:r>
          </w:hyperlink>
        </w:p>
        <w:p w14:paraId="2990EDF3" w14:textId="1FC0E699"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60" w:history="1">
            <w:r w:rsidRPr="001E7CF8">
              <w:rPr>
                <w:rStyle w:val="Hyperlink"/>
                <w:i w:val="0"/>
                <w:iCs w:val="0"/>
                <w:noProof/>
                <w:sz w:val="24"/>
                <w:szCs w:val="24"/>
              </w:rPr>
              <w:t>4.</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Standards And Federal Program Change (FPC) Adoption</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_Toc225327060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15</w:t>
            </w:r>
            <w:r w:rsidRPr="001E7CF8">
              <w:rPr>
                <w:i w:val="0"/>
                <w:iCs w:val="0"/>
                <w:noProof/>
                <w:webHidden/>
                <w:sz w:val="24"/>
                <w:szCs w:val="24"/>
              </w:rPr>
              <w:fldChar w:fldCharType="end"/>
            </w:r>
          </w:hyperlink>
        </w:p>
        <w:p w14:paraId="380541C5" w14:textId="3B9AA23B"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61" w:history="1">
            <w:r w:rsidRPr="001E7CF8">
              <w:rPr>
                <w:rStyle w:val="Hyperlink"/>
                <w:rFonts w:cstheme="minorHAnsi"/>
                <w:i w:val="0"/>
                <w:iCs w:val="0"/>
                <w:noProof/>
                <w:sz w:val="24"/>
                <w:szCs w:val="24"/>
              </w:rPr>
              <w:t>5.</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Variances</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_Toc225327061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18</w:t>
            </w:r>
            <w:r w:rsidRPr="001E7CF8">
              <w:rPr>
                <w:i w:val="0"/>
                <w:iCs w:val="0"/>
                <w:noProof/>
                <w:webHidden/>
                <w:sz w:val="24"/>
                <w:szCs w:val="24"/>
              </w:rPr>
              <w:fldChar w:fldCharType="end"/>
            </w:r>
          </w:hyperlink>
        </w:p>
        <w:p w14:paraId="3CB8F447" w14:textId="339B4A08"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62" w:history="1">
            <w:r w:rsidRPr="001E7CF8">
              <w:rPr>
                <w:rStyle w:val="Hyperlink"/>
                <w:rFonts w:cstheme="minorHAnsi"/>
                <w:i w:val="0"/>
                <w:iCs w:val="0"/>
                <w:noProof/>
                <w:sz w:val="24"/>
                <w:szCs w:val="24"/>
              </w:rPr>
              <w:t>6.</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 xml:space="preserve">State And Local Government Worker </w:t>
            </w:r>
            <w:r w:rsidRPr="001E7CF8">
              <w:rPr>
                <w:rStyle w:val="Hyperlink"/>
                <w:rFonts w:cstheme="minorHAnsi"/>
                <w:i w:val="0"/>
                <w:iCs w:val="0"/>
                <w:noProof/>
                <w:sz w:val="24"/>
                <w:szCs w:val="24"/>
              </w:rPr>
              <w:t>Program</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_Toc225327062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18</w:t>
            </w:r>
            <w:r w:rsidRPr="001E7CF8">
              <w:rPr>
                <w:i w:val="0"/>
                <w:iCs w:val="0"/>
                <w:noProof/>
                <w:webHidden/>
                <w:sz w:val="24"/>
                <w:szCs w:val="24"/>
              </w:rPr>
              <w:fldChar w:fldCharType="end"/>
            </w:r>
          </w:hyperlink>
        </w:p>
        <w:p w14:paraId="1E801186" w14:textId="065C1AEB"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63" w:history="1">
            <w:r w:rsidRPr="001E7CF8">
              <w:rPr>
                <w:rStyle w:val="Hyperlink"/>
                <w:rFonts w:cstheme="minorHAnsi"/>
                <w:i w:val="0"/>
                <w:iCs w:val="0"/>
                <w:noProof/>
                <w:sz w:val="24"/>
                <w:szCs w:val="24"/>
              </w:rPr>
              <w:t>7.</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Whistleblower Protection Program</w:t>
            </w:r>
            <w:r w:rsidRPr="001E7CF8">
              <w:rPr>
                <w:rStyle w:val="Hyperlink"/>
                <w:rFonts w:cstheme="minorHAnsi"/>
                <w:i w:val="0"/>
                <w:iCs w:val="0"/>
                <w:noProof/>
                <w:sz w:val="24"/>
                <w:szCs w:val="24"/>
              </w:rPr>
              <w:t>  </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_Toc225327063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19</w:t>
            </w:r>
            <w:r w:rsidRPr="001E7CF8">
              <w:rPr>
                <w:i w:val="0"/>
                <w:iCs w:val="0"/>
                <w:noProof/>
                <w:webHidden/>
                <w:sz w:val="24"/>
                <w:szCs w:val="24"/>
              </w:rPr>
              <w:fldChar w:fldCharType="end"/>
            </w:r>
          </w:hyperlink>
        </w:p>
        <w:p w14:paraId="322D1154" w14:textId="38B9F5EC"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64" w:history="1">
            <w:r w:rsidRPr="001E7CF8">
              <w:rPr>
                <w:rStyle w:val="Hyperlink"/>
                <w:rFonts w:cstheme="minorHAnsi"/>
                <w:i w:val="0"/>
                <w:iCs w:val="0"/>
                <w:noProof/>
                <w:sz w:val="24"/>
                <w:szCs w:val="24"/>
              </w:rPr>
              <w:t>8.</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Complaint About State Program Administration (CASPA)</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_Toc225327064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19</w:t>
            </w:r>
            <w:r w:rsidRPr="001E7CF8">
              <w:rPr>
                <w:i w:val="0"/>
                <w:iCs w:val="0"/>
                <w:noProof/>
                <w:webHidden/>
                <w:sz w:val="24"/>
                <w:szCs w:val="24"/>
              </w:rPr>
              <w:fldChar w:fldCharType="end"/>
            </w:r>
          </w:hyperlink>
        </w:p>
        <w:p w14:paraId="05FEA095" w14:textId="3B1FEA6B" w:rsidR="0000655A" w:rsidRPr="00826F6E" w:rsidRDefault="0000655A" w:rsidP="002F23C7">
          <w:pPr>
            <w:pStyle w:val="TOC3"/>
            <w:tabs>
              <w:tab w:val="clear" w:pos="960"/>
              <w:tab w:val="left" w:pos="1350"/>
            </w:tabs>
            <w:ind w:left="1530" w:hanging="510"/>
            <w:jc w:val="center"/>
            <w:rPr>
              <w:rFonts w:asciiTheme="minorHAnsi" w:eastAsiaTheme="minorEastAsia" w:hAnsiTheme="minorHAnsi" w:cstheme="minorBidi"/>
              <w:i w:val="0"/>
              <w:iCs w:val="0"/>
              <w:noProof/>
              <w:kern w:val="2"/>
              <w:sz w:val="24"/>
              <w:szCs w:val="24"/>
              <w14:ligatures w14:val="standardContextual"/>
            </w:rPr>
          </w:pPr>
          <w:hyperlink w:anchor="_Toc225327065" w:history="1">
            <w:r w:rsidRPr="001E7CF8">
              <w:rPr>
                <w:rStyle w:val="Hyperlink"/>
                <w:rFonts w:cstheme="minorHAnsi"/>
                <w:i w:val="0"/>
                <w:iCs w:val="0"/>
                <w:noProof/>
                <w:sz w:val="24"/>
                <w:szCs w:val="24"/>
              </w:rPr>
              <w:t>9.</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Voluntary Compliance Program</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_Toc225327065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19</w:t>
            </w:r>
            <w:r w:rsidRPr="001E7CF8">
              <w:rPr>
                <w:i w:val="0"/>
                <w:iCs w:val="0"/>
                <w:noProof/>
                <w:webHidden/>
                <w:sz w:val="24"/>
                <w:szCs w:val="24"/>
              </w:rPr>
              <w:fldChar w:fldCharType="end"/>
            </w:r>
          </w:hyperlink>
        </w:p>
        <w:p w14:paraId="1463182C" w14:textId="7A9DF35B" w:rsidR="0000655A" w:rsidRDefault="0000655A" w:rsidP="002F23C7">
          <w:pPr>
            <w:pStyle w:val="TOC3"/>
            <w:tabs>
              <w:tab w:val="clear" w:pos="960"/>
              <w:tab w:val="left" w:pos="1350"/>
            </w:tabs>
            <w:ind w:left="1530" w:hanging="510"/>
            <w:jc w:val="center"/>
          </w:pPr>
          <w:hyperlink w:anchor="_Toc225327066" w:history="1">
            <w:r w:rsidRPr="001E7CF8">
              <w:rPr>
                <w:rStyle w:val="Hyperlink"/>
                <w:rFonts w:cstheme="minorHAnsi"/>
                <w:i w:val="0"/>
                <w:iCs w:val="0"/>
                <w:noProof/>
                <w:sz w:val="24"/>
                <w:szCs w:val="24"/>
              </w:rPr>
              <w:t>10.</w:t>
            </w:r>
            <w:r w:rsidRPr="00826F6E">
              <w:rPr>
                <w:rFonts w:asciiTheme="minorHAnsi" w:eastAsiaTheme="minorEastAsia" w:hAnsiTheme="minorHAnsi" w:cstheme="minorBidi"/>
                <w:i w:val="0"/>
                <w:iCs w:val="0"/>
                <w:noProof/>
                <w:kern w:val="2"/>
                <w:sz w:val="24"/>
                <w:szCs w:val="24"/>
                <w14:ligatures w14:val="standardContextual"/>
              </w:rPr>
              <w:tab/>
            </w:r>
            <w:r w:rsidRPr="001E7CF8">
              <w:rPr>
                <w:rStyle w:val="Hyperlink"/>
                <w:i w:val="0"/>
                <w:iCs w:val="0"/>
                <w:noProof/>
                <w:sz w:val="24"/>
                <w:szCs w:val="24"/>
              </w:rPr>
              <w:t>State and Local Government 23(g) On-</w:t>
            </w:r>
            <w:r w:rsidR="00D97CB9">
              <w:rPr>
                <w:rStyle w:val="Hyperlink"/>
                <w:i w:val="0"/>
                <w:iCs w:val="0"/>
                <w:noProof/>
                <w:sz w:val="24"/>
                <w:szCs w:val="24"/>
              </w:rPr>
              <w:t>S</w:t>
            </w:r>
            <w:r w:rsidRPr="001E7CF8">
              <w:rPr>
                <w:rStyle w:val="Hyperlink"/>
                <w:i w:val="0"/>
                <w:iCs w:val="0"/>
                <w:noProof/>
                <w:sz w:val="24"/>
                <w:szCs w:val="24"/>
              </w:rPr>
              <w:t>ite Consultation Program</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_Toc225327066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20</w:t>
            </w:r>
            <w:r w:rsidRPr="001E7CF8">
              <w:rPr>
                <w:i w:val="0"/>
                <w:iCs w:val="0"/>
                <w:noProof/>
                <w:webHidden/>
                <w:sz w:val="24"/>
                <w:szCs w:val="24"/>
              </w:rPr>
              <w:fldChar w:fldCharType="end"/>
            </w:r>
          </w:hyperlink>
        </w:p>
        <w:p w14:paraId="083176E2" w14:textId="6CD6479D" w:rsidR="004D45C9" w:rsidRPr="004D45C9" w:rsidRDefault="004D45C9" w:rsidP="004D45C9">
          <w:r>
            <w:tab/>
          </w:r>
        </w:p>
        <w:p w14:paraId="38A3119F" w14:textId="341F5F41" w:rsidR="0000655A" w:rsidRPr="00826F6E" w:rsidRDefault="0000655A" w:rsidP="002F23C7">
          <w:pPr>
            <w:pStyle w:val="TOC2"/>
            <w:tabs>
              <w:tab w:val="right" w:leader="dot" w:pos="9530"/>
            </w:tabs>
            <w:spacing w:before="0"/>
            <w:jc w:val="center"/>
            <w:rPr>
              <w:rFonts w:eastAsiaTheme="minorEastAsia" w:cstheme="minorBidi"/>
              <w:i w:val="0"/>
              <w:iCs w:val="0"/>
              <w:noProof/>
              <w:kern w:val="2"/>
              <w:sz w:val="24"/>
              <w:szCs w:val="24"/>
              <w14:ligatures w14:val="standardContextual"/>
            </w:rPr>
          </w:pPr>
          <w:hyperlink w:anchor="_Toc225327067" w:history="1">
            <w:r w:rsidRPr="001E7CF8">
              <w:rPr>
                <w:rStyle w:val="Hyperlink"/>
                <w:rFonts w:cstheme="minorHAnsi"/>
                <w:i w:val="0"/>
                <w:iCs w:val="0"/>
                <w:noProof/>
                <w:sz w:val="24"/>
                <w:szCs w:val="24"/>
              </w:rPr>
              <w:t>Appendix A – New and Continued Findings and Recommendations</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_Toc225327067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22</w:t>
            </w:r>
            <w:r w:rsidRPr="001E7CF8">
              <w:rPr>
                <w:i w:val="0"/>
                <w:iCs w:val="0"/>
                <w:noProof/>
                <w:webHidden/>
                <w:sz w:val="24"/>
                <w:szCs w:val="24"/>
              </w:rPr>
              <w:fldChar w:fldCharType="end"/>
            </w:r>
          </w:hyperlink>
        </w:p>
        <w:p w14:paraId="62E7DF18" w14:textId="246A7AC8" w:rsidR="0000655A" w:rsidRPr="00826F6E" w:rsidRDefault="0000655A" w:rsidP="002F23C7">
          <w:pPr>
            <w:pStyle w:val="TOC2"/>
            <w:tabs>
              <w:tab w:val="right" w:leader="dot" w:pos="9530"/>
            </w:tabs>
            <w:spacing w:before="0"/>
            <w:jc w:val="center"/>
            <w:rPr>
              <w:rFonts w:eastAsiaTheme="minorEastAsia" w:cstheme="minorBidi"/>
              <w:i w:val="0"/>
              <w:iCs w:val="0"/>
              <w:noProof/>
              <w:kern w:val="2"/>
              <w:sz w:val="24"/>
              <w:szCs w:val="24"/>
              <w14:ligatures w14:val="standardContextual"/>
            </w:rPr>
          </w:pPr>
          <w:hyperlink w:anchor="_Toc225327068" w:history="1">
            <w:r w:rsidRPr="001E7CF8">
              <w:rPr>
                <w:rStyle w:val="Hyperlink"/>
                <w:rFonts w:cstheme="minorHAnsi"/>
                <w:i w:val="0"/>
                <w:iCs w:val="0"/>
                <w:noProof/>
                <w:sz w:val="24"/>
                <w:szCs w:val="24"/>
              </w:rPr>
              <w:t xml:space="preserve">Appendix B – Observations </w:t>
            </w:r>
            <w:r w:rsidR="002E7064">
              <w:rPr>
                <w:rStyle w:val="Hyperlink"/>
                <w:rFonts w:cstheme="minorHAnsi"/>
                <w:i w:val="0"/>
                <w:iCs w:val="0"/>
                <w:noProof/>
                <w:sz w:val="24"/>
                <w:szCs w:val="24"/>
              </w:rPr>
              <w:t>and Federal Monitoring Plans</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_Toc225327068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23</w:t>
            </w:r>
            <w:r w:rsidRPr="001E7CF8">
              <w:rPr>
                <w:i w:val="0"/>
                <w:iCs w:val="0"/>
                <w:noProof/>
                <w:webHidden/>
                <w:sz w:val="24"/>
                <w:szCs w:val="24"/>
              </w:rPr>
              <w:fldChar w:fldCharType="end"/>
            </w:r>
          </w:hyperlink>
        </w:p>
        <w:p w14:paraId="74668FDB" w14:textId="74549624" w:rsidR="0000655A" w:rsidRPr="00826F6E" w:rsidRDefault="0000655A" w:rsidP="002F23C7">
          <w:pPr>
            <w:pStyle w:val="TOC2"/>
            <w:tabs>
              <w:tab w:val="right" w:leader="dot" w:pos="9530"/>
            </w:tabs>
            <w:spacing w:before="0"/>
            <w:jc w:val="center"/>
            <w:rPr>
              <w:rFonts w:eastAsiaTheme="minorEastAsia" w:cstheme="minorBidi"/>
              <w:i w:val="0"/>
              <w:iCs w:val="0"/>
              <w:noProof/>
              <w:kern w:val="2"/>
              <w:sz w:val="24"/>
              <w:szCs w:val="24"/>
              <w14:ligatures w14:val="standardContextual"/>
            </w:rPr>
          </w:pPr>
          <w:hyperlink w:anchor="_Toc225327069" w:history="1">
            <w:r w:rsidRPr="001E7CF8">
              <w:rPr>
                <w:rStyle w:val="Hyperlink"/>
                <w:i w:val="0"/>
                <w:iCs w:val="0"/>
                <w:noProof/>
                <w:sz w:val="24"/>
                <w:szCs w:val="24"/>
              </w:rPr>
              <w:t>Appendix C - Status of FY 202</w:t>
            </w:r>
            <w:r w:rsidRPr="001E7CF8">
              <w:rPr>
                <w:rStyle w:val="Hyperlink"/>
                <w:rFonts w:cstheme="minorHAnsi"/>
                <w:i w:val="0"/>
                <w:iCs w:val="0"/>
                <w:noProof/>
                <w:sz w:val="24"/>
                <w:szCs w:val="24"/>
              </w:rPr>
              <w:t>4 Findings and Recommendations</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_Toc225327069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24</w:t>
            </w:r>
            <w:r w:rsidRPr="001E7CF8">
              <w:rPr>
                <w:i w:val="0"/>
                <w:iCs w:val="0"/>
                <w:noProof/>
                <w:webHidden/>
                <w:sz w:val="24"/>
                <w:szCs w:val="24"/>
              </w:rPr>
              <w:fldChar w:fldCharType="end"/>
            </w:r>
          </w:hyperlink>
        </w:p>
        <w:p w14:paraId="1DA9B33B" w14:textId="208B1BD1" w:rsidR="0000655A" w:rsidRPr="001E7CF8" w:rsidRDefault="0000655A" w:rsidP="002F23C7">
          <w:pPr>
            <w:pStyle w:val="TOC2"/>
            <w:tabs>
              <w:tab w:val="right" w:leader="dot" w:pos="9530"/>
            </w:tabs>
            <w:spacing w:before="0"/>
            <w:jc w:val="center"/>
            <w:rPr>
              <w:rFonts w:eastAsiaTheme="minorEastAsia" w:cstheme="minorBidi"/>
              <w:i w:val="0"/>
              <w:iCs w:val="0"/>
              <w:noProof/>
              <w:kern w:val="2"/>
              <w:sz w:val="24"/>
              <w:szCs w:val="24"/>
              <w14:ligatures w14:val="standardContextual"/>
            </w:rPr>
          </w:pPr>
          <w:hyperlink w:anchor="_Toc225327070" w:history="1">
            <w:r w:rsidRPr="001E7CF8">
              <w:rPr>
                <w:rStyle w:val="Hyperlink"/>
                <w:rFonts w:cstheme="minorHAnsi"/>
                <w:i w:val="0"/>
                <w:iCs w:val="0"/>
                <w:noProof/>
                <w:sz w:val="24"/>
                <w:szCs w:val="24"/>
              </w:rPr>
              <w:t>Appendix D – FY 2025 State Activity Mandated Measures (SAMM) Report</w:t>
            </w:r>
            <w:r w:rsidRPr="001E7CF8">
              <w:rPr>
                <w:i w:val="0"/>
                <w:iCs w:val="0"/>
                <w:noProof/>
                <w:webHidden/>
                <w:sz w:val="24"/>
                <w:szCs w:val="24"/>
              </w:rPr>
              <w:tab/>
            </w:r>
            <w:r w:rsidRPr="001E7CF8">
              <w:rPr>
                <w:i w:val="0"/>
                <w:iCs w:val="0"/>
                <w:noProof/>
                <w:webHidden/>
                <w:sz w:val="24"/>
                <w:szCs w:val="24"/>
              </w:rPr>
              <w:fldChar w:fldCharType="begin"/>
            </w:r>
            <w:r w:rsidRPr="001E7CF8">
              <w:rPr>
                <w:i w:val="0"/>
                <w:iCs w:val="0"/>
                <w:noProof/>
                <w:webHidden/>
                <w:sz w:val="24"/>
                <w:szCs w:val="24"/>
              </w:rPr>
              <w:instrText xml:space="preserve"> PAGEREF _Toc225327070 \h </w:instrText>
            </w:r>
            <w:r w:rsidRPr="001E7CF8">
              <w:rPr>
                <w:i w:val="0"/>
                <w:iCs w:val="0"/>
                <w:noProof/>
                <w:webHidden/>
                <w:sz w:val="24"/>
                <w:szCs w:val="24"/>
              </w:rPr>
            </w:r>
            <w:r w:rsidRPr="001E7CF8">
              <w:rPr>
                <w:i w:val="0"/>
                <w:iCs w:val="0"/>
                <w:noProof/>
                <w:webHidden/>
                <w:sz w:val="24"/>
                <w:szCs w:val="24"/>
              </w:rPr>
              <w:fldChar w:fldCharType="separate"/>
            </w:r>
            <w:r w:rsidR="002F3168">
              <w:rPr>
                <w:i w:val="0"/>
                <w:iCs w:val="0"/>
                <w:noProof/>
                <w:webHidden/>
                <w:sz w:val="24"/>
                <w:szCs w:val="24"/>
              </w:rPr>
              <w:t>26</w:t>
            </w:r>
            <w:r w:rsidRPr="001E7CF8">
              <w:rPr>
                <w:i w:val="0"/>
                <w:iCs w:val="0"/>
                <w:noProof/>
                <w:webHidden/>
                <w:sz w:val="24"/>
                <w:szCs w:val="24"/>
              </w:rPr>
              <w:fldChar w:fldCharType="end"/>
            </w:r>
          </w:hyperlink>
        </w:p>
        <w:p w14:paraId="4BD2053D" w14:textId="124D9CDA" w:rsidR="00C40C64" w:rsidRPr="00256FA8" w:rsidRDefault="00AF3068" w:rsidP="002F23C7">
          <w:pPr>
            <w:jc w:val="center"/>
            <w:rPr>
              <w:rFonts w:asciiTheme="minorHAnsi" w:hAnsiTheme="minorHAnsi" w:cstheme="minorHAnsi"/>
            </w:rPr>
          </w:pPr>
          <w:r w:rsidRPr="0000655A">
            <w:rPr>
              <w:rFonts w:asciiTheme="minorHAnsi" w:hAnsiTheme="minorHAnsi" w:cstheme="minorHAnsi"/>
            </w:rPr>
            <w:fldChar w:fldCharType="end"/>
          </w:r>
        </w:p>
      </w:sdtContent>
    </w:sdt>
    <w:p w14:paraId="3B49BEA4" w14:textId="4599CC0E" w:rsidR="00064492" w:rsidRPr="003C2C5B" w:rsidRDefault="00064492" w:rsidP="006D1705">
      <w:pPr>
        <w:keepNext/>
        <w:keepLines/>
        <w:widowControl/>
        <w:tabs>
          <w:tab w:val="left" w:pos="9000"/>
        </w:tabs>
        <w:autoSpaceDE/>
        <w:autoSpaceDN/>
        <w:adjustRightInd/>
        <w:ind w:left="1710" w:hanging="1710"/>
        <w:contextualSpacing/>
        <w:outlineLvl w:val="0"/>
        <w:rPr>
          <w:rStyle w:val="FollowedHyperlink"/>
          <w:rFonts w:asciiTheme="minorHAnsi" w:hAnsiTheme="minorHAnsi" w:cstheme="minorHAnsi"/>
          <w:sz w:val="28"/>
          <w:szCs w:val="28"/>
          <w:u w:val="none"/>
        </w:rPr>
      </w:pPr>
    </w:p>
    <w:p w14:paraId="172371FF" w14:textId="77777777" w:rsidR="002E1782" w:rsidRDefault="002E1782" w:rsidP="006D1705">
      <w:pPr>
        <w:tabs>
          <w:tab w:val="left" w:pos="1125"/>
        </w:tabs>
        <w:contextualSpacing/>
        <w:rPr>
          <w:rFonts w:asciiTheme="minorHAnsi" w:hAnsiTheme="minorHAnsi" w:cstheme="minorHAnsi"/>
          <w:b/>
        </w:rPr>
      </w:pPr>
    </w:p>
    <w:p w14:paraId="3694EE2B" w14:textId="77777777" w:rsidR="00077695" w:rsidRDefault="00077695" w:rsidP="006D1705">
      <w:pPr>
        <w:tabs>
          <w:tab w:val="left" w:pos="1125"/>
        </w:tabs>
        <w:contextualSpacing/>
        <w:rPr>
          <w:rFonts w:asciiTheme="minorHAnsi" w:hAnsiTheme="minorHAnsi" w:cstheme="minorHAnsi"/>
          <w:b/>
        </w:rPr>
      </w:pPr>
    </w:p>
    <w:p w14:paraId="2ED09E93" w14:textId="77777777" w:rsidR="00077695" w:rsidRDefault="00077695" w:rsidP="006D1705">
      <w:pPr>
        <w:tabs>
          <w:tab w:val="left" w:pos="1125"/>
        </w:tabs>
        <w:contextualSpacing/>
        <w:rPr>
          <w:rFonts w:asciiTheme="minorHAnsi" w:hAnsiTheme="minorHAnsi" w:cstheme="minorHAnsi"/>
          <w:b/>
        </w:rPr>
      </w:pPr>
    </w:p>
    <w:p w14:paraId="4BB9B148" w14:textId="77777777" w:rsidR="00077695" w:rsidRDefault="00077695" w:rsidP="006D1705">
      <w:pPr>
        <w:tabs>
          <w:tab w:val="left" w:pos="1125"/>
        </w:tabs>
        <w:contextualSpacing/>
        <w:rPr>
          <w:rFonts w:asciiTheme="minorHAnsi" w:hAnsiTheme="minorHAnsi" w:cstheme="minorHAnsi"/>
          <w:b/>
        </w:rPr>
      </w:pPr>
    </w:p>
    <w:p w14:paraId="1290A000" w14:textId="77777777" w:rsidR="00077695" w:rsidRDefault="00077695" w:rsidP="006D1705">
      <w:pPr>
        <w:tabs>
          <w:tab w:val="left" w:pos="1125"/>
        </w:tabs>
        <w:contextualSpacing/>
        <w:rPr>
          <w:rFonts w:asciiTheme="minorHAnsi" w:hAnsiTheme="minorHAnsi" w:cstheme="minorHAnsi"/>
          <w:b/>
        </w:rPr>
      </w:pPr>
    </w:p>
    <w:p w14:paraId="09CB0EB4" w14:textId="77777777" w:rsidR="00077695" w:rsidRDefault="00077695" w:rsidP="006D1705">
      <w:pPr>
        <w:tabs>
          <w:tab w:val="left" w:pos="1125"/>
        </w:tabs>
        <w:contextualSpacing/>
        <w:rPr>
          <w:rFonts w:asciiTheme="minorHAnsi" w:hAnsiTheme="minorHAnsi" w:cstheme="minorHAnsi"/>
          <w:b/>
        </w:rPr>
      </w:pPr>
    </w:p>
    <w:p w14:paraId="6A0B777D" w14:textId="77777777" w:rsidR="00077695" w:rsidRDefault="00077695" w:rsidP="006D1705">
      <w:pPr>
        <w:tabs>
          <w:tab w:val="left" w:pos="1125"/>
        </w:tabs>
        <w:contextualSpacing/>
        <w:rPr>
          <w:rFonts w:asciiTheme="minorHAnsi" w:hAnsiTheme="minorHAnsi" w:cstheme="minorHAnsi"/>
          <w:b/>
        </w:rPr>
      </w:pPr>
    </w:p>
    <w:p w14:paraId="2A9FA0DE" w14:textId="77777777" w:rsidR="00077695" w:rsidRDefault="00077695" w:rsidP="006D1705">
      <w:pPr>
        <w:tabs>
          <w:tab w:val="left" w:pos="1125"/>
        </w:tabs>
        <w:contextualSpacing/>
        <w:rPr>
          <w:rFonts w:asciiTheme="minorHAnsi" w:hAnsiTheme="minorHAnsi" w:cstheme="minorHAnsi"/>
          <w:b/>
        </w:rPr>
      </w:pPr>
    </w:p>
    <w:p w14:paraId="03D49292" w14:textId="77777777" w:rsidR="00077695" w:rsidRDefault="00077695" w:rsidP="006D1705">
      <w:pPr>
        <w:tabs>
          <w:tab w:val="left" w:pos="1125"/>
        </w:tabs>
        <w:contextualSpacing/>
        <w:rPr>
          <w:rFonts w:asciiTheme="minorHAnsi" w:hAnsiTheme="minorHAnsi" w:cstheme="minorHAnsi"/>
          <w:b/>
        </w:rPr>
      </w:pPr>
    </w:p>
    <w:p w14:paraId="75CF5CDA" w14:textId="77777777" w:rsidR="00077695" w:rsidRDefault="00077695" w:rsidP="006D1705">
      <w:pPr>
        <w:tabs>
          <w:tab w:val="left" w:pos="1125"/>
        </w:tabs>
        <w:contextualSpacing/>
        <w:rPr>
          <w:rFonts w:asciiTheme="minorHAnsi" w:hAnsiTheme="minorHAnsi" w:cstheme="minorHAnsi"/>
          <w:b/>
        </w:rPr>
      </w:pPr>
    </w:p>
    <w:p w14:paraId="7897A66D" w14:textId="77777777" w:rsidR="00077695" w:rsidRDefault="00077695" w:rsidP="006D1705">
      <w:pPr>
        <w:tabs>
          <w:tab w:val="left" w:pos="1125"/>
        </w:tabs>
        <w:contextualSpacing/>
        <w:rPr>
          <w:rFonts w:asciiTheme="minorHAnsi" w:hAnsiTheme="minorHAnsi" w:cstheme="minorHAnsi"/>
          <w:b/>
        </w:rPr>
      </w:pPr>
    </w:p>
    <w:p w14:paraId="4B89FE64" w14:textId="77777777" w:rsidR="00077695" w:rsidRDefault="00077695" w:rsidP="006D1705">
      <w:pPr>
        <w:tabs>
          <w:tab w:val="left" w:pos="1125"/>
        </w:tabs>
        <w:contextualSpacing/>
        <w:rPr>
          <w:rFonts w:asciiTheme="minorHAnsi" w:hAnsiTheme="minorHAnsi" w:cstheme="minorHAnsi"/>
          <w:b/>
        </w:rPr>
      </w:pPr>
    </w:p>
    <w:p w14:paraId="4AD4CCA2" w14:textId="77777777" w:rsidR="00077695" w:rsidRDefault="00077695" w:rsidP="006D1705">
      <w:pPr>
        <w:tabs>
          <w:tab w:val="left" w:pos="1125"/>
        </w:tabs>
        <w:contextualSpacing/>
        <w:rPr>
          <w:rFonts w:asciiTheme="minorHAnsi" w:hAnsiTheme="minorHAnsi" w:cstheme="minorHAnsi"/>
          <w:b/>
        </w:rPr>
      </w:pPr>
    </w:p>
    <w:p w14:paraId="362CAD88" w14:textId="436695A0" w:rsidR="008B1863" w:rsidRPr="00924556" w:rsidRDefault="00C40C64" w:rsidP="008E579E">
      <w:pPr>
        <w:pStyle w:val="Heading2"/>
        <w:numPr>
          <w:ilvl w:val="0"/>
          <w:numId w:val="16"/>
        </w:numPr>
        <w:ind w:left="360" w:hanging="180"/>
        <w:rPr>
          <w:sz w:val="28"/>
          <w:szCs w:val="28"/>
        </w:rPr>
      </w:pPr>
      <w:r w:rsidRPr="00924556">
        <w:rPr>
          <w:rFonts w:cstheme="minorHAnsi"/>
          <w:sz w:val="28"/>
          <w:szCs w:val="28"/>
        </w:rPr>
        <w:br w:type="page"/>
      </w:r>
      <w:bookmarkStart w:id="0" w:name="Executive_Summary"/>
      <w:bookmarkStart w:id="1" w:name="_Toc160178407"/>
      <w:bookmarkStart w:id="2" w:name="_Toc225327050"/>
      <w:bookmarkEnd w:id="0"/>
      <w:r w:rsidR="008B1863" w:rsidRPr="00924556">
        <w:rPr>
          <w:sz w:val="28"/>
          <w:szCs w:val="28"/>
        </w:rPr>
        <w:lastRenderedPageBreak/>
        <w:t>Executive Summary</w:t>
      </w:r>
      <w:bookmarkEnd w:id="1"/>
      <w:bookmarkEnd w:id="2"/>
    </w:p>
    <w:p w14:paraId="34418AAC" w14:textId="77777777" w:rsidR="00672699" w:rsidRPr="00672699" w:rsidRDefault="00672699" w:rsidP="00444C80"/>
    <w:p w14:paraId="34F6C8D5" w14:textId="73411AA4" w:rsidR="00471D75" w:rsidRDefault="00215882" w:rsidP="00B01A8E">
      <w:pPr>
        <w:widowControl/>
        <w:autoSpaceDE/>
        <w:autoSpaceDN/>
        <w:adjustRightInd/>
        <w:rPr>
          <w:rFonts w:asciiTheme="minorHAnsi" w:hAnsiTheme="minorHAnsi" w:cstheme="minorBidi"/>
        </w:rPr>
      </w:pPr>
      <w:r w:rsidRPr="00215882">
        <w:rPr>
          <w:rFonts w:asciiTheme="minorHAnsi" w:hAnsiTheme="minorHAnsi" w:cstheme="minorBidi"/>
        </w:rPr>
        <w:t xml:space="preserve">The primary purpose of this report is to assess the Arizona State Plan’s </w:t>
      </w:r>
      <w:r w:rsidR="0055040F">
        <w:rPr>
          <w:rFonts w:asciiTheme="minorHAnsi" w:hAnsiTheme="minorHAnsi" w:cstheme="minorBidi"/>
        </w:rPr>
        <w:t xml:space="preserve">program performance for </w:t>
      </w:r>
      <w:r w:rsidRPr="00215882">
        <w:rPr>
          <w:rFonts w:asciiTheme="minorHAnsi" w:hAnsiTheme="minorHAnsi" w:cstheme="minorBidi"/>
        </w:rPr>
        <w:t>Fiscal Year (FY) 202</w:t>
      </w:r>
      <w:r>
        <w:rPr>
          <w:rFonts w:asciiTheme="minorHAnsi" w:hAnsiTheme="minorHAnsi" w:cstheme="minorBidi"/>
        </w:rPr>
        <w:t>5</w:t>
      </w:r>
      <w:r w:rsidR="0055040F">
        <w:rPr>
          <w:rFonts w:asciiTheme="minorHAnsi" w:hAnsiTheme="minorHAnsi" w:cstheme="minorBidi"/>
        </w:rPr>
        <w:t xml:space="preserve">.  The criteria used to measure performance </w:t>
      </w:r>
      <w:r w:rsidR="00CA31E4">
        <w:rPr>
          <w:rFonts w:asciiTheme="minorHAnsi" w:hAnsiTheme="minorHAnsi" w:cstheme="minorBidi"/>
        </w:rPr>
        <w:t>include</w:t>
      </w:r>
      <w:r w:rsidR="0055040F">
        <w:rPr>
          <w:rFonts w:asciiTheme="minorHAnsi" w:hAnsiTheme="minorHAnsi" w:cstheme="minorBidi"/>
        </w:rPr>
        <w:t xml:space="preserve"> those</w:t>
      </w:r>
      <w:r w:rsidR="00294647">
        <w:rPr>
          <w:rFonts w:asciiTheme="minorHAnsi" w:hAnsiTheme="minorHAnsi" w:cstheme="minorBidi"/>
        </w:rPr>
        <w:t xml:space="preserve"> </w:t>
      </w:r>
      <w:r w:rsidR="00CD3554">
        <w:rPr>
          <w:rFonts w:asciiTheme="minorHAnsi" w:hAnsiTheme="minorHAnsi" w:cstheme="minorBidi"/>
        </w:rPr>
        <w:t>mandated by the Occupational Safety and Health Administration (OSHA)</w:t>
      </w:r>
      <w:r w:rsidR="00753621">
        <w:rPr>
          <w:rFonts w:asciiTheme="minorHAnsi" w:hAnsiTheme="minorHAnsi" w:cstheme="minorBidi"/>
        </w:rPr>
        <w:t xml:space="preserve">.  This report </w:t>
      </w:r>
      <w:r w:rsidR="002016BC">
        <w:rPr>
          <w:rFonts w:asciiTheme="minorHAnsi" w:hAnsiTheme="minorHAnsi" w:cstheme="minorBidi"/>
        </w:rPr>
        <w:t>gauge</w:t>
      </w:r>
      <w:r w:rsidR="00753621">
        <w:rPr>
          <w:rFonts w:asciiTheme="minorHAnsi" w:hAnsiTheme="minorHAnsi" w:cstheme="minorBidi"/>
        </w:rPr>
        <w:t>s</w:t>
      </w:r>
      <w:r w:rsidR="002016BC">
        <w:rPr>
          <w:rFonts w:asciiTheme="minorHAnsi" w:hAnsiTheme="minorHAnsi" w:cstheme="minorBidi"/>
        </w:rPr>
        <w:t xml:space="preserve"> </w:t>
      </w:r>
      <w:r w:rsidR="00B01A8E">
        <w:rPr>
          <w:rFonts w:asciiTheme="minorHAnsi" w:hAnsiTheme="minorHAnsi" w:cstheme="minorBidi"/>
        </w:rPr>
        <w:t xml:space="preserve">the Arizona State Plan’s </w:t>
      </w:r>
      <w:r w:rsidR="00CD3554">
        <w:rPr>
          <w:rFonts w:asciiTheme="minorHAnsi" w:hAnsiTheme="minorHAnsi" w:cstheme="minorBidi"/>
        </w:rPr>
        <w:t xml:space="preserve">progress towards resolving outstanding </w:t>
      </w:r>
      <w:r w:rsidR="00A44559">
        <w:rPr>
          <w:rFonts w:asciiTheme="minorHAnsi" w:hAnsiTheme="minorHAnsi" w:cstheme="minorBidi"/>
        </w:rPr>
        <w:t xml:space="preserve">findings and observations from the </w:t>
      </w:r>
      <w:r w:rsidR="00CD3554">
        <w:rPr>
          <w:rFonts w:asciiTheme="minorHAnsi" w:hAnsiTheme="minorHAnsi" w:cstheme="minorBidi"/>
        </w:rPr>
        <w:t>FY 2024 Follow-</w:t>
      </w:r>
      <w:r w:rsidR="00826F6E">
        <w:rPr>
          <w:rFonts w:asciiTheme="minorHAnsi" w:hAnsiTheme="minorHAnsi" w:cstheme="minorBidi"/>
        </w:rPr>
        <w:t>u</w:t>
      </w:r>
      <w:r w:rsidR="00CD3554">
        <w:rPr>
          <w:rFonts w:asciiTheme="minorHAnsi" w:hAnsiTheme="minorHAnsi" w:cstheme="minorBidi"/>
        </w:rPr>
        <w:t xml:space="preserve">p Federal Annual Monitoring Evaluation (FAME) </w:t>
      </w:r>
      <w:r w:rsidR="00A44559">
        <w:rPr>
          <w:rFonts w:asciiTheme="minorHAnsi" w:hAnsiTheme="minorHAnsi" w:cstheme="minorBidi"/>
        </w:rPr>
        <w:t>Report</w:t>
      </w:r>
      <w:r w:rsidR="00CD3554">
        <w:rPr>
          <w:rFonts w:asciiTheme="minorHAnsi" w:hAnsiTheme="minorHAnsi" w:cstheme="minorBidi"/>
        </w:rPr>
        <w:t xml:space="preserve">.  </w:t>
      </w:r>
      <w:r w:rsidRPr="00AC2C8F">
        <w:rPr>
          <w:rFonts w:asciiTheme="minorHAnsi" w:hAnsiTheme="minorHAnsi" w:cstheme="minorBidi"/>
        </w:rPr>
        <w:t xml:space="preserve">The Arizona Division of Occupational Safety and Health (ADOSH) is responsible for the enforcement of regulations </w:t>
      </w:r>
      <w:r w:rsidR="005D6339" w:rsidRPr="00AC2C8F">
        <w:rPr>
          <w:rFonts w:asciiTheme="minorHAnsi" w:hAnsiTheme="minorHAnsi" w:cstheme="minorBidi"/>
        </w:rPr>
        <w:t xml:space="preserve">and </w:t>
      </w:r>
      <w:r w:rsidRPr="00AC2C8F">
        <w:rPr>
          <w:rFonts w:asciiTheme="minorHAnsi" w:hAnsiTheme="minorHAnsi" w:cstheme="minorBidi"/>
        </w:rPr>
        <w:t xml:space="preserve">protecting workers from health and safety hazards in </w:t>
      </w:r>
      <w:proofErr w:type="gramStart"/>
      <w:r w:rsidRPr="00AC2C8F">
        <w:rPr>
          <w:rFonts w:asciiTheme="minorHAnsi" w:hAnsiTheme="minorHAnsi" w:cstheme="minorBidi"/>
        </w:rPr>
        <w:t>the majority of</w:t>
      </w:r>
      <w:proofErr w:type="gramEnd"/>
      <w:r w:rsidRPr="00AC2C8F">
        <w:rPr>
          <w:rFonts w:asciiTheme="minorHAnsi" w:hAnsiTheme="minorHAnsi" w:cstheme="minorBidi"/>
        </w:rPr>
        <w:t xml:space="preserve"> Arizona’s workplaces.</w:t>
      </w:r>
      <w:r w:rsidRPr="00215882">
        <w:rPr>
          <w:rFonts w:asciiTheme="minorHAnsi" w:hAnsiTheme="minorHAnsi" w:cstheme="minorBidi"/>
        </w:rPr>
        <w:t> </w:t>
      </w:r>
    </w:p>
    <w:p w14:paraId="08CFDDA6" w14:textId="77777777" w:rsidR="00215882" w:rsidRPr="00471D75" w:rsidRDefault="00215882" w:rsidP="00FB7F23">
      <w:pPr>
        <w:widowControl/>
        <w:autoSpaceDE/>
        <w:autoSpaceDN/>
        <w:adjustRightInd/>
        <w:rPr>
          <w:rFonts w:asciiTheme="minorHAnsi" w:hAnsiTheme="minorHAnsi" w:cstheme="minorHAnsi"/>
          <w:iCs/>
        </w:rPr>
      </w:pPr>
    </w:p>
    <w:p w14:paraId="7A83693E" w14:textId="6C5023B4" w:rsidR="00471D75" w:rsidRPr="00EA6B4F" w:rsidRDefault="00A471FF" w:rsidP="00FB7F23">
      <w:pPr>
        <w:widowControl/>
        <w:autoSpaceDE/>
        <w:autoSpaceDN/>
        <w:adjustRightInd/>
        <w:rPr>
          <w:rFonts w:asciiTheme="minorHAnsi" w:hAnsiTheme="minorHAnsi" w:cstheme="minorHAnsi"/>
          <w:iCs/>
        </w:rPr>
      </w:pPr>
      <w:r w:rsidRPr="00EA6B4F">
        <w:rPr>
          <w:rFonts w:asciiTheme="minorHAnsi" w:hAnsiTheme="minorHAnsi" w:cstheme="minorHAnsi"/>
          <w:iCs/>
        </w:rPr>
        <w:t xml:space="preserve">This is </w:t>
      </w:r>
      <w:r w:rsidR="00471D75" w:rsidRPr="00EA6B4F">
        <w:rPr>
          <w:rFonts w:asciiTheme="minorHAnsi" w:hAnsiTheme="minorHAnsi" w:cstheme="minorHAnsi"/>
          <w:iCs/>
        </w:rPr>
        <w:t>ADOSH</w:t>
      </w:r>
      <w:r w:rsidR="00EA7516" w:rsidRPr="00EA6B4F">
        <w:rPr>
          <w:rFonts w:asciiTheme="minorHAnsi" w:hAnsiTheme="minorHAnsi" w:cstheme="minorHAnsi"/>
          <w:iCs/>
        </w:rPr>
        <w:t xml:space="preserve">’s </w:t>
      </w:r>
      <w:r w:rsidR="00C14105" w:rsidRPr="00EA6B4F">
        <w:rPr>
          <w:rFonts w:asciiTheme="minorHAnsi" w:hAnsiTheme="minorHAnsi" w:cstheme="minorHAnsi"/>
          <w:iCs/>
        </w:rPr>
        <w:t>fourth</w:t>
      </w:r>
      <w:r w:rsidR="00EA7516" w:rsidRPr="00EA6B4F">
        <w:rPr>
          <w:rFonts w:asciiTheme="minorHAnsi" w:hAnsiTheme="minorHAnsi" w:cstheme="minorHAnsi"/>
          <w:iCs/>
        </w:rPr>
        <w:t xml:space="preserve"> year in their </w:t>
      </w:r>
      <w:r w:rsidR="00B01A8E">
        <w:rPr>
          <w:rFonts w:asciiTheme="minorHAnsi" w:hAnsiTheme="minorHAnsi" w:cstheme="minorHAnsi"/>
          <w:iCs/>
        </w:rPr>
        <w:t>F</w:t>
      </w:r>
      <w:r w:rsidR="00471D75" w:rsidRPr="00EA6B4F">
        <w:rPr>
          <w:rFonts w:asciiTheme="minorHAnsi" w:hAnsiTheme="minorHAnsi" w:cstheme="minorHAnsi"/>
          <w:iCs/>
        </w:rPr>
        <w:t>ive-</w:t>
      </w:r>
      <w:r w:rsidR="00B01A8E">
        <w:rPr>
          <w:rFonts w:asciiTheme="minorHAnsi" w:hAnsiTheme="minorHAnsi" w:cstheme="minorHAnsi"/>
          <w:iCs/>
        </w:rPr>
        <w:t>Y</w:t>
      </w:r>
      <w:r w:rsidR="00471D75" w:rsidRPr="00EA6B4F">
        <w:rPr>
          <w:rFonts w:asciiTheme="minorHAnsi" w:hAnsiTheme="minorHAnsi" w:cstheme="minorHAnsi"/>
          <w:iCs/>
        </w:rPr>
        <w:t xml:space="preserve">ear </w:t>
      </w:r>
      <w:r w:rsidR="00B01A8E">
        <w:rPr>
          <w:rFonts w:asciiTheme="minorHAnsi" w:hAnsiTheme="minorHAnsi" w:cstheme="minorHAnsi"/>
          <w:iCs/>
        </w:rPr>
        <w:t>S</w:t>
      </w:r>
      <w:r w:rsidR="00471D75" w:rsidRPr="00EA6B4F">
        <w:rPr>
          <w:rFonts w:asciiTheme="minorHAnsi" w:hAnsiTheme="minorHAnsi" w:cstheme="minorHAnsi"/>
          <w:iCs/>
        </w:rPr>
        <w:t xml:space="preserve">trategic </w:t>
      </w:r>
      <w:r w:rsidR="00B01A8E">
        <w:rPr>
          <w:rFonts w:asciiTheme="minorHAnsi" w:hAnsiTheme="minorHAnsi" w:cstheme="minorHAnsi"/>
          <w:iCs/>
        </w:rPr>
        <w:t>P</w:t>
      </w:r>
      <w:r w:rsidR="00471D75" w:rsidRPr="00EA6B4F">
        <w:rPr>
          <w:rFonts w:asciiTheme="minorHAnsi" w:hAnsiTheme="minorHAnsi" w:cstheme="minorHAnsi"/>
          <w:iCs/>
        </w:rPr>
        <w:t>lan</w:t>
      </w:r>
      <w:r w:rsidR="00E416AD" w:rsidRPr="00EA6B4F">
        <w:rPr>
          <w:rFonts w:asciiTheme="minorHAnsi" w:hAnsiTheme="minorHAnsi" w:cstheme="minorHAnsi"/>
          <w:iCs/>
        </w:rPr>
        <w:t xml:space="preserve"> </w:t>
      </w:r>
      <w:r w:rsidR="00F52759" w:rsidRPr="00EA6B4F">
        <w:rPr>
          <w:rFonts w:asciiTheme="minorHAnsi" w:hAnsiTheme="minorHAnsi" w:cstheme="minorHAnsi"/>
          <w:iCs/>
        </w:rPr>
        <w:t>(</w:t>
      </w:r>
      <w:r w:rsidR="00471D75" w:rsidRPr="00EA6B4F">
        <w:rPr>
          <w:rFonts w:asciiTheme="minorHAnsi" w:hAnsiTheme="minorHAnsi" w:cstheme="minorHAnsi"/>
          <w:iCs/>
        </w:rPr>
        <w:t>FY 20</w:t>
      </w:r>
      <w:r w:rsidR="00067C9A" w:rsidRPr="00EA6B4F">
        <w:rPr>
          <w:rFonts w:asciiTheme="minorHAnsi" w:hAnsiTheme="minorHAnsi" w:cstheme="minorHAnsi"/>
          <w:iCs/>
        </w:rPr>
        <w:t>22</w:t>
      </w:r>
      <w:r w:rsidR="00E416AD" w:rsidRPr="00EA6B4F">
        <w:rPr>
          <w:rFonts w:asciiTheme="minorHAnsi" w:hAnsiTheme="minorHAnsi" w:cstheme="minorHAnsi"/>
          <w:iCs/>
        </w:rPr>
        <w:t>-</w:t>
      </w:r>
      <w:r w:rsidR="00471D75" w:rsidRPr="00EA6B4F">
        <w:rPr>
          <w:rFonts w:asciiTheme="minorHAnsi" w:hAnsiTheme="minorHAnsi" w:cstheme="minorHAnsi"/>
          <w:iCs/>
        </w:rPr>
        <w:t>20</w:t>
      </w:r>
      <w:r w:rsidR="00067C9A" w:rsidRPr="00EA6B4F">
        <w:rPr>
          <w:rFonts w:asciiTheme="minorHAnsi" w:hAnsiTheme="minorHAnsi" w:cstheme="minorHAnsi"/>
          <w:iCs/>
        </w:rPr>
        <w:t>26</w:t>
      </w:r>
      <w:r w:rsidR="00E416AD" w:rsidRPr="00EA6B4F">
        <w:rPr>
          <w:rFonts w:asciiTheme="minorHAnsi" w:hAnsiTheme="minorHAnsi" w:cstheme="minorHAnsi"/>
          <w:iCs/>
        </w:rPr>
        <w:t>)</w:t>
      </w:r>
      <w:r w:rsidR="00471D75" w:rsidRPr="00EA6B4F">
        <w:rPr>
          <w:rFonts w:asciiTheme="minorHAnsi" w:hAnsiTheme="minorHAnsi" w:cstheme="minorHAnsi"/>
          <w:iCs/>
        </w:rPr>
        <w:t xml:space="preserve"> and annual goals were established for measuring the performance and effectiveness of its programs and services. </w:t>
      </w:r>
      <w:r w:rsidR="00E416AD" w:rsidRPr="00EA6B4F">
        <w:rPr>
          <w:rFonts w:asciiTheme="minorHAnsi" w:hAnsiTheme="minorHAnsi" w:cstheme="minorHAnsi"/>
          <w:iCs/>
        </w:rPr>
        <w:t xml:space="preserve"> </w:t>
      </w:r>
      <w:r w:rsidR="00471D75" w:rsidRPr="00EA6B4F">
        <w:rPr>
          <w:rFonts w:asciiTheme="minorHAnsi" w:hAnsiTheme="minorHAnsi" w:cstheme="minorHAnsi"/>
          <w:iCs/>
        </w:rPr>
        <w:t>Details are addressed in ADOSH’s FY 202</w:t>
      </w:r>
      <w:r w:rsidR="00C14105" w:rsidRPr="00EA6B4F">
        <w:rPr>
          <w:rFonts w:asciiTheme="minorHAnsi" w:hAnsiTheme="minorHAnsi" w:cstheme="minorHAnsi"/>
          <w:iCs/>
        </w:rPr>
        <w:t>5</w:t>
      </w:r>
      <w:r w:rsidR="00471D75" w:rsidRPr="00EA6B4F">
        <w:rPr>
          <w:rFonts w:asciiTheme="minorHAnsi" w:hAnsiTheme="minorHAnsi" w:cstheme="minorHAnsi"/>
          <w:iCs/>
        </w:rPr>
        <w:t xml:space="preserve"> State OSHA Annual Report (SOAR).  </w:t>
      </w:r>
    </w:p>
    <w:p w14:paraId="5E7062D1" w14:textId="66857C67" w:rsidR="00471D75" w:rsidRPr="00C14105" w:rsidRDefault="00471D75" w:rsidP="00FB7F23">
      <w:pPr>
        <w:widowControl/>
        <w:autoSpaceDE/>
        <w:autoSpaceDN/>
        <w:adjustRightInd/>
        <w:rPr>
          <w:rFonts w:asciiTheme="minorHAnsi" w:hAnsiTheme="minorHAnsi" w:cstheme="minorHAnsi"/>
          <w:iCs/>
          <w:highlight w:val="yellow"/>
        </w:rPr>
      </w:pPr>
    </w:p>
    <w:p w14:paraId="261D8F35" w14:textId="7010BA22" w:rsidR="0028052F" w:rsidRPr="00F56013" w:rsidRDefault="0064200E" w:rsidP="29BB3363">
      <w:pPr>
        <w:widowControl/>
        <w:tabs>
          <w:tab w:val="left" w:pos="540"/>
          <w:tab w:val="num" w:pos="1080"/>
        </w:tabs>
        <w:autoSpaceDE/>
        <w:autoSpaceDN/>
        <w:adjustRightInd/>
        <w:rPr>
          <w:rFonts w:asciiTheme="minorHAnsi" w:hAnsiTheme="minorHAnsi" w:cstheme="minorBidi"/>
        </w:rPr>
      </w:pPr>
      <w:r w:rsidRPr="00F56013">
        <w:rPr>
          <w:rFonts w:asciiTheme="minorHAnsi" w:hAnsiTheme="minorHAnsi" w:cstheme="minorBidi"/>
        </w:rPr>
        <w:t xml:space="preserve">ADOSH focused on </w:t>
      </w:r>
      <w:r w:rsidR="00C87A50" w:rsidRPr="00F56013">
        <w:rPr>
          <w:rFonts w:asciiTheme="minorHAnsi" w:hAnsiTheme="minorHAnsi" w:cstheme="minorBidi"/>
        </w:rPr>
        <w:t>reducing injuries, illnesses</w:t>
      </w:r>
      <w:r w:rsidR="00A54A07">
        <w:rPr>
          <w:rFonts w:asciiTheme="minorHAnsi" w:hAnsiTheme="minorHAnsi" w:cstheme="minorBidi"/>
        </w:rPr>
        <w:t>,</w:t>
      </w:r>
      <w:r w:rsidR="00C87A50" w:rsidRPr="00F56013">
        <w:rPr>
          <w:rFonts w:asciiTheme="minorHAnsi" w:hAnsiTheme="minorHAnsi" w:cstheme="minorBidi"/>
        </w:rPr>
        <w:t xml:space="preserve"> and fatalities</w:t>
      </w:r>
      <w:r w:rsidR="00A54A07">
        <w:rPr>
          <w:rFonts w:asciiTheme="minorHAnsi" w:hAnsiTheme="minorHAnsi" w:cstheme="minorBidi"/>
        </w:rPr>
        <w:t>;</w:t>
      </w:r>
      <w:r w:rsidR="00102629" w:rsidRPr="00F56013">
        <w:rPr>
          <w:rFonts w:asciiTheme="minorHAnsi" w:hAnsiTheme="minorHAnsi" w:cstheme="minorBidi"/>
        </w:rPr>
        <w:t xml:space="preserve"> promoting workplace culture and commitment to safety and health</w:t>
      </w:r>
      <w:r w:rsidR="00A54A07">
        <w:rPr>
          <w:rFonts w:asciiTheme="minorHAnsi" w:hAnsiTheme="minorHAnsi" w:cstheme="minorBidi"/>
        </w:rPr>
        <w:t>;</w:t>
      </w:r>
      <w:r w:rsidR="00102629" w:rsidRPr="00F56013">
        <w:rPr>
          <w:rFonts w:asciiTheme="minorHAnsi" w:hAnsiTheme="minorHAnsi" w:cstheme="minorBidi"/>
        </w:rPr>
        <w:t xml:space="preserve"> and strengthening </w:t>
      </w:r>
      <w:r w:rsidR="008411E8" w:rsidRPr="00F56013">
        <w:rPr>
          <w:rFonts w:asciiTheme="minorHAnsi" w:hAnsiTheme="minorHAnsi" w:cstheme="minorBidi"/>
        </w:rPr>
        <w:t xml:space="preserve">the development and delivery of </w:t>
      </w:r>
      <w:r w:rsidR="00A4737E">
        <w:rPr>
          <w:rFonts w:asciiTheme="minorHAnsi" w:hAnsiTheme="minorHAnsi" w:cstheme="minorBidi"/>
        </w:rPr>
        <w:t>its</w:t>
      </w:r>
      <w:r w:rsidR="008411E8" w:rsidRPr="00F56013">
        <w:rPr>
          <w:rFonts w:asciiTheme="minorHAnsi" w:hAnsiTheme="minorHAnsi" w:cstheme="minorBidi"/>
        </w:rPr>
        <w:t xml:space="preserve"> services.  Although </w:t>
      </w:r>
      <w:r w:rsidR="00A4737E">
        <w:rPr>
          <w:rFonts w:asciiTheme="minorHAnsi" w:hAnsiTheme="minorHAnsi" w:cstheme="minorBidi"/>
        </w:rPr>
        <w:t>the State Plan</w:t>
      </w:r>
      <w:r w:rsidR="008411E8" w:rsidRPr="00F56013">
        <w:rPr>
          <w:rFonts w:asciiTheme="minorHAnsi" w:hAnsiTheme="minorHAnsi" w:cstheme="minorBidi"/>
        </w:rPr>
        <w:t xml:space="preserve"> met their safety and health compliance staffing benchmarks, they fell short</w:t>
      </w:r>
      <w:r w:rsidR="003C19C4">
        <w:rPr>
          <w:rFonts w:asciiTheme="minorHAnsi" w:hAnsiTheme="minorHAnsi" w:cstheme="minorBidi"/>
        </w:rPr>
        <w:t xml:space="preserve"> </w:t>
      </w:r>
      <w:r w:rsidR="008411E8" w:rsidRPr="00F56013">
        <w:rPr>
          <w:rFonts w:asciiTheme="minorHAnsi" w:hAnsiTheme="minorHAnsi" w:cstheme="minorBidi"/>
        </w:rPr>
        <w:t xml:space="preserve">of </w:t>
      </w:r>
      <w:r w:rsidR="003C19C4">
        <w:rPr>
          <w:rFonts w:asciiTheme="minorHAnsi" w:hAnsiTheme="minorHAnsi" w:cstheme="minorBidi"/>
        </w:rPr>
        <w:t xml:space="preserve">meeting </w:t>
      </w:r>
      <w:r w:rsidR="008411E8" w:rsidRPr="00F56013">
        <w:rPr>
          <w:rFonts w:asciiTheme="minorHAnsi" w:hAnsiTheme="minorHAnsi" w:cstheme="minorBidi"/>
        </w:rPr>
        <w:t>their overall inspection goals</w:t>
      </w:r>
      <w:r w:rsidR="00F10D7A" w:rsidRPr="00F56013">
        <w:rPr>
          <w:rFonts w:asciiTheme="minorHAnsi" w:hAnsiTheme="minorHAnsi" w:cstheme="minorBidi"/>
        </w:rPr>
        <w:t xml:space="preserve"> with </w:t>
      </w:r>
      <w:r w:rsidR="00A80BA6" w:rsidRPr="00F56013">
        <w:rPr>
          <w:rFonts w:asciiTheme="minorHAnsi" w:hAnsiTheme="minorHAnsi" w:cstheme="minorBidi"/>
        </w:rPr>
        <w:t>278</w:t>
      </w:r>
      <w:r w:rsidR="00470971">
        <w:rPr>
          <w:rFonts w:asciiTheme="minorHAnsi" w:hAnsiTheme="minorHAnsi" w:cstheme="minorBidi"/>
        </w:rPr>
        <w:t xml:space="preserve"> </w:t>
      </w:r>
      <w:r w:rsidR="00A80BA6" w:rsidRPr="00F56013">
        <w:rPr>
          <w:rFonts w:asciiTheme="minorHAnsi" w:hAnsiTheme="minorHAnsi" w:cstheme="minorBidi"/>
        </w:rPr>
        <w:t>(37%)</w:t>
      </w:r>
      <w:r w:rsidR="00D84EC7">
        <w:rPr>
          <w:rFonts w:asciiTheme="minorHAnsi" w:hAnsiTheme="minorHAnsi" w:cstheme="minorBidi"/>
        </w:rPr>
        <w:t xml:space="preserve"> conducted</w:t>
      </w:r>
      <w:r w:rsidR="008411E8" w:rsidRPr="00F56013">
        <w:rPr>
          <w:rFonts w:asciiTheme="minorHAnsi" w:hAnsiTheme="minorHAnsi" w:cstheme="minorBidi"/>
        </w:rPr>
        <w:t xml:space="preserve">. </w:t>
      </w:r>
      <w:r w:rsidR="001E4597" w:rsidRPr="00F56013">
        <w:rPr>
          <w:rFonts w:asciiTheme="minorHAnsi" w:hAnsiTheme="minorHAnsi" w:cstheme="minorBidi"/>
        </w:rPr>
        <w:t xml:space="preserve"> However, ADOSH </w:t>
      </w:r>
      <w:r w:rsidR="0073579B" w:rsidRPr="00F56013">
        <w:rPr>
          <w:rFonts w:asciiTheme="minorHAnsi" w:hAnsiTheme="minorHAnsi" w:cstheme="minorBidi"/>
        </w:rPr>
        <w:t xml:space="preserve">demonstrated </w:t>
      </w:r>
      <w:r w:rsidR="00F9393A" w:rsidRPr="00F56013">
        <w:rPr>
          <w:rFonts w:asciiTheme="minorHAnsi" w:hAnsiTheme="minorHAnsi" w:cstheme="minorBidi"/>
        </w:rPr>
        <w:t xml:space="preserve">improvement </w:t>
      </w:r>
      <w:r w:rsidR="00A21FE6">
        <w:rPr>
          <w:rFonts w:asciiTheme="minorHAnsi" w:hAnsiTheme="minorHAnsi" w:cstheme="minorBidi"/>
        </w:rPr>
        <w:t xml:space="preserve">identifying serious hazards, </w:t>
      </w:r>
      <w:r w:rsidR="00C93F48">
        <w:rPr>
          <w:rFonts w:asciiTheme="minorHAnsi" w:hAnsiTheme="minorHAnsi" w:cstheme="minorBidi"/>
        </w:rPr>
        <w:t xml:space="preserve">documenting </w:t>
      </w:r>
      <w:r w:rsidR="002A16B5">
        <w:rPr>
          <w:rFonts w:asciiTheme="minorHAnsi" w:hAnsiTheme="minorHAnsi" w:cstheme="minorBidi"/>
        </w:rPr>
        <w:t xml:space="preserve">facts in the case file, </w:t>
      </w:r>
      <w:r w:rsidR="00ED67DC">
        <w:rPr>
          <w:rFonts w:asciiTheme="minorHAnsi" w:hAnsiTheme="minorHAnsi" w:cstheme="minorBidi"/>
        </w:rPr>
        <w:t xml:space="preserve">issuing citations with </w:t>
      </w:r>
      <w:r w:rsidR="00DE1296" w:rsidRPr="00F56013">
        <w:rPr>
          <w:rFonts w:asciiTheme="minorHAnsi" w:hAnsiTheme="minorHAnsi" w:cstheme="minorBidi"/>
        </w:rPr>
        <w:t xml:space="preserve">appropriate penalties, </w:t>
      </w:r>
      <w:r w:rsidR="00ED67DC">
        <w:rPr>
          <w:rFonts w:asciiTheme="minorHAnsi" w:hAnsiTheme="minorHAnsi" w:cstheme="minorBidi"/>
        </w:rPr>
        <w:t xml:space="preserve">and </w:t>
      </w:r>
      <w:r w:rsidR="00DD137C" w:rsidRPr="00F56013">
        <w:rPr>
          <w:rFonts w:asciiTheme="minorHAnsi" w:hAnsiTheme="minorHAnsi" w:cstheme="minorBidi"/>
        </w:rPr>
        <w:t>managing</w:t>
      </w:r>
      <w:r w:rsidR="00C575AC" w:rsidRPr="00F56013">
        <w:rPr>
          <w:rFonts w:asciiTheme="minorHAnsi" w:hAnsiTheme="minorHAnsi" w:cstheme="minorBidi"/>
        </w:rPr>
        <w:t xml:space="preserve"> abatement.  </w:t>
      </w:r>
      <w:r w:rsidR="00ED67DC">
        <w:rPr>
          <w:rFonts w:asciiTheme="minorHAnsi" w:hAnsiTheme="minorHAnsi" w:cstheme="minorBidi"/>
        </w:rPr>
        <w:t xml:space="preserve">In addition, Arizona made notable improvement </w:t>
      </w:r>
      <w:r w:rsidR="00782AE3">
        <w:rPr>
          <w:rFonts w:asciiTheme="minorHAnsi" w:hAnsiTheme="minorHAnsi" w:cstheme="minorBidi"/>
        </w:rPr>
        <w:t xml:space="preserve">with respect to </w:t>
      </w:r>
      <w:r w:rsidR="009A3B30">
        <w:rPr>
          <w:rFonts w:asciiTheme="minorHAnsi" w:hAnsiTheme="minorHAnsi" w:cstheme="minorBidi"/>
        </w:rPr>
        <w:t xml:space="preserve">their process of adopting federal program changes </w:t>
      </w:r>
      <w:r w:rsidR="00826F6E">
        <w:rPr>
          <w:rFonts w:asciiTheme="minorHAnsi" w:hAnsiTheme="minorHAnsi" w:cstheme="minorBidi"/>
        </w:rPr>
        <w:t xml:space="preserve">(FPCs) </w:t>
      </w:r>
      <w:r w:rsidR="009A3B30">
        <w:rPr>
          <w:rFonts w:asciiTheme="minorHAnsi" w:hAnsiTheme="minorHAnsi" w:cstheme="minorBidi"/>
        </w:rPr>
        <w:t xml:space="preserve">timely.  </w:t>
      </w:r>
    </w:p>
    <w:p w14:paraId="7854B2B7" w14:textId="77777777" w:rsidR="0028052F" w:rsidRDefault="0028052F" w:rsidP="29BB3363">
      <w:pPr>
        <w:widowControl/>
        <w:tabs>
          <w:tab w:val="left" w:pos="540"/>
          <w:tab w:val="num" w:pos="1080"/>
        </w:tabs>
        <w:autoSpaceDE/>
        <w:autoSpaceDN/>
        <w:adjustRightInd/>
        <w:rPr>
          <w:rFonts w:asciiTheme="minorHAnsi" w:hAnsiTheme="minorHAnsi" w:cstheme="minorBidi"/>
          <w:highlight w:val="yellow"/>
        </w:rPr>
      </w:pPr>
    </w:p>
    <w:p w14:paraId="48340DEE" w14:textId="31245639" w:rsidR="00730EA0" w:rsidRPr="00471D75" w:rsidRDefault="00BC71CE" w:rsidP="004E22B7">
      <w:pPr>
        <w:widowControl/>
        <w:tabs>
          <w:tab w:val="left" w:pos="540"/>
          <w:tab w:val="num" w:pos="1080"/>
        </w:tabs>
        <w:autoSpaceDE/>
        <w:autoSpaceDN/>
        <w:adjustRightInd/>
        <w:rPr>
          <w:rFonts w:asciiTheme="minorHAnsi" w:hAnsiTheme="minorHAnsi" w:cstheme="minorBidi"/>
          <w:b/>
          <w:color w:val="4F81BD" w:themeColor="accent1"/>
        </w:rPr>
      </w:pPr>
      <w:r w:rsidRPr="007571CD">
        <w:rPr>
          <w:rFonts w:asciiTheme="minorHAnsi" w:hAnsiTheme="minorHAnsi" w:cstheme="minorBidi"/>
        </w:rPr>
        <w:t xml:space="preserve">Overall, the Arizona State Plan made progress to address the previous </w:t>
      </w:r>
      <w:r w:rsidR="001A36CD" w:rsidRPr="007571CD">
        <w:rPr>
          <w:rFonts w:asciiTheme="minorHAnsi" w:hAnsiTheme="minorHAnsi" w:cstheme="minorBidi"/>
        </w:rPr>
        <w:t>four</w:t>
      </w:r>
      <w:r w:rsidRPr="007571CD">
        <w:rPr>
          <w:rFonts w:asciiTheme="minorHAnsi" w:hAnsiTheme="minorHAnsi" w:cstheme="minorBidi"/>
        </w:rPr>
        <w:t xml:space="preserve"> findings and three observations from the FY 2024 Follow-</w:t>
      </w:r>
      <w:r w:rsidR="00826F6E">
        <w:rPr>
          <w:rFonts w:asciiTheme="minorHAnsi" w:hAnsiTheme="minorHAnsi" w:cstheme="minorBidi"/>
        </w:rPr>
        <w:t>u</w:t>
      </w:r>
      <w:r w:rsidRPr="007571CD">
        <w:rPr>
          <w:rFonts w:asciiTheme="minorHAnsi" w:hAnsiTheme="minorHAnsi" w:cstheme="minorBidi"/>
        </w:rPr>
        <w:t xml:space="preserve">p FAME </w:t>
      </w:r>
      <w:r w:rsidR="00826F6E">
        <w:rPr>
          <w:rFonts w:asciiTheme="minorHAnsi" w:hAnsiTheme="minorHAnsi" w:cstheme="minorBidi"/>
        </w:rPr>
        <w:t>R</w:t>
      </w:r>
      <w:r w:rsidRPr="007571CD">
        <w:rPr>
          <w:rFonts w:asciiTheme="minorHAnsi" w:hAnsiTheme="minorHAnsi" w:cstheme="minorBidi"/>
        </w:rPr>
        <w:t>eport.  In FY 202</w:t>
      </w:r>
      <w:r w:rsidR="004E6C4B" w:rsidRPr="007571CD">
        <w:rPr>
          <w:rFonts w:asciiTheme="minorHAnsi" w:hAnsiTheme="minorHAnsi" w:cstheme="minorBidi"/>
        </w:rPr>
        <w:t>5</w:t>
      </w:r>
      <w:r w:rsidRPr="007571CD">
        <w:rPr>
          <w:rFonts w:asciiTheme="minorHAnsi" w:hAnsiTheme="minorHAnsi" w:cstheme="minorBidi"/>
        </w:rPr>
        <w:t xml:space="preserve">, </w:t>
      </w:r>
      <w:r w:rsidR="003F5925" w:rsidRPr="007571CD">
        <w:rPr>
          <w:rFonts w:asciiTheme="minorHAnsi" w:hAnsiTheme="minorHAnsi" w:cstheme="minorBidi"/>
        </w:rPr>
        <w:t>one</w:t>
      </w:r>
      <w:r w:rsidRPr="007571CD">
        <w:rPr>
          <w:rFonts w:asciiTheme="minorHAnsi" w:hAnsiTheme="minorHAnsi" w:cstheme="minorBidi"/>
        </w:rPr>
        <w:t xml:space="preserve"> finding w</w:t>
      </w:r>
      <w:r w:rsidR="00A64147" w:rsidRPr="007571CD">
        <w:rPr>
          <w:rFonts w:asciiTheme="minorHAnsi" w:hAnsiTheme="minorHAnsi" w:cstheme="minorBidi"/>
        </w:rPr>
        <w:t>as</w:t>
      </w:r>
      <w:r w:rsidRPr="007571CD">
        <w:rPr>
          <w:rFonts w:asciiTheme="minorHAnsi" w:hAnsiTheme="minorHAnsi" w:cstheme="minorBidi"/>
        </w:rPr>
        <w:t xml:space="preserve"> completed</w:t>
      </w:r>
      <w:r w:rsidR="00D82CFA" w:rsidRPr="007571CD">
        <w:rPr>
          <w:rFonts w:asciiTheme="minorHAnsi" w:hAnsiTheme="minorHAnsi" w:cstheme="minorBidi"/>
        </w:rPr>
        <w:t xml:space="preserve"> and three </w:t>
      </w:r>
      <w:r w:rsidRPr="007571CD">
        <w:rPr>
          <w:rFonts w:asciiTheme="minorHAnsi" w:hAnsiTheme="minorHAnsi" w:cstheme="minorBidi"/>
        </w:rPr>
        <w:t xml:space="preserve">were continued.  In addition, </w:t>
      </w:r>
      <w:r w:rsidR="0011390F">
        <w:rPr>
          <w:rFonts w:asciiTheme="minorHAnsi" w:hAnsiTheme="minorHAnsi" w:cstheme="minorBidi"/>
        </w:rPr>
        <w:t>three</w:t>
      </w:r>
      <w:r w:rsidRPr="007571CD">
        <w:rPr>
          <w:rFonts w:asciiTheme="minorHAnsi" w:hAnsiTheme="minorHAnsi" w:cstheme="minorBidi"/>
        </w:rPr>
        <w:t xml:space="preserve"> previous observation</w:t>
      </w:r>
      <w:r w:rsidR="00451F80">
        <w:rPr>
          <w:rFonts w:asciiTheme="minorHAnsi" w:hAnsiTheme="minorHAnsi" w:cstheme="minorBidi"/>
        </w:rPr>
        <w:t>s</w:t>
      </w:r>
      <w:r w:rsidRPr="007571CD">
        <w:rPr>
          <w:rFonts w:asciiTheme="minorHAnsi" w:hAnsiTheme="minorHAnsi" w:cstheme="minorBidi"/>
        </w:rPr>
        <w:t xml:space="preserve"> w</w:t>
      </w:r>
      <w:r w:rsidR="00451F80">
        <w:rPr>
          <w:rFonts w:asciiTheme="minorHAnsi" w:hAnsiTheme="minorHAnsi" w:cstheme="minorBidi"/>
        </w:rPr>
        <w:t xml:space="preserve">ere </w:t>
      </w:r>
      <w:r w:rsidRPr="007571CD">
        <w:rPr>
          <w:rFonts w:asciiTheme="minorHAnsi" w:hAnsiTheme="minorHAnsi" w:cstheme="minorBidi"/>
        </w:rPr>
        <w:t>closed</w:t>
      </w:r>
      <w:r w:rsidR="0011390F">
        <w:rPr>
          <w:rFonts w:asciiTheme="minorHAnsi" w:hAnsiTheme="minorHAnsi" w:cstheme="minorBidi"/>
        </w:rPr>
        <w:t>.</w:t>
      </w:r>
      <w:r w:rsidRPr="007571CD">
        <w:rPr>
          <w:rFonts w:asciiTheme="minorHAnsi" w:hAnsiTheme="minorHAnsi" w:cstheme="minorBidi"/>
        </w:rPr>
        <w:t xml:space="preserve">  </w:t>
      </w:r>
      <w:r w:rsidR="00A074D6">
        <w:rPr>
          <w:rFonts w:asciiTheme="minorHAnsi" w:hAnsiTheme="minorHAnsi" w:cstheme="minorBidi"/>
        </w:rPr>
        <w:t xml:space="preserve">There was one new </w:t>
      </w:r>
      <w:r w:rsidRPr="007571CD">
        <w:rPr>
          <w:rFonts w:asciiTheme="minorHAnsi" w:hAnsiTheme="minorHAnsi" w:cstheme="minorBidi"/>
        </w:rPr>
        <w:t>finding</w:t>
      </w:r>
      <w:r w:rsidR="00A074D6">
        <w:rPr>
          <w:rFonts w:asciiTheme="minorHAnsi" w:hAnsiTheme="minorHAnsi" w:cstheme="minorBidi"/>
        </w:rPr>
        <w:t xml:space="preserve"> </w:t>
      </w:r>
      <w:r w:rsidR="009817D3">
        <w:rPr>
          <w:rFonts w:asciiTheme="minorHAnsi" w:hAnsiTheme="minorHAnsi" w:cstheme="minorBidi"/>
        </w:rPr>
        <w:t xml:space="preserve">and one new observation </w:t>
      </w:r>
      <w:r w:rsidR="00A074D6">
        <w:rPr>
          <w:rFonts w:asciiTheme="minorHAnsi" w:hAnsiTheme="minorHAnsi" w:cstheme="minorBidi"/>
        </w:rPr>
        <w:t>that</w:t>
      </w:r>
      <w:r w:rsidRPr="007571CD">
        <w:rPr>
          <w:rFonts w:asciiTheme="minorHAnsi" w:hAnsiTheme="minorHAnsi" w:cstheme="minorBidi"/>
        </w:rPr>
        <w:t xml:space="preserve"> </w:t>
      </w:r>
      <w:r w:rsidR="006E081D" w:rsidRPr="007571CD">
        <w:rPr>
          <w:rFonts w:asciiTheme="minorHAnsi" w:hAnsiTheme="minorHAnsi" w:cstheme="minorBidi"/>
        </w:rPr>
        <w:t>requires</w:t>
      </w:r>
      <w:r w:rsidRPr="007571CD">
        <w:rPr>
          <w:rFonts w:asciiTheme="minorHAnsi" w:hAnsiTheme="minorHAnsi" w:cstheme="minorBidi"/>
        </w:rPr>
        <w:t xml:space="preserve"> Arizona’s attention and will be monitored in </w:t>
      </w:r>
      <w:r w:rsidR="00826F6E">
        <w:rPr>
          <w:rFonts w:asciiTheme="minorHAnsi" w:hAnsiTheme="minorHAnsi" w:cstheme="minorBidi"/>
        </w:rPr>
        <w:t xml:space="preserve">the </w:t>
      </w:r>
      <w:r w:rsidRPr="007571CD">
        <w:rPr>
          <w:rFonts w:asciiTheme="minorHAnsi" w:hAnsiTheme="minorHAnsi" w:cstheme="minorBidi"/>
        </w:rPr>
        <w:t>FY 202</w:t>
      </w:r>
      <w:r w:rsidR="009817D3">
        <w:rPr>
          <w:rFonts w:asciiTheme="minorHAnsi" w:hAnsiTheme="minorHAnsi" w:cstheme="minorBidi"/>
        </w:rPr>
        <w:t>6</w:t>
      </w:r>
      <w:r w:rsidR="00826F6E">
        <w:rPr>
          <w:rFonts w:asciiTheme="minorHAnsi" w:hAnsiTheme="minorHAnsi" w:cstheme="minorBidi"/>
        </w:rPr>
        <w:t xml:space="preserve"> performance period</w:t>
      </w:r>
      <w:r w:rsidRPr="007571CD">
        <w:rPr>
          <w:rFonts w:asciiTheme="minorHAnsi" w:hAnsiTheme="minorHAnsi" w:cstheme="minorBidi"/>
        </w:rPr>
        <w:t>.</w:t>
      </w:r>
      <w:r>
        <w:rPr>
          <w:rFonts w:asciiTheme="minorHAnsi" w:hAnsiTheme="minorHAnsi" w:cstheme="minorBidi"/>
        </w:rPr>
        <w:t xml:space="preserve">  </w:t>
      </w:r>
      <w:r w:rsidR="00471D75" w:rsidRPr="00C43540">
        <w:rPr>
          <w:rFonts w:asciiTheme="minorHAnsi" w:hAnsiTheme="minorHAnsi" w:cstheme="minorBidi"/>
        </w:rPr>
        <w:t>Appendix A describes the new and continued findings and recommendations.  Appendix B describes observations subject to continued monitoring and the related federal monitoring plan.  Appendix C describes the status of previous findings with associated completed corrective action.</w:t>
      </w:r>
    </w:p>
    <w:p w14:paraId="240FBD40" w14:textId="4FD33628" w:rsidR="005D1101" w:rsidRDefault="005D1101" w:rsidP="004E22B7">
      <w:pPr>
        <w:widowControl/>
        <w:tabs>
          <w:tab w:val="left" w:pos="540"/>
          <w:tab w:val="num" w:pos="1080"/>
        </w:tabs>
        <w:autoSpaceDE/>
        <w:autoSpaceDN/>
        <w:adjustRightInd/>
        <w:rPr>
          <w:rFonts w:asciiTheme="minorHAnsi" w:hAnsiTheme="minorHAnsi" w:cstheme="minorHAnsi"/>
          <w:b/>
          <w:color w:val="4F81BD" w:themeColor="accent1"/>
        </w:rPr>
      </w:pPr>
    </w:p>
    <w:p w14:paraId="46107D10" w14:textId="77777777" w:rsidR="00826F6E" w:rsidRPr="00AB7C44" w:rsidRDefault="00826F6E" w:rsidP="004E22B7">
      <w:pPr>
        <w:widowControl/>
        <w:tabs>
          <w:tab w:val="left" w:pos="540"/>
          <w:tab w:val="num" w:pos="1080"/>
        </w:tabs>
        <w:autoSpaceDE/>
        <w:autoSpaceDN/>
        <w:adjustRightInd/>
        <w:rPr>
          <w:rFonts w:asciiTheme="minorHAnsi" w:hAnsiTheme="minorHAnsi" w:cstheme="minorHAnsi"/>
          <w:b/>
          <w:color w:val="4F81BD" w:themeColor="accent1"/>
        </w:rPr>
      </w:pPr>
    </w:p>
    <w:p w14:paraId="1007391B" w14:textId="685E1A9A" w:rsidR="00836129" w:rsidRDefault="008B1863" w:rsidP="00970209">
      <w:pPr>
        <w:pStyle w:val="Heading2"/>
        <w:numPr>
          <w:ilvl w:val="0"/>
          <w:numId w:val="16"/>
        </w:numPr>
        <w:spacing w:before="0"/>
        <w:ind w:left="360" w:hanging="180"/>
        <w:rPr>
          <w:sz w:val="28"/>
          <w:szCs w:val="28"/>
        </w:rPr>
      </w:pPr>
      <w:bookmarkStart w:id="3" w:name="State_Plan_Background"/>
      <w:bookmarkStart w:id="4" w:name="_Toc160178408"/>
      <w:bookmarkStart w:id="5" w:name="_Toc225327051"/>
      <w:bookmarkEnd w:id="3"/>
      <w:r w:rsidRPr="00142B26">
        <w:rPr>
          <w:sz w:val="28"/>
          <w:szCs w:val="28"/>
        </w:rPr>
        <w:t xml:space="preserve">State </w:t>
      </w:r>
      <w:r w:rsidR="00836129" w:rsidRPr="00142B26">
        <w:rPr>
          <w:sz w:val="28"/>
          <w:szCs w:val="28"/>
        </w:rPr>
        <w:t>Plan Background</w:t>
      </w:r>
      <w:bookmarkEnd w:id="4"/>
      <w:bookmarkEnd w:id="5"/>
    </w:p>
    <w:p w14:paraId="2F3061D9" w14:textId="77777777" w:rsidR="00E51919" w:rsidRPr="00E51919" w:rsidRDefault="00E51919" w:rsidP="00E51919"/>
    <w:p w14:paraId="61D15D74" w14:textId="77777777" w:rsidR="008B7258" w:rsidRDefault="746F16E6" w:rsidP="00E51919">
      <w:pPr>
        <w:pStyle w:val="Heading3"/>
        <w:numPr>
          <w:ilvl w:val="0"/>
          <w:numId w:val="8"/>
        </w:numPr>
        <w:spacing w:before="0"/>
        <w:rPr>
          <w:rFonts w:cstheme="minorHAnsi"/>
        </w:rPr>
      </w:pPr>
      <w:bookmarkStart w:id="6" w:name="Background"/>
      <w:bookmarkStart w:id="7" w:name="_Toc160178409"/>
      <w:bookmarkStart w:id="8" w:name="_Toc225327052"/>
      <w:bookmarkEnd w:id="6"/>
      <w:r w:rsidRPr="00B35C11">
        <w:rPr>
          <w:rFonts w:cstheme="minorHAnsi"/>
        </w:rPr>
        <w:t>Background</w:t>
      </w:r>
      <w:bookmarkEnd w:id="7"/>
      <w:bookmarkEnd w:id="8"/>
    </w:p>
    <w:p w14:paraId="76C4DE99" w14:textId="77777777" w:rsidR="00672699" w:rsidRPr="00672699" w:rsidRDefault="00672699" w:rsidP="00444C80"/>
    <w:p w14:paraId="07AEAB62" w14:textId="40A6A332" w:rsidR="0031604F" w:rsidRDefault="66D98FBC" w:rsidP="5CA2E40D">
      <w:pPr>
        <w:rPr>
          <w:rFonts w:asciiTheme="minorHAnsi" w:eastAsia="Calibri" w:hAnsiTheme="minorHAnsi" w:cstheme="minorHAnsi"/>
          <w:color w:val="000000" w:themeColor="text1"/>
        </w:rPr>
      </w:pPr>
      <w:r w:rsidRPr="00D64CC0">
        <w:rPr>
          <w:rFonts w:asciiTheme="minorHAnsi" w:eastAsia="Calibri" w:hAnsiTheme="minorHAnsi" w:cstheme="minorHAnsi"/>
          <w:color w:val="000000" w:themeColor="text1"/>
        </w:rPr>
        <w:t>The State of Arizona</w:t>
      </w:r>
      <w:r w:rsidR="00DD1CA1">
        <w:rPr>
          <w:rFonts w:asciiTheme="minorHAnsi" w:eastAsia="Calibri" w:hAnsiTheme="minorHAnsi" w:cstheme="minorHAnsi"/>
          <w:color w:val="000000" w:themeColor="text1"/>
        </w:rPr>
        <w:t xml:space="preserve">, under an agreement with OSHA, </w:t>
      </w:r>
      <w:r w:rsidRPr="00D64CC0">
        <w:rPr>
          <w:rFonts w:asciiTheme="minorHAnsi" w:eastAsia="Calibri" w:hAnsiTheme="minorHAnsi" w:cstheme="minorHAnsi"/>
          <w:color w:val="000000" w:themeColor="text1"/>
        </w:rPr>
        <w:t>operates an occupational safety and health program</w:t>
      </w:r>
      <w:r w:rsidR="00217DE4">
        <w:rPr>
          <w:rFonts w:asciiTheme="minorHAnsi" w:eastAsia="Calibri" w:hAnsiTheme="minorHAnsi" w:cstheme="minorHAnsi"/>
          <w:color w:val="000000" w:themeColor="text1"/>
        </w:rPr>
        <w:t xml:space="preserve"> </w:t>
      </w:r>
      <w:r w:rsidR="0079290D">
        <w:rPr>
          <w:rFonts w:asciiTheme="minorHAnsi" w:eastAsia="Calibri" w:hAnsiTheme="minorHAnsi" w:cstheme="minorHAnsi"/>
          <w:color w:val="000000" w:themeColor="text1"/>
        </w:rPr>
        <w:t xml:space="preserve">administered </w:t>
      </w:r>
      <w:r w:rsidR="00217DE4">
        <w:rPr>
          <w:rFonts w:asciiTheme="minorHAnsi" w:eastAsia="Calibri" w:hAnsiTheme="minorHAnsi" w:cstheme="minorHAnsi"/>
          <w:color w:val="000000" w:themeColor="text1"/>
        </w:rPr>
        <w:t>by ADOSH under the Industrial Commission of Arizona (ICA)</w:t>
      </w:r>
      <w:r w:rsidR="00DD1CA1">
        <w:rPr>
          <w:rFonts w:asciiTheme="minorHAnsi" w:eastAsia="Calibri" w:hAnsiTheme="minorHAnsi" w:cstheme="minorHAnsi"/>
          <w:color w:val="000000" w:themeColor="text1"/>
        </w:rPr>
        <w:t>, per Section 18 of the Occupational Safety and Health Act of 1970</w:t>
      </w:r>
      <w:r w:rsidRPr="00D64CC0">
        <w:rPr>
          <w:rFonts w:asciiTheme="minorHAnsi" w:eastAsia="Calibri" w:hAnsiTheme="minorHAnsi" w:cstheme="minorHAnsi"/>
          <w:color w:val="000000" w:themeColor="text1"/>
        </w:rPr>
        <w:t xml:space="preserve">. </w:t>
      </w:r>
      <w:r w:rsidR="00D64CC0" w:rsidRPr="00D64CC0">
        <w:rPr>
          <w:rFonts w:asciiTheme="minorHAnsi" w:eastAsia="Calibri" w:hAnsiTheme="minorHAnsi" w:cstheme="minorHAnsi"/>
          <w:color w:val="000000" w:themeColor="text1"/>
        </w:rPr>
        <w:t xml:space="preserve"> </w:t>
      </w:r>
      <w:r w:rsidR="008A40F3">
        <w:rPr>
          <w:rFonts w:asciiTheme="minorHAnsi" w:eastAsia="Calibri" w:hAnsiTheme="minorHAnsi" w:cstheme="minorHAnsi"/>
          <w:color w:val="000000" w:themeColor="text1"/>
        </w:rPr>
        <w:t xml:space="preserve">Arizona received approval for the state plan on </w:t>
      </w:r>
      <w:r w:rsidR="00E54805">
        <w:rPr>
          <w:rFonts w:asciiTheme="minorHAnsi" w:eastAsia="Calibri" w:hAnsiTheme="minorHAnsi" w:cstheme="minorHAnsi"/>
          <w:color w:val="000000" w:themeColor="text1"/>
        </w:rPr>
        <w:t>November 5, 1974</w:t>
      </w:r>
      <w:r w:rsidR="00182E02">
        <w:rPr>
          <w:rFonts w:asciiTheme="minorHAnsi" w:eastAsia="Calibri" w:hAnsiTheme="minorHAnsi" w:cstheme="minorHAnsi"/>
          <w:color w:val="000000" w:themeColor="text1"/>
        </w:rPr>
        <w:t xml:space="preserve">.  On September 18, 1981, OSHA certified that all developmental steps were completed as specified in the plan, and final approval was granted on June 20, 1985. </w:t>
      </w:r>
    </w:p>
    <w:p w14:paraId="640DF0CE" w14:textId="77777777" w:rsidR="002B20B1" w:rsidRDefault="002B20B1" w:rsidP="5CA2E40D">
      <w:pPr>
        <w:rPr>
          <w:rFonts w:asciiTheme="minorHAnsi" w:eastAsia="Calibri" w:hAnsiTheme="minorHAnsi" w:cstheme="minorHAnsi"/>
          <w:color w:val="000000" w:themeColor="text1"/>
        </w:rPr>
      </w:pPr>
    </w:p>
    <w:p w14:paraId="4AF551C2" w14:textId="3163025B" w:rsidR="66D98FBC" w:rsidRPr="00D64CC0" w:rsidRDefault="00315171" w:rsidP="5CA2E40D">
      <w:pPr>
        <w:rPr>
          <w:rFonts w:asciiTheme="minorHAnsi" w:eastAsia="Calibri" w:hAnsiTheme="minorHAnsi" w:cstheme="minorHAnsi"/>
          <w:color w:val="000000" w:themeColor="text1"/>
        </w:rPr>
      </w:pPr>
      <w:r>
        <w:rPr>
          <w:rFonts w:asciiTheme="minorHAnsi" w:eastAsia="Calibri" w:hAnsiTheme="minorHAnsi" w:cstheme="minorHAnsi"/>
          <w:color w:val="000000" w:themeColor="text1"/>
        </w:rPr>
        <w:lastRenderedPageBreak/>
        <w:t>Gaetano Testini</w:t>
      </w:r>
      <w:r w:rsidR="66D98FBC" w:rsidRPr="00D64CC0">
        <w:rPr>
          <w:rFonts w:asciiTheme="minorHAnsi" w:eastAsia="Calibri" w:hAnsiTheme="minorHAnsi" w:cstheme="minorHAnsi"/>
          <w:color w:val="000000" w:themeColor="text1"/>
        </w:rPr>
        <w:t xml:space="preserve"> served as the Director of the ICA and State Plan Designee.</w:t>
      </w:r>
      <w:r w:rsidR="00D64CC0" w:rsidRPr="00D64CC0">
        <w:rPr>
          <w:rFonts w:asciiTheme="minorHAnsi" w:eastAsia="Calibri" w:hAnsiTheme="minorHAnsi" w:cstheme="minorHAnsi"/>
          <w:color w:val="000000" w:themeColor="text1"/>
        </w:rPr>
        <w:t xml:space="preserve"> </w:t>
      </w:r>
      <w:r w:rsidR="66D98FBC" w:rsidRPr="00D64CC0">
        <w:rPr>
          <w:rFonts w:asciiTheme="minorHAnsi" w:eastAsia="Calibri" w:hAnsiTheme="minorHAnsi" w:cstheme="minorHAnsi"/>
          <w:color w:val="000000" w:themeColor="text1"/>
        </w:rPr>
        <w:t xml:space="preserve"> </w:t>
      </w:r>
      <w:r w:rsidR="00460F61">
        <w:rPr>
          <w:rFonts w:asciiTheme="minorHAnsi" w:eastAsia="Calibri" w:hAnsiTheme="minorHAnsi" w:cstheme="minorHAnsi"/>
          <w:color w:val="000000" w:themeColor="text1"/>
        </w:rPr>
        <w:t xml:space="preserve">Brandt Smith was appointed as the Deputy Director of the ICA in May 2025, and prior </w:t>
      </w:r>
      <w:r w:rsidR="00826F6E">
        <w:rPr>
          <w:rFonts w:asciiTheme="minorHAnsi" w:eastAsia="Calibri" w:hAnsiTheme="minorHAnsi" w:cstheme="minorHAnsi"/>
          <w:color w:val="000000" w:themeColor="text1"/>
        </w:rPr>
        <w:t>to that</w:t>
      </w:r>
      <w:r w:rsidR="00460F61">
        <w:rPr>
          <w:rFonts w:asciiTheme="minorHAnsi" w:eastAsia="Calibri" w:hAnsiTheme="minorHAnsi" w:cstheme="minorHAnsi"/>
          <w:color w:val="000000" w:themeColor="text1"/>
        </w:rPr>
        <w:t>,</w:t>
      </w:r>
      <w:r w:rsidR="00B775AF">
        <w:rPr>
          <w:rFonts w:asciiTheme="minorHAnsi" w:eastAsia="Calibri" w:hAnsiTheme="minorHAnsi" w:cstheme="minorHAnsi"/>
          <w:color w:val="000000" w:themeColor="text1"/>
        </w:rPr>
        <w:t xml:space="preserve"> he</w:t>
      </w:r>
      <w:r w:rsidR="00460F61">
        <w:rPr>
          <w:rFonts w:asciiTheme="minorHAnsi" w:eastAsia="Calibri" w:hAnsiTheme="minorHAnsi" w:cstheme="minorHAnsi"/>
          <w:color w:val="000000" w:themeColor="text1"/>
        </w:rPr>
        <w:t xml:space="preserve"> was the Deputy Director for Administration in ADOSH.  </w:t>
      </w:r>
      <w:r w:rsidR="00C20202">
        <w:rPr>
          <w:rFonts w:asciiTheme="minorHAnsi" w:eastAsia="Calibri" w:hAnsiTheme="minorHAnsi" w:cstheme="minorHAnsi"/>
          <w:color w:val="000000" w:themeColor="text1"/>
        </w:rPr>
        <w:t>Brian Hudson</w:t>
      </w:r>
      <w:r w:rsidR="004F6DEA">
        <w:rPr>
          <w:rFonts w:asciiTheme="minorHAnsi" w:eastAsia="Calibri" w:hAnsiTheme="minorHAnsi" w:cstheme="minorHAnsi"/>
          <w:color w:val="000000" w:themeColor="text1"/>
        </w:rPr>
        <w:t xml:space="preserve"> served as</w:t>
      </w:r>
      <w:r w:rsidR="66D98FBC" w:rsidRPr="00D64CC0">
        <w:rPr>
          <w:rFonts w:asciiTheme="minorHAnsi" w:eastAsia="Calibri" w:hAnsiTheme="minorHAnsi" w:cstheme="minorHAnsi"/>
          <w:color w:val="000000" w:themeColor="text1"/>
        </w:rPr>
        <w:t xml:space="preserve"> the Director for ADOSH</w:t>
      </w:r>
      <w:r w:rsidR="00AF7CDA">
        <w:rPr>
          <w:rFonts w:asciiTheme="minorHAnsi" w:eastAsia="Calibri" w:hAnsiTheme="minorHAnsi" w:cstheme="minorHAnsi"/>
          <w:color w:val="000000" w:themeColor="text1"/>
        </w:rPr>
        <w:t xml:space="preserve">. </w:t>
      </w:r>
      <w:r w:rsidR="00301752">
        <w:rPr>
          <w:rFonts w:asciiTheme="minorHAnsi" w:eastAsia="Calibri" w:hAnsiTheme="minorHAnsi" w:cstheme="minorHAnsi"/>
          <w:color w:val="000000" w:themeColor="text1"/>
        </w:rPr>
        <w:t xml:space="preserve"> </w:t>
      </w:r>
      <w:r w:rsidR="004F6DEA">
        <w:rPr>
          <w:rFonts w:asciiTheme="minorHAnsi" w:eastAsia="Calibri" w:hAnsiTheme="minorHAnsi" w:cstheme="minorHAnsi"/>
          <w:color w:val="000000" w:themeColor="text1"/>
        </w:rPr>
        <w:t xml:space="preserve">Phil </w:t>
      </w:r>
      <w:r w:rsidR="00F57503">
        <w:rPr>
          <w:rFonts w:asciiTheme="minorHAnsi" w:eastAsia="Calibri" w:hAnsiTheme="minorHAnsi" w:cstheme="minorHAnsi"/>
          <w:color w:val="000000" w:themeColor="text1"/>
        </w:rPr>
        <w:t>Murphy was the Deputy Director of Compliance</w:t>
      </w:r>
      <w:r w:rsidR="00AF7CDA">
        <w:rPr>
          <w:rFonts w:asciiTheme="minorHAnsi" w:eastAsia="Calibri" w:hAnsiTheme="minorHAnsi" w:cstheme="minorHAnsi"/>
          <w:color w:val="000000" w:themeColor="text1"/>
        </w:rPr>
        <w:t xml:space="preserve">. </w:t>
      </w:r>
      <w:r w:rsidR="00F57503">
        <w:rPr>
          <w:rFonts w:asciiTheme="minorHAnsi" w:eastAsia="Calibri" w:hAnsiTheme="minorHAnsi" w:cstheme="minorHAnsi"/>
          <w:color w:val="000000" w:themeColor="text1"/>
        </w:rPr>
        <w:t xml:space="preserve"> Bryce Rucker was the Deputy Director of Cooperative Programs</w:t>
      </w:r>
      <w:r w:rsidR="00AF7CDA">
        <w:rPr>
          <w:rFonts w:asciiTheme="minorHAnsi" w:eastAsia="Calibri" w:hAnsiTheme="minorHAnsi" w:cstheme="minorHAnsi"/>
          <w:color w:val="000000" w:themeColor="text1"/>
        </w:rPr>
        <w:t xml:space="preserve">. </w:t>
      </w:r>
      <w:r w:rsidR="00F57503">
        <w:rPr>
          <w:rFonts w:asciiTheme="minorHAnsi" w:eastAsia="Calibri" w:hAnsiTheme="minorHAnsi" w:cstheme="minorHAnsi"/>
          <w:color w:val="000000" w:themeColor="text1"/>
        </w:rPr>
        <w:t xml:space="preserve"> </w:t>
      </w:r>
      <w:r w:rsidR="00901C0E">
        <w:rPr>
          <w:rFonts w:asciiTheme="minorHAnsi" w:eastAsia="Calibri" w:hAnsiTheme="minorHAnsi" w:cstheme="minorHAnsi"/>
          <w:color w:val="000000" w:themeColor="text1"/>
        </w:rPr>
        <w:t>Cecilia</w:t>
      </w:r>
      <w:r w:rsidR="00460F61">
        <w:rPr>
          <w:rFonts w:asciiTheme="minorHAnsi" w:eastAsia="Calibri" w:hAnsiTheme="minorHAnsi" w:cstheme="minorHAnsi"/>
          <w:color w:val="000000" w:themeColor="text1"/>
        </w:rPr>
        <w:t xml:space="preserve"> Herrera was appointed as the </w:t>
      </w:r>
      <w:r w:rsidR="007161C1">
        <w:rPr>
          <w:rFonts w:asciiTheme="minorHAnsi" w:eastAsia="Calibri" w:hAnsiTheme="minorHAnsi" w:cstheme="minorHAnsi"/>
          <w:color w:val="000000" w:themeColor="text1"/>
        </w:rPr>
        <w:t xml:space="preserve">Deputy Director of Administration </w:t>
      </w:r>
      <w:r w:rsidR="00460F61">
        <w:rPr>
          <w:rFonts w:asciiTheme="minorHAnsi" w:eastAsia="Calibri" w:hAnsiTheme="minorHAnsi" w:cstheme="minorHAnsi"/>
          <w:color w:val="000000" w:themeColor="text1"/>
        </w:rPr>
        <w:t xml:space="preserve">in </w:t>
      </w:r>
      <w:r w:rsidR="00BF773A" w:rsidRPr="00036BF0">
        <w:rPr>
          <w:rFonts w:asciiTheme="minorHAnsi" w:eastAsia="Calibri" w:hAnsiTheme="minorHAnsi" w:cstheme="minorHAnsi"/>
          <w:color w:val="000000" w:themeColor="text1"/>
        </w:rPr>
        <w:t>August 2025</w:t>
      </w:r>
      <w:r w:rsidR="0066035A" w:rsidRPr="00036BF0">
        <w:rPr>
          <w:rFonts w:asciiTheme="minorHAnsi" w:eastAsia="Calibri" w:hAnsiTheme="minorHAnsi" w:cstheme="minorHAnsi"/>
          <w:color w:val="000000" w:themeColor="text1"/>
        </w:rPr>
        <w:t>.</w:t>
      </w:r>
      <w:r w:rsidR="00BF773A">
        <w:rPr>
          <w:rFonts w:asciiTheme="minorHAnsi" w:eastAsia="Calibri" w:hAnsiTheme="minorHAnsi" w:cstheme="minorHAnsi"/>
          <w:color w:val="000000" w:themeColor="text1"/>
        </w:rPr>
        <w:t xml:space="preserve"> </w:t>
      </w:r>
    </w:p>
    <w:p w14:paraId="547CCAF4" w14:textId="1F54EDE0" w:rsidR="66D98FBC" w:rsidRDefault="66D98FBC">
      <w:r w:rsidRPr="5CA2E40D">
        <w:rPr>
          <w:color w:val="7030A0"/>
        </w:rPr>
        <w:t xml:space="preserve"> </w:t>
      </w:r>
    </w:p>
    <w:p w14:paraId="637E4598" w14:textId="1EAE6E57" w:rsidR="66D98FBC" w:rsidRPr="007A0388" w:rsidRDefault="66D98FBC">
      <w:pPr>
        <w:rPr>
          <w:rFonts w:asciiTheme="minorHAnsi" w:hAnsiTheme="minorHAnsi" w:cstheme="minorBidi"/>
        </w:rPr>
      </w:pPr>
      <w:r w:rsidRPr="5B7EFB0F">
        <w:rPr>
          <w:rFonts w:asciiTheme="minorHAnsi" w:hAnsiTheme="minorHAnsi" w:cstheme="minorBidi"/>
        </w:rPr>
        <w:t>Organizational units under ADOSH include Administration</w:t>
      </w:r>
      <w:r w:rsidR="00C6584C" w:rsidRPr="5B7EFB0F">
        <w:rPr>
          <w:rFonts w:asciiTheme="minorHAnsi" w:hAnsiTheme="minorHAnsi" w:cstheme="minorBidi"/>
        </w:rPr>
        <w:t>;</w:t>
      </w:r>
      <w:r w:rsidRPr="5B7EFB0F">
        <w:rPr>
          <w:rFonts w:asciiTheme="minorHAnsi" w:hAnsiTheme="minorHAnsi" w:cstheme="minorBidi"/>
        </w:rPr>
        <w:t xml:space="preserve"> </w:t>
      </w:r>
      <w:r w:rsidR="000E55CC" w:rsidRPr="5B7EFB0F">
        <w:rPr>
          <w:rFonts w:asciiTheme="minorHAnsi" w:hAnsiTheme="minorHAnsi" w:cstheme="minorBidi"/>
        </w:rPr>
        <w:t>Safety and Health Compliance</w:t>
      </w:r>
      <w:r w:rsidR="000E55CC">
        <w:rPr>
          <w:rFonts w:asciiTheme="minorHAnsi" w:hAnsiTheme="minorHAnsi" w:cstheme="minorBidi"/>
        </w:rPr>
        <w:t>;</w:t>
      </w:r>
      <w:r w:rsidR="000E55CC" w:rsidRPr="5B7EFB0F">
        <w:rPr>
          <w:rFonts w:asciiTheme="minorHAnsi" w:hAnsiTheme="minorHAnsi" w:cstheme="minorBidi"/>
        </w:rPr>
        <w:t xml:space="preserve"> Consultation, Education and Training; </w:t>
      </w:r>
      <w:r w:rsidRPr="5B7EFB0F">
        <w:rPr>
          <w:rFonts w:asciiTheme="minorHAnsi" w:hAnsiTheme="minorHAnsi" w:cstheme="minorBidi"/>
        </w:rPr>
        <w:t>Boiler Safety</w:t>
      </w:r>
      <w:r w:rsidR="00C6584C" w:rsidRPr="5B7EFB0F">
        <w:rPr>
          <w:rFonts w:asciiTheme="minorHAnsi" w:hAnsiTheme="minorHAnsi" w:cstheme="minorBidi"/>
        </w:rPr>
        <w:t xml:space="preserve">; </w:t>
      </w:r>
      <w:r w:rsidRPr="5B7EFB0F">
        <w:rPr>
          <w:rFonts w:asciiTheme="minorHAnsi" w:hAnsiTheme="minorHAnsi" w:cstheme="minorBidi"/>
        </w:rPr>
        <w:t>Elevator Safety</w:t>
      </w:r>
      <w:r w:rsidR="00C6584C" w:rsidRPr="5B7EFB0F">
        <w:rPr>
          <w:rFonts w:asciiTheme="minorHAnsi" w:hAnsiTheme="minorHAnsi" w:cstheme="minorBidi"/>
        </w:rPr>
        <w:t>;</w:t>
      </w:r>
      <w:r w:rsidRPr="5B7EFB0F">
        <w:rPr>
          <w:rFonts w:asciiTheme="minorHAnsi" w:hAnsiTheme="minorHAnsi" w:cstheme="minorBidi"/>
        </w:rPr>
        <w:t xml:space="preserve"> </w:t>
      </w:r>
      <w:r w:rsidR="000E55CC">
        <w:rPr>
          <w:rFonts w:asciiTheme="minorHAnsi" w:hAnsiTheme="minorHAnsi" w:cstheme="minorBidi"/>
        </w:rPr>
        <w:t xml:space="preserve">and </w:t>
      </w:r>
      <w:r w:rsidRPr="5B7EFB0F">
        <w:rPr>
          <w:rFonts w:asciiTheme="minorHAnsi" w:hAnsiTheme="minorHAnsi" w:cstheme="minorBidi"/>
        </w:rPr>
        <w:t>Research and Statistics.  The Boiler Safety, Elevator Safety, and Research and Statistics units were not funded by the OSHA 23(g) grant.  ADOSH maintains two offices, one in Phoenix and the other in Tucson.</w:t>
      </w:r>
    </w:p>
    <w:p w14:paraId="6C23EE2C" w14:textId="660D0EFE" w:rsidR="5CA2E40D" w:rsidRDefault="5CA2E40D" w:rsidP="5CA2E40D">
      <w:pPr>
        <w:rPr>
          <w:rFonts w:asciiTheme="minorHAnsi" w:hAnsiTheme="minorHAnsi" w:cstheme="minorBidi"/>
        </w:rPr>
      </w:pPr>
    </w:p>
    <w:p w14:paraId="5BCE1ACF" w14:textId="4A90840B" w:rsidR="00A675CF" w:rsidRPr="00030B7E" w:rsidRDefault="00A675CF" w:rsidP="00826F6E">
      <w:pPr>
        <w:rPr>
          <w:rFonts w:asciiTheme="minorHAnsi" w:hAnsiTheme="minorHAnsi" w:cstheme="minorHAnsi"/>
          <w:iCs/>
        </w:rPr>
      </w:pPr>
      <w:r w:rsidRPr="00FA6632">
        <w:rPr>
          <w:rFonts w:asciiTheme="minorHAnsi" w:hAnsiTheme="minorHAnsi" w:cstheme="minorHAnsi"/>
          <w:iCs/>
        </w:rPr>
        <w:t>According to the demographic profile in the FY 202</w:t>
      </w:r>
      <w:r>
        <w:rPr>
          <w:rFonts w:asciiTheme="minorHAnsi" w:hAnsiTheme="minorHAnsi" w:cstheme="minorHAnsi"/>
          <w:iCs/>
        </w:rPr>
        <w:t>5</w:t>
      </w:r>
      <w:r w:rsidRPr="00FA6632">
        <w:rPr>
          <w:rFonts w:asciiTheme="minorHAnsi" w:hAnsiTheme="minorHAnsi" w:cstheme="minorHAnsi"/>
          <w:iCs/>
        </w:rPr>
        <w:t xml:space="preserve"> 23(g) grant application, there were approximately </w:t>
      </w:r>
      <w:r w:rsidR="00EE4517">
        <w:rPr>
          <w:rFonts w:asciiTheme="minorHAnsi" w:hAnsiTheme="minorHAnsi" w:cstheme="minorHAnsi"/>
          <w:iCs/>
        </w:rPr>
        <w:t>3,747,413</w:t>
      </w:r>
      <w:r w:rsidRPr="00FA6632">
        <w:rPr>
          <w:rFonts w:asciiTheme="minorHAnsi" w:hAnsiTheme="minorHAnsi" w:cstheme="minorHAnsi"/>
          <w:iCs/>
        </w:rPr>
        <w:t xml:space="preserve"> workers employed in all occupations throughout Arizona.  ADOSH’s jurisdiction covers nearly all private employers and state and local government workplaces </w:t>
      </w:r>
      <w:r w:rsidR="00826F6E" w:rsidRPr="00FA6632">
        <w:rPr>
          <w:rFonts w:asciiTheme="minorHAnsi" w:hAnsiTheme="minorHAnsi" w:cstheme="minorHAnsi"/>
          <w:iCs/>
        </w:rPr>
        <w:t>except for</w:t>
      </w:r>
      <w:r w:rsidRPr="00FA6632">
        <w:rPr>
          <w:rFonts w:asciiTheme="minorHAnsi" w:hAnsiTheme="minorHAnsi" w:cstheme="minorHAnsi"/>
          <w:iCs/>
        </w:rPr>
        <w:t xml:space="preserve"> mining, smelters, batch plants, and contract employees and contractor-operated facilities engaged in United States Postal Service mail operations.  In addition, ADOSH does not cover areas of exclusive federal jurisdiction such as tribal lands or federal employees.  The same penalty structure was used for state and local government workplaces as the private sector.  Inspections with proposed penalties </w:t>
      </w:r>
      <w:proofErr w:type="gramStart"/>
      <w:r w:rsidRPr="00FA6632">
        <w:rPr>
          <w:rFonts w:asciiTheme="minorHAnsi" w:hAnsiTheme="minorHAnsi" w:cstheme="minorHAnsi"/>
          <w:iCs/>
        </w:rPr>
        <w:t>in excess of</w:t>
      </w:r>
      <w:proofErr w:type="gramEnd"/>
      <w:r w:rsidRPr="00FA6632">
        <w:rPr>
          <w:rFonts w:asciiTheme="minorHAnsi" w:hAnsiTheme="minorHAnsi" w:cstheme="minorHAnsi"/>
          <w:iCs/>
        </w:rPr>
        <w:t xml:space="preserve"> $2,500, fatality investigations, and citations related to worker injuries were presented before the Commissioners of the ICA, who may modify proposed citations and penalties prior to citation issuance. </w:t>
      </w:r>
    </w:p>
    <w:p w14:paraId="3EA5056E" w14:textId="77777777" w:rsidR="00A675CF" w:rsidRPr="00067C9A" w:rsidRDefault="00A675CF" w:rsidP="5CA2E40D">
      <w:pPr>
        <w:rPr>
          <w:rFonts w:asciiTheme="minorHAnsi" w:hAnsiTheme="minorHAnsi" w:cstheme="minorBidi"/>
        </w:rPr>
      </w:pPr>
    </w:p>
    <w:p w14:paraId="778DDD95" w14:textId="1AF2CAD4" w:rsidR="00C6080F" w:rsidRDefault="00C6080F" w:rsidP="00C6080F">
      <w:pPr>
        <w:rPr>
          <w:rFonts w:asciiTheme="minorHAnsi" w:hAnsiTheme="minorHAnsi" w:cstheme="minorBidi"/>
        </w:rPr>
      </w:pPr>
      <w:r w:rsidRPr="001C4F04">
        <w:rPr>
          <w:rFonts w:asciiTheme="minorHAnsi" w:hAnsiTheme="minorHAnsi" w:cstheme="minorBidi"/>
        </w:rPr>
        <w:t>The 23(g) grant provided funding for a full-time equivalent (FTE) staff comprised of 2.</w:t>
      </w:r>
      <w:r w:rsidR="00526FBB" w:rsidRPr="001C4F04">
        <w:rPr>
          <w:rFonts w:asciiTheme="minorHAnsi" w:hAnsiTheme="minorHAnsi" w:cstheme="minorBidi"/>
        </w:rPr>
        <w:t>58</w:t>
      </w:r>
      <w:r w:rsidRPr="001C4F04">
        <w:rPr>
          <w:rFonts w:asciiTheme="minorHAnsi" w:hAnsiTheme="minorHAnsi" w:cstheme="minorBidi"/>
        </w:rPr>
        <w:t xml:space="preserve"> FTE managers, </w:t>
      </w:r>
      <w:r w:rsidR="00526FBB" w:rsidRPr="001C4F04">
        <w:rPr>
          <w:rFonts w:asciiTheme="minorHAnsi" w:hAnsiTheme="minorHAnsi" w:cstheme="minorBidi"/>
        </w:rPr>
        <w:t>8.20</w:t>
      </w:r>
      <w:r w:rsidRPr="001C4F04">
        <w:rPr>
          <w:rFonts w:asciiTheme="minorHAnsi" w:hAnsiTheme="minorHAnsi" w:cstheme="minorBidi"/>
        </w:rPr>
        <w:t xml:space="preserve"> FTE first-line supervisors, </w:t>
      </w:r>
      <w:r w:rsidR="001C4F04" w:rsidRPr="001C4F04">
        <w:rPr>
          <w:rFonts w:asciiTheme="minorHAnsi" w:hAnsiTheme="minorHAnsi" w:cstheme="minorBidi"/>
        </w:rPr>
        <w:t>18</w:t>
      </w:r>
      <w:r w:rsidRPr="001C4F04">
        <w:rPr>
          <w:rFonts w:asciiTheme="minorHAnsi" w:hAnsiTheme="minorHAnsi" w:cstheme="minorBidi"/>
        </w:rPr>
        <w:t xml:space="preserve">.00 FTE safety compliance officers, </w:t>
      </w:r>
      <w:r w:rsidR="001C4F04" w:rsidRPr="001C4F04">
        <w:rPr>
          <w:rFonts w:asciiTheme="minorHAnsi" w:hAnsiTheme="minorHAnsi" w:cstheme="minorBidi"/>
        </w:rPr>
        <w:t>9</w:t>
      </w:r>
      <w:r w:rsidRPr="001C4F04">
        <w:rPr>
          <w:rFonts w:asciiTheme="minorHAnsi" w:hAnsiTheme="minorHAnsi" w:cstheme="minorBidi"/>
        </w:rPr>
        <w:t xml:space="preserve">.00 FTE health compliance officers, </w:t>
      </w:r>
      <w:r w:rsidR="001C4F04" w:rsidRPr="001C4F04">
        <w:rPr>
          <w:rFonts w:asciiTheme="minorHAnsi" w:hAnsiTheme="minorHAnsi" w:cstheme="minorBidi"/>
        </w:rPr>
        <w:t>5</w:t>
      </w:r>
      <w:r w:rsidRPr="001C4F04">
        <w:rPr>
          <w:rFonts w:asciiTheme="minorHAnsi" w:hAnsiTheme="minorHAnsi" w:cstheme="minorBidi"/>
        </w:rPr>
        <w:t xml:space="preserve">.00 FTE whistleblower retaliation investigators, </w:t>
      </w:r>
      <w:r w:rsidR="001C4F04" w:rsidRPr="001C4F04">
        <w:rPr>
          <w:rFonts w:asciiTheme="minorHAnsi" w:hAnsiTheme="minorHAnsi" w:cstheme="minorBidi"/>
        </w:rPr>
        <w:t>6.10</w:t>
      </w:r>
      <w:r w:rsidRPr="001C4F04">
        <w:rPr>
          <w:rFonts w:asciiTheme="minorHAnsi" w:hAnsiTheme="minorHAnsi" w:cstheme="minorBidi"/>
        </w:rPr>
        <w:t xml:space="preserve"> FTE clerical/administrative staff, and </w:t>
      </w:r>
      <w:r w:rsidR="001C4F04" w:rsidRPr="001C4F04">
        <w:rPr>
          <w:rFonts w:asciiTheme="minorHAnsi" w:hAnsiTheme="minorHAnsi" w:cstheme="minorBidi"/>
        </w:rPr>
        <w:t>1.90</w:t>
      </w:r>
      <w:r w:rsidRPr="001C4F04">
        <w:rPr>
          <w:rFonts w:asciiTheme="minorHAnsi" w:hAnsiTheme="minorHAnsi" w:cstheme="minorBidi"/>
        </w:rPr>
        <w:t xml:space="preserve"> FTE trainers.</w:t>
      </w:r>
      <w:r w:rsidRPr="00821F2C">
        <w:rPr>
          <w:rFonts w:asciiTheme="minorHAnsi" w:hAnsiTheme="minorHAnsi" w:cstheme="minorBidi"/>
        </w:rPr>
        <w:t xml:space="preserve">  </w:t>
      </w:r>
      <w:r w:rsidR="00AC4584">
        <w:rPr>
          <w:rFonts w:asciiTheme="minorHAnsi" w:hAnsiTheme="minorHAnsi" w:cstheme="minorBidi"/>
        </w:rPr>
        <w:t>Eight</w:t>
      </w:r>
      <w:r w:rsidRPr="00821F2C">
        <w:rPr>
          <w:rFonts w:asciiTheme="minorHAnsi" w:hAnsiTheme="minorHAnsi" w:cstheme="minorBidi"/>
        </w:rPr>
        <w:t xml:space="preserve"> consultants provided consultation</w:t>
      </w:r>
      <w:r w:rsidR="006A3993">
        <w:rPr>
          <w:rFonts w:asciiTheme="minorHAnsi" w:hAnsiTheme="minorHAnsi" w:cstheme="minorBidi"/>
        </w:rPr>
        <w:t xml:space="preserve"> services</w:t>
      </w:r>
      <w:r w:rsidRPr="00821F2C">
        <w:rPr>
          <w:rFonts w:asciiTheme="minorHAnsi" w:hAnsiTheme="minorHAnsi" w:cstheme="minorBidi"/>
        </w:rPr>
        <w:t xml:space="preserve"> </w:t>
      </w:r>
      <w:r w:rsidR="006A3993">
        <w:rPr>
          <w:rFonts w:asciiTheme="minorHAnsi" w:hAnsiTheme="minorHAnsi" w:cstheme="minorBidi"/>
        </w:rPr>
        <w:t>to</w:t>
      </w:r>
      <w:r w:rsidRPr="00821F2C">
        <w:rPr>
          <w:rFonts w:asciiTheme="minorHAnsi" w:hAnsiTheme="minorHAnsi" w:cstheme="minorBidi"/>
        </w:rPr>
        <w:t xml:space="preserve"> state and local government employers; </w:t>
      </w:r>
      <w:r w:rsidRPr="006A3993">
        <w:rPr>
          <w:rFonts w:asciiTheme="minorHAnsi" w:hAnsiTheme="minorHAnsi" w:cstheme="minorBidi"/>
        </w:rPr>
        <w:t>15% of their time was charged to the 23(g) grant and the remainder of their time was charged to a 21(d) Cooperative Agreement that covers private sector consultation activities.</w:t>
      </w:r>
      <w:r w:rsidRPr="00821F2C">
        <w:rPr>
          <w:rFonts w:asciiTheme="minorHAnsi" w:hAnsiTheme="minorHAnsi" w:cstheme="minorBidi"/>
        </w:rPr>
        <w:t>  The private sector consultation program is evaluated separately in the FY 202</w:t>
      </w:r>
      <w:r>
        <w:rPr>
          <w:rFonts w:asciiTheme="minorHAnsi" w:hAnsiTheme="minorHAnsi" w:cstheme="minorBidi"/>
        </w:rPr>
        <w:t xml:space="preserve">5 </w:t>
      </w:r>
      <w:r w:rsidRPr="00821F2C">
        <w:rPr>
          <w:rFonts w:asciiTheme="minorHAnsi" w:hAnsiTheme="minorHAnsi" w:cstheme="minorBidi"/>
        </w:rPr>
        <w:t>Regional Annual Consultation Evaluation Report (RACER).  </w:t>
      </w:r>
    </w:p>
    <w:p w14:paraId="2ADADA41" w14:textId="77777777" w:rsidR="00C6080F" w:rsidRDefault="00C6080F" w:rsidP="00C6080F">
      <w:pPr>
        <w:rPr>
          <w:rFonts w:asciiTheme="minorHAnsi" w:hAnsiTheme="minorHAnsi" w:cstheme="minorBidi"/>
        </w:rPr>
      </w:pPr>
    </w:p>
    <w:p w14:paraId="15A451DA" w14:textId="15699E0E" w:rsidR="00E36FBB" w:rsidRDefault="005119FF" w:rsidP="00E36FBB">
      <w:pPr>
        <w:rPr>
          <w:rFonts w:ascii="Calibri" w:eastAsia="Calibri" w:hAnsi="Calibri" w:cs="Calibri"/>
          <w:color w:val="000000" w:themeColor="text1"/>
          <w:highlight w:val="yellow"/>
        </w:rPr>
      </w:pPr>
      <w:r w:rsidRPr="00EE00ED">
        <w:rPr>
          <w:rFonts w:ascii="Calibri" w:eastAsia="Calibri" w:hAnsi="Calibri" w:cs="Calibri"/>
          <w:color w:val="000000" w:themeColor="text1"/>
        </w:rPr>
        <w:t xml:space="preserve">In FY </w:t>
      </w:r>
      <w:r w:rsidR="00EE00ED" w:rsidRPr="00EE00ED">
        <w:rPr>
          <w:rFonts w:ascii="Calibri" w:eastAsia="Calibri" w:hAnsi="Calibri" w:cs="Calibri"/>
          <w:color w:val="000000" w:themeColor="text1"/>
        </w:rPr>
        <w:t>2025</w:t>
      </w:r>
      <w:r w:rsidRPr="00EE00ED">
        <w:rPr>
          <w:rFonts w:ascii="Calibri" w:eastAsia="Calibri" w:hAnsi="Calibri" w:cs="Calibri"/>
          <w:color w:val="000000" w:themeColor="text1"/>
        </w:rPr>
        <w:t>, the initial federal base award to fund the 23(g) program was $2,</w:t>
      </w:r>
      <w:r w:rsidR="00EE00ED" w:rsidRPr="00EE00ED">
        <w:rPr>
          <w:rFonts w:ascii="Calibri" w:eastAsia="Calibri" w:hAnsi="Calibri" w:cs="Calibri"/>
          <w:color w:val="000000" w:themeColor="text1"/>
        </w:rPr>
        <w:t>426</w:t>
      </w:r>
      <w:r w:rsidRPr="00EE00ED">
        <w:rPr>
          <w:rFonts w:ascii="Calibri" w:eastAsia="Calibri" w:hAnsi="Calibri" w:cs="Calibri"/>
          <w:color w:val="000000" w:themeColor="text1"/>
        </w:rPr>
        <w:t>,900.</w:t>
      </w:r>
      <w:r w:rsidR="00EE00ED" w:rsidRPr="00EE00ED">
        <w:rPr>
          <w:rFonts w:ascii="Calibri" w:eastAsia="Calibri" w:hAnsi="Calibri" w:cs="Calibri"/>
          <w:color w:val="000000" w:themeColor="text1"/>
        </w:rPr>
        <w:t xml:space="preserve"> </w:t>
      </w:r>
      <w:r w:rsidRPr="00EE00ED">
        <w:rPr>
          <w:rFonts w:ascii="Calibri" w:eastAsia="Calibri" w:hAnsi="Calibri" w:cs="Calibri"/>
          <w:color w:val="000000" w:themeColor="text1"/>
        </w:rPr>
        <w:t xml:space="preserve"> Arizona matched the federal funds</w:t>
      </w:r>
      <w:r w:rsidR="00EE00ED" w:rsidRPr="00EE00ED">
        <w:rPr>
          <w:rFonts w:ascii="Calibri" w:eastAsia="Calibri" w:hAnsi="Calibri" w:cs="Calibri"/>
          <w:color w:val="000000" w:themeColor="text1"/>
        </w:rPr>
        <w:t>, bringing the total award to $4,853,800.  Arizona accepted the base award increase of $7,000</w:t>
      </w:r>
      <w:r w:rsidRPr="00EE00ED">
        <w:rPr>
          <w:rFonts w:ascii="Calibri" w:eastAsia="Calibri" w:hAnsi="Calibri" w:cs="Calibri"/>
          <w:color w:val="000000" w:themeColor="text1"/>
        </w:rPr>
        <w:t xml:space="preserve"> and </w:t>
      </w:r>
      <w:r w:rsidR="00EE00ED" w:rsidRPr="00EE00ED">
        <w:rPr>
          <w:rFonts w:ascii="Calibri" w:eastAsia="Calibri" w:hAnsi="Calibri" w:cs="Calibri"/>
          <w:color w:val="000000" w:themeColor="text1"/>
        </w:rPr>
        <w:t xml:space="preserve">matched the federal </w:t>
      </w:r>
      <w:r w:rsidRPr="00EE00ED">
        <w:rPr>
          <w:rFonts w:ascii="Calibri" w:eastAsia="Calibri" w:hAnsi="Calibri" w:cs="Calibri"/>
          <w:color w:val="000000" w:themeColor="text1"/>
        </w:rPr>
        <w:t>funds, bringing the total award to $</w:t>
      </w:r>
      <w:r w:rsidR="00EE00ED" w:rsidRPr="00EE00ED">
        <w:rPr>
          <w:rFonts w:ascii="Calibri" w:eastAsia="Calibri" w:hAnsi="Calibri" w:cs="Calibri"/>
          <w:color w:val="000000" w:themeColor="text1"/>
        </w:rPr>
        <w:t xml:space="preserve">4,867,800. </w:t>
      </w:r>
      <w:r w:rsidRPr="00EE00ED">
        <w:rPr>
          <w:rFonts w:ascii="Calibri" w:eastAsia="Calibri" w:hAnsi="Calibri" w:cs="Calibri"/>
          <w:color w:val="000000" w:themeColor="text1"/>
        </w:rPr>
        <w:t xml:space="preserve"> Arizona did not accept any additional one-time only funds </w:t>
      </w:r>
      <w:r w:rsidR="00EE00ED" w:rsidRPr="00EE00ED">
        <w:rPr>
          <w:rFonts w:ascii="Calibri" w:eastAsia="Calibri" w:hAnsi="Calibri" w:cs="Calibri"/>
          <w:color w:val="000000" w:themeColor="text1"/>
        </w:rPr>
        <w:t>or</w:t>
      </w:r>
      <w:r w:rsidRPr="00EE00ED">
        <w:rPr>
          <w:rFonts w:ascii="Calibri" w:eastAsia="Calibri" w:hAnsi="Calibri" w:cs="Calibri"/>
          <w:color w:val="000000" w:themeColor="text1"/>
        </w:rPr>
        <w:t xml:space="preserve"> de-obligate any funds.</w:t>
      </w:r>
      <w:r w:rsidR="00EE00ED" w:rsidRPr="00EE00ED">
        <w:rPr>
          <w:rFonts w:ascii="Calibri" w:eastAsia="Calibri" w:hAnsi="Calibri" w:cs="Calibri"/>
          <w:color w:val="000000" w:themeColor="text1"/>
        </w:rPr>
        <w:t xml:space="preserve"> </w:t>
      </w:r>
      <w:r w:rsidRPr="00EE00ED">
        <w:rPr>
          <w:rFonts w:ascii="Calibri" w:eastAsia="Calibri" w:hAnsi="Calibri" w:cs="Calibri"/>
          <w:color w:val="000000" w:themeColor="text1"/>
        </w:rPr>
        <w:t xml:space="preserve"> Arizona </w:t>
      </w:r>
      <w:r w:rsidR="00EE00ED" w:rsidRPr="00EE00ED">
        <w:rPr>
          <w:rFonts w:ascii="Calibri" w:eastAsia="Calibri" w:hAnsi="Calibri" w:cs="Calibri"/>
          <w:color w:val="000000" w:themeColor="text1"/>
        </w:rPr>
        <w:t>spent additional $94,812.98</w:t>
      </w:r>
      <w:r w:rsidRPr="00EE00ED">
        <w:rPr>
          <w:rFonts w:ascii="Calibri" w:eastAsia="Calibri" w:hAnsi="Calibri" w:cs="Calibri"/>
          <w:color w:val="000000" w:themeColor="text1"/>
        </w:rPr>
        <w:t xml:space="preserve"> in 100% state funds.</w:t>
      </w:r>
      <w:r w:rsidR="00EE00ED" w:rsidRPr="00EE00ED">
        <w:rPr>
          <w:rFonts w:ascii="Calibri" w:eastAsia="Calibri" w:hAnsi="Calibri" w:cs="Calibri"/>
          <w:color w:val="000000" w:themeColor="text1"/>
        </w:rPr>
        <w:t xml:space="preserve"> </w:t>
      </w:r>
      <w:r w:rsidRPr="00EE00ED">
        <w:rPr>
          <w:rFonts w:ascii="Calibri" w:eastAsia="Calibri" w:hAnsi="Calibri" w:cs="Calibri"/>
          <w:color w:val="000000" w:themeColor="text1"/>
        </w:rPr>
        <w:t xml:space="preserve"> The final </w:t>
      </w:r>
      <w:r w:rsidR="00EE00ED" w:rsidRPr="00EE00ED">
        <w:rPr>
          <w:rFonts w:ascii="Calibri" w:eastAsia="Calibri" w:hAnsi="Calibri" w:cs="Calibri"/>
          <w:color w:val="000000" w:themeColor="text1"/>
        </w:rPr>
        <w:t xml:space="preserve">expenditure was $4,962,612.98 ($2,433,900 federal, $2,433,900 state, $94,812.98 100% state funds). </w:t>
      </w:r>
      <w:r w:rsidR="005B24E3">
        <w:rPr>
          <w:rFonts w:ascii="Calibri" w:eastAsia="Calibri" w:hAnsi="Calibri" w:cs="Calibri"/>
          <w:color w:val="000000" w:themeColor="text1"/>
        </w:rPr>
        <w:t xml:space="preserve"> </w:t>
      </w:r>
      <w:r w:rsidR="00E36FBB" w:rsidRPr="00EE00ED">
        <w:rPr>
          <w:rFonts w:ascii="Calibri" w:eastAsia="Calibri" w:hAnsi="Calibri" w:cs="Calibri"/>
          <w:color w:val="000000" w:themeColor="text1"/>
        </w:rPr>
        <w:t xml:space="preserve">A financial </w:t>
      </w:r>
      <w:r w:rsidR="00EE00ED" w:rsidRPr="00EE00ED">
        <w:rPr>
          <w:rFonts w:ascii="Calibri" w:eastAsia="Calibri" w:hAnsi="Calibri" w:cs="Calibri"/>
          <w:color w:val="000000" w:themeColor="text1"/>
        </w:rPr>
        <w:t xml:space="preserve">monitoring </w:t>
      </w:r>
      <w:r w:rsidR="00E36FBB" w:rsidRPr="00EE00ED">
        <w:rPr>
          <w:rFonts w:ascii="Calibri" w:eastAsia="Calibri" w:hAnsi="Calibri" w:cs="Calibri"/>
          <w:color w:val="000000" w:themeColor="text1"/>
        </w:rPr>
        <w:t>review was conducted in 202</w:t>
      </w:r>
      <w:r w:rsidRPr="00EE00ED">
        <w:rPr>
          <w:rFonts w:ascii="Calibri" w:eastAsia="Calibri" w:hAnsi="Calibri" w:cs="Calibri"/>
          <w:color w:val="000000" w:themeColor="text1"/>
        </w:rPr>
        <w:t>5</w:t>
      </w:r>
      <w:r w:rsidR="00104FF4" w:rsidRPr="00EE00ED">
        <w:rPr>
          <w:rFonts w:ascii="Calibri" w:eastAsia="Calibri" w:hAnsi="Calibri" w:cs="Calibri"/>
          <w:color w:val="000000" w:themeColor="text1"/>
        </w:rPr>
        <w:t xml:space="preserve">. </w:t>
      </w:r>
      <w:r w:rsidR="00E36FBB" w:rsidRPr="00EE00ED">
        <w:rPr>
          <w:rFonts w:ascii="Calibri" w:eastAsia="Calibri" w:hAnsi="Calibri" w:cs="Calibri"/>
          <w:color w:val="000000" w:themeColor="text1"/>
        </w:rPr>
        <w:t xml:space="preserve"> </w:t>
      </w:r>
      <w:r w:rsidR="00104FF4" w:rsidRPr="00EE00ED">
        <w:rPr>
          <w:rFonts w:ascii="Calibri" w:eastAsia="Calibri" w:hAnsi="Calibri" w:cs="Calibri"/>
          <w:color w:val="000000" w:themeColor="text1"/>
        </w:rPr>
        <w:t xml:space="preserve">There </w:t>
      </w:r>
      <w:r w:rsidR="00E36FBB" w:rsidRPr="00EE00ED">
        <w:rPr>
          <w:rFonts w:ascii="Calibri" w:eastAsia="Calibri" w:hAnsi="Calibri" w:cs="Calibri"/>
          <w:color w:val="000000" w:themeColor="text1"/>
        </w:rPr>
        <w:t xml:space="preserve">were </w:t>
      </w:r>
      <w:r w:rsidR="00EE00ED" w:rsidRPr="00EE00ED">
        <w:rPr>
          <w:rFonts w:ascii="Calibri" w:eastAsia="Calibri" w:hAnsi="Calibri" w:cs="Calibri"/>
          <w:color w:val="000000" w:themeColor="text1"/>
        </w:rPr>
        <w:t>four</w:t>
      </w:r>
      <w:r w:rsidR="00E36FBB" w:rsidRPr="00EE00ED">
        <w:rPr>
          <w:rFonts w:ascii="Calibri" w:eastAsia="Calibri" w:hAnsi="Calibri" w:cs="Calibri"/>
          <w:color w:val="000000" w:themeColor="text1"/>
        </w:rPr>
        <w:t xml:space="preserve"> findings </w:t>
      </w:r>
      <w:r w:rsidR="00EE00ED" w:rsidRPr="00EE00ED">
        <w:rPr>
          <w:rFonts w:ascii="Calibri" w:eastAsia="Calibri" w:hAnsi="Calibri" w:cs="Calibri"/>
          <w:color w:val="000000" w:themeColor="text1"/>
        </w:rPr>
        <w:t xml:space="preserve">related to 23(g) grant, </w:t>
      </w:r>
      <w:r w:rsidR="00E36FBB" w:rsidRPr="00EE00ED">
        <w:rPr>
          <w:rFonts w:ascii="Calibri" w:eastAsia="Calibri" w:hAnsi="Calibri" w:cs="Calibri"/>
          <w:color w:val="000000" w:themeColor="text1"/>
        </w:rPr>
        <w:t xml:space="preserve">regarding payroll </w:t>
      </w:r>
      <w:r w:rsidR="00EE00ED" w:rsidRPr="00EE00ED">
        <w:rPr>
          <w:rFonts w:ascii="Calibri" w:eastAsia="Calibri" w:hAnsi="Calibri" w:cs="Calibri"/>
          <w:color w:val="000000" w:themeColor="text1"/>
        </w:rPr>
        <w:t>charges,</w:t>
      </w:r>
      <w:r w:rsidR="00E36FBB" w:rsidRPr="00EE00ED">
        <w:rPr>
          <w:rFonts w:ascii="Calibri" w:eastAsia="Calibri" w:hAnsi="Calibri" w:cs="Calibri"/>
          <w:color w:val="000000" w:themeColor="text1"/>
        </w:rPr>
        <w:t xml:space="preserve"> travel and contract cost allocations</w:t>
      </w:r>
      <w:r w:rsidR="00EE00ED" w:rsidRPr="00EE00ED">
        <w:rPr>
          <w:rFonts w:ascii="Calibri" w:eastAsia="Calibri" w:hAnsi="Calibri" w:cs="Calibri"/>
          <w:color w:val="000000" w:themeColor="text1"/>
        </w:rPr>
        <w:t>, and OSHA Information System (OIS) access management.  The implementation of these corrective actions will be confirmed in the next financial review in FY 2027.</w:t>
      </w:r>
    </w:p>
    <w:p w14:paraId="4453E0ED" w14:textId="77777777" w:rsidR="00967484" w:rsidRDefault="00967484" w:rsidP="00471D75">
      <w:pPr>
        <w:rPr>
          <w:rFonts w:asciiTheme="minorHAnsi" w:hAnsiTheme="minorHAnsi" w:cstheme="minorHAnsi"/>
          <w:iCs/>
        </w:rPr>
      </w:pPr>
    </w:p>
    <w:p w14:paraId="5D695F3C" w14:textId="77777777" w:rsidR="00967484" w:rsidRPr="00471D75" w:rsidRDefault="00967484" w:rsidP="00471D75">
      <w:pPr>
        <w:rPr>
          <w:rFonts w:asciiTheme="minorHAnsi" w:hAnsiTheme="minorHAnsi" w:cstheme="minorHAnsi"/>
          <w:iCs/>
        </w:rPr>
      </w:pPr>
    </w:p>
    <w:p w14:paraId="2AFBADBE" w14:textId="20F61A68" w:rsidR="005D1101" w:rsidRDefault="00836129" w:rsidP="00600A63">
      <w:pPr>
        <w:pStyle w:val="Heading3"/>
        <w:numPr>
          <w:ilvl w:val="0"/>
          <w:numId w:val="8"/>
        </w:numPr>
        <w:spacing w:before="0"/>
      </w:pPr>
      <w:bookmarkStart w:id="9" w:name="New_Issues"/>
      <w:bookmarkStart w:id="10" w:name="_Toc160178410"/>
      <w:bookmarkStart w:id="11" w:name="_Toc225327053"/>
      <w:bookmarkEnd w:id="9"/>
      <w:r w:rsidRPr="00E45E12">
        <w:lastRenderedPageBreak/>
        <w:t>New Issues</w:t>
      </w:r>
      <w:bookmarkEnd w:id="10"/>
      <w:bookmarkEnd w:id="11"/>
    </w:p>
    <w:p w14:paraId="0CE83FC8" w14:textId="77777777" w:rsidR="00672699" w:rsidRPr="00672699" w:rsidRDefault="00672699" w:rsidP="00731818"/>
    <w:p w14:paraId="5131DA91" w14:textId="3161CC47" w:rsidR="00407AFA" w:rsidRDefault="00596219" w:rsidP="00AA45E6">
      <w:pPr>
        <w:widowControl/>
        <w:autoSpaceDE/>
        <w:autoSpaceDN/>
        <w:adjustRightInd/>
        <w:rPr>
          <w:rFonts w:asciiTheme="minorHAnsi" w:hAnsiTheme="minorHAnsi" w:cstheme="minorBidi"/>
          <w:color w:val="000000" w:themeColor="text1"/>
        </w:rPr>
      </w:pPr>
      <w:r>
        <w:rPr>
          <w:rFonts w:asciiTheme="minorHAnsi" w:hAnsiTheme="minorHAnsi" w:cstheme="minorBidi"/>
          <w:color w:val="000000" w:themeColor="text1"/>
        </w:rPr>
        <w:t xml:space="preserve">There were no new issues this evaluation period. </w:t>
      </w:r>
    </w:p>
    <w:p w14:paraId="68B1A0A3" w14:textId="77777777" w:rsidR="00AA45E6" w:rsidRDefault="00AA45E6" w:rsidP="00AA45E6">
      <w:pPr>
        <w:widowControl/>
        <w:autoSpaceDE/>
        <w:autoSpaceDN/>
        <w:adjustRightInd/>
        <w:rPr>
          <w:rFonts w:asciiTheme="minorHAnsi" w:hAnsiTheme="minorHAnsi" w:cstheme="minorBidi"/>
          <w:color w:val="000000" w:themeColor="text1"/>
        </w:rPr>
      </w:pPr>
    </w:p>
    <w:p w14:paraId="77A6E499" w14:textId="77777777" w:rsidR="00AA45E6" w:rsidRDefault="00AA45E6" w:rsidP="00AA45E6">
      <w:pPr>
        <w:widowControl/>
        <w:autoSpaceDE/>
        <w:autoSpaceDN/>
        <w:adjustRightInd/>
        <w:rPr>
          <w:rFonts w:asciiTheme="minorHAnsi" w:hAnsiTheme="minorHAnsi" w:cstheme="minorBidi"/>
          <w:color w:val="000000" w:themeColor="text1"/>
        </w:rPr>
      </w:pPr>
    </w:p>
    <w:p w14:paraId="66474800" w14:textId="4C4E8AC2" w:rsidR="00B91749" w:rsidRDefault="00B2021B" w:rsidP="00AA45E6">
      <w:pPr>
        <w:pStyle w:val="Heading2"/>
        <w:numPr>
          <w:ilvl w:val="0"/>
          <w:numId w:val="14"/>
        </w:numPr>
        <w:spacing w:before="0"/>
        <w:ind w:left="540" w:hanging="270"/>
        <w:rPr>
          <w:rFonts w:cstheme="minorBidi"/>
          <w:bCs w:val="0"/>
          <w:sz w:val="28"/>
          <w:szCs w:val="28"/>
        </w:rPr>
      </w:pPr>
      <w:bookmarkStart w:id="12" w:name="Assessment_State_Plan_Progress_Performa"/>
      <w:bookmarkStart w:id="13" w:name="_Toc160178411"/>
      <w:bookmarkStart w:id="14" w:name="_Toc225327054"/>
      <w:r w:rsidRPr="00114EE7">
        <w:rPr>
          <w:sz w:val="28"/>
          <w:szCs w:val="28"/>
        </w:rPr>
        <w:t>Assessment of</w:t>
      </w:r>
      <w:r w:rsidR="241B87CE" w:rsidRPr="00114EE7">
        <w:rPr>
          <w:rFonts w:cstheme="minorBidi"/>
          <w:b w:val="0"/>
          <w:sz w:val="28"/>
          <w:szCs w:val="28"/>
        </w:rPr>
        <w:t xml:space="preserve"> </w:t>
      </w:r>
      <w:r w:rsidR="241B87CE" w:rsidRPr="00114EE7">
        <w:rPr>
          <w:rFonts w:cstheme="minorBidi"/>
          <w:bCs w:val="0"/>
          <w:sz w:val="28"/>
          <w:szCs w:val="28"/>
        </w:rPr>
        <w:t>State Plan Progress and Performance</w:t>
      </w:r>
      <w:bookmarkEnd w:id="12"/>
      <w:bookmarkEnd w:id="13"/>
      <w:bookmarkEnd w:id="14"/>
    </w:p>
    <w:p w14:paraId="37CEFA06" w14:textId="77777777" w:rsidR="00F537CF" w:rsidRPr="00F537CF" w:rsidRDefault="00F537CF" w:rsidP="00F537CF"/>
    <w:p w14:paraId="57A220B5" w14:textId="77777777" w:rsidR="00B91749" w:rsidRDefault="00782EEC" w:rsidP="00F537CF">
      <w:pPr>
        <w:pStyle w:val="Heading3"/>
        <w:numPr>
          <w:ilvl w:val="0"/>
          <w:numId w:val="15"/>
        </w:numPr>
        <w:spacing w:before="0"/>
        <w:rPr>
          <w:rFonts w:cstheme="minorHAnsi"/>
        </w:rPr>
      </w:pPr>
      <w:bookmarkStart w:id="15" w:name="Data_and_Methodology"/>
      <w:bookmarkStart w:id="16" w:name="_Toc160178412"/>
      <w:bookmarkStart w:id="17" w:name="_Toc225327055"/>
      <w:bookmarkEnd w:id="15"/>
      <w:r w:rsidRPr="00FF2C5C">
        <w:t>Data</w:t>
      </w:r>
      <w:r w:rsidR="00B91749" w:rsidRPr="00FF2C5C">
        <w:rPr>
          <w:rFonts w:cstheme="minorHAnsi"/>
        </w:rPr>
        <w:t xml:space="preserve"> </w:t>
      </w:r>
      <w:r w:rsidR="008B7258" w:rsidRPr="00FF2C5C">
        <w:rPr>
          <w:rFonts w:cstheme="minorHAnsi"/>
        </w:rPr>
        <w:t xml:space="preserve">and </w:t>
      </w:r>
      <w:r w:rsidR="00B91749" w:rsidRPr="00FF2C5C">
        <w:rPr>
          <w:rFonts w:cstheme="minorHAnsi"/>
        </w:rPr>
        <w:t>Methodology</w:t>
      </w:r>
      <w:bookmarkEnd w:id="16"/>
      <w:bookmarkEnd w:id="17"/>
    </w:p>
    <w:p w14:paraId="4723E64C" w14:textId="77777777" w:rsidR="00672699" w:rsidRPr="00672699" w:rsidRDefault="00672699" w:rsidP="00731818"/>
    <w:p w14:paraId="4F1940DC" w14:textId="41E6D2B0" w:rsidR="00471D75" w:rsidRDefault="3A8CEEDF" w:rsidP="000D2E4B">
      <w:pPr>
        <w:rPr>
          <w:rFonts w:asciiTheme="minorHAnsi" w:hAnsiTheme="minorHAnsi" w:cstheme="minorHAnsi"/>
        </w:rPr>
      </w:pPr>
      <w:r w:rsidRPr="000D2E4B">
        <w:rPr>
          <w:rFonts w:asciiTheme="minorHAnsi" w:hAnsiTheme="minorHAnsi" w:cstheme="minorHAnsi"/>
        </w:rPr>
        <w:t xml:space="preserve">OSHA established a two-year cycle for the FAME process. </w:t>
      </w:r>
      <w:r w:rsidR="11D7D31D" w:rsidRPr="000D2E4B">
        <w:rPr>
          <w:rFonts w:asciiTheme="minorHAnsi" w:hAnsiTheme="minorHAnsi" w:cstheme="minorHAnsi"/>
        </w:rPr>
        <w:t xml:space="preserve"> </w:t>
      </w:r>
      <w:r w:rsidRPr="000D2E4B">
        <w:rPr>
          <w:rFonts w:asciiTheme="minorHAnsi" w:hAnsiTheme="minorHAnsi" w:cstheme="minorHAnsi"/>
        </w:rPr>
        <w:t>FY 202</w:t>
      </w:r>
      <w:r w:rsidR="00987A24" w:rsidRPr="000D2E4B">
        <w:rPr>
          <w:rFonts w:asciiTheme="minorHAnsi" w:hAnsiTheme="minorHAnsi" w:cstheme="minorHAnsi"/>
        </w:rPr>
        <w:t>5</w:t>
      </w:r>
      <w:r w:rsidR="00D30117" w:rsidRPr="000D2E4B">
        <w:rPr>
          <w:rFonts w:asciiTheme="minorHAnsi" w:hAnsiTheme="minorHAnsi" w:cstheme="minorHAnsi"/>
        </w:rPr>
        <w:t xml:space="preserve"> </w:t>
      </w:r>
      <w:r w:rsidR="6F74F6D2" w:rsidRPr="000D2E4B">
        <w:rPr>
          <w:rFonts w:asciiTheme="minorHAnsi" w:hAnsiTheme="minorHAnsi" w:cstheme="minorHAnsi"/>
        </w:rPr>
        <w:t>wa</w:t>
      </w:r>
      <w:r w:rsidRPr="000D2E4B">
        <w:rPr>
          <w:rFonts w:asciiTheme="minorHAnsi" w:hAnsiTheme="minorHAnsi" w:cstheme="minorHAnsi"/>
        </w:rPr>
        <w:t>s a comprehensive year</w:t>
      </w:r>
      <w:r w:rsidR="00A8170A" w:rsidRPr="000D2E4B">
        <w:rPr>
          <w:rFonts w:asciiTheme="minorHAnsi" w:hAnsiTheme="minorHAnsi" w:cstheme="minorHAnsi"/>
        </w:rPr>
        <w:t xml:space="preserve"> </w:t>
      </w:r>
      <w:r w:rsidR="00E06001" w:rsidRPr="000D2E4B">
        <w:rPr>
          <w:rFonts w:asciiTheme="minorHAnsi" w:hAnsiTheme="minorHAnsi" w:cstheme="minorHAnsi"/>
        </w:rPr>
        <w:t xml:space="preserve">where </w:t>
      </w:r>
      <w:r w:rsidRPr="000D2E4B">
        <w:rPr>
          <w:rFonts w:asciiTheme="minorHAnsi" w:hAnsiTheme="minorHAnsi" w:cstheme="minorHAnsi"/>
        </w:rPr>
        <w:t>OSHA</w:t>
      </w:r>
      <w:r w:rsidR="00B079F2" w:rsidRPr="000D2E4B">
        <w:rPr>
          <w:rFonts w:asciiTheme="minorHAnsi" w:hAnsiTheme="minorHAnsi" w:cstheme="minorHAnsi"/>
        </w:rPr>
        <w:t xml:space="preserve"> </w:t>
      </w:r>
      <w:r w:rsidR="00141059" w:rsidRPr="000D2E4B">
        <w:rPr>
          <w:rFonts w:asciiTheme="minorHAnsi" w:hAnsiTheme="minorHAnsi" w:cstheme="minorHAnsi"/>
        </w:rPr>
        <w:t xml:space="preserve">conducted an </w:t>
      </w:r>
      <w:r w:rsidRPr="000D2E4B">
        <w:rPr>
          <w:rFonts w:asciiTheme="minorHAnsi" w:hAnsiTheme="minorHAnsi" w:cstheme="minorHAnsi"/>
        </w:rPr>
        <w:t xml:space="preserve">on-site </w:t>
      </w:r>
      <w:r w:rsidR="00A8170A" w:rsidRPr="000D2E4B">
        <w:rPr>
          <w:rFonts w:asciiTheme="minorHAnsi" w:hAnsiTheme="minorHAnsi" w:cstheme="minorHAnsi"/>
        </w:rPr>
        <w:t xml:space="preserve">program </w:t>
      </w:r>
      <w:r w:rsidRPr="000D2E4B">
        <w:rPr>
          <w:rFonts w:asciiTheme="minorHAnsi" w:hAnsiTheme="minorHAnsi" w:cstheme="minorHAnsi"/>
        </w:rPr>
        <w:t xml:space="preserve">evaluation and case file review. </w:t>
      </w:r>
      <w:r w:rsidR="11D7D31D" w:rsidRPr="000D2E4B">
        <w:rPr>
          <w:rFonts w:asciiTheme="minorHAnsi" w:hAnsiTheme="minorHAnsi" w:cstheme="minorHAnsi"/>
        </w:rPr>
        <w:t xml:space="preserve"> </w:t>
      </w:r>
      <w:r w:rsidRPr="000D2E4B">
        <w:rPr>
          <w:rFonts w:asciiTheme="minorHAnsi" w:hAnsiTheme="minorHAnsi" w:cstheme="minorHAnsi"/>
        </w:rPr>
        <w:t xml:space="preserve">A </w:t>
      </w:r>
      <w:r w:rsidR="00584CAB">
        <w:rPr>
          <w:rFonts w:asciiTheme="minorHAnsi" w:hAnsiTheme="minorHAnsi" w:cstheme="minorHAnsi"/>
        </w:rPr>
        <w:t>two</w:t>
      </w:r>
      <w:r w:rsidRPr="000D2E4B">
        <w:rPr>
          <w:rFonts w:asciiTheme="minorHAnsi" w:hAnsiTheme="minorHAnsi" w:cstheme="minorHAnsi"/>
        </w:rPr>
        <w:t>-person OSHA team conducted a full on-site</w:t>
      </w:r>
      <w:r w:rsidR="00795C26" w:rsidRPr="000D2E4B">
        <w:rPr>
          <w:rFonts w:asciiTheme="minorHAnsi" w:hAnsiTheme="minorHAnsi" w:cstheme="minorHAnsi"/>
        </w:rPr>
        <w:t xml:space="preserve"> case file</w:t>
      </w:r>
      <w:r w:rsidRPr="000D2E4B">
        <w:rPr>
          <w:rFonts w:asciiTheme="minorHAnsi" w:hAnsiTheme="minorHAnsi" w:cstheme="minorHAnsi"/>
        </w:rPr>
        <w:t xml:space="preserve"> review</w:t>
      </w:r>
      <w:r w:rsidR="002F655B" w:rsidRPr="000D2E4B">
        <w:rPr>
          <w:rFonts w:asciiTheme="minorHAnsi" w:hAnsiTheme="minorHAnsi" w:cstheme="minorHAnsi"/>
        </w:rPr>
        <w:t xml:space="preserve"> </w:t>
      </w:r>
      <w:r w:rsidRPr="000D2E4B">
        <w:rPr>
          <w:rFonts w:asciiTheme="minorHAnsi" w:hAnsiTheme="minorHAnsi" w:cstheme="minorHAnsi"/>
        </w:rPr>
        <w:t xml:space="preserve">on </w:t>
      </w:r>
      <w:r w:rsidR="003E36EA" w:rsidRPr="000D2E4B">
        <w:rPr>
          <w:rFonts w:asciiTheme="minorHAnsi" w:hAnsiTheme="minorHAnsi" w:cstheme="minorHAnsi"/>
        </w:rPr>
        <w:t>January 5-9, 2026,</w:t>
      </w:r>
      <w:r w:rsidR="00C15526" w:rsidRPr="000D2E4B">
        <w:rPr>
          <w:rFonts w:asciiTheme="minorHAnsi" w:hAnsiTheme="minorHAnsi" w:cstheme="minorHAnsi"/>
        </w:rPr>
        <w:t xml:space="preserve"> at the Arizona State Plan office in Phoenix</w:t>
      </w:r>
      <w:r w:rsidR="6511DFD0" w:rsidRPr="000D2E4B">
        <w:rPr>
          <w:rFonts w:asciiTheme="minorHAnsi" w:hAnsiTheme="minorHAnsi" w:cstheme="minorHAnsi"/>
        </w:rPr>
        <w:t>.</w:t>
      </w:r>
      <w:r w:rsidR="11D7D31D" w:rsidRPr="000D2E4B">
        <w:rPr>
          <w:rFonts w:asciiTheme="minorHAnsi" w:hAnsiTheme="minorHAnsi" w:cstheme="minorHAnsi"/>
        </w:rPr>
        <w:t xml:space="preserve"> </w:t>
      </w:r>
      <w:r w:rsidR="00492E78" w:rsidRPr="000D2E4B">
        <w:rPr>
          <w:rFonts w:asciiTheme="minorHAnsi" w:hAnsiTheme="minorHAnsi" w:cstheme="minorHAnsi"/>
        </w:rPr>
        <w:t xml:space="preserve"> </w:t>
      </w:r>
      <w:r w:rsidR="0A92D403" w:rsidRPr="000D2E4B">
        <w:rPr>
          <w:rFonts w:asciiTheme="minorHAnsi" w:hAnsiTheme="minorHAnsi" w:cstheme="minorHAnsi"/>
        </w:rPr>
        <w:t xml:space="preserve">A </w:t>
      </w:r>
      <w:r w:rsidR="006F5066" w:rsidRPr="00584CAB">
        <w:rPr>
          <w:rFonts w:asciiTheme="minorHAnsi" w:hAnsiTheme="minorHAnsi" w:cstheme="minorHAnsi"/>
        </w:rPr>
        <w:t xml:space="preserve">total of </w:t>
      </w:r>
      <w:r w:rsidR="004F4E21" w:rsidRPr="00584CAB">
        <w:rPr>
          <w:rFonts w:asciiTheme="minorHAnsi" w:hAnsiTheme="minorHAnsi" w:cstheme="minorHAnsi"/>
        </w:rPr>
        <w:t>3</w:t>
      </w:r>
      <w:r w:rsidR="00584CAB" w:rsidRPr="00584CAB">
        <w:rPr>
          <w:rFonts w:asciiTheme="minorHAnsi" w:hAnsiTheme="minorHAnsi" w:cstheme="minorHAnsi"/>
        </w:rPr>
        <w:t>6</w:t>
      </w:r>
      <w:r w:rsidR="006F5066" w:rsidRPr="00584CAB">
        <w:rPr>
          <w:rFonts w:asciiTheme="minorHAnsi" w:hAnsiTheme="minorHAnsi" w:cstheme="minorHAnsi"/>
        </w:rPr>
        <w:t xml:space="preserve"> safety and</w:t>
      </w:r>
      <w:r w:rsidR="006F5066" w:rsidRPr="000D2E4B">
        <w:rPr>
          <w:rFonts w:asciiTheme="minorHAnsi" w:hAnsiTheme="minorHAnsi" w:cstheme="minorHAnsi"/>
        </w:rPr>
        <w:t xml:space="preserve"> health inspection f</w:t>
      </w:r>
      <w:r w:rsidR="004F4E21" w:rsidRPr="000D2E4B">
        <w:rPr>
          <w:rFonts w:asciiTheme="minorHAnsi" w:hAnsiTheme="minorHAnsi" w:cstheme="minorHAnsi"/>
        </w:rPr>
        <w:t>i</w:t>
      </w:r>
      <w:r w:rsidR="006F5066" w:rsidRPr="000D2E4B">
        <w:rPr>
          <w:rFonts w:asciiTheme="minorHAnsi" w:hAnsiTheme="minorHAnsi" w:cstheme="minorHAnsi"/>
        </w:rPr>
        <w:t>les</w:t>
      </w:r>
      <w:r w:rsidR="00904390" w:rsidRPr="000D2E4B">
        <w:rPr>
          <w:rFonts w:asciiTheme="minorHAnsi" w:hAnsiTheme="minorHAnsi" w:cstheme="minorHAnsi"/>
        </w:rPr>
        <w:t xml:space="preserve"> representing both </w:t>
      </w:r>
      <w:r w:rsidR="00D16AE5" w:rsidRPr="000D2E4B">
        <w:rPr>
          <w:rFonts w:asciiTheme="minorHAnsi" w:hAnsiTheme="minorHAnsi" w:cstheme="minorHAnsi"/>
        </w:rPr>
        <w:t>Phoenix and Tucson offices</w:t>
      </w:r>
      <w:r w:rsidR="004F4E21" w:rsidRPr="000D2E4B">
        <w:rPr>
          <w:rFonts w:asciiTheme="minorHAnsi" w:hAnsiTheme="minorHAnsi" w:cstheme="minorHAnsi"/>
        </w:rPr>
        <w:t xml:space="preserve"> </w:t>
      </w:r>
      <w:r w:rsidR="006F5066" w:rsidRPr="000D2E4B">
        <w:rPr>
          <w:rFonts w:asciiTheme="minorHAnsi" w:hAnsiTheme="minorHAnsi" w:cstheme="minorHAnsi"/>
        </w:rPr>
        <w:t xml:space="preserve">were randomly selected from closed inspections conducted </w:t>
      </w:r>
      <w:r w:rsidR="00EA37DA" w:rsidRPr="000D2E4B">
        <w:rPr>
          <w:rFonts w:asciiTheme="minorHAnsi" w:hAnsiTheme="minorHAnsi" w:cstheme="minorHAnsi"/>
        </w:rPr>
        <w:t>during</w:t>
      </w:r>
      <w:r w:rsidR="004F4E21" w:rsidRPr="000D2E4B">
        <w:rPr>
          <w:rFonts w:asciiTheme="minorHAnsi" w:hAnsiTheme="minorHAnsi" w:cstheme="minorHAnsi"/>
        </w:rPr>
        <w:t xml:space="preserve"> </w:t>
      </w:r>
      <w:r w:rsidR="2E5D24CE" w:rsidRPr="000D2E4B">
        <w:rPr>
          <w:rFonts w:asciiTheme="minorHAnsi" w:hAnsiTheme="minorHAnsi" w:cstheme="minorHAnsi"/>
        </w:rPr>
        <w:t xml:space="preserve">the evaluation period of October 1, </w:t>
      </w:r>
      <w:proofErr w:type="gramStart"/>
      <w:r w:rsidR="2E5D24CE" w:rsidRPr="000D2E4B">
        <w:rPr>
          <w:rFonts w:asciiTheme="minorHAnsi" w:hAnsiTheme="minorHAnsi" w:cstheme="minorHAnsi"/>
        </w:rPr>
        <w:t>202</w:t>
      </w:r>
      <w:r w:rsidR="00473942" w:rsidRPr="000D2E4B">
        <w:rPr>
          <w:rFonts w:asciiTheme="minorHAnsi" w:hAnsiTheme="minorHAnsi" w:cstheme="minorHAnsi"/>
        </w:rPr>
        <w:t>4</w:t>
      </w:r>
      <w:proofErr w:type="gramEnd"/>
      <w:r w:rsidR="2E5D24CE" w:rsidRPr="000D2E4B">
        <w:rPr>
          <w:rFonts w:asciiTheme="minorHAnsi" w:hAnsiTheme="minorHAnsi" w:cstheme="minorHAnsi"/>
        </w:rPr>
        <w:t xml:space="preserve"> through September 30, 202</w:t>
      </w:r>
      <w:r w:rsidR="00473942" w:rsidRPr="000D2E4B">
        <w:rPr>
          <w:rFonts w:asciiTheme="minorHAnsi" w:hAnsiTheme="minorHAnsi" w:cstheme="minorHAnsi"/>
        </w:rPr>
        <w:t>5</w:t>
      </w:r>
      <w:r w:rsidR="00EA37DA" w:rsidRPr="000D2E4B">
        <w:rPr>
          <w:rFonts w:asciiTheme="minorHAnsi" w:hAnsiTheme="minorHAnsi" w:cstheme="minorHAnsi"/>
        </w:rPr>
        <w:t>.  The</w:t>
      </w:r>
      <w:r w:rsidR="007A32C9" w:rsidRPr="000D2E4B">
        <w:rPr>
          <w:rFonts w:asciiTheme="minorHAnsi" w:hAnsiTheme="minorHAnsi" w:cstheme="minorHAnsi"/>
        </w:rPr>
        <w:t xml:space="preserve"> selected</w:t>
      </w:r>
      <w:r w:rsidR="00EA37DA" w:rsidRPr="000D2E4B">
        <w:rPr>
          <w:rFonts w:asciiTheme="minorHAnsi" w:hAnsiTheme="minorHAnsi" w:cstheme="minorHAnsi"/>
        </w:rPr>
        <w:t xml:space="preserve"> population </w:t>
      </w:r>
      <w:r w:rsidR="007A32C9" w:rsidRPr="000D2E4B">
        <w:rPr>
          <w:rFonts w:asciiTheme="minorHAnsi" w:hAnsiTheme="minorHAnsi" w:cstheme="minorHAnsi"/>
        </w:rPr>
        <w:t xml:space="preserve">included the following: </w:t>
      </w:r>
    </w:p>
    <w:p w14:paraId="75452E63" w14:textId="77777777" w:rsidR="00826F6E" w:rsidRDefault="00826F6E" w:rsidP="000D2E4B">
      <w:pPr>
        <w:rPr>
          <w:rFonts w:asciiTheme="minorHAnsi" w:hAnsiTheme="minorHAnsi" w:cstheme="minorHAnsi"/>
        </w:rPr>
      </w:pPr>
    </w:p>
    <w:p w14:paraId="10C688B4" w14:textId="369C577D" w:rsidR="00471D75" w:rsidRPr="00CC64CF" w:rsidRDefault="00584CAB" w:rsidP="00CC64CF">
      <w:pPr>
        <w:pStyle w:val="ListParagraph"/>
        <w:numPr>
          <w:ilvl w:val="0"/>
          <w:numId w:val="19"/>
        </w:numPr>
        <w:spacing w:line="240" w:lineRule="auto"/>
        <w:rPr>
          <w:rFonts w:asciiTheme="minorHAnsi" w:hAnsiTheme="minorHAnsi" w:cstheme="minorHAnsi"/>
          <w:sz w:val="24"/>
          <w:szCs w:val="24"/>
        </w:rPr>
      </w:pPr>
      <w:r w:rsidRPr="00CC64CF">
        <w:rPr>
          <w:rFonts w:asciiTheme="minorHAnsi" w:hAnsiTheme="minorHAnsi" w:cstheme="minorHAnsi"/>
          <w:sz w:val="24"/>
          <w:szCs w:val="24"/>
        </w:rPr>
        <w:t>Seven</w:t>
      </w:r>
      <w:r w:rsidR="00824070" w:rsidRPr="00CC64CF">
        <w:rPr>
          <w:rFonts w:asciiTheme="minorHAnsi" w:hAnsiTheme="minorHAnsi" w:cstheme="minorHAnsi"/>
          <w:sz w:val="24"/>
          <w:szCs w:val="24"/>
        </w:rPr>
        <w:t xml:space="preserve"> (</w:t>
      </w:r>
      <w:r w:rsidRPr="00CC64CF">
        <w:rPr>
          <w:rFonts w:asciiTheme="minorHAnsi" w:hAnsiTheme="minorHAnsi" w:cstheme="minorHAnsi"/>
          <w:sz w:val="24"/>
          <w:szCs w:val="24"/>
        </w:rPr>
        <w:t>7</w:t>
      </w:r>
      <w:r w:rsidR="00824070" w:rsidRPr="00CC64CF">
        <w:rPr>
          <w:rFonts w:asciiTheme="minorHAnsi" w:hAnsiTheme="minorHAnsi" w:cstheme="minorHAnsi"/>
          <w:sz w:val="24"/>
          <w:szCs w:val="24"/>
        </w:rPr>
        <w:t>) fatality</w:t>
      </w:r>
      <w:r w:rsidR="00471D75" w:rsidRPr="00CC64CF">
        <w:rPr>
          <w:rFonts w:asciiTheme="minorHAnsi" w:hAnsiTheme="minorHAnsi" w:cstheme="minorHAnsi"/>
          <w:sz w:val="24"/>
          <w:szCs w:val="24"/>
        </w:rPr>
        <w:t xml:space="preserve"> </w:t>
      </w:r>
      <w:r w:rsidR="007F7F9D">
        <w:rPr>
          <w:rFonts w:asciiTheme="minorHAnsi" w:hAnsiTheme="minorHAnsi" w:cstheme="minorHAnsi"/>
          <w:sz w:val="24"/>
          <w:szCs w:val="24"/>
        </w:rPr>
        <w:t>inspection</w:t>
      </w:r>
      <w:r w:rsidR="00471D75" w:rsidRPr="00CC64CF">
        <w:rPr>
          <w:rFonts w:asciiTheme="minorHAnsi" w:hAnsiTheme="minorHAnsi" w:cstheme="minorHAnsi"/>
          <w:sz w:val="24"/>
          <w:szCs w:val="24"/>
        </w:rPr>
        <w:t xml:space="preserve"> files </w:t>
      </w:r>
    </w:p>
    <w:p w14:paraId="111AE953" w14:textId="1339DFDE" w:rsidR="00471D75" w:rsidRPr="00CC64CF" w:rsidRDefault="00CC64CF" w:rsidP="00CC64CF">
      <w:pPr>
        <w:pStyle w:val="ListParagraph"/>
        <w:numPr>
          <w:ilvl w:val="0"/>
          <w:numId w:val="19"/>
        </w:numPr>
        <w:spacing w:line="240" w:lineRule="auto"/>
        <w:rPr>
          <w:rFonts w:asciiTheme="minorHAnsi" w:hAnsiTheme="minorHAnsi" w:cstheme="minorHAnsi"/>
          <w:sz w:val="24"/>
          <w:szCs w:val="24"/>
        </w:rPr>
      </w:pPr>
      <w:r w:rsidRPr="00CC64CF">
        <w:rPr>
          <w:rFonts w:asciiTheme="minorHAnsi" w:hAnsiTheme="minorHAnsi" w:cstheme="minorHAnsi"/>
          <w:sz w:val="24"/>
          <w:szCs w:val="24"/>
        </w:rPr>
        <w:t>Eighteen</w:t>
      </w:r>
      <w:r w:rsidR="3A8CEEDF" w:rsidRPr="00CC64CF">
        <w:rPr>
          <w:rFonts w:asciiTheme="minorHAnsi" w:hAnsiTheme="minorHAnsi" w:cstheme="minorHAnsi"/>
          <w:sz w:val="24"/>
          <w:szCs w:val="24"/>
        </w:rPr>
        <w:t xml:space="preserve"> (</w:t>
      </w:r>
      <w:r w:rsidR="00AF2028" w:rsidRPr="00CC64CF">
        <w:rPr>
          <w:rFonts w:asciiTheme="minorHAnsi" w:hAnsiTheme="minorHAnsi" w:cstheme="minorHAnsi"/>
          <w:sz w:val="24"/>
          <w:szCs w:val="24"/>
        </w:rPr>
        <w:t>1</w:t>
      </w:r>
      <w:r w:rsidR="00CB0843" w:rsidRPr="00CC64CF">
        <w:rPr>
          <w:rFonts w:asciiTheme="minorHAnsi" w:hAnsiTheme="minorHAnsi" w:cstheme="minorHAnsi"/>
          <w:sz w:val="24"/>
          <w:szCs w:val="24"/>
        </w:rPr>
        <w:t>8</w:t>
      </w:r>
      <w:r w:rsidR="3A8CEEDF" w:rsidRPr="00CC64CF">
        <w:rPr>
          <w:rFonts w:asciiTheme="minorHAnsi" w:hAnsiTheme="minorHAnsi" w:cstheme="minorHAnsi"/>
          <w:sz w:val="24"/>
          <w:szCs w:val="24"/>
        </w:rPr>
        <w:t>)</w:t>
      </w:r>
      <w:r w:rsidR="791819CE" w:rsidRPr="00CC64CF">
        <w:rPr>
          <w:rFonts w:asciiTheme="minorHAnsi" w:hAnsiTheme="minorHAnsi" w:cstheme="minorHAnsi"/>
          <w:sz w:val="24"/>
          <w:szCs w:val="24"/>
        </w:rPr>
        <w:t xml:space="preserve"> </w:t>
      </w:r>
      <w:r w:rsidR="5A8F5C76" w:rsidRPr="00CC64CF">
        <w:rPr>
          <w:rFonts w:asciiTheme="minorHAnsi" w:hAnsiTheme="minorHAnsi" w:cstheme="minorHAnsi"/>
          <w:sz w:val="24"/>
          <w:szCs w:val="24"/>
        </w:rPr>
        <w:t xml:space="preserve">complaint/referral </w:t>
      </w:r>
      <w:r w:rsidR="00385C1A">
        <w:rPr>
          <w:rFonts w:asciiTheme="minorHAnsi" w:hAnsiTheme="minorHAnsi" w:cstheme="minorHAnsi"/>
          <w:sz w:val="24"/>
          <w:szCs w:val="24"/>
        </w:rPr>
        <w:t>inspection</w:t>
      </w:r>
      <w:r w:rsidR="5A8F5C76" w:rsidRPr="00CC64CF">
        <w:rPr>
          <w:rFonts w:asciiTheme="minorHAnsi" w:hAnsiTheme="minorHAnsi" w:cstheme="minorHAnsi"/>
          <w:sz w:val="24"/>
          <w:szCs w:val="24"/>
        </w:rPr>
        <w:t xml:space="preserve"> files  </w:t>
      </w:r>
    </w:p>
    <w:p w14:paraId="4C7AFD61" w14:textId="10A40C36" w:rsidR="00471D75" w:rsidRPr="00CC64CF" w:rsidRDefault="00CC64CF" w:rsidP="00CC64CF">
      <w:pPr>
        <w:pStyle w:val="ListParagraph"/>
        <w:numPr>
          <w:ilvl w:val="0"/>
          <w:numId w:val="19"/>
        </w:numPr>
        <w:spacing w:line="240" w:lineRule="auto"/>
        <w:rPr>
          <w:rFonts w:asciiTheme="minorHAnsi" w:hAnsiTheme="minorHAnsi" w:cstheme="minorHAnsi"/>
          <w:sz w:val="24"/>
          <w:szCs w:val="24"/>
        </w:rPr>
      </w:pPr>
      <w:r w:rsidRPr="00CC64CF">
        <w:rPr>
          <w:rFonts w:asciiTheme="minorHAnsi" w:hAnsiTheme="minorHAnsi" w:cstheme="minorHAnsi"/>
          <w:sz w:val="24"/>
          <w:szCs w:val="24"/>
        </w:rPr>
        <w:t>Three</w:t>
      </w:r>
      <w:r w:rsidR="00824070" w:rsidRPr="00CC64CF">
        <w:rPr>
          <w:rFonts w:asciiTheme="minorHAnsi" w:hAnsiTheme="minorHAnsi" w:cstheme="minorHAnsi"/>
          <w:sz w:val="24"/>
          <w:szCs w:val="24"/>
        </w:rPr>
        <w:t xml:space="preserve"> (</w:t>
      </w:r>
      <w:r w:rsidRPr="00CC64CF">
        <w:rPr>
          <w:rFonts w:asciiTheme="minorHAnsi" w:hAnsiTheme="minorHAnsi" w:cstheme="minorHAnsi"/>
          <w:sz w:val="24"/>
          <w:szCs w:val="24"/>
        </w:rPr>
        <w:t>3</w:t>
      </w:r>
      <w:r w:rsidR="00824070" w:rsidRPr="00CC64CF">
        <w:rPr>
          <w:rFonts w:asciiTheme="minorHAnsi" w:hAnsiTheme="minorHAnsi" w:cstheme="minorHAnsi"/>
          <w:sz w:val="24"/>
          <w:szCs w:val="24"/>
        </w:rPr>
        <w:t>)</w:t>
      </w:r>
      <w:r w:rsidR="00A95ED4" w:rsidRPr="00CC64CF">
        <w:rPr>
          <w:rFonts w:asciiTheme="minorHAnsi" w:hAnsiTheme="minorHAnsi" w:cstheme="minorHAnsi"/>
          <w:sz w:val="24"/>
          <w:szCs w:val="24"/>
        </w:rPr>
        <w:t xml:space="preserve"> </w:t>
      </w:r>
      <w:r w:rsidR="00471D75" w:rsidRPr="00CC64CF">
        <w:rPr>
          <w:rFonts w:asciiTheme="minorHAnsi" w:hAnsiTheme="minorHAnsi" w:cstheme="minorHAnsi"/>
          <w:sz w:val="24"/>
          <w:szCs w:val="24"/>
        </w:rPr>
        <w:t xml:space="preserve">programmed </w:t>
      </w:r>
      <w:r w:rsidR="000B190E">
        <w:rPr>
          <w:rFonts w:asciiTheme="minorHAnsi" w:hAnsiTheme="minorHAnsi" w:cstheme="minorHAnsi"/>
          <w:sz w:val="24"/>
          <w:szCs w:val="24"/>
        </w:rPr>
        <w:t>inspection</w:t>
      </w:r>
      <w:r w:rsidR="00471D75" w:rsidRPr="00CC64CF">
        <w:rPr>
          <w:rFonts w:asciiTheme="minorHAnsi" w:hAnsiTheme="minorHAnsi" w:cstheme="minorHAnsi"/>
          <w:sz w:val="24"/>
          <w:szCs w:val="24"/>
        </w:rPr>
        <w:t xml:space="preserve"> files </w:t>
      </w:r>
    </w:p>
    <w:p w14:paraId="240B0A8A" w14:textId="4CF3B031" w:rsidR="00471D75" w:rsidRPr="00CC64CF" w:rsidRDefault="00CC64CF" w:rsidP="00CC64CF">
      <w:pPr>
        <w:pStyle w:val="ListParagraph"/>
        <w:numPr>
          <w:ilvl w:val="0"/>
          <w:numId w:val="19"/>
        </w:numPr>
        <w:spacing w:after="0" w:line="240" w:lineRule="auto"/>
        <w:rPr>
          <w:rFonts w:asciiTheme="minorHAnsi" w:hAnsiTheme="minorHAnsi" w:cstheme="minorHAnsi"/>
          <w:sz w:val="24"/>
          <w:szCs w:val="24"/>
        </w:rPr>
      </w:pPr>
      <w:r w:rsidRPr="00CC64CF">
        <w:rPr>
          <w:rFonts w:asciiTheme="minorHAnsi" w:hAnsiTheme="minorHAnsi" w:cstheme="minorHAnsi"/>
          <w:sz w:val="24"/>
          <w:szCs w:val="24"/>
        </w:rPr>
        <w:t>Eight</w:t>
      </w:r>
      <w:r w:rsidR="00824070" w:rsidRPr="00CC64CF">
        <w:rPr>
          <w:rFonts w:asciiTheme="minorHAnsi" w:hAnsiTheme="minorHAnsi" w:cstheme="minorHAnsi"/>
          <w:sz w:val="24"/>
          <w:szCs w:val="24"/>
        </w:rPr>
        <w:t xml:space="preserve"> (</w:t>
      </w:r>
      <w:r w:rsidR="00D77DD3" w:rsidRPr="00CC64CF">
        <w:rPr>
          <w:rFonts w:asciiTheme="minorHAnsi" w:hAnsiTheme="minorHAnsi" w:cstheme="minorHAnsi"/>
          <w:sz w:val="24"/>
          <w:szCs w:val="24"/>
        </w:rPr>
        <w:t>8</w:t>
      </w:r>
      <w:r w:rsidR="00824070" w:rsidRPr="00CC64CF">
        <w:rPr>
          <w:rFonts w:asciiTheme="minorHAnsi" w:hAnsiTheme="minorHAnsi" w:cstheme="minorHAnsi"/>
          <w:sz w:val="24"/>
          <w:szCs w:val="24"/>
        </w:rPr>
        <w:t>)</w:t>
      </w:r>
      <w:r w:rsidR="00A95ED4" w:rsidRPr="00CC64CF">
        <w:rPr>
          <w:rFonts w:asciiTheme="minorHAnsi" w:hAnsiTheme="minorHAnsi" w:cstheme="minorHAnsi"/>
          <w:sz w:val="24"/>
          <w:szCs w:val="24"/>
        </w:rPr>
        <w:t xml:space="preserve"> </w:t>
      </w:r>
      <w:r w:rsidR="00471D75" w:rsidRPr="00CC64CF">
        <w:rPr>
          <w:rFonts w:asciiTheme="minorHAnsi" w:hAnsiTheme="minorHAnsi" w:cstheme="minorHAnsi"/>
          <w:sz w:val="24"/>
          <w:szCs w:val="24"/>
        </w:rPr>
        <w:t>unprogrammed</w:t>
      </w:r>
      <w:r w:rsidR="0BE9614A" w:rsidRPr="00CC64CF">
        <w:rPr>
          <w:rFonts w:asciiTheme="minorHAnsi" w:hAnsiTheme="minorHAnsi" w:cstheme="minorHAnsi"/>
          <w:sz w:val="24"/>
          <w:szCs w:val="24"/>
        </w:rPr>
        <w:t xml:space="preserve"> related</w:t>
      </w:r>
      <w:r w:rsidR="00471D75" w:rsidRPr="00CC64CF">
        <w:rPr>
          <w:rFonts w:asciiTheme="minorHAnsi" w:hAnsiTheme="minorHAnsi" w:cstheme="minorHAnsi"/>
          <w:sz w:val="24"/>
          <w:szCs w:val="24"/>
        </w:rPr>
        <w:t xml:space="preserve"> </w:t>
      </w:r>
      <w:r w:rsidR="000B190E">
        <w:rPr>
          <w:rFonts w:asciiTheme="minorHAnsi" w:hAnsiTheme="minorHAnsi" w:cstheme="minorHAnsi"/>
          <w:sz w:val="24"/>
          <w:szCs w:val="24"/>
        </w:rPr>
        <w:t>inspection</w:t>
      </w:r>
      <w:r w:rsidR="00471D75" w:rsidRPr="00CC64CF">
        <w:rPr>
          <w:rFonts w:asciiTheme="minorHAnsi" w:hAnsiTheme="minorHAnsi" w:cstheme="minorHAnsi"/>
          <w:sz w:val="24"/>
          <w:szCs w:val="24"/>
        </w:rPr>
        <w:t xml:space="preserve"> files </w:t>
      </w:r>
    </w:p>
    <w:p w14:paraId="56082E8B" w14:textId="77777777" w:rsidR="00704F56" w:rsidRDefault="00704F56" w:rsidP="00704F56">
      <w:pPr>
        <w:rPr>
          <w:rFonts w:asciiTheme="minorHAnsi" w:eastAsia="Calibri" w:hAnsiTheme="minorHAnsi" w:cstheme="minorHAnsi"/>
          <w:highlight w:val="yellow"/>
        </w:rPr>
      </w:pPr>
    </w:p>
    <w:p w14:paraId="6B90099B" w14:textId="3883DFA4" w:rsidR="00082B75" w:rsidRDefault="00704F56" w:rsidP="00407CC4">
      <w:pPr>
        <w:rPr>
          <w:rFonts w:asciiTheme="minorHAnsi" w:hAnsiTheme="minorHAnsi" w:cstheme="minorBidi"/>
          <w:color w:val="000000" w:themeColor="text1"/>
        </w:rPr>
      </w:pPr>
      <w:r w:rsidRPr="00E01D76">
        <w:rPr>
          <w:rFonts w:asciiTheme="minorHAnsi" w:eastAsia="Calibri" w:hAnsiTheme="minorHAnsi" w:cstheme="minorHAnsi"/>
        </w:rPr>
        <w:t xml:space="preserve">Additionally, a review of retaliation </w:t>
      </w:r>
      <w:r w:rsidR="00F546B1" w:rsidRPr="00E01D76">
        <w:rPr>
          <w:rFonts w:asciiTheme="minorHAnsi" w:eastAsia="Calibri" w:hAnsiTheme="minorHAnsi" w:cstheme="minorHAnsi"/>
        </w:rPr>
        <w:t xml:space="preserve">files was conducted on </w:t>
      </w:r>
      <w:r w:rsidR="00C11160" w:rsidRPr="0083347D">
        <w:rPr>
          <w:rFonts w:asciiTheme="minorHAnsi" w:eastAsia="Calibri" w:hAnsiTheme="minorHAnsi" w:cstheme="minorHAnsi"/>
        </w:rPr>
        <w:t>January 8</w:t>
      </w:r>
      <w:r w:rsidR="00C11160" w:rsidRPr="0083347D">
        <w:rPr>
          <w:rFonts w:asciiTheme="minorHAnsi" w:eastAsia="Calibri" w:hAnsiTheme="minorHAnsi" w:cstheme="minorHAnsi"/>
          <w:vertAlign w:val="superscript"/>
        </w:rPr>
        <w:t>th</w:t>
      </w:r>
      <w:r w:rsidR="00C11160" w:rsidRPr="0083347D">
        <w:rPr>
          <w:rFonts w:asciiTheme="minorHAnsi" w:eastAsia="Calibri" w:hAnsiTheme="minorHAnsi" w:cstheme="minorHAnsi"/>
        </w:rPr>
        <w:t xml:space="preserve"> and 9</w:t>
      </w:r>
      <w:r w:rsidR="00C11160" w:rsidRPr="0083347D">
        <w:rPr>
          <w:rFonts w:asciiTheme="minorHAnsi" w:eastAsia="Calibri" w:hAnsiTheme="minorHAnsi" w:cstheme="minorHAnsi"/>
          <w:vertAlign w:val="superscript"/>
        </w:rPr>
        <w:t>th</w:t>
      </w:r>
      <w:r w:rsidR="00C11160" w:rsidRPr="0083347D">
        <w:rPr>
          <w:rFonts w:asciiTheme="minorHAnsi" w:eastAsia="Calibri" w:hAnsiTheme="minorHAnsi" w:cstheme="minorHAnsi"/>
        </w:rPr>
        <w:t>, 2026</w:t>
      </w:r>
      <w:r w:rsidR="00F546B1" w:rsidRPr="0083347D">
        <w:rPr>
          <w:rFonts w:asciiTheme="minorHAnsi" w:eastAsia="Calibri" w:hAnsiTheme="minorHAnsi" w:cstheme="minorHAnsi"/>
        </w:rPr>
        <w:t xml:space="preserve"> </w:t>
      </w:r>
      <w:r w:rsidR="00E01D76">
        <w:rPr>
          <w:rFonts w:asciiTheme="minorHAnsi" w:eastAsia="Calibri" w:hAnsiTheme="minorHAnsi" w:cstheme="minorHAnsi"/>
        </w:rPr>
        <w:t>at</w:t>
      </w:r>
      <w:r w:rsidR="00F546B1" w:rsidRPr="00E01D76">
        <w:rPr>
          <w:rFonts w:asciiTheme="minorHAnsi" w:eastAsia="Calibri" w:hAnsiTheme="minorHAnsi" w:cstheme="minorHAnsi"/>
        </w:rPr>
        <w:t xml:space="preserve"> the Tucson Office.  </w:t>
      </w:r>
      <w:r w:rsidR="00E80E81">
        <w:rPr>
          <w:rFonts w:asciiTheme="minorHAnsi" w:eastAsia="Calibri" w:hAnsiTheme="minorHAnsi" w:cstheme="minorHAnsi"/>
        </w:rPr>
        <w:t xml:space="preserve">ADOSH </w:t>
      </w:r>
      <w:r w:rsidR="0011111A">
        <w:rPr>
          <w:rFonts w:asciiTheme="minorHAnsi" w:eastAsia="Calibri" w:hAnsiTheme="minorHAnsi" w:cstheme="minorHAnsi"/>
        </w:rPr>
        <w:t xml:space="preserve">completed </w:t>
      </w:r>
      <w:r w:rsidR="0011111A" w:rsidRPr="0083347D">
        <w:rPr>
          <w:rFonts w:asciiTheme="minorHAnsi" w:eastAsia="Calibri" w:hAnsiTheme="minorHAnsi" w:cstheme="minorHAnsi"/>
        </w:rPr>
        <w:t>41</w:t>
      </w:r>
      <w:r w:rsidRPr="0083347D">
        <w:rPr>
          <w:rFonts w:asciiTheme="minorHAnsi" w:eastAsia="Calibri" w:hAnsiTheme="minorHAnsi" w:cstheme="minorHAnsi"/>
        </w:rPr>
        <w:t xml:space="preserve"> retaliation investigations and </w:t>
      </w:r>
      <w:r w:rsidR="00E80E81">
        <w:rPr>
          <w:rFonts w:asciiTheme="minorHAnsi" w:eastAsia="Calibri" w:hAnsiTheme="minorHAnsi" w:cstheme="minorHAnsi"/>
        </w:rPr>
        <w:t xml:space="preserve">administratively closed </w:t>
      </w:r>
      <w:r w:rsidR="00BD116A" w:rsidRPr="0083347D">
        <w:rPr>
          <w:rFonts w:asciiTheme="minorHAnsi" w:eastAsia="Calibri" w:hAnsiTheme="minorHAnsi" w:cstheme="minorHAnsi"/>
        </w:rPr>
        <w:t>249</w:t>
      </w:r>
      <w:r w:rsidRPr="0083347D">
        <w:rPr>
          <w:rFonts w:asciiTheme="minorHAnsi" w:eastAsia="Calibri" w:hAnsiTheme="minorHAnsi" w:cstheme="minorHAnsi"/>
        </w:rPr>
        <w:t xml:space="preserve"> complaints in FY 2025.  A random selection of completed and administratively closed investigation files were chosen for review according to the percentage each category made up of the total</w:t>
      </w:r>
      <w:r w:rsidRPr="00E01D76">
        <w:rPr>
          <w:rFonts w:asciiTheme="minorHAnsi" w:eastAsia="Calibri" w:hAnsiTheme="minorHAnsi" w:cstheme="minorHAnsi"/>
        </w:rPr>
        <w:t xml:space="preserve">. </w:t>
      </w:r>
      <w:r w:rsidR="00E01D76" w:rsidRPr="00E01D76">
        <w:rPr>
          <w:rFonts w:asciiTheme="minorHAnsi" w:eastAsia="Calibri" w:hAnsiTheme="minorHAnsi" w:cstheme="minorHAnsi"/>
        </w:rPr>
        <w:t xml:space="preserve"> </w:t>
      </w:r>
      <w:r w:rsidRPr="00E01D76">
        <w:rPr>
          <w:rFonts w:asciiTheme="minorHAnsi" w:eastAsia="Calibri" w:hAnsiTheme="minorHAnsi" w:cstheme="minorHAnsi"/>
        </w:rPr>
        <w:t xml:space="preserve">This resulted in </w:t>
      </w:r>
      <w:r w:rsidR="005B05DF">
        <w:rPr>
          <w:rFonts w:asciiTheme="minorHAnsi" w:eastAsia="Calibri" w:hAnsiTheme="minorHAnsi" w:cstheme="minorHAnsi"/>
        </w:rPr>
        <w:t>139</w:t>
      </w:r>
      <w:r w:rsidRPr="0083347D">
        <w:rPr>
          <w:rFonts w:asciiTheme="minorHAnsi" w:eastAsia="Calibri" w:hAnsiTheme="minorHAnsi" w:cstheme="minorHAnsi"/>
        </w:rPr>
        <w:t xml:space="preserve"> </w:t>
      </w:r>
      <w:r w:rsidRPr="00E01D76">
        <w:rPr>
          <w:rFonts w:asciiTheme="minorHAnsi" w:eastAsia="Calibri" w:hAnsiTheme="minorHAnsi" w:cstheme="minorHAnsi"/>
        </w:rPr>
        <w:t>case files reviewed</w:t>
      </w:r>
      <w:r w:rsidR="00F546B1" w:rsidRPr="00E01D76">
        <w:rPr>
          <w:rFonts w:asciiTheme="minorHAnsi" w:eastAsia="Calibri" w:hAnsiTheme="minorHAnsi" w:cstheme="minorHAnsi"/>
        </w:rPr>
        <w:t xml:space="preserve"> from a randomly selected population that included the following</w:t>
      </w:r>
      <w:r w:rsidR="00F546B1" w:rsidRPr="0083347D">
        <w:rPr>
          <w:rFonts w:asciiTheme="minorHAnsi" w:eastAsia="Calibri" w:hAnsiTheme="minorHAnsi" w:cstheme="minorHAnsi"/>
        </w:rPr>
        <w:t>:</w:t>
      </w:r>
      <w:r w:rsidR="004E782D" w:rsidRPr="0083347D">
        <w:rPr>
          <w:rFonts w:asciiTheme="minorHAnsi" w:hAnsiTheme="minorHAnsi" w:cstheme="minorBidi"/>
          <w:color w:val="000000" w:themeColor="text1"/>
        </w:rPr>
        <w:t xml:space="preserve">   </w:t>
      </w:r>
    </w:p>
    <w:p w14:paraId="5F1D6567" w14:textId="77777777" w:rsidR="00826F6E" w:rsidRPr="00F546B1" w:rsidRDefault="00826F6E" w:rsidP="00407CC4">
      <w:pPr>
        <w:rPr>
          <w:rFonts w:asciiTheme="minorHAnsi" w:eastAsia="Calibri" w:hAnsiTheme="minorHAnsi" w:cstheme="minorHAnsi"/>
        </w:rPr>
      </w:pPr>
    </w:p>
    <w:p w14:paraId="02487EB6" w14:textId="72A1C080" w:rsidR="00DF0226" w:rsidRPr="0083347D" w:rsidRDefault="00DF0226" w:rsidP="008D6C26">
      <w:pPr>
        <w:pStyle w:val="ListParagraph"/>
        <w:numPr>
          <w:ilvl w:val="0"/>
          <w:numId w:val="7"/>
        </w:numPr>
        <w:spacing w:line="240" w:lineRule="auto"/>
        <w:rPr>
          <w:sz w:val="24"/>
          <w:szCs w:val="24"/>
        </w:rPr>
      </w:pPr>
      <w:r w:rsidRPr="0083347D">
        <w:rPr>
          <w:sz w:val="24"/>
          <w:szCs w:val="24"/>
        </w:rPr>
        <w:t xml:space="preserve">One </w:t>
      </w:r>
      <w:r w:rsidR="00F15036">
        <w:rPr>
          <w:sz w:val="24"/>
          <w:szCs w:val="24"/>
        </w:rPr>
        <w:t>h</w:t>
      </w:r>
      <w:r w:rsidRPr="0083347D">
        <w:rPr>
          <w:sz w:val="24"/>
          <w:szCs w:val="24"/>
        </w:rPr>
        <w:t>undred (100) administratively closed</w:t>
      </w:r>
    </w:p>
    <w:p w14:paraId="4928D0E6" w14:textId="056C7693" w:rsidR="00471D75" w:rsidRPr="0083347D" w:rsidRDefault="0053455C" w:rsidP="008D6C26">
      <w:pPr>
        <w:pStyle w:val="ListParagraph"/>
        <w:numPr>
          <w:ilvl w:val="0"/>
          <w:numId w:val="7"/>
        </w:numPr>
        <w:spacing w:line="240" w:lineRule="auto"/>
        <w:rPr>
          <w:sz w:val="24"/>
          <w:szCs w:val="24"/>
        </w:rPr>
      </w:pPr>
      <w:r w:rsidRPr="0083347D">
        <w:rPr>
          <w:sz w:val="24"/>
          <w:szCs w:val="24"/>
        </w:rPr>
        <w:t>Thirty-three</w:t>
      </w:r>
      <w:r w:rsidR="34DA6A64" w:rsidRPr="0083347D">
        <w:rPr>
          <w:sz w:val="24"/>
          <w:szCs w:val="24"/>
        </w:rPr>
        <w:t xml:space="preserve"> (</w:t>
      </w:r>
      <w:r w:rsidRPr="0083347D">
        <w:rPr>
          <w:sz w:val="24"/>
          <w:szCs w:val="24"/>
        </w:rPr>
        <w:t>33</w:t>
      </w:r>
      <w:r w:rsidR="34DA6A64" w:rsidRPr="0083347D">
        <w:rPr>
          <w:sz w:val="24"/>
          <w:szCs w:val="24"/>
        </w:rPr>
        <w:t xml:space="preserve">) </w:t>
      </w:r>
      <w:r w:rsidR="00471D75" w:rsidRPr="0083347D">
        <w:rPr>
          <w:sz w:val="24"/>
          <w:szCs w:val="24"/>
        </w:rPr>
        <w:t>dismissed</w:t>
      </w:r>
      <w:r w:rsidR="637D7B1A" w:rsidRPr="0083347D">
        <w:rPr>
          <w:sz w:val="24"/>
          <w:szCs w:val="24"/>
        </w:rPr>
        <w:t xml:space="preserve"> </w:t>
      </w:r>
    </w:p>
    <w:p w14:paraId="769A8428" w14:textId="004DBE8C" w:rsidR="00DB7950" w:rsidRPr="0083347D" w:rsidRDefault="00E17B82" w:rsidP="008D6C26">
      <w:pPr>
        <w:pStyle w:val="ListParagraph"/>
        <w:numPr>
          <w:ilvl w:val="0"/>
          <w:numId w:val="7"/>
        </w:numPr>
        <w:spacing w:line="240" w:lineRule="auto"/>
        <w:rPr>
          <w:rFonts w:asciiTheme="minorHAnsi" w:hAnsiTheme="minorHAnsi" w:cstheme="minorHAnsi"/>
          <w:sz w:val="24"/>
          <w:szCs w:val="24"/>
        </w:rPr>
      </w:pPr>
      <w:r w:rsidRPr="0083347D">
        <w:rPr>
          <w:rFonts w:asciiTheme="minorHAnsi" w:hAnsiTheme="minorHAnsi" w:cstheme="minorHAnsi"/>
          <w:sz w:val="24"/>
          <w:szCs w:val="24"/>
        </w:rPr>
        <w:t>Four</w:t>
      </w:r>
      <w:r w:rsidR="67B356B3" w:rsidRPr="0083347D">
        <w:rPr>
          <w:rFonts w:asciiTheme="minorHAnsi" w:hAnsiTheme="minorHAnsi" w:cstheme="minorHAnsi"/>
          <w:sz w:val="24"/>
          <w:szCs w:val="24"/>
        </w:rPr>
        <w:t xml:space="preserve"> (</w:t>
      </w:r>
      <w:r w:rsidRPr="0083347D">
        <w:rPr>
          <w:rFonts w:asciiTheme="minorHAnsi" w:hAnsiTheme="minorHAnsi" w:cstheme="minorHAnsi"/>
          <w:sz w:val="24"/>
          <w:szCs w:val="24"/>
        </w:rPr>
        <w:t>4</w:t>
      </w:r>
      <w:r w:rsidR="67B356B3" w:rsidRPr="0083347D">
        <w:rPr>
          <w:rFonts w:asciiTheme="minorHAnsi" w:hAnsiTheme="minorHAnsi" w:cstheme="minorHAnsi"/>
          <w:sz w:val="24"/>
          <w:szCs w:val="24"/>
        </w:rPr>
        <w:t>) settled</w:t>
      </w:r>
    </w:p>
    <w:p w14:paraId="5CCD1E25" w14:textId="39C5FB32" w:rsidR="00E17B82" w:rsidRPr="0083347D" w:rsidRDefault="00E17B82" w:rsidP="008D6C26">
      <w:pPr>
        <w:pStyle w:val="ListParagraph"/>
        <w:numPr>
          <w:ilvl w:val="0"/>
          <w:numId w:val="7"/>
        </w:numPr>
        <w:spacing w:line="240" w:lineRule="auto"/>
        <w:rPr>
          <w:rFonts w:asciiTheme="minorHAnsi" w:hAnsiTheme="minorHAnsi" w:cstheme="minorHAnsi"/>
          <w:sz w:val="24"/>
          <w:szCs w:val="24"/>
        </w:rPr>
      </w:pPr>
      <w:r w:rsidRPr="0083347D">
        <w:rPr>
          <w:rFonts w:asciiTheme="minorHAnsi" w:hAnsiTheme="minorHAnsi" w:cstheme="minorHAnsi"/>
          <w:sz w:val="24"/>
          <w:szCs w:val="24"/>
        </w:rPr>
        <w:t xml:space="preserve">One (1) settled </w:t>
      </w:r>
      <w:proofErr w:type="gramStart"/>
      <w:r w:rsidRPr="0083347D">
        <w:rPr>
          <w:rFonts w:asciiTheme="minorHAnsi" w:hAnsiTheme="minorHAnsi" w:cstheme="minorHAnsi"/>
          <w:sz w:val="24"/>
          <w:szCs w:val="24"/>
        </w:rPr>
        <w:t>other</w:t>
      </w:r>
      <w:proofErr w:type="gramEnd"/>
    </w:p>
    <w:p w14:paraId="7ED7D2F8" w14:textId="2FF4478C" w:rsidR="00AF58D0" w:rsidRPr="0083347D" w:rsidRDefault="00147E32" w:rsidP="008D6C26">
      <w:pPr>
        <w:pStyle w:val="ListParagraph"/>
        <w:numPr>
          <w:ilvl w:val="0"/>
          <w:numId w:val="7"/>
        </w:numPr>
        <w:spacing w:line="240" w:lineRule="auto"/>
        <w:rPr>
          <w:rFonts w:asciiTheme="minorHAnsi" w:hAnsiTheme="minorHAnsi" w:cstheme="minorHAnsi"/>
          <w:sz w:val="24"/>
          <w:szCs w:val="24"/>
        </w:rPr>
      </w:pPr>
      <w:r w:rsidRPr="0083347D">
        <w:rPr>
          <w:rFonts w:asciiTheme="minorHAnsi" w:hAnsiTheme="minorHAnsi" w:cstheme="minorHAnsi"/>
          <w:sz w:val="24"/>
          <w:szCs w:val="24"/>
        </w:rPr>
        <w:t>One (1) withdrawn</w:t>
      </w:r>
    </w:p>
    <w:p w14:paraId="7ED5DD28" w14:textId="643FBEE8" w:rsidR="00471D75" w:rsidRDefault="00471D75" w:rsidP="00471D75">
      <w:pPr>
        <w:rPr>
          <w:rFonts w:asciiTheme="minorHAnsi" w:hAnsiTheme="minorHAnsi" w:cstheme="minorHAnsi"/>
        </w:rPr>
      </w:pPr>
      <w:r w:rsidRPr="00471D75">
        <w:rPr>
          <w:rFonts w:asciiTheme="minorHAnsi" w:hAnsiTheme="minorHAnsi" w:cstheme="minorHAnsi"/>
        </w:rPr>
        <w:t>The analyses and conclusions described in this report are based on information obtained from a variety of monitoring sources, including</w:t>
      </w:r>
      <w:r w:rsidR="00453818">
        <w:rPr>
          <w:rFonts w:asciiTheme="minorHAnsi" w:hAnsiTheme="minorHAnsi" w:cstheme="minorHAnsi"/>
        </w:rPr>
        <w:t xml:space="preserve"> the following</w:t>
      </w:r>
      <w:r w:rsidRPr="00471D75">
        <w:rPr>
          <w:rFonts w:asciiTheme="minorHAnsi" w:hAnsiTheme="minorHAnsi" w:cstheme="minorHAnsi"/>
        </w:rPr>
        <w:t xml:space="preserve">: </w:t>
      </w:r>
    </w:p>
    <w:p w14:paraId="6A369BD7" w14:textId="77777777" w:rsidR="00826F6E" w:rsidRDefault="00826F6E" w:rsidP="00471D75">
      <w:pPr>
        <w:rPr>
          <w:rFonts w:asciiTheme="minorHAnsi" w:hAnsiTheme="minorHAnsi" w:cstheme="minorHAnsi"/>
        </w:rPr>
      </w:pPr>
    </w:p>
    <w:p w14:paraId="1E473AF3" w14:textId="14A01390"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State Activity Mandated Measures</w:t>
      </w:r>
      <w:r w:rsidR="0086499D" w:rsidRPr="00253613">
        <w:rPr>
          <w:rFonts w:asciiTheme="minorHAnsi" w:hAnsiTheme="minorHAnsi" w:cstheme="minorHAnsi"/>
          <w:sz w:val="24"/>
          <w:szCs w:val="24"/>
        </w:rPr>
        <w:t xml:space="preserve"> (SAMM)</w:t>
      </w:r>
      <w:r w:rsidRPr="00253613">
        <w:rPr>
          <w:rFonts w:asciiTheme="minorHAnsi" w:hAnsiTheme="minorHAnsi" w:cstheme="minorHAnsi"/>
          <w:sz w:val="24"/>
          <w:szCs w:val="24"/>
        </w:rPr>
        <w:t xml:space="preserve"> Report (Appendix D</w:t>
      </w:r>
      <w:r w:rsidR="003757B3" w:rsidRPr="00253613">
        <w:rPr>
          <w:rFonts w:asciiTheme="minorHAnsi" w:hAnsiTheme="minorHAnsi" w:cstheme="minorHAnsi"/>
          <w:sz w:val="24"/>
          <w:szCs w:val="24"/>
        </w:rPr>
        <w:t>)</w:t>
      </w:r>
      <w:r w:rsidR="004C5679" w:rsidRPr="00253613">
        <w:rPr>
          <w:rFonts w:asciiTheme="minorHAnsi" w:hAnsiTheme="minorHAnsi" w:cstheme="minorHAnsi"/>
          <w:sz w:val="24"/>
          <w:szCs w:val="24"/>
        </w:rPr>
        <w:t>,</w:t>
      </w:r>
      <w:r w:rsidR="003757B3" w:rsidRPr="00253613">
        <w:rPr>
          <w:rFonts w:asciiTheme="minorHAnsi" w:hAnsiTheme="minorHAnsi" w:cstheme="minorHAnsi"/>
          <w:sz w:val="24"/>
          <w:szCs w:val="24"/>
        </w:rPr>
        <w:t xml:space="preserve"> </w:t>
      </w:r>
      <w:r w:rsidRPr="00253613">
        <w:rPr>
          <w:rFonts w:asciiTheme="minorHAnsi" w:hAnsiTheme="minorHAnsi" w:cstheme="minorHAnsi"/>
          <w:sz w:val="24"/>
          <w:szCs w:val="24"/>
        </w:rPr>
        <w:t xml:space="preserve">dated </w:t>
      </w:r>
      <w:r w:rsidR="00776434">
        <w:rPr>
          <w:rFonts w:asciiTheme="minorHAnsi" w:hAnsiTheme="minorHAnsi" w:cstheme="minorHAnsi"/>
          <w:sz w:val="24"/>
          <w:szCs w:val="24"/>
        </w:rPr>
        <w:t>12/9/2025</w:t>
      </w:r>
      <w:r w:rsidRPr="00253613">
        <w:rPr>
          <w:rFonts w:asciiTheme="minorHAnsi" w:hAnsiTheme="minorHAnsi" w:cstheme="minorHAnsi"/>
          <w:sz w:val="24"/>
          <w:szCs w:val="24"/>
        </w:rPr>
        <w:t xml:space="preserve"> </w:t>
      </w:r>
    </w:p>
    <w:p w14:paraId="679AD5F5" w14:textId="7B234F24"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State Information Report</w:t>
      </w:r>
      <w:r w:rsidR="0086499D" w:rsidRPr="00253613">
        <w:rPr>
          <w:rFonts w:asciiTheme="minorHAnsi" w:hAnsiTheme="minorHAnsi" w:cstheme="minorHAnsi"/>
          <w:sz w:val="24"/>
          <w:szCs w:val="24"/>
        </w:rPr>
        <w:t xml:space="preserve"> (SIR)</w:t>
      </w:r>
      <w:r w:rsidR="004C5679" w:rsidRPr="00253613">
        <w:rPr>
          <w:rFonts w:asciiTheme="minorHAnsi" w:hAnsiTheme="minorHAnsi" w:cstheme="minorHAnsi"/>
          <w:sz w:val="24"/>
          <w:szCs w:val="24"/>
        </w:rPr>
        <w:t>,</w:t>
      </w:r>
      <w:r w:rsidR="003757B3" w:rsidRPr="00253613">
        <w:rPr>
          <w:rFonts w:asciiTheme="minorHAnsi" w:hAnsiTheme="minorHAnsi" w:cstheme="minorHAnsi"/>
          <w:sz w:val="24"/>
          <w:szCs w:val="24"/>
        </w:rPr>
        <w:t xml:space="preserve"> </w:t>
      </w:r>
      <w:r w:rsidRPr="00253613">
        <w:rPr>
          <w:rFonts w:asciiTheme="minorHAnsi" w:hAnsiTheme="minorHAnsi" w:cstheme="minorHAnsi"/>
          <w:sz w:val="24"/>
          <w:szCs w:val="24"/>
        </w:rPr>
        <w:t xml:space="preserve">dated </w:t>
      </w:r>
      <w:r w:rsidR="00391F8D">
        <w:rPr>
          <w:rFonts w:asciiTheme="minorHAnsi" w:hAnsiTheme="minorHAnsi" w:cstheme="minorHAnsi"/>
          <w:sz w:val="24"/>
          <w:szCs w:val="24"/>
        </w:rPr>
        <w:t>12/9/2025</w:t>
      </w:r>
    </w:p>
    <w:p w14:paraId="6C046A42" w14:textId="08CDCCB8"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Mandated Activities Report for Consultation (MARC</w:t>
      </w:r>
      <w:r w:rsidR="003757B3" w:rsidRPr="00253613">
        <w:rPr>
          <w:rFonts w:asciiTheme="minorHAnsi" w:hAnsiTheme="minorHAnsi" w:cstheme="minorHAnsi"/>
          <w:sz w:val="24"/>
          <w:szCs w:val="24"/>
        </w:rPr>
        <w:t>)</w:t>
      </w:r>
      <w:r w:rsidR="004C5679" w:rsidRPr="00253613">
        <w:rPr>
          <w:rFonts w:asciiTheme="minorHAnsi" w:hAnsiTheme="minorHAnsi" w:cstheme="minorHAnsi"/>
          <w:sz w:val="24"/>
          <w:szCs w:val="24"/>
        </w:rPr>
        <w:t>,</w:t>
      </w:r>
      <w:r w:rsidRPr="00253613">
        <w:rPr>
          <w:rFonts w:asciiTheme="minorHAnsi" w:hAnsiTheme="minorHAnsi" w:cstheme="minorHAnsi"/>
          <w:sz w:val="24"/>
          <w:szCs w:val="24"/>
        </w:rPr>
        <w:t xml:space="preserve"> dated </w:t>
      </w:r>
      <w:r w:rsidR="00960502">
        <w:rPr>
          <w:rFonts w:asciiTheme="minorHAnsi" w:hAnsiTheme="minorHAnsi" w:cstheme="minorHAnsi"/>
          <w:sz w:val="24"/>
          <w:szCs w:val="24"/>
        </w:rPr>
        <w:t>12/16/2025</w:t>
      </w:r>
    </w:p>
    <w:p w14:paraId="7BF6727F" w14:textId="5CAE50A6"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 xml:space="preserve">State OSHA Annual Report (SOAR) </w:t>
      </w:r>
    </w:p>
    <w:p w14:paraId="083517BF" w14:textId="5E22EDC0"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 xml:space="preserve">State Plan Annual Performance Plan </w:t>
      </w:r>
      <w:r w:rsidR="000A6305" w:rsidRPr="00253613">
        <w:rPr>
          <w:rFonts w:asciiTheme="minorHAnsi" w:hAnsiTheme="minorHAnsi" w:cstheme="minorHAnsi"/>
          <w:sz w:val="24"/>
          <w:szCs w:val="24"/>
        </w:rPr>
        <w:t>(APP)</w:t>
      </w:r>
    </w:p>
    <w:p w14:paraId="69B8D56D" w14:textId="30D05606"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lastRenderedPageBreak/>
        <w:t>FY 202</w:t>
      </w:r>
      <w:r w:rsidR="000A6305" w:rsidRPr="00253613">
        <w:rPr>
          <w:rFonts w:asciiTheme="minorHAnsi" w:hAnsiTheme="minorHAnsi" w:cstheme="minorHAnsi"/>
          <w:sz w:val="24"/>
          <w:szCs w:val="24"/>
        </w:rPr>
        <w:t>5</w:t>
      </w:r>
      <w:r w:rsidRPr="00253613">
        <w:rPr>
          <w:rFonts w:asciiTheme="minorHAnsi" w:hAnsiTheme="minorHAnsi" w:cstheme="minorHAnsi"/>
          <w:sz w:val="24"/>
          <w:szCs w:val="24"/>
        </w:rPr>
        <w:t xml:space="preserve"> State Plan 23(g) Grant Application  </w:t>
      </w:r>
    </w:p>
    <w:p w14:paraId="307E7768" w14:textId="2C80D8FA"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 xml:space="preserve">Quarterly monitoring meetings between OSHA and the State Plan </w:t>
      </w:r>
    </w:p>
    <w:p w14:paraId="652AFDAD" w14:textId="27CADCAE" w:rsidR="00471D75" w:rsidRPr="00253613"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 xml:space="preserve">Full case file review </w:t>
      </w:r>
    </w:p>
    <w:p w14:paraId="47A75AB4" w14:textId="37CCB97E" w:rsidR="00471D75" w:rsidRPr="00253613" w:rsidRDefault="00471D75" w:rsidP="00391F8D">
      <w:pPr>
        <w:pStyle w:val="ListParagraph"/>
        <w:numPr>
          <w:ilvl w:val="0"/>
          <w:numId w:val="5"/>
        </w:numPr>
        <w:spacing w:after="0" w:line="240" w:lineRule="auto"/>
        <w:ind w:left="360" w:firstLine="0"/>
        <w:rPr>
          <w:rFonts w:asciiTheme="minorHAnsi" w:hAnsiTheme="minorHAnsi" w:cstheme="minorBidi"/>
          <w:sz w:val="24"/>
          <w:szCs w:val="24"/>
        </w:rPr>
      </w:pPr>
      <w:r w:rsidRPr="00253613">
        <w:rPr>
          <w:rFonts w:asciiTheme="minorHAnsi" w:hAnsiTheme="minorHAnsi" w:cstheme="minorHAnsi"/>
          <w:sz w:val="24"/>
          <w:szCs w:val="24"/>
        </w:rPr>
        <w:t xml:space="preserve">OSHA Information System (OIS) </w:t>
      </w:r>
    </w:p>
    <w:p w14:paraId="1ECC5BD3" w14:textId="75E7EB27" w:rsidR="00031BCB" w:rsidRPr="00253613" w:rsidRDefault="00031BCB"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 xml:space="preserve">Arizona’s Salesforce interface </w:t>
      </w:r>
      <w:r w:rsidR="00C91F8F" w:rsidRPr="00253613">
        <w:rPr>
          <w:rFonts w:asciiTheme="minorHAnsi" w:hAnsiTheme="minorHAnsi" w:cstheme="minorHAnsi"/>
          <w:sz w:val="24"/>
          <w:szCs w:val="24"/>
        </w:rPr>
        <w:t>database</w:t>
      </w:r>
    </w:p>
    <w:p w14:paraId="418955A7" w14:textId="77777777" w:rsidR="00471D75" w:rsidRDefault="00471D75" w:rsidP="00391F8D">
      <w:pPr>
        <w:pStyle w:val="ListParagraph"/>
        <w:numPr>
          <w:ilvl w:val="0"/>
          <w:numId w:val="5"/>
        </w:numPr>
        <w:spacing w:after="0" w:line="240" w:lineRule="auto"/>
        <w:ind w:left="360" w:firstLine="0"/>
        <w:rPr>
          <w:rFonts w:asciiTheme="minorHAnsi" w:hAnsiTheme="minorHAnsi" w:cstheme="minorHAnsi"/>
          <w:sz w:val="24"/>
          <w:szCs w:val="24"/>
        </w:rPr>
      </w:pPr>
      <w:r w:rsidRPr="00253613">
        <w:rPr>
          <w:rFonts w:asciiTheme="minorHAnsi" w:hAnsiTheme="minorHAnsi" w:cstheme="minorHAnsi"/>
          <w:sz w:val="24"/>
          <w:szCs w:val="24"/>
        </w:rPr>
        <w:t>State Plan Application (SPA)</w:t>
      </w:r>
      <w:r w:rsidRPr="007A0388">
        <w:rPr>
          <w:rFonts w:asciiTheme="minorHAnsi" w:hAnsiTheme="minorHAnsi" w:cstheme="minorHAnsi"/>
          <w:sz w:val="24"/>
          <w:szCs w:val="24"/>
        </w:rPr>
        <w:t xml:space="preserve"> Portal </w:t>
      </w:r>
    </w:p>
    <w:p w14:paraId="6E913FFA" w14:textId="1396258C" w:rsidR="00362EB3" w:rsidRDefault="00A01514" w:rsidP="00391F8D">
      <w:pPr>
        <w:pStyle w:val="ListParagraph"/>
        <w:numPr>
          <w:ilvl w:val="0"/>
          <w:numId w:val="5"/>
        </w:numPr>
        <w:spacing w:after="0"/>
        <w:ind w:left="360" w:firstLine="0"/>
        <w:rPr>
          <w:rFonts w:asciiTheme="minorHAnsi" w:hAnsiTheme="minorHAnsi" w:cstheme="minorHAnsi"/>
          <w:sz w:val="24"/>
          <w:szCs w:val="24"/>
        </w:rPr>
      </w:pPr>
      <w:r>
        <w:rPr>
          <w:rFonts w:asciiTheme="minorHAnsi" w:hAnsiTheme="minorHAnsi" w:cstheme="minorHAnsi"/>
          <w:sz w:val="24"/>
          <w:szCs w:val="24"/>
        </w:rPr>
        <w:t xml:space="preserve">ADOSH Consultation </w:t>
      </w:r>
      <w:r w:rsidR="00362EB3">
        <w:rPr>
          <w:rFonts w:asciiTheme="minorHAnsi" w:hAnsiTheme="minorHAnsi" w:cstheme="minorHAnsi"/>
          <w:sz w:val="24"/>
          <w:szCs w:val="24"/>
        </w:rPr>
        <w:t>FY 2025 On-Site Review Report</w:t>
      </w:r>
    </w:p>
    <w:p w14:paraId="5820A899" w14:textId="77777777" w:rsidR="00391F8D" w:rsidRPr="00391F8D" w:rsidRDefault="00391F8D" w:rsidP="00391F8D">
      <w:pPr>
        <w:ind w:left="360"/>
        <w:rPr>
          <w:rFonts w:asciiTheme="minorHAnsi" w:hAnsiTheme="minorHAnsi" w:cstheme="minorHAnsi"/>
        </w:rPr>
      </w:pPr>
    </w:p>
    <w:p w14:paraId="5B1C055F" w14:textId="4E3DD17B" w:rsidR="00471D75" w:rsidRDefault="00471D75" w:rsidP="00471D75">
      <w:pPr>
        <w:rPr>
          <w:rFonts w:asciiTheme="minorHAnsi" w:hAnsiTheme="minorHAnsi" w:cstheme="minorHAnsi"/>
        </w:rPr>
      </w:pPr>
      <w:r w:rsidRPr="7586C4DE">
        <w:rPr>
          <w:rFonts w:asciiTheme="minorHAnsi" w:hAnsiTheme="minorHAnsi" w:cstheme="minorBidi"/>
        </w:rPr>
        <w:t xml:space="preserve">Each SAMM has an agreed-upon Further Review Level (FRL), which can be a </w:t>
      </w:r>
      <w:r w:rsidR="00B170D4">
        <w:rPr>
          <w:rFonts w:asciiTheme="minorHAnsi" w:hAnsiTheme="minorHAnsi" w:cstheme="minorBidi"/>
        </w:rPr>
        <w:t>negotiated</w:t>
      </w:r>
      <w:r w:rsidRPr="7586C4DE">
        <w:rPr>
          <w:rFonts w:asciiTheme="minorHAnsi" w:hAnsiTheme="minorHAnsi" w:cstheme="minorBidi"/>
        </w:rPr>
        <w:t xml:space="preserve"> number or a </w:t>
      </w:r>
      <w:r w:rsidR="00BC7635">
        <w:rPr>
          <w:rFonts w:asciiTheme="minorHAnsi" w:hAnsiTheme="minorHAnsi" w:cstheme="minorBidi"/>
        </w:rPr>
        <w:t>percentage</w:t>
      </w:r>
      <w:r w:rsidRPr="7586C4DE">
        <w:rPr>
          <w:rFonts w:asciiTheme="minorHAnsi" w:hAnsiTheme="minorHAnsi" w:cstheme="minorBidi"/>
        </w:rPr>
        <w:t xml:space="preserve"> above </w:t>
      </w:r>
      <w:r w:rsidR="00502803">
        <w:rPr>
          <w:rFonts w:asciiTheme="minorHAnsi" w:hAnsiTheme="minorHAnsi" w:cstheme="minorBidi"/>
        </w:rPr>
        <w:t>or</w:t>
      </w:r>
      <w:r w:rsidRPr="7586C4DE">
        <w:rPr>
          <w:rFonts w:asciiTheme="minorHAnsi" w:hAnsiTheme="minorHAnsi" w:cstheme="minorBidi"/>
        </w:rPr>
        <w:t xml:space="preserve"> below the national average.  State Plan SAMM data that falls outside the FRL triggers a closer look at the underlying performance of the mandatory activity. </w:t>
      </w:r>
      <w:r w:rsidR="00004A02">
        <w:rPr>
          <w:rFonts w:asciiTheme="minorHAnsi" w:hAnsiTheme="minorHAnsi" w:cstheme="minorBidi"/>
        </w:rPr>
        <w:t xml:space="preserve"> </w:t>
      </w:r>
      <w:r w:rsidR="00F71964">
        <w:rPr>
          <w:rFonts w:asciiTheme="minorHAnsi" w:hAnsiTheme="minorHAnsi" w:cstheme="minorHAnsi"/>
        </w:rPr>
        <w:t xml:space="preserve">In FY 2025, OSHA revised its SAMMs, and the Arizona State Plan renegotiated its measures, which were approved by OSHA.  </w:t>
      </w:r>
      <w:r w:rsidRPr="7586C4DE">
        <w:rPr>
          <w:rFonts w:asciiTheme="minorHAnsi" w:hAnsiTheme="minorHAnsi" w:cstheme="minorBidi"/>
        </w:rPr>
        <w:t>Appendix D presents the State Plan’s FY 202</w:t>
      </w:r>
      <w:r w:rsidR="00C232DB">
        <w:rPr>
          <w:rFonts w:asciiTheme="minorHAnsi" w:hAnsiTheme="minorHAnsi" w:cstheme="minorBidi"/>
        </w:rPr>
        <w:t>5</w:t>
      </w:r>
      <w:r w:rsidRPr="7586C4DE">
        <w:rPr>
          <w:rFonts w:asciiTheme="minorHAnsi" w:hAnsiTheme="minorHAnsi" w:cstheme="minorBidi"/>
        </w:rPr>
        <w:t xml:space="preserve"> SAMM Report and includes the FRL for each measure. </w:t>
      </w:r>
    </w:p>
    <w:p w14:paraId="5D06F01E" w14:textId="77777777" w:rsidR="00471D75" w:rsidRPr="00471D75" w:rsidRDefault="00471D75" w:rsidP="00471D75">
      <w:pPr>
        <w:rPr>
          <w:rFonts w:asciiTheme="minorHAnsi" w:hAnsiTheme="minorHAnsi" w:cstheme="minorHAnsi"/>
        </w:rPr>
      </w:pPr>
    </w:p>
    <w:p w14:paraId="2663DB5E" w14:textId="616691A8" w:rsidR="00AF1A8B" w:rsidRPr="00147B99" w:rsidRDefault="00471D75" w:rsidP="00A96EF9">
      <w:pPr>
        <w:pStyle w:val="Heading3"/>
        <w:numPr>
          <w:ilvl w:val="0"/>
          <w:numId w:val="15"/>
        </w:numPr>
        <w:spacing w:before="0"/>
        <w:rPr>
          <w:rStyle w:val="Strong"/>
          <w:b/>
          <w:bCs/>
        </w:rPr>
      </w:pPr>
      <w:bookmarkStart w:id="18" w:name="Assessment_of_State_Plan_Progress"/>
      <w:bookmarkStart w:id="19" w:name="Review_State_Performance"/>
      <w:bookmarkStart w:id="20" w:name="_Toc160178413"/>
      <w:bookmarkStart w:id="21" w:name="_Toc225327056"/>
      <w:bookmarkEnd w:id="18"/>
      <w:bookmarkEnd w:id="19"/>
      <w:r w:rsidRPr="00147B99">
        <w:rPr>
          <w:rStyle w:val="Strong"/>
          <w:b/>
          <w:bCs/>
        </w:rPr>
        <w:t>Review of State Plan Performance</w:t>
      </w:r>
      <w:bookmarkEnd w:id="20"/>
      <w:bookmarkEnd w:id="21"/>
    </w:p>
    <w:p w14:paraId="4242FAEA" w14:textId="77777777" w:rsidR="00712370" w:rsidRPr="00712370" w:rsidRDefault="00712370" w:rsidP="00712370"/>
    <w:p w14:paraId="751CB83B" w14:textId="26C27000" w:rsidR="00471D75" w:rsidRDefault="00471D75" w:rsidP="008D6C26">
      <w:pPr>
        <w:pStyle w:val="ListParagraph"/>
        <w:spacing w:after="0" w:line="240" w:lineRule="auto"/>
        <w:ind w:left="0"/>
        <w:rPr>
          <w:rFonts w:asciiTheme="minorHAnsi" w:hAnsiTheme="minorHAnsi" w:cstheme="minorBidi"/>
          <w:sz w:val="24"/>
          <w:szCs w:val="24"/>
        </w:rPr>
      </w:pPr>
      <w:r w:rsidRPr="2FC51D2E">
        <w:rPr>
          <w:rFonts w:asciiTheme="minorHAnsi" w:hAnsiTheme="minorHAnsi" w:cstheme="minorBidi"/>
          <w:sz w:val="24"/>
          <w:szCs w:val="24"/>
        </w:rPr>
        <w:t>This section is an assessment of ADOSH’s performance in meeting mandated activities and program elements.  ADOSH’s</w:t>
      </w:r>
      <w:r w:rsidR="00467016">
        <w:rPr>
          <w:rFonts w:asciiTheme="minorHAnsi" w:hAnsiTheme="minorHAnsi" w:cstheme="minorBidi"/>
          <w:sz w:val="24"/>
          <w:szCs w:val="24"/>
        </w:rPr>
        <w:t xml:space="preserve"> assessment of</w:t>
      </w:r>
      <w:r w:rsidRPr="2FC51D2E">
        <w:rPr>
          <w:rFonts w:asciiTheme="minorHAnsi" w:hAnsiTheme="minorHAnsi" w:cstheme="minorBidi"/>
          <w:sz w:val="24"/>
          <w:szCs w:val="24"/>
        </w:rPr>
        <w:t xml:space="preserve"> progress </w:t>
      </w:r>
      <w:r w:rsidR="00467016">
        <w:rPr>
          <w:rFonts w:asciiTheme="minorHAnsi" w:hAnsiTheme="minorHAnsi" w:cstheme="minorBidi"/>
          <w:sz w:val="24"/>
          <w:szCs w:val="24"/>
        </w:rPr>
        <w:t>towards</w:t>
      </w:r>
      <w:r w:rsidR="00467016" w:rsidRPr="2FC51D2E">
        <w:rPr>
          <w:rFonts w:asciiTheme="minorHAnsi" w:hAnsiTheme="minorHAnsi" w:cstheme="minorBidi"/>
          <w:sz w:val="24"/>
          <w:szCs w:val="24"/>
        </w:rPr>
        <w:t xml:space="preserve"> </w:t>
      </w:r>
      <w:r w:rsidRPr="2FC51D2E">
        <w:rPr>
          <w:rFonts w:asciiTheme="minorHAnsi" w:hAnsiTheme="minorHAnsi" w:cstheme="minorBidi"/>
          <w:sz w:val="24"/>
          <w:szCs w:val="24"/>
        </w:rPr>
        <w:t>achieving its five-year strategic and annual performance plan goals is addressed in the FY 202</w:t>
      </w:r>
      <w:r w:rsidR="00FC281F">
        <w:rPr>
          <w:rFonts w:asciiTheme="minorHAnsi" w:hAnsiTheme="minorHAnsi" w:cstheme="minorBidi"/>
          <w:sz w:val="24"/>
          <w:szCs w:val="24"/>
        </w:rPr>
        <w:t>5</w:t>
      </w:r>
      <w:r w:rsidRPr="2FC51D2E">
        <w:rPr>
          <w:rFonts w:asciiTheme="minorHAnsi" w:hAnsiTheme="minorHAnsi" w:cstheme="minorBidi"/>
          <w:sz w:val="24"/>
          <w:szCs w:val="24"/>
        </w:rPr>
        <w:t xml:space="preserve"> SOAR. </w:t>
      </w:r>
    </w:p>
    <w:p w14:paraId="00048FB6" w14:textId="77777777" w:rsidR="008D6C26" w:rsidRPr="00FC67A3" w:rsidRDefault="008D6C26" w:rsidP="008D6C26">
      <w:pPr>
        <w:pStyle w:val="ListParagraph"/>
        <w:spacing w:after="0" w:line="240" w:lineRule="auto"/>
        <w:ind w:left="0"/>
        <w:rPr>
          <w:rFonts w:asciiTheme="minorHAnsi" w:hAnsiTheme="minorHAnsi" w:cstheme="minorHAnsi"/>
          <w:sz w:val="24"/>
          <w:szCs w:val="24"/>
        </w:rPr>
      </w:pPr>
    </w:p>
    <w:p w14:paraId="6198408C" w14:textId="1E2658DF" w:rsidR="00AF1A8B" w:rsidRDefault="00471D75" w:rsidP="00A96EF9">
      <w:pPr>
        <w:pStyle w:val="Heading3"/>
        <w:numPr>
          <w:ilvl w:val="0"/>
          <w:numId w:val="22"/>
        </w:numPr>
        <w:spacing w:before="0"/>
        <w:ind w:left="1080"/>
      </w:pPr>
      <w:bookmarkStart w:id="22" w:name="Program_Administration"/>
      <w:bookmarkStart w:id="23" w:name="_Toc160178414"/>
      <w:bookmarkStart w:id="24" w:name="_Toc225327057"/>
      <w:bookmarkEnd w:id="22"/>
      <w:r w:rsidRPr="00695E30">
        <w:t xml:space="preserve">Program </w:t>
      </w:r>
      <w:r w:rsidRPr="008D4EBA">
        <w:t>Administration</w:t>
      </w:r>
      <w:bookmarkEnd w:id="23"/>
      <w:bookmarkEnd w:id="24"/>
      <w:r w:rsidRPr="008D4EBA">
        <w:t xml:space="preserve"> </w:t>
      </w:r>
    </w:p>
    <w:p w14:paraId="63287E9B" w14:textId="77777777" w:rsidR="005D291E" w:rsidRPr="005D291E" w:rsidRDefault="005D291E" w:rsidP="005D291E"/>
    <w:p w14:paraId="11871AD0" w14:textId="036FC924" w:rsidR="00471D75" w:rsidRDefault="00471D75" w:rsidP="00910614">
      <w:pPr>
        <w:pStyle w:val="ListParagraph"/>
        <w:numPr>
          <w:ilvl w:val="1"/>
          <w:numId w:val="6"/>
        </w:numPr>
        <w:spacing w:after="0" w:line="240" w:lineRule="auto"/>
        <w:contextualSpacing w:val="0"/>
        <w:rPr>
          <w:rFonts w:asciiTheme="minorHAnsi" w:hAnsiTheme="minorHAnsi" w:cstheme="minorHAnsi"/>
          <w:sz w:val="24"/>
          <w:szCs w:val="24"/>
        </w:rPr>
      </w:pPr>
      <w:r w:rsidRPr="00AF1A8B">
        <w:rPr>
          <w:rFonts w:asciiTheme="minorHAnsi" w:hAnsiTheme="minorHAnsi" w:cstheme="minorHAnsi"/>
          <w:sz w:val="24"/>
          <w:szCs w:val="24"/>
        </w:rPr>
        <w:t xml:space="preserve">Training </w:t>
      </w:r>
    </w:p>
    <w:p w14:paraId="0F77981D" w14:textId="77777777" w:rsidR="00672699" w:rsidRDefault="00672699" w:rsidP="00306078">
      <w:pPr>
        <w:pStyle w:val="ListParagraph"/>
        <w:spacing w:after="0" w:line="240" w:lineRule="auto"/>
        <w:ind w:left="1350"/>
        <w:contextualSpacing w:val="0"/>
        <w:rPr>
          <w:rFonts w:asciiTheme="minorHAnsi" w:hAnsiTheme="minorHAnsi" w:cstheme="minorHAnsi"/>
          <w:sz w:val="24"/>
          <w:szCs w:val="24"/>
        </w:rPr>
      </w:pPr>
    </w:p>
    <w:p w14:paraId="427FA323" w14:textId="64F5FBB8" w:rsidR="008567CC" w:rsidRPr="007F7CBB" w:rsidRDefault="005F5B0D" w:rsidP="00471D75">
      <w:pPr>
        <w:rPr>
          <w:rFonts w:asciiTheme="minorHAnsi" w:hAnsiTheme="minorHAnsi" w:cstheme="minorHAnsi"/>
        </w:rPr>
      </w:pPr>
      <w:r w:rsidRPr="007F7CBB">
        <w:rPr>
          <w:rFonts w:asciiTheme="minorHAnsi" w:hAnsiTheme="minorHAnsi" w:cstheme="minorHAnsi"/>
        </w:rPr>
        <w:t xml:space="preserve">ADOSH’s annual performance goal was to ensure that </w:t>
      </w:r>
      <w:r w:rsidR="00E959CB" w:rsidRPr="007F7CBB">
        <w:rPr>
          <w:rFonts w:asciiTheme="minorHAnsi" w:hAnsiTheme="minorHAnsi" w:cstheme="minorHAnsi"/>
        </w:rPr>
        <w:t>90% compliance and compliance assistance staff receiving professional development training</w:t>
      </w:r>
      <w:r w:rsidRPr="007F7CBB">
        <w:rPr>
          <w:rFonts w:asciiTheme="minorHAnsi" w:hAnsiTheme="minorHAnsi" w:cstheme="minorHAnsi"/>
        </w:rPr>
        <w:t xml:space="preserve"> during FY 2025</w:t>
      </w:r>
      <w:r w:rsidR="00E959CB" w:rsidRPr="007F7CBB">
        <w:rPr>
          <w:rFonts w:asciiTheme="minorHAnsi" w:hAnsiTheme="minorHAnsi" w:cstheme="minorHAnsi"/>
        </w:rPr>
        <w:t xml:space="preserve">.  </w:t>
      </w:r>
      <w:r w:rsidR="001C4554" w:rsidRPr="007F7CBB">
        <w:rPr>
          <w:rFonts w:asciiTheme="minorHAnsi" w:hAnsiTheme="minorHAnsi" w:cstheme="minorHAnsi"/>
        </w:rPr>
        <w:t xml:space="preserve">According to ADOSH, </w:t>
      </w:r>
      <w:r w:rsidR="00E959CB" w:rsidRPr="007F7CBB">
        <w:rPr>
          <w:rFonts w:asciiTheme="minorHAnsi" w:hAnsiTheme="minorHAnsi" w:cstheme="minorHAnsi"/>
        </w:rPr>
        <w:t xml:space="preserve">100% of staff received </w:t>
      </w:r>
      <w:r w:rsidR="00961306" w:rsidRPr="007F7CBB">
        <w:rPr>
          <w:rFonts w:asciiTheme="minorHAnsi" w:hAnsiTheme="minorHAnsi" w:cstheme="minorHAnsi"/>
        </w:rPr>
        <w:t xml:space="preserve">training through the OSHA Training Institute (OTI), Arizona State University OTI Education Center, </w:t>
      </w:r>
      <w:r w:rsidR="00811C27" w:rsidRPr="007F7CBB">
        <w:rPr>
          <w:rFonts w:asciiTheme="minorHAnsi" w:hAnsiTheme="minorHAnsi" w:cstheme="minorHAnsi"/>
        </w:rPr>
        <w:t xml:space="preserve">State of Arizona computer-based </w:t>
      </w:r>
      <w:r w:rsidR="008D7460" w:rsidRPr="007F7CBB">
        <w:rPr>
          <w:rFonts w:asciiTheme="minorHAnsi" w:hAnsiTheme="minorHAnsi" w:cstheme="minorHAnsi"/>
        </w:rPr>
        <w:t>training</w:t>
      </w:r>
      <w:r w:rsidR="00811C27" w:rsidRPr="007F7CBB">
        <w:rPr>
          <w:rFonts w:asciiTheme="minorHAnsi" w:hAnsiTheme="minorHAnsi" w:cstheme="minorHAnsi"/>
        </w:rPr>
        <w:t xml:space="preserve">, and other </w:t>
      </w:r>
      <w:r w:rsidR="00EF40C9" w:rsidRPr="007F7CBB">
        <w:rPr>
          <w:rFonts w:asciiTheme="minorHAnsi" w:hAnsiTheme="minorHAnsi" w:cstheme="minorHAnsi"/>
        </w:rPr>
        <w:t>third-party</w:t>
      </w:r>
      <w:r w:rsidR="00811C27" w:rsidRPr="007F7CBB">
        <w:rPr>
          <w:rFonts w:asciiTheme="minorHAnsi" w:hAnsiTheme="minorHAnsi" w:cstheme="minorHAnsi"/>
        </w:rPr>
        <w:t xml:space="preserve"> training.</w:t>
      </w:r>
      <w:r w:rsidR="001C4554" w:rsidRPr="007F7CBB">
        <w:rPr>
          <w:rFonts w:asciiTheme="minorHAnsi" w:hAnsiTheme="minorHAnsi" w:cstheme="minorHAnsi"/>
        </w:rPr>
        <w:t xml:space="preserve">  </w:t>
      </w:r>
      <w:r w:rsidR="00C551C5" w:rsidRPr="007F7CBB">
        <w:rPr>
          <w:rFonts w:asciiTheme="minorHAnsi" w:hAnsiTheme="minorHAnsi" w:cstheme="minorHAnsi"/>
        </w:rPr>
        <w:t xml:space="preserve">In lieu of </w:t>
      </w:r>
      <w:r w:rsidR="00867A39" w:rsidRPr="007F7CBB">
        <w:rPr>
          <w:rFonts w:asciiTheme="minorHAnsi" w:hAnsiTheme="minorHAnsi" w:cstheme="minorHAnsi"/>
        </w:rPr>
        <w:t xml:space="preserve">the OTI 1000 Initial Compliance course, </w:t>
      </w:r>
      <w:r w:rsidR="00795044" w:rsidRPr="007F7CBB">
        <w:rPr>
          <w:rFonts w:asciiTheme="minorHAnsi" w:hAnsiTheme="minorHAnsi" w:cstheme="minorHAnsi"/>
        </w:rPr>
        <w:t xml:space="preserve">new compliance staff </w:t>
      </w:r>
      <w:r w:rsidR="007F7CBB" w:rsidRPr="007F7CBB">
        <w:rPr>
          <w:rFonts w:asciiTheme="minorHAnsi" w:hAnsiTheme="minorHAnsi" w:cstheme="minorHAnsi"/>
        </w:rPr>
        <w:t xml:space="preserve">were trained through ADOSH’s Compliance Officer School, which was approved as an alternative </w:t>
      </w:r>
      <w:r w:rsidR="00EF40C9" w:rsidRPr="007F7CBB">
        <w:rPr>
          <w:rFonts w:asciiTheme="minorHAnsi" w:hAnsiTheme="minorHAnsi" w:cstheme="minorHAnsi"/>
        </w:rPr>
        <w:t>training course</w:t>
      </w:r>
      <w:r w:rsidR="007F7CBB" w:rsidRPr="007F7CBB">
        <w:rPr>
          <w:rFonts w:asciiTheme="minorHAnsi" w:hAnsiTheme="minorHAnsi" w:cstheme="minorHAnsi"/>
        </w:rPr>
        <w:t xml:space="preserve"> </w:t>
      </w:r>
      <w:r w:rsidR="00192090">
        <w:rPr>
          <w:rFonts w:asciiTheme="minorHAnsi" w:hAnsiTheme="minorHAnsi" w:cstheme="minorHAnsi"/>
        </w:rPr>
        <w:t xml:space="preserve">that </w:t>
      </w:r>
      <w:r w:rsidR="007F7CBB" w:rsidRPr="007F7CBB">
        <w:rPr>
          <w:rFonts w:asciiTheme="minorHAnsi" w:hAnsiTheme="minorHAnsi" w:cstheme="minorHAnsi"/>
        </w:rPr>
        <w:t>cover</w:t>
      </w:r>
      <w:r w:rsidR="00192090">
        <w:rPr>
          <w:rFonts w:asciiTheme="minorHAnsi" w:hAnsiTheme="minorHAnsi" w:cstheme="minorHAnsi"/>
        </w:rPr>
        <w:t>ed</w:t>
      </w:r>
      <w:r w:rsidR="007F7CBB" w:rsidRPr="007F7CBB">
        <w:rPr>
          <w:rFonts w:asciiTheme="minorHAnsi" w:hAnsiTheme="minorHAnsi" w:cstheme="minorHAnsi"/>
        </w:rPr>
        <w:t xml:space="preserve"> equivalent topics.  </w:t>
      </w:r>
      <w:r w:rsidR="00811C27" w:rsidRPr="007F7CBB">
        <w:rPr>
          <w:rFonts w:asciiTheme="minorHAnsi" w:hAnsiTheme="minorHAnsi" w:cstheme="minorHAnsi"/>
        </w:rPr>
        <w:t xml:space="preserve">  </w:t>
      </w:r>
    </w:p>
    <w:p w14:paraId="2D386362" w14:textId="77777777" w:rsidR="008567CC" w:rsidRPr="00471D75" w:rsidRDefault="008567CC" w:rsidP="00471D75">
      <w:pPr>
        <w:rPr>
          <w:rFonts w:asciiTheme="minorHAnsi" w:hAnsiTheme="minorHAnsi" w:cstheme="minorHAnsi"/>
        </w:rPr>
      </w:pPr>
    </w:p>
    <w:p w14:paraId="59DC9206" w14:textId="301963DB" w:rsidR="00471D75" w:rsidRDefault="00471D75" w:rsidP="00502590">
      <w:pPr>
        <w:pStyle w:val="ListParagraph"/>
        <w:numPr>
          <w:ilvl w:val="1"/>
          <w:numId w:val="6"/>
        </w:numPr>
        <w:spacing w:after="0" w:line="240" w:lineRule="auto"/>
        <w:contextualSpacing w:val="0"/>
        <w:rPr>
          <w:rFonts w:asciiTheme="minorHAnsi" w:hAnsiTheme="minorHAnsi" w:cstheme="minorHAnsi"/>
          <w:sz w:val="24"/>
          <w:szCs w:val="24"/>
        </w:rPr>
      </w:pPr>
      <w:r w:rsidRPr="007A0388">
        <w:rPr>
          <w:rFonts w:asciiTheme="minorHAnsi" w:hAnsiTheme="minorHAnsi" w:cstheme="minorHAnsi"/>
          <w:sz w:val="24"/>
          <w:szCs w:val="24"/>
        </w:rPr>
        <w:t>OSHA Information System (OIS)</w:t>
      </w:r>
    </w:p>
    <w:p w14:paraId="082DE2EF" w14:textId="77777777" w:rsidR="00672699" w:rsidRPr="007A0388" w:rsidRDefault="00672699" w:rsidP="005F425C">
      <w:pPr>
        <w:pStyle w:val="ListParagraph"/>
        <w:spacing w:after="0" w:line="240" w:lineRule="auto"/>
        <w:ind w:left="1080"/>
        <w:contextualSpacing w:val="0"/>
        <w:rPr>
          <w:rFonts w:asciiTheme="minorHAnsi" w:hAnsiTheme="minorHAnsi" w:cstheme="minorHAnsi"/>
          <w:sz w:val="24"/>
          <w:szCs w:val="24"/>
        </w:rPr>
      </w:pPr>
    </w:p>
    <w:p w14:paraId="29159688" w14:textId="37B44FE9" w:rsidR="00F365EA" w:rsidRPr="007A0388" w:rsidRDefault="007D5357" w:rsidP="26050015">
      <w:pPr>
        <w:rPr>
          <w:rFonts w:asciiTheme="minorHAnsi" w:hAnsiTheme="minorHAnsi" w:cstheme="minorBidi"/>
        </w:rPr>
      </w:pPr>
      <w:r>
        <w:rPr>
          <w:rFonts w:asciiTheme="minorHAnsi" w:hAnsiTheme="minorHAnsi" w:cstheme="minorBidi"/>
        </w:rPr>
        <w:t>A</w:t>
      </w:r>
      <w:r w:rsidR="00CD6135">
        <w:rPr>
          <w:rFonts w:asciiTheme="minorHAnsi" w:hAnsiTheme="minorHAnsi" w:cstheme="minorBidi"/>
        </w:rPr>
        <w:t>DOSH</w:t>
      </w:r>
      <w:r>
        <w:rPr>
          <w:rFonts w:asciiTheme="minorHAnsi" w:hAnsiTheme="minorHAnsi" w:cstheme="minorBidi"/>
        </w:rPr>
        <w:t xml:space="preserve"> </w:t>
      </w:r>
      <w:r w:rsidR="00F61AAA">
        <w:rPr>
          <w:rFonts w:asciiTheme="minorHAnsi" w:hAnsiTheme="minorHAnsi" w:cstheme="minorBidi"/>
        </w:rPr>
        <w:t xml:space="preserve">maintained </w:t>
      </w:r>
      <w:r w:rsidR="00CD6135">
        <w:rPr>
          <w:rFonts w:asciiTheme="minorHAnsi" w:hAnsiTheme="minorHAnsi" w:cstheme="minorBidi"/>
        </w:rPr>
        <w:t xml:space="preserve">its own data collection system, Salesforce, as an interface system </w:t>
      </w:r>
      <w:r w:rsidR="006B6DA2">
        <w:rPr>
          <w:rFonts w:asciiTheme="minorHAnsi" w:hAnsiTheme="minorHAnsi" w:cstheme="minorBidi"/>
        </w:rPr>
        <w:t xml:space="preserve">in lieu of OIS </w:t>
      </w:r>
      <w:r>
        <w:rPr>
          <w:rFonts w:asciiTheme="minorHAnsi" w:hAnsiTheme="minorHAnsi" w:cstheme="minorBidi"/>
        </w:rPr>
        <w:t xml:space="preserve">to capture all </w:t>
      </w:r>
      <w:r w:rsidR="00EB5A61" w:rsidRPr="26050015">
        <w:rPr>
          <w:rFonts w:asciiTheme="minorHAnsi" w:hAnsiTheme="minorHAnsi" w:cstheme="minorBidi"/>
        </w:rPr>
        <w:t>enforcement</w:t>
      </w:r>
      <w:r>
        <w:rPr>
          <w:rFonts w:asciiTheme="minorHAnsi" w:hAnsiTheme="minorHAnsi" w:cstheme="minorBidi"/>
        </w:rPr>
        <w:t xml:space="preserve"> and consultation activities and retaliation investigations.  </w:t>
      </w:r>
      <w:r w:rsidR="67216543" w:rsidRPr="26050015">
        <w:rPr>
          <w:rFonts w:asciiTheme="minorHAnsi" w:hAnsiTheme="minorHAnsi" w:cstheme="minorBidi"/>
        </w:rPr>
        <w:t xml:space="preserve">Once information </w:t>
      </w:r>
      <w:r w:rsidR="315A8609" w:rsidRPr="26050015">
        <w:rPr>
          <w:rFonts w:asciiTheme="minorHAnsi" w:hAnsiTheme="minorHAnsi" w:cstheme="minorBidi"/>
        </w:rPr>
        <w:t>was</w:t>
      </w:r>
      <w:r w:rsidR="67216543" w:rsidRPr="26050015">
        <w:rPr>
          <w:rFonts w:asciiTheme="minorHAnsi" w:hAnsiTheme="minorHAnsi" w:cstheme="minorBidi"/>
        </w:rPr>
        <w:t xml:space="preserve"> entered and finalized in </w:t>
      </w:r>
      <w:r w:rsidR="00EF4491">
        <w:rPr>
          <w:rFonts w:asciiTheme="minorHAnsi" w:hAnsiTheme="minorHAnsi" w:cstheme="minorBidi"/>
        </w:rPr>
        <w:t>Salesforce</w:t>
      </w:r>
      <w:r w:rsidR="4D523D9B" w:rsidRPr="26050015">
        <w:rPr>
          <w:rFonts w:asciiTheme="minorHAnsi" w:hAnsiTheme="minorHAnsi" w:cstheme="minorBidi"/>
        </w:rPr>
        <w:t>,</w:t>
      </w:r>
      <w:r w:rsidR="67216543" w:rsidRPr="26050015">
        <w:rPr>
          <w:rFonts w:asciiTheme="minorHAnsi" w:hAnsiTheme="minorHAnsi" w:cstheme="minorBidi"/>
        </w:rPr>
        <w:t xml:space="preserve"> the data</w:t>
      </w:r>
      <w:r w:rsidR="60B49945" w:rsidRPr="26050015">
        <w:rPr>
          <w:rFonts w:asciiTheme="minorHAnsi" w:hAnsiTheme="minorHAnsi" w:cstheme="minorBidi"/>
        </w:rPr>
        <w:t xml:space="preserve"> </w:t>
      </w:r>
      <w:r w:rsidR="00163C16" w:rsidRPr="26050015">
        <w:rPr>
          <w:rFonts w:asciiTheme="minorHAnsi" w:hAnsiTheme="minorHAnsi" w:cstheme="minorBidi"/>
        </w:rPr>
        <w:t>was</w:t>
      </w:r>
      <w:r w:rsidR="67216543" w:rsidRPr="26050015">
        <w:rPr>
          <w:rFonts w:asciiTheme="minorHAnsi" w:hAnsiTheme="minorHAnsi" w:cstheme="minorBidi"/>
        </w:rPr>
        <w:t xml:space="preserve"> imported to OIS.  </w:t>
      </w:r>
      <w:r w:rsidR="003F2900">
        <w:rPr>
          <w:rFonts w:asciiTheme="minorHAnsi" w:hAnsiTheme="minorHAnsi" w:cstheme="minorBidi"/>
        </w:rPr>
        <w:t>Notable improvements have been made with respect to the integration of data between Salesforce and OIS</w:t>
      </w:r>
      <w:r w:rsidR="00B56917">
        <w:rPr>
          <w:rFonts w:asciiTheme="minorHAnsi" w:hAnsiTheme="minorHAnsi" w:cstheme="minorBidi"/>
        </w:rPr>
        <w:t xml:space="preserve">, as previously identified as a concern in the FY 2023 Comprehensive FAME report and the 2023 Arizona Special Study. </w:t>
      </w:r>
      <w:r w:rsidR="00301929">
        <w:rPr>
          <w:rFonts w:asciiTheme="minorHAnsi" w:hAnsiTheme="minorHAnsi" w:cstheme="minorBidi"/>
        </w:rPr>
        <w:t xml:space="preserve"> ADOSH met with the Salesforce team monthly to </w:t>
      </w:r>
      <w:r w:rsidR="00721752">
        <w:rPr>
          <w:rFonts w:asciiTheme="minorHAnsi" w:hAnsiTheme="minorHAnsi" w:cstheme="minorBidi"/>
        </w:rPr>
        <w:t>monitor the transfer of data and used OIS reports as a</w:t>
      </w:r>
      <w:r w:rsidR="00730876">
        <w:rPr>
          <w:rFonts w:asciiTheme="minorHAnsi" w:hAnsiTheme="minorHAnsi" w:cstheme="minorBidi"/>
        </w:rPr>
        <w:t xml:space="preserve"> comparative tool to ensure the systems were communicating effectively. </w:t>
      </w:r>
      <w:r w:rsidR="00B56917">
        <w:rPr>
          <w:rFonts w:asciiTheme="minorHAnsi" w:hAnsiTheme="minorHAnsi" w:cstheme="minorBidi"/>
        </w:rPr>
        <w:t xml:space="preserve"> </w:t>
      </w:r>
      <w:r w:rsidR="006A4D21">
        <w:rPr>
          <w:rFonts w:asciiTheme="minorHAnsi" w:hAnsiTheme="minorHAnsi" w:cstheme="minorBidi"/>
        </w:rPr>
        <w:t>Arizona addresse</w:t>
      </w:r>
      <w:r w:rsidR="00344F01">
        <w:rPr>
          <w:rFonts w:asciiTheme="minorHAnsi" w:hAnsiTheme="minorHAnsi" w:cstheme="minorBidi"/>
        </w:rPr>
        <w:t>d</w:t>
      </w:r>
      <w:r w:rsidR="006A4D21">
        <w:rPr>
          <w:rFonts w:asciiTheme="minorHAnsi" w:hAnsiTheme="minorHAnsi" w:cstheme="minorBidi"/>
        </w:rPr>
        <w:t xml:space="preserve"> </w:t>
      </w:r>
      <w:r w:rsidR="005A4221">
        <w:rPr>
          <w:rFonts w:asciiTheme="minorHAnsi" w:hAnsiTheme="minorHAnsi" w:cstheme="minorBidi"/>
        </w:rPr>
        <w:t xml:space="preserve">known </w:t>
      </w:r>
      <w:r w:rsidR="00344F01">
        <w:rPr>
          <w:rFonts w:asciiTheme="minorHAnsi" w:hAnsiTheme="minorHAnsi" w:cstheme="minorBidi"/>
        </w:rPr>
        <w:t xml:space="preserve">discrepancies directly with Salesforce </w:t>
      </w:r>
      <w:r w:rsidR="00344F01">
        <w:rPr>
          <w:rFonts w:asciiTheme="minorHAnsi" w:hAnsiTheme="minorHAnsi" w:cstheme="minorBidi"/>
        </w:rPr>
        <w:lastRenderedPageBreak/>
        <w:t>developers a</w:t>
      </w:r>
      <w:r w:rsidR="00772A75">
        <w:rPr>
          <w:rFonts w:asciiTheme="minorHAnsi" w:hAnsiTheme="minorHAnsi" w:cstheme="minorBidi"/>
        </w:rPr>
        <w:t>fter they were identified and communicated this information with OSHA.</w:t>
      </w:r>
      <w:r w:rsidR="005072DE">
        <w:rPr>
          <w:rFonts w:asciiTheme="minorHAnsi" w:hAnsiTheme="minorHAnsi" w:cstheme="minorBidi"/>
        </w:rPr>
        <w:t xml:space="preserve">  </w:t>
      </w:r>
      <w:r w:rsidR="000F7600">
        <w:rPr>
          <w:rFonts w:asciiTheme="minorHAnsi" w:hAnsiTheme="minorHAnsi" w:cstheme="minorBidi"/>
        </w:rPr>
        <w:t xml:space="preserve">At the end of the review period, two areas of data migration that were </w:t>
      </w:r>
      <w:r w:rsidR="00CF7872">
        <w:rPr>
          <w:rFonts w:asciiTheme="minorHAnsi" w:hAnsiTheme="minorHAnsi" w:cstheme="minorBidi"/>
        </w:rPr>
        <w:t xml:space="preserve">still reporting incorrectly involved </w:t>
      </w:r>
      <w:r w:rsidR="00AB4F8B">
        <w:rPr>
          <w:rFonts w:asciiTheme="minorHAnsi" w:hAnsiTheme="minorHAnsi" w:cstheme="minorBidi"/>
        </w:rPr>
        <w:t xml:space="preserve">SAMM measures related to </w:t>
      </w:r>
      <w:r w:rsidR="00CF7872">
        <w:rPr>
          <w:rFonts w:asciiTheme="minorHAnsi" w:hAnsiTheme="minorHAnsi" w:cstheme="minorBidi"/>
        </w:rPr>
        <w:t>penalty retention</w:t>
      </w:r>
      <w:r w:rsidR="00AB4F8B">
        <w:rPr>
          <w:rFonts w:asciiTheme="minorHAnsi" w:hAnsiTheme="minorHAnsi" w:cstheme="minorBidi"/>
        </w:rPr>
        <w:t xml:space="preserve"> and whistleblower data. </w:t>
      </w:r>
      <w:r w:rsidR="000F7600">
        <w:rPr>
          <w:rFonts w:asciiTheme="minorHAnsi" w:hAnsiTheme="minorHAnsi" w:cstheme="minorBidi"/>
        </w:rPr>
        <w:t xml:space="preserve"> </w:t>
      </w:r>
      <w:r w:rsidR="00E220CE">
        <w:rPr>
          <w:rFonts w:asciiTheme="minorHAnsi" w:hAnsiTheme="minorHAnsi" w:cstheme="minorBidi"/>
        </w:rPr>
        <w:t>ADOSH and OSHA will continue to hold discussions on the transmission of data between Salesforce and OIS.</w:t>
      </w:r>
      <w:r w:rsidR="00515FAD">
        <w:rPr>
          <w:rFonts w:asciiTheme="minorHAnsi" w:hAnsiTheme="minorHAnsi" w:cstheme="minorBidi"/>
        </w:rPr>
        <w:t xml:space="preserve">  </w:t>
      </w:r>
    </w:p>
    <w:p w14:paraId="3992DA22" w14:textId="77777777" w:rsidR="005A66D0" w:rsidRPr="005F425C" w:rsidRDefault="005A66D0" w:rsidP="001A04E8">
      <w:pPr>
        <w:rPr>
          <w:rFonts w:asciiTheme="minorHAnsi" w:hAnsiTheme="minorHAnsi" w:cstheme="minorBidi"/>
        </w:rPr>
      </w:pPr>
    </w:p>
    <w:p w14:paraId="467CA429" w14:textId="157A23B0" w:rsidR="0025709A" w:rsidRDefault="00471D75" w:rsidP="008C7141">
      <w:pPr>
        <w:pStyle w:val="ListParagraph"/>
        <w:numPr>
          <w:ilvl w:val="1"/>
          <w:numId w:val="6"/>
        </w:numPr>
        <w:spacing w:after="0" w:line="240" w:lineRule="auto"/>
        <w:rPr>
          <w:rFonts w:asciiTheme="minorHAnsi" w:hAnsiTheme="minorHAnsi" w:cstheme="minorBidi"/>
          <w:sz w:val="24"/>
          <w:szCs w:val="24"/>
        </w:rPr>
      </w:pPr>
      <w:r w:rsidRPr="005F425C">
        <w:rPr>
          <w:rFonts w:asciiTheme="minorHAnsi" w:hAnsiTheme="minorHAnsi" w:cstheme="minorBidi"/>
          <w:sz w:val="24"/>
          <w:szCs w:val="24"/>
        </w:rPr>
        <w:t xml:space="preserve">State </w:t>
      </w:r>
      <w:r w:rsidRPr="1D831046">
        <w:rPr>
          <w:rFonts w:asciiTheme="minorHAnsi" w:hAnsiTheme="minorHAnsi" w:cstheme="minorBidi"/>
          <w:sz w:val="24"/>
          <w:szCs w:val="24"/>
        </w:rPr>
        <w:t>Internal Evaluation Program Report</w:t>
      </w:r>
    </w:p>
    <w:p w14:paraId="5BB97351" w14:textId="77777777" w:rsidR="00672699" w:rsidRPr="00F365EA" w:rsidRDefault="00672699" w:rsidP="005F425C">
      <w:pPr>
        <w:pStyle w:val="ListParagraph"/>
        <w:spacing w:after="0" w:line="240" w:lineRule="auto"/>
        <w:ind w:left="1080"/>
        <w:rPr>
          <w:rFonts w:asciiTheme="minorHAnsi" w:hAnsiTheme="minorHAnsi" w:cstheme="minorBidi"/>
          <w:sz w:val="24"/>
          <w:szCs w:val="24"/>
        </w:rPr>
      </w:pPr>
    </w:p>
    <w:p w14:paraId="7798D26C" w14:textId="61E5E146" w:rsidR="00223609" w:rsidRDefault="00C229A1" w:rsidP="00E879AB">
      <w:pPr>
        <w:rPr>
          <w:rFonts w:asciiTheme="minorHAnsi" w:hAnsiTheme="minorHAnsi" w:cstheme="minorHAnsi"/>
        </w:rPr>
      </w:pPr>
      <w:r>
        <w:rPr>
          <w:rFonts w:asciiTheme="minorHAnsi" w:hAnsiTheme="minorHAnsi" w:cstheme="minorHAnsi"/>
        </w:rPr>
        <w:t>As a result of</w:t>
      </w:r>
      <w:r w:rsidR="00A3747F">
        <w:rPr>
          <w:rFonts w:asciiTheme="minorHAnsi" w:hAnsiTheme="minorHAnsi" w:cstheme="minorHAnsi"/>
        </w:rPr>
        <w:t xml:space="preserve"> the 2023 Arizona Special Study and the FY 2023 Comprehensive FAME, ADOSH has </w:t>
      </w:r>
      <w:r w:rsidR="00165A1F">
        <w:rPr>
          <w:rFonts w:asciiTheme="minorHAnsi" w:hAnsiTheme="minorHAnsi" w:cstheme="minorHAnsi"/>
        </w:rPr>
        <w:t>improv</w:t>
      </w:r>
      <w:r w:rsidR="00826F6E">
        <w:rPr>
          <w:rFonts w:asciiTheme="minorHAnsi" w:hAnsiTheme="minorHAnsi" w:cstheme="minorHAnsi"/>
        </w:rPr>
        <w:t xml:space="preserve">ed its </w:t>
      </w:r>
      <w:r w:rsidR="00A052DD">
        <w:rPr>
          <w:rFonts w:asciiTheme="minorHAnsi" w:hAnsiTheme="minorHAnsi" w:cstheme="minorHAnsi"/>
        </w:rPr>
        <w:t xml:space="preserve">efforts towards </w:t>
      </w:r>
      <w:r w:rsidR="00836BFC">
        <w:rPr>
          <w:rFonts w:asciiTheme="minorHAnsi" w:hAnsiTheme="minorHAnsi" w:cstheme="minorHAnsi"/>
        </w:rPr>
        <w:t xml:space="preserve">implementing consistent </w:t>
      </w:r>
      <w:r w:rsidR="00A052DD">
        <w:rPr>
          <w:rFonts w:asciiTheme="minorHAnsi" w:hAnsiTheme="minorHAnsi" w:cstheme="minorHAnsi"/>
        </w:rPr>
        <w:t xml:space="preserve">internal controls to ensure </w:t>
      </w:r>
      <w:r w:rsidR="00AD5334">
        <w:rPr>
          <w:rFonts w:asciiTheme="minorHAnsi" w:hAnsiTheme="minorHAnsi" w:cstheme="minorHAnsi"/>
        </w:rPr>
        <w:t>policies and procedures</w:t>
      </w:r>
      <w:r w:rsidR="007545C0">
        <w:rPr>
          <w:rFonts w:asciiTheme="minorHAnsi" w:hAnsiTheme="minorHAnsi" w:cstheme="minorHAnsi"/>
        </w:rPr>
        <w:t xml:space="preserve"> </w:t>
      </w:r>
      <w:r w:rsidR="009E3A96">
        <w:rPr>
          <w:rFonts w:asciiTheme="minorHAnsi" w:hAnsiTheme="minorHAnsi" w:cstheme="minorHAnsi"/>
        </w:rPr>
        <w:t>were followed.</w:t>
      </w:r>
      <w:r w:rsidR="00AD5334">
        <w:rPr>
          <w:rFonts w:asciiTheme="minorHAnsi" w:hAnsiTheme="minorHAnsi" w:cstheme="minorHAnsi"/>
        </w:rPr>
        <w:t xml:space="preserve">  Management conduct</w:t>
      </w:r>
      <w:r>
        <w:rPr>
          <w:rFonts w:asciiTheme="minorHAnsi" w:hAnsiTheme="minorHAnsi" w:cstheme="minorHAnsi"/>
        </w:rPr>
        <w:t>ed</w:t>
      </w:r>
      <w:r w:rsidR="00AD5334">
        <w:rPr>
          <w:rFonts w:asciiTheme="minorHAnsi" w:hAnsiTheme="minorHAnsi" w:cstheme="minorHAnsi"/>
        </w:rPr>
        <w:t xml:space="preserve"> monthly </w:t>
      </w:r>
      <w:r w:rsidR="002C0FB7">
        <w:rPr>
          <w:rFonts w:asciiTheme="minorHAnsi" w:hAnsiTheme="minorHAnsi" w:cstheme="minorHAnsi"/>
        </w:rPr>
        <w:t xml:space="preserve">focused </w:t>
      </w:r>
      <w:r w:rsidR="00AD5334">
        <w:rPr>
          <w:rFonts w:asciiTheme="minorHAnsi" w:hAnsiTheme="minorHAnsi" w:cstheme="minorHAnsi"/>
        </w:rPr>
        <w:t xml:space="preserve">audits of case files to </w:t>
      </w:r>
      <w:r w:rsidR="00DC2F74">
        <w:rPr>
          <w:rFonts w:asciiTheme="minorHAnsi" w:hAnsiTheme="minorHAnsi" w:cstheme="minorHAnsi"/>
        </w:rPr>
        <w:t xml:space="preserve">identify </w:t>
      </w:r>
      <w:r w:rsidR="002C0FB7">
        <w:rPr>
          <w:rFonts w:asciiTheme="minorHAnsi" w:hAnsiTheme="minorHAnsi" w:cstheme="minorHAnsi"/>
        </w:rPr>
        <w:t xml:space="preserve">discrepancies.  This included </w:t>
      </w:r>
      <w:r>
        <w:rPr>
          <w:rFonts w:asciiTheme="minorHAnsi" w:hAnsiTheme="minorHAnsi" w:cstheme="minorHAnsi"/>
        </w:rPr>
        <w:t xml:space="preserve">topics such as but not limited to </w:t>
      </w:r>
      <w:r w:rsidR="009E3A96">
        <w:rPr>
          <w:rFonts w:asciiTheme="minorHAnsi" w:hAnsiTheme="minorHAnsi" w:cstheme="minorHAnsi"/>
        </w:rPr>
        <w:t>complaint initiation</w:t>
      </w:r>
      <w:r w:rsidR="00B00F33">
        <w:rPr>
          <w:rFonts w:asciiTheme="minorHAnsi" w:hAnsiTheme="minorHAnsi" w:cstheme="minorHAnsi"/>
        </w:rPr>
        <w:t xml:space="preserve"> and responses</w:t>
      </w:r>
      <w:r w:rsidR="009E3A96">
        <w:rPr>
          <w:rFonts w:asciiTheme="minorHAnsi" w:hAnsiTheme="minorHAnsi" w:cstheme="minorHAnsi"/>
        </w:rPr>
        <w:t xml:space="preserve">, </w:t>
      </w:r>
      <w:r w:rsidR="00B00F33">
        <w:rPr>
          <w:rFonts w:asciiTheme="minorHAnsi" w:hAnsiTheme="minorHAnsi" w:cstheme="minorHAnsi"/>
        </w:rPr>
        <w:t xml:space="preserve">violation documentation, </w:t>
      </w:r>
      <w:r w:rsidRPr="00A3747F">
        <w:rPr>
          <w:rFonts w:asciiTheme="minorHAnsi" w:hAnsiTheme="minorHAnsi" w:cstheme="minorHAnsi"/>
        </w:rPr>
        <w:t>abatement documentation, informal settlement agreements, penalty collections, etc.</w:t>
      </w:r>
      <w:r w:rsidR="00DC2F74">
        <w:rPr>
          <w:rFonts w:asciiTheme="minorHAnsi" w:hAnsiTheme="minorHAnsi" w:cstheme="minorHAnsi"/>
        </w:rPr>
        <w:t xml:space="preserve">  In addition, OIS reports were run monthly to ensure </w:t>
      </w:r>
      <w:r w:rsidR="002C0FB7">
        <w:rPr>
          <w:rFonts w:asciiTheme="minorHAnsi" w:hAnsiTheme="minorHAnsi" w:cstheme="minorHAnsi"/>
        </w:rPr>
        <w:t>proper data migration from Salesforce.</w:t>
      </w:r>
      <w:r w:rsidR="00310A71" w:rsidRPr="00A3747F">
        <w:rPr>
          <w:rFonts w:asciiTheme="minorHAnsi" w:hAnsiTheme="minorHAnsi" w:cstheme="minorHAnsi"/>
        </w:rPr>
        <w:t xml:space="preserve">  On </w:t>
      </w:r>
      <w:r w:rsidR="001B5F10" w:rsidRPr="00A3747F">
        <w:rPr>
          <w:rFonts w:asciiTheme="minorHAnsi" w:hAnsiTheme="minorHAnsi" w:cstheme="minorHAnsi"/>
        </w:rPr>
        <w:t>a quar</w:t>
      </w:r>
      <w:r w:rsidR="00A3747F" w:rsidRPr="00A3747F">
        <w:rPr>
          <w:rFonts w:asciiTheme="minorHAnsi" w:hAnsiTheme="minorHAnsi" w:cstheme="minorHAnsi"/>
        </w:rPr>
        <w:t>ter</w:t>
      </w:r>
      <w:r w:rsidR="001B5F10" w:rsidRPr="00A3747F">
        <w:rPr>
          <w:rFonts w:asciiTheme="minorHAnsi" w:hAnsiTheme="minorHAnsi" w:cstheme="minorHAnsi"/>
        </w:rPr>
        <w:t>ly basis, the director</w:t>
      </w:r>
      <w:r w:rsidR="00515FAD" w:rsidRPr="00A3747F">
        <w:rPr>
          <w:rFonts w:asciiTheme="minorHAnsi" w:hAnsiTheme="minorHAnsi" w:cstheme="minorHAnsi"/>
        </w:rPr>
        <w:t xml:space="preserve">s </w:t>
      </w:r>
      <w:r>
        <w:rPr>
          <w:rFonts w:asciiTheme="minorHAnsi" w:hAnsiTheme="minorHAnsi" w:cstheme="minorHAnsi"/>
        </w:rPr>
        <w:t>conducted internal audits</w:t>
      </w:r>
      <w:r w:rsidR="00515FAD" w:rsidRPr="00A3747F">
        <w:rPr>
          <w:rFonts w:asciiTheme="minorHAnsi" w:hAnsiTheme="minorHAnsi" w:cstheme="minorHAnsi"/>
        </w:rPr>
        <w:t xml:space="preserve"> to ensure </w:t>
      </w:r>
      <w:r>
        <w:rPr>
          <w:rFonts w:asciiTheme="minorHAnsi" w:hAnsiTheme="minorHAnsi" w:cstheme="minorHAnsi"/>
        </w:rPr>
        <w:t xml:space="preserve">management </w:t>
      </w:r>
      <w:r w:rsidR="00515FAD" w:rsidRPr="00A3747F">
        <w:rPr>
          <w:rFonts w:asciiTheme="minorHAnsi" w:hAnsiTheme="minorHAnsi" w:cstheme="minorHAnsi"/>
        </w:rPr>
        <w:t>control</w:t>
      </w:r>
      <w:r>
        <w:rPr>
          <w:rFonts w:asciiTheme="minorHAnsi" w:hAnsiTheme="minorHAnsi" w:cstheme="minorHAnsi"/>
        </w:rPr>
        <w:t>s</w:t>
      </w:r>
      <w:r w:rsidR="00515FAD" w:rsidRPr="00A3747F">
        <w:rPr>
          <w:rFonts w:asciiTheme="minorHAnsi" w:hAnsiTheme="minorHAnsi" w:cstheme="minorHAnsi"/>
        </w:rPr>
        <w:t xml:space="preserve"> were in place</w:t>
      </w:r>
      <w:r>
        <w:rPr>
          <w:rFonts w:asciiTheme="minorHAnsi" w:hAnsiTheme="minorHAnsi" w:cstheme="minorHAnsi"/>
        </w:rPr>
        <w:t xml:space="preserve"> and effective</w:t>
      </w:r>
      <w:r w:rsidR="00515FAD" w:rsidRPr="00A3747F">
        <w:rPr>
          <w:rFonts w:asciiTheme="minorHAnsi" w:hAnsiTheme="minorHAnsi" w:cstheme="minorHAnsi"/>
        </w:rPr>
        <w:t xml:space="preserve">. </w:t>
      </w:r>
      <w:r>
        <w:rPr>
          <w:rFonts w:asciiTheme="minorHAnsi" w:hAnsiTheme="minorHAnsi" w:cstheme="minorHAnsi"/>
        </w:rPr>
        <w:t xml:space="preserve"> </w:t>
      </w:r>
    </w:p>
    <w:p w14:paraId="3059DF37" w14:textId="77777777" w:rsidR="00223609" w:rsidRDefault="00223609" w:rsidP="00E879AB">
      <w:pPr>
        <w:rPr>
          <w:rFonts w:asciiTheme="minorHAnsi" w:hAnsiTheme="minorHAnsi" w:cstheme="minorHAnsi"/>
        </w:rPr>
      </w:pPr>
    </w:p>
    <w:p w14:paraId="7D3AD3C0" w14:textId="4A857889" w:rsidR="00C229A1" w:rsidRDefault="00053EB0" w:rsidP="00E879AB">
      <w:pPr>
        <w:rPr>
          <w:rFonts w:asciiTheme="minorHAnsi" w:hAnsiTheme="minorHAnsi" w:cstheme="minorHAnsi"/>
        </w:rPr>
      </w:pPr>
      <w:r>
        <w:rPr>
          <w:rFonts w:asciiTheme="minorHAnsi" w:hAnsiTheme="minorHAnsi" w:cstheme="minorHAnsi"/>
        </w:rPr>
        <w:t>Internal audits</w:t>
      </w:r>
      <w:r w:rsidR="00223609">
        <w:rPr>
          <w:rFonts w:asciiTheme="minorHAnsi" w:hAnsiTheme="minorHAnsi" w:cstheme="minorHAnsi"/>
        </w:rPr>
        <w:t xml:space="preserve">, </w:t>
      </w:r>
      <w:r w:rsidR="00906B78">
        <w:rPr>
          <w:rFonts w:asciiTheme="minorHAnsi" w:hAnsiTheme="minorHAnsi" w:cstheme="minorHAnsi"/>
        </w:rPr>
        <w:t xml:space="preserve">goals, and case file management </w:t>
      </w:r>
      <w:r>
        <w:rPr>
          <w:rFonts w:asciiTheme="minorHAnsi" w:hAnsiTheme="minorHAnsi" w:cstheme="minorHAnsi"/>
        </w:rPr>
        <w:t xml:space="preserve">were tracked through the Arizona Management System.  </w:t>
      </w:r>
      <w:r w:rsidR="00C714EC">
        <w:rPr>
          <w:rFonts w:asciiTheme="minorHAnsi" w:hAnsiTheme="minorHAnsi" w:cstheme="minorHAnsi"/>
        </w:rPr>
        <w:t xml:space="preserve">In addition, </w:t>
      </w:r>
      <w:r w:rsidR="00D04EE4">
        <w:rPr>
          <w:rFonts w:asciiTheme="minorHAnsi" w:hAnsiTheme="minorHAnsi" w:cstheme="minorHAnsi"/>
        </w:rPr>
        <w:t>Salesforce had</w:t>
      </w:r>
      <w:r w:rsidR="00C714EC">
        <w:rPr>
          <w:rFonts w:asciiTheme="minorHAnsi" w:hAnsiTheme="minorHAnsi" w:cstheme="minorHAnsi"/>
        </w:rPr>
        <w:t xml:space="preserve"> capabilities to run reports for various enforcement metrics through Salesforce.  </w:t>
      </w:r>
      <w:r w:rsidR="00E20A03">
        <w:rPr>
          <w:rFonts w:asciiTheme="minorHAnsi" w:hAnsiTheme="minorHAnsi" w:cstheme="minorHAnsi"/>
        </w:rPr>
        <w:t xml:space="preserve">OSHA and ADOSH continue to discuss ADOSH’s internal management controls through the quarterly meetings.  </w:t>
      </w:r>
    </w:p>
    <w:p w14:paraId="0671D12A" w14:textId="77777777" w:rsidR="00F365EA" w:rsidRPr="00F365EA" w:rsidRDefault="00F365EA" w:rsidP="00F365EA">
      <w:pPr>
        <w:pStyle w:val="ListParagraph"/>
        <w:spacing w:after="0" w:line="240" w:lineRule="auto"/>
        <w:ind w:left="1080"/>
        <w:rPr>
          <w:rFonts w:asciiTheme="minorHAnsi" w:hAnsiTheme="minorHAnsi" w:cstheme="minorHAnsi"/>
          <w:sz w:val="24"/>
          <w:szCs w:val="24"/>
        </w:rPr>
      </w:pPr>
    </w:p>
    <w:p w14:paraId="1B066BC9" w14:textId="2CDEC242" w:rsidR="00471D75" w:rsidRDefault="00471D75" w:rsidP="008C7141">
      <w:pPr>
        <w:pStyle w:val="ListParagraph"/>
        <w:numPr>
          <w:ilvl w:val="1"/>
          <w:numId w:val="6"/>
        </w:numPr>
        <w:spacing w:after="0" w:line="240" w:lineRule="auto"/>
        <w:contextualSpacing w:val="0"/>
        <w:rPr>
          <w:rFonts w:asciiTheme="minorHAnsi" w:hAnsiTheme="minorHAnsi" w:cstheme="minorBidi"/>
          <w:sz w:val="24"/>
          <w:szCs w:val="24"/>
        </w:rPr>
      </w:pPr>
      <w:r w:rsidRPr="147473DD">
        <w:rPr>
          <w:rFonts w:asciiTheme="minorHAnsi" w:hAnsiTheme="minorHAnsi" w:cstheme="minorBidi"/>
          <w:sz w:val="24"/>
          <w:szCs w:val="24"/>
        </w:rPr>
        <w:t xml:space="preserve">Staffing </w:t>
      </w:r>
    </w:p>
    <w:p w14:paraId="70B2AE1D" w14:textId="77777777" w:rsidR="00672699" w:rsidRPr="00F365EA" w:rsidRDefault="00672699" w:rsidP="005F425C">
      <w:pPr>
        <w:pStyle w:val="ListParagraph"/>
        <w:spacing w:after="0" w:line="240" w:lineRule="auto"/>
        <w:ind w:left="1080"/>
        <w:contextualSpacing w:val="0"/>
        <w:rPr>
          <w:rFonts w:asciiTheme="minorHAnsi" w:hAnsiTheme="minorHAnsi" w:cstheme="minorHAnsi"/>
          <w:sz w:val="24"/>
          <w:szCs w:val="24"/>
        </w:rPr>
      </w:pPr>
    </w:p>
    <w:p w14:paraId="4280C9C3" w14:textId="11ADEF08" w:rsidR="0098292A" w:rsidRDefault="67216543" w:rsidP="00E879AB">
      <w:pPr>
        <w:rPr>
          <w:rFonts w:asciiTheme="minorHAnsi" w:hAnsiTheme="minorHAnsi" w:cstheme="minorBidi"/>
        </w:rPr>
      </w:pPr>
      <w:r w:rsidRPr="00E879AB">
        <w:rPr>
          <w:rFonts w:asciiTheme="minorHAnsi" w:hAnsiTheme="minorHAnsi" w:cstheme="minorBidi"/>
        </w:rPr>
        <w:t xml:space="preserve">Benchmarks </w:t>
      </w:r>
      <w:r w:rsidR="78D7440D" w:rsidRPr="00E879AB">
        <w:rPr>
          <w:rFonts w:asciiTheme="minorHAnsi" w:hAnsiTheme="minorHAnsi" w:cstheme="minorBidi"/>
        </w:rPr>
        <w:t xml:space="preserve">for compliance staff </w:t>
      </w:r>
      <w:r w:rsidR="001409B1">
        <w:rPr>
          <w:rFonts w:asciiTheme="minorHAnsi" w:hAnsiTheme="minorHAnsi" w:cstheme="minorBidi"/>
        </w:rPr>
        <w:t>were</w:t>
      </w:r>
      <w:r w:rsidR="78D7440D" w:rsidRPr="00E879AB">
        <w:rPr>
          <w:rFonts w:asciiTheme="minorHAnsi" w:hAnsiTheme="minorHAnsi" w:cstheme="minorBidi"/>
        </w:rPr>
        <w:t xml:space="preserve"> </w:t>
      </w:r>
      <w:r w:rsidRPr="00E879AB">
        <w:rPr>
          <w:rFonts w:asciiTheme="minorHAnsi" w:hAnsiTheme="minorHAnsi" w:cstheme="minorBidi"/>
        </w:rPr>
        <w:t>nine safety and six health.</w:t>
      </w:r>
      <w:r w:rsidR="280B263F" w:rsidRPr="00E879AB">
        <w:rPr>
          <w:rFonts w:asciiTheme="minorHAnsi" w:hAnsiTheme="minorHAnsi" w:cstheme="minorBidi"/>
        </w:rPr>
        <w:t xml:space="preserve"> </w:t>
      </w:r>
      <w:r w:rsidRPr="00E879AB">
        <w:rPr>
          <w:rFonts w:asciiTheme="minorHAnsi" w:hAnsiTheme="minorHAnsi" w:cstheme="minorBidi"/>
        </w:rPr>
        <w:t xml:space="preserve"> At the end of FY 202</w:t>
      </w:r>
      <w:r w:rsidR="00B50DF9">
        <w:rPr>
          <w:rFonts w:asciiTheme="minorHAnsi" w:hAnsiTheme="minorHAnsi" w:cstheme="minorBidi"/>
        </w:rPr>
        <w:t>5</w:t>
      </w:r>
      <w:r w:rsidR="78D7440D" w:rsidRPr="00E879AB">
        <w:rPr>
          <w:rFonts w:asciiTheme="minorHAnsi" w:hAnsiTheme="minorHAnsi" w:cstheme="minorBidi"/>
        </w:rPr>
        <w:t>,</w:t>
      </w:r>
      <w:r w:rsidRPr="00E879AB">
        <w:rPr>
          <w:rFonts w:asciiTheme="minorHAnsi" w:hAnsiTheme="minorHAnsi" w:cstheme="minorBidi"/>
        </w:rPr>
        <w:t xml:space="preserve"> there were </w:t>
      </w:r>
      <w:r w:rsidR="003643F9">
        <w:rPr>
          <w:rFonts w:asciiTheme="minorHAnsi" w:hAnsiTheme="minorHAnsi" w:cstheme="minorBidi"/>
        </w:rPr>
        <w:t xml:space="preserve">nine </w:t>
      </w:r>
      <w:r w:rsidR="0098292A">
        <w:rPr>
          <w:rFonts w:asciiTheme="minorHAnsi" w:hAnsiTheme="minorHAnsi" w:cstheme="minorBidi"/>
        </w:rPr>
        <w:t xml:space="preserve">safety and </w:t>
      </w:r>
      <w:r w:rsidR="003643F9">
        <w:rPr>
          <w:rFonts w:asciiTheme="minorHAnsi" w:hAnsiTheme="minorHAnsi" w:cstheme="minorBidi"/>
        </w:rPr>
        <w:t>six</w:t>
      </w:r>
      <w:r w:rsidR="005951E7">
        <w:rPr>
          <w:rFonts w:asciiTheme="minorHAnsi" w:hAnsiTheme="minorHAnsi" w:cstheme="minorBidi"/>
        </w:rPr>
        <w:t xml:space="preserve"> </w:t>
      </w:r>
      <w:r w:rsidR="0098292A">
        <w:rPr>
          <w:rFonts w:asciiTheme="minorHAnsi" w:hAnsiTheme="minorHAnsi" w:cstheme="minorBidi"/>
        </w:rPr>
        <w:t>health CSHO</w:t>
      </w:r>
      <w:r w:rsidR="005951E7">
        <w:rPr>
          <w:rFonts w:asciiTheme="minorHAnsi" w:hAnsiTheme="minorHAnsi" w:cstheme="minorBidi"/>
        </w:rPr>
        <w:t xml:space="preserve"> position</w:t>
      </w:r>
      <w:r w:rsidR="0098292A">
        <w:rPr>
          <w:rFonts w:asciiTheme="minorHAnsi" w:hAnsiTheme="minorHAnsi" w:cstheme="minorBidi"/>
        </w:rPr>
        <w:t>s filled.</w:t>
      </w:r>
      <w:r w:rsidR="00756360">
        <w:rPr>
          <w:rFonts w:asciiTheme="minorHAnsi" w:hAnsiTheme="minorHAnsi" w:cstheme="minorBidi"/>
        </w:rPr>
        <w:t xml:space="preserve">  </w:t>
      </w:r>
      <w:r w:rsidR="001002CF" w:rsidRPr="001C65C3">
        <w:rPr>
          <w:rFonts w:asciiTheme="minorHAnsi" w:hAnsiTheme="minorHAnsi" w:cstheme="minorBidi"/>
          <w:color w:val="000000" w:themeColor="text1"/>
        </w:rPr>
        <w:t xml:space="preserve">Throughout the review period, ADOSH experienced fluctuations in compliance officer staffing levels.  Although they were able to recruit for vacant positions, this increased the number of compliance officers in training status.  At one point in the review period, the State Plan was down to two compliance officers independently conducting inspections.  </w:t>
      </w:r>
      <w:r w:rsidR="0019418D" w:rsidRPr="001C65C3">
        <w:rPr>
          <w:rFonts w:asciiTheme="minorHAnsi" w:hAnsiTheme="minorHAnsi" w:cstheme="minorBidi"/>
          <w:color w:val="000000" w:themeColor="text1"/>
        </w:rPr>
        <w:t xml:space="preserve">This significantly impacted ADOSH’s ability to meet annual inspection goals. </w:t>
      </w:r>
      <w:r w:rsidR="0019418D">
        <w:rPr>
          <w:rFonts w:asciiTheme="minorHAnsi" w:hAnsiTheme="minorHAnsi" w:cstheme="minorBidi"/>
          <w:color w:val="000000" w:themeColor="text1"/>
        </w:rPr>
        <w:t xml:space="preserve"> </w:t>
      </w:r>
      <w:r w:rsidR="001002CF" w:rsidRPr="001C65C3">
        <w:rPr>
          <w:rFonts w:asciiTheme="minorHAnsi" w:hAnsiTheme="minorHAnsi" w:cstheme="minorBidi"/>
          <w:color w:val="000000" w:themeColor="text1"/>
        </w:rPr>
        <w:t>As the year progressed, the number of trained compliance officers gradually increased, and by the end of the review period, there were five trained compliance officers that were qualified to conduct inspections independently</w:t>
      </w:r>
      <w:r w:rsidR="00C71598">
        <w:rPr>
          <w:rFonts w:asciiTheme="minorHAnsi" w:hAnsiTheme="minorHAnsi" w:cstheme="minorBidi"/>
          <w:color w:val="000000" w:themeColor="text1"/>
        </w:rPr>
        <w:t>, and</w:t>
      </w:r>
      <w:r w:rsidR="002249B4">
        <w:rPr>
          <w:rFonts w:asciiTheme="minorHAnsi" w:hAnsiTheme="minorHAnsi" w:cstheme="minorBidi"/>
          <w:color w:val="000000" w:themeColor="text1"/>
        </w:rPr>
        <w:t xml:space="preserve"> </w:t>
      </w:r>
      <w:r w:rsidR="0055572A">
        <w:rPr>
          <w:rFonts w:asciiTheme="minorHAnsi" w:hAnsiTheme="minorHAnsi" w:cstheme="minorBidi"/>
        </w:rPr>
        <w:t>seven safety and one health position</w:t>
      </w:r>
      <w:r w:rsidR="002249B4">
        <w:rPr>
          <w:rFonts w:asciiTheme="minorHAnsi" w:hAnsiTheme="minorHAnsi" w:cstheme="minorBidi"/>
        </w:rPr>
        <w:t>s remained vacant</w:t>
      </w:r>
      <w:r w:rsidR="007676B3">
        <w:rPr>
          <w:rFonts w:asciiTheme="minorHAnsi" w:hAnsiTheme="minorHAnsi" w:cstheme="minorBidi"/>
        </w:rPr>
        <w:t xml:space="preserve">.  </w:t>
      </w:r>
      <w:r w:rsidR="001002CF" w:rsidRPr="001C65C3">
        <w:rPr>
          <w:rFonts w:asciiTheme="minorHAnsi" w:hAnsiTheme="minorHAnsi" w:cstheme="minorBidi"/>
          <w:color w:val="000000" w:themeColor="text1"/>
        </w:rPr>
        <w:t>Arizona created safety and health technician positions, which were filled with employees that had a safety and health background, and could be trained to transition into a compliance officer position.</w:t>
      </w:r>
      <w:r w:rsidR="007436F4">
        <w:rPr>
          <w:rFonts w:asciiTheme="minorHAnsi" w:hAnsiTheme="minorHAnsi" w:cstheme="minorBidi"/>
          <w:color w:val="000000" w:themeColor="text1"/>
        </w:rPr>
        <w:t xml:space="preserve">  </w:t>
      </w:r>
    </w:p>
    <w:p w14:paraId="64D5111A" w14:textId="77777777" w:rsidR="002054AD" w:rsidRPr="007436F4" w:rsidRDefault="002054AD" w:rsidP="007436F4">
      <w:pPr>
        <w:rPr>
          <w:rFonts w:asciiTheme="minorHAnsi" w:hAnsiTheme="minorHAnsi" w:cstheme="minorHAnsi"/>
        </w:rPr>
      </w:pPr>
    </w:p>
    <w:p w14:paraId="14AECFC1" w14:textId="0423BD57" w:rsidR="00471D75" w:rsidRDefault="00471D75" w:rsidP="00EA4D22">
      <w:pPr>
        <w:pStyle w:val="Heading3"/>
        <w:numPr>
          <w:ilvl w:val="0"/>
          <w:numId w:val="22"/>
        </w:numPr>
        <w:spacing w:before="0"/>
        <w:ind w:left="1080"/>
      </w:pPr>
      <w:bookmarkStart w:id="25" w:name="Enforcement"/>
      <w:bookmarkStart w:id="26" w:name="_Toc160178415"/>
      <w:bookmarkStart w:id="27" w:name="_Toc225327058"/>
      <w:bookmarkEnd w:id="25"/>
      <w:r w:rsidRPr="00695E30">
        <w:t>Enforcement</w:t>
      </w:r>
      <w:bookmarkEnd w:id="26"/>
      <w:bookmarkEnd w:id="27"/>
      <w:r w:rsidRPr="00695E30">
        <w:t xml:space="preserve"> </w:t>
      </w:r>
    </w:p>
    <w:p w14:paraId="6459334F" w14:textId="77777777" w:rsidR="00672699" w:rsidRPr="00672699" w:rsidRDefault="00672699" w:rsidP="005F425C"/>
    <w:p w14:paraId="1164E121" w14:textId="0A7BC119" w:rsidR="00471D75" w:rsidRPr="00B14A04" w:rsidRDefault="00542CC5" w:rsidP="00471D75">
      <w:pPr>
        <w:rPr>
          <w:rFonts w:asciiTheme="minorHAnsi" w:hAnsiTheme="minorHAnsi" w:cstheme="minorBidi"/>
        </w:rPr>
      </w:pPr>
      <w:r>
        <w:rPr>
          <w:rFonts w:asciiTheme="minorHAnsi" w:hAnsiTheme="minorHAnsi" w:cstheme="minorBidi"/>
        </w:rPr>
        <w:t>Arizona had an approved</w:t>
      </w:r>
      <w:r w:rsidR="000F5B56" w:rsidRPr="00B14A04">
        <w:rPr>
          <w:rFonts w:asciiTheme="minorHAnsi" w:hAnsiTheme="minorHAnsi" w:cstheme="minorBidi"/>
        </w:rPr>
        <w:t xml:space="preserve"> </w:t>
      </w:r>
      <w:r w:rsidR="00F94671">
        <w:rPr>
          <w:rFonts w:asciiTheme="minorHAnsi" w:hAnsiTheme="minorHAnsi" w:cstheme="minorBidi"/>
        </w:rPr>
        <w:t>Field Operations Manual (FOM)</w:t>
      </w:r>
      <w:r w:rsidR="00F94671" w:rsidRPr="00B14A04">
        <w:rPr>
          <w:rFonts w:asciiTheme="minorHAnsi" w:hAnsiTheme="minorHAnsi" w:cstheme="minorBidi"/>
        </w:rPr>
        <w:t xml:space="preserve"> </w:t>
      </w:r>
      <w:r w:rsidR="00333BD1">
        <w:rPr>
          <w:rFonts w:asciiTheme="minorHAnsi" w:hAnsiTheme="minorHAnsi" w:cstheme="minorBidi"/>
        </w:rPr>
        <w:t>outlined policies and procedures for</w:t>
      </w:r>
      <w:r w:rsidR="00471D75" w:rsidRPr="00B14A04">
        <w:rPr>
          <w:rFonts w:asciiTheme="minorHAnsi" w:hAnsiTheme="minorHAnsi" w:cstheme="minorBidi"/>
        </w:rPr>
        <w:t xml:space="preserve"> </w:t>
      </w:r>
      <w:r w:rsidR="00F107F7">
        <w:rPr>
          <w:rFonts w:asciiTheme="minorHAnsi" w:hAnsiTheme="minorHAnsi" w:cstheme="minorBidi"/>
        </w:rPr>
        <w:t xml:space="preserve">conducting </w:t>
      </w:r>
      <w:r w:rsidR="00471D75" w:rsidRPr="00B14A04">
        <w:rPr>
          <w:rFonts w:asciiTheme="minorHAnsi" w:hAnsiTheme="minorHAnsi" w:cstheme="minorBidi"/>
        </w:rPr>
        <w:t>enforcement</w:t>
      </w:r>
      <w:r w:rsidR="00C335F3" w:rsidRPr="00B14A04">
        <w:rPr>
          <w:rFonts w:asciiTheme="minorHAnsi" w:hAnsiTheme="minorHAnsi" w:cstheme="minorBidi"/>
        </w:rPr>
        <w:t>-related activities</w:t>
      </w:r>
      <w:r w:rsidR="00471D75" w:rsidRPr="00B14A04">
        <w:rPr>
          <w:rFonts w:asciiTheme="minorHAnsi" w:hAnsiTheme="minorHAnsi" w:cstheme="minorBidi"/>
        </w:rPr>
        <w:t xml:space="preserve">. </w:t>
      </w:r>
    </w:p>
    <w:p w14:paraId="661D6370" w14:textId="77777777" w:rsidR="00471D75" w:rsidRPr="00B14A04" w:rsidRDefault="00471D75" w:rsidP="00471D75">
      <w:pPr>
        <w:rPr>
          <w:rFonts w:asciiTheme="minorHAnsi" w:hAnsiTheme="minorHAnsi" w:cstheme="minorHAnsi"/>
        </w:rPr>
      </w:pPr>
    </w:p>
    <w:p w14:paraId="597A82A5" w14:textId="7291E052" w:rsidR="00471D75" w:rsidRDefault="00471D75" w:rsidP="00360FB3">
      <w:pPr>
        <w:pStyle w:val="ListParagraph"/>
        <w:numPr>
          <w:ilvl w:val="0"/>
          <w:numId w:val="9"/>
        </w:numPr>
        <w:spacing w:after="0" w:line="240" w:lineRule="auto"/>
        <w:contextualSpacing w:val="0"/>
        <w:rPr>
          <w:rFonts w:asciiTheme="minorHAnsi" w:hAnsiTheme="minorHAnsi" w:cstheme="minorHAnsi"/>
          <w:sz w:val="24"/>
          <w:szCs w:val="24"/>
        </w:rPr>
      </w:pPr>
      <w:r w:rsidRPr="00DA0886">
        <w:rPr>
          <w:rFonts w:asciiTheme="minorHAnsi" w:hAnsiTheme="minorHAnsi" w:cstheme="minorHAnsi"/>
          <w:sz w:val="24"/>
          <w:szCs w:val="24"/>
        </w:rPr>
        <w:t xml:space="preserve">Complaints </w:t>
      </w:r>
    </w:p>
    <w:p w14:paraId="2DB7CA8B" w14:textId="77777777" w:rsidR="001627E4" w:rsidRDefault="001627E4" w:rsidP="006B3B2B">
      <w:pPr>
        <w:rPr>
          <w:rFonts w:asciiTheme="minorHAnsi" w:hAnsiTheme="minorHAnsi" w:cstheme="minorBidi"/>
        </w:rPr>
      </w:pPr>
    </w:p>
    <w:p w14:paraId="7934571F" w14:textId="11DE6D75" w:rsidR="00DA2514" w:rsidRDefault="00EC128F" w:rsidP="005C27E8">
      <w:pPr>
        <w:rPr>
          <w:rFonts w:asciiTheme="minorHAnsi" w:hAnsiTheme="minorHAnsi" w:cstheme="minorBidi"/>
        </w:rPr>
      </w:pPr>
      <w:r w:rsidRPr="00F0521E">
        <w:rPr>
          <w:rFonts w:asciiTheme="minorHAnsi" w:hAnsiTheme="minorHAnsi" w:cstheme="minorBidi"/>
        </w:rPr>
        <w:t xml:space="preserve">According to OIS, </w:t>
      </w:r>
      <w:r w:rsidR="003F3CA5" w:rsidRPr="00F0521E">
        <w:rPr>
          <w:rFonts w:asciiTheme="minorHAnsi" w:hAnsiTheme="minorHAnsi" w:cstheme="minorBidi"/>
        </w:rPr>
        <w:t>ADOSH</w:t>
      </w:r>
      <w:r w:rsidRPr="00F0521E">
        <w:rPr>
          <w:rFonts w:asciiTheme="minorHAnsi" w:hAnsiTheme="minorHAnsi" w:cstheme="minorBidi"/>
        </w:rPr>
        <w:t xml:space="preserve"> received a total of 1,196 complaint</w:t>
      </w:r>
      <w:r w:rsidR="00B521E2" w:rsidRPr="00F0521E">
        <w:rPr>
          <w:rFonts w:asciiTheme="minorHAnsi" w:hAnsiTheme="minorHAnsi" w:cstheme="minorBidi"/>
        </w:rPr>
        <w:t>s</w:t>
      </w:r>
      <w:r w:rsidR="00971BB7" w:rsidRPr="00F0521E">
        <w:rPr>
          <w:rFonts w:asciiTheme="minorHAnsi" w:hAnsiTheme="minorHAnsi" w:cstheme="minorBidi"/>
        </w:rPr>
        <w:t xml:space="preserve"> in FY 2025</w:t>
      </w:r>
      <w:r w:rsidR="00FA3E24" w:rsidRPr="00F0521E">
        <w:rPr>
          <w:rFonts w:asciiTheme="minorHAnsi" w:hAnsiTheme="minorHAnsi" w:cstheme="minorBidi"/>
        </w:rPr>
        <w:t xml:space="preserve">.  Of these, 515 were </w:t>
      </w:r>
      <w:r w:rsidR="00FA3E24" w:rsidRPr="00F0521E">
        <w:rPr>
          <w:rFonts w:asciiTheme="minorHAnsi" w:hAnsiTheme="minorHAnsi" w:cstheme="minorBidi"/>
        </w:rPr>
        <w:lastRenderedPageBreak/>
        <w:t xml:space="preserve">validated </w:t>
      </w:r>
      <w:r w:rsidR="00971BB7" w:rsidRPr="00F0521E">
        <w:rPr>
          <w:rFonts w:asciiTheme="minorHAnsi" w:hAnsiTheme="minorHAnsi" w:cstheme="minorBidi"/>
        </w:rPr>
        <w:t>during the</w:t>
      </w:r>
      <w:r w:rsidR="00971BB7">
        <w:rPr>
          <w:rFonts w:asciiTheme="minorHAnsi" w:hAnsiTheme="minorHAnsi" w:cstheme="minorBidi"/>
        </w:rPr>
        <w:t xml:space="preserve"> review period</w:t>
      </w:r>
      <w:r w:rsidR="00353255">
        <w:rPr>
          <w:rFonts w:asciiTheme="minorHAnsi" w:hAnsiTheme="minorHAnsi" w:cstheme="minorBidi"/>
        </w:rPr>
        <w:t xml:space="preserve"> and</w:t>
      </w:r>
      <w:r w:rsidR="00DB0959">
        <w:rPr>
          <w:rFonts w:asciiTheme="minorHAnsi" w:hAnsiTheme="minorHAnsi" w:cstheme="minorBidi"/>
        </w:rPr>
        <w:t>,</w:t>
      </w:r>
      <w:r w:rsidR="00353255">
        <w:rPr>
          <w:rFonts w:asciiTheme="minorHAnsi" w:hAnsiTheme="minorHAnsi" w:cstheme="minorBidi"/>
        </w:rPr>
        <w:t xml:space="preserve"> </w:t>
      </w:r>
      <w:r w:rsidR="002C0DC8">
        <w:rPr>
          <w:rFonts w:asciiTheme="minorHAnsi" w:hAnsiTheme="minorHAnsi" w:cstheme="minorBidi"/>
        </w:rPr>
        <w:t xml:space="preserve">subsequently, </w:t>
      </w:r>
      <w:r w:rsidR="002D5F14">
        <w:rPr>
          <w:rFonts w:asciiTheme="minorHAnsi" w:hAnsiTheme="minorHAnsi" w:cstheme="minorBidi"/>
        </w:rPr>
        <w:t xml:space="preserve">88 resulted in an inspection.  </w:t>
      </w:r>
      <w:r w:rsidR="001E7F78">
        <w:rPr>
          <w:rFonts w:asciiTheme="minorHAnsi" w:hAnsiTheme="minorHAnsi" w:cstheme="minorBidi"/>
        </w:rPr>
        <w:t xml:space="preserve">The remainder of complaints received were pending into FY 2026.  </w:t>
      </w:r>
      <w:r w:rsidRPr="003F3CA5">
        <w:rPr>
          <w:rFonts w:asciiTheme="minorHAnsi" w:hAnsiTheme="minorHAnsi" w:cstheme="minorBidi"/>
        </w:rPr>
        <w:t>The volume of unprocessed and/or backlogged</w:t>
      </w:r>
      <w:r w:rsidR="005C27E8">
        <w:rPr>
          <w:rFonts w:asciiTheme="minorHAnsi" w:hAnsiTheme="minorHAnsi" w:cstheme="minorBidi"/>
        </w:rPr>
        <w:t xml:space="preserve"> previous</w:t>
      </w:r>
      <w:r w:rsidRPr="003F3CA5">
        <w:rPr>
          <w:rFonts w:asciiTheme="minorHAnsi" w:hAnsiTheme="minorHAnsi" w:cstheme="minorBidi"/>
        </w:rPr>
        <w:t xml:space="preserve"> complaints</w:t>
      </w:r>
      <w:r w:rsidR="005C27E8">
        <w:rPr>
          <w:rFonts w:asciiTheme="minorHAnsi" w:hAnsiTheme="minorHAnsi" w:cstheme="minorBidi"/>
        </w:rPr>
        <w:t xml:space="preserve"> </w:t>
      </w:r>
      <w:r w:rsidRPr="003F3CA5">
        <w:rPr>
          <w:rFonts w:asciiTheme="minorHAnsi" w:hAnsiTheme="minorHAnsi" w:cstheme="minorBidi"/>
        </w:rPr>
        <w:t>was a primary concern referenced in the 2023 Arizona Special Study, the FY 2023 Comprehensive FAME and the FY 2024 Follow-</w:t>
      </w:r>
      <w:r w:rsidR="00F0521E">
        <w:rPr>
          <w:rFonts w:asciiTheme="minorHAnsi" w:hAnsiTheme="minorHAnsi" w:cstheme="minorBidi"/>
        </w:rPr>
        <w:t>u</w:t>
      </w:r>
      <w:r w:rsidRPr="003F3CA5">
        <w:rPr>
          <w:rFonts w:asciiTheme="minorHAnsi" w:hAnsiTheme="minorHAnsi" w:cstheme="minorBidi"/>
        </w:rPr>
        <w:t xml:space="preserve">p </w:t>
      </w:r>
      <w:r w:rsidR="00112084" w:rsidRPr="003F3CA5">
        <w:rPr>
          <w:rFonts w:asciiTheme="minorHAnsi" w:hAnsiTheme="minorHAnsi" w:cstheme="minorBidi"/>
        </w:rPr>
        <w:t>FAME</w:t>
      </w:r>
      <w:r w:rsidR="00AD5EE5">
        <w:rPr>
          <w:rFonts w:asciiTheme="minorHAnsi" w:hAnsiTheme="minorHAnsi" w:cstheme="minorBidi"/>
        </w:rPr>
        <w:t>, which resulted in Arizona</w:t>
      </w:r>
      <w:r w:rsidR="006C2810">
        <w:rPr>
          <w:rFonts w:asciiTheme="minorHAnsi" w:hAnsiTheme="minorHAnsi" w:cstheme="minorBidi"/>
        </w:rPr>
        <w:t xml:space="preserve"> taking a</w:t>
      </w:r>
      <w:r w:rsidR="00C71682">
        <w:rPr>
          <w:rFonts w:asciiTheme="minorHAnsi" w:hAnsiTheme="minorHAnsi" w:cstheme="minorBidi"/>
        </w:rPr>
        <w:t>ction</w:t>
      </w:r>
      <w:r w:rsidR="006C2810">
        <w:rPr>
          <w:rFonts w:asciiTheme="minorHAnsi" w:hAnsiTheme="minorHAnsi" w:cstheme="minorBidi"/>
        </w:rPr>
        <w:t xml:space="preserve"> to</w:t>
      </w:r>
      <w:r w:rsidR="00C71682">
        <w:rPr>
          <w:rFonts w:asciiTheme="minorHAnsi" w:hAnsiTheme="minorHAnsi" w:cstheme="minorBidi"/>
        </w:rPr>
        <w:t xml:space="preserve"> address the </w:t>
      </w:r>
      <w:r w:rsidR="00B33086">
        <w:rPr>
          <w:rFonts w:asciiTheme="minorHAnsi" w:hAnsiTheme="minorHAnsi" w:cstheme="minorBidi"/>
        </w:rPr>
        <w:t>problem</w:t>
      </w:r>
      <w:r w:rsidR="00E4101C">
        <w:rPr>
          <w:rFonts w:asciiTheme="minorHAnsi" w:hAnsiTheme="minorHAnsi" w:cstheme="minorBidi"/>
        </w:rPr>
        <w:t xml:space="preserve">.  </w:t>
      </w:r>
      <w:r w:rsidR="000C642E">
        <w:rPr>
          <w:rFonts w:asciiTheme="minorHAnsi" w:hAnsiTheme="minorHAnsi" w:cstheme="minorBidi"/>
        </w:rPr>
        <w:t xml:space="preserve">Arizona </w:t>
      </w:r>
      <w:r w:rsidR="00A02760">
        <w:rPr>
          <w:rFonts w:asciiTheme="minorHAnsi" w:hAnsiTheme="minorHAnsi" w:cstheme="minorBidi"/>
        </w:rPr>
        <w:t xml:space="preserve">began the year with approximately 1,900 complaints in the backlog.  At the end of the review period, there were approximately 1,400 remaining, which was a combination of complaints </w:t>
      </w:r>
      <w:r w:rsidR="00853AC5">
        <w:rPr>
          <w:rFonts w:asciiTheme="minorHAnsi" w:hAnsiTheme="minorHAnsi" w:cstheme="minorBidi"/>
        </w:rPr>
        <w:t xml:space="preserve">received </w:t>
      </w:r>
      <w:r w:rsidR="00A02760">
        <w:rPr>
          <w:rFonts w:asciiTheme="minorHAnsi" w:hAnsiTheme="minorHAnsi" w:cstheme="minorBidi"/>
        </w:rPr>
        <w:t xml:space="preserve">during the </w:t>
      </w:r>
      <w:r w:rsidR="00DA2514">
        <w:rPr>
          <w:rFonts w:asciiTheme="minorHAnsi" w:hAnsiTheme="minorHAnsi" w:cstheme="minorBidi"/>
        </w:rPr>
        <w:t>year as well as a backlog.</w:t>
      </w:r>
      <w:r w:rsidR="00853AC5">
        <w:rPr>
          <w:rFonts w:asciiTheme="minorHAnsi" w:hAnsiTheme="minorHAnsi" w:cstheme="minorBidi"/>
        </w:rPr>
        <w:t xml:space="preserve">  Arizona continue</w:t>
      </w:r>
      <w:r w:rsidR="00F455F0">
        <w:rPr>
          <w:rFonts w:asciiTheme="minorHAnsi" w:hAnsiTheme="minorHAnsi" w:cstheme="minorBidi"/>
        </w:rPr>
        <w:t>d</w:t>
      </w:r>
      <w:r w:rsidR="00853AC5">
        <w:rPr>
          <w:rFonts w:asciiTheme="minorHAnsi" w:hAnsiTheme="minorHAnsi" w:cstheme="minorBidi"/>
        </w:rPr>
        <w:t xml:space="preserve"> to communicate this information with OSHA </w:t>
      </w:r>
      <w:r w:rsidR="00F455F0">
        <w:rPr>
          <w:rFonts w:asciiTheme="minorHAnsi" w:hAnsiTheme="minorHAnsi" w:cstheme="minorBidi"/>
        </w:rPr>
        <w:t>on a routine basis,</w:t>
      </w:r>
      <w:r w:rsidR="00853AC5">
        <w:rPr>
          <w:rFonts w:asciiTheme="minorHAnsi" w:hAnsiTheme="minorHAnsi" w:cstheme="minorBidi"/>
        </w:rPr>
        <w:t xml:space="preserve"> including their plan to reduce this backlog.</w:t>
      </w:r>
    </w:p>
    <w:p w14:paraId="43E9231E" w14:textId="77777777" w:rsidR="00DA2514" w:rsidRDefault="00DA2514" w:rsidP="005C27E8">
      <w:pPr>
        <w:rPr>
          <w:rFonts w:asciiTheme="minorHAnsi" w:hAnsiTheme="minorHAnsi" w:cstheme="minorBidi"/>
        </w:rPr>
      </w:pPr>
    </w:p>
    <w:p w14:paraId="386411DA" w14:textId="72A430F8" w:rsidR="005C27E8" w:rsidRDefault="00620571" w:rsidP="005C27E8">
      <w:pPr>
        <w:rPr>
          <w:rFonts w:asciiTheme="minorHAnsi" w:hAnsiTheme="minorHAnsi" w:cstheme="minorBidi"/>
        </w:rPr>
      </w:pPr>
      <w:r>
        <w:rPr>
          <w:rFonts w:asciiTheme="minorHAnsi" w:hAnsiTheme="minorHAnsi" w:cstheme="minorBidi"/>
        </w:rPr>
        <w:t>During this review period, it</w:t>
      </w:r>
      <w:r w:rsidR="00E4101C">
        <w:rPr>
          <w:rFonts w:asciiTheme="minorHAnsi" w:hAnsiTheme="minorHAnsi" w:cstheme="minorBidi"/>
        </w:rPr>
        <w:t xml:space="preserve"> was identified </w:t>
      </w:r>
      <w:r w:rsidR="00E4101C" w:rsidRPr="003C1AD5">
        <w:rPr>
          <w:rFonts w:asciiTheme="minorHAnsi" w:hAnsiTheme="minorHAnsi" w:cstheme="minorBidi"/>
        </w:rPr>
        <w:t>that when complaints were electronically filed on OSHA’s website, the complaint would populate into OIS</w:t>
      </w:r>
      <w:r>
        <w:rPr>
          <w:rFonts w:asciiTheme="minorHAnsi" w:hAnsiTheme="minorHAnsi" w:cstheme="minorBidi"/>
        </w:rPr>
        <w:t xml:space="preserve"> </w:t>
      </w:r>
      <w:r w:rsidR="004B0B55">
        <w:rPr>
          <w:rFonts w:asciiTheme="minorHAnsi" w:hAnsiTheme="minorHAnsi" w:cstheme="minorBidi"/>
        </w:rPr>
        <w:t>but</w:t>
      </w:r>
      <w:r>
        <w:rPr>
          <w:rFonts w:asciiTheme="minorHAnsi" w:hAnsiTheme="minorHAnsi" w:cstheme="minorBidi"/>
        </w:rPr>
        <w:t xml:space="preserve"> was </w:t>
      </w:r>
      <w:r w:rsidR="00E4101C" w:rsidRPr="003C1AD5">
        <w:rPr>
          <w:rFonts w:asciiTheme="minorHAnsi" w:hAnsiTheme="minorHAnsi" w:cstheme="minorBidi"/>
        </w:rPr>
        <w:t xml:space="preserve">not consistently monitored by ADOSH.  </w:t>
      </w:r>
      <w:r w:rsidR="00557180">
        <w:rPr>
          <w:rFonts w:asciiTheme="minorHAnsi" w:hAnsiTheme="minorHAnsi" w:cstheme="minorBidi"/>
        </w:rPr>
        <w:t>However, c</w:t>
      </w:r>
      <w:r w:rsidR="00E4101C" w:rsidRPr="003C1AD5">
        <w:rPr>
          <w:rFonts w:asciiTheme="minorHAnsi" w:hAnsiTheme="minorHAnsi" w:cstheme="minorBidi"/>
        </w:rPr>
        <w:t xml:space="preserve">omplaints that were filed </w:t>
      </w:r>
      <w:r w:rsidR="00096D63">
        <w:rPr>
          <w:rFonts w:asciiTheme="minorHAnsi" w:hAnsiTheme="minorHAnsi" w:cstheme="minorBidi"/>
        </w:rPr>
        <w:t>via</w:t>
      </w:r>
      <w:r w:rsidR="00E4101C" w:rsidRPr="003C1AD5">
        <w:rPr>
          <w:rFonts w:asciiTheme="minorHAnsi" w:hAnsiTheme="minorHAnsi" w:cstheme="minorBidi"/>
        </w:rPr>
        <w:t xml:space="preserve"> ADOSH’s website would populate into Salesforce as a matter for their attention.  Arizona since</w:t>
      </w:r>
      <w:r w:rsidR="00382B8A">
        <w:rPr>
          <w:rFonts w:asciiTheme="minorHAnsi" w:hAnsiTheme="minorHAnsi" w:cstheme="minorBidi"/>
        </w:rPr>
        <w:t xml:space="preserve"> has</w:t>
      </w:r>
      <w:r w:rsidR="00E4101C" w:rsidRPr="003C1AD5">
        <w:rPr>
          <w:rFonts w:asciiTheme="minorHAnsi" w:hAnsiTheme="minorHAnsi" w:cstheme="minorBidi"/>
        </w:rPr>
        <w:t xml:space="preserve"> taken steps to monitor both OIS and Salesforce for incoming complaints to ensure </w:t>
      </w:r>
      <w:r w:rsidR="00E4101C">
        <w:rPr>
          <w:rFonts w:asciiTheme="minorHAnsi" w:hAnsiTheme="minorHAnsi" w:cstheme="minorBidi"/>
        </w:rPr>
        <w:t>t</w:t>
      </w:r>
      <w:r w:rsidR="00E4101C" w:rsidRPr="003C1AD5">
        <w:rPr>
          <w:rFonts w:asciiTheme="minorHAnsi" w:hAnsiTheme="minorHAnsi" w:cstheme="minorBidi"/>
        </w:rPr>
        <w:t>hey are reviewed timely.  In addition, in FY 2026, OSHA</w:t>
      </w:r>
      <w:r w:rsidR="00590332">
        <w:rPr>
          <w:rFonts w:asciiTheme="minorHAnsi" w:hAnsiTheme="minorHAnsi" w:cstheme="minorBidi"/>
        </w:rPr>
        <w:t>’s website</w:t>
      </w:r>
      <w:r w:rsidR="00E4101C" w:rsidRPr="003C1AD5">
        <w:rPr>
          <w:rFonts w:asciiTheme="minorHAnsi" w:hAnsiTheme="minorHAnsi" w:cstheme="minorBidi"/>
        </w:rPr>
        <w:t xml:space="preserve"> redirected complainants within ADOSH’s jurisdiction to ADOSH’s website</w:t>
      </w:r>
      <w:r w:rsidR="000D6411">
        <w:rPr>
          <w:rFonts w:asciiTheme="minorHAnsi" w:hAnsiTheme="minorHAnsi" w:cstheme="minorBidi"/>
        </w:rPr>
        <w:t xml:space="preserve"> </w:t>
      </w:r>
      <w:r w:rsidR="00B864D6">
        <w:rPr>
          <w:rFonts w:asciiTheme="minorHAnsi" w:hAnsiTheme="minorHAnsi" w:cstheme="minorBidi"/>
        </w:rPr>
        <w:t>where they can submit an electronic complaint</w:t>
      </w:r>
      <w:r w:rsidR="00E4101C" w:rsidRPr="003C1AD5">
        <w:rPr>
          <w:rFonts w:asciiTheme="minorHAnsi" w:hAnsiTheme="minorHAnsi" w:cstheme="minorBidi"/>
        </w:rPr>
        <w:t xml:space="preserve">.  This </w:t>
      </w:r>
      <w:r w:rsidR="007020BC">
        <w:rPr>
          <w:rFonts w:asciiTheme="minorHAnsi" w:hAnsiTheme="minorHAnsi" w:cstheme="minorBidi"/>
        </w:rPr>
        <w:t>is projected to</w:t>
      </w:r>
      <w:r w:rsidR="00E4101C" w:rsidRPr="003C1AD5">
        <w:rPr>
          <w:rFonts w:asciiTheme="minorHAnsi" w:hAnsiTheme="minorHAnsi" w:cstheme="minorBidi"/>
        </w:rPr>
        <w:t xml:space="preserve"> help ADOSH’s </w:t>
      </w:r>
      <w:r w:rsidR="0063353E">
        <w:rPr>
          <w:rFonts w:asciiTheme="minorHAnsi" w:hAnsiTheme="minorHAnsi" w:cstheme="minorBidi"/>
        </w:rPr>
        <w:t>compl</w:t>
      </w:r>
      <w:r w:rsidR="007F35DE">
        <w:rPr>
          <w:rFonts w:asciiTheme="minorHAnsi" w:hAnsiTheme="minorHAnsi" w:cstheme="minorBidi"/>
        </w:rPr>
        <w:t xml:space="preserve">aint </w:t>
      </w:r>
      <w:r w:rsidR="0063353E">
        <w:rPr>
          <w:rFonts w:asciiTheme="minorHAnsi" w:hAnsiTheme="minorHAnsi" w:cstheme="minorBidi"/>
        </w:rPr>
        <w:t xml:space="preserve">response </w:t>
      </w:r>
      <w:r w:rsidR="00E4101C" w:rsidRPr="003C1AD5">
        <w:rPr>
          <w:rFonts w:asciiTheme="minorHAnsi" w:hAnsiTheme="minorHAnsi" w:cstheme="minorBidi"/>
        </w:rPr>
        <w:t>timeliness in the next review period</w:t>
      </w:r>
      <w:r w:rsidR="00DA2514">
        <w:rPr>
          <w:rFonts w:asciiTheme="minorHAnsi" w:hAnsiTheme="minorHAnsi" w:cstheme="minorBidi"/>
        </w:rPr>
        <w:t>.</w:t>
      </w:r>
      <w:r w:rsidR="00796A79">
        <w:rPr>
          <w:rFonts w:asciiTheme="minorHAnsi" w:hAnsiTheme="minorHAnsi" w:cstheme="minorBidi"/>
        </w:rPr>
        <w:t xml:space="preserve"> </w:t>
      </w:r>
      <w:r w:rsidR="005636B9">
        <w:rPr>
          <w:rFonts w:asciiTheme="minorHAnsi" w:hAnsiTheme="minorHAnsi" w:cstheme="minorBidi"/>
        </w:rPr>
        <w:t xml:space="preserve"> </w:t>
      </w:r>
      <w:r w:rsidR="00796A79">
        <w:rPr>
          <w:rFonts w:asciiTheme="minorHAnsi" w:hAnsiTheme="minorHAnsi" w:cstheme="minorBidi"/>
        </w:rPr>
        <w:t>As a result</w:t>
      </w:r>
      <w:r w:rsidR="005636B9">
        <w:rPr>
          <w:rFonts w:asciiTheme="minorHAnsi" w:hAnsiTheme="minorHAnsi" w:cstheme="minorBidi"/>
        </w:rPr>
        <w:t xml:space="preserve">, the </w:t>
      </w:r>
      <w:r w:rsidR="005C27E8">
        <w:rPr>
          <w:rFonts w:asciiTheme="minorHAnsi" w:hAnsiTheme="minorHAnsi" w:cstheme="minorBidi"/>
        </w:rPr>
        <w:t>average number of work days to initiate serious complaint inspections (SAMM 1a) was 41.25.  For other-than-serious complaint inspections (SAMM 1b), ADOSH initiated within an average of 55.21 work days</w:t>
      </w:r>
      <w:r w:rsidR="005203E2">
        <w:rPr>
          <w:rFonts w:asciiTheme="minorHAnsi" w:hAnsiTheme="minorHAnsi" w:cstheme="minorBidi"/>
        </w:rPr>
        <w:t xml:space="preserve">, which were both above the FRLs of </w:t>
      </w:r>
      <w:r w:rsidR="00B92449">
        <w:rPr>
          <w:rFonts w:asciiTheme="minorHAnsi" w:hAnsiTheme="minorHAnsi" w:cstheme="minorBidi"/>
        </w:rPr>
        <w:t xml:space="preserve">14 and 30 working days respectively. </w:t>
      </w:r>
    </w:p>
    <w:p w14:paraId="78E305D7" w14:textId="77777777" w:rsidR="005C27E8" w:rsidRDefault="005C27E8" w:rsidP="005C27E8">
      <w:pPr>
        <w:rPr>
          <w:rFonts w:asciiTheme="minorHAnsi" w:hAnsiTheme="minorHAnsi" w:cstheme="minorBidi"/>
        </w:rPr>
      </w:pPr>
    </w:p>
    <w:p w14:paraId="06698634" w14:textId="54E69CBF" w:rsidR="001627E4" w:rsidRPr="00624E61" w:rsidRDefault="001627E4" w:rsidP="001627E4">
      <w:pPr>
        <w:rPr>
          <w:rFonts w:asciiTheme="minorHAnsi" w:hAnsiTheme="minorHAnsi" w:cstheme="minorBidi"/>
        </w:rPr>
      </w:pPr>
      <w:r w:rsidRPr="00624E61">
        <w:rPr>
          <w:rFonts w:asciiTheme="minorHAnsi" w:hAnsiTheme="minorHAnsi" w:cstheme="minorBidi"/>
          <w:b/>
          <w:bCs/>
        </w:rPr>
        <w:t>Finding FY 2025-</w:t>
      </w:r>
      <w:r w:rsidR="00944F55" w:rsidRPr="00624E61">
        <w:rPr>
          <w:rFonts w:asciiTheme="minorHAnsi" w:hAnsiTheme="minorHAnsi" w:cstheme="minorBidi"/>
          <w:b/>
          <w:bCs/>
        </w:rPr>
        <w:t>01</w:t>
      </w:r>
      <w:r w:rsidRPr="00624E61">
        <w:rPr>
          <w:rFonts w:asciiTheme="minorHAnsi" w:hAnsiTheme="minorHAnsi" w:cstheme="minorBidi"/>
          <w:b/>
          <w:bCs/>
        </w:rPr>
        <w:t>:</w:t>
      </w:r>
      <w:r w:rsidRPr="00624E61">
        <w:rPr>
          <w:rFonts w:asciiTheme="minorHAnsi" w:hAnsiTheme="minorHAnsi" w:cstheme="minorBidi"/>
        </w:rPr>
        <w:t xml:space="preserve"> ADOSH’s average number of work days to initiate serious complaint inspections was 41.25 (SAMM 1a), which w</w:t>
      </w:r>
      <w:r w:rsidR="00F63383" w:rsidRPr="00624E61">
        <w:rPr>
          <w:rFonts w:asciiTheme="minorHAnsi" w:hAnsiTheme="minorHAnsi" w:cstheme="minorBidi"/>
        </w:rPr>
        <w:t>as</w:t>
      </w:r>
      <w:r w:rsidRPr="00624E61">
        <w:rPr>
          <w:rFonts w:asciiTheme="minorHAnsi" w:hAnsiTheme="minorHAnsi" w:cstheme="minorBidi"/>
        </w:rPr>
        <w:t xml:space="preserve"> above the negotiated goal of 14</w:t>
      </w:r>
      <w:r w:rsidR="00F63383" w:rsidRPr="00624E61">
        <w:rPr>
          <w:rFonts w:asciiTheme="minorHAnsi" w:hAnsiTheme="minorHAnsi" w:cstheme="minorBidi"/>
        </w:rPr>
        <w:t xml:space="preserve">. </w:t>
      </w:r>
    </w:p>
    <w:p w14:paraId="194E3FC7" w14:textId="77777777" w:rsidR="001627E4" w:rsidRPr="00624E61" w:rsidRDefault="001627E4" w:rsidP="001627E4">
      <w:pPr>
        <w:rPr>
          <w:rFonts w:asciiTheme="minorHAnsi" w:hAnsiTheme="minorHAnsi" w:cstheme="minorBidi"/>
        </w:rPr>
      </w:pPr>
      <w:r w:rsidRPr="00624E61">
        <w:rPr>
          <w:rFonts w:asciiTheme="minorHAnsi" w:hAnsiTheme="minorHAnsi" w:cstheme="minorBidi"/>
        </w:rPr>
        <w:t xml:space="preserve"> </w:t>
      </w:r>
    </w:p>
    <w:p w14:paraId="69F16253" w14:textId="6AB38421" w:rsidR="001627E4" w:rsidRPr="00624E61" w:rsidRDefault="001627E4" w:rsidP="001627E4">
      <w:pPr>
        <w:rPr>
          <w:rFonts w:asciiTheme="minorHAnsi" w:hAnsiTheme="minorHAnsi" w:cstheme="minorBidi"/>
        </w:rPr>
      </w:pPr>
      <w:r w:rsidRPr="00624E61">
        <w:rPr>
          <w:rFonts w:asciiTheme="minorHAnsi" w:hAnsiTheme="minorHAnsi" w:cstheme="minorBidi"/>
          <w:b/>
        </w:rPr>
        <w:t>Recommendation FY 2025-</w:t>
      </w:r>
      <w:r w:rsidR="00944F55" w:rsidRPr="00624E61">
        <w:rPr>
          <w:rFonts w:asciiTheme="minorHAnsi" w:hAnsiTheme="minorHAnsi" w:cstheme="minorBidi"/>
          <w:b/>
        </w:rPr>
        <w:t>01</w:t>
      </w:r>
      <w:r w:rsidRPr="00624E61">
        <w:rPr>
          <w:rFonts w:asciiTheme="minorHAnsi" w:hAnsiTheme="minorHAnsi" w:cstheme="minorBidi"/>
          <w:b/>
        </w:rPr>
        <w:t xml:space="preserve">: </w:t>
      </w:r>
      <w:r w:rsidRPr="00624E61">
        <w:rPr>
          <w:rFonts w:asciiTheme="minorHAnsi" w:hAnsiTheme="minorHAnsi" w:cstheme="minorBidi"/>
        </w:rPr>
        <w:t>ADOSH should ensure serious complaint inspections are initiated within the negotiated goal of 14 work days</w:t>
      </w:r>
      <w:r w:rsidR="00F63383" w:rsidRPr="00624E61">
        <w:rPr>
          <w:rFonts w:asciiTheme="minorHAnsi" w:hAnsiTheme="minorHAnsi" w:cstheme="minorBidi"/>
        </w:rPr>
        <w:t xml:space="preserve">. </w:t>
      </w:r>
    </w:p>
    <w:p w14:paraId="4049340C" w14:textId="77777777" w:rsidR="001627E4" w:rsidRPr="00624E61" w:rsidRDefault="001627E4" w:rsidP="006B3B2B">
      <w:pPr>
        <w:rPr>
          <w:rFonts w:asciiTheme="minorHAnsi" w:hAnsiTheme="minorHAnsi" w:cstheme="minorBidi"/>
        </w:rPr>
      </w:pPr>
    </w:p>
    <w:p w14:paraId="37FCC511" w14:textId="4DC116B4" w:rsidR="00294AAC" w:rsidRPr="00624E61" w:rsidRDefault="00294AAC" w:rsidP="006B3B2B">
      <w:pPr>
        <w:rPr>
          <w:rFonts w:asciiTheme="minorHAnsi" w:hAnsiTheme="minorHAnsi" w:cstheme="minorBidi"/>
          <w:b/>
          <w:bCs/>
        </w:rPr>
      </w:pPr>
      <w:r w:rsidRPr="00624E61">
        <w:rPr>
          <w:rFonts w:asciiTheme="minorHAnsi" w:hAnsiTheme="minorHAnsi" w:cstheme="minorBidi"/>
          <w:b/>
          <w:bCs/>
        </w:rPr>
        <w:t>Finding FY 2025-</w:t>
      </w:r>
      <w:r w:rsidR="00944F55" w:rsidRPr="00624E61">
        <w:rPr>
          <w:rFonts w:asciiTheme="minorHAnsi" w:hAnsiTheme="minorHAnsi" w:cstheme="minorBidi"/>
          <w:b/>
          <w:bCs/>
        </w:rPr>
        <w:t>02</w:t>
      </w:r>
      <w:r w:rsidRPr="00624E61">
        <w:rPr>
          <w:rFonts w:asciiTheme="minorHAnsi" w:hAnsiTheme="minorHAnsi" w:cstheme="minorBidi"/>
          <w:b/>
          <w:bCs/>
        </w:rPr>
        <w:t xml:space="preserve">: </w:t>
      </w:r>
      <w:r w:rsidRPr="00624E61">
        <w:rPr>
          <w:rFonts w:asciiTheme="minorHAnsi" w:hAnsiTheme="minorHAnsi" w:cstheme="minorBidi"/>
        </w:rPr>
        <w:t xml:space="preserve">ADOSH’s average number of work days to initiate other-than-serious complaint inspections (SAMM 1b) was 55.21, which was above the negotiated goal of 30. </w:t>
      </w:r>
    </w:p>
    <w:p w14:paraId="1D19439E" w14:textId="77777777" w:rsidR="00294AAC" w:rsidRPr="00624E61" w:rsidRDefault="00294AAC" w:rsidP="006B3B2B">
      <w:pPr>
        <w:rPr>
          <w:rFonts w:asciiTheme="minorHAnsi" w:hAnsiTheme="minorHAnsi" w:cstheme="minorBidi"/>
          <w:b/>
          <w:bCs/>
        </w:rPr>
      </w:pPr>
    </w:p>
    <w:p w14:paraId="358A2FCB" w14:textId="347B8077" w:rsidR="00294AAC" w:rsidRPr="00624E61" w:rsidRDefault="00294AAC" w:rsidP="00294AAC">
      <w:pPr>
        <w:rPr>
          <w:rFonts w:asciiTheme="minorHAnsi" w:hAnsiTheme="minorHAnsi" w:cstheme="minorBidi"/>
        </w:rPr>
      </w:pPr>
      <w:r w:rsidRPr="00624E61">
        <w:rPr>
          <w:rFonts w:asciiTheme="minorHAnsi" w:hAnsiTheme="minorHAnsi" w:cstheme="minorBidi"/>
          <w:b/>
        </w:rPr>
        <w:t>Recommendation FY 2025-</w:t>
      </w:r>
      <w:r w:rsidR="00944F55" w:rsidRPr="00624E61">
        <w:rPr>
          <w:rFonts w:asciiTheme="minorHAnsi" w:hAnsiTheme="minorHAnsi" w:cstheme="minorBidi"/>
          <w:b/>
        </w:rPr>
        <w:t>02</w:t>
      </w:r>
      <w:r w:rsidRPr="00624E61">
        <w:rPr>
          <w:rFonts w:asciiTheme="minorHAnsi" w:hAnsiTheme="minorHAnsi" w:cstheme="minorBidi"/>
          <w:b/>
        </w:rPr>
        <w:t xml:space="preserve">: </w:t>
      </w:r>
      <w:r w:rsidRPr="00624E61">
        <w:rPr>
          <w:rFonts w:asciiTheme="minorHAnsi" w:hAnsiTheme="minorHAnsi" w:cstheme="minorBidi"/>
        </w:rPr>
        <w:t xml:space="preserve">ADOSH should ensure other-than-serious complaint inspections </w:t>
      </w:r>
      <w:r w:rsidR="00F63383" w:rsidRPr="00624E61">
        <w:rPr>
          <w:rFonts w:asciiTheme="minorHAnsi" w:hAnsiTheme="minorHAnsi" w:cstheme="minorBidi"/>
        </w:rPr>
        <w:t>are</w:t>
      </w:r>
      <w:r w:rsidRPr="00624E61">
        <w:rPr>
          <w:rFonts w:asciiTheme="minorHAnsi" w:hAnsiTheme="minorHAnsi" w:cstheme="minorBidi"/>
        </w:rPr>
        <w:t xml:space="preserve"> initiated within the negotiated goal of 30 work days. </w:t>
      </w:r>
    </w:p>
    <w:p w14:paraId="44ABBD67" w14:textId="77777777" w:rsidR="00294AAC" w:rsidRDefault="00294AAC" w:rsidP="006B3B2B">
      <w:pPr>
        <w:rPr>
          <w:rFonts w:asciiTheme="minorHAnsi" w:hAnsiTheme="minorHAnsi" w:cstheme="minorBidi"/>
        </w:rPr>
      </w:pPr>
    </w:p>
    <w:p w14:paraId="4C3805B7" w14:textId="4F18D6AF" w:rsidR="001627E4" w:rsidRDefault="000D3416" w:rsidP="001627E4">
      <w:pPr>
        <w:rPr>
          <w:rFonts w:asciiTheme="minorHAnsi" w:hAnsiTheme="minorHAnsi" w:cstheme="minorBidi"/>
        </w:rPr>
      </w:pPr>
      <w:r>
        <w:rPr>
          <w:rFonts w:asciiTheme="minorHAnsi" w:hAnsiTheme="minorHAnsi" w:cstheme="minorBidi"/>
        </w:rPr>
        <w:t xml:space="preserve">ADOSH also </w:t>
      </w:r>
      <w:r w:rsidR="004F6455">
        <w:rPr>
          <w:rFonts w:asciiTheme="minorHAnsi" w:hAnsiTheme="minorHAnsi" w:cstheme="minorBidi"/>
        </w:rPr>
        <w:t>re</w:t>
      </w:r>
      <w:r>
        <w:rPr>
          <w:rFonts w:asciiTheme="minorHAnsi" w:hAnsiTheme="minorHAnsi" w:cstheme="minorBidi"/>
        </w:rPr>
        <w:t>negotiated</w:t>
      </w:r>
      <w:r w:rsidR="004F6455">
        <w:rPr>
          <w:rFonts w:asciiTheme="minorHAnsi" w:hAnsiTheme="minorHAnsi" w:cstheme="minorBidi"/>
        </w:rPr>
        <w:t xml:space="preserve"> their goal </w:t>
      </w:r>
      <w:proofErr w:type="gramStart"/>
      <w:r w:rsidR="004F6455">
        <w:rPr>
          <w:rFonts w:asciiTheme="minorHAnsi" w:hAnsiTheme="minorHAnsi" w:cstheme="minorBidi"/>
        </w:rPr>
        <w:t>for</w:t>
      </w:r>
      <w:proofErr w:type="gramEnd"/>
      <w:r>
        <w:rPr>
          <w:rFonts w:asciiTheme="minorHAnsi" w:hAnsiTheme="minorHAnsi" w:cstheme="minorBidi"/>
        </w:rPr>
        <w:t xml:space="preserve"> </w:t>
      </w:r>
      <w:r w:rsidR="00C964AF">
        <w:rPr>
          <w:rFonts w:asciiTheme="minorHAnsi" w:hAnsiTheme="minorHAnsi" w:cstheme="minorBidi"/>
        </w:rPr>
        <w:t>initiat</w:t>
      </w:r>
      <w:r>
        <w:rPr>
          <w:rFonts w:asciiTheme="minorHAnsi" w:hAnsiTheme="minorHAnsi" w:cstheme="minorBidi"/>
        </w:rPr>
        <w:t>ing complaint</w:t>
      </w:r>
      <w:r w:rsidR="00C964AF">
        <w:rPr>
          <w:rFonts w:asciiTheme="minorHAnsi" w:hAnsiTheme="minorHAnsi" w:cstheme="minorBidi"/>
        </w:rPr>
        <w:t xml:space="preserve"> investigations within five days for serious and 10 days for other-than-serious complaints.  </w:t>
      </w:r>
      <w:r w:rsidR="001627E4">
        <w:rPr>
          <w:rFonts w:asciiTheme="minorHAnsi" w:hAnsiTheme="minorHAnsi" w:cstheme="minorBidi"/>
        </w:rPr>
        <w:t xml:space="preserve">ADOSH’s average number of work days to initiate serious complaint investigations (SAMM 2a) was 115.88.  The response time to initiate other-than-serious complaint investigations was 118.97.  </w:t>
      </w:r>
    </w:p>
    <w:p w14:paraId="5791B2D5" w14:textId="77777777" w:rsidR="001627E4" w:rsidRDefault="001627E4" w:rsidP="006B3B2B">
      <w:pPr>
        <w:rPr>
          <w:rFonts w:asciiTheme="minorHAnsi" w:hAnsiTheme="minorHAnsi" w:cstheme="minorBidi"/>
        </w:rPr>
      </w:pPr>
    </w:p>
    <w:p w14:paraId="53E5FE9B" w14:textId="45B5B1C4" w:rsidR="00F53B8E" w:rsidRDefault="00F05EEE" w:rsidP="006B3B2B">
      <w:pPr>
        <w:rPr>
          <w:rFonts w:asciiTheme="minorHAnsi" w:hAnsiTheme="minorHAnsi" w:cstheme="minorBidi"/>
        </w:rPr>
      </w:pPr>
      <w:r>
        <w:rPr>
          <w:rFonts w:asciiTheme="minorHAnsi" w:hAnsiTheme="minorHAnsi" w:cstheme="minorBidi"/>
        </w:rPr>
        <w:t>Similarly</w:t>
      </w:r>
      <w:r w:rsidR="006B644B">
        <w:rPr>
          <w:rFonts w:asciiTheme="minorHAnsi" w:hAnsiTheme="minorHAnsi" w:cstheme="minorBidi"/>
        </w:rPr>
        <w:t xml:space="preserve">, </w:t>
      </w:r>
      <w:r w:rsidR="00942555">
        <w:rPr>
          <w:rFonts w:asciiTheme="minorHAnsi" w:hAnsiTheme="minorHAnsi" w:cstheme="minorBidi"/>
        </w:rPr>
        <w:t>ADOSH</w:t>
      </w:r>
      <w:r w:rsidR="00585807">
        <w:rPr>
          <w:rFonts w:asciiTheme="minorHAnsi" w:hAnsiTheme="minorHAnsi" w:cstheme="minorBidi"/>
        </w:rPr>
        <w:t>’s number of workdays to in</w:t>
      </w:r>
      <w:r w:rsidR="009E0243">
        <w:rPr>
          <w:rFonts w:asciiTheme="minorHAnsi" w:hAnsiTheme="minorHAnsi" w:cstheme="minorBidi"/>
        </w:rPr>
        <w:t>i</w:t>
      </w:r>
      <w:r w:rsidR="00585807">
        <w:rPr>
          <w:rFonts w:asciiTheme="minorHAnsi" w:hAnsiTheme="minorHAnsi" w:cstheme="minorBidi"/>
        </w:rPr>
        <w:t xml:space="preserve">tiate complaint investigations within negotiated timelines </w:t>
      </w:r>
      <w:r w:rsidR="008C43E2">
        <w:rPr>
          <w:rFonts w:asciiTheme="minorHAnsi" w:hAnsiTheme="minorHAnsi" w:cstheme="minorBidi"/>
        </w:rPr>
        <w:t xml:space="preserve">consequently has increased </w:t>
      </w:r>
      <w:r w:rsidR="002A240F">
        <w:rPr>
          <w:rFonts w:asciiTheme="minorHAnsi" w:hAnsiTheme="minorHAnsi" w:cstheme="minorBidi"/>
        </w:rPr>
        <w:t xml:space="preserve">due to </w:t>
      </w:r>
      <w:r w:rsidR="00585807">
        <w:rPr>
          <w:rFonts w:asciiTheme="minorHAnsi" w:hAnsiTheme="minorHAnsi" w:cstheme="minorBidi"/>
        </w:rPr>
        <w:t xml:space="preserve">the </w:t>
      </w:r>
      <w:r w:rsidR="00AA0745">
        <w:rPr>
          <w:rFonts w:asciiTheme="minorHAnsi" w:hAnsiTheme="minorHAnsi" w:cstheme="minorBidi"/>
        </w:rPr>
        <w:t>volume o</w:t>
      </w:r>
      <w:r w:rsidR="0075322C">
        <w:rPr>
          <w:rFonts w:asciiTheme="minorHAnsi" w:hAnsiTheme="minorHAnsi" w:cstheme="minorBidi"/>
        </w:rPr>
        <w:t xml:space="preserve">f unprocessed complaints in the backlog from the 2023 Special Study </w:t>
      </w:r>
      <w:r w:rsidR="0086240E">
        <w:rPr>
          <w:rFonts w:asciiTheme="minorHAnsi" w:hAnsiTheme="minorHAnsi" w:cstheme="minorBidi"/>
        </w:rPr>
        <w:t xml:space="preserve">combined with </w:t>
      </w:r>
      <w:r w:rsidR="007C7B10">
        <w:rPr>
          <w:rFonts w:asciiTheme="minorHAnsi" w:hAnsiTheme="minorHAnsi" w:cstheme="minorBidi"/>
        </w:rPr>
        <w:t>new complaints that have been received.</w:t>
      </w:r>
    </w:p>
    <w:p w14:paraId="6CAACC7F" w14:textId="77777777" w:rsidR="00AE0B06" w:rsidRDefault="00AE0B06" w:rsidP="006B3B2B">
      <w:pPr>
        <w:rPr>
          <w:rFonts w:asciiTheme="minorHAnsi" w:hAnsiTheme="minorHAnsi" w:cstheme="minorBidi"/>
        </w:rPr>
      </w:pPr>
    </w:p>
    <w:p w14:paraId="01BAD17D" w14:textId="6EF474CD" w:rsidR="00A33317" w:rsidRDefault="00EE2BFC" w:rsidP="006B3B2B">
      <w:pPr>
        <w:rPr>
          <w:rFonts w:asciiTheme="minorHAnsi" w:hAnsiTheme="minorHAnsi" w:cstheme="minorBidi"/>
        </w:rPr>
      </w:pPr>
      <w:r w:rsidRPr="00D422B2">
        <w:rPr>
          <w:rFonts w:asciiTheme="minorHAnsi" w:hAnsiTheme="minorHAnsi" w:cstheme="minorBidi"/>
        </w:rPr>
        <w:t xml:space="preserve">OSHA reviewed 58 </w:t>
      </w:r>
      <w:r w:rsidR="00D944F3" w:rsidRPr="00D422B2">
        <w:rPr>
          <w:rFonts w:asciiTheme="minorHAnsi" w:hAnsiTheme="minorHAnsi" w:cstheme="minorBidi"/>
        </w:rPr>
        <w:t>complaint investigation</w:t>
      </w:r>
      <w:r w:rsidR="00E714DD">
        <w:rPr>
          <w:rFonts w:asciiTheme="minorHAnsi" w:hAnsiTheme="minorHAnsi" w:cstheme="minorBidi"/>
        </w:rPr>
        <w:t>s</w:t>
      </w:r>
      <w:r w:rsidR="00D422B2">
        <w:rPr>
          <w:rFonts w:asciiTheme="minorHAnsi" w:hAnsiTheme="minorHAnsi" w:cstheme="minorBidi"/>
        </w:rPr>
        <w:t xml:space="preserve"> </w:t>
      </w:r>
      <w:r w:rsidR="00AA0909" w:rsidRPr="00D422B2">
        <w:rPr>
          <w:rFonts w:asciiTheme="minorHAnsi" w:hAnsiTheme="minorHAnsi" w:cstheme="minorBidi"/>
        </w:rPr>
        <w:t>that did not result in an inspection</w:t>
      </w:r>
      <w:r w:rsidR="00E714DD">
        <w:rPr>
          <w:rFonts w:asciiTheme="minorHAnsi" w:hAnsiTheme="minorHAnsi" w:cstheme="minorBidi"/>
        </w:rPr>
        <w:t>.</w:t>
      </w:r>
      <w:r w:rsidR="00AA0909" w:rsidRPr="00D422B2">
        <w:rPr>
          <w:rFonts w:asciiTheme="minorHAnsi" w:hAnsiTheme="minorHAnsi" w:cstheme="minorBidi"/>
        </w:rPr>
        <w:t xml:space="preserve">  </w:t>
      </w:r>
      <w:r w:rsidR="00854C47" w:rsidRPr="00D422B2">
        <w:rPr>
          <w:rFonts w:asciiTheme="minorHAnsi" w:hAnsiTheme="minorHAnsi" w:cstheme="minorBidi"/>
        </w:rPr>
        <w:t xml:space="preserve">In 14 of the 58 </w:t>
      </w:r>
      <w:r w:rsidR="00854C47" w:rsidRPr="00D422B2">
        <w:rPr>
          <w:rFonts w:asciiTheme="minorHAnsi" w:hAnsiTheme="minorHAnsi" w:cstheme="minorBidi"/>
        </w:rPr>
        <w:lastRenderedPageBreak/>
        <w:t>(</w:t>
      </w:r>
      <w:r w:rsidR="00D944F3" w:rsidRPr="00D422B2">
        <w:rPr>
          <w:rFonts w:asciiTheme="minorHAnsi" w:hAnsiTheme="minorHAnsi" w:cstheme="minorBidi"/>
        </w:rPr>
        <w:t xml:space="preserve">24%) files, </w:t>
      </w:r>
      <w:r w:rsidR="004F1107">
        <w:rPr>
          <w:rFonts w:asciiTheme="minorHAnsi" w:hAnsiTheme="minorHAnsi" w:cstheme="minorBidi"/>
        </w:rPr>
        <w:t>ADOSH did not initiate the complaint with the</w:t>
      </w:r>
      <w:r w:rsidR="000C4034" w:rsidRPr="00D422B2">
        <w:rPr>
          <w:rFonts w:asciiTheme="minorHAnsi" w:hAnsiTheme="minorHAnsi" w:cstheme="minorBidi"/>
        </w:rPr>
        <w:t xml:space="preserve"> employer </w:t>
      </w:r>
      <w:r w:rsidR="001819F6">
        <w:rPr>
          <w:rFonts w:asciiTheme="minorHAnsi" w:hAnsiTheme="minorHAnsi" w:cstheme="minorBidi"/>
        </w:rPr>
        <w:t xml:space="preserve">timely </w:t>
      </w:r>
      <w:r w:rsidR="000C4034" w:rsidRPr="00D422B2">
        <w:rPr>
          <w:rFonts w:asciiTheme="minorHAnsi" w:hAnsiTheme="minorHAnsi" w:cstheme="minorBidi"/>
        </w:rPr>
        <w:t xml:space="preserve">after it was </w:t>
      </w:r>
      <w:r w:rsidR="004F1107">
        <w:rPr>
          <w:rFonts w:asciiTheme="minorHAnsi" w:hAnsiTheme="minorHAnsi" w:cstheme="minorBidi"/>
        </w:rPr>
        <w:t>received and validated</w:t>
      </w:r>
      <w:r w:rsidR="000C4034" w:rsidRPr="00D422B2">
        <w:rPr>
          <w:rFonts w:asciiTheme="minorHAnsi" w:hAnsiTheme="minorHAnsi" w:cstheme="minorBidi"/>
        </w:rPr>
        <w:t xml:space="preserve">.  This supports OSHA’s </w:t>
      </w:r>
      <w:r w:rsidR="004F1107">
        <w:rPr>
          <w:rFonts w:asciiTheme="minorHAnsi" w:hAnsiTheme="minorHAnsi" w:cstheme="minorBidi"/>
        </w:rPr>
        <w:t>concerns</w:t>
      </w:r>
      <w:r w:rsidR="000C4034" w:rsidRPr="00D422B2">
        <w:rPr>
          <w:rFonts w:asciiTheme="minorHAnsi" w:hAnsiTheme="minorHAnsi" w:cstheme="minorBidi"/>
        </w:rPr>
        <w:t xml:space="preserve"> from the 2023 Arizona Special Study and SAMM </w:t>
      </w:r>
      <w:r w:rsidR="00D422B2" w:rsidRPr="00D422B2">
        <w:rPr>
          <w:rFonts w:asciiTheme="minorHAnsi" w:hAnsiTheme="minorHAnsi" w:cstheme="minorBidi"/>
        </w:rPr>
        <w:t xml:space="preserve">2a and </w:t>
      </w:r>
      <w:r w:rsidR="001819F6">
        <w:rPr>
          <w:rFonts w:asciiTheme="minorHAnsi" w:hAnsiTheme="minorHAnsi" w:cstheme="minorBidi"/>
        </w:rPr>
        <w:t xml:space="preserve">SAMM </w:t>
      </w:r>
      <w:r w:rsidR="00D422B2" w:rsidRPr="00D422B2">
        <w:rPr>
          <w:rFonts w:asciiTheme="minorHAnsi" w:hAnsiTheme="minorHAnsi" w:cstheme="minorBidi"/>
        </w:rPr>
        <w:t xml:space="preserve">2b </w:t>
      </w:r>
      <w:r w:rsidR="004F1107">
        <w:rPr>
          <w:rFonts w:asciiTheme="minorHAnsi" w:hAnsiTheme="minorHAnsi" w:cstheme="minorBidi"/>
        </w:rPr>
        <w:t>data</w:t>
      </w:r>
      <w:r w:rsidR="00D422B2" w:rsidRPr="00D422B2">
        <w:rPr>
          <w:rFonts w:asciiTheme="minorHAnsi" w:hAnsiTheme="minorHAnsi" w:cstheme="minorBidi"/>
        </w:rPr>
        <w:t>.</w:t>
      </w:r>
      <w:r w:rsidR="00D422B2">
        <w:rPr>
          <w:rFonts w:asciiTheme="minorHAnsi" w:hAnsiTheme="minorHAnsi" w:cstheme="minorBidi"/>
        </w:rPr>
        <w:t xml:space="preserve">  </w:t>
      </w:r>
      <w:r w:rsidR="0007378F">
        <w:rPr>
          <w:rFonts w:asciiTheme="minorHAnsi" w:hAnsiTheme="minorHAnsi" w:cstheme="minorBidi"/>
        </w:rPr>
        <w:t xml:space="preserve">As </w:t>
      </w:r>
      <w:r w:rsidR="004322FA">
        <w:rPr>
          <w:rFonts w:asciiTheme="minorHAnsi" w:hAnsiTheme="minorHAnsi" w:cstheme="minorBidi"/>
        </w:rPr>
        <w:t xml:space="preserve">a result, ADOSH created an intake team that was dedicated to </w:t>
      </w:r>
      <w:r w:rsidR="000B2A2E">
        <w:rPr>
          <w:rFonts w:asciiTheme="minorHAnsi" w:hAnsiTheme="minorHAnsi" w:cstheme="minorBidi"/>
        </w:rPr>
        <w:t>addressing</w:t>
      </w:r>
      <w:r w:rsidR="004322FA">
        <w:rPr>
          <w:rFonts w:asciiTheme="minorHAnsi" w:hAnsiTheme="minorHAnsi" w:cstheme="minorBidi"/>
        </w:rPr>
        <w:t xml:space="preserve"> </w:t>
      </w:r>
      <w:r w:rsidR="000B2A2E">
        <w:rPr>
          <w:rFonts w:asciiTheme="minorHAnsi" w:hAnsiTheme="minorHAnsi" w:cstheme="minorBidi"/>
        </w:rPr>
        <w:t xml:space="preserve">complaints received.  </w:t>
      </w:r>
      <w:r w:rsidR="00D422B2">
        <w:rPr>
          <w:rFonts w:asciiTheme="minorHAnsi" w:hAnsiTheme="minorHAnsi" w:cstheme="minorBidi"/>
        </w:rPr>
        <w:t xml:space="preserve">ADOSH continues to communicate with OSHA on the status of </w:t>
      </w:r>
      <w:r w:rsidR="00AA7298">
        <w:rPr>
          <w:rFonts w:asciiTheme="minorHAnsi" w:hAnsiTheme="minorHAnsi" w:cstheme="minorBidi"/>
        </w:rPr>
        <w:t>their</w:t>
      </w:r>
      <w:r w:rsidR="00D422B2">
        <w:rPr>
          <w:rFonts w:asciiTheme="minorHAnsi" w:hAnsiTheme="minorHAnsi" w:cstheme="minorBidi"/>
        </w:rPr>
        <w:t xml:space="preserve"> progress, and it will continue to be monitored into the next review period.  </w:t>
      </w:r>
    </w:p>
    <w:p w14:paraId="58A39139" w14:textId="77777777" w:rsidR="00A33317" w:rsidRDefault="00A33317" w:rsidP="006B3B2B">
      <w:pPr>
        <w:rPr>
          <w:rFonts w:asciiTheme="minorHAnsi" w:hAnsiTheme="minorHAnsi" w:cstheme="minorBidi"/>
        </w:rPr>
      </w:pPr>
    </w:p>
    <w:p w14:paraId="06C18B0C" w14:textId="69877819" w:rsidR="00D422B2" w:rsidRPr="00624E61" w:rsidRDefault="00D422B2" w:rsidP="00D422B2">
      <w:pPr>
        <w:rPr>
          <w:rFonts w:asciiTheme="minorHAnsi" w:hAnsiTheme="minorHAnsi" w:cstheme="minorHAnsi"/>
        </w:rPr>
      </w:pPr>
      <w:r w:rsidRPr="00624E61">
        <w:rPr>
          <w:rFonts w:asciiTheme="minorHAnsi" w:hAnsiTheme="minorHAnsi" w:cstheme="minorHAnsi"/>
          <w:b/>
          <w:bCs/>
        </w:rPr>
        <w:t>Finding FY 2025-</w:t>
      </w:r>
      <w:r w:rsidR="00944F55" w:rsidRPr="00624E61">
        <w:rPr>
          <w:rFonts w:asciiTheme="minorHAnsi" w:hAnsiTheme="minorHAnsi" w:cstheme="minorHAnsi"/>
          <w:b/>
          <w:bCs/>
        </w:rPr>
        <w:t>03</w:t>
      </w:r>
      <w:r w:rsidRPr="00624E61">
        <w:rPr>
          <w:rFonts w:asciiTheme="minorHAnsi" w:hAnsiTheme="minorHAnsi" w:cstheme="minorHAnsi"/>
          <w:b/>
          <w:bCs/>
        </w:rPr>
        <w:t>:</w:t>
      </w:r>
      <w:r w:rsidRPr="00624E61">
        <w:rPr>
          <w:rFonts w:asciiTheme="minorHAnsi" w:hAnsiTheme="minorHAnsi" w:cstheme="minorHAnsi"/>
        </w:rPr>
        <w:t xml:space="preserve"> ADOSH’s average number of work days to initiate serious complaint investigations (SAMM 2a) was 115.88, which w</w:t>
      </w:r>
      <w:r w:rsidR="00453AFA" w:rsidRPr="00624E61">
        <w:rPr>
          <w:rFonts w:asciiTheme="minorHAnsi" w:hAnsiTheme="minorHAnsi" w:cstheme="minorHAnsi"/>
        </w:rPr>
        <w:t>as</w:t>
      </w:r>
      <w:r w:rsidRPr="00624E61">
        <w:rPr>
          <w:rFonts w:asciiTheme="minorHAnsi" w:hAnsiTheme="minorHAnsi" w:cstheme="minorHAnsi"/>
        </w:rPr>
        <w:t xml:space="preserve"> above the negotiated goal of five</w:t>
      </w:r>
      <w:r w:rsidR="00453AFA" w:rsidRPr="00624E61">
        <w:rPr>
          <w:rFonts w:asciiTheme="minorHAnsi" w:hAnsiTheme="minorHAnsi" w:cstheme="minorHAnsi"/>
        </w:rPr>
        <w:t>.</w:t>
      </w:r>
      <w:r w:rsidRPr="00624E61">
        <w:rPr>
          <w:rFonts w:asciiTheme="minorHAnsi" w:hAnsiTheme="minorHAnsi" w:cstheme="minorHAnsi"/>
        </w:rPr>
        <w:t xml:space="preserve"> </w:t>
      </w:r>
    </w:p>
    <w:p w14:paraId="2B3E76F6" w14:textId="77777777" w:rsidR="001819F6" w:rsidRPr="00624E61" w:rsidRDefault="001819F6" w:rsidP="00D422B2">
      <w:pPr>
        <w:rPr>
          <w:rFonts w:asciiTheme="minorHAnsi" w:hAnsiTheme="minorHAnsi" w:cstheme="minorHAnsi"/>
        </w:rPr>
      </w:pPr>
    </w:p>
    <w:p w14:paraId="7A57F693" w14:textId="48D3AA43" w:rsidR="00D422B2" w:rsidRPr="00624E61" w:rsidRDefault="00D422B2" w:rsidP="00D422B2">
      <w:pPr>
        <w:rPr>
          <w:rFonts w:asciiTheme="minorHAnsi" w:hAnsiTheme="minorHAnsi" w:cstheme="minorBidi"/>
        </w:rPr>
      </w:pPr>
      <w:r w:rsidRPr="00624E61">
        <w:rPr>
          <w:rFonts w:asciiTheme="minorHAnsi" w:hAnsiTheme="minorHAnsi" w:cstheme="minorBidi"/>
          <w:b/>
          <w:bCs/>
        </w:rPr>
        <w:t>Recommendation FY 2025-</w:t>
      </w:r>
      <w:r w:rsidR="00944F55" w:rsidRPr="00624E61">
        <w:rPr>
          <w:rFonts w:asciiTheme="minorHAnsi" w:hAnsiTheme="minorHAnsi" w:cstheme="minorBidi"/>
          <w:b/>
          <w:bCs/>
        </w:rPr>
        <w:t>03</w:t>
      </w:r>
      <w:r w:rsidRPr="00624E61">
        <w:rPr>
          <w:rFonts w:asciiTheme="minorHAnsi" w:hAnsiTheme="minorHAnsi" w:cstheme="minorBidi"/>
          <w:b/>
          <w:bCs/>
        </w:rPr>
        <w:t xml:space="preserve">: </w:t>
      </w:r>
      <w:r w:rsidRPr="00624E61">
        <w:rPr>
          <w:rFonts w:asciiTheme="minorHAnsi" w:hAnsiTheme="minorHAnsi" w:cstheme="minorBidi"/>
        </w:rPr>
        <w:t xml:space="preserve">ADOSH should ensure serious complaint investigations are initiated within the negotiated goal of five work days.  </w:t>
      </w:r>
    </w:p>
    <w:p w14:paraId="287DF66E" w14:textId="77777777" w:rsidR="00A33317" w:rsidRPr="00624E61" w:rsidRDefault="00A33317" w:rsidP="006B3B2B">
      <w:pPr>
        <w:rPr>
          <w:rFonts w:asciiTheme="minorHAnsi" w:hAnsiTheme="minorHAnsi" w:cstheme="minorBidi"/>
        </w:rPr>
      </w:pPr>
    </w:p>
    <w:p w14:paraId="2C7CC0F4" w14:textId="6DD447B9" w:rsidR="001819F6" w:rsidRPr="00624E61" w:rsidRDefault="001819F6" w:rsidP="001819F6">
      <w:pPr>
        <w:rPr>
          <w:rFonts w:asciiTheme="minorHAnsi" w:hAnsiTheme="minorHAnsi" w:cstheme="minorHAnsi"/>
        </w:rPr>
      </w:pPr>
      <w:r w:rsidRPr="00624E61">
        <w:rPr>
          <w:rFonts w:asciiTheme="minorHAnsi" w:hAnsiTheme="minorHAnsi" w:cstheme="minorHAnsi"/>
          <w:b/>
          <w:bCs/>
        </w:rPr>
        <w:t>Finding FY 2025-</w:t>
      </w:r>
      <w:r w:rsidR="00944F55" w:rsidRPr="00624E61">
        <w:rPr>
          <w:rFonts w:asciiTheme="minorHAnsi" w:hAnsiTheme="minorHAnsi" w:cstheme="minorHAnsi"/>
          <w:b/>
          <w:bCs/>
        </w:rPr>
        <w:t>04</w:t>
      </w:r>
      <w:r w:rsidRPr="00624E61">
        <w:rPr>
          <w:rFonts w:asciiTheme="minorHAnsi" w:hAnsiTheme="minorHAnsi" w:cstheme="minorHAnsi"/>
          <w:b/>
          <w:bCs/>
        </w:rPr>
        <w:t>:</w:t>
      </w:r>
      <w:r w:rsidRPr="00624E61">
        <w:rPr>
          <w:rFonts w:asciiTheme="minorHAnsi" w:hAnsiTheme="minorHAnsi" w:cstheme="minorHAnsi"/>
        </w:rPr>
        <w:t xml:space="preserve"> ADOSH’s average number of work days to initiate other-than-serious complaint investigations (SAMM 2b) was 118.97, which </w:t>
      </w:r>
      <w:r w:rsidR="00ED508B">
        <w:rPr>
          <w:rFonts w:asciiTheme="minorHAnsi" w:hAnsiTheme="minorHAnsi" w:cstheme="minorHAnsi"/>
        </w:rPr>
        <w:t>was</w:t>
      </w:r>
      <w:r w:rsidRPr="00624E61">
        <w:rPr>
          <w:rFonts w:asciiTheme="minorHAnsi" w:hAnsiTheme="minorHAnsi" w:cstheme="minorHAnsi"/>
        </w:rPr>
        <w:t xml:space="preserve"> above the negotiated goal of 10. </w:t>
      </w:r>
    </w:p>
    <w:p w14:paraId="49031700" w14:textId="77777777" w:rsidR="001819F6" w:rsidRPr="00624E61" w:rsidRDefault="001819F6" w:rsidP="001819F6">
      <w:pPr>
        <w:rPr>
          <w:rFonts w:asciiTheme="minorHAnsi" w:hAnsiTheme="minorHAnsi" w:cstheme="minorHAnsi"/>
        </w:rPr>
      </w:pPr>
    </w:p>
    <w:p w14:paraId="1B6B7CEF" w14:textId="34B30F6C" w:rsidR="001819F6" w:rsidRPr="00624E61" w:rsidRDefault="001819F6" w:rsidP="001819F6">
      <w:pPr>
        <w:rPr>
          <w:rFonts w:asciiTheme="minorHAnsi" w:hAnsiTheme="minorHAnsi" w:cstheme="minorBidi"/>
        </w:rPr>
      </w:pPr>
      <w:r w:rsidRPr="00624E61">
        <w:rPr>
          <w:rFonts w:asciiTheme="minorHAnsi" w:hAnsiTheme="minorHAnsi" w:cstheme="minorBidi"/>
          <w:b/>
          <w:bCs/>
        </w:rPr>
        <w:t>Recommendation FY 2025-</w:t>
      </w:r>
      <w:r w:rsidR="00944F55" w:rsidRPr="00624E61">
        <w:rPr>
          <w:rFonts w:asciiTheme="minorHAnsi" w:hAnsiTheme="minorHAnsi" w:cstheme="minorBidi"/>
          <w:b/>
          <w:bCs/>
        </w:rPr>
        <w:t>04</w:t>
      </w:r>
      <w:r w:rsidRPr="00624E61">
        <w:rPr>
          <w:rFonts w:asciiTheme="minorHAnsi" w:hAnsiTheme="minorHAnsi" w:cstheme="minorBidi"/>
          <w:b/>
          <w:bCs/>
        </w:rPr>
        <w:t xml:space="preserve">: </w:t>
      </w:r>
      <w:r w:rsidRPr="00624E61">
        <w:rPr>
          <w:rFonts w:asciiTheme="minorHAnsi" w:hAnsiTheme="minorHAnsi" w:cstheme="minorBidi"/>
        </w:rPr>
        <w:t>ADOSH should ensure other-than-serious complaint investigations should be initiated within the negotiated goal of 10 work days.</w:t>
      </w:r>
    </w:p>
    <w:p w14:paraId="713229DC" w14:textId="77777777" w:rsidR="001819F6" w:rsidRDefault="001819F6" w:rsidP="006B3B2B">
      <w:pPr>
        <w:rPr>
          <w:rFonts w:asciiTheme="minorHAnsi" w:hAnsiTheme="minorHAnsi" w:cstheme="minorBidi"/>
        </w:rPr>
      </w:pPr>
    </w:p>
    <w:p w14:paraId="6CBDCC2B" w14:textId="16EA416C" w:rsidR="00DA0886" w:rsidRDefault="00BA35CC" w:rsidP="006B3B2B">
      <w:pPr>
        <w:rPr>
          <w:rFonts w:asciiTheme="minorHAnsi" w:hAnsiTheme="minorHAnsi" w:cstheme="minorBidi"/>
        </w:rPr>
      </w:pPr>
      <w:r w:rsidRPr="5B7EFB0F">
        <w:rPr>
          <w:rFonts w:asciiTheme="minorHAnsi" w:hAnsiTheme="minorHAnsi" w:cstheme="minorBidi"/>
        </w:rPr>
        <w:t>T</w:t>
      </w:r>
      <w:r w:rsidR="00D92C6C" w:rsidRPr="5B7EFB0F">
        <w:rPr>
          <w:rFonts w:asciiTheme="minorHAnsi" w:hAnsiTheme="minorHAnsi" w:cstheme="minorBidi"/>
        </w:rPr>
        <w:t xml:space="preserve">here were </w:t>
      </w:r>
      <w:r w:rsidR="00D92C6C" w:rsidRPr="0057525B">
        <w:rPr>
          <w:rFonts w:asciiTheme="minorHAnsi" w:hAnsiTheme="minorHAnsi" w:cstheme="minorBidi"/>
        </w:rPr>
        <w:t>no</w:t>
      </w:r>
      <w:r w:rsidR="00D92C6C" w:rsidRPr="5B7EFB0F">
        <w:rPr>
          <w:rFonts w:asciiTheme="minorHAnsi" w:hAnsiTheme="minorHAnsi" w:cstheme="minorBidi"/>
        </w:rPr>
        <w:t xml:space="preserve"> </w:t>
      </w:r>
      <w:r w:rsidR="00B91F2A">
        <w:rPr>
          <w:rFonts w:asciiTheme="minorHAnsi" w:hAnsiTheme="minorHAnsi" w:cstheme="minorBidi"/>
        </w:rPr>
        <w:t xml:space="preserve">imminent danger </w:t>
      </w:r>
      <w:r w:rsidR="00DA0886" w:rsidRPr="5B7EFB0F">
        <w:rPr>
          <w:rFonts w:asciiTheme="minorHAnsi" w:hAnsiTheme="minorHAnsi" w:cstheme="minorBidi"/>
        </w:rPr>
        <w:t>complaints</w:t>
      </w:r>
      <w:r w:rsidR="00D92C6C" w:rsidRPr="5B7EFB0F">
        <w:rPr>
          <w:rFonts w:asciiTheme="minorHAnsi" w:hAnsiTheme="minorHAnsi" w:cstheme="minorBidi"/>
        </w:rPr>
        <w:t xml:space="preserve"> or referrals </w:t>
      </w:r>
      <w:r w:rsidR="00DA0886" w:rsidRPr="5B7EFB0F">
        <w:rPr>
          <w:rFonts w:asciiTheme="minorHAnsi" w:hAnsiTheme="minorHAnsi" w:cstheme="minorBidi"/>
        </w:rPr>
        <w:t>(SAMM 3)</w:t>
      </w:r>
      <w:r w:rsidR="0057525B">
        <w:rPr>
          <w:rFonts w:asciiTheme="minorHAnsi" w:hAnsiTheme="minorHAnsi" w:cstheme="minorBidi"/>
        </w:rPr>
        <w:t xml:space="preserve"> during the review period</w:t>
      </w:r>
      <w:r w:rsidR="00DA0886" w:rsidRPr="5B7EFB0F">
        <w:rPr>
          <w:rFonts w:asciiTheme="minorHAnsi" w:hAnsiTheme="minorHAnsi" w:cstheme="minorBidi"/>
        </w:rPr>
        <w:t>.</w:t>
      </w:r>
      <w:r w:rsidR="00382EF2" w:rsidRPr="5B7EFB0F">
        <w:rPr>
          <w:rFonts w:asciiTheme="minorHAnsi" w:hAnsiTheme="minorHAnsi" w:cstheme="minorBidi"/>
        </w:rPr>
        <w:t xml:space="preserve"> </w:t>
      </w:r>
      <w:r w:rsidR="00EB0884">
        <w:rPr>
          <w:rFonts w:asciiTheme="minorHAnsi" w:hAnsiTheme="minorHAnsi" w:cstheme="minorBidi"/>
        </w:rPr>
        <w:t xml:space="preserve"> </w:t>
      </w:r>
      <w:r w:rsidR="0057525B">
        <w:rPr>
          <w:rFonts w:asciiTheme="minorHAnsi" w:hAnsiTheme="minorHAnsi" w:cstheme="minorBidi"/>
        </w:rPr>
        <w:t xml:space="preserve">There </w:t>
      </w:r>
      <w:proofErr w:type="gramStart"/>
      <w:r w:rsidR="0057525B">
        <w:rPr>
          <w:rFonts w:asciiTheme="minorHAnsi" w:hAnsiTheme="minorHAnsi" w:cstheme="minorBidi"/>
        </w:rPr>
        <w:t>were</w:t>
      </w:r>
      <w:proofErr w:type="gramEnd"/>
      <w:r w:rsidR="0057525B">
        <w:rPr>
          <w:rFonts w:asciiTheme="minorHAnsi" w:hAnsiTheme="minorHAnsi" w:cstheme="minorBidi"/>
        </w:rPr>
        <w:t xml:space="preserve"> no </w:t>
      </w:r>
      <w:proofErr w:type="gramStart"/>
      <w:r w:rsidR="0057525B">
        <w:rPr>
          <w:rFonts w:asciiTheme="minorHAnsi" w:hAnsiTheme="minorHAnsi" w:cstheme="minorBidi"/>
        </w:rPr>
        <w:t>denial</w:t>
      </w:r>
      <w:proofErr w:type="gramEnd"/>
      <w:r w:rsidR="0057525B">
        <w:rPr>
          <w:rFonts w:asciiTheme="minorHAnsi" w:hAnsiTheme="minorHAnsi" w:cstheme="minorBidi"/>
        </w:rPr>
        <w:t xml:space="preserve"> of entries where </w:t>
      </w:r>
      <w:r w:rsidR="00CC07C7">
        <w:rPr>
          <w:rFonts w:asciiTheme="minorHAnsi" w:hAnsiTheme="minorHAnsi" w:cstheme="minorBidi"/>
        </w:rPr>
        <w:t xml:space="preserve">the entry was not obtained </w:t>
      </w:r>
      <w:r w:rsidR="00382EF2" w:rsidRPr="5B7EFB0F">
        <w:rPr>
          <w:rFonts w:asciiTheme="minorHAnsi" w:hAnsiTheme="minorHAnsi" w:cstheme="minorBidi"/>
        </w:rPr>
        <w:t xml:space="preserve">(SAMM 4). </w:t>
      </w:r>
    </w:p>
    <w:p w14:paraId="2A5255A0" w14:textId="158057AB" w:rsidR="00471D75" w:rsidRPr="00471D75" w:rsidRDefault="00471D75" w:rsidP="006B3B2B">
      <w:pPr>
        <w:ind w:left="360"/>
        <w:rPr>
          <w:rFonts w:asciiTheme="minorHAnsi" w:hAnsiTheme="minorHAnsi" w:cstheme="minorHAnsi"/>
        </w:rPr>
      </w:pPr>
    </w:p>
    <w:p w14:paraId="020828B0" w14:textId="3210B114" w:rsidR="0017068E" w:rsidRDefault="0017068E" w:rsidP="00FE168B">
      <w:pPr>
        <w:pStyle w:val="ListParagraph"/>
        <w:numPr>
          <w:ilvl w:val="0"/>
          <w:numId w:val="9"/>
        </w:numPr>
        <w:spacing w:after="0" w:line="240" w:lineRule="auto"/>
        <w:contextualSpacing w:val="0"/>
        <w:rPr>
          <w:rFonts w:asciiTheme="minorHAnsi" w:hAnsiTheme="minorHAnsi" w:cstheme="minorHAnsi"/>
          <w:sz w:val="24"/>
          <w:szCs w:val="24"/>
        </w:rPr>
      </w:pPr>
      <w:r w:rsidRPr="004D5721">
        <w:rPr>
          <w:rFonts w:asciiTheme="minorHAnsi" w:hAnsiTheme="minorHAnsi" w:cstheme="minorHAnsi"/>
          <w:sz w:val="24"/>
          <w:szCs w:val="24"/>
        </w:rPr>
        <w:t>Fatalities</w:t>
      </w:r>
    </w:p>
    <w:p w14:paraId="66129D5D" w14:textId="77777777" w:rsidR="00672699" w:rsidRPr="004D5721" w:rsidRDefault="00672699" w:rsidP="002C195E">
      <w:pPr>
        <w:pStyle w:val="ListParagraph"/>
        <w:spacing w:after="0" w:line="240" w:lineRule="auto"/>
        <w:ind w:left="1080"/>
        <w:contextualSpacing w:val="0"/>
        <w:rPr>
          <w:rFonts w:asciiTheme="minorHAnsi" w:hAnsiTheme="minorHAnsi" w:cstheme="minorHAnsi"/>
          <w:sz w:val="24"/>
          <w:szCs w:val="24"/>
        </w:rPr>
      </w:pPr>
    </w:p>
    <w:p w14:paraId="5CBD553F" w14:textId="1C7F5095" w:rsidR="00F76902" w:rsidRDefault="00F76902" w:rsidP="00E879AB">
      <w:pPr>
        <w:rPr>
          <w:rFonts w:asciiTheme="minorHAnsi" w:hAnsiTheme="minorHAnsi" w:cstheme="minorHAnsi"/>
        </w:rPr>
      </w:pPr>
      <w:r>
        <w:rPr>
          <w:rFonts w:asciiTheme="minorHAnsi" w:hAnsiTheme="minorHAnsi" w:cstheme="minorHAnsi"/>
        </w:rPr>
        <w:t>According to the SAMM report, t</w:t>
      </w:r>
      <w:r w:rsidRPr="004159A7">
        <w:rPr>
          <w:rFonts w:asciiTheme="minorHAnsi" w:hAnsiTheme="minorHAnsi" w:cstheme="minorHAnsi"/>
        </w:rPr>
        <w:t xml:space="preserve">here were </w:t>
      </w:r>
      <w:r w:rsidR="00E879C6">
        <w:rPr>
          <w:rFonts w:asciiTheme="minorHAnsi" w:hAnsiTheme="minorHAnsi" w:cstheme="minorHAnsi"/>
        </w:rPr>
        <w:t>20</w:t>
      </w:r>
      <w:r w:rsidRPr="004159A7">
        <w:rPr>
          <w:rFonts w:asciiTheme="minorHAnsi" w:hAnsiTheme="minorHAnsi" w:cstheme="minorHAnsi"/>
        </w:rPr>
        <w:t xml:space="preserve"> fatality inspections during the review period</w:t>
      </w:r>
      <w:r w:rsidR="00723B97">
        <w:rPr>
          <w:rFonts w:asciiTheme="minorHAnsi" w:hAnsiTheme="minorHAnsi" w:cstheme="minorHAnsi"/>
        </w:rPr>
        <w:t>.  All 20 (100%)</w:t>
      </w:r>
      <w:r>
        <w:rPr>
          <w:rFonts w:asciiTheme="minorHAnsi" w:hAnsiTheme="minorHAnsi" w:cstheme="minorHAnsi"/>
        </w:rPr>
        <w:t xml:space="preserve"> were responded to within one workday (SAMM 10)</w:t>
      </w:r>
      <w:r w:rsidR="00BF057A">
        <w:rPr>
          <w:rFonts w:asciiTheme="minorHAnsi" w:hAnsiTheme="minorHAnsi" w:cstheme="minorHAnsi"/>
        </w:rPr>
        <w:t>, which was in line with the FRL</w:t>
      </w:r>
      <w:r w:rsidR="00247D3D">
        <w:rPr>
          <w:rFonts w:asciiTheme="minorHAnsi" w:hAnsiTheme="minorHAnsi" w:cstheme="minorHAnsi"/>
        </w:rPr>
        <w:t>, and an improvement from the previous review period.</w:t>
      </w:r>
    </w:p>
    <w:p w14:paraId="40CE0B99" w14:textId="77777777" w:rsidR="00F76902" w:rsidRDefault="00F76902" w:rsidP="00E879AB">
      <w:pPr>
        <w:rPr>
          <w:rFonts w:asciiTheme="minorHAnsi" w:hAnsiTheme="minorHAnsi" w:cstheme="minorBidi"/>
          <w:highlight w:val="yellow"/>
        </w:rPr>
      </w:pPr>
    </w:p>
    <w:p w14:paraId="117A3C7D" w14:textId="072C66E4" w:rsidR="001568CC" w:rsidRDefault="00E04FDE" w:rsidP="00E879AB">
      <w:pPr>
        <w:rPr>
          <w:rFonts w:asciiTheme="minorHAnsi" w:hAnsiTheme="minorHAnsi" w:cstheme="minorBidi"/>
        </w:rPr>
      </w:pPr>
      <w:r w:rsidRPr="006D2D16">
        <w:rPr>
          <w:rFonts w:asciiTheme="minorHAnsi" w:hAnsiTheme="minorHAnsi" w:cstheme="minorBidi"/>
        </w:rPr>
        <w:t>OSHA reviewed</w:t>
      </w:r>
      <w:r w:rsidR="00E4324B" w:rsidRPr="006D2D16">
        <w:rPr>
          <w:rFonts w:asciiTheme="minorHAnsi" w:hAnsiTheme="minorHAnsi" w:cstheme="minorBidi"/>
        </w:rPr>
        <w:t xml:space="preserve"> seven </w:t>
      </w:r>
      <w:r w:rsidRPr="006D2D16">
        <w:rPr>
          <w:rFonts w:asciiTheme="minorHAnsi" w:hAnsiTheme="minorHAnsi" w:cstheme="minorBidi"/>
        </w:rPr>
        <w:t>fatality inspections as part of the case file review</w:t>
      </w:r>
      <w:r w:rsidR="00021B60">
        <w:rPr>
          <w:rFonts w:asciiTheme="minorHAnsi" w:hAnsiTheme="minorHAnsi" w:cstheme="minorBidi"/>
        </w:rPr>
        <w:t>.  One fatality investigation</w:t>
      </w:r>
      <w:r w:rsidR="00597FFB">
        <w:rPr>
          <w:rFonts w:asciiTheme="minorHAnsi" w:hAnsiTheme="minorHAnsi" w:cstheme="minorBidi"/>
        </w:rPr>
        <w:t xml:space="preserve"> showed</w:t>
      </w:r>
      <w:r w:rsidR="00021B60">
        <w:rPr>
          <w:rFonts w:asciiTheme="minorHAnsi" w:hAnsiTheme="minorHAnsi" w:cstheme="minorBidi"/>
        </w:rPr>
        <w:t xml:space="preserve"> </w:t>
      </w:r>
      <w:r w:rsidR="0004572B" w:rsidRPr="006D2D16">
        <w:rPr>
          <w:rFonts w:asciiTheme="minorHAnsi" w:hAnsiTheme="minorHAnsi" w:cstheme="minorBidi"/>
        </w:rPr>
        <w:t>the deceased was not an employee of the employer</w:t>
      </w:r>
      <w:r w:rsidR="00597FFB">
        <w:rPr>
          <w:rFonts w:asciiTheme="minorHAnsi" w:hAnsiTheme="minorHAnsi" w:cstheme="minorBidi"/>
        </w:rPr>
        <w:t xml:space="preserve">; therefore, </w:t>
      </w:r>
      <w:r w:rsidR="0004572B" w:rsidRPr="006D2D16">
        <w:rPr>
          <w:rFonts w:asciiTheme="minorHAnsi" w:hAnsiTheme="minorHAnsi" w:cstheme="minorBidi"/>
        </w:rPr>
        <w:t>the inspection should have been</w:t>
      </w:r>
      <w:r w:rsidR="00597FFB">
        <w:rPr>
          <w:rFonts w:asciiTheme="minorHAnsi" w:hAnsiTheme="minorHAnsi" w:cstheme="minorBidi"/>
        </w:rPr>
        <w:t xml:space="preserve"> </w:t>
      </w:r>
      <w:r w:rsidR="0004572B" w:rsidRPr="006D2D16">
        <w:rPr>
          <w:rFonts w:asciiTheme="minorHAnsi" w:hAnsiTheme="minorHAnsi" w:cstheme="minorBidi"/>
        </w:rPr>
        <w:t xml:space="preserve">coded as “No Inspection.”  </w:t>
      </w:r>
      <w:r w:rsidR="00FA1884">
        <w:rPr>
          <w:rFonts w:asciiTheme="minorHAnsi" w:hAnsiTheme="minorHAnsi" w:cstheme="minorBidi"/>
        </w:rPr>
        <w:t>A</w:t>
      </w:r>
      <w:r w:rsidR="008201C9" w:rsidRPr="006D2D16">
        <w:rPr>
          <w:rFonts w:asciiTheme="minorHAnsi" w:hAnsiTheme="minorHAnsi" w:cstheme="minorBidi"/>
        </w:rPr>
        <w:t>ll seven (100%)</w:t>
      </w:r>
      <w:r w:rsidRPr="006D2D16">
        <w:rPr>
          <w:rFonts w:asciiTheme="minorHAnsi" w:hAnsiTheme="minorHAnsi" w:cstheme="minorBidi"/>
        </w:rPr>
        <w:t> contained the fatality/catastrophe report</w:t>
      </w:r>
      <w:r w:rsidR="008201C9" w:rsidRPr="006D2D16">
        <w:rPr>
          <w:rFonts w:asciiTheme="minorHAnsi" w:hAnsiTheme="minorHAnsi" w:cstheme="minorBidi"/>
        </w:rPr>
        <w:t xml:space="preserve"> within Salesforce</w:t>
      </w:r>
      <w:r w:rsidRPr="006D2D16">
        <w:rPr>
          <w:rFonts w:asciiTheme="minorHAnsi" w:hAnsiTheme="minorHAnsi" w:cstheme="minorBidi"/>
        </w:rPr>
        <w:t>.  </w:t>
      </w:r>
      <w:r w:rsidR="00233D96" w:rsidRPr="006D2D16">
        <w:rPr>
          <w:rFonts w:asciiTheme="minorHAnsi" w:hAnsiTheme="minorHAnsi" w:cstheme="minorBidi"/>
        </w:rPr>
        <w:t xml:space="preserve">In </w:t>
      </w:r>
      <w:r w:rsidR="0092308D" w:rsidRPr="006D2D16">
        <w:rPr>
          <w:rFonts w:asciiTheme="minorHAnsi" w:hAnsiTheme="minorHAnsi" w:cstheme="minorBidi"/>
        </w:rPr>
        <w:t>two</w:t>
      </w:r>
      <w:r w:rsidR="001568CC" w:rsidRPr="006D2D16">
        <w:rPr>
          <w:rFonts w:asciiTheme="minorHAnsi" w:hAnsiTheme="minorHAnsi" w:cstheme="minorBidi"/>
        </w:rPr>
        <w:t xml:space="preserve"> (29%)</w:t>
      </w:r>
      <w:r w:rsidR="0092308D" w:rsidRPr="006D2D16">
        <w:rPr>
          <w:rFonts w:asciiTheme="minorHAnsi" w:hAnsiTheme="minorHAnsi" w:cstheme="minorBidi"/>
        </w:rPr>
        <w:t xml:space="preserve"> fatality inspections, </w:t>
      </w:r>
      <w:r w:rsidR="001568CC" w:rsidRPr="006D2D16">
        <w:rPr>
          <w:rFonts w:asciiTheme="minorHAnsi" w:hAnsiTheme="minorHAnsi" w:cstheme="minorBidi"/>
        </w:rPr>
        <w:t>the employer did not notify ADOSH of the fatality, and they were not cited</w:t>
      </w:r>
      <w:r w:rsidR="003D273E">
        <w:rPr>
          <w:rFonts w:asciiTheme="minorHAnsi" w:hAnsiTheme="minorHAnsi" w:cstheme="minorBidi"/>
        </w:rPr>
        <w:t>, nor was there documentation to explain why a citation was not issued</w:t>
      </w:r>
      <w:r w:rsidR="006D2D16" w:rsidRPr="006D2D16">
        <w:rPr>
          <w:rFonts w:asciiTheme="minorHAnsi" w:hAnsiTheme="minorHAnsi" w:cstheme="minorBidi"/>
        </w:rPr>
        <w:t xml:space="preserve">.  </w:t>
      </w:r>
      <w:r w:rsidR="00FA1884">
        <w:rPr>
          <w:rFonts w:asciiTheme="minorHAnsi" w:hAnsiTheme="minorHAnsi" w:cstheme="minorBidi"/>
        </w:rPr>
        <w:t>However, i</w:t>
      </w:r>
      <w:r w:rsidR="003D273E">
        <w:rPr>
          <w:rFonts w:asciiTheme="minorHAnsi" w:hAnsiTheme="minorHAnsi" w:cstheme="minorBidi"/>
        </w:rPr>
        <w:t>n both cases</w:t>
      </w:r>
      <w:r w:rsidR="006D2D16" w:rsidRPr="006D2D16">
        <w:rPr>
          <w:rFonts w:asciiTheme="minorHAnsi" w:hAnsiTheme="minorHAnsi" w:cstheme="minorBidi"/>
        </w:rPr>
        <w:t xml:space="preserve">, the local police department notified ADOSH </w:t>
      </w:r>
      <w:r w:rsidR="003D273E">
        <w:rPr>
          <w:rFonts w:asciiTheme="minorHAnsi" w:hAnsiTheme="minorHAnsi" w:cstheme="minorBidi"/>
        </w:rPr>
        <w:t xml:space="preserve">of the fatalities </w:t>
      </w:r>
      <w:r w:rsidR="006D2D16" w:rsidRPr="006D2D16">
        <w:rPr>
          <w:rFonts w:asciiTheme="minorHAnsi" w:hAnsiTheme="minorHAnsi" w:cstheme="minorBidi"/>
        </w:rPr>
        <w:t xml:space="preserve">and inspections were opened the following day. </w:t>
      </w:r>
      <w:r w:rsidR="00EF0D2B">
        <w:rPr>
          <w:rFonts w:asciiTheme="minorHAnsi" w:hAnsiTheme="minorHAnsi" w:cstheme="minorBidi"/>
        </w:rPr>
        <w:t xml:space="preserve"> </w:t>
      </w:r>
      <w:r w:rsidR="003D273E">
        <w:rPr>
          <w:rFonts w:asciiTheme="minorHAnsi" w:hAnsiTheme="minorHAnsi" w:cstheme="minorBidi"/>
        </w:rPr>
        <w:t xml:space="preserve">In two (29%) </w:t>
      </w:r>
      <w:r w:rsidR="005315AC">
        <w:rPr>
          <w:rFonts w:asciiTheme="minorHAnsi" w:hAnsiTheme="minorHAnsi" w:cstheme="minorBidi"/>
        </w:rPr>
        <w:t xml:space="preserve">fatality </w:t>
      </w:r>
      <w:r w:rsidR="003D273E">
        <w:rPr>
          <w:rFonts w:asciiTheme="minorHAnsi" w:hAnsiTheme="minorHAnsi" w:cstheme="minorBidi"/>
        </w:rPr>
        <w:t xml:space="preserve">cases, a copy of the police report was not obtained.  As a best practice, it was recommended to acquire a copy of the police report and/or medical examiner’s report and maintain it in the inspection file.  </w:t>
      </w:r>
      <w:r w:rsidR="005315AC">
        <w:rPr>
          <w:rFonts w:asciiTheme="minorHAnsi" w:hAnsiTheme="minorHAnsi" w:cstheme="minorBidi"/>
        </w:rPr>
        <w:t xml:space="preserve">Lastly, </w:t>
      </w:r>
      <w:r w:rsidR="007E0D04">
        <w:rPr>
          <w:rFonts w:asciiTheme="minorHAnsi" w:hAnsiTheme="minorHAnsi" w:cstheme="minorBidi"/>
        </w:rPr>
        <w:t>i</w:t>
      </w:r>
      <w:r w:rsidR="00E82254">
        <w:rPr>
          <w:rFonts w:asciiTheme="minorHAnsi" w:hAnsiTheme="minorHAnsi" w:cstheme="minorBidi"/>
        </w:rPr>
        <w:t xml:space="preserve">n six of seven (86%) </w:t>
      </w:r>
      <w:r w:rsidR="00847906">
        <w:rPr>
          <w:rFonts w:asciiTheme="minorHAnsi" w:hAnsiTheme="minorHAnsi" w:cstheme="minorBidi"/>
        </w:rPr>
        <w:t>files, next</w:t>
      </w:r>
      <w:r w:rsidR="00F0521E">
        <w:rPr>
          <w:rFonts w:asciiTheme="minorHAnsi" w:hAnsiTheme="minorHAnsi" w:cstheme="minorBidi"/>
        </w:rPr>
        <w:t>-</w:t>
      </w:r>
      <w:r w:rsidR="00847906">
        <w:rPr>
          <w:rFonts w:asciiTheme="minorHAnsi" w:hAnsiTheme="minorHAnsi" w:cstheme="minorBidi"/>
        </w:rPr>
        <w:t>of</w:t>
      </w:r>
      <w:r w:rsidR="00F0521E">
        <w:rPr>
          <w:rFonts w:asciiTheme="minorHAnsi" w:hAnsiTheme="minorHAnsi" w:cstheme="minorBidi"/>
        </w:rPr>
        <w:t>-</w:t>
      </w:r>
      <w:r w:rsidR="00847906">
        <w:rPr>
          <w:rFonts w:asciiTheme="minorHAnsi" w:hAnsiTheme="minorHAnsi" w:cstheme="minorBidi"/>
        </w:rPr>
        <w:t xml:space="preserve">kin (NOK) letters were missing.  Three </w:t>
      </w:r>
      <w:r w:rsidR="00EF0D2B">
        <w:rPr>
          <w:rFonts w:asciiTheme="minorHAnsi" w:hAnsiTheme="minorHAnsi" w:cstheme="minorBidi"/>
        </w:rPr>
        <w:t>(43%)</w:t>
      </w:r>
      <w:r w:rsidR="00847906">
        <w:rPr>
          <w:rFonts w:asciiTheme="minorHAnsi" w:hAnsiTheme="minorHAnsi" w:cstheme="minorBidi"/>
        </w:rPr>
        <w:t xml:space="preserve"> of which were the </w:t>
      </w:r>
      <w:r w:rsidR="00EF0D2B">
        <w:rPr>
          <w:rFonts w:asciiTheme="minorHAnsi" w:hAnsiTheme="minorHAnsi" w:cstheme="minorBidi"/>
        </w:rPr>
        <w:t>initial condolence letter</w:t>
      </w:r>
      <w:r w:rsidR="007B55DB">
        <w:rPr>
          <w:rFonts w:asciiTheme="minorHAnsi" w:hAnsiTheme="minorHAnsi" w:cstheme="minorBidi"/>
        </w:rPr>
        <w:t xml:space="preserve">, and five (71%) </w:t>
      </w:r>
      <w:r w:rsidR="00847906">
        <w:rPr>
          <w:rFonts w:asciiTheme="minorHAnsi" w:hAnsiTheme="minorHAnsi" w:cstheme="minorBidi"/>
        </w:rPr>
        <w:t xml:space="preserve">were </w:t>
      </w:r>
      <w:r w:rsidR="007B55DB">
        <w:rPr>
          <w:rFonts w:asciiTheme="minorHAnsi" w:hAnsiTheme="minorHAnsi" w:cstheme="minorBidi"/>
        </w:rPr>
        <w:t xml:space="preserve">the NOK inspection findings letters.  </w:t>
      </w:r>
      <w:r w:rsidR="005315AC">
        <w:rPr>
          <w:rFonts w:asciiTheme="minorHAnsi" w:hAnsiTheme="minorHAnsi" w:cstheme="minorBidi"/>
        </w:rPr>
        <w:t>This will be a</w:t>
      </w:r>
      <w:r w:rsidR="00A1320F">
        <w:rPr>
          <w:rFonts w:asciiTheme="minorHAnsi" w:hAnsiTheme="minorHAnsi" w:cstheme="minorBidi"/>
        </w:rPr>
        <w:t>ddressed as a</w:t>
      </w:r>
      <w:r w:rsidR="005315AC">
        <w:rPr>
          <w:rFonts w:asciiTheme="minorHAnsi" w:hAnsiTheme="minorHAnsi" w:cstheme="minorBidi"/>
        </w:rPr>
        <w:t xml:space="preserve"> new observation for the review period.</w:t>
      </w:r>
    </w:p>
    <w:p w14:paraId="7AAB1056" w14:textId="77777777" w:rsidR="00EC1E0F" w:rsidRDefault="00EC1E0F" w:rsidP="00E879AB">
      <w:pPr>
        <w:rPr>
          <w:rFonts w:asciiTheme="minorHAnsi" w:hAnsiTheme="minorHAnsi" w:cstheme="minorBidi"/>
        </w:rPr>
      </w:pPr>
    </w:p>
    <w:p w14:paraId="7443D97F" w14:textId="5CE1B8A2" w:rsidR="00EC1E0F" w:rsidRPr="00624E61" w:rsidRDefault="00EC1E0F" w:rsidP="00E879AB">
      <w:pPr>
        <w:rPr>
          <w:rFonts w:asciiTheme="minorHAnsi" w:hAnsiTheme="minorHAnsi" w:cstheme="minorBidi"/>
        </w:rPr>
      </w:pPr>
      <w:r w:rsidRPr="00624E61">
        <w:rPr>
          <w:rFonts w:asciiTheme="minorHAnsi" w:hAnsiTheme="minorHAnsi" w:cstheme="minorBidi"/>
          <w:b/>
          <w:bCs/>
        </w:rPr>
        <w:t>Observation FY 2025-OB-</w:t>
      </w:r>
      <w:r w:rsidR="00944F55" w:rsidRPr="00624E61">
        <w:rPr>
          <w:rFonts w:asciiTheme="minorHAnsi" w:hAnsiTheme="minorHAnsi" w:cstheme="minorBidi"/>
          <w:b/>
          <w:bCs/>
        </w:rPr>
        <w:t>01</w:t>
      </w:r>
      <w:r w:rsidRPr="00624E61">
        <w:rPr>
          <w:rFonts w:asciiTheme="minorHAnsi" w:hAnsiTheme="minorHAnsi" w:cstheme="minorBidi"/>
          <w:b/>
          <w:bCs/>
        </w:rPr>
        <w:t xml:space="preserve">: </w:t>
      </w:r>
      <w:r w:rsidR="00847906" w:rsidRPr="00624E61">
        <w:rPr>
          <w:rFonts w:asciiTheme="minorHAnsi" w:hAnsiTheme="minorHAnsi" w:cstheme="minorBidi"/>
        </w:rPr>
        <w:t xml:space="preserve">In six of seven (86%) fatality inspection files, </w:t>
      </w:r>
      <w:r w:rsidR="00803506" w:rsidRPr="00624E61">
        <w:rPr>
          <w:rFonts w:asciiTheme="minorHAnsi" w:hAnsiTheme="minorHAnsi" w:cstheme="minorBidi"/>
        </w:rPr>
        <w:t>NOK</w:t>
      </w:r>
      <w:r w:rsidR="00847906" w:rsidRPr="00624E61">
        <w:rPr>
          <w:rFonts w:asciiTheme="minorHAnsi" w:hAnsiTheme="minorHAnsi" w:cstheme="minorBidi"/>
        </w:rPr>
        <w:t xml:space="preserve"> letters were missing and/or not sent</w:t>
      </w:r>
      <w:r w:rsidR="00803506" w:rsidRPr="00624E61">
        <w:rPr>
          <w:rFonts w:asciiTheme="minorHAnsi" w:hAnsiTheme="minorHAnsi" w:cstheme="minorBidi"/>
        </w:rPr>
        <w:t>.</w:t>
      </w:r>
    </w:p>
    <w:p w14:paraId="7BDBE708" w14:textId="77777777" w:rsidR="001568CC" w:rsidRPr="00624E61" w:rsidRDefault="001568CC" w:rsidP="00E879AB">
      <w:pPr>
        <w:rPr>
          <w:rFonts w:asciiTheme="minorHAnsi" w:hAnsiTheme="minorHAnsi" w:cstheme="minorBidi"/>
          <w:i/>
          <w:iCs/>
        </w:rPr>
      </w:pPr>
    </w:p>
    <w:p w14:paraId="74406967" w14:textId="77777777" w:rsidR="002F3168" w:rsidRDefault="002F3168" w:rsidP="00E879AB">
      <w:pPr>
        <w:rPr>
          <w:rFonts w:asciiTheme="minorHAnsi" w:hAnsiTheme="minorHAnsi" w:cstheme="minorBidi"/>
          <w:b/>
          <w:bCs/>
        </w:rPr>
      </w:pPr>
    </w:p>
    <w:p w14:paraId="7636BE7A" w14:textId="7DC11B47" w:rsidR="00803506" w:rsidRPr="00624E61" w:rsidRDefault="00803506" w:rsidP="00E879AB">
      <w:pPr>
        <w:rPr>
          <w:rFonts w:asciiTheme="minorHAnsi" w:hAnsiTheme="minorHAnsi" w:cstheme="minorBidi"/>
        </w:rPr>
      </w:pPr>
      <w:r w:rsidRPr="00624E61">
        <w:rPr>
          <w:rFonts w:asciiTheme="minorHAnsi" w:hAnsiTheme="minorHAnsi" w:cstheme="minorBidi"/>
          <w:b/>
          <w:bCs/>
        </w:rPr>
        <w:lastRenderedPageBreak/>
        <w:t xml:space="preserve">Federal Monitoring Plan: </w:t>
      </w:r>
      <w:r w:rsidRPr="00624E61">
        <w:rPr>
          <w:rFonts w:asciiTheme="minorHAnsi" w:hAnsiTheme="minorHAnsi" w:cstheme="minorBidi"/>
        </w:rPr>
        <w:t>OSHA will continue to monitor ADOSH to ensure NOK letters are sent and maintained in the case files</w:t>
      </w:r>
      <w:r w:rsidR="00A564BB" w:rsidRPr="00624E61">
        <w:rPr>
          <w:rFonts w:asciiTheme="minorHAnsi" w:hAnsiTheme="minorHAnsi" w:cstheme="minorBidi"/>
        </w:rPr>
        <w:t xml:space="preserve">, </w:t>
      </w:r>
      <w:r w:rsidR="004835B6" w:rsidRPr="00624E61">
        <w:rPr>
          <w:rFonts w:asciiTheme="minorHAnsi" w:hAnsiTheme="minorHAnsi" w:cstheme="minorBidi"/>
        </w:rPr>
        <w:t>in accordance with</w:t>
      </w:r>
      <w:r w:rsidR="00A564BB" w:rsidRPr="00624E61">
        <w:rPr>
          <w:rFonts w:asciiTheme="minorHAnsi" w:hAnsiTheme="minorHAnsi" w:cstheme="minorBidi"/>
        </w:rPr>
        <w:t xml:space="preserve"> the </w:t>
      </w:r>
      <w:r w:rsidR="005236A9" w:rsidRPr="00624E61">
        <w:rPr>
          <w:rFonts w:asciiTheme="minorHAnsi" w:hAnsiTheme="minorHAnsi" w:cstheme="minorBidi"/>
        </w:rPr>
        <w:t xml:space="preserve">compliance directive </w:t>
      </w:r>
      <w:r w:rsidR="00A564BB" w:rsidRPr="00624E61">
        <w:rPr>
          <w:rFonts w:asciiTheme="minorHAnsi" w:hAnsiTheme="minorHAnsi" w:cstheme="minorBidi"/>
        </w:rPr>
        <w:t>CPL 02-00-171</w:t>
      </w:r>
      <w:r w:rsidR="005236A9" w:rsidRPr="00624E61">
        <w:rPr>
          <w:rFonts w:asciiTheme="minorHAnsi" w:hAnsiTheme="minorHAnsi" w:cstheme="minorBidi"/>
        </w:rPr>
        <w:t>, Communicating OSHA Fatality Inspection Procedures to a Fallen Worker’s Family</w:t>
      </w:r>
      <w:r w:rsidRPr="00624E61">
        <w:rPr>
          <w:rFonts w:asciiTheme="minorHAnsi" w:hAnsiTheme="minorHAnsi" w:cstheme="minorBidi"/>
        </w:rPr>
        <w:t xml:space="preserve">. </w:t>
      </w:r>
    </w:p>
    <w:p w14:paraId="7BE49F10" w14:textId="77777777" w:rsidR="0017068E" w:rsidRPr="008D4EBA" w:rsidRDefault="0017068E" w:rsidP="006B3B2B">
      <w:pPr>
        <w:pStyle w:val="ListParagraph"/>
        <w:spacing w:after="0" w:line="240" w:lineRule="auto"/>
        <w:ind w:left="360"/>
        <w:contextualSpacing w:val="0"/>
        <w:rPr>
          <w:rFonts w:asciiTheme="minorHAnsi" w:hAnsiTheme="minorHAnsi" w:cstheme="minorHAnsi"/>
          <w:sz w:val="24"/>
          <w:szCs w:val="24"/>
        </w:rPr>
      </w:pPr>
    </w:p>
    <w:p w14:paraId="33ABAB00" w14:textId="23595859" w:rsidR="00471D75" w:rsidRDefault="00471D75" w:rsidP="00FE168B">
      <w:pPr>
        <w:pStyle w:val="ListParagraph"/>
        <w:numPr>
          <w:ilvl w:val="0"/>
          <w:numId w:val="9"/>
        </w:numPr>
        <w:spacing w:after="0" w:line="240" w:lineRule="auto"/>
        <w:contextualSpacing w:val="0"/>
        <w:rPr>
          <w:rFonts w:asciiTheme="minorHAnsi" w:hAnsiTheme="minorHAnsi" w:cstheme="minorHAnsi"/>
          <w:sz w:val="24"/>
          <w:szCs w:val="24"/>
        </w:rPr>
      </w:pPr>
      <w:r w:rsidRPr="007A0388">
        <w:rPr>
          <w:rFonts w:asciiTheme="minorHAnsi" w:hAnsiTheme="minorHAnsi" w:cstheme="minorHAnsi"/>
          <w:sz w:val="24"/>
          <w:szCs w:val="24"/>
        </w:rPr>
        <w:t>Targeting and Programmed Inspection</w:t>
      </w:r>
      <w:r w:rsidR="00AF4F51">
        <w:rPr>
          <w:rFonts w:asciiTheme="minorHAnsi" w:hAnsiTheme="minorHAnsi" w:cstheme="minorHAnsi"/>
          <w:sz w:val="24"/>
          <w:szCs w:val="24"/>
        </w:rPr>
        <w:t>s</w:t>
      </w:r>
      <w:r w:rsidRPr="007A0388">
        <w:rPr>
          <w:rFonts w:asciiTheme="minorHAnsi" w:hAnsiTheme="minorHAnsi" w:cstheme="minorHAnsi"/>
          <w:sz w:val="24"/>
          <w:szCs w:val="24"/>
        </w:rPr>
        <w:t xml:space="preserve"> </w:t>
      </w:r>
    </w:p>
    <w:p w14:paraId="0C8A4D5B" w14:textId="77777777" w:rsidR="00672699" w:rsidRPr="007A0388" w:rsidRDefault="00672699" w:rsidP="002C195E">
      <w:pPr>
        <w:pStyle w:val="ListParagraph"/>
        <w:spacing w:after="0" w:line="240" w:lineRule="auto"/>
        <w:ind w:left="1080"/>
        <w:contextualSpacing w:val="0"/>
        <w:rPr>
          <w:rFonts w:asciiTheme="minorHAnsi" w:hAnsiTheme="minorHAnsi" w:cstheme="minorHAnsi"/>
          <w:sz w:val="24"/>
          <w:szCs w:val="24"/>
        </w:rPr>
      </w:pPr>
    </w:p>
    <w:p w14:paraId="02BDEF7B" w14:textId="674259FA" w:rsidR="00286A59" w:rsidRPr="0003369C" w:rsidRDefault="00E55DE1" w:rsidP="00E879AB">
      <w:pPr>
        <w:rPr>
          <w:rFonts w:asciiTheme="minorHAnsi" w:hAnsiTheme="minorHAnsi" w:cstheme="minorBidi"/>
        </w:rPr>
      </w:pPr>
      <w:r w:rsidRPr="0003369C">
        <w:rPr>
          <w:rFonts w:asciiTheme="minorHAnsi" w:hAnsiTheme="minorHAnsi" w:cstheme="minorBidi"/>
        </w:rPr>
        <w:t xml:space="preserve">In the FY 2025 23(g) grant, Arizona set annual performance goals to reduce the number of worker injuries and illnesses in </w:t>
      </w:r>
      <w:r w:rsidR="00F67D0D" w:rsidRPr="0003369C">
        <w:rPr>
          <w:rFonts w:asciiTheme="minorHAnsi" w:hAnsiTheme="minorHAnsi" w:cstheme="minorBidi"/>
        </w:rPr>
        <w:t xml:space="preserve">construction, manufacturing, and in state and local government workplaces.  These industries were targeted through </w:t>
      </w:r>
      <w:r w:rsidR="00286A59" w:rsidRPr="0003369C">
        <w:rPr>
          <w:rFonts w:asciiTheme="minorHAnsi" w:hAnsiTheme="minorHAnsi" w:cstheme="minorBidi"/>
        </w:rPr>
        <w:t xml:space="preserve">planned inspections and compliance assistance activities. </w:t>
      </w:r>
      <w:r w:rsidR="009671B7">
        <w:rPr>
          <w:rFonts w:asciiTheme="minorHAnsi" w:hAnsiTheme="minorHAnsi" w:cstheme="minorBidi"/>
        </w:rPr>
        <w:t xml:space="preserve"> </w:t>
      </w:r>
    </w:p>
    <w:p w14:paraId="457C2B34" w14:textId="77777777" w:rsidR="00286A59" w:rsidRPr="0003369C" w:rsidRDefault="00286A59" w:rsidP="00E879AB">
      <w:pPr>
        <w:rPr>
          <w:rFonts w:asciiTheme="minorHAnsi" w:hAnsiTheme="minorHAnsi" w:cstheme="minorBidi"/>
        </w:rPr>
      </w:pPr>
    </w:p>
    <w:p w14:paraId="1D905D32" w14:textId="2F2E34D7" w:rsidR="00DA0886" w:rsidRPr="006B38DA" w:rsidRDefault="001263CD" w:rsidP="00E879AB">
      <w:pPr>
        <w:rPr>
          <w:rFonts w:asciiTheme="minorHAnsi" w:hAnsiTheme="minorHAnsi" w:cstheme="minorBidi"/>
        </w:rPr>
      </w:pPr>
      <w:r w:rsidRPr="006B38DA">
        <w:rPr>
          <w:rFonts w:asciiTheme="minorHAnsi" w:hAnsiTheme="minorHAnsi" w:cstheme="minorBidi"/>
        </w:rPr>
        <w:t xml:space="preserve">According to </w:t>
      </w:r>
      <w:r w:rsidR="0003369C" w:rsidRPr="006B38DA">
        <w:rPr>
          <w:rFonts w:asciiTheme="minorHAnsi" w:hAnsiTheme="minorHAnsi" w:cstheme="minorBidi"/>
        </w:rPr>
        <w:t>the FY 2025</w:t>
      </w:r>
      <w:r w:rsidRPr="006B38DA">
        <w:rPr>
          <w:rFonts w:asciiTheme="minorHAnsi" w:hAnsiTheme="minorHAnsi" w:cstheme="minorBidi"/>
        </w:rPr>
        <w:t xml:space="preserve"> SOAR, </w:t>
      </w:r>
      <w:r w:rsidR="0003369C" w:rsidRPr="006B38DA">
        <w:rPr>
          <w:rFonts w:asciiTheme="minorHAnsi" w:hAnsiTheme="minorHAnsi" w:cstheme="minorBidi"/>
        </w:rPr>
        <w:t xml:space="preserve">ADOSH </w:t>
      </w:r>
      <w:r w:rsidR="00D60732" w:rsidRPr="006B38DA">
        <w:rPr>
          <w:rFonts w:asciiTheme="minorHAnsi" w:hAnsiTheme="minorHAnsi" w:cstheme="minorBidi"/>
        </w:rPr>
        <w:t xml:space="preserve">fell short of projected inspections with </w:t>
      </w:r>
      <w:r w:rsidR="00F44BAC" w:rsidRPr="006B38DA">
        <w:rPr>
          <w:rFonts w:asciiTheme="minorHAnsi" w:hAnsiTheme="minorHAnsi" w:cstheme="minorBidi"/>
        </w:rPr>
        <w:t>108</w:t>
      </w:r>
      <w:r w:rsidR="00A04314" w:rsidRPr="006B38DA">
        <w:rPr>
          <w:rFonts w:asciiTheme="minorHAnsi" w:hAnsiTheme="minorHAnsi" w:cstheme="minorBidi"/>
        </w:rPr>
        <w:t xml:space="preserve"> (27%)</w:t>
      </w:r>
      <w:r w:rsidR="00F44BAC" w:rsidRPr="006B38DA">
        <w:rPr>
          <w:rFonts w:asciiTheme="minorHAnsi" w:hAnsiTheme="minorHAnsi" w:cstheme="minorBidi"/>
        </w:rPr>
        <w:t xml:space="preserve"> </w:t>
      </w:r>
      <w:r w:rsidR="00D60732" w:rsidRPr="006B38DA">
        <w:rPr>
          <w:rFonts w:asciiTheme="minorHAnsi" w:hAnsiTheme="minorHAnsi" w:cstheme="minorBidi"/>
        </w:rPr>
        <w:t xml:space="preserve">in </w:t>
      </w:r>
      <w:r w:rsidR="00F44BAC" w:rsidRPr="006B38DA">
        <w:rPr>
          <w:rFonts w:asciiTheme="minorHAnsi" w:hAnsiTheme="minorHAnsi" w:cstheme="minorBidi"/>
        </w:rPr>
        <w:t>construction</w:t>
      </w:r>
      <w:r w:rsidR="00D60732" w:rsidRPr="006B38DA">
        <w:rPr>
          <w:rFonts w:asciiTheme="minorHAnsi" w:hAnsiTheme="minorHAnsi" w:cstheme="minorBidi"/>
        </w:rPr>
        <w:t xml:space="preserve">, </w:t>
      </w:r>
      <w:r w:rsidR="00BF0A8E" w:rsidRPr="006B38DA">
        <w:rPr>
          <w:rFonts w:asciiTheme="minorHAnsi" w:hAnsiTheme="minorHAnsi" w:cstheme="minorBidi"/>
        </w:rPr>
        <w:t>57</w:t>
      </w:r>
      <w:r w:rsidR="00EB0BA0" w:rsidRPr="006B38DA">
        <w:rPr>
          <w:rFonts w:asciiTheme="minorHAnsi" w:hAnsiTheme="minorHAnsi" w:cstheme="minorBidi"/>
        </w:rPr>
        <w:t xml:space="preserve"> </w:t>
      </w:r>
      <w:r w:rsidR="00135D7B">
        <w:rPr>
          <w:rFonts w:asciiTheme="minorHAnsi" w:hAnsiTheme="minorHAnsi" w:cstheme="minorBidi"/>
        </w:rPr>
        <w:t xml:space="preserve">(36%) </w:t>
      </w:r>
      <w:r w:rsidR="005E3D6E" w:rsidRPr="006B38DA">
        <w:rPr>
          <w:rFonts w:asciiTheme="minorHAnsi" w:hAnsiTheme="minorHAnsi" w:cstheme="minorBidi"/>
        </w:rPr>
        <w:t xml:space="preserve">in </w:t>
      </w:r>
      <w:r w:rsidR="00EB0BA0" w:rsidRPr="006B38DA">
        <w:rPr>
          <w:rFonts w:asciiTheme="minorHAnsi" w:hAnsiTheme="minorHAnsi" w:cstheme="minorBidi"/>
        </w:rPr>
        <w:t xml:space="preserve">manufacturing, and </w:t>
      </w:r>
      <w:r w:rsidR="006B38DA" w:rsidRPr="006B38DA">
        <w:rPr>
          <w:rFonts w:asciiTheme="minorHAnsi" w:hAnsiTheme="minorHAnsi" w:cstheme="minorBidi"/>
        </w:rPr>
        <w:t>20</w:t>
      </w:r>
      <w:r w:rsidR="005E3D6E" w:rsidRPr="006B38DA">
        <w:rPr>
          <w:rFonts w:asciiTheme="minorHAnsi" w:hAnsiTheme="minorHAnsi" w:cstheme="minorBidi"/>
        </w:rPr>
        <w:t xml:space="preserve"> </w:t>
      </w:r>
      <w:r w:rsidR="00135D7B">
        <w:rPr>
          <w:rFonts w:asciiTheme="minorHAnsi" w:hAnsiTheme="minorHAnsi" w:cstheme="minorBidi"/>
        </w:rPr>
        <w:t xml:space="preserve">(33%) </w:t>
      </w:r>
      <w:r w:rsidR="005E3D6E" w:rsidRPr="006B38DA">
        <w:rPr>
          <w:rFonts w:asciiTheme="minorHAnsi" w:hAnsiTheme="minorHAnsi" w:cstheme="minorBidi"/>
        </w:rPr>
        <w:t xml:space="preserve">in state and local government industries. </w:t>
      </w:r>
      <w:r w:rsidR="00387C44" w:rsidRPr="006B38DA">
        <w:rPr>
          <w:rFonts w:asciiTheme="minorHAnsi" w:hAnsiTheme="minorHAnsi" w:cstheme="minorBidi"/>
        </w:rPr>
        <w:t xml:space="preserve"> According to </w:t>
      </w:r>
      <w:r w:rsidR="00B46879" w:rsidRPr="006B38DA">
        <w:rPr>
          <w:rFonts w:asciiTheme="minorHAnsi" w:hAnsiTheme="minorHAnsi" w:cstheme="minorBidi"/>
        </w:rPr>
        <w:t>OIS</w:t>
      </w:r>
      <w:r w:rsidR="00387C44" w:rsidRPr="006B38DA">
        <w:rPr>
          <w:rFonts w:asciiTheme="minorHAnsi" w:hAnsiTheme="minorHAnsi" w:cstheme="minorBidi"/>
        </w:rPr>
        <w:t xml:space="preserve">, </w:t>
      </w:r>
      <w:r w:rsidR="00852D3F" w:rsidRPr="006B38DA">
        <w:rPr>
          <w:rFonts w:asciiTheme="minorHAnsi" w:hAnsiTheme="minorHAnsi" w:cstheme="minorBidi"/>
        </w:rPr>
        <w:t>25</w:t>
      </w:r>
      <w:r w:rsidR="00766B5D" w:rsidRPr="006B38DA">
        <w:rPr>
          <w:rFonts w:asciiTheme="minorHAnsi" w:hAnsiTheme="minorHAnsi" w:cstheme="minorBidi"/>
        </w:rPr>
        <w:t xml:space="preserve"> </w:t>
      </w:r>
      <w:r w:rsidR="00A83C48" w:rsidRPr="006B38DA">
        <w:rPr>
          <w:rFonts w:asciiTheme="minorHAnsi" w:hAnsiTheme="minorHAnsi" w:cstheme="minorBidi"/>
        </w:rPr>
        <w:t>(</w:t>
      </w:r>
      <w:r w:rsidR="00852D3F" w:rsidRPr="006B38DA">
        <w:rPr>
          <w:rFonts w:asciiTheme="minorHAnsi" w:hAnsiTheme="minorHAnsi" w:cstheme="minorBidi"/>
        </w:rPr>
        <w:t>9</w:t>
      </w:r>
      <w:r w:rsidR="00B46879" w:rsidRPr="006B38DA">
        <w:rPr>
          <w:rFonts w:asciiTheme="minorHAnsi" w:hAnsiTheme="minorHAnsi" w:cstheme="minorBidi"/>
        </w:rPr>
        <w:t>.0</w:t>
      </w:r>
      <w:r w:rsidR="00A83C48" w:rsidRPr="006B38DA">
        <w:rPr>
          <w:rFonts w:asciiTheme="minorHAnsi" w:hAnsiTheme="minorHAnsi" w:cstheme="minorBidi"/>
        </w:rPr>
        <w:t>%)</w:t>
      </w:r>
      <w:r w:rsidR="008743DC" w:rsidRPr="006B38DA">
        <w:rPr>
          <w:rFonts w:asciiTheme="minorHAnsi" w:hAnsiTheme="minorHAnsi" w:cstheme="minorBidi"/>
        </w:rPr>
        <w:t xml:space="preserve"> total inspections for FY 2025</w:t>
      </w:r>
      <w:r w:rsidR="00A83C48" w:rsidRPr="006B38DA">
        <w:rPr>
          <w:rFonts w:asciiTheme="minorHAnsi" w:hAnsiTheme="minorHAnsi" w:cstheme="minorBidi"/>
        </w:rPr>
        <w:t xml:space="preserve"> </w:t>
      </w:r>
      <w:r w:rsidR="004D3DD2" w:rsidRPr="006B38DA">
        <w:rPr>
          <w:rFonts w:asciiTheme="minorHAnsi" w:hAnsiTheme="minorHAnsi" w:cstheme="minorBidi"/>
        </w:rPr>
        <w:t>were programmed</w:t>
      </w:r>
      <w:r w:rsidR="00B46879" w:rsidRPr="006B38DA">
        <w:rPr>
          <w:rFonts w:asciiTheme="minorHAnsi" w:hAnsiTheme="minorHAnsi" w:cstheme="minorBidi"/>
        </w:rPr>
        <w:t xml:space="preserve"> (SIR 1c)</w:t>
      </w:r>
      <w:r w:rsidR="00A7268C" w:rsidRPr="006B38DA">
        <w:rPr>
          <w:rFonts w:asciiTheme="minorHAnsi" w:hAnsiTheme="minorHAnsi" w:cstheme="minorBidi"/>
        </w:rPr>
        <w:t>.</w:t>
      </w:r>
    </w:p>
    <w:p w14:paraId="3F7CE6B9" w14:textId="77777777" w:rsidR="002F371B" w:rsidRPr="004B6DA9" w:rsidRDefault="002F371B" w:rsidP="00E879AB">
      <w:pPr>
        <w:rPr>
          <w:rFonts w:asciiTheme="minorHAnsi" w:hAnsiTheme="minorHAnsi" w:cstheme="minorBidi"/>
          <w:highlight w:val="yellow"/>
        </w:rPr>
      </w:pPr>
    </w:p>
    <w:p w14:paraId="6826DE96" w14:textId="44ABFBEE" w:rsidR="0009205D" w:rsidRPr="00B5287A" w:rsidRDefault="00E3774D" w:rsidP="00B5287A">
      <w:pPr>
        <w:ind w:right="-7"/>
        <w:rPr>
          <w:rFonts w:eastAsia="Arial"/>
        </w:rPr>
      </w:pPr>
      <w:r w:rsidRPr="006E23BE">
        <w:rPr>
          <w:rFonts w:asciiTheme="minorHAnsi" w:eastAsia="Arial" w:hAnsiTheme="minorHAnsi" w:cstheme="minorHAnsi"/>
        </w:rPr>
        <w:t>The percent of enforcement presence</w:t>
      </w:r>
      <w:r w:rsidR="0007004F">
        <w:rPr>
          <w:rFonts w:asciiTheme="minorHAnsi" w:eastAsia="Arial" w:hAnsiTheme="minorHAnsi" w:cstheme="minorHAnsi"/>
        </w:rPr>
        <w:t xml:space="preserve"> (SAMM 16)</w:t>
      </w:r>
      <w:r w:rsidRPr="006E23BE">
        <w:rPr>
          <w:rFonts w:asciiTheme="minorHAnsi" w:eastAsia="Arial" w:hAnsiTheme="minorHAnsi" w:cstheme="minorHAnsi"/>
        </w:rPr>
        <w:t xml:space="preserve"> describes </w:t>
      </w:r>
      <w:r w:rsidRPr="00B5287A">
        <w:rPr>
          <w:rFonts w:asciiTheme="minorHAnsi" w:eastAsia="Arial" w:hAnsiTheme="minorHAnsi" w:cstheme="minorHAnsi"/>
        </w:rPr>
        <w:t>the number of safety and health inspections conducted compared to the number of employer establishments in the state.  </w:t>
      </w:r>
      <w:r w:rsidR="0007004F">
        <w:rPr>
          <w:rFonts w:asciiTheme="minorHAnsi" w:eastAsia="Arial" w:hAnsiTheme="minorHAnsi" w:cstheme="minorHAnsi"/>
        </w:rPr>
        <w:t xml:space="preserve">According to Appendix D, </w:t>
      </w:r>
      <w:r w:rsidRPr="00B5287A">
        <w:rPr>
          <w:rFonts w:asciiTheme="minorHAnsi" w:eastAsia="Arial" w:hAnsiTheme="minorHAnsi" w:cstheme="minorHAnsi"/>
        </w:rPr>
        <w:t>Arizona’s enforcement presence </w:t>
      </w:r>
      <w:r w:rsidR="006E23BE" w:rsidRPr="00B5287A">
        <w:rPr>
          <w:rFonts w:asciiTheme="minorHAnsi" w:eastAsia="Arial" w:hAnsiTheme="minorHAnsi" w:cstheme="minorHAnsi"/>
        </w:rPr>
        <w:t xml:space="preserve">decreased </w:t>
      </w:r>
      <w:r w:rsidRPr="00B5287A">
        <w:rPr>
          <w:rFonts w:asciiTheme="minorHAnsi" w:eastAsia="Arial" w:hAnsiTheme="minorHAnsi" w:cstheme="minorHAnsi"/>
        </w:rPr>
        <w:t>from 0.4</w:t>
      </w:r>
      <w:r w:rsidR="006D1439" w:rsidRPr="00B5287A">
        <w:rPr>
          <w:rFonts w:asciiTheme="minorHAnsi" w:eastAsia="Arial" w:hAnsiTheme="minorHAnsi" w:cstheme="minorHAnsi"/>
        </w:rPr>
        <w:t>7</w:t>
      </w:r>
      <w:r w:rsidRPr="00B5287A">
        <w:rPr>
          <w:rFonts w:asciiTheme="minorHAnsi" w:eastAsia="Arial" w:hAnsiTheme="minorHAnsi" w:cstheme="minorHAnsi"/>
        </w:rPr>
        <w:t>% in FY 202</w:t>
      </w:r>
      <w:r w:rsidR="006D1439" w:rsidRPr="00B5287A">
        <w:rPr>
          <w:rFonts w:asciiTheme="minorHAnsi" w:eastAsia="Arial" w:hAnsiTheme="minorHAnsi" w:cstheme="minorHAnsi"/>
        </w:rPr>
        <w:t>4</w:t>
      </w:r>
      <w:r w:rsidR="00B5287A" w:rsidRPr="00B5287A">
        <w:rPr>
          <w:rFonts w:asciiTheme="minorHAnsi" w:eastAsia="Arial" w:hAnsiTheme="minorHAnsi" w:cstheme="minorHAnsi"/>
        </w:rPr>
        <w:t xml:space="preserve"> to 0.21% in FY 2025</w:t>
      </w:r>
      <w:r w:rsidR="006D1439" w:rsidRPr="00B5287A">
        <w:rPr>
          <w:rFonts w:asciiTheme="minorHAnsi" w:eastAsia="Arial" w:hAnsiTheme="minorHAnsi" w:cstheme="minorHAnsi"/>
        </w:rPr>
        <w:t>,</w:t>
      </w:r>
      <w:r w:rsidRPr="00B5287A">
        <w:rPr>
          <w:rFonts w:asciiTheme="minorHAnsi" w:eastAsia="Arial" w:hAnsiTheme="minorHAnsi" w:cstheme="minorHAnsi"/>
        </w:rPr>
        <w:t xml:space="preserve"> which was attributed to a </w:t>
      </w:r>
      <w:r w:rsidR="006D1439" w:rsidRPr="00B5287A">
        <w:rPr>
          <w:rFonts w:asciiTheme="minorHAnsi" w:eastAsia="Arial" w:hAnsiTheme="minorHAnsi" w:cstheme="minorHAnsi"/>
        </w:rPr>
        <w:t>lower</w:t>
      </w:r>
      <w:r w:rsidRPr="00B5287A">
        <w:rPr>
          <w:rFonts w:asciiTheme="minorHAnsi" w:eastAsia="Arial" w:hAnsiTheme="minorHAnsi" w:cstheme="minorHAnsi"/>
        </w:rPr>
        <w:t xml:space="preserve"> number of overall inspections conducted this review</w:t>
      </w:r>
      <w:r w:rsidR="00B5287A" w:rsidRPr="00B5287A">
        <w:rPr>
          <w:rFonts w:asciiTheme="minorHAnsi" w:eastAsia="Arial" w:hAnsiTheme="minorHAnsi" w:cstheme="minorHAnsi"/>
        </w:rPr>
        <w:t xml:space="preserve"> p</w:t>
      </w:r>
      <w:r w:rsidRPr="00B5287A">
        <w:rPr>
          <w:rFonts w:asciiTheme="minorHAnsi" w:eastAsia="Arial" w:hAnsiTheme="minorHAnsi" w:cstheme="minorHAnsi"/>
        </w:rPr>
        <w:t>eriod. </w:t>
      </w:r>
      <w:r w:rsidR="006D1439" w:rsidRPr="00B5287A">
        <w:rPr>
          <w:rFonts w:asciiTheme="minorHAnsi" w:eastAsia="Arial" w:hAnsiTheme="minorHAnsi" w:cstheme="minorHAnsi"/>
        </w:rPr>
        <w:t xml:space="preserve"> </w:t>
      </w:r>
      <w:r w:rsidRPr="00B5287A">
        <w:rPr>
          <w:rFonts w:asciiTheme="minorHAnsi" w:eastAsia="Arial" w:hAnsiTheme="minorHAnsi" w:cstheme="minorHAnsi"/>
        </w:rPr>
        <w:t>ADOSH continued to reach fewer </w:t>
      </w:r>
      <w:r w:rsidR="004921DA">
        <w:rPr>
          <w:rFonts w:asciiTheme="minorHAnsi" w:eastAsia="Arial" w:hAnsiTheme="minorHAnsi" w:cstheme="minorHAnsi"/>
        </w:rPr>
        <w:t>establishments</w:t>
      </w:r>
      <w:r w:rsidRPr="00B5287A">
        <w:rPr>
          <w:rFonts w:asciiTheme="minorHAnsi" w:eastAsia="Arial" w:hAnsiTheme="minorHAnsi" w:cstheme="minorHAnsi"/>
        </w:rPr>
        <w:t> with enforcement activity than the national average. </w:t>
      </w:r>
      <w:r w:rsidR="0007004F">
        <w:rPr>
          <w:rFonts w:asciiTheme="minorHAnsi" w:eastAsia="Arial" w:hAnsiTheme="minorHAnsi" w:cstheme="minorHAnsi"/>
        </w:rPr>
        <w:t xml:space="preserve"> </w:t>
      </w:r>
    </w:p>
    <w:p w14:paraId="52B9DF0E" w14:textId="77777777" w:rsidR="0009205D" w:rsidRPr="00B5287A" w:rsidRDefault="0009205D" w:rsidP="00B5287A">
      <w:pPr>
        <w:rPr>
          <w:rFonts w:eastAsia="Arial"/>
        </w:rPr>
      </w:pPr>
    </w:p>
    <w:p w14:paraId="5AC112D3" w14:textId="5525A461" w:rsidR="0025709A" w:rsidRDefault="009E6410" w:rsidP="0096521A">
      <w:pPr>
        <w:widowControl/>
        <w:autoSpaceDE/>
        <w:autoSpaceDN/>
        <w:adjustRightInd/>
        <w:textAlignment w:val="baseline"/>
        <w:rPr>
          <w:rFonts w:asciiTheme="minorHAnsi" w:hAnsiTheme="minorHAnsi" w:cstheme="minorBidi"/>
        </w:rPr>
      </w:pPr>
      <w:r w:rsidRPr="00235244">
        <w:rPr>
          <w:rFonts w:asciiTheme="minorHAnsi" w:hAnsiTheme="minorHAnsi" w:cstheme="minorBidi"/>
        </w:rPr>
        <w:t xml:space="preserve">Since FY 2018, </w:t>
      </w:r>
      <w:r w:rsidR="004A6998" w:rsidRPr="00235244">
        <w:rPr>
          <w:rFonts w:asciiTheme="minorHAnsi" w:hAnsiTheme="minorHAnsi" w:cstheme="minorBidi"/>
        </w:rPr>
        <w:t xml:space="preserve">ADOSH </w:t>
      </w:r>
      <w:r w:rsidRPr="00235244">
        <w:rPr>
          <w:rFonts w:asciiTheme="minorHAnsi" w:hAnsiTheme="minorHAnsi" w:cstheme="minorBidi"/>
        </w:rPr>
        <w:t>has been</w:t>
      </w:r>
      <w:r w:rsidR="00277EED" w:rsidRPr="00235244">
        <w:rPr>
          <w:rFonts w:asciiTheme="minorHAnsi" w:hAnsiTheme="minorHAnsi" w:cstheme="minorBidi"/>
        </w:rPr>
        <w:t xml:space="preserve"> challenged with meeting inspection goals</w:t>
      </w:r>
      <w:r w:rsidR="00B47190">
        <w:rPr>
          <w:rFonts w:asciiTheme="minorHAnsi" w:hAnsiTheme="minorHAnsi" w:cstheme="minorBidi"/>
        </w:rPr>
        <w:t xml:space="preserve">, as shown in Table </w:t>
      </w:r>
      <w:r w:rsidR="00C6056A">
        <w:rPr>
          <w:rFonts w:asciiTheme="minorHAnsi" w:hAnsiTheme="minorHAnsi" w:cstheme="minorBidi"/>
        </w:rPr>
        <w:t>A</w:t>
      </w:r>
      <w:r w:rsidR="00B47190">
        <w:rPr>
          <w:rFonts w:asciiTheme="minorHAnsi" w:hAnsiTheme="minorHAnsi" w:cstheme="minorBidi"/>
        </w:rPr>
        <w:t xml:space="preserve"> below</w:t>
      </w:r>
      <w:r w:rsidRPr="00235244">
        <w:rPr>
          <w:rFonts w:asciiTheme="minorHAnsi" w:hAnsiTheme="minorHAnsi" w:cstheme="minorBidi"/>
        </w:rPr>
        <w:t xml:space="preserve">.  </w:t>
      </w:r>
      <w:r w:rsidR="00525F7E">
        <w:rPr>
          <w:rFonts w:asciiTheme="minorHAnsi" w:hAnsiTheme="minorHAnsi" w:cstheme="minorBidi"/>
        </w:rPr>
        <w:t xml:space="preserve">At the beginning of the review period, </w:t>
      </w:r>
      <w:r w:rsidR="00C80ABB" w:rsidRPr="00235244">
        <w:rPr>
          <w:rFonts w:asciiTheme="minorHAnsi" w:hAnsiTheme="minorHAnsi" w:cstheme="minorBidi"/>
        </w:rPr>
        <w:t xml:space="preserve">ADOSH negotiated a lower total inspection projection </w:t>
      </w:r>
      <w:r w:rsidR="00235244">
        <w:rPr>
          <w:rFonts w:asciiTheme="minorHAnsi" w:hAnsiTheme="minorHAnsi" w:cstheme="minorBidi"/>
        </w:rPr>
        <w:t xml:space="preserve">through the </w:t>
      </w:r>
      <w:r w:rsidR="00C80ABB" w:rsidRPr="00235244">
        <w:rPr>
          <w:rFonts w:asciiTheme="minorHAnsi" w:hAnsiTheme="minorHAnsi" w:cstheme="minorBidi"/>
        </w:rPr>
        <w:t xml:space="preserve">FY 2025 </w:t>
      </w:r>
      <w:r w:rsidR="00235244">
        <w:rPr>
          <w:rFonts w:asciiTheme="minorHAnsi" w:hAnsiTheme="minorHAnsi" w:cstheme="minorBidi"/>
        </w:rPr>
        <w:t xml:space="preserve">23(g) grant application </w:t>
      </w:r>
      <w:r w:rsidR="00B03970" w:rsidRPr="00235244">
        <w:rPr>
          <w:rFonts w:asciiTheme="minorHAnsi" w:hAnsiTheme="minorHAnsi" w:cstheme="minorBidi"/>
        </w:rPr>
        <w:t>to align more realistically with</w:t>
      </w:r>
      <w:r w:rsidR="00235244">
        <w:rPr>
          <w:rFonts w:asciiTheme="minorHAnsi" w:hAnsiTheme="minorHAnsi" w:cstheme="minorBidi"/>
        </w:rPr>
        <w:t xml:space="preserve"> their</w:t>
      </w:r>
      <w:r w:rsidR="00B03970" w:rsidRPr="00235244">
        <w:rPr>
          <w:rFonts w:asciiTheme="minorHAnsi" w:hAnsiTheme="minorHAnsi" w:cstheme="minorBidi"/>
        </w:rPr>
        <w:t xml:space="preserve"> </w:t>
      </w:r>
      <w:r w:rsidR="00B03970" w:rsidRPr="000E6BCF">
        <w:rPr>
          <w:rFonts w:asciiTheme="minorHAnsi" w:hAnsiTheme="minorHAnsi" w:cstheme="minorBidi"/>
        </w:rPr>
        <w:t xml:space="preserve">resources.  </w:t>
      </w:r>
      <w:r w:rsidR="00372009" w:rsidRPr="000E6BCF">
        <w:rPr>
          <w:rFonts w:asciiTheme="minorHAnsi" w:hAnsiTheme="minorHAnsi" w:cstheme="minorBidi"/>
        </w:rPr>
        <w:t xml:space="preserve">This included </w:t>
      </w:r>
      <w:r w:rsidR="00525F7E">
        <w:rPr>
          <w:rFonts w:asciiTheme="minorHAnsi" w:hAnsiTheme="minorHAnsi" w:cstheme="minorBidi"/>
        </w:rPr>
        <w:t xml:space="preserve">reducing total inspections to </w:t>
      </w:r>
      <w:r w:rsidR="009544EE">
        <w:rPr>
          <w:rFonts w:asciiTheme="minorHAnsi" w:hAnsiTheme="minorHAnsi" w:cstheme="minorBidi"/>
        </w:rPr>
        <w:t>545 safety</w:t>
      </w:r>
      <w:r w:rsidR="000A37E0">
        <w:rPr>
          <w:rFonts w:asciiTheme="minorHAnsi" w:hAnsiTheme="minorHAnsi" w:cstheme="minorBidi"/>
        </w:rPr>
        <w:t xml:space="preserve"> and 205 health</w:t>
      </w:r>
      <w:r w:rsidR="006A30C1">
        <w:rPr>
          <w:rFonts w:asciiTheme="minorHAnsi" w:hAnsiTheme="minorHAnsi" w:cstheme="minorBidi"/>
        </w:rPr>
        <w:t xml:space="preserve"> for the review period</w:t>
      </w:r>
      <w:r w:rsidR="000A37E0">
        <w:rPr>
          <w:rFonts w:asciiTheme="minorHAnsi" w:hAnsiTheme="minorHAnsi" w:cstheme="minorBidi"/>
        </w:rPr>
        <w:t xml:space="preserve">.  </w:t>
      </w:r>
      <w:r w:rsidR="00B47190">
        <w:rPr>
          <w:rFonts w:asciiTheme="minorHAnsi" w:hAnsiTheme="minorHAnsi" w:cstheme="minorBidi"/>
        </w:rPr>
        <w:t>Despite modifications to this goal</w:t>
      </w:r>
      <w:r w:rsidR="000A37E0">
        <w:rPr>
          <w:rFonts w:asciiTheme="minorHAnsi" w:hAnsiTheme="minorHAnsi" w:cstheme="minorBidi"/>
        </w:rPr>
        <w:t xml:space="preserve">, Arizona fell short with </w:t>
      </w:r>
      <w:r w:rsidR="00372009" w:rsidRPr="000E6BCF">
        <w:rPr>
          <w:rFonts w:asciiTheme="minorHAnsi" w:hAnsiTheme="minorHAnsi" w:cstheme="minorBidi"/>
        </w:rPr>
        <w:t>210 (</w:t>
      </w:r>
      <w:r w:rsidR="00CA1A3B" w:rsidRPr="000E6BCF">
        <w:rPr>
          <w:rFonts w:asciiTheme="minorHAnsi" w:hAnsiTheme="minorHAnsi" w:cstheme="minorBidi"/>
        </w:rPr>
        <w:t>39</w:t>
      </w:r>
      <w:r w:rsidR="00372009" w:rsidRPr="000E6BCF">
        <w:rPr>
          <w:rFonts w:asciiTheme="minorHAnsi" w:hAnsiTheme="minorHAnsi" w:cstheme="minorBidi"/>
        </w:rPr>
        <w:t xml:space="preserve">%) safety </w:t>
      </w:r>
      <w:r w:rsidR="003D08B2">
        <w:rPr>
          <w:rFonts w:asciiTheme="minorHAnsi" w:hAnsiTheme="minorHAnsi" w:cstheme="minorBidi"/>
        </w:rPr>
        <w:t xml:space="preserve">inspections (SAMM 7a) </w:t>
      </w:r>
      <w:r w:rsidR="00372009" w:rsidRPr="000E6BCF">
        <w:rPr>
          <w:rFonts w:asciiTheme="minorHAnsi" w:hAnsiTheme="minorHAnsi" w:cstheme="minorBidi"/>
        </w:rPr>
        <w:t>and 68 (</w:t>
      </w:r>
      <w:r w:rsidR="000E6BCF" w:rsidRPr="000E6BCF">
        <w:rPr>
          <w:rFonts w:asciiTheme="minorHAnsi" w:hAnsiTheme="minorHAnsi" w:cstheme="minorBidi"/>
        </w:rPr>
        <w:t>33</w:t>
      </w:r>
      <w:r w:rsidR="00372009" w:rsidRPr="000E6BCF">
        <w:rPr>
          <w:rFonts w:asciiTheme="minorHAnsi" w:hAnsiTheme="minorHAnsi" w:cstheme="minorBidi"/>
        </w:rPr>
        <w:t>%) health inspections</w:t>
      </w:r>
      <w:r w:rsidR="000A2C5E">
        <w:rPr>
          <w:rFonts w:asciiTheme="minorHAnsi" w:hAnsiTheme="minorHAnsi" w:cstheme="minorBidi"/>
        </w:rPr>
        <w:t xml:space="preserve"> (SAMM 7</w:t>
      </w:r>
      <w:r w:rsidR="003D08B2">
        <w:rPr>
          <w:rFonts w:asciiTheme="minorHAnsi" w:hAnsiTheme="minorHAnsi" w:cstheme="minorBidi"/>
        </w:rPr>
        <w:t>b</w:t>
      </w:r>
      <w:r w:rsidR="000A2C5E">
        <w:rPr>
          <w:rFonts w:asciiTheme="minorHAnsi" w:hAnsiTheme="minorHAnsi" w:cstheme="minorBidi"/>
        </w:rPr>
        <w:t>)</w:t>
      </w:r>
      <w:r w:rsidR="006A30C1">
        <w:rPr>
          <w:rFonts w:asciiTheme="minorHAnsi" w:hAnsiTheme="minorHAnsi" w:cstheme="minorBidi"/>
        </w:rPr>
        <w:t>, down from 616 the previous year</w:t>
      </w:r>
      <w:r w:rsidR="000A37E0">
        <w:rPr>
          <w:rFonts w:asciiTheme="minorHAnsi" w:hAnsiTheme="minorHAnsi" w:cstheme="minorBidi"/>
        </w:rPr>
        <w:t xml:space="preserve">.  </w:t>
      </w:r>
      <w:r w:rsidR="00ED5FAE">
        <w:rPr>
          <w:rFonts w:asciiTheme="minorHAnsi" w:hAnsiTheme="minorHAnsi" w:cstheme="minorBidi"/>
        </w:rPr>
        <w:t xml:space="preserve">The FRL was less than 436 safety inspections and </w:t>
      </w:r>
      <w:r w:rsidR="00ED5FAE" w:rsidRPr="00C6056A">
        <w:rPr>
          <w:rFonts w:asciiTheme="minorHAnsi" w:hAnsiTheme="minorHAnsi" w:cstheme="minorBidi"/>
        </w:rPr>
        <w:t>164</w:t>
      </w:r>
      <w:r w:rsidR="00ED5FAE">
        <w:rPr>
          <w:rFonts w:asciiTheme="minorHAnsi" w:hAnsiTheme="minorHAnsi" w:cstheme="minorBidi"/>
        </w:rPr>
        <w:t xml:space="preserve"> for health</w:t>
      </w:r>
      <w:r w:rsidR="00ED5FAE" w:rsidRPr="00C6056A">
        <w:rPr>
          <w:rFonts w:asciiTheme="minorHAnsi" w:hAnsiTheme="minorHAnsi" w:cstheme="minorBidi"/>
        </w:rPr>
        <w:t xml:space="preserve">, which was based on a three-year national average. </w:t>
      </w:r>
      <w:r w:rsidR="00ED5FAE">
        <w:rPr>
          <w:rFonts w:asciiTheme="minorHAnsi" w:hAnsiTheme="minorHAnsi" w:cstheme="minorBidi"/>
        </w:rPr>
        <w:t xml:space="preserve"> </w:t>
      </w:r>
      <w:r w:rsidR="00C734B4" w:rsidRPr="00C6056A">
        <w:rPr>
          <w:rFonts w:asciiTheme="minorHAnsi" w:hAnsiTheme="minorHAnsi" w:cstheme="minorBidi"/>
        </w:rPr>
        <w:t>The main contributing factor</w:t>
      </w:r>
      <w:r w:rsidR="00ED5FAE">
        <w:rPr>
          <w:rFonts w:asciiTheme="minorHAnsi" w:hAnsiTheme="minorHAnsi" w:cstheme="minorBidi"/>
        </w:rPr>
        <w:t>s</w:t>
      </w:r>
      <w:r w:rsidR="00C734B4" w:rsidRPr="00C6056A">
        <w:rPr>
          <w:rFonts w:asciiTheme="minorHAnsi" w:hAnsiTheme="minorHAnsi" w:cstheme="minorBidi"/>
        </w:rPr>
        <w:t xml:space="preserve"> </w:t>
      </w:r>
      <w:r w:rsidR="00ED5FAE" w:rsidRPr="00C6056A">
        <w:rPr>
          <w:rFonts w:asciiTheme="minorHAnsi" w:hAnsiTheme="minorHAnsi" w:cstheme="minorBidi"/>
        </w:rPr>
        <w:t>w</w:t>
      </w:r>
      <w:r w:rsidR="00ED5FAE">
        <w:rPr>
          <w:rFonts w:asciiTheme="minorHAnsi" w:hAnsiTheme="minorHAnsi" w:cstheme="minorBidi"/>
        </w:rPr>
        <w:t>ere</w:t>
      </w:r>
      <w:r w:rsidR="00ED5FAE" w:rsidRPr="00C6056A">
        <w:rPr>
          <w:rFonts w:asciiTheme="minorHAnsi" w:hAnsiTheme="minorHAnsi" w:cstheme="minorBidi"/>
        </w:rPr>
        <w:t xml:space="preserve"> </w:t>
      </w:r>
      <w:r w:rsidR="006A30C1">
        <w:rPr>
          <w:rFonts w:asciiTheme="minorHAnsi" w:hAnsiTheme="minorHAnsi" w:cstheme="minorBidi"/>
        </w:rPr>
        <w:t>staffing turnover</w:t>
      </w:r>
      <w:r w:rsidR="00C734B4" w:rsidRPr="00C6056A">
        <w:rPr>
          <w:rFonts w:asciiTheme="minorHAnsi" w:hAnsiTheme="minorHAnsi" w:cstheme="minorBidi"/>
        </w:rPr>
        <w:t xml:space="preserve"> and lack of trained staff available to conduct inspections independently.  </w:t>
      </w:r>
      <w:r w:rsidR="00752AC1">
        <w:rPr>
          <w:rFonts w:asciiTheme="minorHAnsi" w:hAnsiTheme="minorHAnsi" w:cstheme="minorBidi"/>
        </w:rPr>
        <w:t xml:space="preserve">ADOSH had to compete with other </w:t>
      </w:r>
      <w:r w:rsidR="00ED5FAE">
        <w:rPr>
          <w:rFonts w:asciiTheme="minorHAnsi" w:hAnsiTheme="minorHAnsi" w:cstheme="minorBidi"/>
        </w:rPr>
        <w:t xml:space="preserve">state agencies in the ICA </w:t>
      </w:r>
      <w:r w:rsidR="00F0521E">
        <w:rPr>
          <w:rFonts w:asciiTheme="minorHAnsi" w:hAnsiTheme="minorHAnsi" w:cstheme="minorBidi"/>
        </w:rPr>
        <w:t>to</w:t>
      </w:r>
      <w:r w:rsidR="00ED5FAE">
        <w:rPr>
          <w:rFonts w:asciiTheme="minorHAnsi" w:hAnsiTheme="minorHAnsi" w:cstheme="minorBidi"/>
        </w:rPr>
        <w:t xml:space="preserve"> backfill vacant positions, but nonetheless they continued to recruit.  OSHA continues to monitor ADOSH’s staffing levels </w:t>
      </w:r>
      <w:r w:rsidR="00356F6C">
        <w:rPr>
          <w:rFonts w:asciiTheme="minorHAnsi" w:hAnsiTheme="minorHAnsi" w:cstheme="minorBidi"/>
        </w:rPr>
        <w:t xml:space="preserve">and this will be </w:t>
      </w:r>
      <w:r w:rsidR="00A43D48">
        <w:rPr>
          <w:rFonts w:asciiTheme="minorHAnsi" w:hAnsiTheme="minorHAnsi" w:cstheme="minorBidi"/>
        </w:rPr>
        <w:t xml:space="preserve">reviewed during the next evaluation period.  </w:t>
      </w:r>
      <w:r w:rsidR="00C6056A">
        <w:rPr>
          <w:rFonts w:asciiTheme="minorHAnsi" w:hAnsiTheme="minorHAnsi" w:cstheme="minorBidi"/>
        </w:rPr>
        <w:t xml:space="preserve">This finding is continued.  </w:t>
      </w:r>
    </w:p>
    <w:p w14:paraId="002A5D5C" w14:textId="77777777" w:rsidR="00C6056A" w:rsidRDefault="00C6056A" w:rsidP="0096521A">
      <w:pPr>
        <w:widowControl/>
        <w:autoSpaceDE/>
        <w:autoSpaceDN/>
        <w:adjustRightInd/>
        <w:textAlignment w:val="baseline"/>
        <w:rPr>
          <w:rFonts w:asciiTheme="minorHAnsi" w:hAnsiTheme="minorHAnsi" w:cstheme="minorBidi"/>
        </w:rPr>
      </w:pPr>
    </w:p>
    <w:p w14:paraId="3BF5076E" w14:textId="1ED850FE" w:rsidR="00C6056A" w:rsidRPr="002A15DB" w:rsidRDefault="00C6056A" w:rsidP="00C6056A">
      <w:pPr>
        <w:rPr>
          <w:rFonts w:asciiTheme="minorHAnsi" w:hAnsiTheme="minorHAnsi" w:cstheme="minorBidi"/>
        </w:rPr>
      </w:pPr>
      <w:r w:rsidRPr="002A15DB">
        <w:rPr>
          <w:rFonts w:asciiTheme="minorHAnsi" w:hAnsiTheme="minorHAnsi" w:cstheme="minorBidi"/>
          <w:b/>
          <w:bCs/>
        </w:rPr>
        <w:t>Finding FY 2025-</w:t>
      </w:r>
      <w:r w:rsidR="00944F55" w:rsidRPr="002A15DB">
        <w:rPr>
          <w:rFonts w:asciiTheme="minorHAnsi" w:hAnsiTheme="minorHAnsi" w:cstheme="minorBidi"/>
          <w:b/>
          <w:bCs/>
        </w:rPr>
        <w:t>05:</w:t>
      </w:r>
      <w:r w:rsidRPr="002A15DB">
        <w:rPr>
          <w:rFonts w:asciiTheme="minorHAnsi" w:hAnsiTheme="minorHAnsi" w:cstheme="minorBidi"/>
        </w:rPr>
        <w:t xml:space="preserve"> A total of 278 (37.07%) inspections were conducted, which was below the negotiated goal of 750</w:t>
      </w:r>
      <w:r w:rsidR="00902BA8" w:rsidRPr="002A15DB">
        <w:rPr>
          <w:rFonts w:asciiTheme="minorHAnsi" w:hAnsiTheme="minorHAnsi" w:cstheme="minorBidi"/>
        </w:rPr>
        <w:t xml:space="preserve"> (SAMM 7)</w:t>
      </w:r>
      <w:r w:rsidRPr="002A15DB">
        <w:rPr>
          <w:rFonts w:asciiTheme="minorHAnsi" w:hAnsiTheme="minorHAnsi" w:cstheme="minorBidi"/>
        </w:rPr>
        <w:t>.</w:t>
      </w:r>
    </w:p>
    <w:p w14:paraId="422AD3D6" w14:textId="77777777" w:rsidR="00C6056A" w:rsidRPr="002A15DB" w:rsidRDefault="00C6056A" w:rsidP="00C6056A">
      <w:pPr>
        <w:rPr>
          <w:rFonts w:asciiTheme="minorHAnsi" w:hAnsiTheme="minorHAnsi" w:cstheme="minorBidi"/>
          <w:b/>
          <w:bCs/>
          <w:u w:val="single"/>
        </w:rPr>
      </w:pPr>
    </w:p>
    <w:p w14:paraId="000DA086" w14:textId="1FEFAA06" w:rsidR="00C6056A" w:rsidRPr="002A15DB" w:rsidRDefault="00C6056A" w:rsidP="00C6056A">
      <w:pPr>
        <w:rPr>
          <w:rFonts w:asciiTheme="minorHAnsi" w:hAnsiTheme="minorHAnsi" w:cstheme="minorBidi"/>
          <w:i/>
          <w:iCs/>
          <w:highlight w:val="yellow"/>
        </w:rPr>
      </w:pPr>
      <w:r w:rsidRPr="002A15DB">
        <w:rPr>
          <w:rFonts w:asciiTheme="minorHAnsi" w:hAnsiTheme="minorHAnsi" w:cstheme="minorBidi"/>
          <w:b/>
          <w:bCs/>
        </w:rPr>
        <w:t>Recommendation FY 2025-</w:t>
      </w:r>
      <w:r w:rsidR="00944F55" w:rsidRPr="002A15DB">
        <w:rPr>
          <w:rFonts w:asciiTheme="minorHAnsi" w:hAnsiTheme="minorHAnsi" w:cstheme="minorBidi"/>
          <w:b/>
          <w:bCs/>
        </w:rPr>
        <w:t>05</w:t>
      </w:r>
      <w:r w:rsidRPr="002A15DB">
        <w:rPr>
          <w:rFonts w:asciiTheme="minorHAnsi" w:hAnsiTheme="minorHAnsi" w:cstheme="minorBidi"/>
          <w:b/>
          <w:bCs/>
        </w:rPr>
        <w:t>:</w:t>
      </w:r>
      <w:r w:rsidRPr="002A15DB">
        <w:rPr>
          <w:rFonts w:asciiTheme="minorHAnsi" w:hAnsiTheme="minorHAnsi" w:cstheme="minorBidi"/>
        </w:rPr>
        <w:t xml:space="preserve"> ADOSH should identify methods to increase the number of safety and health inspections conducted. </w:t>
      </w:r>
    </w:p>
    <w:p w14:paraId="2197D619" w14:textId="779ACE54" w:rsidR="0025709A" w:rsidRPr="008D4EBA" w:rsidRDefault="00655723" w:rsidP="0025709A">
      <w:pPr>
        <w:widowControl/>
        <w:autoSpaceDE/>
        <w:autoSpaceDN/>
        <w:adjustRightInd/>
        <w:textAlignment w:val="baseline"/>
        <w:rPr>
          <w:rFonts w:asciiTheme="minorHAnsi" w:hAnsiTheme="minorHAnsi" w:cstheme="minorHAnsi"/>
        </w:rPr>
      </w:pPr>
      <w:r>
        <w:rPr>
          <w:rFonts w:asciiTheme="minorHAnsi" w:hAnsiTheme="minorHAnsi" w:cstheme="minorBidi"/>
        </w:rPr>
        <w:br w:type="column"/>
      </w:r>
      <w:r w:rsidR="0025709A" w:rsidRPr="0025709A">
        <w:rPr>
          <w:rFonts w:asciiTheme="minorHAnsi" w:hAnsiTheme="minorHAnsi" w:cstheme="minorHAnsi"/>
          <w:b/>
          <w:bCs/>
        </w:rPr>
        <w:lastRenderedPageBreak/>
        <w:t xml:space="preserve">Table </w:t>
      </w:r>
      <w:r w:rsidR="00253613">
        <w:rPr>
          <w:rFonts w:asciiTheme="minorHAnsi" w:hAnsiTheme="minorHAnsi" w:cstheme="minorHAnsi"/>
          <w:b/>
          <w:bCs/>
        </w:rPr>
        <w:t>A</w:t>
      </w:r>
    </w:p>
    <w:p w14:paraId="58FD526D" w14:textId="77777777" w:rsidR="0025709A" w:rsidRDefault="0025709A" w:rsidP="0025709A">
      <w:pPr>
        <w:widowControl/>
        <w:autoSpaceDE/>
        <w:autoSpaceDN/>
        <w:adjustRightInd/>
        <w:textAlignment w:val="baseline"/>
        <w:rPr>
          <w:rFonts w:asciiTheme="minorHAnsi" w:hAnsiTheme="minorHAnsi" w:cstheme="minorHAnsi"/>
        </w:rPr>
      </w:pPr>
      <w:r w:rsidRPr="0025709A">
        <w:rPr>
          <w:rFonts w:asciiTheme="minorHAnsi" w:hAnsiTheme="minorHAnsi" w:cstheme="minorHAnsi"/>
          <w:b/>
          <w:bCs/>
        </w:rPr>
        <w:t>Projected versus Actual Inspections </w:t>
      </w:r>
      <w:r w:rsidRPr="0025709A">
        <w:rPr>
          <w:rFonts w:asciiTheme="minorHAnsi" w:hAnsiTheme="minorHAnsi" w:cstheme="minorHAnsi"/>
        </w:rPr>
        <w:t> </w:t>
      </w:r>
    </w:p>
    <w:p w14:paraId="55640807" w14:textId="77777777" w:rsidR="002F3168" w:rsidRPr="008D4EBA" w:rsidRDefault="002F3168" w:rsidP="0025709A">
      <w:pPr>
        <w:widowControl/>
        <w:autoSpaceDE/>
        <w:autoSpaceDN/>
        <w:adjustRightInd/>
        <w:textAlignment w:val="baseline"/>
        <w:rPr>
          <w:rFonts w:asciiTheme="minorHAnsi" w:hAnsiTheme="minorHAnsi" w:cstheme="minorHAnsi"/>
        </w:rPr>
      </w:pPr>
    </w:p>
    <w:tbl>
      <w:tblPr>
        <w:tblW w:w="80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2092"/>
        <w:gridCol w:w="1890"/>
        <w:gridCol w:w="2700"/>
      </w:tblGrid>
      <w:tr w:rsidR="008F710D" w:rsidRPr="0025709A" w14:paraId="542B0F2D"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094FF52B" w14:textId="77777777" w:rsidR="0025709A" w:rsidRPr="00E23DC4" w:rsidRDefault="0025709A" w:rsidP="0025709A">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Fiscal Year </w:t>
            </w:r>
            <w:r w:rsidRPr="00E23DC4">
              <w:rPr>
                <w:rFonts w:asciiTheme="minorHAnsi" w:hAnsiTheme="minorHAnsi" w:cstheme="minorHAnsi"/>
                <w:sz w:val="22"/>
                <w:szCs w:val="22"/>
              </w:rPr>
              <w:t> </w:t>
            </w:r>
          </w:p>
        </w:tc>
        <w:tc>
          <w:tcPr>
            <w:tcW w:w="2092" w:type="dxa"/>
            <w:tcBorders>
              <w:top w:val="single" w:sz="6" w:space="0" w:color="auto"/>
              <w:left w:val="single" w:sz="6" w:space="0" w:color="auto"/>
              <w:bottom w:val="single" w:sz="6" w:space="0" w:color="auto"/>
              <w:right w:val="single" w:sz="6" w:space="0" w:color="auto"/>
            </w:tcBorders>
            <w:hideMark/>
          </w:tcPr>
          <w:p w14:paraId="5B7D36BB" w14:textId="77777777" w:rsidR="0025709A" w:rsidRPr="00E23DC4" w:rsidRDefault="0025709A" w:rsidP="0025709A">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Total Projected Goal </w:t>
            </w:r>
            <w:r w:rsidRPr="00E23DC4">
              <w:rPr>
                <w:rFonts w:asciiTheme="minorHAnsi" w:hAnsiTheme="minorHAnsi" w:cstheme="minorHAnsi"/>
                <w:sz w:val="22"/>
                <w:szCs w:val="22"/>
              </w:rPr>
              <w:t> </w:t>
            </w:r>
          </w:p>
        </w:tc>
        <w:tc>
          <w:tcPr>
            <w:tcW w:w="1890" w:type="dxa"/>
            <w:tcBorders>
              <w:top w:val="single" w:sz="6" w:space="0" w:color="auto"/>
              <w:left w:val="single" w:sz="6" w:space="0" w:color="auto"/>
              <w:bottom w:val="single" w:sz="6" w:space="0" w:color="auto"/>
              <w:right w:val="single" w:sz="6" w:space="0" w:color="auto"/>
            </w:tcBorders>
            <w:hideMark/>
          </w:tcPr>
          <w:p w14:paraId="6DA9820B" w14:textId="77777777" w:rsidR="0025709A" w:rsidRPr="00E23DC4" w:rsidRDefault="0025709A" w:rsidP="0025709A">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Actual Inspections </w:t>
            </w:r>
            <w:r w:rsidRPr="00E23DC4">
              <w:rPr>
                <w:rFonts w:asciiTheme="minorHAnsi" w:hAnsiTheme="minorHAnsi" w:cstheme="minorHAnsi"/>
                <w:sz w:val="22"/>
                <w:szCs w:val="22"/>
              </w:rPr>
              <w:t> </w:t>
            </w:r>
          </w:p>
        </w:tc>
        <w:tc>
          <w:tcPr>
            <w:tcW w:w="2700" w:type="dxa"/>
            <w:tcBorders>
              <w:top w:val="single" w:sz="6" w:space="0" w:color="auto"/>
              <w:left w:val="single" w:sz="6" w:space="0" w:color="auto"/>
              <w:bottom w:val="single" w:sz="6" w:space="0" w:color="auto"/>
              <w:right w:val="single" w:sz="6" w:space="0" w:color="auto"/>
            </w:tcBorders>
            <w:hideMark/>
          </w:tcPr>
          <w:p w14:paraId="1AEEBF3C" w14:textId="77777777" w:rsidR="0025709A" w:rsidRPr="00E23DC4" w:rsidRDefault="0025709A" w:rsidP="0025709A">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Percent Inspections Completed</w:t>
            </w:r>
            <w:r w:rsidRPr="00E23DC4">
              <w:rPr>
                <w:rFonts w:asciiTheme="minorHAnsi" w:hAnsiTheme="minorHAnsi" w:cstheme="minorHAnsi"/>
                <w:sz w:val="22"/>
                <w:szCs w:val="22"/>
              </w:rPr>
              <w:t> </w:t>
            </w:r>
          </w:p>
        </w:tc>
      </w:tr>
      <w:tr w:rsidR="008F710D" w:rsidRPr="0025709A" w14:paraId="120E85AC"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tcPr>
          <w:p w14:paraId="5B2FCB21" w14:textId="4A588947" w:rsidR="004B6DA9" w:rsidRPr="00E23DC4" w:rsidRDefault="004B6DA9"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2025</w:t>
            </w:r>
          </w:p>
        </w:tc>
        <w:tc>
          <w:tcPr>
            <w:tcW w:w="2092" w:type="dxa"/>
            <w:tcBorders>
              <w:top w:val="single" w:sz="6" w:space="0" w:color="auto"/>
              <w:left w:val="single" w:sz="6" w:space="0" w:color="auto"/>
              <w:bottom w:val="single" w:sz="6" w:space="0" w:color="auto"/>
              <w:right w:val="single" w:sz="6" w:space="0" w:color="auto"/>
            </w:tcBorders>
          </w:tcPr>
          <w:p w14:paraId="5390A3ED" w14:textId="64D6E7D0" w:rsidR="004B6DA9" w:rsidRPr="00E23DC4" w:rsidRDefault="00CD40EA"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750</w:t>
            </w:r>
          </w:p>
        </w:tc>
        <w:tc>
          <w:tcPr>
            <w:tcW w:w="1890" w:type="dxa"/>
            <w:tcBorders>
              <w:top w:val="single" w:sz="6" w:space="0" w:color="auto"/>
              <w:left w:val="single" w:sz="6" w:space="0" w:color="auto"/>
              <w:bottom w:val="single" w:sz="6" w:space="0" w:color="auto"/>
              <w:right w:val="single" w:sz="6" w:space="0" w:color="auto"/>
            </w:tcBorders>
          </w:tcPr>
          <w:p w14:paraId="6EEDAD5C" w14:textId="1DD0C0D5" w:rsidR="004B6DA9" w:rsidRPr="00E23DC4" w:rsidRDefault="008F535D"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278</w:t>
            </w:r>
          </w:p>
        </w:tc>
        <w:tc>
          <w:tcPr>
            <w:tcW w:w="2700" w:type="dxa"/>
            <w:tcBorders>
              <w:top w:val="single" w:sz="6" w:space="0" w:color="auto"/>
              <w:left w:val="single" w:sz="6" w:space="0" w:color="auto"/>
              <w:bottom w:val="single" w:sz="6" w:space="0" w:color="auto"/>
              <w:right w:val="single" w:sz="6" w:space="0" w:color="auto"/>
            </w:tcBorders>
          </w:tcPr>
          <w:p w14:paraId="2F20A2B3" w14:textId="3C8446C7" w:rsidR="004B6DA9" w:rsidRPr="00E23DC4" w:rsidRDefault="00747B3B"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37.07%</w:t>
            </w:r>
          </w:p>
        </w:tc>
      </w:tr>
      <w:tr w:rsidR="008F710D" w:rsidRPr="0025709A" w14:paraId="01CDE8C2"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tcPr>
          <w:p w14:paraId="69933313" w14:textId="67264609" w:rsidR="004B6DA9" w:rsidRPr="00E23DC4" w:rsidRDefault="004B6DA9"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2024</w:t>
            </w:r>
          </w:p>
        </w:tc>
        <w:tc>
          <w:tcPr>
            <w:tcW w:w="2092" w:type="dxa"/>
            <w:tcBorders>
              <w:top w:val="single" w:sz="6" w:space="0" w:color="auto"/>
              <w:left w:val="single" w:sz="6" w:space="0" w:color="auto"/>
              <w:bottom w:val="single" w:sz="6" w:space="0" w:color="auto"/>
              <w:right w:val="single" w:sz="6" w:space="0" w:color="auto"/>
            </w:tcBorders>
          </w:tcPr>
          <w:p w14:paraId="4F1B55FD" w14:textId="16380CA0" w:rsidR="004B6DA9" w:rsidRPr="00E23DC4" w:rsidRDefault="00CD40EA"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1,175</w:t>
            </w:r>
          </w:p>
        </w:tc>
        <w:tc>
          <w:tcPr>
            <w:tcW w:w="1890" w:type="dxa"/>
            <w:tcBorders>
              <w:top w:val="single" w:sz="6" w:space="0" w:color="auto"/>
              <w:left w:val="single" w:sz="6" w:space="0" w:color="auto"/>
              <w:bottom w:val="single" w:sz="6" w:space="0" w:color="auto"/>
              <w:right w:val="single" w:sz="6" w:space="0" w:color="auto"/>
            </w:tcBorders>
          </w:tcPr>
          <w:p w14:paraId="66BEAEF0" w14:textId="34525B80" w:rsidR="004B6DA9" w:rsidRPr="00E23DC4" w:rsidRDefault="00CD40EA"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616</w:t>
            </w:r>
          </w:p>
        </w:tc>
        <w:tc>
          <w:tcPr>
            <w:tcW w:w="2700" w:type="dxa"/>
            <w:tcBorders>
              <w:top w:val="single" w:sz="6" w:space="0" w:color="auto"/>
              <w:left w:val="single" w:sz="6" w:space="0" w:color="auto"/>
              <w:bottom w:val="single" w:sz="6" w:space="0" w:color="auto"/>
              <w:right w:val="single" w:sz="6" w:space="0" w:color="auto"/>
            </w:tcBorders>
          </w:tcPr>
          <w:p w14:paraId="3C4A19D6" w14:textId="7792006C" w:rsidR="004B6DA9" w:rsidRPr="00E23DC4" w:rsidRDefault="00CD40EA" w:rsidP="00DA0886">
            <w:pPr>
              <w:widowControl/>
              <w:autoSpaceDE/>
              <w:autoSpaceDN/>
              <w:adjustRightInd/>
              <w:textAlignment w:val="baseline"/>
              <w:rPr>
                <w:rStyle w:val="Strong"/>
                <w:rFonts w:asciiTheme="minorHAnsi" w:hAnsiTheme="minorHAnsi" w:cstheme="minorHAnsi"/>
                <w:b w:val="0"/>
                <w:sz w:val="22"/>
                <w:szCs w:val="22"/>
              </w:rPr>
            </w:pPr>
            <w:r>
              <w:rPr>
                <w:rStyle w:val="Strong"/>
                <w:rFonts w:asciiTheme="minorHAnsi" w:hAnsiTheme="minorHAnsi" w:cstheme="minorHAnsi"/>
                <w:b w:val="0"/>
                <w:sz w:val="22"/>
                <w:szCs w:val="22"/>
              </w:rPr>
              <w:t>52.42%</w:t>
            </w:r>
          </w:p>
        </w:tc>
      </w:tr>
      <w:tr w:rsidR="008F710D" w:rsidRPr="0025709A" w14:paraId="3E8B5C2C"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12F21BE6" w14:textId="2F981D05"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2023</w:t>
            </w:r>
          </w:p>
        </w:tc>
        <w:tc>
          <w:tcPr>
            <w:tcW w:w="2092" w:type="dxa"/>
            <w:tcBorders>
              <w:top w:val="single" w:sz="6" w:space="0" w:color="auto"/>
              <w:left w:val="single" w:sz="6" w:space="0" w:color="auto"/>
              <w:bottom w:val="single" w:sz="6" w:space="0" w:color="auto"/>
              <w:right w:val="single" w:sz="6" w:space="0" w:color="auto"/>
            </w:tcBorders>
            <w:hideMark/>
          </w:tcPr>
          <w:p w14:paraId="6D250544" w14:textId="431D1346"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975</w:t>
            </w:r>
          </w:p>
        </w:tc>
        <w:tc>
          <w:tcPr>
            <w:tcW w:w="1890" w:type="dxa"/>
            <w:tcBorders>
              <w:top w:val="single" w:sz="6" w:space="0" w:color="auto"/>
              <w:left w:val="single" w:sz="6" w:space="0" w:color="auto"/>
              <w:bottom w:val="single" w:sz="6" w:space="0" w:color="auto"/>
              <w:right w:val="single" w:sz="6" w:space="0" w:color="auto"/>
            </w:tcBorders>
            <w:hideMark/>
          </w:tcPr>
          <w:p w14:paraId="4048032E" w14:textId="436565F4"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540</w:t>
            </w:r>
          </w:p>
        </w:tc>
        <w:tc>
          <w:tcPr>
            <w:tcW w:w="2700" w:type="dxa"/>
            <w:tcBorders>
              <w:top w:val="single" w:sz="6" w:space="0" w:color="auto"/>
              <w:left w:val="single" w:sz="6" w:space="0" w:color="auto"/>
              <w:bottom w:val="single" w:sz="6" w:space="0" w:color="auto"/>
              <w:right w:val="single" w:sz="6" w:space="0" w:color="auto"/>
            </w:tcBorders>
            <w:hideMark/>
          </w:tcPr>
          <w:p w14:paraId="25AED0C2" w14:textId="2D2C649C"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55.39%</w:t>
            </w:r>
          </w:p>
        </w:tc>
      </w:tr>
      <w:tr w:rsidR="008F710D" w:rsidRPr="0025709A" w14:paraId="707C48FF"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035BD895" w14:textId="2D2D3BF5"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2022</w:t>
            </w:r>
          </w:p>
        </w:tc>
        <w:tc>
          <w:tcPr>
            <w:tcW w:w="2092" w:type="dxa"/>
            <w:tcBorders>
              <w:top w:val="single" w:sz="6" w:space="0" w:color="auto"/>
              <w:left w:val="single" w:sz="6" w:space="0" w:color="auto"/>
              <w:bottom w:val="single" w:sz="6" w:space="0" w:color="auto"/>
              <w:right w:val="single" w:sz="6" w:space="0" w:color="auto"/>
            </w:tcBorders>
            <w:hideMark/>
          </w:tcPr>
          <w:p w14:paraId="75908260" w14:textId="3A308CAD"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775</w:t>
            </w:r>
          </w:p>
        </w:tc>
        <w:tc>
          <w:tcPr>
            <w:tcW w:w="1890" w:type="dxa"/>
            <w:tcBorders>
              <w:top w:val="single" w:sz="6" w:space="0" w:color="auto"/>
              <w:left w:val="single" w:sz="6" w:space="0" w:color="auto"/>
              <w:bottom w:val="single" w:sz="6" w:space="0" w:color="auto"/>
              <w:right w:val="single" w:sz="6" w:space="0" w:color="auto"/>
            </w:tcBorders>
            <w:hideMark/>
          </w:tcPr>
          <w:p w14:paraId="43E68A32" w14:textId="32E7A4F5"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350</w:t>
            </w:r>
          </w:p>
        </w:tc>
        <w:tc>
          <w:tcPr>
            <w:tcW w:w="2700" w:type="dxa"/>
            <w:tcBorders>
              <w:top w:val="single" w:sz="6" w:space="0" w:color="auto"/>
              <w:left w:val="single" w:sz="6" w:space="0" w:color="auto"/>
              <w:bottom w:val="single" w:sz="6" w:space="0" w:color="auto"/>
              <w:right w:val="single" w:sz="6" w:space="0" w:color="auto"/>
            </w:tcBorders>
            <w:hideMark/>
          </w:tcPr>
          <w:p w14:paraId="7E507A99" w14:textId="2FC7410A"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45.16%</w:t>
            </w:r>
          </w:p>
        </w:tc>
      </w:tr>
      <w:tr w:rsidR="008F710D" w:rsidRPr="0025709A" w14:paraId="6ACF2C68"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6B0963EF" w14:textId="2A9BF86E"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2021</w:t>
            </w:r>
          </w:p>
        </w:tc>
        <w:tc>
          <w:tcPr>
            <w:tcW w:w="2092" w:type="dxa"/>
            <w:tcBorders>
              <w:top w:val="single" w:sz="6" w:space="0" w:color="auto"/>
              <w:left w:val="single" w:sz="6" w:space="0" w:color="auto"/>
              <w:bottom w:val="single" w:sz="6" w:space="0" w:color="auto"/>
              <w:right w:val="single" w:sz="6" w:space="0" w:color="auto"/>
            </w:tcBorders>
            <w:hideMark/>
          </w:tcPr>
          <w:p w14:paraId="624BA70E" w14:textId="6D7B9722"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1,100</w:t>
            </w:r>
          </w:p>
        </w:tc>
        <w:tc>
          <w:tcPr>
            <w:tcW w:w="1890" w:type="dxa"/>
            <w:tcBorders>
              <w:top w:val="single" w:sz="6" w:space="0" w:color="auto"/>
              <w:left w:val="single" w:sz="6" w:space="0" w:color="auto"/>
              <w:bottom w:val="single" w:sz="6" w:space="0" w:color="auto"/>
              <w:right w:val="single" w:sz="6" w:space="0" w:color="auto"/>
            </w:tcBorders>
            <w:hideMark/>
          </w:tcPr>
          <w:p w14:paraId="0B54BF32" w14:textId="7906972A"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486</w:t>
            </w:r>
          </w:p>
        </w:tc>
        <w:tc>
          <w:tcPr>
            <w:tcW w:w="2700" w:type="dxa"/>
            <w:tcBorders>
              <w:top w:val="single" w:sz="6" w:space="0" w:color="auto"/>
              <w:left w:val="single" w:sz="6" w:space="0" w:color="auto"/>
              <w:bottom w:val="single" w:sz="6" w:space="0" w:color="auto"/>
              <w:right w:val="single" w:sz="6" w:space="0" w:color="auto"/>
            </w:tcBorders>
            <w:hideMark/>
          </w:tcPr>
          <w:p w14:paraId="4D37A559" w14:textId="59498171"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44.18%</w:t>
            </w:r>
          </w:p>
        </w:tc>
      </w:tr>
      <w:tr w:rsidR="008F710D" w:rsidRPr="0025709A" w14:paraId="7F4D2EB4"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28E79342" w14:textId="7E399248"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2020</w:t>
            </w:r>
          </w:p>
        </w:tc>
        <w:tc>
          <w:tcPr>
            <w:tcW w:w="2092" w:type="dxa"/>
            <w:tcBorders>
              <w:top w:val="single" w:sz="6" w:space="0" w:color="auto"/>
              <w:left w:val="single" w:sz="6" w:space="0" w:color="auto"/>
              <w:bottom w:val="single" w:sz="6" w:space="0" w:color="auto"/>
              <w:right w:val="single" w:sz="6" w:space="0" w:color="auto"/>
            </w:tcBorders>
            <w:hideMark/>
          </w:tcPr>
          <w:p w14:paraId="57092005" w14:textId="0484E180"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1,295</w:t>
            </w:r>
          </w:p>
        </w:tc>
        <w:tc>
          <w:tcPr>
            <w:tcW w:w="1890" w:type="dxa"/>
            <w:tcBorders>
              <w:top w:val="single" w:sz="6" w:space="0" w:color="auto"/>
              <w:left w:val="single" w:sz="6" w:space="0" w:color="auto"/>
              <w:bottom w:val="single" w:sz="6" w:space="0" w:color="auto"/>
              <w:right w:val="single" w:sz="6" w:space="0" w:color="auto"/>
            </w:tcBorders>
            <w:hideMark/>
          </w:tcPr>
          <w:p w14:paraId="141E3FE1" w14:textId="37371EA2"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 xml:space="preserve">540 </w:t>
            </w:r>
          </w:p>
        </w:tc>
        <w:tc>
          <w:tcPr>
            <w:tcW w:w="2700" w:type="dxa"/>
            <w:tcBorders>
              <w:top w:val="single" w:sz="6" w:space="0" w:color="auto"/>
              <w:left w:val="single" w:sz="6" w:space="0" w:color="auto"/>
              <w:bottom w:val="single" w:sz="6" w:space="0" w:color="auto"/>
              <w:right w:val="single" w:sz="6" w:space="0" w:color="auto"/>
            </w:tcBorders>
            <w:hideMark/>
          </w:tcPr>
          <w:p w14:paraId="678548F8" w14:textId="65E21C37" w:rsidR="00DA0886" w:rsidRPr="00E23DC4" w:rsidRDefault="00DA0886" w:rsidP="00DA0886">
            <w:pPr>
              <w:widowControl/>
              <w:autoSpaceDE/>
              <w:autoSpaceDN/>
              <w:adjustRightInd/>
              <w:textAlignment w:val="baseline"/>
              <w:rPr>
                <w:rFonts w:asciiTheme="minorHAnsi" w:hAnsiTheme="minorHAnsi" w:cstheme="minorHAnsi"/>
                <w:b/>
                <w:sz w:val="22"/>
                <w:szCs w:val="22"/>
              </w:rPr>
            </w:pPr>
            <w:r w:rsidRPr="00E23DC4">
              <w:rPr>
                <w:rStyle w:val="Strong"/>
                <w:rFonts w:asciiTheme="minorHAnsi" w:hAnsiTheme="minorHAnsi" w:cstheme="minorHAnsi"/>
                <w:b w:val="0"/>
                <w:sz w:val="22"/>
                <w:szCs w:val="22"/>
              </w:rPr>
              <w:t>41.70%</w:t>
            </w:r>
          </w:p>
        </w:tc>
      </w:tr>
      <w:tr w:rsidR="008F710D" w:rsidRPr="0025709A" w14:paraId="59F11F5F"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tcPr>
          <w:p w14:paraId="75C44913" w14:textId="7CDC7E36" w:rsidR="0035171F" w:rsidRPr="00E23DC4" w:rsidRDefault="72EF5A35"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2019</w:t>
            </w:r>
          </w:p>
        </w:tc>
        <w:tc>
          <w:tcPr>
            <w:tcW w:w="2092" w:type="dxa"/>
            <w:tcBorders>
              <w:top w:val="single" w:sz="6" w:space="0" w:color="auto"/>
              <w:left w:val="single" w:sz="6" w:space="0" w:color="auto"/>
              <w:bottom w:val="single" w:sz="6" w:space="0" w:color="auto"/>
              <w:right w:val="single" w:sz="6" w:space="0" w:color="auto"/>
            </w:tcBorders>
          </w:tcPr>
          <w:p w14:paraId="0634624E" w14:textId="374A4047" w:rsidR="0035171F" w:rsidRPr="00E23DC4" w:rsidRDefault="72EF5A35"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1,295</w:t>
            </w:r>
          </w:p>
        </w:tc>
        <w:tc>
          <w:tcPr>
            <w:tcW w:w="1890" w:type="dxa"/>
            <w:tcBorders>
              <w:top w:val="single" w:sz="6" w:space="0" w:color="auto"/>
              <w:left w:val="single" w:sz="6" w:space="0" w:color="auto"/>
              <w:bottom w:val="single" w:sz="6" w:space="0" w:color="auto"/>
              <w:right w:val="single" w:sz="6" w:space="0" w:color="auto"/>
            </w:tcBorders>
          </w:tcPr>
          <w:p w14:paraId="22ABFC51" w14:textId="35F36A03" w:rsidR="0035171F" w:rsidRPr="00E23DC4" w:rsidRDefault="60AB8502"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545</w:t>
            </w:r>
          </w:p>
        </w:tc>
        <w:tc>
          <w:tcPr>
            <w:tcW w:w="2700" w:type="dxa"/>
            <w:tcBorders>
              <w:top w:val="single" w:sz="6" w:space="0" w:color="auto"/>
              <w:left w:val="single" w:sz="6" w:space="0" w:color="auto"/>
              <w:bottom w:val="single" w:sz="6" w:space="0" w:color="auto"/>
              <w:right w:val="single" w:sz="6" w:space="0" w:color="auto"/>
            </w:tcBorders>
          </w:tcPr>
          <w:p w14:paraId="3AFB68D2" w14:textId="5100A3BB" w:rsidR="0035171F" w:rsidRPr="00E23DC4" w:rsidRDefault="60AB8502"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42.09%</w:t>
            </w:r>
          </w:p>
        </w:tc>
      </w:tr>
      <w:tr w:rsidR="008F710D" w:rsidRPr="0025709A" w14:paraId="2025AD15" w14:textId="77777777" w:rsidTr="003829F5">
        <w:trPr>
          <w:trHeight w:val="300"/>
        </w:trPr>
        <w:tc>
          <w:tcPr>
            <w:tcW w:w="1410" w:type="dxa"/>
            <w:tcBorders>
              <w:top w:val="single" w:sz="6" w:space="0" w:color="auto"/>
              <w:left w:val="single" w:sz="6" w:space="0" w:color="auto"/>
              <w:bottom w:val="single" w:sz="6" w:space="0" w:color="auto"/>
              <w:right w:val="single" w:sz="6" w:space="0" w:color="auto"/>
            </w:tcBorders>
          </w:tcPr>
          <w:p w14:paraId="124D6C9C" w14:textId="6407A047" w:rsidR="0035171F" w:rsidRPr="00E23DC4" w:rsidRDefault="72EF5A35"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2018</w:t>
            </w:r>
          </w:p>
        </w:tc>
        <w:tc>
          <w:tcPr>
            <w:tcW w:w="2092" w:type="dxa"/>
            <w:tcBorders>
              <w:top w:val="single" w:sz="6" w:space="0" w:color="auto"/>
              <w:left w:val="single" w:sz="6" w:space="0" w:color="auto"/>
              <w:bottom w:val="single" w:sz="6" w:space="0" w:color="auto"/>
              <w:right w:val="single" w:sz="6" w:space="0" w:color="auto"/>
            </w:tcBorders>
          </w:tcPr>
          <w:p w14:paraId="3F4C6221" w14:textId="7F624FA4" w:rsidR="0035171F" w:rsidRPr="00E23DC4" w:rsidRDefault="60AB8502"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1,115</w:t>
            </w:r>
          </w:p>
        </w:tc>
        <w:tc>
          <w:tcPr>
            <w:tcW w:w="1890" w:type="dxa"/>
            <w:tcBorders>
              <w:top w:val="single" w:sz="6" w:space="0" w:color="auto"/>
              <w:left w:val="single" w:sz="6" w:space="0" w:color="auto"/>
              <w:bottom w:val="single" w:sz="6" w:space="0" w:color="auto"/>
              <w:right w:val="single" w:sz="6" w:space="0" w:color="auto"/>
            </w:tcBorders>
          </w:tcPr>
          <w:p w14:paraId="705D7470" w14:textId="19DEAECD" w:rsidR="0035171F" w:rsidRPr="00E23DC4" w:rsidRDefault="60AB8502"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613</w:t>
            </w:r>
          </w:p>
        </w:tc>
        <w:tc>
          <w:tcPr>
            <w:tcW w:w="2700" w:type="dxa"/>
            <w:tcBorders>
              <w:top w:val="single" w:sz="6" w:space="0" w:color="auto"/>
              <w:left w:val="single" w:sz="6" w:space="0" w:color="auto"/>
              <w:bottom w:val="single" w:sz="6" w:space="0" w:color="auto"/>
              <w:right w:val="single" w:sz="6" w:space="0" w:color="auto"/>
            </w:tcBorders>
          </w:tcPr>
          <w:p w14:paraId="4C48CE78" w14:textId="50F1F48A" w:rsidR="0035171F" w:rsidRPr="00E23DC4" w:rsidRDefault="60AB8502" w:rsidP="00DA0886">
            <w:pPr>
              <w:widowControl/>
              <w:autoSpaceDE/>
              <w:autoSpaceDN/>
              <w:adjustRightInd/>
              <w:textAlignment w:val="baseline"/>
              <w:rPr>
                <w:rStyle w:val="Strong"/>
                <w:rFonts w:asciiTheme="minorHAnsi" w:hAnsiTheme="minorHAnsi" w:cstheme="minorHAnsi"/>
                <w:b w:val="0"/>
                <w:sz w:val="22"/>
                <w:szCs w:val="22"/>
              </w:rPr>
            </w:pPr>
            <w:r w:rsidRPr="00E23DC4">
              <w:rPr>
                <w:rStyle w:val="Strong"/>
                <w:rFonts w:asciiTheme="minorHAnsi" w:hAnsiTheme="minorHAnsi" w:cstheme="minorHAnsi"/>
                <w:b w:val="0"/>
                <w:sz w:val="22"/>
                <w:szCs w:val="22"/>
              </w:rPr>
              <w:t>54.98%</w:t>
            </w:r>
          </w:p>
        </w:tc>
      </w:tr>
    </w:tbl>
    <w:p w14:paraId="3339222E" w14:textId="69D7A581" w:rsidR="00F97D81" w:rsidRPr="00A547DD" w:rsidRDefault="00F97D81" w:rsidP="00F97D81">
      <w:pPr>
        <w:rPr>
          <w:rFonts w:asciiTheme="minorHAnsi" w:hAnsiTheme="minorHAnsi" w:cstheme="minorHAnsi"/>
          <w:highlight w:val="yellow"/>
        </w:rPr>
      </w:pPr>
    </w:p>
    <w:p w14:paraId="20C5C9EF" w14:textId="29EE15C2" w:rsidR="00F97D81" w:rsidRDefault="00F97D81" w:rsidP="000E0E95">
      <w:pPr>
        <w:pStyle w:val="ListParagraph"/>
        <w:numPr>
          <w:ilvl w:val="0"/>
          <w:numId w:val="9"/>
        </w:numPr>
        <w:spacing w:after="0" w:line="240" w:lineRule="auto"/>
        <w:rPr>
          <w:rFonts w:asciiTheme="minorHAnsi" w:hAnsiTheme="minorHAnsi" w:cstheme="minorBidi"/>
          <w:sz w:val="24"/>
          <w:szCs w:val="24"/>
        </w:rPr>
      </w:pPr>
      <w:r w:rsidRPr="5B7EFB0F">
        <w:rPr>
          <w:rFonts w:asciiTheme="minorHAnsi" w:hAnsiTheme="minorHAnsi" w:cstheme="minorBidi"/>
          <w:sz w:val="24"/>
          <w:szCs w:val="24"/>
        </w:rPr>
        <w:t xml:space="preserve">Citations and Penalties </w:t>
      </w:r>
    </w:p>
    <w:p w14:paraId="566B43CC" w14:textId="77777777" w:rsidR="00672699" w:rsidRPr="007A0388" w:rsidRDefault="00672699" w:rsidP="002C195E">
      <w:pPr>
        <w:pStyle w:val="ListParagraph"/>
        <w:spacing w:after="0" w:line="240" w:lineRule="auto"/>
        <w:ind w:left="1080"/>
        <w:rPr>
          <w:rFonts w:asciiTheme="minorHAnsi" w:hAnsiTheme="minorHAnsi" w:cstheme="minorBidi"/>
          <w:sz w:val="24"/>
          <w:szCs w:val="24"/>
        </w:rPr>
      </w:pPr>
    </w:p>
    <w:p w14:paraId="38C3EA40" w14:textId="05B15E3F" w:rsidR="00D96B93" w:rsidRDefault="00D96B93" w:rsidP="007D5ECF">
      <w:pPr>
        <w:pStyle w:val="BodyText"/>
        <w:ind w:right="-7"/>
        <w:rPr>
          <w:rFonts w:asciiTheme="minorHAnsi" w:hAnsiTheme="minorHAnsi" w:cstheme="minorHAnsi"/>
        </w:rPr>
      </w:pPr>
      <w:r>
        <w:rPr>
          <w:rFonts w:asciiTheme="minorHAnsi" w:hAnsiTheme="minorHAnsi" w:cstheme="minorHAnsi"/>
        </w:rPr>
        <w:t xml:space="preserve">ADOSH’s </w:t>
      </w:r>
      <w:r w:rsidRPr="008125A6">
        <w:rPr>
          <w:rFonts w:asciiTheme="minorHAnsi" w:hAnsiTheme="minorHAnsi" w:cstheme="minorHAnsi"/>
        </w:rPr>
        <w:t xml:space="preserve">in-compliance rate </w:t>
      </w:r>
      <w:r w:rsidR="006E0C0D">
        <w:rPr>
          <w:rFonts w:asciiTheme="minorHAnsi" w:hAnsiTheme="minorHAnsi" w:cstheme="minorHAnsi"/>
        </w:rPr>
        <w:t xml:space="preserve">improved from </w:t>
      </w:r>
      <w:r w:rsidR="00BF7A19">
        <w:rPr>
          <w:rFonts w:asciiTheme="minorHAnsi" w:hAnsiTheme="minorHAnsi" w:cstheme="minorHAnsi"/>
        </w:rPr>
        <w:t xml:space="preserve">the previous review period </w:t>
      </w:r>
      <w:r w:rsidR="00CF769B">
        <w:rPr>
          <w:rFonts w:asciiTheme="minorHAnsi" w:hAnsiTheme="minorHAnsi" w:cstheme="minorHAnsi"/>
        </w:rPr>
        <w:t xml:space="preserve">and </w:t>
      </w:r>
      <w:r>
        <w:rPr>
          <w:rFonts w:asciiTheme="minorHAnsi" w:hAnsiTheme="minorHAnsi" w:cstheme="minorHAnsi"/>
        </w:rPr>
        <w:t xml:space="preserve">was 18.18% </w:t>
      </w:r>
      <w:r w:rsidRPr="008125A6">
        <w:rPr>
          <w:rFonts w:asciiTheme="minorHAnsi" w:hAnsiTheme="minorHAnsi" w:cstheme="minorHAnsi"/>
        </w:rPr>
        <w:t xml:space="preserve">for </w:t>
      </w:r>
      <w:r>
        <w:rPr>
          <w:rFonts w:asciiTheme="minorHAnsi" w:hAnsiTheme="minorHAnsi" w:cstheme="minorHAnsi"/>
        </w:rPr>
        <w:t xml:space="preserve">programmed </w:t>
      </w:r>
      <w:r w:rsidRPr="008125A6">
        <w:rPr>
          <w:rFonts w:asciiTheme="minorHAnsi" w:hAnsiTheme="minorHAnsi" w:cstheme="minorHAnsi"/>
        </w:rPr>
        <w:t xml:space="preserve">safety inspections </w:t>
      </w:r>
      <w:r>
        <w:rPr>
          <w:rFonts w:asciiTheme="minorHAnsi" w:hAnsiTheme="minorHAnsi" w:cstheme="minorHAnsi"/>
        </w:rPr>
        <w:t xml:space="preserve">(SAMM 9a), </w:t>
      </w:r>
      <w:r w:rsidR="00F32BCC">
        <w:rPr>
          <w:rFonts w:asciiTheme="minorHAnsi" w:hAnsiTheme="minorHAnsi" w:cstheme="minorHAnsi"/>
        </w:rPr>
        <w:t>27.13</w:t>
      </w:r>
      <w:r>
        <w:rPr>
          <w:rFonts w:asciiTheme="minorHAnsi" w:hAnsiTheme="minorHAnsi" w:cstheme="minorHAnsi"/>
        </w:rPr>
        <w:t xml:space="preserve">% for unprogrammed safety inspections (SAMM 9b), </w:t>
      </w:r>
      <w:r w:rsidR="00F32BCC">
        <w:rPr>
          <w:rFonts w:asciiTheme="minorHAnsi" w:hAnsiTheme="minorHAnsi" w:cstheme="minorHAnsi"/>
        </w:rPr>
        <w:t>0</w:t>
      </w:r>
      <w:r>
        <w:rPr>
          <w:rFonts w:asciiTheme="minorHAnsi" w:hAnsiTheme="minorHAnsi" w:cstheme="minorHAnsi"/>
        </w:rPr>
        <w:t xml:space="preserve">% programmed health </w:t>
      </w:r>
      <w:r w:rsidR="00F668A8">
        <w:rPr>
          <w:rFonts w:asciiTheme="minorHAnsi" w:hAnsiTheme="minorHAnsi" w:cstheme="minorHAnsi"/>
        </w:rPr>
        <w:t xml:space="preserve">inspections </w:t>
      </w:r>
      <w:r>
        <w:rPr>
          <w:rFonts w:asciiTheme="minorHAnsi" w:hAnsiTheme="minorHAnsi" w:cstheme="minorHAnsi"/>
        </w:rPr>
        <w:t xml:space="preserve">(SAMM 9c), and </w:t>
      </w:r>
      <w:r w:rsidR="00F32BCC">
        <w:rPr>
          <w:rFonts w:asciiTheme="minorHAnsi" w:hAnsiTheme="minorHAnsi" w:cstheme="minorHAnsi"/>
        </w:rPr>
        <w:t>33.33</w:t>
      </w:r>
      <w:r>
        <w:rPr>
          <w:rFonts w:asciiTheme="minorHAnsi" w:hAnsiTheme="minorHAnsi" w:cstheme="minorHAnsi"/>
        </w:rPr>
        <w:t xml:space="preserve">% unprogrammed health </w:t>
      </w:r>
      <w:r w:rsidR="00F668A8">
        <w:rPr>
          <w:rFonts w:asciiTheme="minorHAnsi" w:hAnsiTheme="minorHAnsi" w:cstheme="minorHAnsi"/>
        </w:rPr>
        <w:t xml:space="preserve">inspections </w:t>
      </w:r>
      <w:r>
        <w:rPr>
          <w:rFonts w:asciiTheme="minorHAnsi" w:hAnsiTheme="minorHAnsi" w:cstheme="minorHAnsi"/>
        </w:rPr>
        <w:t xml:space="preserve">(SAMM 9d). </w:t>
      </w:r>
      <w:r w:rsidR="00467FE1">
        <w:rPr>
          <w:rFonts w:asciiTheme="minorHAnsi" w:hAnsiTheme="minorHAnsi" w:cstheme="minorHAnsi"/>
        </w:rPr>
        <w:t xml:space="preserve"> All four </w:t>
      </w:r>
      <w:r w:rsidR="00A56A36">
        <w:rPr>
          <w:rFonts w:asciiTheme="minorHAnsi" w:hAnsiTheme="minorHAnsi" w:cstheme="minorHAnsi"/>
        </w:rPr>
        <w:t xml:space="preserve">measures were </w:t>
      </w:r>
      <w:r w:rsidR="00E87241">
        <w:rPr>
          <w:rFonts w:asciiTheme="minorHAnsi" w:hAnsiTheme="minorHAnsi" w:cstheme="minorHAnsi"/>
        </w:rPr>
        <w:t>below</w:t>
      </w:r>
      <w:r w:rsidR="00A56A36">
        <w:rPr>
          <w:rFonts w:asciiTheme="minorHAnsi" w:hAnsiTheme="minorHAnsi" w:cstheme="minorHAnsi"/>
        </w:rPr>
        <w:t xml:space="preserve"> the FRL.  The FRLs for these measures were</w:t>
      </w:r>
      <w:r>
        <w:rPr>
          <w:rFonts w:asciiTheme="minorHAnsi" w:hAnsiTheme="minorHAnsi" w:cstheme="minorHAnsi"/>
        </w:rPr>
        <w:t xml:space="preserve"> </w:t>
      </w:r>
      <w:r w:rsidR="0061723B">
        <w:rPr>
          <w:rFonts w:asciiTheme="minorHAnsi" w:hAnsiTheme="minorHAnsi" w:cstheme="minorHAnsi"/>
        </w:rPr>
        <w:t xml:space="preserve">based on </w:t>
      </w:r>
      <w:r>
        <w:rPr>
          <w:rFonts w:asciiTheme="minorHAnsi" w:hAnsiTheme="minorHAnsi" w:cstheme="minorHAnsi"/>
        </w:rPr>
        <w:t>+20% of the three-year national averages</w:t>
      </w:r>
      <w:r w:rsidR="00332161">
        <w:rPr>
          <w:rFonts w:asciiTheme="minorHAnsi" w:hAnsiTheme="minorHAnsi" w:cstheme="minorHAnsi"/>
        </w:rPr>
        <w:t xml:space="preserve"> </w:t>
      </w:r>
      <w:r w:rsidR="00931721">
        <w:rPr>
          <w:rFonts w:asciiTheme="minorHAnsi" w:hAnsiTheme="minorHAnsi" w:cstheme="minorHAnsi"/>
        </w:rPr>
        <w:t>for each measure</w:t>
      </w:r>
      <w:r>
        <w:rPr>
          <w:rFonts w:asciiTheme="minorHAnsi" w:hAnsiTheme="minorHAnsi" w:cstheme="minorHAnsi"/>
        </w:rPr>
        <w:t xml:space="preserve">, which </w:t>
      </w:r>
      <w:r w:rsidR="00E371C5">
        <w:rPr>
          <w:rFonts w:asciiTheme="minorHAnsi" w:hAnsiTheme="minorHAnsi" w:cstheme="minorHAnsi"/>
        </w:rPr>
        <w:t>were</w:t>
      </w:r>
      <w:r>
        <w:rPr>
          <w:rFonts w:asciiTheme="minorHAnsi" w:hAnsiTheme="minorHAnsi" w:cstheme="minorHAnsi"/>
        </w:rPr>
        <w:t xml:space="preserve"> above</w:t>
      </w:r>
      <w:r w:rsidR="001902C1">
        <w:rPr>
          <w:rFonts w:asciiTheme="minorHAnsi" w:hAnsiTheme="minorHAnsi" w:cstheme="minorHAnsi"/>
        </w:rPr>
        <w:t xml:space="preserve"> 36.53%</w:t>
      </w:r>
      <w:r w:rsidR="0003779F">
        <w:rPr>
          <w:rFonts w:asciiTheme="minorHAnsi" w:hAnsiTheme="minorHAnsi" w:cstheme="minorHAnsi"/>
        </w:rPr>
        <w:t>, 4</w:t>
      </w:r>
      <w:r w:rsidR="009A0D34">
        <w:rPr>
          <w:rFonts w:asciiTheme="minorHAnsi" w:hAnsiTheme="minorHAnsi" w:cstheme="minorHAnsi"/>
        </w:rPr>
        <w:t>5</w:t>
      </w:r>
      <w:r w:rsidR="0003779F">
        <w:rPr>
          <w:rFonts w:asciiTheme="minorHAnsi" w:hAnsiTheme="minorHAnsi" w:cstheme="minorHAnsi"/>
        </w:rPr>
        <w:t>.64%, 52.08%, and 52.35% respectivel</w:t>
      </w:r>
      <w:r w:rsidR="0003779F" w:rsidRPr="00E371C5">
        <w:rPr>
          <w:rFonts w:asciiTheme="minorHAnsi" w:hAnsiTheme="minorHAnsi" w:cstheme="minorHAnsi"/>
        </w:rPr>
        <w:t>y.</w:t>
      </w:r>
      <w:r w:rsidRPr="00E371C5">
        <w:rPr>
          <w:rFonts w:asciiTheme="minorHAnsi" w:hAnsiTheme="minorHAnsi" w:cstheme="minorHAnsi"/>
        </w:rPr>
        <w:t xml:space="preserve">  </w:t>
      </w:r>
      <w:r w:rsidR="00CF769B" w:rsidRPr="00E371C5">
        <w:rPr>
          <w:rFonts w:asciiTheme="minorHAnsi" w:hAnsiTheme="minorHAnsi" w:cstheme="minorHAnsi"/>
        </w:rPr>
        <w:t xml:space="preserve">This indicated that </w:t>
      </w:r>
      <w:r w:rsidR="00FD7486" w:rsidRPr="00E371C5">
        <w:rPr>
          <w:rFonts w:asciiTheme="minorHAnsi" w:hAnsiTheme="minorHAnsi" w:cstheme="minorHAnsi"/>
        </w:rPr>
        <w:t>compliance officers were identifying serious and other-than-serious violations and issu</w:t>
      </w:r>
      <w:r w:rsidR="00E371C5" w:rsidRPr="00E371C5">
        <w:rPr>
          <w:rFonts w:asciiTheme="minorHAnsi" w:hAnsiTheme="minorHAnsi" w:cstheme="minorHAnsi"/>
        </w:rPr>
        <w:t>ed</w:t>
      </w:r>
      <w:r w:rsidR="00FD7486" w:rsidRPr="00E371C5">
        <w:rPr>
          <w:rFonts w:asciiTheme="minorHAnsi" w:hAnsiTheme="minorHAnsi" w:cstheme="minorHAnsi"/>
        </w:rPr>
        <w:t xml:space="preserve"> </w:t>
      </w:r>
      <w:r w:rsidR="00CF769B" w:rsidRPr="00E371C5">
        <w:rPr>
          <w:rFonts w:asciiTheme="minorHAnsi" w:hAnsiTheme="minorHAnsi" w:cstheme="minorHAnsi"/>
        </w:rPr>
        <w:t xml:space="preserve">citations in </w:t>
      </w:r>
      <w:r w:rsidR="00E371C5" w:rsidRPr="00E371C5">
        <w:rPr>
          <w:rFonts w:asciiTheme="minorHAnsi" w:hAnsiTheme="minorHAnsi" w:cstheme="minorHAnsi"/>
        </w:rPr>
        <w:t xml:space="preserve">a greater number of </w:t>
      </w:r>
      <w:r w:rsidR="00FD7486" w:rsidRPr="00E371C5">
        <w:rPr>
          <w:rFonts w:asciiTheme="minorHAnsi" w:hAnsiTheme="minorHAnsi" w:cstheme="minorHAnsi"/>
        </w:rPr>
        <w:t>inspections</w:t>
      </w:r>
      <w:r w:rsidR="00D53489" w:rsidRPr="00E371C5">
        <w:rPr>
          <w:rFonts w:asciiTheme="minorHAnsi" w:hAnsiTheme="minorHAnsi" w:cstheme="minorHAnsi"/>
        </w:rPr>
        <w:t xml:space="preserve"> as compared to the national averages</w:t>
      </w:r>
      <w:r w:rsidR="00864D35" w:rsidRPr="00E371C5">
        <w:rPr>
          <w:rFonts w:asciiTheme="minorHAnsi" w:hAnsiTheme="minorHAnsi" w:cstheme="minorHAnsi"/>
        </w:rPr>
        <w:t xml:space="preserve"> for each category</w:t>
      </w:r>
      <w:r w:rsidR="0097621C" w:rsidRPr="00E371C5">
        <w:rPr>
          <w:rFonts w:asciiTheme="minorHAnsi" w:hAnsiTheme="minorHAnsi" w:cstheme="minorHAnsi"/>
        </w:rPr>
        <w:t>.</w:t>
      </w:r>
      <w:r w:rsidR="0097621C">
        <w:rPr>
          <w:rFonts w:asciiTheme="minorHAnsi" w:hAnsiTheme="minorHAnsi" w:cstheme="minorHAnsi"/>
        </w:rPr>
        <w:t xml:space="preserve"> </w:t>
      </w:r>
    </w:p>
    <w:p w14:paraId="05D21B22" w14:textId="77777777" w:rsidR="00D96B93" w:rsidRDefault="00D96B93" w:rsidP="00956CB7">
      <w:pPr>
        <w:rPr>
          <w:rFonts w:asciiTheme="minorHAnsi" w:hAnsiTheme="minorHAnsi" w:cstheme="minorBidi"/>
          <w:highlight w:val="yellow"/>
        </w:rPr>
      </w:pPr>
    </w:p>
    <w:p w14:paraId="3D766654" w14:textId="2169FF63" w:rsidR="00707652" w:rsidRPr="003F6D2F" w:rsidRDefault="000A2208" w:rsidP="00956CB7">
      <w:pPr>
        <w:rPr>
          <w:rFonts w:asciiTheme="minorHAnsi" w:hAnsiTheme="minorHAnsi" w:cstheme="minorBidi"/>
        </w:rPr>
      </w:pPr>
      <w:r>
        <w:rPr>
          <w:rFonts w:asciiTheme="minorHAnsi" w:hAnsiTheme="minorHAnsi" w:cstheme="minorBidi"/>
        </w:rPr>
        <w:t xml:space="preserve">Overall, </w:t>
      </w:r>
      <w:r w:rsidR="00B85F83">
        <w:rPr>
          <w:rFonts w:asciiTheme="minorHAnsi" w:hAnsiTheme="minorHAnsi" w:cstheme="minorBidi"/>
        </w:rPr>
        <w:t xml:space="preserve">the case file review </w:t>
      </w:r>
      <w:r w:rsidR="00032A84">
        <w:rPr>
          <w:rFonts w:asciiTheme="minorHAnsi" w:hAnsiTheme="minorHAnsi" w:cstheme="minorBidi"/>
        </w:rPr>
        <w:t>confirmed strong</w:t>
      </w:r>
      <w:r w:rsidR="00B85F83">
        <w:rPr>
          <w:rFonts w:asciiTheme="minorHAnsi" w:hAnsiTheme="minorHAnsi" w:cstheme="minorBidi"/>
        </w:rPr>
        <w:t xml:space="preserve"> </w:t>
      </w:r>
      <w:r w:rsidR="00032A84">
        <w:rPr>
          <w:rFonts w:asciiTheme="minorHAnsi" w:hAnsiTheme="minorHAnsi" w:cstheme="minorBidi"/>
        </w:rPr>
        <w:t xml:space="preserve">documentation </w:t>
      </w:r>
      <w:r w:rsidR="00B85F83">
        <w:rPr>
          <w:rFonts w:asciiTheme="minorHAnsi" w:hAnsiTheme="minorHAnsi" w:cstheme="minorBidi"/>
        </w:rPr>
        <w:t>prima facie elements</w:t>
      </w:r>
      <w:r w:rsidR="00032A84">
        <w:rPr>
          <w:rFonts w:asciiTheme="minorHAnsi" w:hAnsiTheme="minorHAnsi" w:cstheme="minorBidi"/>
        </w:rPr>
        <w:t xml:space="preserve"> </w:t>
      </w:r>
      <w:r w:rsidR="00B85F83">
        <w:rPr>
          <w:rFonts w:asciiTheme="minorHAnsi" w:hAnsiTheme="minorHAnsi" w:cstheme="minorBidi"/>
        </w:rPr>
        <w:t>of citations</w:t>
      </w:r>
      <w:r w:rsidR="00377FE2">
        <w:rPr>
          <w:rFonts w:asciiTheme="minorHAnsi" w:hAnsiTheme="minorHAnsi" w:cstheme="minorBidi"/>
        </w:rPr>
        <w:t xml:space="preserve"> in all</w:t>
      </w:r>
      <w:r w:rsidR="00032A84">
        <w:rPr>
          <w:rFonts w:asciiTheme="minorHAnsi" w:hAnsiTheme="minorHAnsi" w:cstheme="minorBidi"/>
        </w:rPr>
        <w:t xml:space="preserve"> </w:t>
      </w:r>
      <w:r w:rsidR="0026003E">
        <w:rPr>
          <w:rFonts w:asciiTheme="minorHAnsi" w:hAnsiTheme="minorHAnsi" w:cstheme="minorBidi"/>
        </w:rPr>
        <w:t>12 (100%) files reviewed that contained citation</w:t>
      </w:r>
      <w:r w:rsidR="00377FE2">
        <w:rPr>
          <w:rFonts w:asciiTheme="minorHAnsi" w:hAnsiTheme="minorHAnsi" w:cstheme="minorBidi"/>
        </w:rPr>
        <w:t xml:space="preserve">s.  Violation worksheets contained detailed descriptions of the hazardous operations and supported the citation.  </w:t>
      </w:r>
      <w:r w:rsidR="00931721">
        <w:rPr>
          <w:rFonts w:asciiTheme="minorHAnsi" w:hAnsiTheme="minorHAnsi" w:cstheme="minorBidi"/>
        </w:rPr>
        <w:t>However, t</w:t>
      </w:r>
      <w:r w:rsidR="00864D35">
        <w:rPr>
          <w:rFonts w:asciiTheme="minorHAnsi" w:hAnsiTheme="minorHAnsi" w:cstheme="minorBidi"/>
        </w:rPr>
        <w:t>he case file review identified</w:t>
      </w:r>
      <w:r w:rsidR="00E17FDC">
        <w:rPr>
          <w:rFonts w:asciiTheme="minorHAnsi" w:hAnsiTheme="minorHAnsi" w:cstheme="minorBidi"/>
        </w:rPr>
        <w:t xml:space="preserve"> violative conditions in </w:t>
      </w:r>
      <w:r w:rsidR="001715A7">
        <w:rPr>
          <w:rFonts w:asciiTheme="minorHAnsi" w:hAnsiTheme="minorHAnsi" w:cstheme="minorBidi"/>
        </w:rPr>
        <w:t>t</w:t>
      </w:r>
      <w:r w:rsidR="00864D35">
        <w:rPr>
          <w:rFonts w:asciiTheme="minorHAnsi" w:hAnsiTheme="minorHAnsi" w:cstheme="minorBidi"/>
        </w:rPr>
        <w:t>hree</w:t>
      </w:r>
      <w:r w:rsidR="009D4616" w:rsidRPr="003F6D2F">
        <w:rPr>
          <w:rFonts w:asciiTheme="minorHAnsi" w:hAnsiTheme="minorHAnsi" w:cstheme="minorBidi"/>
        </w:rPr>
        <w:t xml:space="preserve"> </w:t>
      </w:r>
      <w:r w:rsidR="003935C8" w:rsidRPr="003F6D2F">
        <w:rPr>
          <w:rFonts w:asciiTheme="minorHAnsi" w:hAnsiTheme="minorHAnsi" w:cstheme="minorBidi"/>
        </w:rPr>
        <w:t xml:space="preserve">(8%) </w:t>
      </w:r>
      <w:r w:rsidR="009D4616" w:rsidRPr="003F6D2F">
        <w:rPr>
          <w:rFonts w:asciiTheme="minorHAnsi" w:hAnsiTheme="minorHAnsi" w:cstheme="minorBidi"/>
        </w:rPr>
        <w:t>case files</w:t>
      </w:r>
      <w:r w:rsidR="00E17FDC">
        <w:rPr>
          <w:rFonts w:asciiTheme="minorHAnsi" w:hAnsiTheme="minorHAnsi" w:cstheme="minorBidi"/>
        </w:rPr>
        <w:t xml:space="preserve"> </w:t>
      </w:r>
      <w:r w:rsidR="00035050" w:rsidRPr="003F6D2F">
        <w:rPr>
          <w:rFonts w:asciiTheme="minorHAnsi" w:hAnsiTheme="minorHAnsi" w:cstheme="minorBidi"/>
        </w:rPr>
        <w:t>where photos</w:t>
      </w:r>
      <w:r w:rsidR="006853FB">
        <w:rPr>
          <w:rFonts w:asciiTheme="minorHAnsi" w:hAnsiTheme="minorHAnsi" w:cstheme="minorBidi"/>
        </w:rPr>
        <w:t xml:space="preserve"> and/or</w:t>
      </w:r>
      <w:r w:rsidR="00035050" w:rsidRPr="003F6D2F">
        <w:rPr>
          <w:rFonts w:asciiTheme="minorHAnsi" w:hAnsiTheme="minorHAnsi" w:cstheme="minorBidi"/>
        </w:rPr>
        <w:t xml:space="preserve"> field notes showed evidence of </w:t>
      </w:r>
      <w:r w:rsidR="001715A7">
        <w:rPr>
          <w:rFonts w:asciiTheme="minorHAnsi" w:hAnsiTheme="minorHAnsi" w:cstheme="minorBidi"/>
        </w:rPr>
        <w:t>safety and health hazards</w:t>
      </w:r>
      <w:r w:rsidR="00035050" w:rsidRPr="003F6D2F">
        <w:rPr>
          <w:rFonts w:asciiTheme="minorHAnsi" w:hAnsiTheme="minorHAnsi" w:cstheme="minorBidi"/>
        </w:rPr>
        <w:t xml:space="preserve">, </w:t>
      </w:r>
      <w:r w:rsidR="00A326E5">
        <w:rPr>
          <w:rFonts w:asciiTheme="minorHAnsi" w:hAnsiTheme="minorHAnsi" w:cstheme="minorBidi"/>
        </w:rPr>
        <w:t>one of which was a fatality inspection, and ADOSH did not issue a citation.  T</w:t>
      </w:r>
      <w:r w:rsidR="00035050" w:rsidRPr="003F6D2F">
        <w:rPr>
          <w:rFonts w:asciiTheme="minorHAnsi" w:hAnsiTheme="minorHAnsi" w:cstheme="minorBidi"/>
        </w:rPr>
        <w:t>he</w:t>
      </w:r>
      <w:r w:rsidR="00A326E5">
        <w:rPr>
          <w:rFonts w:asciiTheme="minorHAnsi" w:hAnsiTheme="minorHAnsi" w:cstheme="minorBidi"/>
        </w:rPr>
        <w:t>se files did not contain</w:t>
      </w:r>
      <w:r w:rsidR="00035050" w:rsidRPr="003F6D2F">
        <w:rPr>
          <w:rFonts w:asciiTheme="minorHAnsi" w:hAnsiTheme="minorHAnsi" w:cstheme="minorBidi"/>
        </w:rPr>
        <w:t xml:space="preserve"> documentation as to why the </w:t>
      </w:r>
      <w:r w:rsidR="00275F94" w:rsidRPr="003F6D2F">
        <w:rPr>
          <w:rFonts w:asciiTheme="minorHAnsi" w:hAnsiTheme="minorHAnsi" w:cstheme="minorBidi"/>
        </w:rPr>
        <w:t>violative conditions</w:t>
      </w:r>
      <w:r w:rsidR="00035050" w:rsidRPr="003F6D2F">
        <w:rPr>
          <w:rFonts w:asciiTheme="minorHAnsi" w:hAnsiTheme="minorHAnsi" w:cstheme="minorBidi"/>
        </w:rPr>
        <w:t xml:space="preserve"> were not addressed</w:t>
      </w:r>
      <w:r w:rsidR="00A326E5">
        <w:rPr>
          <w:rFonts w:asciiTheme="minorHAnsi" w:hAnsiTheme="minorHAnsi" w:cstheme="minorBidi"/>
        </w:rPr>
        <w:t>.</w:t>
      </w:r>
      <w:r w:rsidR="00035050" w:rsidRPr="003F6D2F">
        <w:rPr>
          <w:rFonts w:asciiTheme="minorHAnsi" w:hAnsiTheme="minorHAnsi" w:cstheme="minorBidi"/>
        </w:rPr>
        <w:t xml:space="preserve"> </w:t>
      </w:r>
      <w:r w:rsidR="003935C8" w:rsidRPr="003F6D2F">
        <w:rPr>
          <w:rFonts w:asciiTheme="minorHAnsi" w:hAnsiTheme="minorHAnsi" w:cstheme="minorBidi"/>
        </w:rPr>
        <w:t xml:space="preserve"> </w:t>
      </w:r>
      <w:r w:rsidR="000F4B58">
        <w:rPr>
          <w:rFonts w:asciiTheme="minorHAnsi" w:hAnsiTheme="minorHAnsi" w:cstheme="minorBidi"/>
        </w:rPr>
        <w:t>This was addressed with ADOSH management at the time of the on-site review</w:t>
      </w:r>
      <w:r w:rsidR="00C402A2">
        <w:rPr>
          <w:rFonts w:asciiTheme="minorHAnsi" w:hAnsiTheme="minorHAnsi" w:cstheme="minorBidi"/>
        </w:rPr>
        <w:t xml:space="preserve"> and</w:t>
      </w:r>
      <w:r w:rsidR="000F4B58">
        <w:rPr>
          <w:rFonts w:asciiTheme="minorHAnsi" w:hAnsiTheme="minorHAnsi" w:cstheme="minorBidi"/>
        </w:rPr>
        <w:t xml:space="preserve"> </w:t>
      </w:r>
      <w:r w:rsidR="003935C8" w:rsidRPr="003F6D2F">
        <w:rPr>
          <w:rFonts w:asciiTheme="minorHAnsi" w:hAnsiTheme="minorHAnsi" w:cstheme="minorBidi"/>
        </w:rPr>
        <w:t xml:space="preserve">does not rise to the level of an </w:t>
      </w:r>
      <w:r w:rsidR="003F6D2F" w:rsidRPr="003F6D2F">
        <w:rPr>
          <w:rFonts w:asciiTheme="minorHAnsi" w:hAnsiTheme="minorHAnsi" w:cstheme="minorBidi"/>
        </w:rPr>
        <w:t>observation</w:t>
      </w:r>
      <w:r w:rsidR="000F4B58">
        <w:rPr>
          <w:rFonts w:asciiTheme="minorHAnsi" w:hAnsiTheme="minorHAnsi" w:cstheme="minorBidi"/>
        </w:rPr>
        <w:t xml:space="preserve">, </w:t>
      </w:r>
      <w:r w:rsidR="003F6D2F" w:rsidRPr="003F6D2F">
        <w:rPr>
          <w:rFonts w:asciiTheme="minorHAnsi" w:hAnsiTheme="minorHAnsi" w:cstheme="minorBidi"/>
        </w:rPr>
        <w:t>but</w:t>
      </w:r>
      <w:r w:rsidR="003935C8" w:rsidRPr="003F6D2F">
        <w:rPr>
          <w:rFonts w:asciiTheme="minorHAnsi" w:hAnsiTheme="minorHAnsi" w:cstheme="minorBidi"/>
        </w:rPr>
        <w:t xml:space="preserve"> </w:t>
      </w:r>
      <w:r w:rsidR="000F4B58">
        <w:rPr>
          <w:rFonts w:asciiTheme="minorHAnsi" w:hAnsiTheme="minorHAnsi" w:cstheme="minorBidi"/>
        </w:rPr>
        <w:t xml:space="preserve">it was </w:t>
      </w:r>
      <w:r w:rsidR="003935C8" w:rsidRPr="003F6D2F">
        <w:rPr>
          <w:rFonts w:asciiTheme="minorHAnsi" w:hAnsiTheme="minorHAnsi" w:cstheme="minorBidi"/>
        </w:rPr>
        <w:t>recommended that ADOSH address all hazardous conditions</w:t>
      </w:r>
      <w:r w:rsidR="00DA36FF" w:rsidRPr="003F6D2F">
        <w:rPr>
          <w:rFonts w:asciiTheme="minorHAnsi" w:hAnsiTheme="minorHAnsi" w:cstheme="minorBidi"/>
        </w:rPr>
        <w:t xml:space="preserve"> or document in the case file why a citation </w:t>
      </w:r>
      <w:r w:rsidR="000F4B58">
        <w:rPr>
          <w:rFonts w:asciiTheme="minorHAnsi" w:hAnsiTheme="minorHAnsi" w:cstheme="minorBidi"/>
        </w:rPr>
        <w:t>was</w:t>
      </w:r>
      <w:r w:rsidR="00DA36FF" w:rsidRPr="003F6D2F">
        <w:rPr>
          <w:rFonts w:asciiTheme="minorHAnsi" w:hAnsiTheme="minorHAnsi" w:cstheme="minorBidi"/>
        </w:rPr>
        <w:t xml:space="preserve"> not appropriate.  </w:t>
      </w:r>
    </w:p>
    <w:p w14:paraId="41A2BDD6" w14:textId="77777777" w:rsidR="00DA36FF" w:rsidRDefault="00DA36FF" w:rsidP="00956CB7">
      <w:pPr>
        <w:rPr>
          <w:rFonts w:asciiTheme="minorHAnsi" w:hAnsiTheme="minorHAnsi" w:cstheme="minorBidi"/>
          <w:highlight w:val="yellow"/>
        </w:rPr>
      </w:pPr>
    </w:p>
    <w:p w14:paraId="17281BB3" w14:textId="1DF38489" w:rsidR="00E16304" w:rsidRDefault="00E16304" w:rsidP="00E16304">
      <w:pPr>
        <w:textAlignment w:val="baseline"/>
        <w:rPr>
          <w:rFonts w:asciiTheme="minorHAnsi" w:hAnsiTheme="minorHAnsi" w:cstheme="minorBidi"/>
          <w:b/>
          <w:bCs/>
        </w:rPr>
      </w:pPr>
      <w:r w:rsidRPr="005749B7">
        <w:rPr>
          <w:rFonts w:asciiTheme="minorHAnsi" w:hAnsiTheme="minorHAnsi" w:cstheme="minorBidi"/>
        </w:rPr>
        <w:t>ADOSH’s average number of serious, willful, repeat, and unclassified (SWRU) violations per inspection (SAMM 5a) increased from 1.15 in FY 2024 to 1.47 in FY 2025.  This FRL for this measure was</w:t>
      </w:r>
      <w:r w:rsidR="00D217A6">
        <w:rPr>
          <w:rFonts w:asciiTheme="minorHAnsi" w:hAnsiTheme="minorHAnsi" w:cstheme="minorBidi"/>
        </w:rPr>
        <w:t xml:space="preserve"> </w:t>
      </w:r>
      <w:r w:rsidR="00D07152">
        <w:rPr>
          <w:rFonts w:asciiTheme="minorHAnsi" w:hAnsiTheme="minorHAnsi" w:cstheme="minorBidi"/>
        </w:rPr>
        <w:t xml:space="preserve">below 1.38 and </w:t>
      </w:r>
      <w:r w:rsidR="00D217A6">
        <w:rPr>
          <w:rFonts w:asciiTheme="minorHAnsi" w:hAnsiTheme="minorHAnsi" w:cstheme="minorBidi"/>
        </w:rPr>
        <w:t xml:space="preserve">based on </w:t>
      </w:r>
      <w:r w:rsidR="00D07152">
        <w:rPr>
          <w:rFonts w:asciiTheme="minorHAnsi" w:hAnsiTheme="minorHAnsi" w:cstheme="minorBidi"/>
        </w:rPr>
        <w:t xml:space="preserve">-20% of the </w:t>
      </w:r>
      <w:r w:rsidR="00D217A6">
        <w:rPr>
          <w:rFonts w:asciiTheme="minorHAnsi" w:hAnsiTheme="minorHAnsi" w:cstheme="minorBidi"/>
        </w:rPr>
        <w:t>three-year national average</w:t>
      </w:r>
      <w:r w:rsidR="00D07152">
        <w:rPr>
          <w:rFonts w:asciiTheme="minorHAnsi" w:hAnsiTheme="minorHAnsi" w:cstheme="minorBidi"/>
        </w:rPr>
        <w:t>.</w:t>
      </w:r>
      <w:r w:rsidRPr="005749B7">
        <w:rPr>
          <w:rFonts w:asciiTheme="minorHAnsi" w:hAnsiTheme="minorHAnsi" w:cstheme="minorBidi"/>
        </w:rPr>
        <w:t xml:space="preserve"> </w:t>
      </w:r>
      <w:r>
        <w:rPr>
          <w:rFonts w:asciiTheme="minorHAnsi" w:hAnsiTheme="minorHAnsi" w:cstheme="minorBidi"/>
        </w:rPr>
        <w:t xml:space="preserve"> This is a notable improvement from the FY 2023 and FY 2024 FAME</w:t>
      </w:r>
      <w:r w:rsidR="002257D4">
        <w:rPr>
          <w:rFonts w:asciiTheme="minorHAnsi" w:hAnsiTheme="minorHAnsi" w:cstheme="minorBidi"/>
        </w:rPr>
        <w:t>s</w:t>
      </w:r>
      <w:r>
        <w:rPr>
          <w:rFonts w:asciiTheme="minorHAnsi" w:hAnsiTheme="minorHAnsi" w:cstheme="minorBidi"/>
        </w:rPr>
        <w:t xml:space="preserve"> and indicated compliance staff was identifying a greater number of serious hazards per inspection with violations. </w:t>
      </w:r>
      <w:r w:rsidRPr="00C825B2">
        <w:rPr>
          <w:rFonts w:asciiTheme="minorHAnsi" w:hAnsiTheme="minorHAnsi" w:cstheme="minorBidi"/>
          <w:b/>
          <w:bCs/>
        </w:rPr>
        <w:t>Observation FY 2024-OB-01 is closed.</w:t>
      </w:r>
    </w:p>
    <w:p w14:paraId="53A8C5D0" w14:textId="77777777" w:rsidR="00A7559B" w:rsidRDefault="00A7559B" w:rsidP="00E16304">
      <w:pPr>
        <w:textAlignment w:val="baseline"/>
        <w:rPr>
          <w:rFonts w:asciiTheme="minorHAnsi" w:hAnsiTheme="minorHAnsi" w:cstheme="minorBidi"/>
          <w:b/>
          <w:bCs/>
        </w:rPr>
      </w:pPr>
    </w:p>
    <w:p w14:paraId="49F9576D" w14:textId="00BB1E53" w:rsidR="00E16304" w:rsidRDefault="00E16304" w:rsidP="00E16304">
      <w:pPr>
        <w:textAlignment w:val="baseline"/>
        <w:rPr>
          <w:rFonts w:asciiTheme="minorHAnsi" w:hAnsiTheme="minorHAnsi" w:cstheme="minorBidi"/>
          <w:b/>
          <w:bCs/>
          <w:u w:val="single"/>
        </w:rPr>
      </w:pPr>
      <w:r w:rsidRPr="002257D4">
        <w:rPr>
          <w:rFonts w:asciiTheme="minorHAnsi" w:hAnsiTheme="minorHAnsi" w:cstheme="minorBidi"/>
        </w:rPr>
        <w:lastRenderedPageBreak/>
        <w:t>The average number of other</w:t>
      </w:r>
      <w:r w:rsidRPr="006D02CD">
        <w:rPr>
          <w:rFonts w:asciiTheme="minorHAnsi" w:hAnsiTheme="minorHAnsi" w:cstheme="minorBidi"/>
        </w:rPr>
        <w:t>-than-serious violations per inspection</w:t>
      </w:r>
      <w:r>
        <w:rPr>
          <w:rFonts w:asciiTheme="minorHAnsi" w:hAnsiTheme="minorHAnsi" w:cstheme="minorBidi"/>
        </w:rPr>
        <w:t xml:space="preserve"> </w:t>
      </w:r>
      <w:r w:rsidR="00102CA4">
        <w:rPr>
          <w:rFonts w:asciiTheme="minorHAnsi" w:hAnsiTheme="minorHAnsi" w:cstheme="minorBidi"/>
        </w:rPr>
        <w:t xml:space="preserve">with violations </w:t>
      </w:r>
      <w:r>
        <w:rPr>
          <w:rFonts w:asciiTheme="minorHAnsi" w:hAnsiTheme="minorHAnsi" w:cstheme="minorBidi"/>
        </w:rPr>
        <w:t>(SAMM 5b)</w:t>
      </w:r>
      <w:r w:rsidRPr="006D02CD">
        <w:rPr>
          <w:rFonts w:asciiTheme="minorHAnsi" w:hAnsiTheme="minorHAnsi" w:cstheme="minorBidi"/>
        </w:rPr>
        <w:t xml:space="preserve"> </w:t>
      </w:r>
      <w:r w:rsidR="00102CA4">
        <w:rPr>
          <w:rFonts w:asciiTheme="minorHAnsi" w:hAnsiTheme="minorHAnsi" w:cstheme="minorBidi"/>
        </w:rPr>
        <w:t>was 1.35 in FY 2025</w:t>
      </w:r>
      <w:r w:rsidR="00091D92">
        <w:rPr>
          <w:rFonts w:asciiTheme="minorHAnsi" w:hAnsiTheme="minorHAnsi" w:cstheme="minorBidi"/>
        </w:rPr>
        <w:t xml:space="preserve">, which was a decrease from </w:t>
      </w:r>
      <w:r w:rsidRPr="006D02CD">
        <w:rPr>
          <w:rFonts w:asciiTheme="minorHAnsi" w:hAnsiTheme="minorHAnsi" w:cstheme="minorBidi"/>
        </w:rPr>
        <w:t>1.66 in FY 2024</w:t>
      </w:r>
      <w:r w:rsidR="00091D92">
        <w:rPr>
          <w:rFonts w:asciiTheme="minorHAnsi" w:hAnsiTheme="minorHAnsi" w:cstheme="minorBidi"/>
        </w:rPr>
        <w:t xml:space="preserve">, and above the FRL of 0.76. </w:t>
      </w:r>
      <w:r w:rsidR="00A043EE">
        <w:rPr>
          <w:rFonts w:asciiTheme="minorHAnsi" w:hAnsiTheme="minorHAnsi" w:cstheme="minorBidi"/>
        </w:rPr>
        <w:t xml:space="preserve"> The FRL was based </w:t>
      </w:r>
      <w:r w:rsidR="00524144">
        <w:rPr>
          <w:rFonts w:asciiTheme="minorHAnsi" w:hAnsiTheme="minorHAnsi" w:cstheme="minorBidi"/>
        </w:rPr>
        <w:t xml:space="preserve">on </w:t>
      </w:r>
      <w:r w:rsidR="00A043EE">
        <w:rPr>
          <w:rFonts w:asciiTheme="minorHAnsi" w:hAnsiTheme="minorHAnsi" w:cstheme="minorBidi"/>
        </w:rPr>
        <w:t xml:space="preserve">-20% </w:t>
      </w:r>
      <w:r w:rsidR="00524144">
        <w:rPr>
          <w:rFonts w:asciiTheme="minorHAnsi" w:hAnsiTheme="minorHAnsi" w:cstheme="minorBidi"/>
        </w:rPr>
        <w:t xml:space="preserve">of the three-year national average of </w:t>
      </w:r>
      <w:r w:rsidR="00A043EE">
        <w:rPr>
          <w:rFonts w:asciiTheme="minorHAnsi" w:hAnsiTheme="minorHAnsi" w:cstheme="minorBidi"/>
        </w:rPr>
        <w:t>0.95</w:t>
      </w:r>
      <w:r w:rsidR="00524144">
        <w:rPr>
          <w:rFonts w:asciiTheme="minorHAnsi" w:hAnsiTheme="minorHAnsi" w:cstheme="minorBidi"/>
        </w:rPr>
        <w:t xml:space="preserve">.  </w:t>
      </w:r>
      <w:r w:rsidR="009F10C7">
        <w:rPr>
          <w:rFonts w:asciiTheme="minorHAnsi" w:hAnsiTheme="minorHAnsi" w:cstheme="minorBidi"/>
        </w:rPr>
        <w:t xml:space="preserve">This </w:t>
      </w:r>
      <w:r w:rsidR="00347E19">
        <w:rPr>
          <w:rFonts w:asciiTheme="minorHAnsi" w:hAnsiTheme="minorHAnsi" w:cstheme="minorBidi"/>
        </w:rPr>
        <w:t xml:space="preserve">was not cause for concern </w:t>
      </w:r>
      <w:r w:rsidR="003834DB">
        <w:rPr>
          <w:rFonts w:asciiTheme="minorHAnsi" w:hAnsiTheme="minorHAnsi" w:cstheme="minorBidi"/>
        </w:rPr>
        <w:t>and</w:t>
      </w:r>
      <w:r w:rsidR="00347E19">
        <w:rPr>
          <w:rFonts w:asciiTheme="minorHAnsi" w:hAnsiTheme="minorHAnsi" w:cstheme="minorBidi"/>
        </w:rPr>
        <w:t xml:space="preserve"> </w:t>
      </w:r>
      <w:r w:rsidR="009F10C7">
        <w:rPr>
          <w:rFonts w:asciiTheme="minorHAnsi" w:hAnsiTheme="minorHAnsi" w:cstheme="minorBidi"/>
        </w:rPr>
        <w:t xml:space="preserve">showed that Arizona was issuing a higher average of serious violations compared to </w:t>
      </w:r>
      <w:r w:rsidR="007C5800">
        <w:rPr>
          <w:rFonts w:asciiTheme="minorHAnsi" w:hAnsiTheme="minorHAnsi" w:cstheme="minorBidi"/>
        </w:rPr>
        <w:t>other-than</w:t>
      </w:r>
      <w:r w:rsidR="009F10C7">
        <w:rPr>
          <w:rFonts w:asciiTheme="minorHAnsi" w:hAnsiTheme="minorHAnsi" w:cstheme="minorBidi"/>
        </w:rPr>
        <w:t>-serious in the review period</w:t>
      </w:r>
      <w:r w:rsidR="00347E19">
        <w:rPr>
          <w:rFonts w:asciiTheme="minorHAnsi" w:hAnsiTheme="minorHAnsi" w:cstheme="minorBidi"/>
        </w:rPr>
        <w:t>.</w:t>
      </w:r>
    </w:p>
    <w:p w14:paraId="7D9BCBA2" w14:textId="77777777" w:rsidR="00E16304" w:rsidRPr="008F6C1B" w:rsidRDefault="00E16304" w:rsidP="008F6C1B">
      <w:pPr>
        <w:rPr>
          <w:rFonts w:asciiTheme="minorHAnsi" w:hAnsiTheme="minorHAnsi" w:cstheme="minorBidi"/>
        </w:rPr>
      </w:pPr>
    </w:p>
    <w:p w14:paraId="6F18FA5B" w14:textId="722AF9A5" w:rsidR="008F6C1B" w:rsidRDefault="008F6C1B" w:rsidP="008F6C1B">
      <w:pPr>
        <w:textAlignment w:val="baseline"/>
        <w:rPr>
          <w:rFonts w:asciiTheme="minorHAnsi" w:hAnsiTheme="minorHAnsi" w:cstheme="minorBidi"/>
        </w:rPr>
      </w:pPr>
      <w:r>
        <w:rPr>
          <w:rFonts w:asciiTheme="minorHAnsi" w:hAnsiTheme="minorHAnsi" w:cstheme="minorBidi"/>
        </w:rPr>
        <w:t xml:space="preserve">Grouping of violations </w:t>
      </w:r>
      <w:r w:rsidR="007C5800">
        <w:rPr>
          <w:rFonts w:asciiTheme="minorHAnsi" w:hAnsiTheme="minorHAnsi" w:cstheme="minorBidi"/>
        </w:rPr>
        <w:t>was</w:t>
      </w:r>
      <w:r>
        <w:rPr>
          <w:rFonts w:asciiTheme="minorHAnsi" w:hAnsiTheme="minorHAnsi" w:cstheme="minorBidi"/>
        </w:rPr>
        <w:t xml:space="preserve"> consistent with requirements of the Arizona FOM.  Citations were appropriately classified according to severity of injury/illness that could occur.  Probability of injury/illness was documented using a standardized probability factor worksheet in Salesforce.  In three (25%) files, the frequency of exposure and/or duration of the hazard existence was not adequately documented in accordance with the Arizona FOM.  Both did not</w:t>
      </w:r>
      <w:r w:rsidR="00E61DCD">
        <w:rPr>
          <w:rFonts w:asciiTheme="minorHAnsi" w:hAnsiTheme="minorHAnsi" w:cstheme="minorBidi"/>
        </w:rPr>
        <w:t xml:space="preserve"> have a negative</w:t>
      </w:r>
      <w:r>
        <w:rPr>
          <w:rFonts w:asciiTheme="minorHAnsi" w:hAnsiTheme="minorHAnsi" w:cstheme="minorBidi"/>
        </w:rPr>
        <w:t xml:space="preserve"> impact</w:t>
      </w:r>
      <w:r w:rsidR="00E61DCD">
        <w:rPr>
          <w:rFonts w:asciiTheme="minorHAnsi" w:hAnsiTheme="minorHAnsi" w:cstheme="minorBidi"/>
        </w:rPr>
        <w:t xml:space="preserve"> on</w:t>
      </w:r>
      <w:r>
        <w:rPr>
          <w:rFonts w:asciiTheme="minorHAnsi" w:hAnsiTheme="minorHAnsi" w:cstheme="minorBidi"/>
        </w:rPr>
        <w:t xml:space="preserve"> the classification of the citation; therefore, this was discussed with ADOSH management and will continue to be monitored in the next review period but does not rise to the level of an observation.  </w:t>
      </w:r>
    </w:p>
    <w:p w14:paraId="019CFEBF" w14:textId="2ECD6523" w:rsidR="002F371B" w:rsidRPr="00A92A1B" w:rsidRDefault="002F371B" w:rsidP="00C824BE">
      <w:pPr>
        <w:rPr>
          <w:rFonts w:asciiTheme="minorHAnsi" w:hAnsiTheme="minorHAnsi" w:cstheme="minorBidi"/>
          <w:highlight w:val="yellow"/>
        </w:rPr>
      </w:pPr>
    </w:p>
    <w:p w14:paraId="7EE5A05A" w14:textId="7677805E" w:rsidR="002F371B" w:rsidRDefault="00300B0A" w:rsidP="002F371B">
      <w:pPr>
        <w:rPr>
          <w:rFonts w:asciiTheme="minorHAnsi" w:hAnsiTheme="minorHAnsi" w:cstheme="minorBidi"/>
        </w:rPr>
      </w:pPr>
      <w:r w:rsidRPr="002E1EAF">
        <w:rPr>
          <w:rFonts w:asciiTheme="minorHAnsi" w:hAnsiTheme="minorHAnsi" w:cstheme="minorBidi"/>
        </w:rPr>
        <w:t xml:space="preserve">The average lapse time </w:t>
      </w:r>
      <w:r w:rsidR="00733718" w:rsidRPr="002E1EAF">
        <w:rPr>
          <w:rFonts w:asciiTheme="minorHAnsi" w:hAnsiTheme="minorHAnsi" w:cstheme="minorBidi"/>
        </w:rPr>
        <w:t xml:space="preserve">for safety inspections </w:t>
      </w:r>
      <w:r w:rsidRPr="002E1EAF">
        <w:rPr>
          <w:rFonts w:asciiTheme="minorHAnsi" w:hAnsiTheme="minorHAnsi" w:cstheme="minorBidi"/>
        </w:rPr>
        <w:t xml:space="preserve">was </w:t>
      </w:r>
      <w:r w:rsidR="00DA40D6" w:rsidRPr="002E1EAF">
        <w:rPr>
          <w:rFonts w:asciiTheme="minorHAnsi" w:hAnsiTheme="minorHAnsi" w:cstheme="minorBidi"/>
        </w:rPr>
        <w:t>8</w:t>
      </w:r>
      <w:r w:rsidR="002E1EAF">
        <w:rPr>
          <w:rFonts w:asciiTheme="minorHAnsi" w:hAnsiTheme="minorHAnsi" w:cstheme="minorBidi"/>
        </w:rPr>
        <w:t>1</w:t>
      </w:r>
      <w:r w:rsidR="00DA40D6" w:rsidRPr="002E1EAF">
        <w:rPr>
          <w:rFonts w:asciiTheme="minorHAnsi" w:hAnsiTheme="minorHAnsi" w:cstheme="minorBidi"/>
        </w:rPr>
        <w:t xml:space="preserve">.20 days </w:t>
      </w:r>
      <w:r w:rsidR="00C21509" w:rsidRPr="002E1EAF">
        <w:rPr>
          <w:rFonts w:asciiTheme="minorHAnsi" w:hAnsiTheme="minorHAnsi" w:cstheme="minorBidi"/>
        </w:rPr>
        <w:t>(SAMM 11a), which</w:t>
      </w:r>
      <w:r w:rsidR="00DA40D6" w:rsidRPr="002E1EAF">
        <w:rPr>
          <w:rFonts w:asciiTheme="minorHAnsi" w:hAnsiTheme="minorHAnsi" w:cstheme="minorBidi"/>
        </w:rPr>
        <w:t xml:space="preserve"> </w:t>
      </w:r>
      <w:r w:rsidR="009A232A">
        <w:rPr>
          <w:rFonts w:asciiTheme="minorHAnsi" w:hAnsiTheme="minorHAnsi" w:cstheme="minorBidi"/>
        </w:rPr>
        <w:t xml:space="preserve">was </w:t>
      </w:r>
      <w:r w:rsidR="00DA40D6" w:rsidRPr="002E1EAF">
        <w:rPr>
          <w:rFonts w:asciiTheme="minorHAnsi" w:hAnsiTheme="minorHAnsi" w:cstheme="minorBidi"/>
        </w:rPr>
        <w:t>an improvement from 97.92 days in FY 2024</w:t>
      </w:r>
      <w:r w:rsidR="0065297A">
        <w:rPr>
          <w:rFonts w:asciiTheme="minorHAnsi" w:hAnsiTheme="minorHAnsi" w:cstheme="minorBidi"/>
        </w:rPr>
        <w:t xml:space="preserve"> </w:t>
      </w:r>
      <w:r w:rsidR="002609F6">
        <w:rPr>
          <w:rFonts w:asciiTheme="minorHAnsi" w:hAnsiTheme="minorHAnsi" w:cstheme="minorBidi"/>
        </w:rPr>
        <w:t xml:space="preserve">and </w:t>
      </w:r>
      <w:r w:rsidR="00180191">
        <w:rPr>
          <w:rFonts w:asciiTheme="minorHAnsi" w:hAnsiTheme="minorHAnsi" w:cstheme="minorBidi"/>
        </w:rPr>
        <w:t>remained</w:t>
      </w:r>
      <w:r w:rsidR="0065297A">
        <w:rPr>
          <w:rFonts w:asciiTheme="minorHAnsi" w:hAnsiTheme="minorHAnsi" w:cstheme="minorBidi"/>
        </w:rPr>
        <w:t xml:space="preserve"> above the FRL of 67.54</w:t>
      </w:r>
      <w:r w:rsidR="00DA40D6" w:rsidRPr="002E1EAF">
        <w:rPr>
          <w:rFonts w:asciiTheme="minorHAnsi" w:hAnsiTheme="minorHAnsi" w:cstheme="minorBidi"/>
        </w:rPr>
        <w:t xml:space="preserve">.  </w:t>
      </w:r>
      <w:r w:rsidR="00831B57" w:rsidRPr="002E1EAF">
        <w:rPr>
          <w:rFonts w:asciiTheme="minorHAnsi" w:hAnsiTheme="minorHAnsi" w:cstheme="minorBidi"/>
        </w:rPr>
        <w:t xml:space="preserve">The average lapse time for health </w:t>
      </w:r>
      <w:r w:rsidR="00733718" w:rsidRPr="002E1EAF">
        <w:rPr>
          <w:rFonts w:asciiTheme="minorHAnsi" w:hAnsiTheme="minorHAnsi" w:cstheme="minorBidi"/>
        </w:rPr>
        <w:t xml:space="preserve">inspections </w:t>
      </w:r>
      <w:r w:rsidR="00241B39" w:rsidRPr="002E1EAF">
        <w:rPr>
          <w:rFonts w:asciiTheme="minorHAnsi" w:hAnsiTheme="minorHAnsi" w:cstheme="minorBidi"/>
        </w:rPr>
        <w:t xml:space="preserve">(SAMM 11b) </w:t>
      </w:r>
      <w:r w:rsidR="009A232A">
        <w:rPr>
          <w:rFonts w:asciiTheme="minorHAnsi" w:hAnsiTheme="minorHAnsi" w:cstheme="minorBidi"/>
        </w:rPr>
        <w:t>decreased to</w:t>
      </w:r>
      <w:r w:rsidR="00733718" w:rsidRPr="002E1EAF">
        <w:rPr>
          <w:rFonts w:asciiTheme="minorHAnsi" w:hAnsiTheme="minorHAnsi" w:cstheme="minorBidi"/>
        </w:rPr>
        <w:t xml:space="preserve"> </w:t>
      </w:r>
      <w:r w:rsidR="00DA40D6" w:rsidRPr="002E1EAF">
        <w:rPr>
          <w:rFonts w:asciiTheme="minorHAnsi" w:hAnsiTheme="minorHAnsi" w:cstheme="minorBidi"/>
        </w:rPr>
        <w:t>90.06</w:t>
      </w:r>
      <w:r w:rsidR="00733718" w:rsidRPr="002E1EAF">
        <w:rPr>
          <w:rFonts w:asciiTheme="minorHAnsi" w:hAnsiTheme="minorHAnsi" w:cstheme="minorBidi"/>
        </w:rPr>
        <w:t xml:space="preserve"> days</w:t>
      </w:r>
      <w:r w:rsidR="00FB2FD4">
        <w:rPr>
          <w:rFonts w:asciiTheme="minorHAnsi" w:hAnsiTheme="minorHAnsi" w:cstheme="minorBidi"/>
        </w:rPr>
        <w:t xml:space="preserve"> </w:t>
      </w:r>
      <w:r w:rsidR="009A232A">
        <w:rPr>
          <w:rFonts w:asciiTheme="minorHAnsi" w:hAnsiTheme="minorHAnsi" w:cstheme="minorBidi"/>
        </w:rPr>
        <w:t>from</w:t>
      </w:r>
      <w:r w:rsidR="0076075C" w:rsidRPr="002E1EAF">
        <w:rPr>
          <w:rFonts w:asciiTheme="minorHAnsi" w:hAnsiTheme="minorHAnsi" w:cstheme="minorBidi"/>
        </w:rPr>
        <w:t xml:space="preserve"> </w:t>
      </w:r>
      <w:r w:rsidR="00E06EC2" w:rsidRPr="002E1EAF">
        <w:rPr>
          <w:rFonts w:asciiTheme="minorHAnsi" w:hAnsiTheme="minorHAnsi" w:cstheme="minorBidi"/>
        </w:rPr>
        <w:t>93.30 in FY 2024</w:t>
      </w:r>
      <w:r w:rsidR="0065297A">
        <w:rPr>
          <w:rFonts w:asciiTheme="minorHAnsi" w:hAnsiTheme="minorHAnsi" w:cstheme="minorBidi"/>
        </w:rPr>
        <w:t xml:space="preserve"> </w:t>
      </w:r>
      <w:r w:rsidR="002609F6">
        <w:rPr>
          <w:rFonts w:asciiTheme="minorHAnsi" w:hAnsiTheme="minorHAnsi" w:cstheme="minorBidi"/>
        </w:rPr>
        <w:t xml:space="preserve">and </w:t>
      </w:r>
      <w:r w:rsidR="0065297A">
        <w:rPr>
          <w:rFonts w:asciiTheme="minorHAnsi" w:hAnsiTheme="minorHAnsi" w:cstheme="minorBidi"/>
        </w:rPr>
        <w:t>was above the FRL of 80.40</w:t>
      </w:r>
      <w:r w:rsidR="00E06EC2" w:rsidRPr="002E1EAF">
        <w:rPr>
          <w:rFonts w:asciiTheme="minorHAnsi" w:hAnsiTheme="minorHAnsi" w:cstheme="minorBidi"/>
        </w:rPr>
        <w:t xml:space="preserve">.  </w:t>
      </w:r>
      <w:r w:rsidR="00241B39" w:rsidRPr="002E1EAF">
        <w:rPr>
          <w:rFonts w:asciiTheme="minorHAnsi" w:hAnsiTheme="minorHAnsi" w:cstheme="minorBidi"/>
        </w:rPr>
        <w:t>The FRL</w:t>
      </w:r>
      <w:r w:rsidR="00C67432">
        <w:rPr>
          <w:rFonts w:asciiTheme="minorHAnsi" w:hAnsiTheme="minorHAnsi" w:cstheme="minorBidi"/>
        </w:rPr>
        <w:t>s</w:t>
      </w:r>
      <w:r w:rsidR="00241B39" w:rsidRPr="002E1EAF">
        <w:rPr>
          <w:rFonts w:asciiTheme="minorHAnsi" w:hAnsiTheme="minorHAnsi" w:cstheme="minorBidi"/>
        </w:rPr>
        <w:t xml:space="preserve"> for these measures </w:t>
      </w:r>
      <w:r w:rsidR="00C67432">
        <w:rPr>
          <w:rFonts w:asciiTheme="minorHAnsi" w:hAnsiTheme="minorHAnsi" w:cstheme="minorBidi"/>
        </w:rPr>
        <w:t xml:space="preserve">were </w:t>
      </w:r>
      <w:r w:rsidR="002B5A91">
        <w:rPr>
          <w:rFonts w:asciiTheme="minorHAnsi" w:hAnsiTheme="minorHAnsi" w:cstheme="minorBidi"/>
        </w:rPr>
        <w:t>based</w:t>
      </w:r>
      <w:r w:rsidR="008A3A1E">
        <w:rPr>
          <w:rFonts w:asciiTheme="minorHAnsi" w:hAnsiTheme="minorHAnsi" w:cstheme="minorBidi"/>
        </w:rPr>
        <w:t xml:space="preserve"> on</w:t>
      </w:r>
      <w:r w:rsidR="00241B39" w:rsidRPr="002E1EAF">
        <w:rPr>
          <w:rFonts w:asciiTheme="minorHAnsi" w:hAnsiTheme="minorHAnsi" w:cstheme="minorBidi"/>
        </w:rPr>
        <w:t xml:space="preserve"> +</w:t>
      </w:r>
      <w:r w:rsidR="00B10416" w:rsidRPr="002E1EAF">
        <w:rPr>
          <w:rFonts w:asciiTheme="minorHAnsi" w:hAnsiTheme="minorHAnsi" w:cstheme="minorBidi"/>
        </w:rPr>
        <w:t>20</w:t>
      </w:r>
      <w:r w:rsidR="00C070FA" w:rsidRPr="002E1EAF">
        <w:rPr>
          <w:rFonts w:asciiTheme="minorHAnsi" w:hAnsiTheme="minorHAnsi" w:cstheme="minorBidi"/>
        </w:rPr>
        <w:t xml:space="preserve">% of the three-year </w:t>
      </w:r>
      <w:r w:rsidR="002E1EAF">
        <w:rPr>
          <w:rFonts w:asciiTheme="minorHAnsi" w:hAnsiTheme="minorHAnsi" w:cstheme="minorBidi"/>
        </w:rPr>
        <w:t xml:space="preserve">national </w:t>
      </w:r>
      <w:r w:rsidR="00C070FA" w:rsidRPr="002E1EAF">
        <w:rPr>
          <w:rFonts w:asciiTheme="minorHAnsi" w:hAnsiTheme="minorHAnsi" w:cstheme="minorBidi"/>
        </w:rPr>
        <w:t>average</w:t>
      </w:r>
      <w:r w:rsidR="0065297A">
        <w:rPr>
          <w:rFonts w:asciiTheme="minorHAnsi" w:hAnsiTheme="minorHAnsi" w:cstheme="minorBidi"/>
        </w:rPr>
        <w:t>s</w:t>
      </w:r>
      <w:r w:rsidR="00241B39" w:rsidRPr="002E1EAF">
        <w:rPr>
          <w:rFonts w:asciiTheme="minorHAnsi" w:hAnsiTheme="minorHAnsi" w:cstheme="minorBidi"/>
        </w:rPr>
        <w:t xml:space="preserve">, which </w:t>
      </w:r>
      <w:r w:rsidR="0065297A">
        <w:rPr>
          <w:rFonts w:asciiTheme="minorHAnsi" w:hAnsiTheme="minorHAnsi" w:cstheme="minorBidi"/>
        </w:rPr>
        <w:t>were</w:t>
      </w:r>
      <w:r w:rsidR="00241B39" w:rsidRPr="002E1EAF">
        <w:rPr>
          <w:rFonts w:asciiTheme="minorHAnsi" w:hAnsiTheme="minorHAnsi" w:cstheme="minorBidi"/>
        </w:rPr>
        <w:t xml:space="preserve"> above </w:t>
      </w:r>
      <w:r w:rsidR="00A35508">
        <w:rPr>
          <w:rFonts w:asciiTheme="minorHAnsi" w:hAnsiTheme="minorHAnsi" w:cstheme="minorBidi"/>
        </w:rPr>
        <w:t>56.29 for safety and 67.00 for health.</w:t>
      </w:r>
      <w:r w:rsidR="00241B39" w:rsidRPr="002E1EAF">
        <w:rPr>
          <w:rFonts w:asciiTheme="minorHAnsi" w:hAnsiTheme="minorHAnsi" w:cstheme="minorBidi"/>
        </w:rPr>
        <w:t xml:space="preserve">  </w:t>
      </w:r>
      <w:r w:rsidR="00340440">
        <w:rPr>
          <w:rFonts w:asciiTheme="minorHAnsi" w:hAnsiTheme="minorHAnsi" w:cstheme="minorBidi"/>
        </w:rPr>
        <w:t>Contributors for i</w:t>
      </w:r>
      <w:r w:rsidR="00E52F99">
        <w:rPr>
          <w:rFonts w:asciiTheme="minorHAnsi" w:hAnsiTheme="minorHAnsi" w:cstheme="minorBidi"/>
        </w:rPr>
        <w:t xml:space="preserve">ncreased lapse time </w:t>
      </w:r>
      <w:r w:rsidR="00340440">
        <w:rPr>
          <w:rFonts w:asciiTheme="minorHAnsi" w:hAnsiTheme="minorHAnsi" w:cstheme="minorBidi"/>
        </w:rPr>
        <w:t>included</w:t>
      </w:r>
      <w:r w:rsidR="00DF2126">
        <w:rPr>
          <w:rFonts w:asciiTheme="minorHAnsi" w:hAnsiTheme="minorHAnsi" w:cstheme="minorBidi"/>
        </w:rPr>
        <w:t>, but were not limited to,</w:t>
      </w:r>
      <w:r w:rsidR="00E52F99">
        <w:rPr>
          <w:rFonts w:asciiTheme="minorHAnsi" w:hAnsiTheme="minorHAnsi" w:cstheme="minorBidi"/>
        </w:rPr>
        <w:t xml:space="preserve"> cases in review </w:t>
      </w:r>
      <w:r w:rsidR="00847AD6">
        <w:rPr>
          <w:rFonts w:asciiTheme="minorHAnsi" w:hAnsiTheme="minorHAnsi" w:cstheme="minorBidi"/>
        </w:rPr>
        <w:t>with supervisors for extended periods of time</w:t>
      </w:r>
      <w:r w:rsidR="00340440">
        <w:rPr>
          <w:rFonts w:asciiTheme="minorHAnsi" w:hAnsiTheme="minorHAnsi" w:cstheme="minorBidi"/>
        </w:rPr>
        <w:t xml:space="preserve"> prior to issuance</w:t>
      </w:r>
      <w:r w:rsidR="00DF2126">
        <w:rPr>
          <w:rFonts w:asciiTheme="minorHAnsi" w:hAnsiTheme="minorHAnsi" w:cstheme="minorBidi"/>
        </w:rPr>
        <w:t>, v</w:t>
      </w:r>
      <w:r w:rsidR="00B64EE2">
        <w:rPr>
          <w:rFonts w:asciiTheme="minorHAnsi" w:hAnsiTheme="minorHAnsi" w:cstheme="minorBidi"/>
        </w:rPr>
        <w:t>acant c</w:t>
      </w:r>
      <w:r w:rsidR="00477153">
        <w:rPr>
          <w:rFonts w:asciiTheme="minorHAnsi" w:hAnsiTheme="minorHAnsi" w:cstheme="minorBidi"/>
        </w:rPr>
        <w:t xml:space="preserve">ompliance officer </w:t>
      </w:r>
      <w:r w:rsidR="00B64EE2">
        <w:rPr>
          <w:rFonts w:asciiTheme="minorHAnsi" w:hAnsiTheme="minorHAnsi" w:cstheme="minorBidi"/>
        </w:rPr>
        <w:t>positions</w:t>
      </w:r>
      <w:r w:rsidR="00477153">
        <w:rPr>
          <w:rFonts w:asciiTheme="minorHAnsi" w:hAnsiTheme="minorHAnsi" w:cstheme="minorBidi"/>
        </w:rPr>
        <w:t xml:space="preserve"> yielded a higher case workload for </w:t>
      </w:r>
      <w:r w:rsidR="008D2B08">
        <w:rPr>
          <w:rFonts w:asciiTheme="minorHAnsi" w:hAnsiTheme="minorHAnsi" w:cstheme="minorBidi"/>
        </w:rPr>
        <w:t>the current staff</w:t>
      </w:r>
      <w:r w:rsidR="00DF2126">
        <w:rPr>
          <w:rFonts w:asciiTheme="minorHAnsi" w:hAnsiTheme="minorHAnsi" w:cstheme="minorBidi"/>
        </w:rPr>
        <w:t>, and l</w:t>
      </w:r>
      <w:r w:rsidR="008D2B08">
        <w:rPr>
          <w:rFonts w:asciiTheme="minorHAnsi" w:hAnsiTheme="minorHAnsi" w:cstheme="minorBidi"/>
        </w:rPr>
        <w:t xml:space="preserve">astly, </w:t>
      </w:r>
      <w:r w:rsidR="00C922FE">
        <w:rPr>
          <w:rFonts w:asciiTheme="minorHAnsi" w:hAnsiTheme="minorHAnsi" w:cstheme="minorBidi"/>
        </w:rPr>
        <w:t xml:space="preserve">inspections with proposed penalties in excess of $2,500 went to the ICA for </w:t>
      </w:r>
      <w:r w:rsidR="00AE0C37">
        <w:rPr>
          <w:rFonts w:asciiTheme="minorHAnsi" w:hAnsiTheme="minorHAnsi" w:cstheme="minorBidi"/>
        </w:rPr>
        <w:t>review and approval prior to issuance</w:t>
      </w:r>
      <w:r w:rsidR="00DF2126">
        <w:rPr>
          <w:rFonts w:asciiTheme="minorHAnsi" w:hAnsiTheme="minorHAnsi" w:cstheme="minorBidi"/>
        </w:rPr>
        <w:t>.</w:t>
      </w:r>
      <w:r w:rsidR="00AE0C37">
        <w:rPr>
          <w:rFonts w:asciiTheme="minorHAnsi" w:hAnsiTheme="minorHAnsi" w:cstheme="minorBidi"/>
        </w:rPr>
        <w:t xml:space="preserve"> </w:t>
      </w:r>
      <w:r w:rsidR="00DF2126">
        <w:rPr>
          <w:rFonts w:asciiTheme="minorHAnsi" w:hAnsiTheme="minorHAnsi" w:cstheme="minorBidi"/>
        </w:rPr>
        <w:t xml:space="preserve"> </w:t>
      </w:r>
      <w:r w:rsidR="002472ED">
        <w:rPr>
          <w:rFonts w:asciiTheme="minorHAnsi" w:hAnsiTheme="minorHAnsi" w:cstheme="minorBidi"/>
        </w:rPr>
        <w:t xml:space="preserve">ADOSH was </w:t>
      </w:r>
      <w:r w:rsidR="00964D70">
        <w:rPr>
          <w:rFonts w:asciiTheme="minorHAnsi" w:hAnsiTheme="minorHAnsi" w:cstheme="minorBidi"/>
        </w:rPr>
        <w:t>still issuing citations prior to the statute of limitations expiring</w:t>
      </w:r>
      <w:r w:rsidR="002D42AC">
        <w:rPr>
          <w:rFonts w:asciiTheme="minorHAnsi" w:hAnsiTheme="minorHAnsi" w:cstheme="minorBidi"/>
        </w:rPr>
        <w:t xml:space="preserve">. </w:t>
      </w:r>
      <w:r w:rsidR="00A3213C">
        <w:rPr>
          <w:rFonts w:asciiTheme="minorHAnsi" w:hAnsiTheme="minorHAnsi" w:cstheme="minorBidi"/>
        </w:rPr>
        <w:t xml:space="preserve"> During quarterly meetings with OSHA, </w:t>
      </w:r>
      <w:r w:rsidR="002D42AC">
        <w:rPr>
          <w:rFonts w:asciiTheme="minorHAnsi" w:hAnsiTheme="minorHAnsi" w:cstheme="minorBidi"/>
        </w:rPr>
        <w:t xml:space="preserve">ADOSH communicated factors </w:t>
      </w:r>
      <w:r w:rsidR="002472ED">
        <w:rPr>
          <w:rFonts w:asciiTheme="minorHAnsi" w:hAnsiTheme="minorHAnsi" w:cstheme="minorBidi"/>
        </w:rPr>
        <w:t xml:space="preserve">that were impacting lapse time.  At this time, OSHA </w:t>
      </w:r>
      <w:r w:rsidR="00BA4958">
        <w:rPr>
          <w:rFonts w:asciiTheme="minorHAnsi" w:hAnsiTheme="minorHAnsi" w:cstheme="minorBidi"/>
        </w:rPr>
        <w:t xml:space="preserve">will </w:t>
      </w:r>
      <w:r w:rsidR="00DE5FE7">
        <w:rPr>
          <w:rFonts w:asciiTheme="minorHAnsi" w:hAnsiTheme="minorHAnsi" w:cstheme="minorBidi"/>
        </w:rPr>
        <w:t>continue to monitor this through the SAMM report and discuss</w:t>
      </w:r>
      <w:r w:rsidR="00C8177B">
        <w:rPr>
          <w:rFonts w:asciiTheme="minorHAnsi" w:hAnsiTheme="minorHAnsi" w:cstheme="minorBidi"/>
        </w:rPr>
        <w:t xml:space="preserve"> changes </w:t>
      </w:r>
      <w:r w:rsidR="00DE5FE7">
        <w:rPr>
          <w:rFonts w:asciiTheme="minorHAnsi" w:hAnsiTheme="minorHAnsi" w:cstheme="minorBidi"/>
        </w:rPr>
        <w:t>with ADOSH</w:t>
      </w:r>
      <w:r w:rsidR="00C8177B">
        <w:rPr>
          <w:rFonts w:asciiTheme="minorHAnsi" w:hAnsiTheme="minorHAnsi" w:cstheme="minorBidi"/>
        </w:rPr>
        <w:t xml:space="preserve">. </w:t>
      </w:r>
      <w:r w:rsidR="00DE5FE7">
        <w:rPr>
          <w:rFonts w:asciiTheme="minorHAnsi" w:hAnsiTheme="minorHAnsi" w:cstheme="minorBidi"/>
        </w:rPr>
        <w:t xml:space="preserve"> </w:t>
      </w:r>
      <w:r w:rsidR="002472ED" w:rsidRPr="002472ED">
        <w:rPr>
          <w:rFonts w:asciiTheme="minorHAnsi" w:hAnsiTheme="minorHAnsi" w:cstheme="minorBidi"/>
          <w:b/>
          <w:bCs/>
        </w:rPr>
        <w:t>Observations FY 2024-OB-02 and FY 2024-OB-03 are closed.</w:t>
      </w:r>
      <w:r w:rsidR="002472ED">
        <w:rPr>
          <w:rFonts w:asciiTheme="minorHAnsi" w:hAnsiTheme="minorHAnsi" w:cstheme="minorBidi"/>
        </w:rPr>
        <w:t xml:space="preserve"> </w:t>
      </w:r>
      <w:r w:rsidR="00DE5FE7">
        <w:rPr>
          <w:rFonts w:asciiTheme="minorHAnsi" w:hAnsiTheme="minorHAnsi" w:cstheme="minorBidi"/>
        </w:rPr>
        <w:t xml:space="preserve"> </w:t>
      </w:r>
    </w:p>
    <w:p w14:paraId="4077906F" w14:textId="77777777" w:rsidR="00B22131" w:rsidRDefault="00B22131" w:rsidP="00B22131">
      <w:pPr>
        <w:rPr>
          <w:rFonts w:asciiTheme="minorHAnsi" w:hAnsiTheme="minorHAnsi" w:cstheme="minorBidi"/>
          <w:highlight w:val="yellow"/>
        </w:rPr>
      </w:pPr>
    </w:p>
    <w:p w14:paraId="274A657A" w14:textId="431EB3A0" w:rsidR="00B22131" w:rsidRPr="001E4ED4" w:rsidRDefault="007D31AD" w:rsidP="00B22131">
      <w:pPr>
        <w:rPr>
          <w:rFonts w:asciiTheme="minorHAnsi" w:hAnsiTheme="minorHAnsi" w:cstheme="minorBidi"/>
        </w:rPr>
      </w:pPr>
      <w:r>
        <w:rPr>
          <w:rFonts w:asciiTheme="minorHAnsi" w:hAnsiTheme="minorHAnsi" w:cstheme="minorBidi"/>
        </w:rPr>
        <w:t xml:space="preserve">The case file review </w:t>
      </w:r>
      <w:r w:rsidR="00540123">
        <w:rPr>
          <w:rFonts w:asciiTheme="minorHAnsi" w:hAnsiTheme="minorHAnsi" w:cstheme="minorBidi"/>
        </w:rPr>
        <w:t>confirmed</w:t>
      </w:r>
      <w:r>
        <w:rPr>
          <w:rFonts w:asciiTheme="minorHAnsi" w:hAnsiTheme="minorHAnsi" w:cstheme="minorBidi"/>
        </w:rPr>
        <w:t xml:space="preserve"> ADOSH </w:t>
      </w:r>
      <w:r w:rsidR="00540123">
        <w:rPr>
          <w:rFonts w:asciiTheme="minorHAnsi" w:hAnsiTheme="minorHAnsi" w:cstheme="minorBidi"/>
        </w:rPr>
        <w:t xml:space="preserve">improved their management of citation delivery, which was identified as a finding in the 2023 Arizona Special Study.  </w:t>
      </w:r>
      <w:r w:rsidR="00E40CF0">
        <w:rPr>
          <w:rFonts w:asciiTheme="minorHAnsi" w:hAnsiTheme="minorHAnsi" w:cstheme="minorBidi"/>
        </w:rPr>
        <w:t>Of</w:t>
      </w:r>
      <w:r w:rsidR="00540123">
        <w:rPr>
          <w:rFonts w:asciiTheme="minorHAnsi" w:hAnsiTheme="minorHAnsi" w:cstheme="minorBidi"/>
        </w:rPr>
        <w:t xml:space="preserve"> </w:t>
      </w:r>
      <w:r w:rsidR="005C46DA">
        <w:rPr>
          <w:rFonts w:asciiTheme="minorHAnsi" w:hAnsiTheme="minorHAnsi" w:cstheme="minorBidi"/>
        </w:rPr>
        <w:t>the 12 files reviewed containing citations, all citation</w:t>
      </w:r>
      <w:r w:rsidR="00E40CF0">
        <w:rPr>
          <w:rFonts w:asciiTheme="minorHAnsi" w:hAnsiTheme="minorHAnsi" w:cstheme="minorBidi"/>
        </w:rPr>
        <w:t xml:space="preserve"> packages</w:t>
      </w:r>
      <w:r w:rsidR="005C46DA">
        <w:rPr>
          <w:rFonts w:asciiTheme="minorHAnsi" w:hAnsiTheme="minorHAnsi" w:cstheme="minorBidi"/>
        </w:rPr>
        <w:t xml:space="preserve"> were delivered to the employer.  </w:t>
      </w:r>
    </w:p>
    <w:p w14:paraId="58C642DF" w14:textId="77777777" w:rsidR="001B44C6" w:rsidRPr="00B22131" w:rsidRDefault="001B44C6" w:rsidP="00B22131">
      <w:pPr>
        <w:rPr>
          <w:rFonts w:asciiTheme="minorHAnsi" w:hAnsiTheme="minorHAnsi" w:cstheme="minorBidi"/>
          <w:highlight w:val="yellow"/>
        </w:rPr>
      </w:pPr>
    </w:p>
    <w:p w14:paraId="05962BC4" w14:textId="27C1556C" w:rsidR="00BD0D18" w:rsidRPr="00E60645" w:rsidRDefault="007559C5" w:rsidP="00E60645">
      <w:pPr>
        <w:rPr>
          <w:rFonts w:asciiTheme="minorHAnsi" w:hAnsiTheme="minorHAnsi" w:cstheme="minorBidi"/>
        </w:rPr>
      </w:pPr>
      <w:r w:rsidRPr="007559C5">
        <w:rPr>
          <w:rFonts w:asciiTheme="minorHAnsi" w:hAnsiTheme="minorHAnsi" w:cstheme="minorBidi"/>
        </w:rPr>
        <w:t>Arizona</w:t>
      </w:r>
      <w:r w:rsidR="00AF2745">
        <w:rPr>
          <w:rFonts w:asciiTheme="minorHAnsi" w:hAnsiTheme="minorHAnsi" w:cstheme="minorBidi"/>
        </w:rPr>
        <w:t xml:space="preserve"> aligned its</w:t>
      </w:r>
      <w:r w:rsidR="00A95C9C" w:rsidRPr="007559C5">
        <w:rPr>
          <w:rFonts w:asciiTheme="minorHAnsi" w:hAnsiTheme="minorHAnsi" w:cstheme="minorBidi"/>
        </w:rPr>
        <w:t xml:space="preserve"> penalt</w:t>
      </w:r>
      <w:r w:rsidR="008225DB">
        <w:rPr>
          <w:rFonts w:asciiTheme="minorHAnsi" w:hAnsiTheme="minorHAnsi" w:cstheme="minorBidi"/>
        </w:rPr>
        <w:t xml:space="preserve">y structure with </w:t>
      </w:r>
      <w:proofErr w:type="gramStart"/>
      <w:r w:rsidR="008225DB">
        <w:rPr>
          <w:rFonts w:asciiTheme="minorHAnsi" w:hAnsiTheme="minorHAnsi" w:cstheme="minorBidi"/>
        </w:rPr>
        <w:t>OSHA’s</w:t>
      </w:r>
      <w:proofErr w:type="gramEnd"/>
      <w:r w:rsidR="008225DB">
        <w:rPr>
          <w:rFonts w:asciiTheme="minorHAnsi" w:hAnsiTheme="minorHAnsi" w:cstheme="minorBidi"/>
        </w:rPr>
        <w:t xml:space="preserve"> </w:t>
      </w:r>
      <w:r w:rsidR="00E91DCA" w:rsidRPr="007559C5">
        <w:rPr>
          <w:rFonts w:asciiTheme="minorHAnsi" w:hAnsiTheme="minorHAnsi" w:cstheme="minorBidi"/>
        </w:rPr>
        <w:t xml:space="preserve">after House Bill 2120 </w:t>
      </w:r>
      <w:r w:rsidRPr="007559C5">
        <w:rPr>
          <w:rFonts w:asciiTheme="minorHAnsi" w:hAnsiTheme="minorHAnsi" w:cstheme="minorBidi"/>
        </w:rPr>
        <w:t xml:space="preserve">went into </w:t>
      </w:r>
      <w:r w:rsidR="00660C62" w:rsidRPr="007559C5">
        <w:rPr>
          <w:rFonts w:asciiTheme="minorHAnsi" w:hAnsiTheme="minorHAnsi" w:cstheme="minorBidi"/>
        </w:rPr>
        <w:t xml:space="preserve">effect September 24, 2022.  </w:t>
      </w:r>
      <w:r w:rsidR="002070F2">
        <w:rPr>
          <w:rFonts w:asciiTheme="minorHAnsi" w:hAnsiTheme="minorHAnsi" w:cstheme="minorBidi"/>
        </w:rPr>
        <w:t xml:space="preserve">As a result, </w:t>
      </w:r>
      <w:r w:rsidR="00D2120D">
        <w:rPr>
          <w:rFonts w:asciiTheme="minorHAnsi" w:hAnsiTheme="minorHAnsi" w:cstheme="minorBidi"/>
        </w:rPr>
        <w:t xml:space="preserve">ADOSH </w:t>
      </w:r>
      <w:r w:rsidR="00B406C0">
        <w:rPr>
          <w:rFonts w:asciiTheme="minorHAnsi" w:hAnsiTheme="minorHAnsi" w:cstheme="minorBidi"/>
        </w:rPr>
        <w:t>increase</w:t>
      </w:r>
      <w:r w:rsidR="00D63159">
        <w:rPr>
          <w:rFonts w:asciiTheme="minorHAnsi" w:hAnsiTheme="minorHAnsi" w:cstheme="minorBidi"/>
        </w:rPr>
        <w:t>d</w:t>
      </w:r>
      <w:r w:rsidR="00B406C0">
        <w:rPr>
          <w:rFonts w:asciiTheme="minorHAnsi" w:hAnsiTheme="minorHAnsi" w:cstheme="minorBidi"/>
        </w:rPr>
        <w:t xml:space="preserve"> </w:t>
      </w:r>
      <w:r w:rsidR="006C3F8F">
        <w:rPr>
          <w:rFonts w:asciiTheme="minorHAnsi" w:hAnsiTheme="minorHAnsi" w:cstheme="minorBidi"/>
        </w:rPr>
        <w:t xml:space="preserve">its </w:t>
      </w:r>
      <w:r w:rsidR="00B406C0">
        <w:rPr>
          <w:rFonts w:asciiTheme="minorHAnsi" w:hAnsiTheme="minorHAnsi" w:cstheme="minorBidi"/>
        </w:rPr>
        <w:t xml:space="preserve">penalties </w:t>
      </w:r>
      <w:r w:rsidR="002070F2">
        <w:rPr>
          <w:rFonts w:asciiTheme="minorHAnsi" w:hAnsiTheme="minorHAnsi" w:cstheme="minorBidi"/>
        </w:rPr>
        <w:t xml:space="preserve">annually </w:t>
      </w:r>
      <w:r w:rsidR="00B406C0">
        <w:rPr>
          <w:rFonts w:asciiTheme="minorHAnsi" w:hAnsiTheme="minorHAnsi" w:cstheme="minorBidi"/>
        </w:rPr>
        <w:t xml:space="preserve">in </w:t>
      </w:r>
      <w:r w:rsidR="00D2120D">
        <w:rPr>
          <w:rFonts w:asciiTheme="minorHAnsi" w:hAnsiTheme="minorHAnsi" w:cstheme="minorBidi"/>
        </w:rPr>
        <w:t xml:space="preserve">conjunction with OSHA’s </w:t>
      </w:r>
      <w:r w:rsidR="00B406C0">
        <w:rPr>
          <w:rFonts w:asciiTheme="minorHAnsi" w:hAnsiTheme="minorHAnsi" w:cstheme="minorBidi"/>
        </w:rPr>
        <w:t>Federal Civil Penalties for Inflation Adjustments</w:t>
      </w:r>
      <w:r w:rsidR="00D2120D">
        <w:rPr>
          <w:rFonts w:asciiTheme="minorHAnsi" w:hAnsiTheme="minorHAnsi" w:cstheme="minorBidi"/>
        </w:rPr>
        <w:t xml:space="preserve">. </w:t>
      </w:r>
      <w:r w:rsidR="00794092">
        <w:rPr>
          <w:rFonts w:asciiTheme="minorHAnsi" w:hAnsiTheme="minorHAnsi" w:cstheme="minorBidi"/>
        </w:rPr>
        <w:t xml:space="preserve"> </w:t>
      </w:r>
      <w:r w:rsidR="0060306E" w:rsidRPr="00EE052C">
        <w:rPr>
          <w:rFonts w:asciiTheme="minorHAnsi" w:hAnsiTheme="minorHAnsi" w:cstheme="minorBidi"/>
        </w:rPr>
        <w:t xml:space="preserve">Table B shows the average current penalty per serious violation in the private sector based on the number of workers controlled by an establishment.  </w:t>
      </w:r>
      <w:r w:rsidR="00BF141E" w:rsidRPr="007559C5">
        <w:rPr>
          <w:rFonts w:asciiTheme="minorHAnsi" w:hAnsiTheme="minorHAnsi" w:cstheme="minorBidi"/>
        </w:rPr>
        <w:t>This review period, t</w:t>
      </w:r>
      <w:r w:rsidR="312311E6" w:rsidRPr="007559C5">
        <w:rPr>
          <w:rFonts w:asciiTheme="minorHAnsi" w:hAnsiTheme="minorHAnsi" w:cstheme="minorBidi"/>
        </w:rPr>
        <w:t xml:space="preserve">he average current penalty per serious violation in private sector </w:t>
      </w:r>
      <w:r w:rsidR="0969009B" w:rsidRPr="007559C5">
        <w:rPr>
          <w:rFonts w:asciiTheme="minorHAnsi" w:hAnsiTheme="minorHAnsi" w:cstheme="minorBidi"/>
        </w:rPr>
        <w:t>(SAMM 8</w:t>
      </w:r>
      <w:r w:rsidR="0969009B" w:rsidRPr="00EE052C">
        <w:rPr>
          <w:rFonts w:asciiTheme="minorHAnsi" w:hAnsiTheme="minorHAnsi" w:cstheme="minorBidi"/>
        </w:rPr>
        <w:t xml:space="preserve">) </w:t>
      </w:r>
      <w:r w:rsidR="312311E6" w:rsidRPr="00EE052C">
        <w:rPr>
          <w:rFonts w:asciiTheme="minorHAnsi" w:hAnsiTheme="minorHAnsi" w:cstheme="minorBidi"/>
        </w:rPr>
        <w:t xml:space="preserve">was </w:t>
      </w:r>
      <w:r w:rsidRPr="00EE052C">
        <w:rPr>
          <w:rFonts w:asciiTheme="minorHAnsi" w:hAnsiTheme="minorHAnsi" w:cstheme="minorBidi"/>
        </w:rPr>
        <w:t>$5,870.64</w:t>
      </w:r>
      <w:r w:rsidR="0969009B" w:rsidRPr="00EE052C">
        <w:rPr>
          <w:rFonts w:asciiTheme="minorHAnsi" w:hAnsiTheme="minorHAnsi" w:cstheme="minorBidi"/>
        </w:rPr>
        <w:t xml:space="preserve"> and </w:t>
      </w:r>
      <w:r w:rsidR="007D70EB">
        <w:rPr>
          <w:rFonts w:asciiTheme="minorHAnsi" w:hAnsiTheme="minorHAnsi" w:cstheme="minorBidi"/>
        </w:rPr>
        <w:t>above the FRL</w:t>
      </w:r>
      <w:r w:rsidR="009F4C57">
        <w:rPr>
          <w:rFonts w:asciiTheme="minorHAnsi" w:hAnsiTheme="minorHAnsi" w:cstheme="minorBidi"/>
        </w:rPr>
        <w:t xml:space="preserve">, </w:t>
      </w:r>
      <w:r w:rsidR="009F4C57" w:rsidRPr="00497447">
        <w:rPr>
          <w:rFonts w:asciiTheme="minorHAnsi" w:hAnsiTheme="minorHAnsi" w:cstheme="minorBidi"/>
        </w:rPr>
        <w:t>w</w:t>
      </w:r>
      <w:r w:rsidR="009F4C57" w:rsidRPr="008508E5">
        <w:rPr>
          <w:rFonts w:asciiTheme="minorHAnsi" w:hAnsiTheme="minorHAnsi" w:cstheme="minorBidi"/>
        </w:rPr>
        <w:t>hich was</w:t>
      </w:r>
      <w:r w:rsidR="007D70EB" w:rsidRPr="008508E5">
        <w:rPr>
          <w:rFonts w:asciiTheme="minorHAnsi" w:hAnsiTheme="minorHAnsi" w:cstheme="minorBidi"/>
        </w:rPr>
        <w:t xml:space="preserve"> </w:t>
      </w:r>
      <w:r w:rsidR="4BC260C9" w:rsidRPr="008508E5">
        <w:rPr>
          <w:rFonts w:asciiTheme="minorHAnsi" w:hAnsiTheme="minorHAnsi" w:cstheme="minorBidi"/>
        </w:rPr>
        <w:t>-25% of the three</w:t>
      </w:r>
      <w:r w:rsidR="55D5FD11" w:rsidRPr="008508E5">
        <w:rPr>
          <w:rFonts w:asciiTheme="minorHAnsi" w:hAnsiTheme="minorHAnsi" w:cstheme="minorBidi"/>
        </w:rPr>
        <w:t>-</w:t>
      </w:r>
      <w:r w:rsidR="4BC260C9" w:rsidRPr="008508E5">
        <w:rPr>
          <w:rFonts w:asciiTheme="minorHAnsi" w:hAnsiTheme="minorHAnsi" w:cstheme="minorBidi"/>
        </w:rPr>
        <w:t>year national average of $3,</w:t>
      </w:r>
      <w:r w:rsidR="009F4C57" w:rsidRPr="008508E5">
        <w:rPr>
          <w:rFonts w:asciiTheme="minorHAnsi" w:hAnsiTheme="minorHAnsi" w:cstheme="minorBidi"/>
        </w:rPr>
        <w:t>926.69</w:t>
      </w:r>
      <w:r w:rsidR="4BC260C9" w:rsidRPr="008508E5">
        <w:rPr>
          <w:rFonts w:asciiTheme="minorHAnsi" w:hAnsiTheme="minorHAnsi" w:cstheme="minorBidi"/>
        </w:rPr>
        <w:t xml:space="preserve">, which </w:t>
      </w:r>
      <w:r w:rsidR="00497447" w:rsidRPr="008508E5">
        <w:rPr>
          <w:rFonts w:asciiTheme="minorHAnsi" w:hAnsiTheme="minorHAnsi" w:cstheme="minorBidi"/>
        </w:rPr>
        <w:t>equaled $2,945.02</w:t>
      </w:r>
      <w:r w:rsidR="4BC260C9" w:rsidRPr="008508E5">
        <w:rPr>
          <w:rFonts w:asciiTheme="minorHAnsi" w:hAnsiTheme="minorHAnsi" w:cstheme="minorBidi"/>
        </w:rPr>
        <w:t xml:space="preserve">.  </w:t>
      </w:r>
      <w:r w:rsidR="161C1DAC" w:rsidRPr="008508E5">
        <w:rPr>
          <w:rFonts w:asciiTheme="minorHAnsi" w:hAnsiTheme="minorHAnsi" w:cstheme="minorBidi"/>
        </w:rPr>
        <w:t xml:space="preserve">ADOSH’s average current penalties for all ranges of workers </w:t>
      </w:r>
      <w:r w:rsidR="008508E5" w:rsidRPr="008508E5">
        <w:rPr>
          <w:rFonts w:asciiTheme="minorHAnsi" w:hAnsiTheme="minorHAnsi" w:cstheme="minorBidi"/>
        </w:rPr>
        <w:t>were</w:t>
      </w:r>
      <w:r w:rsidR="161C1DAC" w:rsidRPr="008508E5">
        <w:rPr>
          <w:rFonts w:asciiTheme="minorHAnsi" w:hAnsiTheme="minorHAnsi" w:cstheme="minorBidi"/>
        </w:rPr>
        <w:t xml:space="preserve"> </w:t>
      </w:r>
      <w:r w:rsidR="006F1AEC" w:rsidRPr="008508E5">
        <w:rPr>
          <w:rFonts w:asciiTheme="minorHAnsi" w:hAnsiTheme="minorHAnsi" w:cstheme="minorBidi"/>
        </w:rPr>
        <w:t>above</w:t>
      </w:r>
      <w:r w:rsidR="161C1DAC" w:rsidRPr="008508E5">
        <w:rPr>
          <w:rFonts w:asciiTheme="minorHAnsi" w:hAnsiTheme="minorHAnsi" w:cstheme="minorBidi"/>
        </w:rPr>
        <w:t xml:space="preserve"> the </w:t>
      </w:r>
      <w:r w:rsidR="006F1AEC" w:rsidRPr="008508E5">
        <w:rPr>
          <w:rFonts w:asciiTheme="minorHAnsi" w:hAnsiTheme="minorHAnsi" w:cstheme="minorBidi"/>
        </w:rPr>
        <w:t xml:space="preserve">national average and </w:t>
      </w:r>
      <w:r w:rsidR="161C1DAC" w:rsidRPr="008508E5">
        <w:rPr>
          <w:rFonts w:asciiTheme="minorHAnsi" w:hAnsiTheme="minorHAnsi" w:cstheme="minorBidi"/>
        </w:rPr>
        <w:t>FRL</w:t>
      </w:r>
      <w:r w:rsidR="006F1AEC" w:rsidRPr="008508E5">
        <w:rPr>
          <w:rFonts w:asciiTheme="minorHAnsi" w:hAnsiTheme="minorHAnsi" w:cstheme="minorBidi"/>
        </w:rPr>
        <w:t>s</w:t>
      </w:r>
      <w:r w:rsidR="008508E5" w:rsidRPr="008508E5">
        <w:rPr>
          <w:rFonts w:asciiTheme="minorHAnsi" w:hAnsiTheme="minorHAnsi" w:cstheme="minorBidi"/>
        </w:rPr>
        <w:t>.</w:t>
      </w:r>
      <w:r w:rsidR="008508E5">
        <w:rPr>
          <w:rFonts w:asciiTheme="minorHAnsi" w:hAnsiTheme="minorHAnsi" w:cstheme="minorBidi"/>
        </w:rPr>
        <w:t xml:space="preserve"> </w:t>
      </w:r>
    </w:p>
    <w:p w14:paraId="3D7C7950" w14:textId="4B00F36A" w:rsidR="00481DD1" w:rsidRPr="00F97D81" w:rsidRDefault="00655723" w:rsidP="00481DD1">
      <w:pPr>
        <w:widowControl/>
        <w:autoSpaceDE/>
        <w:autoSpaceDN/>
        <w:adjustRightInd/>
        <w:textAlignment w:val="baseline"/>
        <w:rPr>
          <w:rFonts w:asciiTheme="minorHAnsi" w:hAnsiTheme="minorHAnsi" w:cstheme="minorHAnsi"/>
        </w:rPr>
      </w:pPr>
      <w:r>
        <w:rPr>
          <w:rFonts w:asciiTheme="minorHAnsi" w:hAnsiTheme="minorHAnsi" w:cstheme="minorBidi"/>
        </w:rPr>
        <w:br w:type="column"/>
      </w:r>
      <w:r w:rsidR="00481DD1" w:rsidRPr="00F97D81">
        <w:rPr>
          <w:rFonts w:asciiTheme="minorHAnsi" w:hAnsiTheme="minorHAnsi" w:cstheme="minorHAnsi"/>
          <w:b/>
          <w:bCs/>
        </w:rPr>
        <w:lastRenderedPageBreak/>
        <w:t xml:space="preserve">Table </w:t>
      </w:r>
      <w:r w:rsidR="00253613">
        <w:rPr>
          <w:rFonts w:asciiTheme="minorHAnsi" w:hAnsiTheme="minorHAnsi" w:cstheme="minorHAnsi"/>
          <w:b/>
          <w:bCs/>
        </w:rPr>
        <w:t>B</w:t>
      </w:r>
      <w:r w:rsidR="00481DD1" w:rsidRPr="00F97D81">
        <w:rPr>
          <w:rFonts w:asciiTheme="minorHAnsi" w:hAnsiTheme="minorHAnsi" w:cstheme="minorHAnsi"/>
        </w:rPr>
        <w:t> </w:t>
      </w:r>
    </w:p>
    <w:p w14:paraId="6B46BB91" w14:textId="7BDCD490" w:rsidR="00481DD1" w:rsidRDefault="00481DD1" w:rsidP="00481DD1">
      <w:pPr>
        <w:widowControl/>
        <w:autoSpaceDE/>
        <w:autoSpaceDN/>
        <w:adjustRightInd/>
        <w:textAlignment w:val="baseline"/>
        <w:rPr>
          <w:rFonts w:asciiTheme="minorHAnsi" w:hAnsiTheme="minorHAnsi" w:cstheme="minorBidi"/>
        </w:rPr>
      </w:pPr>
      <w:r w:rsidRPr="35F7DDF3">
        <w:rPr>
          <w:rFonts w:asciiTheme="minorHAnsi" w:hAnsiTheme="minorHAnsi" w:cstheme="minorBidi"/>
          <w:b/>
          <w:bCs/>
        </w:rPr>
        <w:t>Average Current Serious Penalty in Private Sector (SAMM 8)</w:t>
      </w:r>
      <w:r w:rsidRPr="35F7DDF3">
        <w:rPr>
          <w:rFonts w:asciiTheme="minorHAnsi" w:hAnsiTheme="minorHAnsi" w:cstheme="minorBidi"/>
        </w:rPr>
        <w:t> </w:t>
      </w:r>
    </w:p>
    <w:p w14:paraId="5FBDD4BE" w14:textId="77777777" w:rsidR="002F3168" w:rsidRPr="00F97D81" w:rsidRDefault="002F3168" w:rsidP="00481DD1">
      <w:pPr>
        <w:widowControl/>
        <w:autoSpaceDE/>
        <w:autoSpaceDN/>
        <w:adjustRightInd/>
        <w:textAlignment w:val="baseline"/>
        <w:rPr>
          <w:rFonts w:asciiTheme="minorHAnsi" w:hAnsiTheme="minorHAnsi" w:cstheme="minorHAnsi"/>
        </w:rPr>
      </w:pPr>
    </w:p>
    <w:tbl>
      <w:tblPr>
        <w:tblW w:w="88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2"/>
        <w:gridCol w:w="2160"/>
        <w:gridCol w:w="2063"/>
        <w:gridCol w:w="2700"/>
      </w:tblGrid>
      <w:tr w:rsidR="00C55D86" w:rsidRPr="00F97D81" w14:paraId="42916442" w14:textId="77777777" w:rsidTr="00136F1F">
        <w:trPr>
          <w:trHeight w:val="300"/>
        </w:trPr>
        <w:tc>
          <w:tcPr>
            <w:tcW w:w="1972" w:type="dxa"/>
            <w:tcBorders>
              <w:top w:val="single" w:sz="6" w:space="0" w:color="auto"/>
              <w:left w:val="single" w:sz="6" w:space="0" w:color="auto"/>
              <w:bottom w:val="single" w:sz="6" w:space="0" w:color="auto"/>
              <w:right w:val="single" w:sz="6" w:space="0" w:color="auto"/>
            </w:tcBorders>
            <w:hideMark/>
          </w:tcPr>
          <w:p w14:paraId="13968AC9" w14:textId="77777777" w:rsidR="00481DD1" w:rsidRPr="00E23DC4" w:rsidRDefault="00481DD1" w:rsidP="00D05F60">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Number of Workers</w:t>
            </w:r>
            <w:r w:rsidRPr="00E23DC4">
              <w:rPr>
                <w:rFonts w:asciiTheme="minorHAnsi" w:hAnsiTheme="minorHAnsi" w:cstheme="minorHAnsi"/>
                <w:sz w:val="22"/>
                <w:szCs w:val="22"/>
              </w:rPr>
              <w:t> </w:t>
            </w:r>
          </w:p>
        </w:tc>
        <w:tc>
          <w:tcPr>
            <w:tcW w:w="2160" w:type="dxa"/>
            <w:tcBorders>
              <w:top w:val="single" w:sz="6" w:space="0" w:color="auto"/>
              <w:left w:val="single" w:sz="6" w:space="0" w:color="auto"/>
              <w:bottom w:val="single" w:sz="6" w:space="0" w:color="auto"/>
              <w:right w:val="single" w:sz="6" w:space="0" w:color="auto"/>
            </w:tcBorders>
            <w:hideMark/>
          </w:tcPr>
          <w:p w14:paraId="11570415" w14:textId="06396818" w:rsidR="00481DD1" w:rsidRPr="00E23DC4" w:rsidRDefault="00481DD1" w:rsidP="00D05F60">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ADOSH FY 202</w:t>
            </w:r>
            <w:r w:rsidR="00C0336B">
              <w:rPr>
                <w:rFonts w:asciiTheme="minorHAnsi" w:hAnsiTheme="minorHAnsi" w:cstheme="minorHAnsi"/>
                <w:b/>
                <w:sz w:val="22"/>
                <w:szCs w:val="22"/>
              </w:rPr>
              <w:t>5</w:t>
            </w:r>
          </w:p>
        </w:tc>
        <w:tc>
          <w:tcPr>
            <w:tcW w:w="2063" w:type="dxa"/>
            <w:tcBorders>
              <w:top w:val="single" w:sz="6" w:space="0" w:color="auto"/>
              <w:left w:val="single" w:sz="6" w:space="0" w:color="auto"/>
              <w:bottom w:val="single" w:sz="6" w:space="0" w:color="auto"/>
              <w:right w:val="single" w:sz="6" w:space="0" w:color="auto"/>
            </w:tcBorders>
            <w:hideMark/>
          </w:tcPr>
          <w:p w14:paraId="524462E8" w14:textId="253E5695" w:rsidR="00481DD1" w:rsidRPr="00E23DC4" w:rsidRDefault="33BEEA8C" w:rsidP="00D05F60">
            <w:pPr>
              <w:widowControl/>
              <w:autoSpaceDE/>
              <w:autoSpaceDN/>
              <w:adjustRightInd/>
              <w:textAlignment w:val="baseline"/>
              <w:rPr>
                <w:rFonts w:asciiTheme="minorHAnsi" w:hAnsiTheme="minorHAnsi" w:cstheme="minorBidi"/>
                <w:sz w:val="22"/>
                <w:szCs w:val="22"/>
              </w:rPr>
            </w:pPr>
            <w:r w:rsidRPr="12FD18C3">
              <w:rPr>
                <w:rFonts w:asciiTheme="minorHAnsi" w:hAnsiTheme="minorHAnsi" w:cstheme="minorBidi"/>
                <w:b/>
                <w:bCs/>
                <w:sz w:val="22"/>
                <w:szCs w:val="22"/>
              </w:rPr>
              <w:t>Three</w:t>
            </w:r>
            <w:r w:rsidR="00481DD1" w:rsidRPr="12FD18C3">
              <w:rPr>
                <w:rFonts w:asciiTheme="minorHAnsi" w:hAnsiTheme="minorHAnsi" w:cstheme="minorBidi"/>
                <w:b/>
                <w:sz w:val="22"/>
                <w:szCs w:val="22"/>
              </w:rPr>
              <w:t>-Year National Average</w:t>
            </w:r>
            <w:r w:rsidR="00481DD1" w:rsidRPr="12FD18C3">
              <w:rPr>
                <w:rFonts w:asciiTheme="minorHAnsi" w:hAnsiTheme="minorHAnsi" w:cstheme="minorBidi"/>
                <w:sz w:val="22"/>
                <w:szCs w:val="22"/>
              </w:rPr>
              <w:t> </w:t>
            </w:r>
          </w:p>
        </w:tc>
        <w:tc>
          <w:tcPr>
            <w:tcW w:w="2700" w:type="dxa"/>
            <w:tcBorders>
              <w:top w:val="single" w:sz="6" w:space="0" w:color="auto"/>
              <w:left w:val="single" w:sz="6" w:space="0" w:color="auto"/>
              <w:bottom w:val="single" w:sz="6" w:space="0" w:color="auto"/>
              <w:right w:val="single" w:sz="6" w:space="0" w:color="auto"/>
            </w:tcBorders>
            <w:hideMark/>
          </w:tcPr>
          <w:p w14:paraId="249350D9" w14:textId="77777777" w:rsidR="00481DD1" w:rsidRPr="00E23DC4" w:rsidRDefault="00481DD1" w:rsidP="00D05F60">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FRL</w:t>
            </w:r>
            <w:r w:rsidRPr="00E23DC4">
              <w:rPr>
                <w:rFonts w:asciiTheme="minorHAnsi" w:hAnsiTheme="minorHAnsi" w:cstheme="minorHAnsi"/>
                <w:sz w:val="22"/>
                <w:szCs w:val="22"/>
              </w:rPr>
              <w:t> </w:t>
            </w:r>
          </w:p>
        </w:tc>
      </w:tr>
      <w:tr w:rsidR="00C55D86" w:rsidRPr="00F97D81" w14:paraId="60A7663E" w14:textId="77777777" w:rsidTr="00C23414">
        <w:trPr>
          <w:trHeight w:val="300"/>
        </w:trPr>
        <w:tc>
          <w:tcPr>
            <w:tcW w:w="1972" w:type="dxa"/>
            <w:tcBorders>
              <w:top w:val="single" w:sz="6" w:space="0" w:color="auto"/>
              <w:left w:val="single" w:sz="6" w:space="0" w:color="auto"/>
              <w:bottom w:val="single" w:sz="6" w:space="0" w:color="auto"/>
              <w:right w:val="single" w:sz="6" w:space="0" w:color="auto"/>
            </w:tcBorders>
            <w:hideMark/>
          </w:tcPr>
          <w:p w14:paraId="5EC00022" w14:textId="77777777" w:rsidR="00481DD1" w:rsidRPr="00E23DC4" w:rsidRDefault="00481DD1" w:rsidP="00D05F60">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1-250+ </w:t>
            </w:r>
          </w:p>
        </w:tc>
        <w:tc>
          <w:tcPr>
            <w:tcW w:w="2160" w:type="dxa"/>
            <w:tcBorders>
              <w:top w:val="single" w:sz="6" w:space="0" w:color="auto"/>
              <w:left w:val="single" w:sz="6" w:space="0" w:color="auto"/>
              <w:bottom w:val="single" w:sz="6" w:space="0" w:color="auto"/>
              <w:right w:val="single" w:sz="6" w:space="0" w:color="auto"/>
            </w:tcBorders>
          </w:tcPr>
          <w:p w14:paraId="06D1EF1F" w14:textId="32D567CC" w:rsidR="00481DD1" w:rsidRPr="00C23414" w:rsidRDefault="007B5650"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$5,870.64</w:t>
            </w:r>
          </w:p>
        </w:tc>
        <w:tc>
          <w:tcPr>
            <w:tcW w:w="2063" w:type="dxa"/>
            <w:tcBorders>
              <w:top w:val="single" w:sz="6" w:space="0" w:color="auto"/>
              <w:left w:val="single" w:sz="6" w:space="0" w:color="auto"/>
              <w:bottom w:val="single" w:sz="6" w:space="0" w:color="auto"/>
              <w:right w:val="single" w:sz="6" w:space="0" w:color="auto"/>
            </w:tcBorders>
          </w:tcPr>
          <w:p w14:paraId="3ECF38C6" w14:textId="4970A16A" w:rsidR="00481DD1" w:rsidRPr="00C23414" w:rsidRDefault="00900948"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$3,926.69</w:t>
            </w:r>
          </w:p>
        </w:tc>
        <w:tc>
          <w:tcPr>
            <w:tcW w:w="2700" w:type="dxa"/>
            <w:tcBorders>
              <w:top w:val="single" w:sz="6" w:space="0" w:color="auto"/>
              <w:left w:val="single" w:sz="6" w:space="0" w:color="auto"/>
              <w:bottom w:val="single" w:sz="6" w:space="0" w:color="auto"/>
              <w:right w:val="single" w:sz="6" w:space="0" w:color="auto"/>
            </w:tcBorders>
          </w:tcPr>
          <w:p w14:paraId="2EC1ECD5" w14:textId="6B6F66EA" w:rsidR="00481DD1" w:rsidRPr="00C23414" w:rsidRDefault="00900948"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$2,945.02</w:t>
            </w:r>
          </w:p>
        </w:tc>
      </w:tr>
      <w:tr w:rsidR="00C55D86" w:rsidRPr="00F97D81" w14:paraId="17959F88" w14:textId="77777777" w:rsidTr="00C23414">
        <w:trPr>
          <w:trHeight w:val="300"/>
        </w:trPr>
        <w:tc>
          <w:tcPr>
            <w:tcW w:w="1972" w:type="dxa"/>
            <w:tcBorders>
              <w:top w:val="single" w:sz="6" w:space="0" w:color="auto"/>
              <w:left w:val="single" w:sz="6" w:space="0" w:color="auto"/>
              <w:bottom w:val="single" w:sz="6" w:space="0" w:color="auto"/>
              <w:right w:val="single" w:sz="6" w:space="0" w:color="auto"/>
            </w:tcBorders>
            <w:hideMark/>
          </w:tcPr>
          <w:p w14:paraId="110A4193" w14:textId="77777777" w:rsidR="00481DD1" w:rsidRPr="00E23DC4" w:rsidRDefault="00481DD1" w:rsidP="00D05F60">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1-25 </w:t>
            </w:r>
          </w:p>
        </w:tc>
        <w:tc>
          <w:tcPr>
            <w:tcW w:w="2160" w:type="dxa"/>
            <w:tcBorders>
              <w:top w:val="single" w:sz="6" w:space="0" w:color="auto"/>
              <w:left w:val="single" w:sz="6" w:space="0" w:color="auto"/>
              <w:bottom w:val="single" w:sz="6" w:space="0" w:color="auto"/>
              <w:right w:val="single" w:sz="6" w:space="0" w:color="auto"/>
            </w:tcBorders>
          </w:tcPr>
          <w:p w14:paraId="51827134" w14:textId="5EEA60C9" w:rsidR="00481DD1" w:rsidRPr="00C23414" w:rsidRDefault="007B5650"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$3,884.00</w:t>
            </w:r>
          </w:p>
        </w:tc>
        <w:tc>
          <w:tcPr>
            <w:tcW w:w="2063" w:type="dxa"/>
            <w:tcBorders>
              <w:top w:val="single" w:sz="6" w:space="0" w:color="auto"/>
              <w:left w:val="single" w:sz="6" w:space="0" w:color="auto"/>
              <w:bottom w:val="single" w:sz="6" w:space="0" w:color="auto"/>
              <w:right w:val="single" w:sz="6" w:space="0" w:color="auto"/>
            </w:tcBorders>
          </w:tcPr>
          <w:p w14:paraId="143DB8B3" w14:textId="3A537482" w:rsidR="00481DD1" w:rsidRPr="00C23414" w:rsidRDefault="000E1485"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$2,602.76</w:t>
            </w:r>
          </w:p>
        </w:tc>
        <w:tc>
          <w:tcPr>
            <w:tcW w:w="2700" w:type="dxa"/>
            <w:tcBorders>
              <w:top w:val="single" w:sz="6" w:space="0" w:color="auto"/>
              <w:left w:val="single" w:sz="6" w:space="0" w:color="auto"/>
              <w:bottom w:val="single" w:sz="6" w:space="0" w:color="auto"/>
              <w:right w:val="single" w:sz="6" w:space="0" w:color="auto"/>
            </w:tcBorders>
          </w:tcPr>
          <w:p w14:paraId="1EE37895" w14:textId="528D17AD"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$1,952.07</w:t>
            </w:r>
          </w:p>
        </w:tc>
      </w:tr>
      <w:tr w:rsidR="00C55D86" w:rsidRPr="00F97D81" w14:paraId="220D288B" w14:textId="77777777" w:rsidTr="00C23414">
        <w:trPr>
          <w:trHeight w:val="300"/>
        </w:trPr>
        <w:tc>
          <w:tcPr>
            <w:tcW w:w="1972" w:type="dxa"/>
            <w:tcBorders>
              <w:top w:val="single" w:sz="6" w:space="0" w:color="auto"/>
              <w:left w:val="single" w:sz="6" w:space="0" w:color="auto"/>
              <w:bottom w:val="single" w:sz="6" w:space="0" w:color="auto"/>
              <w:right w:val="single" w:sz="6" w:space="0" w:color="auto"/>
            </w:tcBorders>
            <w:hideMark/>
          </w:tcPr>
          <w:p w14:paraId="6215EF1C" w14:textId="77777777" w:rsidR="00481DD1" w:rsidRPr="00E23DC4" w:rsidRDefault="00481DD1" w:rsidP="00D05F60">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26-100 </w:t>
            </w:r>
          </w:p>
        </w:tc>
        <w:tc>
          <w:tcPr>
            <w:tcW w:w="2160" w:type="dxa"/>
            <w:tcBorders>
              <w:top w:val="single" w:sz="6" w:space="0" w:color="auto"/>
              <w:left w:val="single" w:sz="6" w:space="0" w:color="auto"/>
              <w:bottom w:val="single" w:sz="6" w:space="0" w:color="auto"/>
              <w:right w:val="single" w:sz="6" w:space="0" w:color="auto"/>
            </w:tcBorders>
          </w:tcPr>
          <w:p w14:paraId="7E82E2AE" w14:textId="2D07C37F" w:rsidR="00481DD1" w:rsidRPr="00C23414" w:rsidRDefault="007B5650"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$6,471.56</w:t>
            </w:r>
          </w:p>
        </w:tc>
        <w:tc>
          <w:tcPr>
            <w:tcW w:w="2063" w:type="dxa"/>
            <w:tcBorders>
              <w:top w:val="single" w:sz="6" w:space="0" w:color="auto"/>
              <w:left w:val="single" w:sz="6" w:space="0" w:color="auto"/>
              <w:bottom w:val="single" w:sz="6" w:space="0" w:color="auto"/>
              <w:right w:val="single" w:sz="6" w:space="0" w:color="auto"/>
            </w:tcBorders>
          </w:tcPr>
          <w:p w14:paraId="7E3F216C" w14:textId="50C6A449"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$4,443.40</w:t>
            </w:r>
          </w:p>
        </w:tc>
        <w:tc>
          <w:tcPr>
            <w:tcW w:w="2700" w:type="dxa"/>
            <w:tcBorders>
              <w:top w:val="single" w:sz="6" w:space="0" w:color="auto"/>
              <w:left w:val="single" w:sz="6" w:space="0" w:color="auto"/>
              <w:bottom w:val="single" w:sz="6" w:space="0" w:color="auto"/>
              <w:right w:val="single" w:sz="6" w:space="0" w:color="auto"/>
            </w:tcBorders>
          </w:tcPr>
          <w:p w14:paraId="56F221F2" w14:textId="7EB80EF1"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$3,332.55</w:t>
            </w:r>
          </w:p>
        </w:tc>
      </w:tr>
      <w:tr w:rsidR="00C55D86" w:rsidRPr="00F97D81" w14:paraId="2B17F65C" w14:textId="77777777" w:rsidTr="00C23414">
        <w:trPr>
          <w:trHeight w:val="300"/>
        </w:trPr>
        <w:tc>
          <w:tcPr>
            <w:tcW w:w="1972" w:type="dxa"/>
            <w:tcBorders>
              <w:top w:val="single" w:sz="6" w:space="0" w:color="auto"/>
              <w:left w:val="single" w:sz="6" w:space="0" w:color="auto"/>
              <w:bottom w:val="single" w:sz="6" w:space="0" w:color="auto"/>
              <w:right w:val="single" w:sz="6" w:space="0" w:color="auto"/>
            </w:tcBorders>
            <w:hideMark/>
          </w:tcPr>
          <w:p w14:paraId="6DD917FD" w14:textId="77777777" w:rsidR="00481DD1" w:rsidRPr="00E23DC4" w:rsidRDefault="00481DD1" w:rsidP="00D05F60">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101-250 </w:t>
            </w:r>
          </w:p>
        </w:tc>
        <w:tc>
          <w:tcPr>
            <w:tcW w:w="2160" w:type="dxa"/>
            <w:tcBorders>
              <w:top w:val="single" w:sz="6" w:space="0" w:color="auto"/>
              <w:left w:val="single" w:sz="6" w:space="0" w:color="auto"/>
              <w:bottom w:val="single" w:sz="6" w:space="0" w:color="auto"/>
              <w:right w:val="single" w:sz="6" w:space="0" w:color="auto"/>
            </w:tcBorders>
          </w:tcPr>
          <w:p w14:paraId="3C7A274B" w14:textId="3F7C349D" w:rsidR="00481DD1" w:rsidRPr="00C23414" w:rsidRDefault="007B5650"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$8,781.40</w:t>
            </w:r>
          </w:p>
        </w:tc>
        <w:tc>
          <w:tcPr>
            <w:tcW w:w="2063" w:type="dxa"/>
            <w:tcBorders>
              <w:top w:val="single" w:sz="6" w:space="0" w:color="auto"/>
              <w:left w:val="single" w:sz="6" w:space="0" w:color="auto"/>
              <w:bottom w:val="single" w:sz="6" w:space="0" w:color="auto"/>
              <w:right w:val="single" w:sz="6" w:space="0" w:color="auto"/>
            </w:tcBorders>
          </w:tcPr>
          <w:p w14:paraId="35422EC1" w14:textId="29970E26"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$6,330.65</w:t>
            </w:r>
          </w:p>
        </w:tc>
        <w:tc>
          <w:tcPr>
            <w:tcW w:w="2700" w:type="dxa"/>
            <w:tcBorders>
              <w:top w:val="single" w:sz="6" w:space="0" w:color="auto"/>
              <w:left w:val="single" w:sz="6" w:space="0" w:color="auto"/>
              <w:bottom w:val="single" w:sz="6" w:space="0" w:color="auto"/>
              <w:right w:val="single" w:sz="6" w:space="0" w:color="auto"/>
            </w:tcBorders>
          </w:tcPr>
          <w:p w14:paraId="47087908" w14:textId="1EC3C84B"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$4,747.99</w:t>
            </w:r>
          </w:p>
        </w:tc>
      </w:tr>
      <w:tr w:rsidR="00C55D86" w:rsidRPr="00F97D81" w14:paraId="15F81D0E" w14:textId="77777777" w:rsidTr="00C23414">
        <w:trPr>
          <w:trHeight w:val="300"/>
        </w:trPr>
        <w:tc>
          <w:tcPr>
            <w:tcW w:w="1972" w:type="dxa"/>
            <w:tcBorders>
              <w:top w:val="single" w:sz="6" w:space="0" w:color="auto"/>
              <w:left w:val="single" w:sz="6" w:space="0" w:color="auto"/>
              <w:bottom w:val="single" w:sz="6" w:space="0" w:color="auto"/>
              <w:right w:val="single" w:sz="6" w:space="0" w:color="auto"/>
            </w:tcBorders>
            <w:hideMark/>
          </w:tcPr>
          <w:p w14:paraId="5152E1B7" w14:textId="77777777" w:rsidR="00481DD1" w:rsidRPr="00E23DC4" w:rsidRDefault="00481DD1" w:rsidP="00D05F60">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250+ </w:t>
            </w:r>
          </w:p>
        </w:tc>
        <w:tc>
          <w:tcPr>
            <w:tcW w:w="2160" w:type="dxa"/>
            <w:tcBorders>
              <w:top w:val="single" w:sz="6" w:space="0" w:color="auto"/>
              <w:left w:val="single" w:sz="6" w:space="0" w:color="auto"/>
              <w:bottom w:val="single" w:sz="6" w:space="0" w:color="auto"/>
              <w:right w:val="single" w:sz="6" w:space="0" w:color="auto"/>
            </w:tcBorders>
          </w:tcPr>
          <w:p w14:paraId="73AA0F74" w14:textId="70F2D0B0" w:rsidR="00481DD1" w:rsidRPr="00C23414" w:rsidRDefault="00546A20"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$10,717.34</w:t>
            </w:r>
          </w:p>
        </w:tc>
        <w:tc>
          <w:tcPr>
            <w:tcW w:w="2063" w:type="dxa"/>
            <w:tcBorders>
              <w:top w:val="single" w:sz="6" w:space="0" w:color="auto"/>
              <w:left w:val="single" w:sz="6" w:space="0" w:color="auto"/>
              <w:bottom w:val="single" w:sz="6" w:space="0" w:color="auto"/>
              <w:right w:val="single" w:sz="6" w:space="0" w:color="auto"/>
            </w:tcBorders>
          </w:tcPr>
          <w:p w14:paraId="5E1FDD82" w14:textId="37DDCFFB"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$7,873.27</w:t>
            </w:r>
          </w:p>
        </w:tc>
        <w:tc>
          <w:tcPr>
            <w:tcW w:w="2700" w:type="dxa"/>
            <w:tcBorders>
              <w:top w:val="single" w:sz="6" w:space="0" w:color="auto"/>
              <w:left w:val="single" w:sz="6" w:space="0" w:color="auto"/>
              <w:bottom w:val="single" w:sz="6" w:space="0" w:color="auto"/>
              <w:right w:val="single" w:sz="6" w:space="0" w:color="auto"/>
            </w:tcBorders>
          </w:tcPr>
          <w:p w14:paraId="0781B48C" w14:textId="37CFF223" w:rsidR="00481DD1" w:rsidRPr="00C23414" w:rsidRDefault="00E633B7" w:rsidP="00D05F60">
            <w:pPr>
              <w:widowControl/>
              <w:autoSpaceDE/>
              <w:autoSpaceDN/>
              <w:adjustRightInd/>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$5,904.95</w:t>
            </w:r>
          </w:p>
        </w:tc>
      </w:tr>
    </w:tbl>
    <w:p w14:paraId="6826FCA3" w14:textId="77777777" w:rsidR="00420F7C" w:rsidRPr="007A0388" w:rsidRDefault="00420F7C" w:rsidP="00253613">
      <w:pPr>
        <w:pStyle w:val="ListParagraph"/>
        <w:ind w:left="1440" w:hanging="360"/>
        <w:rPr>
          <w:rFonts w:asciiTheme="minorHAnsi" w:hAnsiTheme="minorHAnsi" w:cstheme="minorBidi"/>
          <w:sz w:val="24"/>
          <w:szCs w:val="24"/>
        </w:rPr>
      </w:pPr>
    </w:p>
    <w:p w14:paraId="7AD5AE32" w14:textId="089A0E76" w:rsidR="00BF2C43" w:rsidRDefault="00BF2C43" w:rsidP="00253613">
      <w:pPr>
        <w:pStyle w:val="ListParagraph"/>
        <w:numPr>
          <w:ilvl w:val="0"/>
          <w:numId w:val="9"/>
        </w:numPr>
        <w:spacing w:after="0" w:line="240" w:lineRule="auto"/>
        <w:contextualSpacing w:val="0"/>
        <w:rPr>
          <w:rFonts w:asciiTheme="minorHAnsi" w:hAnsiTheme="minorHAnsi" w:cstheme="minorHAnsi"/>
          <w:sz w:val="24"/>
          <w:szCs w:val="24"/>
        </w:rPr>
      </w:pPr>
      <w:r w:rsidRPr="007A0388">
        <w:rPr>
          <w:rFonts w:asciiTheme="minorHAnsi" w:hAnsiTheme="minorHAnsi" w:cstheme="minorHAnsi"/>
          <w:sz w:val="24"/>
          <w:szCs w:val="24"/>
        </w:rPr>
        <w:t>Abatement</w:t>
      </w:r>
    </w:p>
    <w:p w14:paraId="7FB81AD4" w14:textId="77777777" w:rsidR="00672699" w:rsidRPr="007A0388" w:rsidRDefault="00672699" w:rsidP="002C195E">
      <w:pPr>
        <w:pStyle w:val="ListParagraph"/>
        <w:spacing w:after="0" w:line="240" w:lineRule="auto"/>
        <w:ind w:left="1080"/>
        <w:contextualSpacing w:val="0"/>
        <w:rPr>
          <w:rFonts w:asciiTheme="minorHAnsi" w:hAnsiTheme="minorHAnsi" w:cstheme="minorHAnsi"/>
          <w:sz w:val="24"/>
          <w:szCs w:val="24"/>
        </w:rPr>
      </w:pPr>
    </w:p>
    <w:p w14:paraId="70B585DB" w14:textId="22DAD1AB" w:rsidR="00FF5536" w:rsidRPr="00F678A0" w:rsidRDefault="00042780" w:rsidP="00F678A0">
      <w:pPr>
        <w:rPr>
          <w:rFonts w:asciiTheme="minorHAnsi" w:hAnsiTheme="minorHAnsi" w:cstheme="minorBidi"/>
        </w:rPr>
      </w:pPr>
      <w:r>
        <w:rPr>
          <w:rFonts w:asciiTheme="minorHAnsi" w:hAnsiTheme="minorHAnsi" w:cstheme="minorBidi"/>
        </w:rPr>
        <w:t>A</w:t>
      </w:r>
      <w:r w:rsidR="00407BCB">
        <w:rPr>
          <w:rFonts w:asciiTheme="minorHAnsi" w:hAnsiTheme="minorHAnsi" w:cstheme="minorBidi"/>
        </w:rPr>
        <w:t xml:space="preserve">batement </w:t>
      </w:r>
      <w:r w:rsidR="005B5F2B">
        <w:rPr>
          <w:rFonts w:asciiTheme="minorHAnsi" w:hAnsiTheme="minorHAnsi" w:cstheme="minorBidi"/>
        </w:rPr>
        <w:t>was one of the focus areas in the 2023 Arizona Special Study</w:t>
      </w:r>
      <w:r w:rsidR="00C66823">
        <w:rPr>
          <w:rFonts w:asciiTheme="minorHAnsi" w:hAnsiTheme="minorHAnsi" w:cstheme="minorBidi"/>
        </w:rPr>
        <w:t xml:space="preserve"> and resulted</w:t>
      </w:r>
      <w:r w:rsidR="00A76706">
        <w:rPr>
          <w:rFonts w:asciiTheme="minorHAnsi" w:hAnsiTheme="minorHAnsi" w:cstheme="minorBidi"/>
        </w:rPr>
        <w:t xml:space="preserve"> </w:t>
      </w:r>
      <w:r w:rsidR="0076596A">
        <w:rPr>
          <w:rFonts w:asciiTheme="minorHAnsi" w:hAnsiTheme="minorHAnsi" w:cstheme="minorBidi"/>
        </w:rPr>
        <w:t xml:space="preserve">in </w:t>
      </w:r>
      <w:r w:rsidR="00A76706">
        <w:rPr>
          <w:rFonts w:asciiTheme="minorHAnsi" w:hAnsiTheme="minorHAnsi" w:cstheme="minorBidi"/>
        </w:rPr>
        <w:t xml:space="preserve">a finding </w:t>
      </w:r>
      <w:r w:rsidR="00C66823">
        <w:rPr>
          <w:rFonts w:asciiTheme="minorHAnsi" w:hAnsiTheme="minorHAnsi" w:cstheme="minorBidi"/>
        </w:rPr>
        <w:t xml:space="preserve">due to ADOSH not effectively managing </w:t>
      </w:r>
      <w:r w:rsidR="00B36C27">
        <w:rPr>
          <w:rFonts w:asciiTheme="minorHAnsi" w:hAnsiTheme="minorHAnsi" w:cstheme="minorBidi"/>
        </w:rPr>
        <w:t>corrective action for violations</w:t>
      </w:r>
      <w:r w:rsidR="00C66823">
        <w:rPr>
          <w:rFonts w:asciiTheme="minorHAnsi" w:hAnsiTheme="minorHAnsi" w:cstheme="minorBidi"/>
        </w:rPr>
        <w:t xml:space="preserve">. </w:t>
      </w:r>
      <w:r w:rsidR="007A5F2F">
        <w:rPr>
          <w:rFonts w:asciiTheme="minorHAnsi" w:hAnsiTheme="minorHAnsi" w:cstheme="minorBidi"/>
        </w:rPr>
        <w:t xml:space="preserve"> In addition,</w:t>
      </w:r>
      <w:r w:rsidR="004E667A">
        <w:rPr>
          <w:rFonts w:asciiTheme="minorHAnsi" w:hAnsiTheme="minorHAnsi" w:cstheme="minorBidi"/>
        </w:rPr>
        <w:t xml:space="preserve"> abatement</w:t>
      </w:r>
      <w:r w:rsidR="005B5F2B">
        <w:rPr>
          <w:rFonts w:asciiTheme="minorHAnsi" w:hAnsiTheme="minorHAnsi" w:cstheme="minorBidi"/>
        </w:rPr>
        <w:t xml:space="preserve"> </w:t>
      </w:r>
      <w:r w:rsidR="00A76706">
        <w:rPr>
          <w:rFonts w:asciiTheme="minorHAnsi" w:hAnsiTheme="minorHAnsi" w:cstheme="minorBidi"/>
        </w:rPr>
        <w:t>deficiencies</w:t>
      </w:r>
      <w:r w:rsidR="007A5F2F">
        <w:rPr>
          <w:rFonts w:asciiTheme="minorHAnsi" w:hAnsiTheme="minorHAnsi" w:cstheme="minorBidi"/>
        </w:rPr>
        <w:t xml:space="preserve"> were</w:t>
      </w:r>
      <w:r w:rsidR="00A76706">
        <w:rPr>
          <w:rFonts w:asciiTheme="minorHAnsi" w:hAnsiTheme="minorHAnsi" w:cstheme="minorBidi"/>
        </w:rPr>
        <w:t xml:space="preserve"> noted in the FY 2023 Comprehensive FAME</w:t>
      </w:r>
      <w:r w:rsidR="007A5F2F">
        <w:rPr>
          <w:rFonts w:asciiTheme="minorHAnsi" w:hAnsiTheme="minorHAnsi" w:cstheme="minorBidi"/>
        </w:rPr>
        <w:t xml:space="preserve"> case file review.  However, th</w:t>
      </w:r>
      <w:r>
        <w:rPr>
          <w:rFonts w:asciiTheme="minorHAnsi" w:hAnsiTheme="minorHAnsi" w:cstheme="minorBidi"/>
        </w:rPr>
        <w:t>e current</w:t>
      </w:r>
      <w:r w:rsidR="007A5F2F">
        <w:rPr>
          <w:rFonts w:asciiTheme="minorHAnsi" w:hAnsiTheme="minorHAnsi" w:cstheme="minorBidi"/>
        </w:rPr>
        <w:t xml:space="preserve"> </w:t>
      </w:r>
      <w:r w:rsidR="5062EA0E" w:rsidRPr="00F44889">
        <w:rPr>
          <w:rFonts w:asciiTheme="minorHAnsi" w:hAnsiTheme="minorHAnsi" w:cstheme="minorBidi"/>
        </w:rPr>
        <w:t xml:space="preserve">case file review </w:t>
      </w:r>
      <w:r w:rsidR="00FD3C95" w:rsidRPr="00F44889">
        <w:rPr>
          <w:rFonts w:asciiTheme="minorHAnsi" w:hAnsiTheme="minorHAnsi" w:cstheme="minorBidi"/>
        </w:rPr>
        <w:t>confirmed that</w:t>
      </w:r>
      <w:r w:rsidR="00027326">
        <w:rPr>
          <w:rFonts w:asciiTheme="minorHAnsi" w:hAnsiTheme="minorHAnsi" w:cstheme="minorBidi"/>
        </w:rPr>
        <w:t xml:space="preserve"> Arizona made significant improvements w</w:t>
      </w:r>
      <w:r w:rsidR="00044190">
        <w:rPr>
          <w:rFonts w:asciiTheme="minorHAnsi" w:hAnsiTheme="minorHAnsi" w:cstheme="minorBidi"/>
        </w:rPr>
        <w:t xml:space="preserve">ith regard </w:t>
      </w:r>
      <w:proofErr w:type="gramStart"/>
      <w:r w:rsidR="00044190">
        <w:rPr>
          <w:rFonts w:asciiTheme="minorHAnsi" w:hAnsiTheme="minorHAnsi" w:cstheme="minorBidi"/>
        </w:rPr>
        <w:t>to</w:t>
      </w:r>
      <w:r w:rsidR="005C4EC9">
        <w:rPr>
          <w:rFonts w:asciiTheme="minorHAnsi" w:hAnsiTheme="minorHAnsi" w:cstheme="minorBidi"/>
        </w:rPr>
        <w:t xml:space="preserve"> </w:t>
      </w:r>
      <w:r w:rsidR="00044190">
        <w:rPr>
          <w:rFonts w:asciiTheme="minorHAnsi" w:hAnsiTheme="minorHAnsi" w:cstheme="minorBidi"/>
        </w:rPr>
        <w:t xml:space="preserve"> handling</w:t>
      </w:r>
      <w:proofErr w:type="gramEnd"/>
      <w:r w:rsidR="00044190">
        <w:rPr>
          <w:rFonts w:asciiTheme="minorHAnsi" w:hAnsiTheme="minorHAnsi" w:cstheme="minorBidi"/>
        </w:rPr>
        <w:t xml:space="preserve"> abatement.  Ap</w:t>
      </w:r>
      <w:r w:rsidR="00F44889" w:rsidRPr="00F44889">
        <w:rPr>
          <w:rFonts w:asciiTheme="minorHAnsi" w:hAnsiTheme="minorHAnsi" w:cstheme="minorBidi"/>
        </w:rPr>
        <w:t xml:space="preserve">propriate abatement periods </w:t>
      </w:r>
      <w:r w:rsidR="00044190">
        <w:rPr>
          <w:rFonts w:asciiTheme="minorHAnsi" w:hAnsiTheme="minorHAnsi" w:cstheme="minorBidi"/>
        </w:rPr>
        <w:t xml:space="preserve">were </w:t>
      </w:r>
      <w:r w:rsidR="00F44889" w:rsidRPr="00F44889">
        <w:rPr>
          <w:rFonts w:asciiTheme="minorHAnsi" w:hAnsiTheme="minorHAnsi" w:cstheme="minorBidi"/>
        </w:rPr>
        <w:t>assigned in relation to the citations issued.  In all</w:t>
      </w:r>
      <w:r w:rsidR="0034114A">
        <w:rPr>
          <w:rFonts w:asciiTheme="minorHAnsi" w:hAnsiTheme="minorHAnsi" w:cstheme="minorBidi"/>
        </w:rPr>
        <w:t xml:space="preserve"> 12</w:t>
      </w:r>
      <w:r w:rsidR="00F44889" w:rsidRPr="00F44889">
        <w:rPr>
          <w:rFonts w:asciiTheme="minorHAnsi" w:hAnsiTheme="minorHAnsi" w:cstheme="minorBidi"/>
        </w:rPr>
        <w:t xml:space="preserve"> (100%) files </w:t>
      </w:r>
      <w:r w:rsidR="0034114A">
        <w:rPr>
          <w:rFonts w:asciiTheme="minorHAnsi" w:hAnsiTheme="minorHAnsi" w:cstheme="minorBidi"/>
        </w:rPr>
        <w:t>containing</w:t>
      </w:r>
      <w:r w:rsidR="00F44889" w:rsidRPr="00F44889">
        <w:rPr>
          <w:rFonts w:asciiTheme="minorHAnsi" w:hAnsiTheme="minorHAnsi" w:cstheme="minorBidi"/>
        </w:rPr>
        <w:t xml:space="preserve"> citations, abatement </w:t>
      </w:r>
      <w:r w:rsidR="005E4918">
        <w:rPr>
          <w:rFonts w:asciiTheme="minorHAnsi" w:hAnsiTheme="minorHAnsi" w:cstheme="minorBidi"/>
        </w:rPr>
        <w:t xml:space="preserve">verification was </w:t>
      </w:r>
      <w:r w:rsidR="00F44889" w:rsidRPr="00F44889">
        <w:rPr>
          <w:rFonts w:asciiTheme="minorHAnsi" w:hAnsiTheme="minorHAnsi" w:cstheme="minorBidi"/>
        </w:rPr>
        <w:t xml:space="preserve">maintained in the case file.  </w:t>
      </w:r>
      <w:r w:rsidR="0028688C">
        <w:rPr>
          <w:rFonts w:asciiTheme="minorHAnsi" w:hAnsiTheme="minorHAnsi" w:cstheme="minorBidi"/>
        </w:rPr>
        <w:t xml:space="preserve"> </w:t>
      </w:r>
      <w:r w:rsidRPr="00F44889">
        <w:rPr>
          <w:rFonts w:asciiTheme="minorHAnsi" w:hAnsiTheme="minorHAnsi" w:cstheme="minorBidi"/>
        </w:rPr>
        <w:t>There w</w:t>
      </w:r>
      <w:r>
        <w:rPr>
          <w:rFonts w:asciiTheme="minorHAnsi" w:hAnsiTheme="minorHAnsi" w:cstheme="minorBidi"/>
        </w:rPr>
        <w:t>e</w:t>
      </w:r>
      <w:r w:rsidRPr="00F44889">
        <w:rPr>
          <w:rFonts w:asciiTheme="minorHAnsi" w:hAnsiTheme="minorHAnsi" w:cstheme="minorBidi"/>
        </w:rPr>
        <w:t xml:space="preserve">re no case files reviewed that were marked for follow-up or to verify abatement.  </w:t>
      </w:r>
      <w:r w:rsidR="00074F0B" w:rsidRPr="00D157C2">
        <w:rPr>
          <w:rFonts w:asciiTheme="minorHAnsi" w:hAnsiTheme="minorHAnsi" w:cstheme="minorBidi"/>
          <w:b/>
          <w:bCs/>
        </w:rPr>
        <w:t>Finding 2024-04 is c</w:t>
      </w:r>
      <w:r w:rsidR="002F23C7">
        <w:rPr>
          <w:rFonts w:asciiTheme="minorHAnsi" w:hAnsiTheme="minorHAnsi" w:cstheme="minorBidi"/>
          <w:b/>
          <w:bCs/>
        </w:rPr>
        <w:t>ompleted</w:t>
      </w:r>
      <w:r w:rsidR="00074F0B" w:rsidRPr="00D157C2">
        <w:rPr>
          <w:rFonts w:asciiTheme="minorHAnsi" w:hAnsiTheme="minorHAnsi" w:cstheme="minorBidi"/>
          <w:b/>
          <w:bCs/>
        </w:rPr>
        <w:t xml:space="preserve">. </w:t>
      </w:r>
    </w:p>
    <w:p w14:paraId="07C022C3" w14:textId="77777777" w:rsidR="00471CB4" w:rsidDel="00287A84" w:rsidRDefault="00471CB4" w:rsidP="00471CB4">
      <w:pPr>
        <w:rPr>
          <w:rFonts w:asciiTheme="minorHAnsi" w:hAnsiTheme="minorHAnsi" w:cstheme="minorBidi"/>
          <w:highlight w:val="yellow"/>
        </w:rPr>
      </w:pPr>
    </w:p>
    <w:p w14:paraId="45099E7E" w14:textId="3AD320AF" w:rsidR="00F55641" w:rsidRDefault="00F55641" w:rsidP="00253613">
      <w:pPr>
        <w:pStyle w:val="ListParagraph"/>
        <w:numPr>
          <w:ilvl w:val="0"/>
          <w:numId w:val="9"/>
        </w:numPr>
        <w:spacing w:after="0" w:line="240" w:lineRule="auto"/>
        <w:contextualSpacing w:val="0"/>
        <w:rPr>
          <w:rFonts w:asciiTheme="minorHAnsi" w:hAnsiTheme="minorHAnsi" w:cstheme="minorHAnsi"/>
          <w:sz w:val="24"/>
          <w:szCs w:val="24"/>
        </w:rPr>
      </w:pPr>
      <w:r w:rsidRPr="007A0388">
        <w:rPr>
          <w:rFonts w:asciiTheme="minorHAnsi" w:hAnsiTheme="minorHAnsi" w:cstheme="minorHAnsi"/>
          <w:sz w:val="24"/>
          <w:szCs w:val="24"/>
        </w:rPr>
        <w:t>Worker and Union Involvement</w:t>
      </w:r>
    </w:p>
    <w:p w14:paraId="1B985307" w14:textId="77777777" w:rsidR="00672699" w:rsidRPr="007A0388" w:rsidRDefault="00672699" w:rsidP="002C195E">
      <w:pPr>
        <w:pStyle w:val="ListParagraph"/>
        <w:spacing w:after="0" w:line="240" w:lineRule="auto"/>
        <w:ind w:left="1080"/>
        <w:contextualSpacing w:val="0"/>
        <w:rPr>
          <w:rFonts w:asciiTheme="minorHAnsi" w:hAnsiTheme="minorHAnsi" w:cstheme="minorHAnsi"/>
          <w:sz w:val="24"/>
          <w:szCs w:val="24"/>
        </w:rPr>
      </w:pPr>
    </w:p>
    <w:p w14:paraId="25C68BC5" w14:textId="4FF54824" w:rsidR="004A1AAE" w:rsidRDefault="000F7258" w:rsidP="00AC231F">
      <w:pPr>
        <w:rPr>
          <w:rFonts w:asciiTheme="minorHAnsi" w:hAnsiTheme="minorHAnsi" w:cstheme="minorHAnsi"/>
        </w:rPr>
      </w:pPr>
      <w:r>
        <w:rPr>
          <w:rFonts w:asciiTheme="minorHAnsi" w:hAnsiTheme="minorHAnsi" w:cstheme="minorHAnsi"/>
        </w:rPr>
        <w:t xml:space="preserve">Arizona made </w:t>
      </w:r>
      <w:r w:rsidR="007553A7">
        <w:rPr>
          <w:rFonts w:asciiTheme="minorHAnsi" w:hAnsiTheme="minorHAnsi" w:cstheme="minorHAnsi"/>
        </w:rPr>
        <w:t>improvements</w:t>
      </w:r>
      <w:r>
        <w:rPr>
          <w:rFonts w:asciiTheme="minorHAnsi" w:hAnsiTheme="minorHAnsi" w:cstheme="minorHAnsi"/>
        </w:rPr>
        <w:t xml:space="preserve"> from </w:t>
      </w:r>
      <w:r w:rsidR="00395CAB">
        <w:rPr>
          <w:rFonts w:asciiTheme="minorHAnsi" w:hAnsiTheme="minorHAnsi" w:cstheme="minorHAnsi"/>
        </w:rPr>
        <w:t xml:space="preserve">the previous review period </w:t>
      </w:r>
      <w:proofErr w:type="gramStart"/>
      <w:r w:rsidR="00395CAB">
        <w:rPr>
          <w:rFonts w:asciiTheme="minorHAnsi" w:hAnsiTheme="minorHAnsi" w:cstheme="minorHAnsi"/>
        </w:rPr>
        <w:t xml:space="preserve">with regard </w:t>
      </w:r>
      <w:r w:rsidR="005C4EC9">
        <w:rPr>
          <w:rFonts w:asciiTheme="minorHAnsi" w:hAnsiTheme="minorHAnsi" w:cstheme="minorHAnsi"/>
        </w:rPr>
        <w:t>to</w:t>
      </w:r>
      <w:proofErr w:type="gramEnd"/>
      <w:r w:rsidR="00395CAB">
        <w:rPr>
          <w:rFonts w:asciiTheme="minorHAnsi" w:hAnsiTheme="minorHAnsi" w:cstheme="minorHAnsi"/>
        </w:rPr>
        <w:t xml:space="preserve"> </w:t>
      </w:r>
      <w:r w:rsidR="00373F64">
        <w:rPr>
          <w:rFonts w:asciiTheme="minorHAnsi" w:hAnsiTheme="minorHAnsi" w:cstheme="minorHAnsi"/>
        </w:rPr>
        <w:t>worker and union involvement during inspection</w:t>
      </w:r>
      <w:r w:rsidR="007E63FC">
        <w:rPr>
          <w:rFonts w:asciiTheme="minorHAnsi" w:hAnsiTheme="minorHAnsi" w:cstheme="minorHAnsi"/>
        </w:rPr>
        <w:t xml:space="preserve"> activities.  According to Appendix D, the</w:t>
      </w:r>
      <w:r w:rsidR="00395CAB">
        <w:rPr>
          <w:rFonts w:asciiTheme="minorHAnsi" w:hAnsiTheme="minorHAnsi" w:cstheme="minorHAnsi"/>
        </w:rPr>
        <w:t xml:space="preserve"> </w:t>
      </w:r>
      <w:r w:rsidR="00D821B1" w:rsidRPr="00C023B0">
        <w:rPr>
          <w:rFonts w:asciiTheme="minorHAnsi" w:hAnsiTheme="minorHAnsi" w:cstheme="minorHAnsi"/>
        </w:rPr>
        <w:t>percent of</w:t>
      </w:r>
      <w:r w:rsidR="00D821B1" w:rsidRPr="00C023B0">
        <w:rPr>
          <w:rFonts w:asciiTheme="minorHAnsi" w:hAnsiTheme="minorHAnsi" w:cstheme="minorHAnsi"/>
          <w:spacing w:val="-1"/>
        </w:rPr>
        <w:t xml:space="preserve"> </w:t>
      </w:r>
      <w:r w:rsidR="00D821B1" w:rsidRPr="00C023B0">
        <w:rPr>
          <w:rFonts w:asciiTheme="minorHAnsi" w:hAnsiTheme="minorHAnsi" w:cstheme="minorHAnsi"/>
        </w:rPr>
        <w:t xml:space="preserve">initial inspections with </w:t>
      </w:r>
      <w:r w:rsidR="00D821B1">
        <w:rPr>
          <w:rFonts w:asciiTheme="minorHAnsi" w:hAnsiTheme="minorHAnsi" w:cstheme="minorHAnsi"/>
        </w:rPr>
        <w:t>employee</w:t>
      </w:r>
      <w:r w:rsidR="00D821B1" w:rsidRPr="00C023B0">
        <w:rPr>
          <w:rFonts w:asciiTheme="minorHAnsi" w:hAnsiTheme="minorHAnsi" w:cstheme="minorHAnsi"/>
        </w:rPr>
        <w:t xml:space="preserve"> walk around representation or</w:t>
      </w:r>
      <w:r w:rsidR="00D821B1" w:rsidRPr="00C023B0">
        <w:rPr>
          <w:rFonts w:asciiTheme="minorHAnsi" w:hAnsiTheme="minorHAnsi" w:cstheme="minorHAnsi"/>
          <w:spacing w:val="-1"/>
        </w:rPr>
        <w:t xml:space="preserve"> </w:t>
      </w:r>
      <w:r w:rsidR="00D821B1">
        <w:rPr>
          <w:rFonts w:asciiTheme="minorHAnsi" w:hAnsiTheme="minorHAnsi" w:cstheme="minorHAnsi"/>
        </w:rPr>
        <w:t>employee</w:t>
      </w:r>
      <w:r w:rsidR="00D821B1" w:rsidRPr="00C023B0">
        <w:rPr>
          <w:rFonts w:asciiTheme="minorHAnsi" w:hAnsiTheme="minorHAnsi" w:cstheme="minorHAnsi"/>
        </w:rPr>
        <w:t xml:space="preserve"> </w:t>
      </w:r>
      <w:r w:rsidR="00D821B1" w:rsidRPr="007B7E56">
        <w:rPr>
          <w:rFonts w:asciiTheme="minorHAnsi" w:hAnsiTheme="minorHAnsi" w:cstheme="minorHAnsi"/>
        </w:rPr>
        <w:t>interview</w:t>
      </w:r>
      <w:r w:rsidR="007B7E56" w:rsidRPr="007B7E56">
        <w:rPr>
          <w:rFonts w:asciiTheme="minorHAnsi" w:hAnsiTheme="minorHAnsi" w:cstheme="minorHAnsi"/>
        </w:rPr>
        <w:t>s</w:t>
      </w:r>
      <w:r w:rsidR="00D821B1" w:rsidRPr="007B7E56">
        <w:rPr>
          <w:rFonts w:asciiTheme="minorHAnsi" w:hAnsiTheme="minorHAnsi" w:cstheme="minorHAnsi"/>
        </w:rPr>
        <w:t xml:space="preserve"> (SAMM 13) </w:t>
      </w:r>
      <w:r w:rsidR="007E63FC">
        <w:rPr>
          <w:rFonts w:asciiTheme="minorHAnsi" w:hAnsiTheme="minorHAnsi" w:cstheme="minorHAnsi"/>
        </w:rPr>
        <w:t>was</w:t>
      </w:r>
      <w:r w:rsidR="00395CAB">
        <w:rPr>
          <w:rFonts w:asciiTheme="minorHAnsi" w:hAnsiTheme="minorHAnsi" w:cstheme="minorHAnsi"/>
        </w:rPr>
        <w:t xml:space="preserve"> </w:t>
      </w:r>
      <w:r w:rsidR="007B7E56" w:rsidRPr="007B7E56">
        <w:rPr>
          <w:rFonts w:asciiTheme="minorHAnsi" w:hAnsiTheme="minorHAnsi" w:cstheme="minorHAnsi"/>
        </w:rPr>
        <w:t>99.64</w:t>
      </w:r>
      <w:r w:rsidR="00D821B1" w:rsidRPr="007B7E56">
        <w:rPr>
          <w:rFonts w:asciiTheme="minorHAnsi" w:hAnsiTheme="minorHAnsi" w:cstheme="minorHAnsi"/>
        </w:rPr>
        <w:t xml:space="preserve">%.  The FRL for this measure is fixed at 100% for all state plans.  </w:t>
      </w:r>
      <w:r w:rsidR="007E63FC">
        <w:rPr>
          <w:rFonts w:asciiTheme="minorHAnsi" w:hAnsiTheme="minorHAnsi" w:cstheme="minorHAnsi"/>
        </w:rPr>
        <w:t>O</w:t>
      </w:r>
      <w:r w:rsidR="00395CAB">
        <w:rPr>
          <w:rFonts w:asciiTheme="minorHAnsi" w:hAnsiTheme="minorHAnsi" w:cstheme="minorHAnsi"/>
        </w:rPr>
        <w:t>ne inspection was an outlier</w:t>
      </w:r>
      <w:r w:rsidR="007E63FC">
        <w:rPr>
          <w:rFonts w:asciiTheme="minorHAnsi" w:hAnsiTheme="minorHAnsi" w:cstheme="minorHAnsi"/>
        </w:rPr>
        <w:t xml:space="preserve">, and </w:t>
      </w:r>
      <w:r w:rsidR="00395CAB">
        <w:rPr>
          <w:rFonts w:asciiTheme="minorHAnsi" w:hAnsiTheme="minorHAnsi" w:cstheme="minorHAnsi"/>
        </w:rPr>
        <w:t xml:space="preserve">ADOSH </w:t>
      </w:r>
      <w:r w:rsidR="007E63FC">
        <w:rPr>
          <w:rFonts w:asciiTheme="minorHAnsi" w:hAnsiTheme="minorHAnsi" w:cstheme="minorHAnsi"/>
        </w:rPr>
        <w:t>identified</w:t>
      </w:r>
      <w:r w:rsidR="007B7E56">
        <w:rPr>
          <w:rFonts w:asciiTheme="minorHAnsi" w:hAnsiTheme="minorHAnsi" w:cstheme="minorHAnsi"/>
        </w:rPr>
        <w:t xml:space="preserve"> </w:t>
      </w:r>
      <w:r w:rsidR="007E63FC">
        <w:rPr>
          <w:rFonts w:asciiTheme="minorHAnsi" w:hAnsiTheme="minorHAnsi" w:cstheme="minorHAnsi"/>
        </w:rPr>
        <w:t>this as</w:t>
      </w:r>
      <w:r w:rsidR="007B7E56">
        <w:rPr>
          <w:rFonts w:asciiTheme="minorHAnsi" w:hAnsiTheme="minorHAnsi" w:cstheme="minorHAnsi"/>
        </w:rPr>
        <w:t xml:space="preserve"> a data entry error</w:t>
      </w:r>
      <w:r w:rsidR="007E63FC">
        <w:rPr>
          <w:rFonts w:asciiTheme="minorHAnsi" w:hAnsiTheme="minorHAnsi" w:cstheme="minorHAnsi"/>
        </w:rPr>
        <w:t>,</w:t>
      </w:r>
      <w:r w:rsidR="007B7E56">
        <w:rPr>
          <w:rFonts w:asciiTheme="minorHAnsi" w:hAnsiTheme="minorHAnsi" w:cstheme="minorHAnsi"/>
        </w:rPr>
        <w:t xml:space="preserve"> and </w:t>
      </w:r>
      <w:r w:rsidR="007E63FC">
        <w:rPr>
          <w:rFonts w:asciiTheme="minorHAnsi" w:hAnsiTheme="minorHAnsi" w:cstheme="minorHAnsi"/>
        </w:rPr>
        <w:t xml:space="preserve">it </w:t>
      </w:r>
      <w:r w:rsidR="007B7E56">
        <w:rPr>
          <w:rFonts w:asciiTheme="minorHAnsi" w:hAnsiTheme="minorHAnsi" w:cstheme="minorHAnsi"/>
        </w:rPr>
        <w:t>has since been corrected</w:t>
      </w:r>
      <w:r w:rsidR="00C57E33">
        <w:rPr>
          <w:rFonts w:asciiTheme="minorHAnsi" w:hAnsiTheme="minorHAnsi" w:cstheme="minorHAnsi"/>
        </w:rPr>
        <w:t xml:space="preserve">.  </w:t>
      </w:r>
    </w:p>
    <w:p w14:paraId="586A018F" w14:textId="77777777" w:rsidR="00395CAB" w:rsidRDefault="00395CAB" w:rsidP="00AC231F">
      <w:pPr>
        <w:rPr>
          <w:rFonts w:asciiTheme="minorHAnsi" w:hAnsiTheme="minorHAnsi" w:cstheme="minorBidi"/>
          <w:highlight w:val="yellow"/>
        </w:rPr>
      </w:pPr>
    </w:p>
    <w:p w14:paraId="311E4A1A" w14:textId="2EDCA09F" w:rsidR="00AC231F" w:rsidRDefault="00AC231F" w:rsidP="00AC231F">
      <w:pPr>
        <w:rPr>
          <w:rFonts w:asciiTheme="minorHAnsi" w:hAnsiTheme="minorHAnsi" w:cstheme="minorBidi"/>
          <w:highlight w:val="yellow"/>
        </w:rPr>
      </w:pPr>
      <w:r w:rsidRPr="00AC231F">
        <w:rPr>
          <w:rFonts w:asciiTheme="minorHAnsi" w:hAnsiTheme="minorHAnsi" w:cstheme="minorHAnsi"/>
        </w:rPr>
        <w:t xml:space="preserve">The case file review contained </w:t>
      </w:r>
      <w:r w:rsidR="00BE583B">
        <w:rPr>
          <w:rFonts w:asciiTheme="minorHAnsi" w:hAnsiTheme="minorHAnsi" w:cstheme="minorHAnsi"/>
        </w:rPr>
        <w:t>only one</w:t>
      </w:r>
      <w:r w:rsidRPr="00AC231F">
        <w:rPr>
          <w:rFonts w:asciiTheme="minorHAnsi" w:hAnsiTheme="minorHAnsi" w:cstheme="minorHAnsi"/>
        </w:rPr>
        <w:t xml:space="preserve"> inspection</w:t>
      </w:r>
      <w:r w:rsidR="00BE583B">
        <w:rPr>
          <w:rFonts w:asciiTheme="minorHAnsi" w:hAnsiTheme="minorHAnsi" w:cstheme="minorHAnsi"/>
        </w:rPr>
        <w:t xml:space="preserve"> </w:t>
      </w:r>
      <w:r w:rsidRPr="00AC231F">
        <w:rPr>
          <w:rFonts w:asciiTheme="minorHAnsi" w:hAnsiTheme="minorHAnsi" w:cstheme="minorHAnsi"/>
        </w:rPr>
        <w:t xml:space="preserve">where employees were represented by a union.  In </w:t>
      </w:r>
      <w:r w:rsidR="00BE583B">
        <w:rPr>
          <w:rFonts w:asciiTheme="minorHAnsi" w:hAnsiTheme="minorHAnsi" w:cstheme="minorHAnsi"/>
        </w:rPr>
        <w:t xml:space="preserve">the case file, </w:t>
      </w:r>
      <w:r w:rsidRPr="00AC231F">
        <w:rPr>
          <w:rFonts w:asciiTheme="minorHAnsi" w:hAnsiTheme="minorHAnsi" w:cstheme="minorHAnsi"/>
        </w:rPr>
        <w:t>the employee representative was afforded the opportunity to participate in the inspection process</w:t>
      </w:r>
      <w:r w:rsidR="00BE583B">
        <w:rPr>
          <w:rFonts w:asciiTheme="minorHAnsi" w:hAnsiTheme="minorHAnsi" w:cstheme="minorHAnsi"/>
        </w:rPr>
        <w:t>.  There was no citation that resulted in this inspection</w:t>
      </w:r>
      <w:r w:rsidR="00D44BE1">
        <w:rPr>
          <w:rFonts w:asciiTheme="minorHAnsi" w:hAnsiTheme="minorHAnsi" w:cstheme="minorHAnsi"/>
        </w:rPr>
        <w:t>; t</w:t>
      </w:r>
      <w:r w:rsidR="002D784E">
        <w:rPr>
          <w:rFonts w:asciiTheme="minorHAnsi" w:hAnsiTheme="minorHAnsi" w:cstheme="minorHAnsi"/>
        </w:rPr>
        <w:t>herefore, it was not applicable to provide the</w:t>
      </w:r>
      <w:r w:rsidR="00BE583B">
        <w:rPr>
          <w:rFonts w:asciiTheme="minorHAnsi" w:hAnsiTheme="minorHAnsi" w:cstheme="minorHAnsi"/>
        </w:rPr>
        <w:t xml:space="preserve"> union with a copy </w:t>
      </w:r>
      <w:r w:rsidR="002D784E">
        <w:rPr>
          <w:rFonts w:asciiTheme="minorHAnsi" w:hAnsiTheme="minorHAnsi" w:cstheme="minorHAnsi"/>
        </w:rPr>
        <w:t xml:space="preserve">of citations </w:t>
      </w:r>
      <w:r w:rsidR="00BE583B">
        <w:rPr>
          <w:rFonts w:asciiTheme="minorHAnsi" w:hAnsiTheme="minorHAnsi" w:cstheme="minorHAnsi"/>
        </w:rPr>
        <w:t xml:space="preserve">or offer to participate in an informal conference.  </w:t>
      </w:r>
    </w:p>
    <w:p w14:paraId="59E567C6" w14:textId="77777777" w:rsidR="00AC231F" w:rsidRPr="00AC231F" w:rsidRDefault="00AC231F" w:rsidP="00AC231F">
      <w:pPr>
        <w:rPr>
          <w:rFonts w:asciiTheme="minorHAnsi" w:hAnsiTheme="minorHAnsi" w:cstheme="minorBidi"/>
          <w:highlight w:val="yellow"/>
        </w:rPr>
      </w:pPr>
    </w:p>
    <w:p w14:paraId="31D7063B" w14:textId="70F42E5C" w:rsidR="00186326" w:rsidRPr="001D4C88" w:rsidRDefault="002D784E" w:rsidP="001D4C88">
      <w:pPr>
        <w:rPr>
          <w:rFonts w:asciiTheme="minorHAnsi" w:hAnsiTheme="minorHAnsi" w:cstheme="minorBidi"/>
        </w:rPr>
      </w:pPr>
      <w:r w:rsidRPr="00100021">
        <w:rPr>
          <w:rFonts w:asciiTheme="minorHAnsi" w:hAnsiTheme="minorHAnsi" w:cstheme="minorBidi"/>
        </w:rPr>
        <w:t>Overall</w:t>
      </w:r>
      <w:r w:rsidR="00EE0D2F" w:rsidRPr="00100021">
        <w:rPr>
          <w:rFonts w:asciiTheme="minorHAnsi" w:hAnsiTheme="minorHAnsi" w:cstheme="minorBidi"/>
        </w:rPr>
        <w:t xml:space="preserve">, compliance staff </w:t>
      </w:r>
      <w:r w:rsidR="00E67400" w:rsidRPr="00100021">
        <w:rPr>
          <w:rFonts w:asciiTheme="minorHAnsi" w:hAnsiTheme="minorHAnsi" w:cstheme="minorBidi"/>
        </w:rPr>
        <w:t>made efforts to</w:t>
      </w:r>
      <w:r w:rsidR="0046777C" w:rsidRPr="00100021">
        <w:rPr>
          <w:rFonts w:asciiTheme="minorHAnsi" w:hAnsiTheme="minorHAnsi" w:cstheme="minorBidi"/>
        </w:rPr>
        <w:t xml:space="preserve"> </w:t>
      </w:r>
      <w:r w:rsidR="00EE0D2F" w:rsidRPr="00100021">
        <w:rPr>
          <w:rFonts w:asciiTheme="minorHAnsi" w:hAnsiTheme="minorHAnsi" w:cstheme="minorBidi"/>
        </w:rPr>
        <w:t>perform employee interviews</w:t>
      </w:r>
      <w:r w:rsidR="00B65DFC" w:rsidRPr="00100021">
        <w:rPr>
          <w:rFonts w:asciiTheme="minorHAnsi" w:hAnsiTheme="minorHAnsi" w:cstheme="minorBidi"/>
        </w:rPr>
        <w:t xml:space="preserve"> during </w:t>
      </w:r>
      <w:r w:rsidR="00100021">
        <w:rPr>
          <w:rFonts w:asciiTheme="minorHAnsi" w:hAnsiTheme="minorHAnsi" w:cstheme="minorBidi"/>
        </w:rPr>
        <w:t>all</w:t>
      </w:r>
      <w:r w:rsidR="005E11B6">
        <w:rPr>
          <w:rFonts w:asciiTheme="minorHAnsi" w:hAnsiTheme="minorHAnsi" w:cstheme="minorBidi"/>
        </w:rPr>
        <w:t xml:space="preserve"> </w:t>
      </w:r>
      <w:r w:rsidR="0046777C" w:rsidRPr="00100021">
        <w:rPr>
          <w:rFonts w:asciiTheme="minorHAnsi" w:hAnsiTheme="minorHAnsi" w:cstheme="minorBidi"/>
        </w:rPr>
        <w:t>inspections</w:t>
      </w:r>
      <w:r w:rsidR="00EE0D2F" w:rsidRPr="00100021">
        <w:rPr>
          <w:rFonts w:asciiTheme="minorHAnsi" w:hAnsiTheme="minorHAnsi" w:cstheme="minorBidi"/>
        </w:rPr>
        <w:t xml:space="preserve">.  </w:t>
      </w:r>
      <w:r w:rsidR="00822140" w:rsidRPr="00100021">
        <w:rPr>
          <w:rFonts w:asciiTheme="minorHAnsi" w:hAnsiTheme="minorHAnsi" w:cstheme="minorBidi"/>
        </w:rPr>
        <w:t>Of the 3</w:t>
      </w:r>
      <w:r w:rsidRPr="00100021">
        <w:rPr>
          <w:rFonts w:asciiTheme="minorHAnsi" w:hAnsiTheme="minorHAnsi" w:cstheme="minorBidi"/>
        </w:rPr>
        <w:t>6</w:t>
      </w:r>
      <w:r w:rsidR="00822140" w:rsidRPr="00100021">
        <w:rPr>
          <w:rFonts w:asciiTheme="minorHAnsi" w:hAnsiTheme="minorHAnsi" w:cstheme="minorBidi"/>
        </w:rPr>
        <w:t xml:space="preserve"> inspections files reviewed, </w:t>
      </w:r>
      <w:r w:rsidR="00EE0D2F" w:rsidRPr="00100021">
        <w:rPr>
          <w:rFonts w:asciiTheme="minorHAnsi" w:hAnsiTheme="minorHAnsi" w:cstheme="minorBidi"/>
        </w:rPr>
        <w:t xml:space="preserve">interview statements were </w:t>
      </w:r>
      <w:r w:rsidR="00D44BE1">
        <w:rPr>
          <w:rFonts w:asciiTheme="minorHAnsi" w:hAnsiTheme="minorHAnsi" w:cstheme="minorBidi"/>
        </w:rPr>
        <w:t xml:space="preserve">documented and </w:t>
      </w:r>
      <w:r w:rsidR="00556D4D" w:rsidRPr="00100021">
        <w:rPr>
          <w:rFonts w:asciiTheme="minorHAnsi" w:hAnsiTheme="minorHAnsi" w:cstheme="minorBidi"/>
        </w:rPr>
        <w:t>maintained</w:t>
      </w:r>
      <w:r w:rsidR="00957E88" w:rsidRPr="00100021">
        <w:rPr>
          <w:rFonts w:asciiTheme="minorHAnsi" w:hAnsiTheme="minorHAnsi" w:cstheme="minorBidi"/>
        </w:rPr>
        <w:t xml:space="preserve"> in </w:t>
      </w:r>
      <w:r w:rsidRPr="00100021">
        <w:rPr>
          <w:rFonts w:asciiTheme="minorHAnsi" w:hAnsiTheme="minorHAnsi" w:cstheme="minorBidi"/>
        </w:rPr>
        <w:t>all (100%)</w:t>
      </w:r>
      <w:r w:rsidR="00957E88" w:rsidRPr="00100021">
        <w:rPr>
          <w:rFonts w:asciiTheme="minorHAnsi" w:hAnsiTheme="minorHAnsi" w:cstheme="minorBidi"/>
        </w:rPr>
        <w:t xml:space="preserve"> file</w:t>
      </w:r>
      <w:r w:rsidRPr="00100021">
        <w:rPr>
          <w:rFonts w:asciiTheme="minorHAnsi" w:hAnsiTheme="minorHAnsi" w:cstheme="minorBidi"/>
        </w:rPr>
        <w:t xml:space="preserve">s.  ADOSH demonstrated knowledge on </w:t>
      </w:r>
      <w:r w:rsidR="001F3F62">
        <w:rPr>
          <w:rFonts w:asciiTheme="minorHAnsi" w:hAnsiTheme="minorHAnsi" w:cstheme="minorBidi"/>
        </w:rPr>
        <w:t xml:space="preserve">conducting and documenting </w:t>
      </w:r>
      <w:r w:rsidR="008F3F99" w:rsidRPr="00100021">
        <w:rPr>
          <w:rFonts w:asciiTheme="minorHAnsi" w:hAnsiTheme="minorHAnsi" w:cstheme="minorBidi"/>
        </w:rPr>
        <w:t>interview</w:t>
      </w:r>
      <w:r w:rsidR="001F3F62">
        <w:rPr>
          <w:rFonts w:asciiTheme="minorHAnsi" w:hAnsiTheme="minorHAnsi" w:cstheme="minorBidi"/>
        </w:rPr>
        <w:t>s adequately</w:t>
      </w:r>
      <w:r w:rsidR="005E11B6">
        <w:rPr>
          <w:rFonts w:asciiTheme="minorHAnsi" w:hAnsiTheme="minorHAnsi" w:cstheme="minorBidi"/>
        </w:rPr>
        <w:t>.</w:t>
      </w:r>
    </w:p>
    <w:p w14:paraId="01D7FF02" w14:textId="109762B4" w:rsidR="00B02509" w:rsidRDefault="00B02509" w:rsidP="00D949B3">
      <w:pPr>
        <w:pStyle w:val="paragraph"/>
        <w:spacing w:before="0" w:beforeAutospacing="0" w:after="0" w:afterAutospacing="0"/>
        <w:textAlignment w:val="baseline"/>
        <w:rPr>
          <w:rStyle w:val="eop"/>
          <w:rFonts w:asciiTheme="minorHAnsi" w:hAnsiTheme="minorHAnsi" w:cstheme="minorBidi"/>
        </w:rPr>
      </w:pPr>
    </w:p>
    <w:p w14:paraId="4721441E" w14:textId="77777777" w:rsidR="002F3168" w:rsidRPr="00F97D81" w:rsidRDefault="002F3168" w:rsidP="00D949B3">
      <w:pPr>
        <w:pStyle w:val="paragraph"/>
        <w:spacing w:before="0" w:beforeAutospacing="0" w:after="0" w:afterAutospacing="0"/>
        <w:textAlignment w:val="baseline"/>
        <w:rPr>
          <w:rStyle w:val="eop"/>
          <w:rFonts w:asciiTheme="minorHAnsi" w:hAnsiTheme="minorHAnsi" w:cstheme="minorBidi"/>
        </w:rPr>
      </w:pPr>
    </w:p>
    <w:p w14:paraId="0FCBC733" w14:textId="1E56255B" w:rsidR="00F97D81" w:rsidRDefault="00F97D81" w:rsidP="00907E1D">
      <w:pPr>
        <w:pStyle w:val="Heading3"/>
        <w:numPr>
          <w:ilvl w:val="0"/>
          <w:numId w:val="25"/>
        </w:numPr>
        <w:spacing w:before="0"/>
        <w:ind w:left="1080"/>
        <w:rPr>
          <w:rStyle w:val="eop"/>
          <w:rFonts w:cstheme="minorHAnsi"/>
          <w:i/>
          <w:color w:val="000000"/>
        </w:rPr>
      </w:pPr>
      <w:bookmarkStart w:id="28" w:name="Review_Procedures"/>
      <w:bookmarkStart w:id="29" w:name="_Toc160178416"/>
      <w:bookmarkStart w:id="30" w:name="_Toc225327059"/>
      <w:bookmarkEnd w:id="28"/>
      <w:r w:rsidRPr="007E76D4">
        <w:rPr>
          <w:rStyle w:val="normaltextrun"/>
        </w:rPr>
        <w:lastRenderedPageBreak/>
        <w:t xml:space="preserve">Review </w:t>
      </w:r>
      <w:r w:rsidRPr="00695E30">
        <w:rPr>
          <w:rStyle w:val="normaltextrun"/>
        </w:rPr>
        <w:t>Procedures</w:t>
      </w:r>
      <w:bookmarkEnd w:id="29"/>
      <w:bookmarkEnd w:id="30"/>
    </w:p>
    <w:p w14:paraId="663638BA" w14:textId="77777777" w:rsidR="00CF6C1C" w:rsidRPr="00CF6C1C" w:rsidRDefault="00CF6C1C" w:rsidP="00CF6C1C"/>
    <w:p w14:paraId="2940745A" w14:textId="77777777" w:rsidR="00F55641" w:rsidRPr="00766F5E" w:rsidRDefault="00F97D81" w:rsidP="00253613">
      <w:pPr>
        <w:pStyle w:val="ListParagraph"/>
        <w:numPr>
          <w:ilvl w:val="0"/>
          <w:numId w:val="10"/>
        </w:numPr>
        <w:rPr>
          <w:sz w:val="24"/>
          <w:szCs w:val="24"/>
        </w:rPr>
      </w:pPr>
      <w:r w:rsidRPr="00766F5E">
        <w:rPr>
          <w:rStyle w:val="normaltextrun"/>
          <w:sz w:val="24"/>
          <w:szCs w:val="24"/>
        </w:rPr>
        <w:t>Informal Conferences</w:t>
      </w:r>
      <w:r w:rsidRPr="00766F5E">
        <w:rPr>
          <w:rStyle w:val="eop"/>
          <w:sz w:val="24"/>
          <w:szCs w:val="24"/>
        </w:rPr>
        <w:t> </w:t>
      </w:r>
    </w:p>
    <w:p w14:paraId="3CA05AB7" w14:textId="2221C941" w:rsidR="00F55641" w:rsidRPr="009761D7" w:rsidRDefault="342AB3B3" w:rsidP="00F52A9E">
      <w:pPr>
        <w:pStyle w:val="paragraph"/>
        <w:spacing w:before="0" w:beforeAutospacing="0" w:after="0" w:afterAutospacing="0"/>
        <w:textAlignment w:val="baseline"/>
        <w:rPr>
          <w:rStyle w:val="eop"/>
          <w:rFonts w:asciiTheme="minorHAnsi" w:hAnsiTheme="minorHAnsi" w:cstheme="minorBidi"/>
        </w:rPr>
      </w:pPr>
      <w:r w:rsidRPr="009761D7">
        <w:rPr>
          <w:rStyle w:val="eop"/>
          <w:rFonts w:asciiTheme="minorHAnsi" w:hAnsiTheme="minorHAnsi" w:cstheme="minorBidi"/>
        </w:rPr>
        <w:t xml:space="preserve">Informal Conferences </w:t>
      </w:r>
      <w:r w:rsidR="005179B2" w:rsidRPr="009761D7">
        <w:rPr>
          <w:rStyle w:val="eop"/>
          <w:rFonts w:asciiTheme="minorHAnsi" w:hAnsiTheme="minorHAnsi" w:cstheme="minorBidi"/>
        </w:rPr>
        <w:t>we</w:t>
      </w:r>
      <w:r w:rsidRPr="009761D7">
        <w:rPr>
          <w:rStyle w:val="eop"/>
          <w:rFonts w:asciiTheme="minorHAnsi" w:hAnsiTheme="minorHAnsi" w:cstheme="minorBidi"/>
        </w:rPr>
        <w:t>re</w:t>
      </w:r>
      <w:r w:rsidR="00EC5F23" w:rsidRPr="009761D7">
        <w:rPr>
          <w:rStyle w:val="eop"/>
          <w:rFonts w:asciiTheme="minorHAnsi" w:hAnsiTheme="minorHAnsi" w:cstheme="minorBidi"/>
        </w:rPr>
        <w:t xml:space="preserve"> offered to employers, employees, and their representatives as an opportunity</w:t>
      </w:r>
      <w:r w:rsidR="009761D7" w:rsidRPr="009761D7">
        <w:rPr>
          <w:rStyle w:val="eop"/>
          <w:rFonts w:asciiTheme="minorHAnsi" w:hAnsiTheme="minorHAnsi" w:cstheme="minorBidi"/>
        </w:rPr>
        <w:t xml:space="preserve"> to discuss the details of the inspection, citations, penalties, and the contest process, with the goal of entering a</w:t>
      </w:r>
      <w:r w:rsidR="004F0E81">
        <w:rPr>
          <w:rStyle w:val="eop"/>
          <w:rFonts w:asciiTheme="minorHAnsi" w:hAnsiTheme="minorHAnsi" w:cstheme="minorBidi"/>
        </w:rPr>
        <w:t xml:space="preserve"> </w:t>
      </w:r>
      <w:r w:rsidR="009761D7" w:rsidRPr="009761D7">
        <w:rPr>
          <w:rStyle w:val="eop"/>
          <w:rFonts w:asciiTheme="minorHAnsi" w:hAnsiTheme="minorHAnsi" w:cstheme="minorBidi"/>
        </w:rPr>
        <w:t>settlement agreement prior to contest.  This could result in penalties reduced, or violations reclassified or vacated.</w:t>
      </w:r>
    </w:p>
    <w:p w14:paraId="6E4703A0" w14:textId="77777777" w:rsidR="009761D7" w:rsidRPr="009761D7" w:rsidRDefault="009761D7" w:rsidP="00F52A9E">
      <w:pPr>
        <w:pStyle w:val="paragraph"/>
        <w:spacing w:before="0" w:beforeAutospacing="0" w:after="0" w:afterAutospacing="0"/>
        <w:textAlignment w:val="baseline"/>
        <w:rPr>
          <w:rStyle w:val="eop"/>
          <w:rFonts w:asciiTheme="minorHAnsi" w:hAnsiTheme="minorHAnsi" w:cstheme="minorBidi"/>
        </w:rPr>
      </w:pPr>
    </w:p>
    <w:p w14:paraId="5EE2242B" w14:textId="13871733" w:rsidR="009761D7" w:rsidRPr="009761D7" w:rsidRDefault="009761D7" w:rsidP="00F52A9E">
      <w:pPr>
        <w:pStyle w:val="paragraph"/>
        <w:spacing w:before="0" w:beforeAutospacing="0" w:after="0" w:afterAutospacing="0"/>
        <w:textAlignment w:val="baseline"/>
        <w:rPr>
          <w:rStyle w:val="eop"/>
          <w:rFonts w:asciiTheme="minorHAnsi" w:hAnsiTheme="minorHAnsi" w:cstheme="minorHAnsi"/>
        </w:rPr>
      </w:pPr>
      <w:r w:rsidRPr="009761D7">
        <w:rPr>
          <w:rStyle w:val="eop"/>
          <w:rFonts w:asciiTheme="minorHAnsi" w:hAnsiTheme="minorHAnsi" w:cstheme="minorBidi"/>
        </w:rPr>
        <w:t xml:space="preserve">The case file review </w:t>
      </w:r>
      <w:r>
        <w:rPr>
          <w:rStyle w:val="eop"/>
          <w:rFonts w:asciiTheme="minorHAnsi" w:hAnsiTheme="minorHAnsi" w:cstheme="minorBidi"/>
        </w:rPr>
        <w:t xml:space="preserve">included </w:t>
      </w:r>
      <w:r w:rsidR="00AC3D90">
        <w:rPr>
          <w:rStyle w:val="eop"/>
          <w:rFonts w:asciiTheme="minorHAnsi" w:hAnsiTheme="minorHAnsi" w:cstheme="minorBidi"/>
        </w:rPr>
        <w:t xml:space="preserve">six cases where an informal conference was held.  </w:t>
      </w:r>
      <w:r w:rsidR="00861E65">
        <w:rPr>
          <w:rStyle w:val="eop"/>
          <w:rFonts w:asciiTheme="minorHAnsi" w:hAnsiTheme="minorHAnsi" w:cstheme="minorBidi"/>
        </w:rPr>
        <w:t xml:space="preserve">All six (100%) informal conferences were held timely within the contest period.  </w:t>
      </w:r>
      <w:r w:rsidR="007B6430">
        <w:rPr>
          <w:rStyle w:val="eop"/>
          <w:rFonts w:asciiTheme="minorHAnsi" w:hAnsiTheme="minorHAnsi" w:cstheme="minorBidi"/>
        </w:rPr>
        <w:t>There were no violations vacated or reclassified</w:t>
      </w:r>
      <w:r w:rsidR="004F0E81">
        <w:rPr>
          <w:rStyle w:val="eop"/>
          <w:rFonts w:asciiTheme="minorHAnsi" w:hAnsiTheme="minorHAnsi" w:cstheme="minorBidi"/>
        </w:rPr>
        <w:t xml:space="preserve"> as a result</w:t>
      </w:r>
      <w:r w:rsidR="003E6E4A">
        <w:rPr>
          <w:rStyle w:val="eop"/>
          <w:rFonts w:asciiTheme="minorHAnsi" w:hAnsiTheme="minorHAnsi" w:cstheme="minorBidi"/>
        </w:rPr>
        <w:t xml:space="preserve">.  Three </w:t>
      </w:r>
      <w:r w:rsidR="00384539">
        <w:rPr>
          <w:rStyle w:val="eop"/>
          <w:rFonts w:asciiTheme="minorHAnsi" w:hAnsiTheme="minorHAnsi" w:cstheme="minorBidi"/>
        </w:rPr>
        <w:t>(</w:t>
      </w:r>
      <w:r w:rsidR="007B6430">
        <w:rPr>
          <w:rStyle w:val="eop"/>
          <w:rFonts w:asciiTheme="minorHAnsi" w:hAnsiTheme="minorHAnsi" w:cstheme="minorBidi"/>
        </w:rPr>
        <w:t>50%) inspections had citation</w:t>
      </w:r>
      <w:r w:rsidR="003E6E4A">
        <w:rPr>
          <w:rStyle w:val="eop"/>
          <w:rFonts w:asciiTheme="minorHAnsi" w:hAnsiTheme="minorHAnsi" w:cstheme="minorBidi"/>
        </w:rPr>
        <w:t xml:space="preserve"> penalty amounts reduced</w:t>
      </w:r>
      <w:r w:rsidR="00384539">
        <w:rPr>
          <w:rStyle w:val="eop"/>
          <w:rFonts w:asciiTheme="minorHAnsi" w:hAnsiTheme="minorHAnsi" w:cstheme="minorBidi"/>
        </w:rPr>
        <w:t xml:space="preserve"> </w:t>
      </w:r>
      <w:proofErr w:type="gramStart"/>
      <w:r w:rsidR="00384539">
        <w:rPr>
          <w:rStyle w:val="eop"/>
          <w:rFonts w:asciiTheme="minorHAnsi" w:hAnsiTheme="minorHAnsi" w:cstheme="minorBidi"/>
        </w:rPr>
        <w:t>in order to</w:t>
      </w:r>
      <w:proofErr w:type="gramEnd"/>
      <w:r w:rsidR="00384539">
        <w:rPr>
          <w:rStyle w:val="eop"/>
          <w:rFonts w:asciiTheme="minorHAnsi" w:hAnsiTheme="minorHAnsi" w:cstheme="minorBidi"/>
        </w:rPr>
        <w:t xml:space="preserve"> reach a settlement, one</w:t>
      </w:r>
      <w:r w:rsidR="004F0E81">
        <w:rPr>
          <w:rStyle w:val="eop"/>
          <w:rFonts w:asciiTheme="minorHAnsi" w:hAnsiTheme="minorHAnsi" w:cstheme="minorBidi"/>
        </w:rPr>
        <w:t xml:space="preserve"> </w:t>
      </w:r>
      <w:r w:rsidR="005B48F2">
        <w:rPr>
          <w:rStyle w:val="eop"/>
          <w:rFonts w:asciiTheme="minorHAnsi" w:hAnsiTheme="minorHAnsi" w:cstheme="minorBidi"/>
        </w:rPr>
        <w:t>(17%)</w:t>
      </w:r>
      <w:r w:rsidR="00384539">
        <w:rPr>
          <w:rStyle w:val="eop"/>
          <w:rFonts w:asciiTheme="minorHAnsi" w:hAnsiTheme="minorHAnsi" w:cstheme="minorBidi"/>
        </w:rPr>
        <w:t xml:space="preserve"> of which lacked proper documentation of </w:t>
      </w:r>
      <w:proofErr w:type="gramStart"/>
      <w:r w:rsidR="00384539">
        <w:rPr>
          <w:rStyle w:val="eop"/>
          <w:rFonts w:asciiTheme="minorHAnsi" w:hAnsiTheme="minorHAnsi" w:cstheme="minorBidi"/>
        </w:rPr>
        <w:t xml:space="preserve">the </w:t>
      </w:r>
      <w:r w:rsidR="00046A82">
        <w:rPr>
          <w:rStyle w:val="eop"/>
          <w:rFonts w:asciiTheme="minorHAnsi" w:hAnsiTheme="minorHAnsi" w:cstheme="minorBidi"/>
        </w:rPr>
        <w:t>justification</w:t>
      </w:r>
      <w:proofErr w:type="gramEnd"/>
      <w:r w:rsidR="00046A82">
        <w:rPr>
          <w:rStyle w:val="eop"/>
          <w:rFonts w:asciiTheme="minorHAnsi" w:hAnsiTheme="minorHAnsi" w:cstheme="minorBidi"/>
        </w:rPr>
        <w:t xml:space="preserve"> </w:t>
      </w:r>
      <w:r w:rsidR="00384539">
        <w:rPr>
          <w:rStyle w:val="eop"/>
          <w:rFonts w:asciiTheme="minorHAnsi" w:hAnsiTheme="minorHAnsi" w:cstheme="minorBidi"/>
        </w:rPr>
        <w:t xml:space="preserve">to reduce the penalty.  </w:t>
      </w:r>
      <w:r w:rsidR="00A766A3">
        <w:rPr>
          <w:rStyle w:val="eop"/>
          <w:rFonts w:asciiTheme="minorHAnsi" w:hAnsiTheme="minorHAnsi" w:cstheme="minorBidi"/>
        </w:rPr>
        <w:t>This was addressed with management during the case file review and does not rise to the level of an observation at this time</w:t>
      </w:r>
      <w:r w:rsidR="00384539">
        <w:rPr>
          <w:rStyle w:val="eop"/>
          <w:rFonts w:asciiTheme="minorHAnsi" w:hAnsiTheme="minorHAnsi" w:cstheme="minorBidi"/>
        </w:rPr>
        <w:t xml:space="preserve">.   </w:t>
      </w:r>
    </w:p>
    <w:p w14:paraId="1EA3BF67" w14:textId="312362D8" w:rsidR="0060571C" w:rsidRPr="0060571C" w:rsidRDefault="00BC5C03" w:rsidP="00F52A9E">
      <w:pPr>
        <w:pStyle w:val="paragraph"/>
        <w:textAlignment w:val="baseline"/>
        <w:rPr>
          <w:rStyle w:val="eop"/>
          <w:rFonts w:asciiTheme="minorHAnsi" w:hAnsiTheme="minorHAnsi" w:cstheme="minorHAnsi"/>
        </w:rPr>
      </w:pPr>
      <w:r w:rsidRPr="000B0775">
        <w:rPr>
          <w:rStyle w:val="eop"/>
          <w:rFonts w:asciiTheme="minorHAnsi" w:hAnsiTheme="minorHAnsi" w:cstheme="minorHAnsi"/>
        </w:rPr>
        <w:t xml:space="preserve">According to Appendix D, </w:t>
      </w:r>
      <w:r w:rsidR="00566F17" w:rsidRPr="000B0775">
        <w:rPr>
          <w:rStyle w:val="eop"/>
          <w:rFonts w:asciiTheme="minorHAnsi" w:hAnsiTheme="minorHAnsi" w:cstheme="minorHAnsi"/>
        </w:rPr>
        <w:t xml:space="preserve">the </w:t>
      </w:r>
      <w:r w:rsidRPr="000B0775">
        <w:rPr>
          <w:rStyle w:val="eop"/>
          <w:rFonts w:asciiTheme="minorHAnsi" w:hAnsiTheme="minorHAnsi" w:cstheme="minorHAnsi"/>
        </w:rPr>
        <w:t xml:space="preserve">percent </w:t>
      </w:r>
      <w:r w:rsidR="342AB3B3" w:rsidRPr="000B0775">
        <w:rPr>
          <w:rStyle w:val="eop"/>
          <w:rFonts w:asciiTheme="minorHAnsi" w:hAnsiTheme="minorHAnsi" w:cstheme="minorHAnsi"/>
        </w:rPr>
        <w:t xml:space="preserve">penalty </w:t>
      </w:r>
      <w:r w:rsidR="00CB30ED" w:rsidRPr="000B0775">
        <w:rPr>
          <w:rStyle w:val="eop"/>
          <w:rFonts w:asciiTheme="minorHAnsi" w:hAnsiTheme="minorHAnsi" w:cstheme="minorHAnsi"/>
        </w:rPr>
        <w:t>retained</w:t>
      </w:r>
      <w:r w:rsidRPr="000B0775">
        <w:rPr>
          <w:rStyle w:val="eop"/>
          <w:rFonts w:asciiTheme="minorHAnsi" w:hAnsiTheme="minorHAnsi" w:cstheme="minorHAnsi"/>
        </w:rPr>
        <w:t xml:space="preserve"> (SAMM 12)</w:t>
      </w:r>
      <w:r w:rsidR="342AB3B3" w:rsidRPr="000B0775">
        <w:rPr>
          <w:rStyle w:val="eop"/>
          <w:rFonts w:asciiTheme="minorHAnsi" w:hAnsiTheme="minorHAnsi" w:cstheme="minorHAnsi"/>
        </w:rPr>
        <w:t xml:space="preserve"> was 100</w:t>
      </w:r>
      <w:r w:rsidRPr="000B0775">
        <w:rPr>
          <w:rStyle w:val="eop"/>
          <w:rFonts w:asciiTheme="minorHAnsi" w:hAnsiTheme="minorHAnsi" w:cstheme="minorHAnsi"/>
        </w:rPr>
        <w:t>.00</w:t>
      </w:r>
      <w:r w:rsidR="00FA78ED" w:rsidRPr="000B0775">
        <w:rPr>
          <w:rStyle w:val="eop"/>
          <w:rFonts w:asciiTheme="minorHAnsi" w:hAnsiTheme="minorHAnsi" w:cstheme="minorHAnsi"/>
        </w:rPr>
        <w:t xml:space="preserve">%, which was </w:t>
      </w:r>
      <w:r w:rsidR="008E5300" w:rsidRPr="000B0775">
        <w:rPr>
          <w:rStyle w:val="eop"/>
          <w:rFonts w:asciiTheme="minorHAnsi" w:hAnsiTheme="minorHAnsi" w:cstheme="minorHAnsi"/>
        </w:rPr>
        <w:t xml:space="preserve">above the FRL of - </w:t>
      </w:r>
      <w:r w:rsidR="00924157" w:rsidRPr="000B0775">
        <w:rPr>
          <w:rStyle w:val="eop"/>
          <w:rFonts w:asciiTheme="minorHAnsi" w:hAnsiTheme="minorHAnsi" w:cstheme="minorHAnsi"/>
        </w:rPr>
        <w:t>20</w:t>
      </w:r>
      <w:r w:rsidR="008E5300" w:rsidRPr="000B0775">
        <w:rPr>
          <w:rStyle w:val="eop"/>
          <w:rFonts w:asciiTheme="minorHAnsi" w:hAnsiTheme="minorHAnsi" w:cstheme="minorHAnsi"/>
        </w:rPr>
        <w:t>% of the three-year national average of 7</w:t>
      </w:r>
      <w:r w:rsidR="00CB30ED" w:rsidRPr="000B0775">
        <w:rPr>
          <w:rStyle w:val="eop"/>
          <w:rFonts w:asciiTheme="minorHAnsi" w:hAnsiTheme="minorHAnsi" w:cstheme="minorHAnsi"/>
        </w:rPr>
        <w:t>0</w:t>
      </w:r>
      <w:r w:rsidR="008E5300" w:rsidRPr="000B0775">
        <w:rPr>
          <w:rStyle w:val="eop"/>
          <w:rFonts w:asciiTheme="minorHAnsi" w:hAnsiTheme="minorHAnsi" w:cstheme="minorHAnsi"/>
        </w:rPr>
        <w:t>.</w:t>
      </w:r>
      <w:r w:rsidR="00CB30ED" w:rsidRPr="000B0775">
        <w:rPr>
          <w:rStyle w:val="eop"/>
          <w:rFonts w:asciiTheme="minorHAnsi" w:hAnsiTheme="minorHAnsi" w:cstheme="minorHAnsi"/>
        </w:rPr>
        <w:t>58</w:t>
      </w:r>
      <w:r w:rsidR="008E5300" w:rsidRPr="000B0775">
        <w:rPr>
          <w:rStyle w:val="eop"/>
          <w:rFonts w:asciiTheme="minorHAnsi" w:hAnsiTheme="minorHAnsi" w:cstheme="minorHAnsi"/>
        </w:rPr>
        <w:t xml:space="preserve">%, </w:t>
      </w:r>
      <w:r w:rsidR="00397B16" w:rsidRPr="000B0775">
        <w:rPr>
          <w:rStyle w:val="eop"/>
          <w:rFonts w:asciiTheme="minorHAnsi" w:hAnsiTheme="minorHAnsi" w:cstheme="minorHAnsi"/>
        </w:rPr>
        <w:t xml:space="preserve">which </w:t>
      </w:r>
      <w:r w:rsidR="000B0775" w:rsidRPr="000B0775">
        <w:rPr>
          <w:rStyle w:val="eop"/>
          <w:rFonts w:asciiTheme="minorHAnsi" w:hAnsiTheme="minorHAnsi" w:cstheme="minorHAnsi"/>
        </w:rPr>
        <w:t>equaled 56.47%</w:t>
      </w:r>
      <w:r w:rsidR="008E5300" w:rsidRPr="000B0775">
        <w:rPr>
          <w:rStyle w:val="eop"/>
          <w:rFonts w:asciiTheme="minorHAnsi" w:hAnsiTheme="minorHAnsi" w:cstheme="minorHAnsi"/>
        </w:rPr>
        <w:t xml:space="preserve">.  </w:t>
      </w:r>
      <w:r w:rsidR="005F1147">
        <w:rPr>
          <w:rStyle w:val="eop"/>
          <w:rFonts w:asciiTheme="minorHAnsi" w:hAnsiTheme="minorHAnsi" w:cstheme="minorHAnsi"/>
        </w:rPr>
        <w:t>ADOS</w:t>
      </w:r>
      <w:r w:rsidR="004E3470">
        <w:rPr>
          <w:rStyle w:val="eop"/>
          <w:rFonts w:asciiTheme="minorHAnsi" w:hAnsiTheme="minorHAnsi" w:cstheme="minorHAnsi"/>
        </w:rPr>
        <w:t xml:space="preserve">H reached informal settlement agreements with employers that </w:t>
      </w:r>
      <w:r w:rsidR="00DE122E">
        <w:rPr>
          <w:rStyle w:val="eop"/>
          <w:rFonts w:asciiTheme="minorHAnsi" w:hAnsiTheme="minorHAnsi" w:cstheme="minorHAnsi"/>
        </w:rPr>
        <w:t>resulted in reduction in penalties whe</w:t>
      </w:r>
      <w:r w:rsidR="007812F9">
        <w:rPr>
          <w:rStyle w:val="eop"/>
          <w:rFonts w:asciiTheme="minorHAnsi" w:hAnsiTheme="minorHAnsi" w:cstheme="minorHAnsi"/>
        </w:rPr>
        <w:t>n deemed</w:t>
      </w:r>
      <w:r w:rsidR="00DE122E">
        <w:rPr>
          <w:rStyle w:val="eop"/>
          <w:rFonts w:asciiTheme="minorHAnsi" w:hAnsiTheme="minorHAnsi" w:cstheme="minorHAnsi"/>
        </w:rPr>
        <w:t xml:space="preserve"> appropriate.  However, p</w:t>
      </w:r>
      <w:r w:rsidR="00BE7534">
        <w:rPr>
          <w:rStyle w:val="eop"/>
          <w:rFonts w:asciiTheme="minorHAnsi" w:hAnsiTheme="minorHAnsi" w:cstheme="minorHAnsi"/>
        </w:rPr>
        <w:t xml:space="preserve">enalty retention </w:t>
      </w:r>
      <w:r w:rsidR="00DE122E">
        <w:rPr>
          <w:rStyle w:val="eop"/>
          <w:rFonts w:asciiTheme="minorHAnsi" w:hAnsiTheme="minorHAnsi" w:cstheme="minorHAnsi"/>
        </w:rPr>
        <w:t xml:space="preserve">data did not </w:t>
      </w:r>
      <w:r w:rsidR="00E56074">
        <w:rPr>
          <w:rStyle w:val="eop"/>
          <w:rFonts w:asciiTheme="minorHAnsi" w:hAnsiTheme="minorHAnsi" w:cstheme="minorHAnsi"/>
        </w:rPr>
        <w:t xml:space="preserve">transfer </w:t>
      </w:r>
      <w:r w:rsidR="00DE122E">
        <w:rPr>
          <w:rStyle w:val="eop"/>
          <w:rFonts w:asciiTheme="minorHAnsi" w:hAnsiTheme="minorHAnsi" w:cstheme="minorHAnsi"/>
        </w:rPr>
        <w:t>from Salesforce to</w:t>
      </w:r>
      <w:r w:rsidR="00BE7534">
        <w:rPr>
          <w:rStyle w:val="eop"/>
          <w:rFonts w:asciiTheme="minorHAnsi" w:hAnsiTheme="minorHAnsi" w:cstheme="minorHAnsi"/>
        </w:rPr>
        <w:t xml:space="preserve"> OIS</w:t>
      </w:r>
      <w:r w:rsidR="005F1147">
        <w:rPr>
          <w:rStyle w:val="eop"/>
          <w:rFonts w:asciiTheme="minorHAnsi" w:hAnsiTheme="minorHAnsi" w:cstheme="minorHAnsi"/>
        </w:rPr>
        <w:t xml:space="preserve">.  </w:t>
      </w:r>
      <w:r w:rsidR="007E344C" w:rsidRPr="0060571C">
        <w:rPr>
          <w:rStyle w:val="eop"/>
          <w:rFonts w:asciiTheme="minorHAnsi" w:hAnsiTheme="minorHAnsi" w:cstheme="minorHAnsi"/>
        </w:rPr>
        <w:t xml:space="preserve">ADOSH </w:t>
      </w:r>
      <w:r w:rsidR="0088396D">
        <w:rPr>
          <w:rStyle w:val="eop"/>
          <w:rFonts w:asciiTheme="minorHAnsi" w:hAnsiTheme="minorHAnsi" w:cstheme="minorHAnsi"/>
        </w:rPr>
        <w:t>ha</w:t>
      </w:r>
      <w:r w:rsidR="00F90C13">
        <w:rPr>
          <w:rStyle w:val="eop"/>
          <w:rFonts w:asciiTheme="minorHAnsi" w:hAnsiTheme="minorHAnsi" w:cstheme="minorHAnsi"/>
        </w:rPr>
        <w:t>d</w:t>
      </w:r>
      <w:r w:rsidR="0088396D">
        <w:rPr>
          <w:rStyle w:val="eop"/>
          <w:rFonts w:asciiTheme="minorHAnsi" w:hAnsiTheme="minorHAnsi" w:cstheme="minorHAnsi"/>
        </w:rPr>
        <w:t xml:space="preserve"> been working with the Salesforce development team to identify if this information can be reflected more accurately in OIS.  In the meantime, Arizona </w:t>
      </w:r>
      <w:r w:rsidR="00DE122E">
        <w:rPr>
          <w:rStyle w:val="eop"/>
          <w:rFonts w:asciiTheme="minorHAnsi" w:hAnsiTheme="minorHAnsi" w:cstheme="minorHAnsi"/>
        </w:rPr>
        <w:t xml:space="preserve">and OSHA </w:t>
      </w:r>
      <w:r w:rsidR="0088396D">
        <w:rPr>
          <w:rStyle w:val="eop"/>
          <w:rFonts w:asciiTheme="minorHAnsi" w:hAnsiTheme="minorHAnsi" w:cstheme="minorHAnsi"/>
        </w:rPr>
        <w:t xml:space="preserve">will continue to </w:t>
      </w:r>
      <w:r w:rsidR="007E344C" w:rsidRPr="0060571C">
        <w:rPr>
          <w:rStyle w:val="eop"/>
          <w:rFonts w:asciiTheme="minorHAnsi" w:hAnsiTheme="minorHAnsi" w:cstheme="minorHAnsi"/>
        </w:rPr>
        <w:t>discuss th</w:t>
      </w:r>
      <w:r w:rsidR="00DE122E">
        <w:rPr>
          <w:rStyle w:val="eop"/>
          <w:rFonts w:asciiTheme="minorHAnsi" w:hAnsiTheme="minorHAnsi" w:cstheme="minorHAnsi"/>
        </w:rPr>
        <w:t xml:space="preserve">is information </w:t>
      </w:r>
      <w:r w:rsidR="0060571C" w:rsidRPr="0060571C">
        <w:rPr>
          <w:rStyle w:val="eop"/>
          <w:rFonts w:asciiTheme="minorHAnsi" w:hAnsiTheme="minorHAnsi" w:cstheme="minorHAnsi"/>
        </w:rPr>
        <w:t xml:space="preserve">at quarterly meetings. </w:t>
      </w:r>
    </w:p>
    <w:p w14:paraId="742D8E00" w14:textId="40A6608B" w:rsidR="00253613" w:rsidRPr="00253613" w:rsidRDefault="00F97D81" w:rsidP="00253613">
      <w:pPr>
        <w:pStyle w:val="ListParagraph"/>
        <w:numPr>
          <w:ilvl w:val="0"/>
          <w:numId w:val="10"/>
        </w:numPr>
        <w:spacing w:after="0"/>
        <w:rPr>
          <w:rStyle w:val="eop"/>
          <w:sz w:val="24"/>
          <w:szCs w:val="24"/>
        </w:rPr>
      </w:pPr>
      <w:r w:rsidRPr="00766F5E">
        <w:rPr>
          <w:rStyle w:val="normaltextrun"/>
          <w:rFonts w:asciiTheme="minorHAnsi" w:hAnsiTheme="minorHAnsi" w:cstheme="minorHAnsi"/>
          <w:sz w:val="24"/>
          <w:szCs w:val="24"/>
        </w:rPr>
        <w:t>Formal Review of Citations</w:t>
      </w:r>
      <w:r w:rsidRPr="00766F5E">
        <w:rPr>
          <w:rStyle w:val="eop"/>
          <w:rFonts w:asciiTheme="minorHAnsi" w:hAnsiTheme="minorHAnsi" w:cstheme="minorHAnsi"/>
          <w:sz w:val="24"/>
          <w:szCs w:val="24"/>
        </w:rPr>
        <w:t> </w:t>
      </w:r>
    </w:p>
    <w:p w14:paraId="6BBE079F" w14:textId="77777777" w:rsidR="004E6963" w:rsidRDefault="004E6963" w:rsidP="00253613">
      <w:pPr>
        <w:pStyle w:val="paragraph"/>
        <w:spacing w:before="0" w:beforeAutospacing="0" w:after="0" w:afterAutospacing="0"/>
        <w:textAlignment w:val="baseline"/>
        <w:rPr>
          <w:rStyle w:val="normaltextrun"/>
          <w:rFonts w:asciiTheme="minorHAnsi" w:hAnsiTheme="minorHAnsi" w:cstheme="minorBidi"/>
        </w:rPr>
      </w:pPr>
    </w:p>
    <w:p w14:paraId="12E16B00" w14:textId="0CB153B0" w:rsidR="007C7F64" w:rsidRPr="00241235" w:rsidRDefault="00F55641" w:rsidP="00253613">
      <w:pPr>
        <w:pStyle w:val="paragraph"/>
        <w:spacing w:before="0" w:beforeAutospacing="0" w:after="0" w:afterAutospacing="0"/>
        <w:textAlignment w:val="baseline"/>
        <w:rPr>
          <w:rStyle w:val="normaltextrun"/>
          <w:rFonts w:asciiTheme="minorHAnsi" w:hAnsiTheme="minorHAnsi" w:cstheme="minorHAnsi"/>
        </w:rPr>
      </w:pPr>
      <w:r w:rsidRPr="00241235">
        <w:rPr>
          <w:rStyle w:val="normaltextrun"/>
          <w:rFonts w:asciiTheme="minorHAnsi" w:hAnsiTheme="minorHAnsi" w:cstheme="minorHAnsi"/>
        </w:rPr>
        <w:t xml:space="preserve">The Arizona Office of Administrative Hearings (OAHs) </w:t>
      </w:r>
      <w:r w:rsidR="0006792A" w:rsidRPr="00241235">
        <w:rPr>
          <w:rStyle w:val="normaltextrun"/>
          <w:rFonts w:asciiTheme="minorHAnsi" w:hAnsiTheme="minorHAnsi" w:cstheme="minorHAnsi"/>
        </w:rPr>
        <w:t xml:space="preserve">is an independent state agency that </w:t>
      </w:r>
      <w:r w:rsidR="0086115C" w:rsidRPr="00241235">
        <w:rPr>
          <w:rStyle w:val="normaltextrun"/>
          <w:rFonts w:asciiTheme="minorHAnsi" w:hAnsiTheme="minorHAnsi" w:cstheme="minorHAnsi"/>
        </w:rPr>
        <w:t>ma</w:t>
      </w:r>
      <w:r w:rsidR="00BC4E90">
        <w:rPr>
          <w:rStyle w:val="normaltextrun"/>
          <w:rFonts w:asciiTheme="minorHAnsi" w:hAnsiTheme="minorHAnsi" w:cstheme="minorHAnsi"/>
        </w:rPr>
        <w:t xml:space="preserve">de </w:t>
      </w:r>
      <w:r w:rsidR="0086115C" w:rsidRPr="00241235">
        <w:rPr>
          <w:rStyle w:val="normaltextrun"/>
          <w:rFonts w:asciiTheme="minorHAnsi" w:hAnsiTheme="minorHAnsi" w:cstheme="minorHAnsi"/>
        </w:rPr>
        <w:t xml:space="preserve">decisions on </w:t>
      </w:r>
      <w:r w:rsidR="007C7F64" w:rsidRPr="00241235">
        <w:rPr>
          <w:rStyle w:val="normaltextrun"/>
          <w:rFonts w:asciiTheme="minorHAnsi" w:hAnsiTheme="minorHAnsi" w:cstheme="minorHAnsi"/>
        </w:rPr>
        <w:t>contest</w:t>
      </w:r>
      <w:r w:rsidR="0085095C">
        <w:rPr>
          <w:rStyle w:val="normaltextrun"/>
          <w:rFonts w:asciiTheme="minorHAnsi" w:hAnsiTheme="minorHAnsi" w:cstheme="minorHAnsi"/>
        </w:rPr>
        <w:t>ed</w:t>
      </w:r>
      <w:r w:rsidR="007C7F64" w:rsidRPr="00241235">
        <w:rPr>
          <w:rStyle w:val="normaltextrun"/>
          <w:rFonts w:asciiTheme="minorHAnsi" w:hAnsiTheme="minorHAnsi" w:cstheme="minorHAnsi"/>
        </w:rPr>
        <w:t xml:space="preserve"> </w:t>
      </w:r>
      <w:r w:rsidR="0085095C">
        <w:rPr>
          <w:rStyle w:val="normaltextrun"/>
          <w:rFonts w:asciiTheme="minorHAnsi" w:hAnsiTheme="minorHAnsi" w:cstheme="minorHAnsi"/>
        </w:rPr>
        <w:t>c</w:t>
      </w:r>
      <w:r w:rsidR="007C7F64" w:rsidRPr="00241235">
        <w:rPr>
          <w:rStyle w:val="normaltextrun"/>
          <w:rFonts w:asciiTheme="minorHAnsi" w:hAnsiTheme="minorHAnsi" w:cstheme="minorHAnsi"/>
        </w:rPr>
        <w:t xml:space="preserve">itations or penalties resulting from an ADOSH inspection.  </w:t>
      </w:r>
      <w:r w:rsidR="00430C40" w:rsidRPr="00241235">
        <w:rPr>
          <w:rStyle w:val="normaltextrun"/>
          <w:rFonts w:asciiTheme="minorHAnsi" w:hAnsiTheme="minorHAnsi" w:cstheme="minorHAnsi"/>
        </w:rPr>
        <w:t xml:space="preserve">An administrative law judge (ALJ) </w:t>
      </w:r>
      <w:r w:rsidR="00BC4E90">
        <w:rPr>
          <w:rStyle w:val="normaltextrun"/>
          <w:rFonts w:asciiTheme="minorHAnsi" w:hAnsiTheme="minorHAnsi" w:cstheme="minorHAnsi"/>
        </w:rPr>
        <w:t>wa</w:t>
      </w:r>
      <w:r w:rsidR="00C230F6" w:rsidRPr="00241235">
        <w:rPr>
          <w:rStyle w:val="normaltextrun"/>
          <w:rFonts w:asciiTheme="minorHAnsi" w:hAnsiTheme="minorHAnsi" w:cstheme="minorHAnsi"/>
        </w:rPr>
        <w:t>s assigned to hear the case</w:t>
      </w:r>
      <w:r w:rsidR="0086115C" w:rsidRPr="00241235">
        <w:rPr>
          <w:rStyle w:val="normaltextrun"/>
          <w:rFonts w:asciiTheme="minorHAnsi" w:hAnsiTheme="minorHAnsi" w:cstheme="minorHAnsi"/>
        </w:rPr>
        <w:t xml:space="preserve"> and </w:t>
      </w:r>
      <w:r w:rsidR="00166D8B" w:rsidRPr="00241235">
        <w:rPr>
          <w:rStyle w:val="normaltextrun"/>
          <w:rFonts w:asciiTheme="minorHAnsi" w:hAnsiTheme="minorHAnsi" w:cstheme="minorHAnsi"/>
        </w:rPr>
        <w:t xml:space="preserve">may affirm, reverse, or modify the disputed action and any penalty. </w:t>
      </w:r>
      <w:r w:rsidR="009B00EF" w:rsidRPr="00241235">
        <w:rPr>
          <w:rStyle w:val="normaltextrun"/>
          <w:rFonts w:asciiTheme="minorHAnsi" w:hAnsiTheme="minorHAnsi" w:cstheme="minorHAnsi"/>
        </w:rPr>
        <w:t xml:space="preserve"> The decision </w:t>
      </w:r>
      <w:r w:rsidR="00BC4E90">
        <w:rPr>
          <w:rStyle w:val="normaltextrun"/>
          <w:rFonts w:asciiTheme="minorHAnsi" w:hAnsiTheme="minorHAnsi" w:cstheme="minorHAnsi"/>
        </w:rPr>
        <w:t>wa</w:t>
      </w:r>
      <w:r w:rsidR="009B00EF" w:rsidRPr="00241235">
        <w:rPr>
          <w:rStyle w:val="normaltextrun"/>
          <w:rFonts w:asciiTheme="minorHAnsi" w:hAnsiTheme="minorHAnsi" w:cstheme="minorHAnsi"/>
        </w:rPr>
        <w:t xml:space="preserve">s </w:t>
      </w:r>
      <w:r w:rsidR="00122371" w:rsidRPr="00241235">
        <w:rPr>
          <w:rStyle w:val="normaltextrun"/>
          <w:rFonts w:asciiTheme="minorHAnsi" w:hAnsiTheme="minorHAnsi" w:cstheme="minorHAnsi"/>
        </w:rPr>
        <w:t xml:space="preserve">then </w:t>
      </w:r>
      <w:r w:rsidR="009B00EF" w:rsidRPr="00241235">
        <w:rPr>
          <w:rStyle w:val="normaltextrun"/>
          <w:rFonts w:asciiTheme="minorHAnsi" w:hAnsiTheme="minorHAnsi" w:cstheme="minorHAnsi"/>
        </w:rPr>
        <w:t>filed with the commissio</w:t>
      </w:r>
      <w:r w:rsidR="00141F18" w:rsidRPr="00241235">
        <w:rPr>
          <w:rStyle w:val="normaltextrun"/>
          <w:rFonts w:asciiTheme="minorHAnsi" w:hAnsiTheme="minorHAnsi" w:cstheme="minorHAnsi"/>
        </w:rPr>
        <w:t>n</w:t>
      </w:r>
      <w:r w:rsidR="00122371" w:rsidRPr="00241235">
        <w:rPr>
          <w:rStyle w:val="normaltextrun"/>
          <w:rFonts w:asciiTheme="minorHAnsi" w:hAnsiTheme="minorHAnsi" w:cstheme="minorHAnsi"/>
        </w:rPr>
        <w:t xml:space="preserve"> and </w:t>
      </w:r>
      <w:r w:rsidR="00761B13">
        <w:rPr>
          <w:rStyle w:val="normaltextrun"/>
          <w:rFonts w:asciiTheme="minorHAnsi" w:hAnsiTheme="minorHAnsi" w:cstheme="minorHAnsi"/>
        </w:rPr>
        <w:t xml:space="preserve">considered </w:t>
      </w:r>
      <w:r w:rsidR="00122371" w:rsidRPr="00241235">
        <w:rPr>
          <w:rStyle w:val="normaltextrun"/>
          <w:rFonts w:asciiTheme="minorHAnsi" w:hAnsiTheme="minorHAnsi" w:cstheme="minorHAnsi"/>
        </w:rPr>
        <w:t>final</w:t>
      </w:r>
      <w:r w:rsidR="004225E4">
        <w:rPr>
          <w:rStyle w:val="normaltextrun"/>
          <w:rFonts w:asciiTheme="minorHAnsi" w:hAnsiTheme="minorHAnsi" w:cstheme="minorHAnsi"/>
        </w:rPr>
        <w:t xml:space="preserve"> </w:t>
      </w:r>
      <w:r w:rsidR="00122371" w:rsidRPr="00241235">
        <w:rPr>
          <w:rStyle w:val="normaltextrun"/>
          <w:rFonts w:asciiTheme="minorHAnsi" w:hAnsiTheme="minorHAnsi" w:cstheme="minorHAnsi"/>
        </w:rPr>
        <w:t xml:space="preserve">unless </w:t>
      </w:r>
      <w:r w:rsidR="00691E73" w:rsidRPr="00241235">
        <w:rPr>
          <w:rStyle w:val="normaltextrun"/>
          <w:rFonts w:asciiTheme="minorHAnsi" w:hAnsiTheme="minorHAnsi" w:cstheme="minorHAnsi"/>
        </w:rPr>
        <w:t xml:space="preserve">there </w:t>
      </w:r>
      <w:r w:rsidR="006A7143">
        <w:rPr>
          <w:rStyle w:val="normaltextrun"/>
          <w:rFonts w:asciiTheme="minorHAnsi" w:hAnsiTheme="minorHAnsi" w:cstheme="minorHAnsi"/>
        </w:rPr>
        <w:t>wa</w:t>
      </w:r>
      <w:r w:rsidR="00691E73" w:rsidRPr="00241235">
        <w:rPr>
          <w:rStyle w:val="normaltextrun"/>
          <w:rFonts w:asciiTheme="minorHAnsi" w:hAnsiTheme="minorHAnsi" w:cstheme="minorHAnsi"/>
        </w:rPr>
        <w:t xml:space="preserve">s a request for review </w:t>
      </w:r>
      <w:r w:rsidR="00122371" w:rsidRPr="00241235">
        <w:rPr>
          <w:rStyle w:val="normaltextrun"/>
          <w:rFonts w:asciiTheme="minorHAnsi" w:hAnsiTheme="minorHAnsi" w:cstheme="minorHAnsi"/>
        </w:rPr>
        <w:t xml:space="preserve">by </w:t>
      </w:r>
      <w:r w:rsidR="00FF54BE" w:rsidRPr="00241235">
        <w:rPr>
          <w:rStyle w:val="normaltextrun"/>
          <w:rFonts w:asciiTheme="minorHAnsi" w:hAnsiTheme="minorHAnsi" w:cstheme="minorHAnsi"/>
        </w:rPr>
        <w:t xml:space="preserve">one of the parties.  If there </w:t>
      </w:r>
      <w:r w:rsidR="003323FC">
        <w:rPr>
          <w:rStyle w:val="normaltextrun"/>
          <w:rFonts w:asciiTheme="minorHAnsi" w:hAnsiTheme="minorHAnsi" w:cstheme="minorHAnsi"/>
        </w:rPr>
        <w:t>wa</w:t>
      </w:r>
      <w:r w:rsidR="00FF54BE" w:rsidRPr="00241235">
        <w:rPr>
          <w:rStyle w:val="normaltextrun"/>
          <w:rFonts w:asciiTheme="minorHAnsi" w:hAnsiTheme="minorHAnsi" w:cstheme="minorHAnsi"/>
        </w:rPr>
        <w:t>s a request for review</w:t>
      </w:r>
      <w:r w:rsidR="00691E73" w:rsidRPr="00241235">
        <w:rPr>
          <w:rStyle w:val="normaltextrun"/>
          <w:rFonts w:asciiTheme="minorHAnsi" w:hAnsiTheme="minorHAnsi" w:cstheme="minorHAnsi"/>
        </w:rPr>
        <w:t xml:space="preserve">, </w:t>
      </w:r>
      <w:r w:rsidR="008012CE" w:rsidRPr="00241235">
        <w:rPr>
          <w:rStyle w:val="normaltextrun"/>
          <w:rFonts w:asciiTheme="minorHAnsi" w:hAnsiTheme="minorHAnsi" w:cstheme="minorHAnsi"/>
        </w:rPr>
        <w:t xml:space="preserve">the review board, which </w:t>
      </w:r>
      <w:r w:rsidR="000608C9">
        <w:rPr>
          <w:rStyle w:val="normaltextrun"/>
          <w:rFonts w:asciiTheme="minorHAnsi" w:hAnsiTheme="minorHAnsi" w:cstheme="minorHAnsi"/>
        </w:rPr>
        <w:t>wa</w:t>
      </w:r>
      <w:r w:rsidR="008012CE" w:rsidRPr="00241235">
        <w:rPr>
          <w:rStyle w:val="normaltextrun"/>
          <w:rFonts w:asciiTheme="minorHAnsi" w:hAnsiTheme="minorHAnsi" w:cstheme="minorHAnsi"/>
        </w:rPr>
        <w:t xml:space="preserve">s within the commission, </w:t>
      </w:r>
      <w:r w:rsidR="009026B0" w:rsidRPr="00241235">
        <w:rPr>
          <w:rStyle w:val="normaltextrun"/>
          <w:rFonts w:asciiTheme="minorHAnsi" w:hAnsiTheme="minorHAnsi" w:cstheme="minorHAnsi"/>
        </w:rPr>
        <w:t>hear</w:t>
      </w:r>
      <w:r w:rsidR="000608C9">
        <w:rPr>
          <w:rStyle w:val="normaltextrun"/>
          <w:rFonts w:asciiTheme="minorHAnsi" w:hAnsiTheme="minorHAnsi" w:cstheme="minorHAnsi"/>
        </w:rPr>
        <w:t>d</w:t>
      </w:r>
      <w:r w:rsidR="009026B0" w:rsidRPr="00241235">
        <w:rPr>
          <w:rStyle w:val="normaltextrun"/>
          <w:rFonts w:asciiTheme="minorHAnsi" w:hAnsiTheme="minorHAnsi" w:cstheme="minorHAnsi"/>
        </w:rPr>
        <w:t xml:space="preserve"> and rule</w:t>
      </w:r>
      <w:r w:rsidR="000608C9">
        <w:rPr>
          <w:rStyle w:val="normaltextrun"/>
          <w:rFonts w:asciiTheme="minorHAnsi" w:hAnsiTheme="minorHAnsi" w:cstheme="minorHAnsi"/>
        </w:rPr>
        <w:t>d</w:t>
      </w:r>
      <w:r w:rsidR="009026B0" w:rsidRPr="00241235">
        <w:rPr>
          <w:rStyle w:val="normaltextrun"/>
          <w:rFonts w:asciiTheme="minorHAnsi" w:hAnsiTheme="minorHAnsi" w:cstheme="minorHAnsi"/>
        </w:rPr>
        <w:t xml:space="preserve"> on appeals of the ALJ.  The review board consis</w:t>
      </w:r>
      <w:r w:rsidR="000608C9">
        <w:rPr>
          <w:rStyle w:val="normaltextrun"/>
          <w:rFonts w:asciiTheme="minorHAnsi" w:hAnsiTheme="minorHAnsi" w:cstheme="minorHAnsi"/>
        </w:rPr>
        <w:t>ted</w:t>
      </w:r>
      <w:r w:rsidR="009026B0" w:rsidRPr="00241235">
        <w:rPr>
          <w:rStyle w:val="normaltextrun"/>
          <w:rFonts w:asciiTheme="minorHAnsi" w:hAnsiTheme="minorHAnsi" w:cstheme="minorHAnsi"/>
        </w:rPr>
        <w:t xml:space="preserve"> of five members appointed by the </w:t>
      </w:r>
      <w:r w:rsidR="00EB30C6" w:rsidRPr="00241235">
        <w:rPr>
          <w:rStyle w:val="normaltextrun"/>
          <w:rFonts w:asciiTheme="minorHAnsi" w:hAnsiTheme="minorHAnsi" w:cstheme="minorHAnsi"/>
        </w:rPr>
        <w:t>Governor of Arizona</w:t>
      </w:r>
      <w:r w:rsidR="003947B6" w:rsidRPr="00241235">
        <w:rPr>
          <w:rStyle w:val="normaltextrun"/>
          <w:rFonts w:asciiTheme="minorHAnsi" w:hAnsiTheme="minorHAnsi" w:cstheme="minorHAnsi"/>
        </w:rPr>
        <w:t xml:space="preserve"> and may affirm, reverse, modify, or supplement the decision of the ALJ.  </w:t>
      </w:r>
      <w:r w:rsidR="009A174D" w:rsidRPr="00241235">
        <w:rPr>
          <w:rStyle w:val="normaltextrun"/>
          <w:rFonts w:asciiTheme="minorHAnsi" w:hAnsiTheme="minorHAnsi" w:cstheme="minorHAnsi"/>
        </w:rPr>
        <w:t xml:space="preserve">The decision </w:t>
      </w:r>
      <w:r w:rsidR="00DF7B7F">
        <w:rPr>
          <w:rStyle w:val="normaltextrun"/>
          <w:rFonts w:asciiTheme="minorHAnsi" w:hAnsiTheme="minorHAnsi" w:cstheme="minorHAnsi"/>
        </w:rPr>
        <w:t>was</w:t>
      </w:r>
      <w:r w:rsidR="009A174D" w:rsidRPr="00241235">
        <w:rPr>
          <w:rStyle w:val="normaltextrun"/>
          <w:rFonts w:asciiTheme="minorHAnsi" w:hAnsiTheme="minorHAnsi" w:cstheme="minorHAnsi"/>
        </w:rPr>
        <w:t xml:space="preserve"> final unless </w:t>
      </w:r>
      <w:r w:rsidR="00CC087C" w:rsidRPr="00241235">
        <w:rPr>
          <w:rStyle w:val="normaltextrun"/>
          <w:rFonts w:asciiTheme="minorHAnsi" w:hAnsiTheme="minorHAnsi" w:cstheme="minorHAnsi"/>
        </w:rPr>
        <w:t>one of the parties appeal</w:t>
      </w:r>
      <w:r w:rsidR="00DF7B7F">
        <w:rPr>
          <w:rStyle w:val="normaltextrun"/>
          <w:rFonts w:asciiTheme="minorHAnsi" w:hAnsiTheme="minorHAnsi" w:cstheme="minorHAnsi"/>
        </w:rPr>
        <w:t>ed</w:t>
      </w:r>
      <w:r w:rsidR="00CC087C" w:rsidRPr="00241235">
        <w:rPr>
          <w:rStyle w:val="normaltextrun"/>
          <w:rFonts w:asciiTheme="minorHAnsi" w:hAnsiTheme="minorHAnsi" w:cstheme="minorHAnsi"/>
        </w:rPr>
        <w:t xml:space="preserve"> to the A</w:t>
      </w:r>
      <w:r w:rsidR="005C01B2" w:rsidRPr="00241235">
        <w:rPr>
          <w:rStyle w:val="normaltextrun"/>
          <w:rFonts w:asciiTheme="minorHAnsi" w:hAnsiTheme="minorHAnsi" w:cstheme="minorHAnsi"/>
        </w:rPr>
        <w:t xml:space="preserve">rizona Court of Appeals.  </w:t>
      </w:r>
      <w:r w:rsidR="00C56940" w:rsidRPr="00241235">
        <w:rPr>
          <w:rStyle w:val="normaltextrun"/>
          <w:rFonts w:asciiTheme="minorHAnsi" w:hAnsiTheme="minorHAnsi" w:cstheme="minorHAnsi"/>
        </w:rPr>
        <w:t xml:space="preserve">Details of the formal review process are outlined in the Arizona FOM, Chapter 15. </w:t>
      </w:r>
    </w:p>
    <w:p w14:paraId="13061E8C" w14:textId="77777777" w:rsidR="00253613" w:rsidRPr="00E24C97" w:rsidRDefault="00253613" w:rsidP="00253613">
      <w:pPr>
        <w:pStyle w:val="paragraph"/>
        <w:spacing w:before="0" w:beforeAutospacing="0" w:after="0" w:afterAutospacing="0"/>
        <w:textAlignment w:val="baseline"/>
        <w:rPr>
          <w:rStyle w:val="normaltextrun"/>
          <w:rFonts w:asciiTheme="minorHAnsi" w:hAnsiTheme="minorHAnsi" w:cstheme="minorHAnsi"/>
          <w:highlight w:val="yellow"/>
        </w:rPr>
      </w:pPr>
    </w:p>
    <w:p w14:paraId="6FD9431E" w14:textId="06AD9FD9" w:rsidR="00472A7B" w:rsidRDefault="00F55641" w:rsidP="00472A7B">
      <w:pPr>
        <w:pStyle w:val="paragraph"/>
        <w:spacing w:before="0" w:beforeAutospacing="0" w:after="0" w:afterAutospacing="0"/>
        <w:textAlignment w:val="baseline"/>
        <w:rPr>
          <w:rStyle w:val="normaltextrun"/>
          <w:rFonts w:asciiTheme="minorHAnsi" w:hAnsiTheme="minorHAnsi" w:cstheme="minorBidi"/>
        </w:rPr>
      </w:pPr>
      <w:r w:rsidRPr="00472A7B">
        <w:rPr>
          <w:rStyle w:val="normaltextrun"/>
          <w:rFonts w:asciiTheme="minorHAnsi" w:hAnsiTheme="minorHAnsi" w:cstheme="minorHAnsi"/>
        </w:rPr>
        <w:t xml:space="preserve">Most contested cases were settled informally by the </w:t>
      </w:r>
      <w:r w:rsidR="004225E4" w:rsidRPr="00472A7B">
        <w:rPr>
          <w:rStyle w:val="normaltextrun"/>
          <w:rFonts w:asciiTheme="minorHAnsi" w:hAnsiTheme="minorHAnsi" w:cstheme="minorHAnsi"/>
        </w:rPr>
        <w:t xml:space="preserve">ADOSH </w:t>
      </w:r>
      <w:r w:rsidRPr="00472A7B">
        <w:rPr>
          <w:rStyle w:val="normaltextrun"/>
          <w:rFonts w:asciiTheme="minorHAnsi" w:hAnsiTheme="minorHAnsi" w:cstheme="minorHAnsi"/>
        </w:rPr>
        <w:t xml:space="preserve">Director or Assistant Director. </w:t>
      </w:r>
      <w:r w:rsidR="004225E4" w:rsidRPr="00472A7B">
        <w:rPr>
          <w:rStyle w:val="normaltextrun"/>
          <w:rFonts w:asciiTheme="minorHAnsi" w:hAnsiTheme="minorHAnsi" w:cstheme="minorHAnsi"/>
        </w:rPr>
        <w:t xml:space="preserve"> </w:t>
      </w:r>
      <w:r w:rsidR="004225E4" w:rsidRPr="00472A7B">
        <w:rPr>
          <w:rFonts w:asciiTheme="minorHAnsi" w:hAnsiTheme="minorHAnsi" w:cstheme="minorBidi"/>
        </w:rPr>
        <w:t xml:space="preserve">The case file review did not include any inspections that were contested and formally settled.  </w:t>
      </w:r>
      <w:r w:rsidR="00472A7B" w:rsidRPr="00472A7B">
        <w:rPr>
          <w:rStyle w:val="normaltextrun"/>
          <w:rFonts w:asciiTheme="minorHAnsi" w:hAnsiTheme="minorHAnsi" w:cstheme="minorBidi"/>
        </w:rPr>
        <w:t xml:space="preserve">According to OIS, 1 of 8 (12.5%) private sector violations were vacated after a contest had been filed (SIR 5b).  There were no private sector inspection violations reclassified after a contest was filed (SIR 6b).  </w:t>
      </w:r>
    </w:p>
    <w:p w14:paraId="702CE2BD" w14:textId="77777777" w:rsidR="00A86D7A" w:rsidRPr="00F97D81" w:rsidRDefault="00A86D7A" w:rsidP="00F97D81">
      <w:pPr>
        <w:pStyle w:val="paragraph"/>
        <w:spacing w:before="0" w:beforeAutospacing="0" w:after="0" w:afterAutospacing="0"/>
        <w:textAlignment w:val="baseline"/>
        <w:rPr>
          <w:rFonts w:asciiTheme="minorHAnsi" w:hAnsiTheme="minorHAnsi" w:cstheme="minorBidi"/>
        </w:rPr>
      </w:pPr>
    </w:p>
    <w:p w14:paraId="51E8811D" w14:textId="6A361B4D" w:rsidR="005E01F4" w:rsidRDefault="00253613" w:rsidP="00DA4852">
      <w:pPr>
        <w:pStyle w:val="Heading3"/>
        <w:numPr>
          <w:ilvl w:val="0"/>
          <w:numId w:val="27"/>
        </w:numPr>
        <w:spacing w:before="0"/>
        <w:ind w:left="1080"/>
        <w:rPr>
          <w:rStyle w:val="normaltextrun"/>
          <w:rFonts w:cstheme="minorBidi"/>
          <w:bCs w:val="0"/>
          <w:color w:val="000000" w:themeColor="text1"/>
        </w:rPr>
      </w:pPr>
      <w:bookmarkStart w:id="31" w:name="Standards_FPS_Adoption"/>
      <w:bookmarkStart w:id="32" w:name="_Toc160178417"/>
      <w:bookmarkStart w:id="33" w:name="_Toc225327060"/>
      <w:bookmarkEnd w:id="31"/>
      <w:r w:rsidRPr="005E7058">
        <w:rPr>
          <w:rStyle w:val="normaltextrun"/>
          <w:rFonts w:cstheme="minorBidi"/>
          <w:bCs w:val="0"/>
          <w:color w:val="000000" w:themeColor="text1"/>
        </w:rPr>
        <w:lastRenderedPageBreak/>
        <w:t>Standards And Federal Program Change (</w:t>
      </w:r>
      <w:r>
        <w:rPr>
          <w:rStyle w:val="normaltextrun"/>
          <w:rFonts w:cstheme="minorBidi"/>
          <w:bCs w:val="0"/>
          <w:color w:val="000000" w:themeColor="text1"/>
        </w:rPr>
        <w:t>FPC</w:t>
      </w:r>
      <w:r w:rsidRPr="005E7058">
        <w:rPr>
          <w:rStyle w:val="normaltextrun"/>
          <w:rFonts w:cstheme="minorBidi"/>
          <w:bCs w:val="0"/>
          <w:color w:val="000000" w:themeColor="text1"/>
        </w:rPr>
        <w:t>) Adoption</w:t>
      </w:r>
      <w:bookmarkEnd w:id="32"/>
      <w:bookmarkEnd w:id="33"/>
    </w:p>
    <w:p w14:paraId="631B6612" w14:textId="77777777" w:rsidR="006249FE" w:rsidRPr="006249FE" w:rsidRDefault="006249FE" w:rsidP="006249FE"/>
    <w:p w14:paraId="0C706EC0" w14:textId="77777777" w:rsidR="00F97D81" w:rsidRDefault="00F97D81" w:rsidP="006B60BD">
      <w:pPr>
        <w:pStyle w:val="ListParagraph"/>
        <w:numPr>
          <w:ilvl w:val="0"/>
          <w:numId w:val="12"/>
        </w:numPr>
        <w:spacing w:after="0"/>
        <w:rPr>
          <w:rStyle w:val="eop"/>
          <w:sz w:val="24"/>
          <w:szCs w:val="24"/>
        </w:rPr>
      </w:pPr>
      <w:r w:rsidRPr="00766F5E">
        <w:rPr>
          <w:rStyle w:val="normaltextrun"/>
          <w:sz w:val="24"/>
          <w:szCs w:val="24"/>
        </w:rPr>
        <w:t>Standards Adoption</w:t>
      </w:r>
      <w:r w:rsidRPr="00766F5E">
        <w:rPr>
          <w:rStyle w:val="eop"/>
          <w:sz w:val="24"/>
          <w:szCs w:val="24"/>
        </w:rPr>
        <w:t> </w:t>
      </w:r>
    </w:p>
    <w:p w14:paraId="33C82736" w14:textId="77777777" w:rsidR="006B60BD" w:rsidRPr="006B60BD" w:rsidRDefault="006B60BD" w:rsidP="006B60BD"/>
    <w:p w14:paraId="59842495" w14:textId="77777777" w:rsidR="009364C8" w:rsidRDefault="342AB3B3" w:rsidP="001327BC">
      <w:pPr>
        <w:widowControl/>
        <w:autoSpaceDE/>
        <w:autoSpaceDN/>
        <w:adjustRightInd/>
        <w:textAlignment w:val="baseline"/>
        <w:rPr>
          <w:rFonts w:asciiTheme="minorHAnsi" w:hAnsiTheme="minorHAnsi" w:cstheme="minorBidi"/>
        </w:rPr>
      </w:pPr>
      <w:r w:rsidRPr="00565D5E">
        <w:rPr>
          <w:rFonts w:asciiTheme="minorHAnsi" w:hAnsiTheme="minorHAnsi" w:cstheme="minorBidi"/>
        </w:rPr>
        <w:t xml:space="preserve">The ADOSH Director </w:t>
      </w:r>
      <w:r w:rsidR="005F20F2" w:rsidRPr="00565D5E">
        <w:rPr>
          <w:rFonts w:asciiTheme="minorHAnsi" w:hAnsiTheme="minorHAnsi" w:cstheme="minorBidi"/>
        </w:rPr>
        <w:t>was responsible for decisions regarding</w:t>
      </w:r>
      <w:r w:rsidR="00B43435" w:rsidRPr="00565D5E">
        <w:rPr>
          <w:rFonts w:asciiTheme="minorHAnsi" w:hAnsiTheme="minorHAnsi" w:cstheme="minorBidi"/>
        </w:rPr>
        <w:t xml:space="preserve"> the adoption of </w:t>
      </w:r>
      <w:r w:rsidR="00720FAA" w:rsidRPr="00565D5E">
        <w:rPr>
          <w:rFonts w:asciiTheme="minorHAnsi" w:hAnsiTheme="minorHAnsi" w:cstheme="minorBidi"/>
        </w:rPr>
        <w:t>OSHA’s</w:t>
      </w:r>
      <w:r w:rsidR="00B43435" w:rsidRPr="00565D5E">
        <w:rPr>
          <w:rFonts w:asciiTheme="minorHAnsi" w:hAnsiTheme="minorHAnsi" w:cstheme="minorBidi"/>
        </w:rPr>
        <w:t xml:space="preserve"> standards.  </w:t>
      </w:r>
      <w:r w:rsidR="00C82DF1" w:rsidRPr="00565D5E">
        <w:rPr>
          <w:rFonts w:asciiTheme="minorHAnsi" w:hAnsiTheme="minorHAnsi" w:cstheme="minorBidi"/>
        </w:rPr>
        <w:t xml:space="preserve">Generally, Arizona adopted OSHA’s standards as identical and </w:t>
      </w:r>
      <w:r w:rsidR="00D2279F" w:rsidRPr="00565D5E">
        <w:rPr>
          <w:rFonts w:asciiTheme="minorHAnsi" w:hAnsiTheme="minorHAnsi" w:cstheme="minorBidi"/>
        </w:rPr>
        <w:t>incorporate</w:t>
      </w:r>
      <w:r w:rsidR="00BA0C11" w:rsidRPr="00565D5E">
        <w:rPr>
          <w:rFonts w:asciiTheme="minorHAnsi" w:hAnsiTheme="minorHAnsi" w:cstheme="minorBidi"/>
        </w:rPr>
        <w:t>d</w:t>
      </w:r>
      <w:r w:rsidR="00D2279F" w:rsidRPr="00565D5E">
        <w:rPr>
          <w:rFonts w:asciiTheme="minorHAnsi" w:hAnsiTheme="minorHAnsi" w:cstheme="minorBidi"/>
        </w:rPr>
        <w:t xml:space="preserve"> them by reference. </w:t>
      </w:r>
      <w:r w:rsidR="00720FAA" w:rsidRPr="00565D5E">
        <w:rPr>
          <w:rFonts w:asciiTheme="minorHAnsi" w:hAnsiTheme="minorHAnsi" w:cstheme="minorBidi"/>
        </w:rPr>
        <w:t xml:space="preserve"> </w:t>
      </w:r>
      <w:r w:rsidR="00BA0C11" w:rsidRPr="00565D5E">
        <w:rPr>
          <w:rFonts w:asciiTheme="minorHAnsi" w:hAnsiTheme="minorHAnsi" w:cstheme="minorBidi"/>
        </w:rPr>
        <w:t xml:space="preserve">In addition, ADOSH </w:t>
      </w:r>
      <w:r w:rsidR="00565D5E">
        <w:rPr>
          <w:rFonts w:asciiTheme="minorHAnsi" w:hAnsiTheme="minorHAnsi" w:cstheme="minorBidi"/>
        </w:rPr>
        <w:t>enforces</w:t>
      </w:r>
      <w:r w:rsidR="00BA0C11" w:rsidRPr="00565D5E">
        <w:rPr>
          <w:rFonts w:asciiTheme="minorHAnsi" w:hAnsiTheme="minorHAnsi" w:cstheme="minorBidi"/>
        </w:rPr>
        <w:t xml:space="preserve"> unique standards that are specific to </w:t>
      </w:r>
      <w:r w:rsidR="00315D17" w:rsidRPr="00565D5E">
        <w:rPr>
          <w:rFonts w:asciiTheme="minorHAnsi" w:hAnsiTheme="minorHAnsi" w:cstheme="minorBidi"/>
        </w:rPr>
        <w:t xml:space="preserve">state statutes.  </w:t>
      </w:r>
    </w:p>
    <w:p w14:paraId="627FFE53" w14:textId="77777777" w:rsidR="009364C8" w:rsidRDefault="009364C8" w:rsidP="001327BC">
      <w:pPr>
        <w:widowControl/>
        <w:autoSpaceDE/>
        <w:autoSpaceDN/>
        <w:adjustRightInd/>
        <w:textAlignment w:val="baseline"/>
        <w:rPr>
          <w:rFonts w:asciiTheme="minorHAnsi" w:hAnsiTheme="minorHAnsi" w:cstheme="minorBidi"/>
        </w:rPr>
      </w:pPr>
    </w:p>
    <w:p w14:paraId="2CA31B90" w14:textId="2909903F" w:rsidR="0001289E" w:rsidRDefault="0001289E" w:rsidP="001327BC">
      <w:pPr>
        <w:widowControl/>
        <w:autoSpaceDE/>
        <w:autoSpaceDN/>
        <w:adjustRightInd/>
        <w:textAlignment w:val="baseline"/>
        <w:rPr>
          <w:rFonts w:asciiTheme="minorHAnsi" w:hAnsiTheme="minorHAnsi" w:cstheme="minorHAnsi"/>
        </w:rPr>
      </w:pPr>
      <w:r>
        <w:rPr>
          <w:rFonts w:asciiTheme="minorHAnsi" w:hAnsiTheme="minorHAnsi" w:cstheme="minorHAnsi"/>
        </w:rPr>
        <w:t xml:space="preserve">In FY 2024 and FY 2025, </w:t>
      </w:r>
      <w:r w:rsidRPr="005E3D4F">
        <w:rPr>
          <w:rFonts w:asciiTheme="minorHAnsi" w:hAnsiTheme="minorHAnsi" w:cstheme="minorHAnsi"/>
        </w:rPr>
        <w:t xml:space="preserve">OSHA issued six standards </w:t>
      </w:r>
      <w:r>
        <w:rPr>
          <w:rFonts w:asciiTheme="minorHAnsi" w:hAnsiTheme="minorHAnsi" w:cstheme="minorHAnsi"/>
        </w:rPr>
        <w:t>where adoption was required.</w:t>
      </w:r>
      <w:r w:rsidR="00BE1BB7">
        <w:rPr>
          <w:rFonts w:asciiTheme="minorHAnsi" w:hAnsiTheme="minorHAnsi" w:cstheme="minorHAnsi"/>
        </w:rPr>
        <w:t xml:space="preserve">  </w:t>
      </w:r>
      <w:r>
        <w:rPr>
          <w:rFonts w:asciiTheme="minorHAnsi" w:hAnsiTheme="minorHAnsi" w:cstheme="minorHAnsi"/>
        </w:rPr>
        <w:t>ADOSH notified OSHA timely of its intent to adopt within the required 60 days of the standard promulgation date</w:t>
      </w:r>
      <w:r w:rsidR="00E87914">
        <w:rPr>
          <w:rFonts w:asciiTheme="minorHAnsi" w:hAnsiTheme="minorHAnsi" w:cstheme="minorHAnsi"/>
        </w:rPr>
        <w:t xml:space="preserve"> for three (50%) of the s</w:t>
      </w:r>
      <w:r w:rsidR="00801814">
        <w:rPr>
          <w:rFonts w:asciiTheme="minorHAnsi" w:hAnsiTheme="minorHAnsi" w:cstheme="minorHAnsi"/>
        </w:rPr>
        <w:t>ix</w:t>
      </w:r>
      <w:r>
        <w:rPr>
          <w:rFonts w:asciiTheme="minorHAnsi" w:hAnsiTheme="minorHAnsi" w:cstheme="minorHAnsi"/>
        </w:rPr>
        <w:t xml:space="preserve">.  </w:t>
      </w:r>
      <w:r w:rsidR="0000357D">
        <w:rPr>
          <w:rFonts w:asciiTheme="minorHAnsi" w:hAnsiTheme="minorHAnsi" w:cstheme="minorHAnsi"/>
        </w:rPr>
        <w:t>This was addressed with ADO</w:t>
      </w:r>
      <w:r w:rsidR="00A345D4">
        <w:rPr>
          <w:rFonts w:asciiTheme="minorHAnsi" w:hAnsiTheme="minorHAnsi" w:cstheme="minorHAnsi"/>
        </w:rPr>
        <w:t>SH</w:t>
      </w:r>
      <w:r w:rsidR="00C55FB3">
        <w:rPr>
          <w:rFonts w:asciiTheme="minorHAnsi" w:hAnsiTheme="minorHAnsi" w:cstheme="minorHAnsi"/>
        </w:rPr>
        <w:t xml:space="preserve"> back in calendar year 2024</w:t>
      </w:r>
      <w:r w:rsidR="00A345D4">
        <w:rPr>
          <w:rFonts w:asciiTheme="minorHAnsi" w:hAnsiTheme="minorHAnsi" w:cstheme="minorHAnsi"/>
        </w:rPr>
        <w:t xml:space="preserve"> </w:t>
      </w:r>
      <w:r w:rsidR="0000357D">
        <w:rPr>
          <w:rFonts w:asciiTheme="minorHAnsi" w:hAnsiTheme="minorHAnsi" w:cstheme="minorHAnsi"/>
        </w:rPr>
        <w:t>at the time intent was due</w:t>
      </w:r>
      <w:r w:rsidR="00C55FB3">
        <w:rPr>
          <w:rFonts w:asciiTheme="minorHAnsi" w:hAnsiTheme="minorHAnsi" w:cstheme="minorHAnsi"/>
        </w:rPr>
        <w:t xml:space="preserve">, </w:t>
      </w:r>
      <w:r w:rsidR="0000357D">
        <w:rPr>
          <w:rFonts w:asciiTheme="minorHAnsi" w:hAnsiTheme="minorHAnsi" w:cstheme="minorHAnsi"/>
        </w:rPr>
        <w:t xml:space="preserve">and </w:t>
      </w:r>
      <w:r w:rsidR="00C55FB3">
        <w:rPr>
          <w:rFonts w:asciiTheme="minorHAnsi" w:hAnsiTheme="minorHAnsi" w:cstheme="minorHAnsi"/>
        </w:rPr>
        <w:t>Arizona</w:t>
      </w:r>
      <w:r w:rsidR="0000357D">
        <w:rPr>
          <w:rFonts w:asciiTheme="minorHAnsi" w:hAnsiTheme="minorHAnsi" w:cstheme="minorHAnsi"/>
        </w:rPr>
        <w:t xml:space="preserve"> </w:t>
      </w:r>
      <w:r w:rsidR="00F84E05">
        <w:rPr>
          <w:rFonts w:asciiTheme="minorHAnsi" w:hAnsiTheme="minorHAnsi" w:cstheme="minorHAnsi"/>
        </w:rPr>
        <w:t xml:space="preserve">made significant </w:t>
      </w:r>
      <w:r w:rsidR="0000357D">
        <w:rPr>
          <w:rFonts w:asciiTheme="minorHAnsi" w:hAnsiTheme="minorHAnsi" w:cstheme="minorHAnsi"/>
        </w:rPr>
        <w:t>improve</w:t>
      </w:r>
      <w:r w:rsidR="00F84E05">
        <w:rPr>
          <w:rFonts w:asciiTheme="minorHAnsi" w:hAnsiTheme="minorHAnsi" w:cstheme="minorHAnsi"/>
        </w:rPr>
        <w:t>ment</w:t>
      </w:r>
      <w:r w:rsidR="004E36F7">
        <w:rPr>
          <w:rFonts w:asciiTheme="minorHAnsi" w:hAnsiTheme="minorHAnsi" w:cstheme="minorHAnsi"/>
        </w:rPr>
        <w:t xml:space="preserve"> </w:t>
      </w:r>
      <w:r w:rsidR="00F84E05">
        <w:rPr>
          <w:rFonts w:asciiTheme="minorHAnsi" w:hAnsiTheme="minorHAnsi" w:cstheme="minorHAnsi"/>
        </w:rPr>
        <w:t xml:space="preserve">meeting </w:t>
      </w:r>
      <w:r w:rsidR="004E36F7">
        <w:rPr>
          <w:rFonts w:asciiTheme="minorHAnsi" w:hAnsiTheme="minorHAnsi" w:cstheme="minorHAnsi"/>
        </w:rPr>
        <w:t>target dates</w:t>
      </w:r>
      <w:r w:rsidR="0000357D">
        <w:rPr>
          <w:rFonts w:asciiTheme="minorHAnsi" w:hAnsiTheme="minorHAnsi" w:cstheme="minorHAnsi"/>
        </w:rPr>
        <w:t xml:space="preserve">. </w:t>
      </w:r>
      <w:r w:rsidR="00A345D4">
        <w:rPr>
          <w:rFonts w:asciiTheme="minorHAnsi" w:hAnsiTheme="minorHAnsi" w:cstheme="minorHAnsi"/>
        </w:rPr>
        <w:t xml:space="preserve"> </w:t>
      </w:r>
      <w:r w:rsidR="000C3779">
        <w:rPr>
          <w:rFonts w:asciiTheme="minorHAnsi" w:hAnsiTheme="minorHAnsi" w:cstheme="minorHAnsi"/>
        </w:rPr>
        <w:t xml:space="preserve">ADOSH generally adopted OSHA’s standards identically.  </w:t>
      </w:r>
      <w:r w:rsidR="00864FDF">
        <w:rPr>
          <w:rFonts w:asciiTheme="minorHAnsi" w:hAnsiTheme="minorHAnsi" w:cstheme="minorHAnsi"/>
        </w:rPr>
        <w:t>Five of these standards were adopted timely</w:t>
      </w:r>
      <w:r w:rsidR="00F454AD">
        <w:rPr>
          <w:rFonts w:asciiTheme="minorHAnsi" w:hAnsiTheme="minorHAnsi" w:cstheme="minorHAnsi"/>
        </w:rPr>
        <w:t xml:space="preserve">.  </w:t>
      </w:r>
      <w:r w:rsidR="00124501">
        <w:rPr>
          <w:rFonts w:asciiTheme="minorHAnsi" w:hAnsiTheme="minorHAnsi" w:cstheme="minorHAnsi"/>
        </w:rPr>
        <w:t xml:space="preserve">This included the Final Rule on the Hazard Communication Standard, which was </w:t>
      </w:r>
      <w:r w:rsidR="004C0EBD">
        <w:rPr>
          <w:rFonts w:asciiTheme="minorHAnsi" w:hAnsiTheme="minorHAnsi" w:cstheme="minorHAnsi"/>
        </w:rPr>
        <w:t xml:space="preserve">reissued </w:t>
      </w:r>
      <w:r w:rsidR="00B177EA">
        <w:rPr>
          <w:rFonts w:asciiTheme="minorHAnsi" w:hAnsiTheme="minorHAnsi" w:cstheme="minorHAnsi"/>
        </w:rPr>
        <w:t xml:space="preserve">with a </w:t>
      </w:r>
      <w:r w:rsidR="00124501">
        <w:rPr>
          <w:rFonts w:asciiTheme="minorHAnsi" w:hAnsiTheme="minorHAnsi" w:cstheme="minorHAnsi"/>
        </w:rPr>
        <w:t xml:space="preserve">correction prior to the adoption due date.  This was due to OSHA identifying errors in the regulatory text and appendices, although minor and primarily typographical in nature.  </w:t>
      </w:r>
      <w:r w:rsidR="00E978DF">
        <w:rPr>
          <w:rFonts w:asciiTheme="minorHAnsi" w:hAnsiTheme="minorHAnsi" w:cstheme="minorHAnsi"/>
        </w:rPr>
        <w:t>Th</w:t>
      </w:r>
      <w:r w:rsidR="00852141">
        <w:rPr>
          <w:rFonts w:asciiTheme="minorHAnsi" w:hAnsiTheme="minorHAnsi" w:cstheme="minorHAnsi"/>
        </w:rPr>
        <w:t>e</w:t>
      </w:r>
      <w:r w:rsidR="00A31B81">
        <w:rPr>
          <w:rFonts w:asciiTheme="minorHAnsi" w:hAnsiTheme="minorHAnsi" w:cstheme="minorHAnsi"/>
        </w:rPr>
        <w:t xml:space="preserve"> Final Rule to Improve Tracking of Workplace Injuries and Illnesses</w:t>
      </w:r>
      <w:r w:rsidR="00852141">
        <w:rPr>
          <w:rFonts w:asciiTheme="minorHAnsi" w:hAnsiTheme="minorHAnsi" w:cstheme="minorHAnsi"/>
        </w:rPr>
        <w:t xml:space="preserve"> </w:t>
      </w:r>
      <w:r w:rsidR="001543E8">
        <w:rPr>
          <w:rFonts w:asciiTheme="minorHAnsi" w:hAnsiTheme="minorHAnsi" w:cstheme="minorHAnsi"/>
        </w:rPr>
        <w:t>standard</w:t>
      </w:r>
      <w:r w:rsidR="00A31B81">
        <w:rPr>
          <w:rFonts w:asciiTheme="minorHAnsi" w:hAnsiTheme="minorHAnsi" w:cstheme="minorHAnsi"/>
        </w:rPr>
        <w:t xml:space="preserve"> was issued in </w:t>
      </w:r>
      <w:r w:rsidR="001543E8">
        <w:rPr>
          <w:rFonts w:asciiTheme="minorHAnsi" w:hAnsiTheme="minorHAnsi" w:cstheme="minorHAnsi"/>
        </w:rPr>
        <w:t xml:space="preserve">FY 2023 </w:t>
      </w:r>
      <w:r w:rsidR="00A31B81">
        <w:rPr>
          <w:rFonts w:asciiTheme="minorHAnsi" w:hAnsiTheme="minorHAnsi" w:cstheme="minorHAnsi"/>
        </w:rPr>
        <w:t xml:space="preserve">and had an adoption due date during FY 2024.  ADOSH adopted this standard identically within the required timeframe. </w:t>
      </w:r>
      <w:r w:rsidR="00124501">
        <w:rPr>
          <w:rFonts w:asciiTheme="minorHAnsi" w:hAnsiTheme="minorHAnsi" w:cstheme="minorHAnsi"/>
        </w:rPr>
        <w:t xml:space="preserve"> </w:t>
      </w:r>
    </w:p>
    <w:p w14:paraId="4E01F437" w14:textId="77777777" w:rsidR="00CC27B9" w:rsidRDefault="00CC27B9" w:rsidP="001327BC">
      <w:pPr>
        <w:widowControl/>
        <w:autoSpaceDE/>
        <w:autoSpaceDN/>
        <w:adjustRightInd/>
        <w:textAlignment w:val="baseline"/>
        <w:rPr>
          <w:rFonts w:asciiTheme="minorHAnsi" w:hAnsiTheme="minorHAnsi" w:cstheme="minorHAnsi"/>
        </w:rPr>
      </w:pPr>
    </w:p>
    <w:p w14:paraId="3C8E6BF4" w14:textId="11D64FE0" w:rsidR="00056AA3" w:rsidRPr="00056AA3" w:rsidRDefault="00056AA3" w:rsidP="008B2F33">
      <w:pPr>
        <w:pStyle w:val="paragraph"/>
        <w:spacing w:before="0" w:beforeAutospacing="0" w:after="0" w:afterAutospacing="0"/>
        <w:textAlignment w:val="baseline"/>
        <w:rPr>
          <w:rFonts w:asciiTheme="minorHAnsi" w:hAnsiTheme="minorHAnsi" w:cstheme="minorHAnsi"/>
        </w:rPr>
      </w:pPr>
      <w:r w:rsidRPr="00056AA3">
        <w:rPr>
          <w:rFonts w:asciiTheme="minorHAnsi" w:hAnsiTheme="minorHAnsi" w:cstheme="minorHAnsi"/>
          <w:b/>
          <w:bCs/>
        </w:rPr>
        <w:t xml:space="preserve">Table </w:t>
      </w:r>
      <w:r w:rsidR="00253613">
        <w:rPr>
          <w:rFonts w:asciiTheme="minorHAnsi" w:hAnsiTheme="minorHAnsi" w:cstheme="minorHAnsi"/>
          <w:b/>
          <w:bCs/>
        </w:rPr>
        <w:t>C</w:t>
      </w:r>
      <w:r w:rsidRPr="00056AA3">
        <w:rPr>
          <w:rFonts w:asciiTheme="minorHAnsi" w:hAnsiTheme="minorHAnsi" w:cstheme="minorHAnsi"/>
        </w:rPr>
        <w:t> </w:t>
      </w:r>
    </w:p>
    <w:p w14:paraId="3ED03FE4" w14:textId="7EBA5695" w:rsidR="00056AA3" w:rsidRPr="00056AA3" w:rsidRDefault="00056AA3" w:rsidP="0CBC30FF">
      <w:pPr>
        <w:widowControl/>
        <w:autoSpaceDE/>
        <w:autoSpaceDN/>
        <w:adjustRightInd/>
        <w:textAlignment w:val="baseline"/>
        <w:rPr>
          <w:rFonts w:asciiTheme="minorHAnsi" w:hAnsiTheme="minorHAnsi" w:cstheme="minorBidi"/>
        </w:rPr>
      </w:pPr>
      <w:r w:rsidRPr="0CBC30FF">
        <w:rPr>
          <w:rFonts w:asciiTheme="minorHAnsi" w:hAnsiTheme="minorHAnsi" w:cstheme="minorBidi"/>
          <w:b/>
          <w:bCs/>
        </w:rPr>
        <w:t>Status of FY</w:t>
      </w:r>
      <w:r w:rsidR="079BA991" w:rsidRPr="0CBC30FF">
        <w:rPr>
          <w:rFonts w:asciiTheme="minorHAnsi" w:hAnsiTheme="minorHAnsi" w:cstheme="minorBidi"/>
          <w:b/>
          <w:bCs/>
        </w:rPr>
        <w:t xml:space="preserve"> 202</w:t>
      </w:r>
      <w:r w:rsidR="00E75BB9">
        <w:rPr>
          <w:rFonts w:asciiTheme="minorHAnsi" w:hAnsiTheme="minorHAnsi" w:cstheme="minorBidi"/>
          <w:b/>
          <w:bCs/>
        </w:rPr>
        <w:t>4</w:t>
      </w:r>
      <w:r w:rsidR="079BA991" w:rsidRPr="0CBC30FF">
        <w:rPr>
          <w:rFonts w:asciiTheme="minorHAnsi" w:hAnsiTheme="minorHAnsi" w:cstheme="minorBidi"/>
          <w:b/>
          <w:bCs/>
        </w:rPr>
        <w:t xml:space="preserve"> and</w:t>
      </w:r>
      <w:r w:rsidRPr="0CBC30FF">
        <w:rPr>
          <w:rFonts w:asciiTheme="minorHAnsi" w:hAnsiTheme="minorHAnsi" w:cstheme="minorBidi"/>
          <w:b/>
          <w:bCs/>
        </w:rPr>
        <w:t xml:space="preserve"> 202</w:t>
      </w:r>
      <w:r w:rsidR="00E75BB9">
        <w:rPr>
          <w:rFonts w:asciiTheme="minorHAnsi" w:hAnsiTheme="minorHAnsi" w:cstheme="minorBidi"/>
          <w:b/>
          <w:bCs/>
        </w:rPr>
        <w:t>5</w:t>
      </w:r>
      <w:r w:rsidRPr="0CBC30FF">
        <w:rPr>
          <w:rFonts w:asciiTheme="minorHAnsi" w:hAnsiTheme="minorHAnsi" w:cstheme="minorBidi"/>
          <w:b/>
          <w:bCs/>
        </w:rPr>
        <w:t xml:space="preserve"> Federal Standards </w:t>
      </w:r>
      <w:r w:rsidR="6D157B08" w:rsidRPr="0CBC30FF">
        <w:rPr>
          <w:rFonts w:asciiTheme="minorHAnsi" w:hAnsiTheme="minorHAnsi" w:cstheme="minorBidi"/>
          <w:b/>
          <w:bCs/>
        </w:rPr>
        <w:t xml:space="preserve">Where </w:t>
      </w:r>
      <w:r w:rsidRPr="0CBC30FF">
        <w:rPr>
          <w:rFonts w:asciiTheme="minorHAnsi" w:hAnsiTheme="minorHAnsi" w:cstheme="minorBidi"/>
          <w:b/>
          <w:bCs/>
        </w:rPr>
        <w:t>Adoptio</w:t>
      </w:r>
      <w:r w:rsidR="005E01F4" w:rsidRPr="0CBC30FF">
        <w:rPr>
          <w:rFonts w:asciiTheme="minorHAnsi" w:hAnsiTheme="minorHAnsi" w:cstheme="minorBidi"/>
          <w:b/>
          <w:bCs/>
        </w:rPr>
        <w:t>n</w:t>
      </w:r>
      <w:r w:rsidR="42012D47" w:rsidRPr="0CBC30FF">
        <w:rPr>
          <w:rFonts w:asciiTheme="minorHAnsi" w:hAnsiTheme="minorHAnsi" w:cstheme="minorBidi"/>
          <w:b/>
          <w:bCs/>
        </w:rPr>
        <w:t xml:space="preserve"> Was </w:t>
      </w:r>
      <w:r w:rsidR="005E01F4" w:rsidRPr="0CBC30FF">
        <w:rPr>
          <w:rFonts w:asciiTheme="minorHAnsi" w:hAnsiTheme="minorHAnsi" w:cstheme="minorBidi"/>
          <w:b/>
          <w:bCs/>
        </w:rPr>
        <w:t>Required</w:t>
      </w:r>
    </w:p>
    <w:p w14:paraId="698028FC" w14:textId="3BBCF4C9" w:rsidR="00E84FAF"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52F31B16" w14:textId="77777777" w:rsidR="002F3168" w:rsidRPr="00056AA3" w:rsidRDefault="002F3168" w:rsidP="00056AA3">
      <w:pPr>
        <w:widowControl/>
        <w:autoSpaceDE/>
        <w:autoSpaceDN/>
        <w:adjustRightInd/>
        <w:textAlignment w:val="baseline"/>
        <w:rPr>
          <w:rFonts w:asciiTheme="minorHAnsi" w:hAnsiTheme="minorHAnsi" w:cstheme="minorHAnsi"/>
        </w:rPr>
      </w:pPr>
    </w:p>
    <w:tbl>
      <w:tblPr>
        <w:tblStyle w:val="TableGridLight"/>
        <w:tblW w:w="9532" w:type="dxa"/>
        <w:tblLayout w:type="fixed"/>
        <w:tblLook w:val="04A0" w:firstRow="1" w:lastRow="0" w:firstColumn="1" w:lastColumn="0" w:noHBand="0" w:noVBand="1"/>
        <w:tblCaption w:val="Status of FY 2021 Federal Standards Adoption"/>
      </w:tblPr>
      <w:tblGrid>
        <w:gridCol w:w="2602"/>
        <w:gridCol w:w="1173"/>
        <w:gridCol w:w="1347"/>
        <w:gridCol w:w="813"/>
        <w:gridCol w:w="900"/>
        <w:gridCol w:w="1347"/>
        <w:gridCol w:w="1350"/>
      </w:tblGrid>
      <w:tr w:rsidR="00056AA3" w:rsidRPr="00961323" w14:paraId="2243AC09" w14:textId="77777777" w:rsidTr="0028698C">
        <w:trPr>
          <w:cantSplit/>
          <w:trHeight w:val="849"/>
        </w:trPr>
        <w:tc>
          <w:tcPr>
            <w:tcW w:w="2602" w:type="dxa"/>
            <w:hideMark/>
          </w:tcPr>
          <w:p w14:paraId="042E1B72" w14:textId="1500286B" w:rsidR="00056AA3" w:rsidRPr="00961323" w:rsidRDefault="00AC15FC" w:rsidP="00B2792D">
            <w:pPr>
              <w:widowControl/>
              <w:autoSpaceDE/>
              <w:autoSpaceDN/>
              <w:adjustRightInd/>
              <w:ind w:left="-30" w:right="-120"/>
              <w:textAlignment w:val="baseline"/>
              <w:rPr>
                <w:rFonts w:asciiTheme="minorHAnsi" w:hAnsiTheme="minorHAnsi" w:cstheme="minorHAnsi"/>
                <w:sz w:val="22"/>
                <w:szCs w:val="22"/>
              </w:rPr>
            </w:pPr>
            <w:r w:rsidRPr="00961323">
              <w:rPr>
                <w:rFonts w:asciiTheme="minorHAnsi" w:hAnsiTheme="minorHAnsi" w:cstheme="minorHAnsi"/>
                <w:b/>
                <w:sz w:val="22"/>
                <w:szCs w:val="22"/>
              </w:rPr>
              <w:t xml:space="preserve"> </w:t>
            </w:r>
            <w:r w:rsidR="00056AA3" w:rsidRPr="00961323">
              <w:rPr>
                <w:rFonts w:asciiTheme="minorHAnsi" w:hAnsiTheme="minorHAnsi" w:cstheme="minorHAnsi"/>
                <w:b/>
                <w:sz w:val="22"/>
                <w:szCs w:val="22"/>
              </w:rPr>
              <w:t>Standard</w:t>
            </w:r>
            <w:r w:rsidR="00056AA3" w:rsidRPr="00961323">
              <w:rPr>
                <w:rFonts w:asciiTheme="minorHAnsi" w:hAnsiTheme="minorHAnsi" w:cstheme="minorHAnsi"/>
                <w:sz w:val="22"/>
                <w:szCs w:val="22"/>
              </w:rPr>
              <w:t> </w:t>
            </w:r>
          </w:p>
        </w:tc>
        <w:tc>
          <w:tcPr>
            <w:tcW w:w="1173" w:type="dxa"/>
            <w:hideMark/>
          </w:tcPr>
          <w:p w14:paraId="77DFA90C" w14:textId="77777777" w:rsidR="00056AA3" w:rsidRPr="00961323" w:rsidRDefault="00056AA3" w:rsidP="006315B1">
            <w:pPr>
              <w:widowControl/>
              <w:autoSpaceDE/>
              <w:autoSpaceDN/>
              <w:adjustRightInd/>
              <w:ind w:right="-13"/>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347" w:type="dxa"/>
            <w:hideMark/>
          </w:tcPr>
          <w:p w14:paraId="5A6519E2" w14:textId="77777777" w:rsidR="00056AA3" w:rsidRPr="00961323" w:rsidRDefault="00056AA3" w:rsidP="00B2792D">
            <w:pPr>
              <w:widowControl/>
              <w:autoSpaceDE/>
              <w:autoSpaceDN/>
              <w:adjustRightInd/>
              <w:ind w:right="-120"/>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813" w:type="dxa"/>
            <w:hideMark/>
          </w:tcPr>
          <w:p w14:paraId="44B60006" w14:textId="77777777" w:rsidR="00C737A4" w:rsidRPr="00961323" w:rsidRDefault="00056AA3" w:rsidP="00263DB9">
            <w:pPr>
              <w:widowControl/>
              <w:autoSpaceDE/>
              <w:autoSpaceDN/>
              <w:adjustRightInd/>
              <w:ind w:right="-105"/>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Intent </w:t>
            </w:r>
            <w:r w:rsidR="00BC0AC9" w:rsidRPr="00961323">
              <w:rPr>
                <w:rFonts w:asciiTheme="minorHAnsi" w:hAnsiTheme="minorHAnsi" w:cstheme="minorHAnsi"/>
                <w:b/>
                <w:sz w:val="22"/>
                <w:szCs w:val="22"/>
              </w:rPr>
              <w:t xml:space="preserve"> </w:t>
            </w:r>
          </w:p>
          <w:p w14:paraId="4CD0D633" w14:textId="77777777" w:rsidR="00C737A4" w:rsidRPr="00961323" w:rsidRDefault="00056AA3" w:rsidP="00263DB9">
            <w:pPr>
              <w:widowControl/>
              <w:autoSpaceDE/>
              <w:autoSpaceDN/>
              <w:adjustRightInd/>
              <w:ind w:right="-105"/>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to </w:t>
            </w:r>
          </w:p>
          <w:p w14:paraId="739EDBEC" w14:textId="152BCFD5" w:rsidR="00BC0AC9" w:rsidRPr="00961323" w:rsidRDefault="00056AA3" w:rsidP="00263DB9">
            <w:pPr>
              <w:widowControl/>
              <w:autoSpaceDE/>
              <w:autoSpaceDN/>
              <w:adjustRightInd/>
              <w:ind w:right="-105"/>
              <w:textAlignment w:val="baseline"/>
              <w:rPr>
                <w:rFonts w:asciiTheme="minorHAnsi" w:hAnsiTheme="minorHAnsi" w:cstheme="minorHAnsi"/>
                <w:b/>
                <w:sz w:val="22"/>
                <w:szCs w:val="22"/>
              </w:rPr>
            </w:pPr>
            <w:r w:rsidRPr="00961323">
              <w:rPr>
                <w:rFonts w:asciiTheme="minorHAnsi" w:hAnsiTheme="minorHAnsi" w:cstheme="minorHAnsi"/>
                <w:b/>
                <w:sz w:val="22"/>
                <w:szCs w:val="22"/>
              </w:rPr>
              <w:t>Adopt</w:t>
            </w:r>
            <w:r w:rsidRPr="00961323">
              <w:rPr>
                <w:rFonts w:asciiTheme="minorHAnsi" w:hAnsiTheme="minorHAnsi" w:cstheme="minorHAnsi"/>
                <w:sz w:val="22"/>
                <w:szCs w:val="22"/>
              </w:rPr>
              <w:t> </w:t>
            </w:r>
          </w:p>
        </w:tc>
        <w:tc>
          <w:tcPr>
            <w:tcW w:w="900" w:type="dxa"/>
            <w:hideMark/>
          </w:tcPr>
          <w:p w14:paraId="3067F15C" w14:textId="77777777" w:rsidR="00056AA3" w:rsidRPr="00961323" w:rsidRDefault="00056AA3" w:rsidP="00A31B81">
            <w:pPr>
              <w:widowControl/>
              <w:autoSpaceDE/>
              <w:autoSpaceDN/>
              <w:adjustRightInd/>
              <w:ind w:left="-14" w:right="-120"/>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347" w:type="dxa"/>
            <w:hideMark/>
          </w:tcPr>
          <w:p w14:paraId="1EA31D62" w14:textId="77777777" w:rsidR="00056AA3" w:rsidRPr="00961323" w:rsidRDefault="00056AA3" w:rsidP="006315B1">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Adoption Due Date</w:t>
            </w:r>
            <w:r w:rsidRPr="00961323">
              <w:rPr>
                <w:rFonts w:asciiTheme="minorHAnsi" w:hAnsiTheme="minorHAnsi" w:cstheme="minorHAnsi"/>
                <w:sz w:val="22"/>
                <w:szCs w:val="22"/>
              </w:rPr>
              <w:t> </w:t>
            </w:r>
          </w:p>
        </w:tc>
        <w:tc>
          <w:tcPr>
            <w:tcW w:w="1350" w:type="dxa"/>
            <w:hideMark/>
          </w:tcPr>
          <w:p w14:paraId="72AAEC99" w14:textId="77777777" w:rsidR="00056AA3" w:rsidRPr="00961323" w:rsidRDefault="00056AA3" w:rsidP="006315B1">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056AA3" w:rsidRPr="00961323" w14:paraId="2EA9CF90" w14:textId="77777777" w:rsidTr="0028698C">
        <w:trPr>
          <w:cantSplit/>
          <w:trHeight w:val="300"/>
        </w:trPr>
        <w:tc>
          <w:tcPr>
            <w:tcW w:w="2602" w:type="dxa"/>
            <w:hideMark/>
          </w:tcPr>
          <w:p w14:paraId="630CD93D" w14:textId="77777777" w:rsidR="00244601" w:rsidRPr="00961323" w:rsidRDefault="00244601" w:rsidP="00244601">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29 CFR Part 1904</w:t>
            </w:r>
          </w:p>
          <w:p w14:paraId="5074F6E5" w14:textId="77777777" w:rsidR="00633D99" w:rsidRPr="00961323" w:rsidRDefault="00633D99" w:rsidP="00633D99">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Final Rule to Improve Tracking of Workplace Injuries and Illnesses</w:t>
            </w:r>
          </w:p>
          <w:p w14:paraId="080C659F" w14:textId="0DC04A28" w:rsidR="00056AA3" w:rsidRPr="00961323" w:rsidRDefault="00633D99" w:rsidP="00633D99">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(7/21/2023)</w:t>
            </w:r>
          </w:p>
        </w:tc>
        <w:tc>
          <w:tcPr>
            <w:tcW w:w="1173" w:type="dxa"/>
            <w:hideMark/>
          </w:tcPr>
          <w:p w14:paraId="5EA33504" w14:textId="7FD75494" w:rsidR="00056AA3" w:rsidRPr="00961323" w:rsidRDefault="004A40F5"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9/21/2023</w:t>
            </w:r>
          </w:p>
        </w:tc>
        <w:tc>
          <w:tcPr>
            <w:tcW w:w="1347" w:type="dxa"/>
            <w:hideMark/>
          </w:tcPr>
          <w:p w14:paraId="3635B365" w14:textId="1C4F620A" w:rsidR="00056AA3" w:rsidRPr="00961323" w:rsidRDefault="00E00DEA"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9/23/2023</w:t>
            </w:r>
          </w:p>
        </w:tc>
        <w:tc>
          <w:tcPr>
            <w:tcW w:w="813" w:type="dxa"/>
            <w:hideMark/>
          </w:tcPr>
          <w:p w14:paraId="452FF478" w14:textId="6DDABDFA" w:rsidR="00056AA3" w:rsidRPr="00961323" w:rsidRDefault="00E00DEA"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900" w:type="dxa"/>
            <w:hideMark/>
          </w:tcPr>
          <w:p w14:paraId="5BC28412" w14:textId="7D0C9918" w:rsidR="00056AA3" w:rsidRPr="00961323" w:rsidRDefault="00E00DEA" w:rsidP="00A31B81">
            <w:pPr>
              <w:widowControl/>
              <w:autoSpaceDE/>
              <w:autoSpaceDN/>
              <w:adjustRightInd/>
              <w:ind w:left="-14"/>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347" w:type="dxa"/>
            <w:hideMark/>
          </w:tcPr>
          <w:p w14:paraId="505196A2" w14:textId="10C6F607" w:rsidR="00056AA3" w:rsidRPr="00961323" w:rsidRDefault="004A40F5"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1/24/2024</w:t>
            </w:r>
          </w:p>
        </w:tc>
        <w:tc>
          <w:tcPr>
            <w:tcW w:w="1350" w:type="dxa"/>
          </w:tcPr>
          <w:p w14:paraId="650C9480" w14:textId="710D13D9" w:rsidR="00056AA3" w:rsidRPr="00961323" w:rsidRDefault="00AB792F" w:rsidP="00056AA3">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7/21/2023</w:t>
            </w:r>
          </w:p>
        </w:tc>
      </w:tr>
      <w:tr w:rsidR="00B56CF5" w:rsidRPr="00961323" w14:paraId="472BE2BD" w14:textId="77777777" w:rsidTr="0028698C">
        <w:trPr>
          <w:cantSplit/>
          <w:trHeight w:val="300"/>
        </w:trPr>
        <w:tc>
          <w:tcPr>
            <w:tcW w:w="2602" w:type="dxa"/>
          </w:tcPr>
          <w:p w14:paraId="04C718F3"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Part 1903 </w:t>
            </w:r>
          </w:p>
          <w:p w14:paraId="6514D30E"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Federal Civil Penalties for Inflation Adjustments for 2024</w:t>
            </w:r>
          </w:p>
          <w:p w14:paraId="72729252" w14:textId="6AF1A370"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(1/15/2024)</w:t>
            </w:r>
          </w:p>
        </w:tc>
        <w:tc>
          <w:tcPr>
            <w:tcW w:w="1173" w:type="dxa"/>
          </w:tcPr>
          <w:p w14:paraId="306455CA" w14:textId="5317FA58"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3/15/2024</w:t>
            </w:r>
          </w:p>
        </w:tc>
        <w:tc>
          <w:tcPr>
            <w:tcW w:w="1347" w:type="dxa"/>
          </w:tcPr>
          <w:p w14:paraId="143C05EB" w14:textId="73EB7612" w:rsidR="00B56CF5" w:rsidRPr="00961323" w:rsidRDefault="00845D51"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7/15/2024</w:t>
            </w:r>
          </w:p>
        </w:tc>
        <w:tc>
          <w:tcPr>
            <w:tcW w:w="813" w:type="dxa"/>
          </w:tcPr>
          <w:p w14:paraId="5DBBD28C" w14:textId="4A5C0EDA"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09893E52" w14:textId="48B295F0" w:rsidR="00B56CF5" w:rsidRPr="00961323" w:rsidRDefault="00B56CF5" w:rsidP="00A31B81">
            <w:pPr>
              <w:widowControl/>
              <w:autoSpaceDE/>
              <w:autoSpaceDN/>
              <w:adjustRightInd/>
              <w:ind w:left="-14"/>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1347" w:type="dxa"/>
          </w:tcPr>
          <w:p w14:paraId="7128941F" w14:textId="062F02BD"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7/15/2024</w:t>
            </w:r>
          </w:p>
        </w:tc>
        <w:tc>
          <w:tcPr>
            <w:tcW w:w="1350" w:type="dxa"/>
          </w:tcPr>
          <w:p w14:paraId="3CC75C47" w14:textId="1F864F6D" w:rsidR="00B56CF5" w:rsidRPr="00961323" w:rsidRDefault="000C37D7"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1/15/2024</w:t>
            </w:r>
          </w:p>
        </w:tc>
      </w:tr>
      <w:tr w:rsidR="00B56CF5" w:rsidRPr="00961323" w14:paraId="5752BCA0" w14:textId="77777777" w:rsidTr="0028698C">
        <w:trPr>
          <w:cantSplit/>
          <w:trHeight w:val="300"/>
        </w:trPr>
        <w:tc>
          <w:tcPr>
            <w:tcW w:w="2602" w:type="dxa"/>
          </w:tcPr>
          <w:p w14:paraId="3ECA26F8"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1910 </w:t>
            </w:r>
          </w:p>
          <w:p w14:paraId="6C45C950"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Hazard Communication Standard</w:t>
            </w:r>
          </w:p>
          <w:p w14:paraId="63CAC20A" w14:textId="4C48FE5E"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(5/20/2024)</w:t>
            </w:r>
          </w:p>
        </w:tc>
        <w:tc>
          <w:tcPr>
            <w:tcW w:w="1173" w:type="dxa"/>
          </w:tcPr>
          <w:p w14:paraId="7482DAA9" w14:textId="2753432D"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7/19/2024</w:t>
            </w:r>
          </w:p>
        </w:tc>
        <w:tc>
          <w:tcPr>
            <w:tcW w:w="1347" w:type="dxa"/>
          </w:tcPr>
          <w:p w14:paraId="5B0B8E36" w14:textId="162ED06F" w:rsidR="00B56CF5" w:rsidRPr="00961323" w:rsidRDefault="00166030"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7/15/2024</w:t>
            </w:r>
          </w:p>
        </w:tc>
        <w:tc>
          <w:tcPr>
            <w:tcW w:w="813" w:type="dxa"/>
          </w:tcPr>
          <w:p w14:paraId="655BA188" w14:textId="2E318647"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0750B82D" w14:textId="3CF9153B" w:rsidR="00B56CF5" w:rsidRPr="00961323" w:rsidRDefault="00B56CF5" w:rsidP="00A31B81">
            <w:pPr>
              <w:widowControl/>
              <w:autoSpaceDE/>
              <w:autoSpaceDN/>
              <w:adjustRightInd/>
              <w:ind w:left="-14"/>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1347" w:type="dxa"/>
          </w:tcPr>
          <w:p w14:paraId="3EB63AB0" w14:textId="3AB03E31"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11/20/2024</w:t>
            </w:r>
          </w:p>
        </w:tc>
        <w:tc>
          <w:tcPr>
            <w:tcW w:w="1350" w:type="dxa"/>
          </w:tcPr>
          <w:p w14:paraId="6FF64F72" w14:textId="4F43FEFA" w:rsidR="00B56CF5" w:rsidRPr="00961323" w:rsidRDefault="001B3933"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 xml:space="preserve">11/15/2024 </w:t>
            </w:r>
          </w:p>
        </w:tc>
      </w:tr>
      <w:tr w:rsidR="00B56CF5" w:rsidRPr="00961323" w14:paraId="244E4D24" w14:textId="77777777" w:rsidTr="0028698C">
        <w:trPr>
          <w:cantSplit/>
          <w:trHeight w:val="300"/>
        </w:trPr>
        <w:tc>
          <w:tcPr>
            <w:tcW w:w="2602" w:type="dxa"/>
          </w:tcPr>
          <w:p w14:paraId="6585F923"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lastRenderedPageBreak/>
              <w:t xml:space="preserve">29 CFR 1910 </w:t>
            </w:r>
          </w:p>
          <w:p w14:paraId="5FB390A0"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Hazard Communication Standard (First Correction)</w:t>
            </w:r>
          </w:p>
          <w:p w14:paraId="1C1B3BD7" w14:textId="06C02CF6"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(10/9/2024)</w:t>
            </w:r>
          </w:p>
        </w:tc>
        <w:tc>
          <w:tcPr>
            <w:tcW w:w="1173" w:type="dxa"/>
          </w:tcPr>
          <w:p w14:paraId="5BD3684B" w14:textId="15897CE3"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12/9/2024</w:t>
            </w:r>
          </w:p>
        </w:tc>
        <w:tc>
          <w:tcPr>
            <w:tcW w:w="1347" w:type="dxa"/>
          </w:tcPr>
          <w:p w14:paraId="5854E022" w14:textId="5A7BAA4A" w:rsidR="00B56CF5" w:rsidRPr="00961323" w:rsidRDefault="00166030"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12/26/2024</w:t>
            </w:r>
          </w:p>
        </w:tc>
        <w:tc>
          <w:tcPr>
            <w:tcW w:w="813" w:type="dxa"/>
          </w:tcPr>
          <w:p w14:paraId="4B275EDA" w14:textId="58617FC1"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406EBD9E" w14:textId="2F6F00A2" w:rsidR="00B56CF5" w:rsidRPr="00961323" w:rsidRDefault="00B56CF5" w:rsidP="00A31B81">
            <w:pPr>
              <w:widowControl/>
              <w:autoSpaceDE/>
              <w:autoSpaceDN/>
              <w:adjustRightInd/>
              <w:ind w:left="-14"/>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1347" w:type="dxa"/>
          </w:tcPr>
          <w:p w14:paraId="736D29DE" w14:textId="50780172"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4/9/2025</w:t>
            </w:r>
          </w:p>
        </w:tc>
        <w:tc>
          <w:tcPr>
            <w:tcW w:w="1350" w:type="dxa"/>
          </w:tcPr>
          <w:p w14:paraId="3DEC10D3" w14:textId="33C40472" w:rsidR="00B56CF5" w:rsidRPr="00961323" w:rsidRDefault="00C40500" w:rsidP="00C40500">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4/4/2025</w:t>
            </w:r>
          </w:p>
        </w:tc>
      </w:tr>
      <w:tr w:rsidR="00B56CF5" w:rsidRPr="00961323" w14:paraId="2E51A03A" w14:textId="77777777" w:rsidTr="0028698C">
        <w:trPr>
          <w:cantSplit/>
          <w:trHeight w:val="300"/>
        </w:trPr>
        <w:tc>
          <w:tcPr>
            <w:tcW w:w="2602" w:type="dxa"/>
          </w:tcPr>
          <w:p w14:paraId="6CA56870"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1926 </w:t>
            </w:r>
          </w:p>
          <w:p w14:paraId="20A48281"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Personal Protective Equipment in Construction </w:t>
            </w:r>
          </w:p>
          <w:p w14:paraId="763BA87C" w14:textId="622F6567"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(12/12/2024)</w:t>
            </w:r>
          </w:p>
        </w:tc>
        <w:tc>
          <w:tcPr>
            <w:tcW w:w="1173" w:type="dxa"/>
          </w:tcPr>
          <w:p w14:paraId="69BB9A40" w14:textId="4F5218C1"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2/10/2025</w:t>
            </w:r>
          </w:p>
        </w:tc>
        <w:tc>
          <w:tcPr>
            <w:tcW w:w="1347" w:type="dxa"/>
          </w:tcPr>
          <w:p w14:paraId="5D19772B" w14:textId="6A99F8B3" w:rsidR="00B56CF5" w:rsidRPr="00961323" w:rsidRDefault="00166030"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2/5/2025</w:t>
            </w:r>
          </w:p>
        </w:tc>
        <w:tc>
          <w:tcPr>
            <w:tcW w:w="813" w:type="dxa"/>
          </w:tcPr>
          <w:p w14:paraId="34FD985E" w14:textId="76251E31"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7FCB2FA0" w14:textId="0904316B" w:rsidR="00B56CF5" w:rsidRPr="00961323" w:rsidRDefault="00B56CF5" w:rsidP="00A31B81">
            <w:pPr>
              <w:widowControl/>
              <w:autoSpaceDE/>
              <w:autoSpaceDN/>
              <w:adjustRightInd/>
              <w:ind w:left="-14"/>
              <w:textAlignment w:val="baseline"/>
              <w:rPr>
                <w:rFonts w:asciiTheme="minorHAnsi" w:hAnsiTheme="minorHAnsi" w:cstheme="minorHAnsi"/>
                <w:sz w:val="22"/>
                <w:szCs w:val="22"/>
              </w:rPr>
            </w:pPr>
            <w:r w:rsidRPr="003404D2">
              <w:rPr>
                <w:rFonts w:asciiTheme="minorHAnsi" w:hAnsiTheme="minorHAnsi" w:cstheme="minorHAnsi"/>
                <w:sz w:val="22"/>
                <w:szCs w:val="22"/>
              </w:rPr>
              <w:t>Yes</w:t>
            </w:r>
          </w:p>
        </w:tc>
        <w:tc>
          <w:tcPr>
            <w:tcW w:w="1347" w:type="dxa"/>
          </w:tcPr>
          <w:p w14:paraId="30EF1964" w14:textId="00E893D7"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6/12/2025</w:t>
            </w:r>
          </w:p>
        </w:tc>
        <w:tc>
          <w:tcPr>
            <w:tcW w:w="1350" w:type="dxa"/>
          </w:tcPr>
          <w:p w14:paraId="5FADEC5D" w14:textId="57478C8D" w:rsidR="00B56CF5" w:rsidRPr="00961323" w:rsidRDefault="00C40500"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2/5/2025</w:t>
            </w:r>
          </w:p>
        </w:tc>
      </w:tr>
      <w:tr w:rsidR="00B56CF5" w:rsidRPr="00961323" w14:paraId="47566E50" w14:textId="77777777" w:rsidTr="0028698C">
        <w:trPr>
          <w:cantSplit/>
          <w:trHeight w:val="300"/>
        </w:trPr>
        <w:tc>
          <w:tcPr>
            <w:tcW w:w="2602" w:type="dxa"/>
          </w:tcPr>
          <w:p w14:paraId="3EB80172"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Part 1903 </w:t>
            </w:r>
          </w:p>
          <w:p w14:paraId="341C5A57" w14:textId="77777777" w:rsidR="00B56CF5" w:rsidRPr="003404D2"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Federal Civil Penalties for Inflation Adjustments for 2025</w:t>
            </w:r>
          </w:p>
          <w:p w14:paraId="348FB067" w14:textId="3EC292F9"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(1/10/2025)</w:t>
            </w:r>
          </w:p>
        </w:tc>
        <w:tc>
          <w:tcPr>
            <w:tcW w:w="1173" w:type="dxa"/>
          </w:tcPr>
          <w:p w14:paraId="076F30CB" w14:textId="498D2C5A"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3/11/2025</w:t>
            </w:r>
          </w:p>
        </w:tc>
        <w:tc>
          <w:tcPr>
            <w:tcW w:w="1347" w:type="dxa"/>
          </w:tcPr>
          <w:p w14:paraId="4FAF9943" w14:textId="15A7F186" w:rsidR="00B56CF5" w:rsidRPr="00961323" w:rsidRDefault="00166030"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2/5/2025</w:t>
            </w:r>
          </w:p>
        </w:tc>
        <w:tc>
          <w:tcPr>
            <w:tcW w:w="813" w:type="dxa"/>
          </w:tcPr>
          <w:p w14:paraId="1E977E0D" w14:textId="2CDAE023"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34CB82FA" w14:textId="63D56B97" w:rsidR="00B56CF5" w:rsidRPr="00961323" w:rsidRDefault="00B56CF5" w:rsidP="00A31B81">
            <w:pPr>
              <w:widowControl/>
              <w:autoSpaceDE/>
              <w:autoSpaceDN/>
              <w:adjustRightInd/>
              <w:ind w:left="-14"/>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1347" w:type="dxa"/>
          </w:tcPr>
          <w:p w14:paraId="7E6C8AE1" w14:textId="0D8D67A2" w:rsidR="00B56CF5" w:rsidRPr="00961323" w:rsidRDefault="00B56CF5" w:rsidP="00B56CF5">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7/10/2025</w:t>
            </w:r>
          </w:p>
        </w:tc>
        <w:tc>
          <w:tcPr>
            <w:tcW w:w="1350" w:type="dxa"/>
          </w:tcPr>
          <w:p w14:paraId="2518E6AE" w14:textId="4D583757" w:rsidR="00B56CF5" w:rsidRPr="00961323" w:rsidRDefault="00733FA1" w:rsidP="00B56CF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2/1/2025</w:t>
            </w:r>
          </w:p>
        </w:tc>
      </w:tr>
    </w:tbl>
    <w:p w14:paraId="21B325A7" w14:textId="73574BBB" w:rsidR="00F314B2" w:rsidRPr="00056AA3" w:rsidRDefault="00056AA3" w:rsidP="00A70168">
      <w:pPr>
        <w:widowControl/>
        <w:autoSpaceDE/>
        <w:autoSpaceDN/>
        <w:adjustRightInd/>
        <w:ind w:left="720"/>
        <w:textAlignment w:val="baseline"/>
        <w:rPr>
          <w:rFonts w:asciiTheme="minorHAnsi" w:hAnsiTheme="minorHAnsi" w:cstheme="minorHAnsi"/>
        </w:rPr>
      </w:pPr>
      <w:r w:rsidRPr="00056AA3">
        <w:rPr>
          <w:rFonts w:asciiTheme="minorHAnsi" w:hAnsiTheme="minorHAnsi" w:cstheme="minorHAnsi"/>
        </w:rPr>
        <w:t> </w:t>
      </w:r>
    </w:p>
    <w:p w14:paraId="0AE729E3" w14:textId="3DD5FFAE" w:rsidR="00056AA3" w:rsidRDefault="00056AA3" w:rsidP="00253613">
      <w:pPr>
        <w:pStyle w:val="paragraph"/>
        <w:numPr>
          <w:ilvl w:val="0"/>
          <w:numId w:val="11"/>
        </w:numPr>
        <w:tabs>
          <w:tab w:val="clear" w:pos="720"/>
        </w:tabs>
        <w:spacing w:before="0" w:beforeAutospacing="0" w:after="0" w:afterAutospacing="0"/>
        <w:ind w:left="1440"/>
        <w:textAlignment w:val="baseline"/>
        <w:rPr>
          <w:rStyle w:val="eop"/>
          <w:rFonts w:asciiTheme="minorHAnsi" w:hAnsiTheme="minorHAnsi" w:cstheme="minorHAnsi"/>
        </w:rPr>
      </w:pPr>
      <w:r w:rsidRPr="00056AA3">
        <w:rPr>
          <w:rFonts w:asciiTheme="minorHAnsi" w:hAnsiTheme="minorHAnsi" w:cstheme="minorHAnsi"/>
        </w:rPr>
        <w:t> </w:t>
      </w:r>
      <w:r w:rsidRPr="00412FCC">
        <w:rPr>
          <w:rStyle w:val="normaltextrun"/>
          <w:rFonts w:asciiTheme="minorHAnsi" w:hAnsiTheme="minorHAnsi" w:cstheme="minorHAnsi"/>
        </w:rPr>
        <w:t>Federal Program Change</w:t>
      </w:r>
      <w:r w:rsidR="00D40785">
        <w:rPr>
          <w:rStyle w:val="normaltextrun"/>
          <w:rFonts w:asciiTheme="minorHAnsi" w:hAnsiTheme="minorHAnsi" w:cstheme="minorHAnsi"/>
        </w:rPr>
        <w:t>s</w:t>
      </w:r>
      <w:r w:rsidRPr="00412FCC">
        <w:rPr>
          <w:rStyle w:val="normaltextrun"/>
          <w:rFonts w:asciiTheme="minorHAnsi" w:hAnsiTheme="minorHAnsi" w:cstheme="minorHAnsi"/>
        </w:rPr>
        <w:t xml:space="preserve"> (FPC) Adoption</w:t>
      </w:r>
      <w:r w:rsidRPr="00412FCC">
        <w:rPr>
          <w:rStyle w:val="eop"/>
          <w:rFonts w:asciiTheme="minorHAnsi" w:hAnsiTheme="minorHAnsi" w:cstheme="minorHAnsi"/>
        </w:rPr>
        <w:t> </w:t>
      </w:r>
    </w:p>
    <w:p w14:paraId="2F234E5F" w14:textId="20A1552F" w:rsidR="00672699" w:rsidRPr="005E01F4" w:rsidRDefault="00672699" w:rsidP="002C195E">
      <w:pPr>
        <w:pStyle w:val="paragraph"/>
        <w:spacing w:before="0" w:beforeAutospacing="0" w:after="0" w:afterAutospacing="0"/>
        <w:ind w:left="720"/>
        <w:textAlignment w:val="baseline"/>
        <w:rPr>
          <w:rFonts w:asciiTheme="minorHAnsi" w:hAnsiTheme="minorHAnsi" w:cstheme="minorHAnsi"/>
        </w:rPr>
      </w:pPr>
    </w:p>
    <w:p w14:paraId="36777235" w14:textId="27E26984" w:rsidR="005B6C8B" w:rsidRDefault="005B6C8B" w:rsidP="00F82A29">
      <w:pPr>
        <w:widowControl/>
        <w:autoSpaceDE/>
        <w:autoSpaceDN/>
        <w:adjustRightInd/>
        <w:textAlignment w:val="baseline"/>
        <w:rPr>
          <w:rFonts w:asciiTheme="minorHAnsi" w:hAnsiTheme="minorHAnsi" w:cstheme="minorHAnsi"/>
        </w:rPr>
      </w:pPr>
      <w:r w:rsidRPr="000930B1">
        <w:rPr>
          <w:rFonts w:asciiTheme="minorHAnsi" w:hAnsiTheme="minorHAnsi" w:cstheme="minorHAnsi"/>
        </w:rPr>
        <w:t xml:space="preserve">During FY 2024 and FY 2025, OSHA issued one </w:t>
      </w:r>
      <w:r w:rsidR="00B00735">
        <w:rPr>
          <w:rFonts w:asciiTheme="minorHAnsi" w:hAnsiTheme="minorHAnsi" w:cstheme="minorHAnsi"/>
        </w:rPr>
        <w:t>FPC</w:t>
      </w:r>
      <w:r w:rsidRPr="000930B1">
        <w:rPr>
          <w:rFonts w:asciiTheme="minorHAnsi" w:hAnsiTheme="minorHAnsi" w:cstheme="minorHAnsi"/>
        </w:rPr>
        <w:t xml:space="preserve"> where adoption was required</w:t>
      </w:r>
      <w:r>
        <w:rPr>
          <w:rFonts w:asciiTheme="minorHAnsi" w:hAnsiTheme="minorHAnsi" w:cstheme="minorHAnsi"/>
        </w:rPr>
        <w:t xml:space="preserve">.  ADOSH </w:t>
      </w:r>
      <w:r w:rsidR="00AB29B4">
        <w:rPr>
          <w:rFonts w:asciiTheme="minorHAnsi" w:hAnsiTheme="minorHAnsi" w:cstheme="minorHAnsi"/>
        </w:rPr>
        <w:t>adopted this directive within the required six-month timeframe.</w:t>
      </w:r>
      <w:r>
        <w:rPr>
          <w:rFonts w:asciiTheme="minorHAnsi" w:hAnsiTheme="minorHAnsi" w:cstheme="minorHAnsi"/>
        </w:rPr>
        <w:t xml:space="preserve"> </w:t>
      </w:r>
      <w:r w:rsidR="00213386">
        <w:rPr>
          <w:rFonts w:asciiTheme="minorHAnsi" w:hAnsiTheme="minorHAnsi" w:cstheme="minorHAnsi"/>
        </w:rPr>
        <w:t xml:space="preserve"> </w:t>
      </w:r>
      <w:r w:rsidR="00F21EFD">
        <w:rPr>
          <w:rFonts w:asciiTheme="minorHAnsi" w:hAnsiTheme="minorHAnsi" w:cstheme="minorHAnsi"/>
        </w:rPr>
        <w:t xml:space="preserve">In addition, </w:t>
      </w:r>
      <w:r w:rsidR="001606E2">
        <w:rPr>
          <w:rFonts w:asciiTheme="minorHAnsi" w:hAnsiTheme="minorHAnsi" w:cstheme="minorHAnsi"/>
        </w:rPr>
        <w:t xml:space="preserve">the Revised </w:t>
      </w:r>
      <w:r w:rsidR="00F21EFD">
        <w:rPr>
          <w:rFonts w:asciiTheme="minorHAnsi" w:hAnsiTheme="minorHAnsi" w:cstheme="minorHAnsi"/>
        </w:rPr>
        <w:t xml:space="preserve">Combustible Dust National Emphasis Program (NEP) directive was issued in </w:t>
      </w:r>
      <w:r w:rsidR="0064723E">
        <w:rPr>
          <w:rFonts w:asciiTheme="minorHAnsi" w:hAnsiTheme="minorHAnsi" w:cstheme="minorHAnsi"/>
        </w:rPr>
        <w:t>January</w:t>
      </w:r>
      <w:r w:rsidR="00F21EFD">
        <w:rPr>
          <w:rFonts w:asciiTheme="minorHAnsi" w:hAnsiTheme="minorHAnsi" w:cstheme="minorHAnsi"/>
        </w:rPr>
        <w:t xml:space="preserve"> 2023 and was pending adoption at the </w:t>
      </w:r>
      <w:r w:rsidR="0064723E">
        <w:rPr>
          <w:rFonts w:asciiTheme="minorHAnsi" w:hAnsiTheme="minorHAnsi" w:cstheme="minorHAnsi"/>
        </w:rPr>
        <w:t xml:space="preserve">end of the review period </w:t>
      </w:r>
      <w:r w:rsidR="00A11B7D">
        <w:rPr>
          <w:rFonts w:asciiTheme="minorHAnsi" w:hAnsiTheme="minorHAnsi" w:cstheme="minorHAnsi"/>
        </w:rPr>
        <w:t xml:space="preserve">and </w:t>
      </w:r>
      <w:r w:rsidR="0064723E">
        <w:rPr>
          <w:rFonts w:asciiTheme="minorHAnsi" w:hAnsiTheme="minorHAnsi" w:cstheme="minorHAnsi"/>
        </w:rPr>
        <w:t>covered in the FY 2023 FAME</w:t>
      </w:r>
      <w:r w:rsidR="00F82A29">
        <w:rPr>
          <w:rFonts w:asciiTheme="minorHAnsi" w:hAnsiTheme="minorHAnsi" w:cstheme="minorHAnsi"/>
        </w:rPr>
        <w:t>.  ADOSH</w:t>
      </w:r>
      <w:r w:rsidR="00F21EFD">
        <w:rPr>
          <w:rFonts w:asciiTheme="minorHAnsi" w:hAnsiTheme="minorHAnsi" w:cstheme="minorHAnsi"/>
        </w:rPr>
        <w:t xml:space="preserve"> </w:t>
      </w:r>
      <w:r w:rsidR="0007139F">
        <w:rPr>
          <w:rFonts w:asciiTheme="minorHAnsi" w:hAnsiTheme="minorHAnsi" w:cstheme="minorHAnsi"/>
        </w:rPr>
        <w:t xml:space="preserve">notified OSHA of its intent to adopt this directive non-identically.  However, </w:t>
      </w:r>
      <w:r w:rsidR="001906DD">
        <w:rPr>
          <w:rFonts w:asciiTheme="minorHAnsi" w:hAnsiTheme="minorHAnsi" w:cstheme="minorHAnsi"/>
        </w:rPr>
        <w:t>o</w:t>
      </w:r>
      <w:r w:rsidR="0007139F">
        <w:rPr>
          <w:rFonts w:asciiTheme="minorHAnsi" w:hAnsiTheme="minorHAnsi" w:cstheme="minorHAnsi"/>
        </w:rPr>
        <w:t xml:space="preserve">n </w:t>
      </w:r>
      <w:r w:rsidR="00961C52">
        <w:rPr>
          <w:rFonts w:asciiTheme="minorHAnsi" w:hAnsiTheme="minorHAnsi" w:cstheme="minorHAnsi"/>
        </w:rPr>
        <w:t>September</w:t>
      </w:r>
      <w:r w:rsidR="001906DD">
        <w:rPr>
          <w:rFonts w:asciiTheme="minorHAnsi" w:hAnsiTheme="minorHAnsi" w:cstheme="minorHAnsi"/>
        </w:rPr>
        <w:t xml:space="preserve"> 6,</w:t>
      </w:r>
      <w:r w:rsidR="0007139F">
        <w:rPr>
          <w:rFonts w:asciiTheme="minorHAnsi" w:hAnsiTheme="minorHAnsi" w:cstheme="minorHAnsi"/>
        </w:rPr>
        <w:t xml:space="preserve"> 2024</w:t>
      </w:r>
      <w:r w:rsidR="001906DD">
        <w:rPr>
          <w:rFonts w:asciiTheme="minorHAnsi" w:hAnsiTheme="minorHAnsi" w:cstheme="minorHAnsi"/>
        </w:rPr>
        <w:t xml:space="preserve">, </w:t>
      </w:r>
      <w:r w:rsidR="0007139F">
        <w:rPr>
          <w:rFonts w:asciiTheme="minorHAnsi" w:hAnsiTheme="minorHAnsi" w:cstheme="minorHAnsi"/>
        </w:rPr>
        <w:t xml:space="preserve">ADOSH </w:t>
      </w:r>
      <w:r w:rsidR="007A3E3F">
        <w:rPr>
          <w:rFonts w:asciiTheme="minorHAnsi" w:hAnsiTheme="minorHAnsi" w:cstheme="minorHAnsi"/>
        </w:rPr>
        <w:t xml:space="preserve">took a different approach and </w:t>
      </w:r>
      <w:r w:rsidR="00F21EFD">
        <w:rPr>
          <w:rFonts w:asciiTheme="minorHAnsi" w:hAnsiTheme="minorHAnsi" w:cstheme="minorHAnsi"/>
        </w:rPr>
        <w:t>adopt</w:t>
      </w:r>
      <w:r w:rsidR="00776224">
        <w:rPr>
          <w:rFonts w:asciiTheme="minorHAnsi" w:hAnsiTheme="minorHAnsi" w:cstheme="minorHAnsi"/>
        </w:rPr>
        <w:t>ed</w:t>
      </w:r>
      <w:r w:rsidR="00F82A29">
        <w:rPr>
          <w:rFonts w:asciiTheme="minorHAnsi" w:hAnsiTheme="minorHAnsi" w:cstheme="minorHAnsi"/>
        </w:rPr>
        <w:t xml:space="preserve"> this directive</w:t>
      </w:r>
      <w:r w:rsidR="007A3E3F">
        <w:rPr>
          <w:rFonts w:asciiTheme="minorHAnsi" w:hAnsiTheme="minorHAnsi" w:cstheme="minorHAnsi"/>
        </w:rPr>
        <w:t xml:space="preserve"> identically.  </w:t>
      </w:r>
    </w:p>
    <w:p w14:paraId="2502A3FE" w14:textId="77777777" w:rsidR="00537916" w:rsidRDefault="00537916" w:rsidP="00F82A29">
      <w:pPr>
        <w:widowControl/>
        <w:autoSpaceDE/>
        <w:autoSpaceDN/>
        <w:adjustRightInd/>
        <w:textAlignment w:val="baseline"/>
        <w:rPr>
          <w:rFonts w:asciiTheme="minorHAnsi" w:hAnsiTheme="minorHAnsi" w:cstheme="minorHAnsi"/>
        </w:rPr>
      </w:pPr>
    </w:p>
    <w:p w14:paraId="414BD43C" w14:textId="43483D3B" w:rsidR="00056AA3" w:rsidRP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Table </w:t>
      </w:r>
      <w:r w:rsidR="00A70168">
        <w:rPr>
          <w:rFonts w:asciiTheme="minorHAnsi" w:hAnsiTheme="minorHAnsi" w:cstheme="minorHAnsi"/>
          <w:b/>
          <w:bCs/>
        </w:rPr>
        <w:t>D</w:t>
      </w:r>
    </w:p>
    <w:p w14:paraId="1519DA11" w14:textId="54C9B2FF" w:rsidR="00056AA3" w:rsidRP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Status of </w:t>
      </w:r>
      <w:r w:rsidR="00513C9F">
        <w:rPr>
          <w:rFonts w:asciiTheme="minorHAnsi" w:hAnsiTheme="minorHAnsi" w:cstheme="minorHAnsi"/>
          <w:b/>
          <w:bCs/>
        </w:rPr>
        <w:t>FY 202</w:t>
      </w:r>
      <w:r w:rsidR="00193BA3">
        <w:rPr>
          <w:rFonts w:asciiTheme="minorHAnsi" w:hAnsiTheme="minorHAnsi" w:cstheme="minorHAnsi"/>
          <w:b/>
          <w:bCs/>
        </w:rPr>
        <w:t>4</w:t>
      </w:r>
      <w:r w:rsidR="00513C9F">
        <w:rPr>
          <w:rFonts w:asciiTheme="minorHAnsi" w:hAnsiTheme="minorHAnsi" w:cstheme="minorHAnsi"/>
          <w:b/>
          <w:bCs/>
        </w:rPr>
        <w:t xml:space="preserve"> and </w:t>
      </w:r>
      <w:r w:rsidRPr="00056AA3">
        <w:rPr>
          <w:rFonts w:asciiTheme="minorHAnsi" w:hAnsiTheme="minorHAnsi" w:cstheme="minorHAnsi"/>
          <w:b/>
          <w:bCs/>
        </w:rPr>
        <w:t>FY 202</w:t>
      </w:r>
      <w:r w:rsidR="00193BA3">
        <w:rPr>
          <w:rFonts w:asciiTheme="minorHAnsi" w:hAnsiTheme="minorHAnsi" w:cstheme="minorHAnsi"/>
          <w:b/>
          <w:bCs/>
        </w:rPr>
        <w:t>5</w:t>
      </w:r>
      <w:r w:rsidRPr="00056AA3">
        <w:rPr>
          <w:rFonts w:asciiTheme="minorHAnsi" w:hAnsiTheme="minorHAnsi" w:cstheme="minorHAnsi"/>
          <w:b/>
          <w:bCs/>
        </w:rPr>
        <w:t xml:space="preserve"> Federal Program Change (FPC</w:t>
      </w:r>
      <w:r w:rsidR="000A6BA3">
        <w:rPr>
          <w:rFonts w:asciiTheme="minorHAnsi" w:hAnsiTheme="minorHAnsi" w:cstheme="minorHAnsi"/>
          <w:b/>
          <w:bCs/>
        </w:rPr>
        <w:t>s</w:t>
      </w:r>
      <w:r w:rsidRPr="00056AA3">
        <w:rPr>
          <w:rFonts w:asciiTheme="minorHAnsi" w:hAnsiTheme="minorHAnsi" w:cstheme="minorHAnsi"/>
          <w:b/>
          <w:bCs/>
        </w:rPr>
        <w:t xml:space="preserve">) Where Adoption </w:t>
      </w:r>
      <w:r w:rsidR="00513C9F">
        <w:rPr>
          <w:rFonts w:asciiTheme="minorHAnsi" w:hAnsiTheme="minorHAnsi" w:cstheme="minorHAnsi"/>
          <w:b/>
          <w:bCs/>
        </w:rPr>
        <w:t xml:space="preserve">Was </w:t>
      </w:r>
      <w:r w:rsidRPr="00056AA3">
        <w:rPr>
          <w:rFonts w:asciiTheme="minorHAnsi" w:hAnsiTheme="minorHAnsi" w:cstheme="minorHAnsi"/>
          <w:b/>
          <w:bCs/>
        </w:rPr>
        <w:t>Required</w:t>
      </w:r>
      <w:r w:rsidRPr="00056AA3">
        <w:rPr>
          <w:rFonts w:asciiTheme="minorHAnsi" w:hAnsiTheme="minorHAnsi" w:cstheme="minorHAnsi"/>
        </w:rPr>
        <w:t> </w:t>
      </w:r>
    </w:p>
    <w:p w14:paraId="1BCF709B" w14:textId="77777777" w:rsid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19AA3AC6" w14:textId="77777777" w:rsidR="002F3168" w:rsidRPr="00056AA3" w:rsidRDefault="002F3168" w:rsidP="00056AA3">
      <w:pPr>
        <w:widowControl/>
        <w:autoSpaceDE/>
        <w:autoSpaceDN/>
        <w:adjustRightInd/>
        <w:textAlignment w:val="baseline"/>
        <w:rPr>
          <w:rFonts w:asciiTheme="minorHAnsi" w:hAnsiTheme="minorHAnsi" w:cstheme="minorHAnsi"/>
        </w:rPr>
      </w:pPr>
    </w:p>
    <w:tbl>
      <w:tblPr>
        <w:tblStyle w:val="TableGridLight"/>
        <w:tblW w:w="9622" w:type="dxa"/>
        <w:tblLayout w:type="fixed"/>
        <w:tblLook w:val="04A0" w:firstRow="1" w:lastRow="0" w:firstColumn="1" w:lastColumn="0" w:noHBand="0" w:noVBand="1"/>
      </w:tblPr>
      <w:tblGrid>
        <w:gridCol w:w="2602"/>
        <w:gridCol w:w="1173"/>
        <w:gridCol w:w="1170"/>
        <w:gridCol w:w="900"/>
        <w:gridCol w:w="1077"/>
        <w:gridCol w:w="1353"/>
        <w:gridCol w:w="1347"/>
      </w:tblGrid>
      <w:tr w:rsidR="00C737A4" w:rsidRPr="00961323" w14:paraId="53021C21" w14:textId="77777777" w:rsidTr="00F84E05">
        <w:trPr>
          <w:cantSplit/>
          <w:trHeight w:val="300"/>
        </w:trPr>
        <w:tc>
          <w:tcPr>
            <w:tcW w:w="2602" w:type="dxa"/>
            <w:hideMark/>
          </w:tcPr>
          <w:p w14:paraId="6D7BB2B0" w14:textId="77777777" w:rsidR="00A04386" w:rsidRPr="00961323" w:rsidRDefault="00056AA3" w:rsidP="00056AA3">
            <w:pPr>
              <w:widowControl/>
              <w:autoSpaceDE/>
              <w:autoSpaceDN/>
              <w:adjustRightInd/>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FPC </w:t>
            </w:r>
          </w:p>
          <w:p w14:paraId="001FA728" w14:textId="1D269DAD"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Directive/Subject</w:t>
            </w:r>
            <w:r w:rsidRPr="00961323">
              <w:rPr>
                <w:rFonts w:asciiTheme="minorHAnsi" w:hAnsiTheme="minorHAnsi" w:cstheme="minorHAnsi"/>
                <w:sz w:val="22"/>
                <w:szCs w:val="22"/>
              </w:rPr>
              <w:t> </w:t>
            </w:r>
          </w:p>
        </w:tc>
        <w:tc>
          <w:tcPr>
            <w:tcW w:w="1173" w:type="dxa"/>
            <w:hideMark/>
          </w:tcPr>
          <w:p w14:paraId="595C4986"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170" w:type="dxa"/>
            <w:hideMark/>
          </w:tcPr>
          <w:p w14:paraId="447D8906"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900" w:type="dxa"/>
            <w:hideMark/>
          </w:tcPr>
          <w:p w14:paraId="4213F123" w14:textId="77777777" w:rsidR="00C737A4" w:rsidRPr="00961323" w:rsidRDefault="00056AA3" w:rsidP="00056AA3">
            <w:pPr>
              <w:widowControl/>
              <w:autoSpaceDE/>
              <w:autoSpaceDN/>
              <w:adjustRightInd/>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Intent </w:t>
            </w:r>
          </w:p>
          <w:p w14:paraId="1EFE9043" w14:textId="27534F3F"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to Adopt</w:t>
            </w:r>
            <w:r w:rsidRPr="00961323">
              <w:rPr>
                <w:rFonts w:asciiTheme="minorHAnsi" w:hAnsiTheme="minorHAnsi" w:cstheme="minorHAnsi"/>
                <w:sz w:val="22"/>
                <w:szCs w:val="22"/>
              </w:rPr>
              <w:t> </w:t>
            </w:r>
          </w:p>
        </w:tc>
        <w:tc>
          <w:tcPr>
            <w:tcW w:w="1077" w:type="dxa"/>
            <w:hideMark/>
          </w:tcPr>
          <w:p w14:paraId="26F10F17"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353" w:type="dxa"/>
            <w:hideMark/>
          </w:tcPr>
          <w:p w14:paraId="08DCBA67"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Adoption Due Date</w:t>
            </w:r>
            <w:r w:rsidRPr="00961323">
              <w:rPr>
                <w:rFonts w:asciiTheme="minorHAnsi" w:hAnsiTheme="minorHAnsi" w:cstheme="minorHAnsi"/>
                <w:sz w:val="22"/>
                <w:szCs w:val="22"/>
              </w:rPr>
              <w:t> </w:t>
            </w:r>
          </w:p>
        </w:tc>
        <w:tc>
          <w:tcPr>
            <w:tcW w:w="1347" w:type="dxa"/>
            <w:hideMark/>
          </w:tcPr>
          <w:p w14:paraId="16E7BB1E"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C737A4" w:rsidRPr="00961323" w14:paraId="4F370439" w14:textId="77777777" w:rsidTr="00F84E05">
        <w:trPr>
          <w:cantSplit/>
          <w:trHeight w:val="300"/>
        </w:trPr>
        <w:tc>
          <w:tcPr>
            <w:tcW w:w="2602" w:type="dxa"/>
            <w:hideMark/>
          </w:tcPr>
          <w:p w14:paraId="32102874" w14:textId="77777777" w:rsidR="00386581" w:rsidRPr="00961323" w:rsidRDefault="00386581" w:rsidP="00386581">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CPL 03-00-008</w:t>
            </w:r>
          </w:p>
          <w:p w14:paraId="1523AB1B" w14:textId="4BA99D36" w:rsidR="00056AA3" w:rsidRPr="00961323" w:rsidRDefault="001606E2" w:rsidP="00056AA3">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 xml:space="preserve">Revised </w:t>
            </w:r>
            <w:r w:rsidR="00056AA3" w:rsidRPr="00961323">
              <w:rPr>
                <w:rFonts w:asciiTheme="minorHAnsi" w:hAnsiTheme="minorHAnsi" w:cstheme="minorHAnsi"/>
                <w:sz w:val="22"/>
                <w:szCs w:val="22"/>
              </w:rPr>
              <w:t xml:space="preserve">Combustible Dust </w:t>
            </w:r>
            <w:r>
              <w:rPr>
                <w:rFonts w:asciiTheme="minorHAnsi" w:hAnsiTheme="minorHAnsi" w:cstheme="minorHAnsi"/>
                <w:sz w:val="22"/>
                <w:szCs w:val="22"/>
              </w:rPr>
              <w:t>National Emphasis Program (NEP)</w:t>
            </w:r>
          </w:p>
          <w:p w14:paraId="6ED5F30D"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(1/30/2023)</w:t>
            </w:r>
          </w:p>
        </w:tc>
        <w:tc>
          <w:tcPr>
            <w:tcW w:w="1173" w:type="dxa"/>
            <w:hideMark/>
          </w:tcPr>
          <w:p w14:paraId="20DA3A60" w14:textId="71B7DA1A" w:rsidR="00056AA3" w:rsidRPr="00961323" w:rsidRDefault="00D47E51"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3/31/2023</w:t>
            </w:r>
          </w:p>
        </w:tc>
        <w:tc>
          <w:tcPr>
            <w:tcW w:w="1170" w:type="dxa"/>
            <w:hideMark/>
          </w:tcPr>
          <w:p w14:paraId="6EFE4A11" w14:textId="49A16F97" w:rsidR="00056AA3" w:rsidRPr="00961323" w:rsidRDefault="00DC594F"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4/3/2023</w:t>
            </w:r>
          </w:p>
        </w:tc>
        <w:tc>
          <w:tcPr>
            <w:tcW w:w="900" w:type="dxa"/>
            <w:hideMark/>
          </w:tcPr>
          <w:p w14:paraId="2C6C5C2C" w14:textId="3DAB821D" w:rsidR="00056AA3" w:rsidRPr="00961323" w:rsidRDefault="00DC594F"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077" w:type="dxa"/>
            <w:hideMark/>
          </w:tcPr>
          <w:p w14:paraId="5418D056" w14:textId="536DD75C" w:rsidR="00056AA3" w:rsidRPr="00961323" w:rsidRDefault="003954DF" w:rsidP="00056AA3">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353" w:type="dxa"/>
            <w:hideMark/>
          </w:tcPr>
          <w:p w14:paraId="56FD509A" w14:textId="3C964059" w:rsidR="00056AA3" w:rsidRPr="00961323" w:rsidRDefault="00D47E51"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7/30/2023</w:t>
            </w:r>
          </w:p>
        </w:tc>
        <w:tc>
          <w:tcPr>
            <w:tcW w:w="1347" w:type="dxa"/>
            <w:hideMark/>
          </w:tcPr>
          <w:p w14:paraId="259DDBFC" w14:textId="2741B6E1" w:rsidR="00056AA3" w:rsidRPr="00961323" w:rsidRDefault="0011187F" w:rsidP="00056AA3">
            <w:pPr>
              <w:widowControl/>
              <w:autoSpaceDE/>
              <w:autoSpaceDN/>
              <w:adjustRightInd/>
              <w:textAlignment w:val="baseline"/>
              <w:rPr>
                <w:rFonts w:asciiTheme="minorHAnsi" w:hAnsiTheme="minorHAnsi" w:cstheme="minorHAnsi"/>
                <w:sz w:val="22"/>
                <w:szCs w:val="22"/>
              </w:rPr>
            </w:pPr>
            <w:r w:rsidRPr="001906DD">
              <w:rPr>
                <w:rFonts w:asciiTheme="minorHAnsi" w:hAnsiTheme="minorHAnsi" w:cstheme="minorHAnsi"/>
                <w:sz w:val="22"/>
                <w:szCs w:val="22"/>
              </w:rPr>
              <w:t>5</w:t>
            </w:r>
            <w:r w:rsidR="00DC594F" w:rsidRPr="001906DD">
              <w:rPr>
                <w:rFonts w:asciiTheme="minorHAnsi" w:hAnsiTheme="minorHAnsi" w:cstheme="minorHAnsi"/>
                <w:sz w:val="22"/>
                <w:szCs w:val="22"/>
              </w:rPr>
              <w:t>/31/2023</w:t>
            </w:r>
          </w:p>
          <w:p w14:paraId="4F0A0A39" w14:textId="4FDA04EB" w:rsidR="00DC594F" w:rsidRPr="00961323" w:rsidRDefault="00DC594F" w:rsidP="002024D4">
            <w:pPr>
              <w:widowControl/>
              <w:autoSpaceDE/>
              <w:autoSpaceDN/>
              <w:adjustRightInd/>
              <w:textAlignment w:val="baseline"/>
              <w:rPr>
                <w:rFonts w:asciiTheme="minorHAnsi" w:hAnsiTheme="minorHAnsi" w:cstheme="minorHAnsi"/>
                <w:sz w:val="22"/>
                <w:szCs w:val="22"/>
              </w:rPr>
            </w:pPr>
          </w:p>
        </w:tc>
      </w:tr>
      <w:tr w:rsidR="00386581" w:rsidRPr="00961323" w14:paraId="7891FDF8" w14:textId="77777777" w:rsidTr="00F84E05">
        <w:trPr>
          <w:cantSplit/>
          <w:trHeight w:val="300"/>
        </w:trPr>
        <w:tc>
          <w:tcPr>
            <w:tcW w:w="2602" w:type="dxa"/>
          </w:tcPr>
          <w:p w14:paraId="036AC39C" w14:textId="77777777"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hAnsiTheme="minorHAnsi" w:cstheme="minorHAnsi"/>
                <w:sz w:val="22"/>
                <w:szCs w:val="22"/>
              </w:rPr>
              <w:t>CPL 03-00-027</w:t>
            </w:r>
          </w:p>
          <w:p w14:paraId="31DEE6BA" w14:textId="77777777"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hAnsiTheme="minorHAnsi" w:cstheme="minorHAnsi"/>
                <w:sz w:val="22"/>
                <w:szCs w:val="22"/>
              </w:rPr>
              <w:t>National Emphasis Program on Amputations in Manufacturing Industries</w:t>
            </w:r>
          </w:p>
          <w:p w14:paraId="5E04AD54" w14:textId="4F464A1B"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hAnsiTheme="minorHAnsi" w:cstheme="minorHAnsi"/>
                <w:sz w:val="22"/>
                <w:szCs w:val="22"/>
              </w:rPr>
              <w:t>(5/29/2025)</w:t>
            </w:r>
          </w:p>
        </w:tc>
        <w:tc>
          <w:tcPr>
            <w:tcW w:w="1173" w:type="dxa"/>
          </w:tcPr>
          <w:p w14:paraId="747A5F3B" w14:textId="5695D429"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hAnsiTheme="minorHAnsi" w:cstheme="minorHAnsi"/>
                <w:sz w:val="22"/>
                <w:szCs w:val="22"/>
              </w:rPr>
              <w:t>8/29/2025</w:t>
            </w:r>
          </w:p>
        </w:tc>
        <w:tc>
          <w:tcPr>
            <w:tcW w:w="1170" w:type="dxa"/>
          </w:tcPr>
          <w:p w14:paraId="15A453F8" w14:textId="51FC456B"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eastAsia="Calibri" w:hAnsiTheme="minorHAnsi" w:cstheme="minorHAnsi"/>
                <w:sz w:val="22"/>
                <w:szCs w:val="22"/>
              </w:rPr>
              <w:t>8/2</w:t>
            </w:r>
            <w:r w:rsidR="00610E66">
              <w:rPr>
                <w:rFonts w:asciiTheme="minorHAnsi" w:eastAsia="Calibri" w:hAnsiTheme="minorHAnsi" w:cstheme="minorHAnsi"/>
                <w:sz w:val="22"/>
                <w:szCs w:val="22"/>
              </w:rPr>
              <w:t>0</w:t>
            </w:r>
            <w:r w:rsidRPr="00386581">
              <w:rPr>
                <w:rFonts w:asciiTheme="minorHAnsi" w:eastAsia="Calibri" w:hAnsiTheme="minorHAnsi" w:cstheme="minorHAnsi"/>
                <w:sz w:val="22"/>
                <w:szCs w:val="22"/>
              </w:rPr>
              <w:t>/2025</w:t>
            </w:r>
          </w:p>
        </w:tc>
        <w:tc>
          <w:tcPr>
            <w:tcW w:w="900" w:type="dxa"/>
          </w:tcPr>
          <w:p w14:paraId="5C361C8C" w14:textId="089CEFF4"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hAnsiTheme="minorHAnsi" w:cstheme="minorHAnsi"/>
                <w:sz w:val="22"/>
                <w:szCs w:val="22"/>
              </w:rPr>
              <w:t>Yes</w:t>
            </w:r>
          </w:p>
        </w:tc>
        <w:tc>
          <w:tcPr>
            <w:tcW w:w="1077" w:type="dxa"/>
          </w:tcPr>
          <w:p w14:paraId="22F1FD54" w14:textId="07AE23B5"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eastAsia="Calibri" w:hAnsiTheme="minorHAnsi" w:cstheme="minorHAnsi"/>
                <w:sz w:val="22"/>
                <w:szCs w:val="22"/>
              </w:rPr>
              <w:t>Yes</w:t>
            </w:r>
          </w:p>
        </w:tc>
        <w:tc>
          <w:tcPr>
            <w:tcW w:w="1353" w:type="dxa"/>
          </w:tcPr>
          <w:p w14:paraId="38904A85" w14:textId="3E9C95D8" w:rsidR="00386581" w:rsidRPr="00386581" w:rsidRDefault="00386581" w:rsidP="00386581">
            <w:pPr>
              <w:widowControl/>
              <w:autoSpaceDE/>
              <w:autoSpaceDN/>
              <w:adjustRightInd/>
              <w:textAlignment w:val="baseline"/>
              <w:rPr>
                <w:rFonts w:asciiTheme="minorHAnsi" w:hAnsiTheme="minorHAnsi" w:cstheme="minorHAnsi"/>
                <w:sz w:val="22"/>
                <w:szCs w:val="22"/>
              </w:rPr>
            </w:pPr>
            <w:r w:rsidRPr="00386581">
              <w:rPr>
                <w:rFonts w:asciiTheme="minorHAnsi" w:hAnsiTheme="minorHAnsi" w:cstheme="minorHAnsi"/>
                <w:sz w:val="22"/>
                <w:szCs w:val="22"/>
              </w:rPr>
              <w:t>12/31/2025</w:t>
            </w:r>
          </w:p>
        </w:tc>
        <w:tc>
          <w:tcPr>
            <w:tcW w:w="1347" w:type="dxa"/>
          </w:tcPr>
          <w:p w14:paraId="1287A357" w14:textId="44A3C63B" w:rsidR="00386581" w:rsidRPr="00386581" w:rsidRDefault="00AB29B4" w:rsidP="00386581">
            <w:pPr>
              <w:widowControl/>
              <w:autoSpaceDE/>
              <w:autoSpaceDN/>
              <w:adjustRightInd/>
              <w:textAlignment w:val="baseline"/>
              <w:rPr>
                <w:rFonts w:asciiTheme="minorHAnsi" w:hAnsiTheme="minorHAnsi" w:cstheme="minorHAnsi"/>
                <w:sz w:val="22"/>
                <w:szCs w:val="22"/>
                <w:highlight w:val="yellow"/>
              </w:rPr>
            </w:pPr>
            <w:r>
              <w:rPr>
                <w:rFonts w:asciiTheme="minorHAnsi" w:eastAsia="Calibri" w:hAnsiTheme="minorHAnsi" w:cstheme="minorHAnsi"/>
                <w:sz w:val="22"/>
                <w:szCs w:val="22"/>
              </w:rPr>
              <w:t>12/19/2025</w:t>
            </w:r>
          </w:p>
        </w:tc>
      </w:tr>
    </w:tbl>
    <w:p w14:paraId="23E41249" w14:textId="77777777" w:rsidR="001F0C95" w:rsidRDefault="001F0C95" w:rsidP="00420F7C">
      <w:pPr>
        <w:widowControl/>
        <w:autoSpaceDE/>
        <w:autoSpaceDN/>
        <w:adjustRightInd/>
        <w:textAlignment w:val="baseline"/>
        <w:rPr>
          <w:rFonts w:asciiTheme="minorHAnsi" w:hAnsiTheme="minorHAnsi" w:cstheme="minorHAnsi"/>
        </w:rPr>
      </w:pPr>
    </w:p>
    <w:p w14:paraId="1E883FB2" w14:textId="0F49247D" w:rsidR="001F0C95" w:rsidRDefault="001F0C95" w:rsidP="001F0C95">
      <w:pPr>
        <w:tabs>
          <w:tab w:val="left" w:pos="2880"/>
        </w:tabs>
        <w:rPr>
          <w:rFonts w:asciiTheme="minorHAnsi" w:hAnsiTheme="minorHAnsi" w:cstheme="minorHAnsi"/>
        </w:rPr>
      </w:pPr>
      <w:r w:rsidRPr="005358CA">
        <w:rPr>
          <w:rFonts w:asciiTheme="minorHAnsi" w:hAnsiTheme="minorHAnsi" w:cstheme="minorHAnsi"/>
        </w:rPr>
        <w:t>Four FPCs were iss</w:t>
      </w:r>
      <w:r w:rsidRPr="00DE325B">
        <w:rPr>
          <w:rFonts w:asciiTheme="minorHAnsi" w:hAnsiTheme="minorHAnsi" w:cstheme="minorHAnsi"/>
        </w:rPr>
        <w:t xml:space="preserve">ued between FY 2024 and FY 2025 where equivalency was required.  </w:t>
      </w:r>
      <w:r w:rsidR="00CB174C" w:rsidRPr="00DE325B">
        <w:rPr>
          <w:rFonts w:asciiTheme="minorHAnsi" w:hAnsiTheme="minorHAnsi" w:cstheme="minorHAnsi"/>
        </w:rPr>
        <w:t xml:space="preserve">ADOSH notified OSHA </w:t>
      </w:r>
      <w:r w:rsidR="00392ACB" w:rsidRPr="00DE325B">
        <w:rPr>
          <w:rFonts w:asciiTheme="minorHAnsi" w:hAnsiTheme="minorHAnsi" w:cstheme="minorHAnsi"/>
        </w:rPr>
        <w:t xml:space="preserve">timely of intent to adopt in two (50%) of these.  </w:t>
      </w:r>
      <w:r w:rsidR="00AB29B4">
        <w:rPr>
          <w:rFonts w:asciiTheme="minorHAnsi" w:hAnsiTheme="minorHAnsi" w:cstheme="minorHAnsi"/>
        </w:rPr>
        <w:t>All four directives were</w:t>
      </w:r>
      <w:r w:rsidR="007D69AB" w:rsidRPr="00DE325B">
        <w:rPr>
          <w:rFonts w:asciiTheme="minorHAnsi" w:hAnsiTheme="minorHAnsi" w:cstheme="minorHAnsi"/>
        </w:rPr>
        <w:t xml:space="preserve"> adopted </w:t>
      </w:r>
      <w:r w:rsidR="00062BD8" w:rsidRPr="00DE325B">
        <w:rPr>
          <w:rFonts w:asciiTheme="minorHAnsi" w:hAnsiTheme="minorHAnsi" w:cstheme="minorHAnsi"/>
        </w:rPr>
        <w:lastRenderedPageBreak/>
        <w:t>within the required six-month timeframe</w:t>
      </w:r>
      <w:r w:rsidR="00DE325B" w:rsidRPr="00CC27B9">
        <w:rPr>
          <w:rFonts w:asciiTheme="minorHAnsi" w:hAnsiTheme="minorHAnsi" w:cstheme="minorHAnsi"/>
        </w:rPr>
        <w:t xml:space="preserve">.  </w:t>
      </w:r>
      <w:r w:rsidR="00867532">
        <w:rPr>
          <w:rFonts w:asciiTheme="minorHAnsi" w:hAnsiTheme="minorHAnsi" w:cstheme="minorHAnsi"/>
        </w:rPr>
        <w:t>Additionally, t</w:t>
      </w:r>
      <w:r w:rsidRPr="00CC27B9">
        <w:rPr>
          <w:rFonts w:asciiTheme="minorHAnsi" w:hAnsiTheme="minorHAnsi" w:cstheme="minorHAnsi"/>
        </w:rPr>
        <w:t xml:space="preserve">here were three FPCs that remained open after the </w:t>
      </w:r>
      <w:r w:rsidR="00DE325B" w:rsidRPr="00CC27B9">
        <w:rPr>
          <w:rFonts w:asciiTheme="minorHAnsi" w:hAnsiTheme="minorHAnsi" w:cstheme="minorHAnsi"/>
        </w:rPr>
        <w:t xml:space="preserve">previous </w:t>
      </w:r>
      <w:r w:rsidR="00AB29B4">
        <w:rPr>
          <w:rFonts w:asciiTheme="minorHAnsi" w:hAnsiTheme="minorHAnsi" w:cstheme="minorHAnsi"/>
        </w:rPr>
        <w:t>FY 2023 C</w:t>
      </w:r>
      <w:r w:rsidR="00DE325B" w:rsidRPr="00CC27B9">
        <w:rPr>
          <w:rFonts w:asciiTheme="minorHAnsi" w:hAnsiTheme="minorHAnsi" w:cstheme="minorHAnsi"/>
        </w:rPr>
        <w:t xml:space="preserve">omprehensive FAME </w:t>
      </w:r>
      <w:r w:rsidR="009A1629" w:rsidRPr="00CC27B9">
        <w:rPr>
          <w:rFonts w:asciiTheme="minorHAnsi" w:hAnsiTheme="minorHAnsi" w:cstheme="minorHAnsi"/>
        </w:rPr>
        <w:t xml:space="preserve">period </w:t>
      </w:r>
      <w:r w:rsidRPr="00CC27B9">
        <w:rPr>
          <w:rFonts w:asciiTheme="minorHAnsi" w:hAnsiTheme="minorHAnsi" w:cstheme="minorHAnsi"/>
        </w:rPr>
        <w:t>ended.  The OSHA Whistleblower Investigations Manual</w:t>
      </w:r>
      <w:r w:rsidR="00E93471" w:rsidRPr="00CC27B9">
        <w:rPr>
          <w:rFonts w:asciiTheme="minorHAnsi" w:hAnsiTheme="minorHAnsi" w:cstheme="minorHAnsi"/>
        </w:rPr>
        <w:t xml:space="preserve"> </w:t>
      </w:r>
      <w:r w:rsidR="00867532">
        <w:rPr>
          <w:rFonts w:asciiTheme="minorHAnsi" w:hAnsiTheme="minorHAnsi" w:cstheme="minorHAnsi"/>
        </w:rPr>
        <w:t xml:space="preserve">(WIM) </w:t>
      </w:r>
      <w:r w:rsidR="00E93471" w:rsidRPr="00CC27B9">
        <w:rPr>
          <w:rFonts w:asciiTheme="minorHAnsi" w:hAnsiTheme="minorHAnsi" w:cstheme="minorHAnsi"/>
        </w:rPr>
        <w:t xml:space="preserve">was adopted </w:t>
      </w:r>
      <w:r w:rsidR="00086ABA" w:rsidRPr="00CC27B9">
        <w:rPr>
          <w:rFonts w:asciiTheme="minorHAnsi" w:hAnsiTheme="minorHAnsi" w:cstheme="minorHAnsi"/>
        </w:rPr>
        <w:t>after the required due date</w:t>
      </w:r>
      <w:r w:rsidR="008F63DC">
        <w:rPr>
          <w:rFonts w:asciiTheme="minorHAnsi" w:hAnsiTheme="minorHAnsi" w:cstheme="minorHAnsi"/>
        </w:rPr>
        <w:t>.</w:t>
      </w:r>
      <w:r w:rsidR="00086ABA" w:rsidRPr="00CC27B9">
        <w:rPr>
          <w:rFonts w:asciiTheme="minorHAnsi" w:hAnsiTheme="minorHAnsi" w:cstheme="minorHAnsi"/>
        </w:rPr>
        <w:t xml:space="preserve"> </w:t>
      </w:r>
      <w:r w:rsidR="00752FF2" w:rsidRPr="00CC27B9">
        <w:rPr>
          <w:rFonts w:asciiTheme="minorHAnsi" w:hAnsiTheme="minorHAnsi" w:cstheme="minorHAnsi"/>
        </w:rPr>
        <w:t xml:space="preserve">ADOSH </w:t>
      </w:r>
      <w:r w:rsidR="00054F63" w:rsidRPr="00CC27B9">
        <w:rPr>
          <w:rFonts w:asciiTheme="minorHAnsi" w:hAnsiTheme="minorHAnsi" w:cstheme="minorHAnsi"/>
        </w:rPr>
        <w:t xml:space="preserve">adopted </w:t>
      </w:r>
      <w:r w:rsidR="00E75DFA">
        <w:rPr>
          <w:rFonts w:asciiTheme="minorHAnsi" w:hAnsiTheme="minorHAnsi" w:cstheme="minorHAnsi"/>
        </w:rPr>
        <w:t xml:space="preserve">the </w:t>
      </w:r>
      <w:r w:rsidR="00054F63" w:rsidRPr="00CC27B9">
        <w:rPr>
          <w:rFonts w:asciiTheme="minorHAnsi" w:hAnsiTheme="minorHAnsi" w:cstheme="minorHAnsi"/>
        </w:rPr>
        <w:t>National Emphasis Program on Falls</w:t>
      </w:r>
      <w:r w:rsidR="007A25A5">
        <w:rPr>
          <w:rFonts w:asciiTheme="minorHAnsi" w:hAnsiTheme="minorHAnsi" w:cstheme="minorHAnsi"/>
        </w:rPr>
        <w:t xml:space="preserve"> identically</w:t>
      </w:r>
      <w:r w:rsidR="00054F63" w:rsidRPr="00CC27B9">
        <w:rPr>
          <w:rFonts w:asciiTheme="minorHAnsi" w:hAnsiTheme="minorHAnsi" w:cstheme="minorHAnsi"/>
        </w:rPr>
        <w:t xml:space="preserve"> on May 31, 2023</w:t>
      </w:r>
      <w:r w:rsidR="00581357" w:rsidRPr="00CC27B9">
        <w:rPr>
          <w:rFonts w:asciiTheme="minorHAnsi" w:hAnsiTheme="minorHAnsi" w:cstheme="minorHAnsi"/>
        </w:rPr>
        <w:t xml:space="preserve">.  Lastly, the Consultation Policies and Procedures Manual was adopted </w:t>
      </w:r>
      <w:r w:rsidR="007A25A5">
        <w:rPr>
          <w:rFonts w:asciiTheme="minorHAnsi" w:hAnsiTheme="minorHAnsi" w:cstheme="minorHAnsi"/>
        </w:rPr>
        <w:t>on July 15, 2024</w:t>
      </w:r>
      <w:r w:rsidR="00FD3EE8">
        <w:rPr>
          <w:rFonts w:asciiTheme="minorHAnsi" w:hAnsiTheme="minorHAnsi" w:cstheme="minorHAnsi"/>
        </w:rPr>
        <w:t>,</w:t>
      </w:r>
      <w:r w:rsidR="00CC776E">
        <w:rPr>
          <w:rFonts w:asciiTheme="minorHAnsi" w:hAnsiTheme="minorHAnsi" w:cstheme="minorHAnsi"/>
        </w:rPr>
        <w:t xml:space="preserve"> </w:t>
      </w:r>
      <w:r w:rsidR="00581357" w:rsidRPr="00CC27B9">
        <w:rPr>
          <w:rFonts w:asciiTheme="minorHAnsi" w:hAnsiTheme="minorHAnsi" w:cstheme="minorHAnsi"/>
        </w:rPr>
        <w:t>after the six-month required timeframe</w:t>
      </w:r>
      <w:r w:rsidRPr="00CC27B9">
        <w:rPr>
          <w:rFonts w:asciiTheme="minorHAnsi" w:hAnsiTheme="minorHAnsi" w:cstheme="minorHAnsi"/>
        </w:rPr>
        <w:t>.</w:t>
      </w:r>
      <w:r>
        <w:rPr>
          <w:rFonts w:asciiTheme="minorHAnsi" w:hAnsiTheme="minorHAnsi" w:cstheme="minorHAnsi"/>
        </w:rPr>
        <w:t xml:space="preserve">  </w:t>
      </w:r>
      <w:r w:rsidR="00361E2A">
        <w:rPr>
          <w:rFonts w:asciiTheme="minorHAnsi" w:hAnsiTheme="minorHAnsi" w:cstheme="minorHAnsi"/>
        </w:rPr>
        <w:t>Overall</w:t>
      </w:r>
      <w:r w:rsidR="00016B25">
        <w:rPr>
          <w:rFonts w:asciiTheme="minorHAnsi" w:hAnsiTheme="minorHAnsi" w:cstheme="minorHAnsi"/>
        </w:rPr>
        <w:t xml:space="preserve">, </w:t>
      </w:r>
      <w:r w:rsidR="00BE391C">
        <w:rPr>
          <w:rFonts w:asciiTheme="minorHAnsi" w:hAnsiTheme="minorHAnsi" w:cstheme="minorHAnsi"/>
        </w:rPr>
        <w:t xml:space="preserve">ADOSH made progress </w:t>
      </w:r>
      <w:r w:rsidR="00E96B0B">
        <w:rPr>
          <w:rFonts w:asciiTheme="minorHAnsi" w:hAnsiTheme="minorHAnsi" w:cstheme="minorHAnsi"/>
        </w:rPr>
        <w:t>to</w:t>
      </w:r>
      <w:r w:rsidR="00BE391C">
        <w:rPr>
          <w:rFonts w:asciiTheme="minorHAnsi" w:hAnsiTheme="minorHAnsi" w:cstheme="minorHAnsi"/>
        </w:rPr>
        <w:t xml:space="preserve"> ensur</w:t>
      </w:r>
      <w:r w:rsidR="00E96B0B">
        <w:rPr>
          <w:rFonts w:asciiTheme="minorHAnsi" w:hAnsiTheme="minorHAnsi" w:cstheme="minorHAnsi"/>
        </w:rPr>
        <w:t>e</w:t>
      </w:r>
      <w:r w:rsidR="00BE391C">
        <w:rPr>
          <w:rFonts w:asciiTheme="minorHAnsi" w:hAnsiTheme="minorHAnsi" w:cstheme="minorHAnsi"/>
        </w:rPr>
        <w:t xml:space="preserve"> </w:t>
      </w:r>
      <w:r w:rsidR="006B27EB">
        <w:rPr>
          <w:rFonts w:asciiTheme="minorHAnsi" w:hAnsiTheme="minorHAnsi" w:cstheme="minorHAnsi"/>
        </w:rPr>
        <w:t>federal program changes were adopted within the required timeframes</w:t>
      </w:r>
      <w:r w:rsidR="00CC776E">
        <w:rPr>
          <w:rFonts w:asciiTheme="minorHAnsi" w:hAnsiTheme="minorHAnsi" w:cstheme="minorHAnsi"/>
        </w:rPr>
        <w:t xml:space="preserve"> and communicated </w:t>
      </w:r>
      <w:r w:rsidR="00743DA3">
        <w:rPr>
          <w:rFonts w:asciiTheme="minorHAnsi" w:hAnsiTheme="minorHAnsi" w:cstheme="minorHAnsi"/>
        </w:rPr>
        <w:t>with OSHA on updates</w:t>
      </w:r>
      <w:r w:rsidR="007112E8">
        <w:rPr>
          <w:rFonts w:asciiTheme="minorHAnsi" w:hAnsiTheme="minorHAnsi" w:cstheme="minorHAnsi"/>
        </w:rPr>
        <w:t>.  OSHA will continue to frequently communicate timelines with Arizona to ensure timely adoption of plan changes.</w:t>
      </w:r>
    </w:p>
    <w:p w14:paraId="6C0052B9" w14:textId="77777777" w:rsidR="001F0C95" w:rsidRDefault="001F0C95" w:rsidP="001F0C95">
      <w:pPr>
        <w:tabs>
          <w:tab w:val="left" w:pos="2880"/>
        </w:tabs>
        <w:rPr>
          <w:rFonts w:asciiTheme="minorHAnsi" w:hAnsiTheme="minorHAnsi" w:cstheme="minorHAnsi"/>
        </w:rPr>
      </w:pPr>
    </w:p>
    <w:p w14:paraId="618B959F" w14:textId="34C14D61" w:rsidR="00056AA3" w:rsidRPr="00056AA3" w:rsidRDefault="00056AA3" w:rsidP="00412FCC">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Table </w:t>
      </w:r>
      <w:r w:rsidR="00A70168">
        <w:rPr>
          <w:rFonts w:asciiTheme="minorHAnsi" w:hAnsiTheme="minorHAnsi" w:cstheme="minorHAnsi"/>
          <w:b/>
          <w:bCs/>
        </w:rPr>
        <w:t>E</w:t>
      </w:r>
    </w:p>
    <w:p w14:paraId="42F7E322" w14:textId="6E9BE6B0" w:rsidR="00056AA3" w:rsidRPr="00056AA3" w:rsidRDefault="00056AA3" w:rsidP="00412FCC">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Status of </w:t>
      </w:r>
      <w:r w:rsidR="00234208">
        <w:rPr>
          <w:rFonts w:asciiTheme="minorHAnsi" w:hAnsiTheme="minorHAnsi" w:cstheme="minorHAnsi"/>
          <w:b/>
          <w:bCs/>
        </w:rPr>
        <w:t>FY 202</w:t>
      </w:r>
      <w:r w:rsidR="00CB5651">
        <w:rPr>
          <w:rFonts w:asciiTheme="minorHAnsi" w:hAnsiTheme="minorHAnsi" w:cstheme="minorHAnsi"/>
          <w:b/>
          <w:bCs/>
        </w:rPr>
        <w:t>4</w:t>
      </w:r>
      <w:r w:rsidR="00234208">
        <w:rPr>
          <w:rFonts w:asciiTheme="minorHAnsi" w:hAnsiTheme="minorHAnsi" w:cstheme="minorHAnsi"/>
          <w:b/>
          <w:bCs/>
        </w:rPr>
        <w:t xml:space="preserve"> and </w:t>
      </w:r>
      <w:r w:rsidRPr="00056AA3">
        <w:rPr>
          <w:rFonts w:asciiTheme="minorHAnsi" w:hAnsiTheme="minorHAnsi" w:cstheme="minorHAnsi"/>
          <w:b/>
          <w:bCs/>
        </w:rPr>
        <w:t>FY 20</w:t>
      </w:r>
      <w:r w:rsidR="00234208">
        <w:rPr>
          <w:rFonts w:asciiTheme="minorHAnsi" w:hAnsiTheme="minorHAnsi" w:cstheme="minorHAnsi"/>
          <w:b/>
          <w:bCs/>
        </w:rPr>
        <w:t>2</w:t>
      </w:r>
      <w:r w:rsidR="00CB5651">
        <w:rPr>
          <w:rFonts w:asciiTheme="minorHAnsi" w:hAnsiTheme="minorHAnsi" w:cstheme="minorHAnsi"/>
          <w:b/>
          <w:bCs/>
        </w:rPr>
        <w:t>5</w:t>
      </w:r>
      <w:r w:rsidRPr="00056AA3">
        <w:rPr>
          <w:rFonts w:asciiTheme="minorHAnsi" w:hAnsiTheme="minorHAnsi" w:cstheme="minorHAnsi"/>
          <w:b/>
          <w:bCs/>
        </w:rPr>
        <w:t xml:space="preserve"> Federal Program Change (FPC</w:t>
      </w:r>
      <w:r w:rsidR="000A6BA3">
        <w:rPr>
          <w:rFonts w:asciiTheme="minorHAnsi" w:hAnsiTheme="minorHAnsi" w:cstheme="minorHAnsi"/>
          <w:b/>
          <w:bCs/>
        </w:rPr>
        <w:t>s</w:t>
      </w:r>
      <w:r w:rsidRPr="00056AA3">
        <w:rPr>
          <w:rFonts w:asciiTheme="minorHAnsi" w:hAnsiTheme="minorHAnsi" w:cstheme="minorHAnsi"/>
          <w:b/>
          <w:bCs/>
        </w:rPr>
        <w:t>) Where Equivalency</w:t>
      </w:r>
      <w:r w:rsidR="00234208">
        <w:rPr>
          <w:rFonts w:asciiTheme="minorHAnsi" w:hAnsiTheme="minorHAnsi" w:cstheme="minorHAnsi"/>
          <w:b/>
          <w:bCs/>
        </w:rPr>
        <w:t xml:space="preserve"> Was</w:t>
      </w:r>
      <w:r w:rsidRPr="00056AA3">
        <w:rPr>
          <w:rFonts w:asciiTheme="minorHAnsi" w:hAnsiTheme="minorHAnsi" w:cstheme="minorHAnsi"/>
          <w:b/>
          <w:bCs/>
        </w:rPr>
        <w:t xml:space="preserve"> Required</w:t>
      </w:r>
      <w:r w:rsidRPr="00056AA3">
        <w:rPr>
          <w:rFonts w:asciiTheme="minorHAnsi" w:hAnsiTheme="minorHAnsi" w:cstheme="minorHAnsi"/>
        </w:rPr>
        <w:t> </w:t>
      </w:r>
    </w:p>
    <w:p w14:paraId="3AD1582F" w14:textId="77777777" w:rsidR="00056AA3" w:rsidRDefault="00056AA3" w:rsidP="00412FCC">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5E2E27C7" w14:textId="77777777" w:rsidR="002F3168" w:rsidRPr="00056AA3" w:rsidRDefault="002F3168" w:rsidP="00412FCC">
      <w:pPr>
        <w:widowControl/>
        <w:autoSpaceDE/>
        <w:autoSpaceDN/>
        <w:adjustRightInd/>
        <w:textAlignment w:val="baseline"/>
        <w:rPr>
          <w:rFonts w:asciiTheme="minorHAnsi" w:hAnsiTheme="minorHAnsi" w:cstheme="minorHAnsi"/>
        </w:rPr>
      </w:pPr>
    </w:p>
    <w:tbl>
      <w:tblPr>
        <w:tblStyle w:val="TableGridLight"/>
        <w:tblW w:w="9712" w:type="dxa"/>
        <w:tblLayout w:type="fixed"/>
        <w:tblLook w:val="04A0" w:firstRow="1" w:lastRow="0" w:firstColumn="1" w:lastColumn="0" w:noHBand="0" w:noVBand="1"/>
      </w:tblPr>
      <w:tblGrid>
        <w:gridCol w:w="2425"/>
        <w:gridCol w:w="1350"/>
        <w:gridCol w:w="1347"/>
        <w:gridCol w:w="813"/>
        <w:gridCol w:w="1080"/>
        <w:gridCol w:w="1350"/>
        <w:gridCol w:w="1347"/>
      </w:tblGrid>
      <w:tr w:rsidR="00AC15FC" w:rsidRPr="00961323" w14:paraId="03288023" w14:textId="77777777" w:rsidTr="00F84E05">
        <w:trPr>
          <w:cantSplit/>
          <w:trHeight w:val="908"/>
        </w:trPr>
        <w:tc>
          <w:tcPr>
            <w:tcW w:w="2425" w:type="dxa"/>
            <w:hideMark/>
          </w:tcPr>
          <w:p w14:paraId="0C30CBD5"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FPC Directive/Subject</w:t>
            </w:r>
            <w:r w:rsidRPr="00961323">
              <w:rPr>
                <w:rFonts w:asciiTheme="minorHAnsi" w:hAnsiTheme="minorHAnsi" w:cstheme="minorHAnsi"/>
                <w:sz w:val="22"/>
                <w:szCs w:val="22"/>
              </w:rPr>
              <w:t> </w:t>
            </w:r>
          </w:p>
        </w:tc>
        <w:tc>
          <w:tcPr>
            <w:tcW w:w="1350" w:type="dxa"/>
            <w:hideMark/>
          </w:tcPr>
          <w:p w14:paraId="47086C2A"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347" w:type="dxa"/>
            <w:hideMark/>
          </w:tcPr>
          <w:p w14:paraId="292A7388"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813" w:type="dxa"/>
            <w:hideMark/>
          </w:tcPr>
          <w:p w14:paraId="3B3826CF" w14:textId="77777777" w:rsidR="004501ED" w:rsidRPr="00961323" w:rsidRDefault="00056AA3" w:rsidP="00056AA3">
            <w:pPr>
              <w:widowControl/>
              <w:autoSpaceDE/>
              <w:autoSpaceDN/>
              <w:adjustRightInd/>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Intent </w:t>
            </w:r>
          </w:p>
          <w:p w14:paraId="5C9EEDF0" w14:textId="1A4DF18B"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to Adopt</w:t>
            </w:r>
            <w:r w:rsidRPr="00961323">
              <w:rPr>
                <w:rFonts w:asciiTheme="minorHAnsi" w:hAnsiTheme="minorHAnsi" w:cstheme="minorHAnsi"/>
                <w:sz w:val="22"/>
                <w:szCs w:val="22"/>
              </w:rPr>
              <w:t> </w:t>
            </w:r>
          </w:p>
        </w:tc>
        <w:tc>
          <w:tcPr>
            <w:tcW w:w="1080" w:type="dxa"/>
            <w:hideMark/>
          </w:tcPr>
          <w:p w14:paraId="581AFF9B"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350" w:type="dxa"/>
            <w:hideMark/>
          </w:tcPr>
          <w:p w14:paraId="1ECCBAF9"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Adoption Due Date</w:t>
            </w:r>
            <w:r w:rsidRPr="00961323">
              <w:rPr>
                <w:rFonts w:asciiTheme="minorHAnsi" w:hAnsiTheme="minorHAnsi" w:cstheme="minorHAnsi"/>
                <w:sz w:val="22"/>
                <w:szCs w:val="22"/>
              </w:rPr>
              <w:t> </w:t>
            </w:r>
          </w:p>
        </w:tc>
        <w:tc>
          <w:tcPr>
            <w:tcW w:w="1347" w:type="dxa"/>
            <w:hideMark/>
          </w:tcPr>
          <w:p w14:paraId="2F2D97E2"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412FCC" w:rsidRPr="00961323" w14:paraId="01A01C64" w14:textId="77777777" w:rsidTr="00F84E05">
        <w:trPr>
          <w:cantSplit/>
          <w:trHeight w:val="300"/>
        </w:trPr>
        <w:tc>
          <w:tcPr>
            <w:tcW w:w="2425" w:type="dxa"/>
            <w:hideMark/>
          </w:tcPr>
          <w:p w14:paraId="0A7C85A5" w14:textId="77777777" w:rsidR="003A11AD" w:rsidRPr="00961323" w:rsidRDefault="003A11AD" w:rsidP="003A11A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 xml:space="preserve">CPL 02-03-011 </w:t>
            </w:r>
          </w:p>
          <w:p w14:paraId="6D9E60B1" w14:textId="77777777" w:rsidR="00412FCC" w:rsidRPr="00961323" w:rsidRDefault="00412FCC"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OSHA Whistleblower Investigations Manual</w:t>
            </w:r>
          </w:p>
          <w:p w14:paraId="6FF05AE3" w14:textId="6E686F50" w:rsidR="00412FCC" w:rsidRPr="00961323" w:rsidRDefault="00412FCC"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(4/29/2022)</w:t>
            </w:r>
          </w:p>
        </w:tc>
        <w:tc>
          <w:tcPr>
            <w:tcW w:w="1350" w:type="dxa"/>
            <w:hideMark/>
          </w:tcPr>
          <w:p w14:paraId="72DBA894" w14:textId="4AFD6956" w:rsidR="00412FCC" w:rsidRPr="00961323" w:rsidRDefault="007D339C"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10/11/2022</w:t>
            </w:r>
          </w:p>
        </w:tc>
        <w:tc>
          <w:tcPr>
            <w:tcW w:w="1347" w:type="dxa"/>
            <w:hideMark/>
          </w:tcPr>
          <w:p w14:paraId="6FDF282E" w14:textId="5C0C3CCE" w:rsidR="00412FCC" w:rsidRPr="00961323" w:rsidRDefault="00E568F9"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10/4/2022</w:t>
            </w:r>
          </w:p>
        </w:tc>
        <w:tc>
          <w:tcPr>
            <w:tcW w:w="813" w:type="dxa"/>
            <w:hideMark/>
          </w:tcPr>
          <w:p w14:paraId="5F1554A3" w14:textId="02F75BDE" w:rsidR="00412FCC" w:rsidRPr="00961323" w:rsidRDefault="00170436"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080" w:type="dxa"/>
            <w:hideMark/>
          </w:tcPr>
          <w:p w14:paraId="505CC8A8" w14:textId="246A6EC4" w:rsidR="00412FCC" w:rsidRPr="00961323" w:rsidRDefault="00170436"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No</w:t>
            </w:r>
          </w:p>
        </w:tc>
        <w:tc>
          <w:tcPr>
            <w:tcW w:w="1350" w:type="dxa"/>
            <w:hideMark/>
          </w:tcPr>
          <w:p w14:paraId="128AADE6" w14:textId="4F67985B" w:rsidR="00412FCC" w:rsidRPr="00961323" w:rsidRDefault="009C712E"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2/11/2023</w:t>
            </w:r>
          </w:p>
        </w:tc>
        <w:tc>
          <w:tcPr>
            <w:tcW w:w="1347" w:type="dxa"/>
            <w:hideMark/>
          </w:tcPr>
          <w:p w14:paraId="48A6360A" w14:textId="051F1318" w:rsidR="00412FCC" w:rsidRPr="003A11AD" w:rsidRDefault="008B7070" w:rsidP="00412FCC">
            <w:pPr>
              <w:widowControl/>
              <w:autoSpaceDE/>
              <w:autoSpaceDN/>
              <w:adjustRightInd/>
              <w:textAlignment w:val="baseline"/>
              <w:rPr>
                <w:rStyle w:val="CommentReference"/>
                <w:rFonts w:asciiTheme="minorHAnsi" w:hAnsiTheme="minorHAnsi" w:cstheme="minorHAnsi"/>
                <w:sz w:val="22"/>
                <w:szCs w:val="22"/>
              </w:rPr>
            </w:pPr>
            <w:r w:rsidRPr="003A11AD">
              <w:rPr>
                <w:rStyle w:val="CommentReference"/>
                <w:rFonts w:asciiTheme="minorHAnsi" w:hAnsiTheme="minorHAnsi" w:cstheme="minorHAnsi"/>
                <w:sz w:val="22"/>
                <w:szCs w:val="22"/>
              </w:rPr>
              <w:t>2/28/202</w:t>
            </w:r>
            <w:r w:rsidR="00C5559B" w:rsidRPr="003A11AD">
              <w:rPr>
                <w:rStyle w:val="CommentReference"/>
                <w:rFonts w:asciiTheme="minorHAnsi" w:hAnsiTheme="minorHAnsi" w:cstheme="minorHAnsi"/>
                <w:sz w:val="22"/>
                <w:szCs w:val="22"/>
              </w:rPr>
              <w:t>3</w:t>
            </w:r>
          </w:p>
          <w:p w14:paraId="6D3E145D" w14:textId="4F959B2E" w:rsidR="008B7070" w:rsidRPr="007B1A13" w:rsidRDefault="008B7070" w:rsidP="135FD61F">
            <w:pPr>
              <w:widowControl/>
              <w:autoSpaceDE/>
              <w:autoSpaceDN/>
              <w:adjustRightInd/>
              <w:textAlignment w:val="baseline"/>
              <w:rPr>
                <w:rFonts w:asciiTheme="minorHAnsi" w:hAnsiTheme="minorHAnsi" w:cstheme="minorHAnsi"/>
                <w:sz w:val="22"/>
                <w:szCs w:val="22"/>
                <w:highlight w:val="yellow"/>
              </w:rPr>
            </w:pPr>
          </w:p>
        </w:tc>
      </w:tr>
      <w:tr w:rsidR="00412FCC" w:rsidRPr="00961323" w14:paraId="06B4F4A6" w14:textId="77777777" w:rsidTr="00F84E05">
        <w:trPr>
          <w:cantSplit/>
          <w:trHeight w:val="300"/>
        </w:trPr>
        <w:tc>
          <w:tcPr>
            <w:tcW w:w="2425" w:type="dxa"/>
            <w:hideMark/>
          </w:tcPr>
          <w:p w14:paraId="1533B7EF" w14:textId="77777777" w:rsidR="003A11AD" w:rsidRPr="00961323" w:rsidRDefault="003A11AD" w:rsidP="003A11AD">
            <w:pPr>
              <w:widowControl/>
              <w:autoSpaceDE/>
              <w:autoSpaceDN/>
              <w:adjustRightInd/>
              <w:rPr>
                <w:rFonts w:asciiTheme="minorHAnsi" w:hAnsiTheme="minorHAnsi" w:cstheme="minorHAnsi"/>
                <w:sz w:val="22"/>
                <w:szCs w:val="22"/>
              </w:rPr>
            </w:pPr>
            <w:r w:rsidRPr="00961323">
              <w:rPr>
                <w:rFonts w:asciiTheme="minorHAnsi" w:hAnsiTheme="minorHAnsi" w:cstheme="minorHAnsi"/>
                <w:sz w:val="22"/>
                <w:szCs w:val="22"/>
              </w:rPr>
              <w:t>CPL 03-00-025</w:t>
            </w:r>
          </w:p>
          <w:p w14:paraId="030CE4F2" w14:textId="77777777" w:rsidR="00D51268" w:rsidRPr="00961323" w:rsidRDefault="006B2988" w:rsidP="006B2988">
            <w:pPr>
              <w:widowControl/>
              <w:autoSpaceDE/>
              <w:autoSpaceDN/>
              <w:adjustRightInd/>
              <w:rPr>
                <w:rFonts w:asciiTheme="minorHAnsi" w:hAnsiTheme="minorHAnsi" w:cstheme="minorHAnsi"/>
                <w:sz w:val="22"/>
                <w:szCs w:val="22"/>
              </w:rPr>
            </w:pPr>
            <w:r w:rsidRPr="00961323">
              <w:rPr>
                <w:rFonts w:asciiTheme="minorHAnsi" w:hAnsiTheme="minorHAnsi" w:cstheme="minorHAnsi"/>
                <w:sz w:val="22"/>
                <w:szCs w:val="22"/>
              </w:rPr>
              <w:t>National Emphasis Program – Falls</w:t>
            </w:r>
            <w:r w:rsidR="00D51268" w:rsidRPr="00961323">
              <w:rPr>
                <w:rFonts w:asciiTheme="minorHAnsi" w:hAnsiTheme="minorHAnsi" w:cstheme="minorHAnsi"/>
                <w:sz w:val="22"/>
                <w:szCs w:val="22"/>
              </w:rPr>
              <w:t xml:space="preserve"> </w:t>
            </w:r>
          </w:p>
          <w:p w14:paraId="5CAF3EE0" w14:textId="58B0334C" w:rsidR="00412FCC" w:rsidRPr="00961323" w:rsidRDefault="006B2988" w:rsidP="006B2988">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(5/1/2023)</w:t>
            </w:r>
          </w:p>
        </w:tc>
        <w:tc>
          <w:tcPr>
            <w:tcW w:w="1350" w:type="dxa"/>
            <w:hideMark/>
          </w:tcPr>
          <w:p w14:paraId="4A0C078B" w14:textId="6286FD3C" w:rsidR="00412FCC" w:rsidRPr="00961323" w:rsidRDefault="0028460A"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6/30/</w:t>
            </w:r>
            <w:r w:rsidR="00343689" w:rsidRPr="00961323">
              <w:rPr>
                <w:rFonts w:asciiTheme="minorHAnsi" w:hAnsiTheme="minorHAnsi" w:cstheme="minorHAnsi"/>
                <w:sz w:val="22"/>
                <w:szCs w:val="22"/>
              </w:rPr>
              <w:t>2023</w:t>
            </w:r>
          </w:p>
        </w:tc>
        <w:tc>
          <w:tcPr>
            <w:tcW w:w="1347" w:type="dxa"/>
            <w:hideMark/>
          </w:tcPr>
          <w:p w14:paraId="4A8A361D" w14:textId="66F07517" w:rsidR="00412FCC" w:rsidRPr="00961323" w:rsidRDefault="00627262"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5/31/2023</w:t>
            </w:r>
          </w:p>
        </w:tc>
        <w:tc>
          <w:tcPr>
            <w:tcW w:w="813" w:type="dxa"/>
            <w:hideMark/>
          </w:tcPr>
          <w:p w14:paraId="334ACF7A" w14:textId="37DA384D" w:rsidR="00412FCC" w:rsidRPr="00961323" w:rsidRDefault="00627262"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080" w:type="dxa"/>
            <w:hideMark/>
          </w:tcPr>
          <w:p w14:paraId="58064619" w14:textId="5A0D7ED1" w:rsidR="00412FCC" w:rsidRPr="00961323" w:rsidRDefault="001B1FF4" w:rsidP="00412FCC">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350" w:type="dxa"/>
            <w:hideMark/>
          </w:tcPr>
          <w:p w14:paraId="03BC1191" w14:textId="0E94F181" w:rsidR="00412FCC" w:rsidRPr="00961323" w:rsidRDefault="00343689"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10/28/2023</w:t>
            </w:r>
          </w:p>
        </w:tc>
        <w:tc>
          <w:tcPr>
            <w:tcW w:w="1347" w:type="dxa"/>
            <w:hideMark/>
          </w:tcPr>
          <w:p w14:paraId="064BC408" w14:textId="4AD64BCD" w:rsidR="00412FCC" w:rsidRPr="00293B83" w:rsidRDefault="00627262" w:rsidP="00412FCC">
            <w:pPr>
              <w:widowControl/>
              <w:autoSpaceDE/>
              <w:autoSpaceDN/>
              <w:adjustRightInd/>
              <w:textAlignment w:val="baseline"/>
              <w:rPr>
                <w:rStyle w:val="CommentReference"/>
                <w:rFonts w:asciiTheme="minorHAnsi" w:hAnsiTheme="minorHAnsi" w:cstheme="minorHAnsi"/>
                <w:sz w:val="22"/>
                <w:szCs w:val="22"/>
              </w:rPr>
            </w:pPr>
            <w:r w:rsidRPr="00293B83">
              <w:rPr>
                <w:rStyle w:val="CommentReference"/>
                <w:rFonts w:asciiTheme="minorHAnsi" w:hAnsiTheme="minorHAnsi" w:cstheme="minorHAnsi"/>
                <w:sz w:val="22"/>
                <w:szCs w:val="22"/>
              </w:rPr>
              <w:t>5/31/2023</w:t>
            </w:r>
          </w:p>
          <w:p w14:paraId="60FA8B0A" w14:textId="73FBF6FA" w:rsidR="00627262" w:rsidRPr="007B1A13" w:rsidRDefault="00627262" w:rsidP="135FD61F">
            <w:pPr>
              <w:widowControl/>
              <w:autoSpaceDE/>
              <w:autoSpaceDN/>
              <w:adjustRightInd/>
              <w:textAlignment w:val="baseline"/>
              <w:rPr>
                <w:rStyle w:val="CommentReference"/>
                <w:rFonts w:asciiTheme="minorHAnsi" w:hAnsiTheme="minorHAnsi" w:cstheme="minorHAnsi"/>
                <w:sz w:val="22"/>
                <w:szCs w:val="22"/>
                <w:highlight w:val="yellow"/>
              </w:rPr>
            </w:pPr>
          </w:p>
        </w:tc>
      </w:tr>
      <w:tr w:rsidR="006B2988" w:rsidRPr="00961323" w14:paraId="1F0D2270" w14:textId="77777777" w:rsidTr="00F84E05">
        <w:trPr>
          <w:cantSplit/>
          <w:trHeight w:val="300"/>
        </w:trPr>
        <w:tc>
          <w:tcPr>
            <w:tcW w:w="2425" w:type="dxa"/>
          </w:tcPr>
          <w:p w14:paraId="49720217" w14:textId="77777777" w:rsidR="003A11AD" w:rsidRPr="00961323" w:rsidRDefault="003A11AD" w:rsidP="003A11AD">
            <w:pPr>
              <w:widowControl/>
              <w:autoSpaceDE/>
              <w:autoSpaceDN/>
              <w:adjustRightInd/>
              <w:rPr>
                <w:rFonts w:asciiTheme="minorHAnsi" w:hAnsiTheme="minorHAnsi" w:cstheme="minorHAnsi"/>
                <w:sz w:val="22"/>
                <w:szCs w:val="22"/>
              </w:rPr>
            </w:pPr>
            <w:r w:rsidRPr="00961323">
              <w:rPr>
                <w:rFonts w:asciiTheme="minorHAnsi" w:hAnsiTheme="minorHAnsi" w:cstheme="minorHAnsi"/>
                <w:sz w:val="22"/>
                <w:szCs w:val="22"/>
              </w:rPr>
              <w:t>CSP 02-00-005</w:t>
            </w:r>
          </w:p>
          <w:p w14:paraId="5C20CEF4" w14:textId="77777777" w:rsidR="00CC19C3" w:rsidRPr="00961323" w:rsidRDefault="00CC19C3" w:rsidP="00CC19C3">
            <w:pPr>
              <w:widowControl/>
              <w:autoSpaceDE/>
              <w:autoSpaceDN/>
              <w:adjustRightInd/>
              <w:rPr>
                <w:rFonts w:asciiTheme="minorHAnsi" w:hAnsiTheme="minorHAnsi" w:cstheme="minorHAnsi"/>
                <w:sz w:val="22"/>
                <w:szCs w:val="22"/>
              </w:rPr>
            </w:pPr>
            <w:proofErr w:type="gramStart"/>
            <w:r w:rsidRPr="00961323">
              <w:rPr>
                <w:rFonts w:asciiTheme="minorHAnsi" w:hAnsiTheme="minorHAnsi" w:cstheme="minorHAnsi"/>
                <w:sz w:val="22"/>
                <w:szCs w:val="22"/>
              </w:rPr>
              <w:t>Consultation Policies and Procedures Manual</w:t>
            </w:r>
            <w:proofErr w:type="gramEnd"/>
            <w:r w:rsidRPr="00961323">
              <w:rPr>
                <w:rFonts w:asciiTheme="minorHAnsi" w:hAnsiTheme="minorHAnsi" w:cstheme="minorHAnsi"/>
                <w:sz w:val="22"/>
                <w:szCs w:val="22"/>
              </w:rPr>
              <w:t xml:space="preserve"> </w:t>
            </w:r>
          </w:p>
          <w:p w14:paraId="2D73BB56" w14:textId="14C2BC89" w:rsidR="006B2988" w:rsidRPr="00961323" w:rsidRDefault="00CC19C3" w:rsidP="00CC19C3">
            <w:pPr>
              <w:widowControl/>
              <w:autoSpaceDE/>
              <w:autoSpaceDN/>
              <w:adjustRightInd/>
              <w:rPr>
                <w:rFonts w:asciiTheme="minorHAnsi" w:hAnsiTheme="minorHAnsi" w:cstheme="minorHAnsi"/>
                <w:sz w:val="22"/>
                <w:szCs w:val="22"/>
              </w:rPr>
            </w:pPr>
            <w:r w:rsidRPr="00961323">
              <w:rPr>
                <w:rFonts w:asciiTheme="minorHAnsi" w:hAnsiTheme="minorHAnsi" w:cstheme="minorHAnsi"/>
                <w:sz w:val="22"/>
                <w:szCs w:val="22"/>
              </w:rPr>
              <w:t xml:space="preserve">(9/29/2023)   </w:t>
            </w:r>
          </w:p>
        </w:tc>
        <w:tc>
          <w:tcPr>
            <w:tcW w:w="1350" w:type="dxa"/>
          </w:tcPr>
          <w:p w14:paraId="4BE6AA35" w14:textId="649F4A50" w:rsidR="006B2988" w:rsidRPr="00961323" w:rsidRDefault="00CC19C3"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11/28/2023</w:t>
            </w:r>
          </w:p>
        </w:tc>
        <w:tc>
          <w:tcPr>
            <w:tcW w:w="1347" w:type="dxa"/>
          </w:tcPr>
          <w:p w14:paraId="6B1C9688" w14:textId="441970FD" w:rsidR="006B2988" w:rsidRPr="00961323" w:rsidRDefault="00690574"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11/28/2023</w:t>
            </w:r>
          </w:p>
        </w:tc>
        <w:tc>
          <w:tcPr>
            <w:tcW w:w="813" w:type="dxa"/>
          </w:tcPr>
          <w:p w14:paraId="42C7D318" w14:textId="10BD52A6" w:rsidR="006B2988" w:rsidRPr="00961323" w:rsidRDefault="00690574"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080" w:type="dxa"/>
          </w:tcPr>
          <w:p w14:paraId="06FA2AF2" w14:textId="7962A5F2" w:rsidR="006B2988" w:rsidRPr="00961323" w:rsidRDefault="00690574"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350" w:type="dxa"/>
          </w:tcPr>
          <w:p w14:paraId="464E369E" w14:textId="25823FB7" w:rsidR="006B2988" w:rsidRPr="00961323" w:rsidRDefault="00CC19C3" w:rsidP="00412FC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3/27/2024</w:t>
            </w:r>
          </w:p>
        </w:tc>
        <w:tc>
          <w:tcPr>
            <w:tcW w:w="1347" w:type="dxa"/>
          </w:tcPr>
          <w:p w14:paraId="77C3BD47" w14:textId="717C4C89" w:rsidR="00690574" w:rsidRPr="004F16A9" w:rsidRDefault="004F16A9" w:rsidP="006905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7/15/2024</w:t>
            </w:r>
          </w:p>
          <w:p w14:paraId="419227C9" w14:textId="77777777" w:rsidR="006B2988" w:rsidRPr="007B1A13" w:rsidRDefault="006B2988" w:rsidP="00412FCC">
            <w:pPr>
              <w:widowControl/>
              <w:autoSpaceDE/>
              <w:autoSpaceDN/>
              <w:adjustRightInd/>
              <w:textAlignment w:val="baseline"/>
              <w:rPr>
                <w:rStyle w:val="CommentReference"/>
                <w:rFonts w:asciiTheme="minorHAnsi" w:hAnsiTheme="minorHAnsi" w:cstheme="minorHAnsi"/>
                <w:sz w:val="22"/>
                <w:szCs w:val="22"/>
                <w:highlight w:val="yellow"/>
              </w:rPr>
            </w:pPr>
          </w:p>
        </w:tc>
      </w:tr>
      <w:tr w:rsidR="003D1702" w:rsidRPr="00961323" w14:paraId="413BA8E9" w14:textId="77777777" w:rsidTr="00F84E05">
        <w:trPr>
          <w:cantSplit/>
          <w:trHeight w:val="300"/>
        </w:trPr>
        <w:tc>
          <w:tcPr>
            <w:tcW w:w="2425" w:type="dxa"/>
          </w:tcPr>
          <w:p w14:paraId="7B943AD2" w14:textId="77777777"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 xml:space="preserve">CPL 02-01-065 </w:t>
            </w:r>
          </w:p>
          <w:p w14:paraId="00A195E2" w14:textId="77777777"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Process Safety Management of Highly Hazardous Chemicals</w:t>
            </w:r>
          </w:p>
          <w:p w14:paraId="1E62B852" w14:textId="51FFC1DD"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(1/26/2024)</w:t>
            </w:r>
          </w:p>
        </w:tc>
        <w:tc>
          <w:tcPr>
            <w:tcW w:w="1350" w:type="dxa"/>
          </w:tcPr>
          <w:p w14:paraId="4C45D8B4" w14:textId="5BBD0F0E" w:rsidR="003D1702" w:rsidRPr="00257E2A" w:rsidRDefault="003D1702" w:rsidP="003D1702">
            <w:pPr>
              <w:widowControl/>
              <w:autoSpaceDE/>
              <w:autoSpaceDN/>
              <w:adjustRightInd/>
              <w:textAlignment w:val="baseline"/>
              <w:rPr>
                <w:rFonts w:asciiTheme="minorHAnsi" w:hAnsiTheme="minorHAnsi" w:cstheme="minorHAnsi"/>
                <w:sz w:val="22"/>
                <w:szCs w:val="22"/>
              </w:rPr>
            </w:pPr>
            <w:r w:rsidRPr="00257E2A">
              <w:rPr>
                <w:rFonts w:asciiTheme="minorHAnsi" w:hAnsiTheme="minorHAnsi" w:cstheme="minorHAnsi"/>
                <w:sz w:val="22"/>
                <w:szCs w:val="22"/>
              </w:rPr>
              <w:t>3/26/2024</w:t>
            </w:r>
          </w:p>
        </w:tc>
        <w:tc>
          <w:tcPr>
            <w:tcW w:w="1347" w:type="dxa"/>
          </w:tcPr>
          <w:p w14:paraId="2E974174" w14:textId="5EE81CA8" w:rsidR="003D1702" w:rsidRPr="00257E2A" w:rsidRDefault="00257E2A" w:rsidP="003D1702">
            <w:pPr>
              <w:widowControl/>
              <w:autoSpaceDE/>
              <w:autoSpaceDN/>
              <w:adjustRightInd/>
              <w:textAlignment w:val="baseline"/>
              <w:rPr>
                <w:rFonts w:asciiTheme="minorHAnsi" w:hAnsiTheme="minorHAnsi" w:cstheme="minorHAnsi"/>
                <w:sz w:val="22"/>
                <w:szCs w:val="22"/>
              </w:rPr>
            </w:pPr>
            <w:r w:rsidRPr="00257E2A">
              <w:rPr>
                <w:rFonts w:asciiTheme="minorHAnsi" w:hAnsiTheme="minorHAnsi" w:cstheme="minorHAnsi"/>
                <w:sz w:val="22"/>
                <w:szCs w:val="22"/>
              </w:rPr>
              <w:t>7/15/2024</w:t>
            </w:r>
          </w:p>
        </w:tc>
        <w:tc>
          <w:tcPr>
            <w:tcW w:w="813" w:type="dxa"/>
          </w:tcPr>
          <w:p w14:paraId="7BB6C904" w14:textId="76330E11" w:rsidR="003D1702" w:rsidRPr="00257E2A" w:rsidRDefault="003D1702" w:rsidP="003D1702">
            <w:pPr>
              <w:widowControl/>
              <w:autoSpaceDE/>
              <w:autoSpaceDN/>
              <w:adjustRightInd/>
              <w:textAlignment w:val="baseline"/>
              <w:rPr>
                <w:rFonts w:asciiTheme="minorHAnsi" w:hAnsiTheme="minorHAnsi" w:cstheme="minorHAnsi"/>
                <w:sz w:val="22"/>
                <w:szCs w:val="22"/>
              </w:rPr>
            </w:pPr>
            <w:r w:rsidRPr="00257E2A">
              <w:rPr>
                <w:rFonts w:asciiTheme="minorHAnsi" w:hAnsiTheme="minorHAnsi" w:cstheme="minorHAnsi"/>
                <w:sz w:val="22"/>
                <w:szCs w:val="22"/>
              </w:rPr>
              <w:t>Yes</w:t>
            </w:r>
          </w:p>
        </w:tc>
        <w:tc>
          <w:tcPr>
            <w:tcW w:w="1080" w:type="dxa"/>
          </w:tcPr>
          <w:p w14:paraId="2E4AA267" w14:textId="1FAF8E26" w:rsidR="003D1702" w:rsidRPr="00257E2A" w:rsidRDefault="003D1702" w:rsidP="003D1702">
            <w:pPr>
              <w:widowControl/>
              <w:autoSpaceDE/>
              <w:autoSpaceDN/>
              <w:adjustRightInd/>
              <w:textAlignment w:val="baseline"/>
              <w:rPr>
                <w:rFonts w:asciiTheme="minorHAnsi" w:hAnsiTheme="minorHAnsi" w:cstheme="minorHAnsi"/>
                <w:sz w:val="22"/>
                <w:szCs w:val="22"/>
              </w:rPr>
            </w:pPr>
            <w:r w:rsidRPr="00257E2A">
              <w:rPr>
                <w:rFonts w:asciiTheme="minorHAnsi" w:hAnsiTheme="minorHAnsi" w:cstheme="minorHAnsi"/>
                <w:sz w:val="22"/>
                <w:szCs w:val="22"/>
              </w:rPr>
              <w:t>Yes</w:t>
            </w:r>
          </w:p>
        </w:tc>
        <w:tc>
          <w:tcPr>
            <w:tcW w:w="1350" w:type="dxa"/>
          </w:tcPr>
          <w:p w14:paraId="00451E51" w14:textId="2CED17E8" w:rsidR="003D1702" w:rsidRPr="00257E2A" w:rsidRDefault="003D1702" w:rsidP="003D1702">
            <w:pPr>
              <w:widowControl/>
              <w:autoSpaceDE/>
              <w:autoSpaceDN/>
              <w:adjustRightInd/>
              <w:textAlignment w:val="baseline"/>
              <w:rPr>
                <w:rFonts w:asciiTheme="minorHAnsi" w:hAnsiTheme="minorHAnsi" w:cstheme="minorHAnsi"/>
                <w:sz w:val="22"/>
                <w:szCs w:val="22"/>
              </w:rPr>
            </w:pPr>
            <w:r w:rsidRPr="00257E2A">
              <w:rPr>
                <w:rFonts w:asciiTheme="minorHAnsi" w:hAnsiTheme="minorHAnsi" w:cstheme="minorHAnsi"/>
                <w:sz w:val="22"/>
                <w:szCs w:val="22"/>
              </w:rPr>
              <w:t>7/26/2024</w:t>
            </w:r>
          </w:p>
        </w:tc>
        <w:tc>
          <w:tcPr>
            <w:tcW w:w="1347" w:type="dxa"/>
          </w:tcPr>
          <w:p w14:paraId="76A8B52E" w14:textId="782A35FF" w:rsidR="003D1702" w:rsidRPr="00257E2A" w:rsidRDefault="001F5A9C" w:rsidP="003D1702">
            <w:pPr>
              <w:widowControl/>
              <w:autoSpaceDE/>
              <w:autoSpaceDN/>
              <w:adjustRightInd/>
              <w:textAlignment w:val="baseline"/>
              <w:rPr>
                <w:rFonts w:asciiTheme="minorHAnsi" w:hAnsiTheme="minorHAnsi" w:cstheme="minorHAnsi"/>
                <w:sz w:val="22"/>
                <w:szCs w:val="22"/>
              </w:rPr>
            </w:pPr>
            <w:r w:rsidRPr="00257E2A">
              <w:rPr>
                <w:rFonts w:asciiTheme="minorHAnsi" w:hAnsiTheme="minorHAnsi" w:cstheme="minorHAnsi"/>
                <w:sz w:val="22"/>
                <w:szCs w:val="22"/>
              </w:rPr>
              <w:t>7/15/2024</w:t>
            </w:r>
          </w:p>
        </w:tc>
      </w:tr>
      <w:tr w:rsidR="003D1702" w:rsidRPr="00961323" w14:paraId="6533B683" w14:textId="77777777" w:rsidTr="00F84E05">
        <w:trPr>
          <w:cantSplit/>
          <w:trHeight w:val="300"/>
        </w:trPr>
        <w:tc>
          <w:tcPr>
            <w:tcW w:w="2425" w:type="dxa"/>
          </w:tcPr>
          <w:p w14:paraId="013402A4" w14:textId="77777777"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 xml:space="preserve">CPL 02-00-172 </w:t>
            </w:r>
          </w:p>
          <w:p w14:paraId="43561177" w14:textId="77777777"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Part 1904 Recordkeeping Policies and Procedures Directive</w:t>
            </w:r>
          </w:p>
          <w:p w14:paraId="21883201" w14:textId="57E8CB6F"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(1/10/2025)</w:t>
            </w:r>
          </w:p>
        </w:tc>
        <w:tc>
          <w:tcPr>
            <w:tcW w:w="1350" w:type="dxa"/>
          </w:tcPr>
          <w:p w14:paraId="00F31766" w14:textId="18D15863"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7/28/2025</w:t>
            </w:r>
          </w:p>
        </w:tc>
        <w:tc>
          <w:tcPr>
            <w:tcW w:w="1347" w:type="dxa"/>
          </w:tcPr>
          <w:p w14:paraId="08D55F07" w14:textId="038E77F4" w:rsidR="003D1702" w:rsidRPr="003D1702" w:rsidRDefault="00CA715D" w:rsidP="003D170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7/24/2025</w:t>
            </w:r>
          </w:p>
        </w:tc>
        <w:tc>
          <w:tcPr>
            <w:tcW w:w="813" w:type="dxa"/>
          </w:tcPr>
          <w:p w14:paraId="7CAB4125" w14:textId="40655436"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Yes</w:t>
            </w:r>
          </w:p>
        </w:tc>
        <w:tc>
          <w:tcPr>
            <w:tcW w:w="1080" w:type="dxa"/>
          </w:tcPr>
          <w:p w14:paraId="50EF1739" w14:textId="0A5C6281"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Yes</w:t>
            </w:r>
          </w:p>
        </w:tc>
        <w:tc>
          <w:tcPr>
            <w:tcW w:w="1350" w:type="dxa"/>
          </w:tcPr>
          <w:p w14:paraId="7F5AC1CA" w14:textId="153B9BE6"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11/29/2025</w:t>
            </w:r>
          </w:p>
        </w:tc>
        <w:tc>
          <w:tcPr>
            <w:tcW w:w="1347" w:type="dxa"/>
          </w:tcPr>
          <w:p w14:paraId="28CC2411" w14:textId="33DA1B8E" w:rsidR="003D1702" w:rsidRDefault="0090249A" w:rsidP="003D1702">
            <w:pPr>
              <w:widowControl/>
              <w:autoSpaceDE/>
              <w:autoSpaceDN/>
              <w:adjustRightInd/>
              <w:textAlignment w:val="baseline"/>
              <w:rPr>
                <w:rFonts w:asciiTheme="minorHAnsi" w:hAnsiTheme="minorHAnsi" w:cstheme="minorHAnsi"/>
                <w:color w:val="FF0000"/>
              </w:rPr>
            </w:pPr>
            <w:r>
              <w:rPr>
                <w:rFonts w:asciiTheme="minorHAnsi" w:hAnsiTheme="minorHAnsi" w:cstheme="minorHAnsi"/>
                <w:sz w:val="22"/>
                <w:szCs w:val="22"/>
              </w:rPr>
              <w:t>11/20/2025</w:t>
            </w:r>
          </w:p>
          <w:p w14:paraId="57C96BA6" w14:textId="137E74AD" w:rsidR="0090249A" w:rsidRPr="0090249A" w:rsidRDefault="0090249A" w:rsidP="0090249A">
            <w:pPr>
              <w:jc w:val="center"/>
              <w:rPr>
                <w:rFonts w:asciiTheme="minorHAnsi" w:hAnsiTheme="minorHAnsi" w:cstheme="minorHAnsi"/>
                <w:sz w:val="22"/>
                <w:szCs w:val="22"/>
              </w:rPr>
            </w:pPr>
          </w:p>
        </w:tc>
      </w:tr>
      <w:tr w:rsidR="003D1702" w:rsidRPr="00961323" w14:paraId="10622CF8" w14:textId="77777777" w:rsidTr="00F84E05">
        <w:trPr>
          <w:cantSplit/>
          <w:trHeight w:val="300"/>
        </w:trPr>
        <w:tc>
          <w:tcPr>
            <w:tcW w:w="2425" w:type="dxa"/>
          </w:tcPr>
          <w:p w14:paraId="4EC2AB96" w14:textId="77777777"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 xml:space="preserve">CPL 02-01-067 </w:t>
            </w:r>
          </w:p>
          <w:p w14:paraId="1D3D6DDD" w14:textId="77777777"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Site Specific Targeting</w:t>
            </w:r>
          </w:p>
          <w:p w14:paraId="23D22D72" w14:textId="58AC7EFE"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(4/8/2025)</w:t>
            </w:r>
          </w:p>
        </w:tc>
        <w:tc>
          <w:tcPr>
            <w:tcW w:w="1350" w:type="dxa"/>
          </w:tcPr>
          <w:p w14:paraId="51262E1B" w14:textId="6C90A997"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7/27/2025</w:t>
            </w:r>
          </w:p>
        </w:tc>
        <w:tc>
          <w:tcPr>
            <w:tcW w:w="1347" w:type="dxa"/>
          </w:tcPr>
          <w:p w14:paraId="40C39B6C" w14:textId="264A5D95" w:rsidR="003D1702" w:rsidRPr="003D1702" w:rsidRDefault="00847E74" w:rsidP="003D170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7/24/2025</w:t>
            </w:r>
          </w:p>
        </w:tc>
        <w:tc>
          <w:tcPr>
            <w:tcW w:w="813" w:type="dxa"/>
          </w:tcPr>
          <w:p w14:paraId="2B2E615E" w14:textId="6229403B"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Yes</w:t>
            </w:r>
          </w:p>
        </w:tc>
        <w:tc>
          <w:tcPr>
            <w:tcW w:w="1080" w:type="dxa"/>
          </w:tcPr>
          <w:p w14:paraId="2D5A128A" w14:textId="5D3B8E37" w:rsidR="003D1702" w:rsidRPr="003D1702" w:rsidRDefault="00847E74" w:rsidP="003D170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350" w:type="dxa"/>
          </w:tcPr>
          <w:p w14:paraId="7386053B" w14:textId="710CFA29"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11/28/2025</w:t>
            </w:r>
          </w:p>
        </w:tc>
        <w:tc>
          <w:tcPr>
            <w:tcW w:w="1347" w:type="dxa"/>
          </w:tcPr>
          <w:p w14:paraId="7783A51C" w14:textId="1F4E68E2" w:rsidR="003D1702" w:rsidRPr="00847E74" w:rsidRDefault="00BE391C" w:rsidP="003D170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11/20/2025</w:t>
            </w:r>
          </w:p>
        </w:tc>
      </w:tr>
      <w:tr w:rsidR="003D1702" w:rsidRPr="00961323" w14:paraId="5DC500BC" w14:textId="77777777" w:rsidTr="00F84E05">
        <w:trPr>
          <w:cantSplit/>
          <w:trHeight w:val="300"/>
        </w:trPr>
        <w:tc>
          <w:tcPr>
            <w:tcW w:w="2425" w:type="dxa"/>
          </w:tcPr>
          <w:p w14:paraId="22B05503" w14:textId="77777777"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lastRenderedPageBreak/>
              <w:t xml:space="preserve">CPL 02-00-164 </w:t>
            </w:r>
          </w:p>
          <w:p w14:paraId="61BA1161" w14:textId="77777777"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Field Operations Manual (FOM) Update, Chapter 6, Penalties and Debt Collection</w:t>
            </w:r>
          </w:p>
          <w:p w14:paraId="2163DB12" w14:textId="3A39A668" w:rsidR="003D1702" w:rsidRPr="003D1702" w:rsidRDefault="003D1702" w:rsidP="003D1702">
            <w:pPr>
              <w:widowControl/>
              <w:autoSpaceDE/>
              <w:autoSpaceDN/>
              <w:adjustRightInd/>
              <w:rPr>
                <w:rFonts w:asciiTheme="minorHAnsi" w:hAnsiTheme="minorHAnsi" w:cstheme="minorHAnsi"/>
                <w:sz w:val="22"/>
                <w:szCs w:val="22"/>
              </w:rPr>
            </w:pPr>
            <w:r w:rsidRPr="003D1702">
              <w:rPr>
                <w:rFonts w:asciiTheme="minorHAnsi" w:hAnsiTheme="minorHAnsi" w:cstheme="minorHAnsi"/>
                <w:sz w:val="22"/>
                <w:szCs w:val="22"/>
              </w:rPr>
              <w:t>(7/2/2025)</w:t>
            </w:r>
          </w:p>
        </w:tc>
        <w:tc>
          <w:tcPr>
            <w:tcW w:w="1350" w:type="dxa"/>
          </w:tcPr>
          <w:p w14:paraId="0ED80521" w14:textId="50B1BA66"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9/22/2025</w:t>
            </w:r>
          </w:p>
        </w:tc>
        <w:tc>
          <w:tcPr>
            <w:tcW w:w="1347" w:type="dxa"/>
          </w:tcPr>
          <w:p w14:paraId="10497053" w14:textId="32548597" w:rsidR="003D1702" w:rsidRPr="003D1702" w:rsidRDefault="003D1702" w:rsidP="003D170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9/23/2025</w:t>
            </w:r>
          </w:p>
        </w:tc>
        <w:tc>
          <w:tcPr>
            <w:tcW w:w="813" w:type="dxa"/>
          </w:tcPr>
          <w:p w14:paraId="6C66CF81" w14:textId="792E0869"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Yes</w:t>
            </w:r>
          </w:p>
        </w:tc>
        <w:tc>
          <w:tcPr>
            <w:tcW w:w="1080" w:type="dxa"/>
          </w:tcPr>
          <w:p w14:paraId="3F338046" w14:textId="7605AEFC"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Yes</w:t>
            </w:r>
          </w:p>
        </w:tc>
        <w:tc>
          <w:tcPr>
            <w:tcW w:w="1350" w:type="dxa"/>
          </w:tcPr>
          <w:p w14:paraId="35CCD360" w14:textId="5316E9B7" w:rsidR="003D1702" w:rsidRPr="003D1702" w:rsidRDefault="003D1702" w:rsidP="003D1702">
            <w:pPr>
              <w:widowControl/>
              <w:autoSpaceDE/>
              <w:autoSpaceDN/>
              <w:adjustRightInd/>
              <w:textAlignment w:val="baseline"/>
              <w:rPr>
                <w:rFonts w:asciiTheme="minorHAnsi" w:hAnsiTheme="minorHAnsi" w:cstheme="minorHAnsi"/>
                <w:sz w:val="22"/>
                <w:szCs w:val="22"/>
              </w:rPr>
            </w:pPr>
            <w:r w:rsidRPr="003D1702">
              <w:rPr>
                <w:rFonts w:asciiTheme="minorHAnsi" w:hAnsiTheme="minorHAnsi" w:cstheme="minorHAnsi"/>
                <w:sz w:val="22"/>
                <w:szCs w:val="22"/>
              </w:rPr>
              <w:t>1/24/2026</w:t>
            </w:r>
          </w:p>
        </w:tc>
        <w:tc>
          <w:tcPr>
            <w:tcW w:w="1347" w:type="dxa"/>
          </w:tcPr>
          <w:p w14:paraId="0DD5CA77" w14:textId="281450DD" w:rsidR="003D1702" w:rsidRPr="00193605" w:rsidRDefault="00193605" w:rsidP="003D1702">
            <w:pPr>
              <w:widowControl/>
              <w:autoSpaceDE/>
              <w:autoSpaceDN/>
              <w:adjustRightInd/>
              <w:textAlignment w:val="baseline"/>
              <w:rPr>
                <w:rFonts w:asciiTheme="minorHAnsi" w:hAnsiTheme="minorHAnsi" w:cstheme="minorHAnsi"/>
                <w:sz w:val="22"/>
                <w:szCs w:val="22"/>
              </w:rPr>
            </w:pPr>
            <w:r w:rsidRPr="00193605">
              <w:rPr>
                <w:rFonts w:asciiTheme="minorHAnsi" w:hAnsiTheme="minorHAnsi" w:cstheme="minorHAnsi"/>
                <w:sz w:val="22"/>
                <w:szCs w:val="22"/>
              </w:rPr>
              <w:t>02/02/2026</w:t>
            </w:r>
          </w:p>
        </w:tc>
      </w:tr>
    </w:tbl>
    <w:p w14:paraId="5D7CECFC" w14:textId="77777777" w:rsidR="00056AA3" w:rsidRDefault="00056AA3" w:rsidP="00056AA3">
      <w:pPr>
        <w:widowControl/>
        <w:autoSpaceDE/>
        <w:autoSpaceDN/>
        <w:adjustRightInd/>
        <w:textAlignment w:val="baseline"/>
        <w:rPr>
          <w:rFonts w:asciiTheme="minorHAnsi" w:hAnsiTheme="minorHAnsi" w:cstheme="minorHAnsi"/>
        </w:rPr>
      </w:pPr>
    </w:p>
    <w:p w14:paraId="2937E743" w14:textId="77777777" w:rsidR="001F0C95" w:rsidRDefault="001F0C95" w:rsidP="001F0C95">
      <w:pPr>
        <w:widowControl/>
        <w:autoSpaceDE/>
        <w:autoSpaceDN/>
        <w:adjustRightInd/>
        <w:textAlignment w:val="baseline"/>
        <w:rPr>
          <w:rStyle w:val="normaltextrun"/>
          <w:rFonts w:asciiTheme="minorHAnsi" w:hAnsiTheme="minorHAnsi" w:cstheme="minorBidi"/>
        </w:rPr>
      </w:pPr>
      <w:r w:rsidRPr="00CD0CCB">
        <w:rPr>
          <w:rFonts w:asciiTheme="minorHAnsi" w:hAnsiTheme="minorHAnsi" w:cstheme="minorHAnsi"/>
        </w:rPr>
        <w:t>The</w:t>
      </w:r>
      <w:r>
        <w:rPr>
          <w:rFonts w:asciiTheme="minorHAnsi" w:hAnsiTheme="minorHAnsi" w:cstheme="minorHAnsi"/>
        </w:rPr>
        <w:t xml:space="preserve"> directive for </w:t>
      </w:r>
      <w:r w:rsidRPr="0011396C">
        <w:rPr>
          <w:rFonts w:ascii="Calibri" w:hAnsi="Calibri" w:cs="Calibri"/>
          <w:bCs/>
        </w:rPr>
        <w:t>Communicating OSHA Fatality Inspection Procedures to a Fallen Worker’s Family</w:t>
      </w:r>
      <w:r>
        <w:rPr>
          <w:rFonts w:ascii="Calibri" w:hAnsi="Calibri" w:cs="Calibri"/>
          <w:bCs/>
        </w:rPr>
        <w:t xml:space="preserve"> was the only FPC this review period where </w:t>
      </w:r>
      <w:r>
        <w:rPr>
          <w:rFonts w:asciiTheme="minorHAnsi" w:hAnsiTheme="minorHAnsi" w:cstheme="minorHAnsi"/>
        </w:rPr>
        <w:t xml:space="preserve">adoption was encouraged.  ADOSH provided a timely notification to OSHA regarding its intent to adopt this directive identically. </w:t>
      </w:r>
    </w:p>
    <w:p w14:paraId="14054515" w14:textId="77777777" w:rsidR="001F0C95" w:rsidRPr="00056AA3" w:rsidRDefault="001F0C95" w:rsidP="00056AA3">
      <w:pPr>
        <w:widowControl/>
        <w:autoSpaceDE/>
        <w:autoSpaceDN/>
        <w:adjustRightInd/>
        <w:textAlignment w:val="baseline"/>
        <w:rPr>
          <w:rFonts w:asciiTheme="minorHAnsi" w:hAnsiTheme="minorHAnsi" w:cstheme="minorHAnsi"/>
        </w:rPr>
      </w:pPr>
    </w:p>
    <w:p w14:paraId="00D3C0F2" w14:textId="52DA2FB9" w:rsidR="00056AA3" w:rsidRPr="00056AA3" w:rsidRDefault="00056AA3" w:rsidP="00412FCC">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Table </w:t>
      </w:r>
      <w:r w:rsidR="00A70168">
        <w:rPr>
          <w:rFonts w:asciiTheme="minorHAnsi" w:hAnsiTheme="minorHAnsi" w:cstheme="minorHAnsi"/>
          <w:b/>
          <w:bCs/>
        </w:rPr>
        <w:t>F</w:t>
      </w:r>
    </w:p>
    <w:p w14:paraId="569DB464" w14:textId="76AF171D" w:rsidR="00056AA3" w:rsidRPr="00056AA3" w:rsidRDefault="00056AA3" w:rsidP="00412FCC">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Status of FY 202</w:t>
      </w:r>
      <w:r w:rsidR="00B85069">
        <w:rPr>
          <w:rFonts w:asciiTheme="minorHAnsi" w:hAnsiTheme="minorHAnsi" w:cstheme="minorHAnsi"/>
          <w:b/>
          <w:bCs/>
        </w:rPr>
        <w:t>4 and FY 2025</w:t>
      </w:r>
      <w:r w:rsidRPr="00056AA3">
        <w:rPr>
          <w:rFonts w:asciiTheme="minorHAnsi" w:hAnsiTheme="minorHAnsi" w:cstheme="minorHAnsi"/>
          <w:b/>
          <w:bCs/>
        </w:rPr>
        <w:t xml:space="preserve"> Federal Program Change (FPC</w:t>
      </w:r>
      <w:r w:rsidR="000A6BA3">
        <w:rPr>
          <w:rFonts w:asciiTheme="minorHAnsi" w:hAnsiTheme="minorHAnsi" w:cstheme="minorHAnsi"/>
          <w:b/>
          <w:bCs/>
        </w:rPr>
        <w:t>s</w:t>
      </w:r>
      <w:r w:rsidRPr="00056AA3">
        <w:rPr>
          <w:rFonts w:asciiTheme="minorHAnsi" w:hAnsiTheme="minorHAnsi" w:cstheme="minorHAnsi"/>
          <w:b/>
          <w:bCs/>
        </w:rPr>
        <w:t>) Where Adoption Encouraged</w:t>
      </w:r>
      <w:r w:rsidRPr="00056AA3">
        <w:rPr>
          <w:rFonts w:asciiTheme="minorHAnsi" w:hAnsiTheme="minorHAnsi" w:cstheme="minorHAnsi"/>
        </w:rPr>
        <w:t> </w:t>
      </w:r>
    </w:p>
    <w:p w14:paraId="7B1E4E2C" w14:textId="77777777" w:rsidR="00056AA3" w:rsidRDefault="00056AA3" w:rsidP="00412FCC">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6FC86680" w14:textId="77777777" w:rsidR="002F3168" w:rsidRPr="00056AA3" w:rsidRDefault="002F3168" w:rsidP="00412FCC">
      <w:pPr>
        <w:widowControl/>
        <w:autoSpaceDE/>
        <w:autoSpaceDN/>
        <w:adjustRightInd/>
        <w:textAlignment w:val="baseline"/>
        <w:rPr>
          <w:rFonts w:asciiTheme="minorHAnsi" w:hAnsiTheme="minorHAnsi" w:cstheme="minorHAnsi"/>
        </w:rPr>
      </w:pPr>
    </w:p>
    <w:tbl>
      <w:tblPr>
        <w:tblStyle w:val="TableGridLight"/>
        <w:tblW w:w="9712" w:type="dxa"/>
        <w:tblLook w:val="04A0" w:firstRow="1" w:lastRow="0" w:firstColumn="1" w:lastColumn="0" w:noHBand="0" w:noVBand="1"/>
      </w:tblPr>
      <w:tblGrid>
        <w:gridCol w:w="2431"/>
        <w:gridCol w:w="1278"/>
        <w:gridCol w:w="1312"/>
        <w:gridCol w:w="1516"/>
        <w:gridCol w:w="1285"/>
        <w:gridCol w:w="1890"/>
      </w:tblGrid>
      <w:tr w:rsidR="00655BDD" w:rsidRPr="00412FCC" w14:paraId="296AEFEC" w14:textId="77777777" w:rsidTr="007B1A13">
        <w:trPr>
          <w:trHeight w:val="300"/>
        </w:trPr>
        <w:tc>
          <w:tcPr>
            <w:tcW w:w="2432" w:type="dxa"/>
            <w:hideMark/>
          </w:tcPr>
          <w:p w14:paraId="54A9DE3A"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FPC Directive/Subject</w:t>
            </w:r>
            <w:r w:rsidRPr="00961323">
              <w:rPr>
                <w:rFonts w:asciiTheme="minorHAnsi" w:hAnsiTheme="minorHAnsi" w:cstheme="minorHAnsi"/>
                <w:sz w:val="22"/>
                <w:szCs w:val="22"/>
              </w:rPr>
              <w:t> </w:t>
            </w:r>
          </w:p>
        </w:tc>
        <w:tc>
          <w:tcPr>
            <w:tcW w:w="1277" w:type="dxa"/>
            <w:hideMark/>
          </w:tcPr>
          <w:p w14:paraId="13BF34CF"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312" w:type="dxa"/>
            <w:hideMark/>
          </w:tcPr>
          <w:p w14:paraId="2959A598"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1516" w:type="dxa"/>
            <w:hideMark/>
          </w:tcPr>
          <w:p w14:paraId="6F327B21"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Intent to Adopt</w:t>
            </w:r>
            <w:r w:rsidRPr="00961323">
              <w:rPr>
                <w:rFonts w:asciiTheme="minorHAnsi" w:hAnsiTheme="minorHAnsi" w:cstheme="minorHAnsi"/>
                <w:sz w:val="22"/>
                <w:szCs w:val="22"/>
              </w:rPr>
              <w:t> </w:t>
            </w:r>
          </w:p>
        </w:tc>
        <w:tc>
          <w:tcPr>
            <w:tcW w:w="1285" w:type="dxa"/>
            <w:hideMark/>
          </w:tcPr>
          <w:p w14:paraId="7EAA82B1"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890" w:type="dxa"/>
            <w:hideMark/>
          </w:tcPr>
          <w:p w14:paraId="6E64BB1B" w14:textId="77777777" w:rsidR="00056AA3" w:rsidRPr="00961323" w:rsidRDefault="00056AA3" w:rsidP="00056AA3">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655BDD" w:rsidRPr="00412FCC" w14:paraId="68BD8E90" w14:textId="77777777" w:rsidTr="007B1A13">
        <w:trPr>
          <w:trHeight w:val="300"/>
        </w:trPr>
        <w:tc>
          <w:tcPr>
            <w:tcW w:w="2432" w:type="dxa"/>
          </w:tcPr>
          <w:p w14:paraId="23874424" w14:textId="77777777" w:rsidR="009D7BB5" w:rsidRPr="000F6973" w:rsidRDefault="009D7BB5" w:rsidP="009D7BB5">
            <w:pPr>
              <w:widowControl/>
              <w:autoSpaceDE/>
              <w:autoSpaceDN/>
              <w:adjustRightInd/>
              <w:textAlignment w:val="baseline"/>
              <w:rPr>
                <w:rFonts w:asciiTheme="minorHAnsi" w:hAnsiTheme="minorHAnsi" w:cstheme="minorHAnsi"/>
                <w:bCs/>
                <w:sz w:val="22"/>
                <w:szCs w:val="22"/>
              </w:rPr>
            </w:pPr>
            <w:r w:rsidRPr="000F6973">
              <w:rPr>
                <w:rFonts w:asciiTheme="minorHAnsi" w:hAnsiTheme="minorHAnsi" w:cstheme="minorHAnsi"/>
                <w:bCs/>
                <w:sz w:val="22"/>
                <w:szCs w:val="22"/>
              </w:rPr>
              <w:t xml:space="preserve">CPL 02-00-171 </w:t>
            </w:r>
          </w:p>
          <w:p w14:paraId="174DE5E2" w14:textId="77777777" w:rsidR="009D7BB5" w:rsidRPr="000F6973" w:rsidRDefault="009D7BB5" w:rsidP="009D7BB5">
            <w:pPr>
              <w:widowControl/>
              <w:autoSpaceDE/>
              <w:autoSpaceDN/>
              <w:adjustRightInd/>
              <w:textAlignment w:val="baseline"/>
              <w:rPr>
                <w:rFonts w:asciiTheme="minorHAnsi" w:hAnsiTheme="minorHAnsi" w:cstheme="minorHAnsi"/>
                <w:bCs/>
                <w:sz w:val="22"/>
                <w:szCs w:val="22"/>
              </w:rPr>
            </w:pPr>
            <w:r w:rsidRPr="000F6973">
              <w:rPr>
                <w:rFonts w:asciiTheme="minorHAnsi" w:hAnsiTheme="minorHAnsi" w:cstheme="minorHAnsi"/>
                <w:bCs/>
                <w:sz w:val="22"/>
                <w:szCs w:val="22"/>
              </w:rPr>
              <w:t>Communicating OSHA Fatality Inspection Procedures to a Fallen Worker’s Family</w:t>
            </w:r>
          </w:p>
          <w:p w14:paraId="5FB41689" w14:textId="2278C98C" w:rsidR="009D7BB5" w:rsidRPr="000F6973" w:rsidRDefault="009D7BB5" w:rsidP="009D7BB5">
            <w:pPr>
              <w:widowControl/>
              <w:autoSpaceDE/>
              <w:autoSpaceDN/>
              <w:adjustRightInd/>
              <w:textAlignment w:val="baseline"/>
              <w:rPr>
                <w:rFonts w:asciiTheme="minorHAnsi" w:hAnsiTheme="minorHAnsi" w:cstheme="minorHAnsi"/>
                <w:b/>
                <w:sz w:val="22"/>
                <w:szCs w:val="22"/>
              </w:rPr>
            </w:pPr>
            <w:r w:rsidRPr="000F6973">
              <w:rPr>
                <w:rFonts w:asciiTheme="minorHAnsi" w:hAnsiTheme="minorHAnsi" w:cstheme="minorHAnsi"/>
                <w:bCs/>
                <w:sz w:val="22"/>
                <w:szCs w:val="22"/>
              </w:rPr>
              <w:t>(8/26/2024)</w:t>
            </w:r>
          </w:p>
        </w:tc>
        <w:tc>
          <w:tcPr>
            <w:tcW w:w="1277" w:type="dxa"/>
          </w:tcPr>
          <w:p w14:paraId="1AD17770" w14:textId="0ED8CD6A" w:rsidR="009D7BB5" w:rsidRPr="000F6973" w:rsidRDefault="009D7BB5" w:rsidP="009D7BB5">
            <w:pPr>
              <w:widowControl/>
              <w:autoSpaceDE/>
              <w:autoSpaceDN/>
              <w:adjustRightInd/>
              <w:textAlignment w:val="baseline"/>
              <w:rPr>
                <w:rFonts w:asciiTheme="minorHAnsi" w:hAnsiTheme="minorHAnsi" w:cstheme="minorHAnsi"/>
                <w:b/>
                <w:sz w:val="22"/>
                <w:szCs w:val="22"/>
              </w:rPr>
            </w:pPr>
            <w:r w:rsidRPr="000F6973">
              <w:rPr>
                <w:rFonts w:asciiTheme="minorHAnsi" w:hAnsiTheme="minorHAnsi" w:cstheme="minorHAnsi"/>
                <w:bCs/>
                <w:sz w:val="22"/>
                <w:szCs w:val="22"/>
              </w:rPr>
              <w:t>10/25/2024</w:t>
            </w:r>
          </w:p>
        </w:tc>
        <w:tc>
          <w:tcPr>
            <w:tcW w:w="1312" w:type="dxa"/>
          </w:tcPr>
          <w:p w14:paraId="70DFCC37" w14:textId="4C366C75" w:rsidR="009D7BB5" w:rsidRPr="000F6973" w:rsidRDefault="000F6973" w:rsidP="009D7BB5">
            <w:pPr>
              <w:widowControl/>
              <w:autoSpaceDE/>
              <w:autoSpaceDN/>
              <w:adjustRightInd/>
              <w:textAlignment w:val="baseline"/>
              <w:rPr>
                <w:rFonts w:asciiTheme="minorHAnsi" w:hAnsiTheme="minorHAnsi" w:cstheme="minorHAnsi"/>
                <w:b/>
                <w:sz w:val="22"/>
                <w:szCs w:val="22"/>
              </w:rPr>
            </w:pPr>
            <w:r w:rsidRPr="000F6973">
              <w:rPr>
                <w:rFonts w:asciiTheme="minorHAnsi" w:hAnsiTheme="minorHAnsi" w:cstheme="minorHAnsi"/>
                <w:bCs/>
                <w:sz w:val="22"/>
                <w:szCs w:val="22"/>
              </w:rPr>
              <w:t>9/13</w:t>
            </w:r>
            <w:r w:rsidR="009D7BB5" w:rsidRPr="000F6973">
              <w:rPr>
                <w:rFonts w:asciiTheme="minorHAnsi" w:hAnsiTheme="minorHAnsi" w:cstheme="minorHAnsi"/>
                <w:bCs/>
                <w:sz w:val="22"/>
                <w:szCs w:val="22"/>
              </w:rPr>
              <w:t>/2024</w:t>
            </w:r>
          </w:p>
        </w:tc>
        <w:tc>
          <w:tcPr>
            <w:tcW w:w="1516" w:type="dxa"/>
          </w:tcPr>
          <w:p w14:paraId="54AA5397" w14:textId="5D41CB59" w:rsidR="009D7BB5" w:rsidRPr="000F6973" w:rsidRDefault="009D7BB5" w:rsidP="009D7BB5">
            <w:pPr>
              <w:widowControl/>
              <w:autoSpaceDE/>
              <w:autoSpaceDN/>
              <w:adjustRightInd/>
              <w:textAlignment w:val="baseline"/>
              <w:rPr>
                <w:rFonts w:asciiTheme="minorHAnsi" w:hAnsiTheme="minorHAnsi" w:cstheme="minorHAnsi"/>
                <w:b/>
                <w:sz w:val="22"/>
                <w:szCs w:val="22"/>
              </w:rPr>
            </w:pPr>
            <w:r w:rsidRPr="000F6973">
              <w:rPr>
                <w:rFonts w:asciiTheme="minorHAnsi" w:hAnsiTheme="minorHAnsi" w:cstheme="minorHAnsi"/>
                <w:bCs/>
                <w:sz w:val="22"/>
                <w:szCs w:val="22"/>
              </w:rPr>
              <w:t>Yes</w:t>
            </w:r>
          </w:p>
        </w:tc>
        <w:tc>
          <w:tcPr>
            <w:tcW w:w="1285" w:type="dxa"/>
          </w:tcPr>
          <w:p w14:paraId="25559A34" w14:textId="4022F2D8" w:rsidR="009D7BB5" w:rsidRPr="000F6973" w:rsidRDefault="009D7BB5" w:rsidP="009D7BB5">
            <w:pPr>
              <w:widowControl/>
              <w:autoSpaceDE/>
              <w:autoSpaceDN/>
              <w:adjustRightInd/>
              <w:textAlignment w:val="baseline"/>
              <w:rPr>
                <w:rFonts w:asciiTheme="minorHAnsi" w:hAnsiTheme="minorHAnsi" w:cstheme="minorHAnsi"/>
                <w:b/>
                <w:sz w:val="22"/>
                <w:szCs w:val="22"/>
              </w:rPr>
            </w:pPr>
            <w:r w:rsidRPr="000F6973">
              <w:rPr>
                <w:rFonts w:asciiTheme="minorHAnsi" w:eastAsia="Calibri" w:hAnsiTheme="minorHAnsi" w:cstheme="minorHAnsi"/>
                <w:bCs/>
                <w:sz w:val="22"/>
                <w:szCs w:val="22"/>
              </w:rPr>
              <w:t>Yes</w:t>
            </w:r>
          </w:p>
        </w:tc>
        <w:tc>
          <w:tcPr>
            <w:tcW w:w="1890" w:type="dxa"/>
          </w:tcPr>
          <w:p w14:paraId="60098844" w14:textId="221F0E20" w:rsidR="009D7BB5" w:rsidRPr="000F6973" w:rsidRDefault="000F6973" w:rsidP="009D7BB5">
            <w:pPr>
              <w:widowControl/>
              <w:autoSpaceDE/>
              <w:autoSpaceDN/>
              <w:adjustRightInd/>
              <w:textAlignment w:val="baseline"/>
              <w:rPr>
                <w:rFonts w:asciiTheme="minorHAnsi" w:hAnsiTheme="minorHAnsi" w:cstheme="minorHAnsi"/>
                <w:b/>
                <w:sz w:val="22"/>
                <w:szCs w:val="22"/>
              </w:rPr>
            </w:pPr>
            <w:r w:rsidRPr="000F6973">
              <w:rPr>
                <w:rFonts w:asciiTheme="minorHAnsi" w:hAnsiTheme="minorHAnsi" w:cstheme="minorHAnsi"/>
                <w:bCs/>
                <w:sz w:val="22"/>
                <w:szCs w:val="22"/>
              </w:rPr>
              <w:t>12/10/2024</w:t>
            </w:r>
          </w:p>
        </w:tc>
      </w:tr>
    </w:tbl>
    <w:p w14:paraId="6308ED8E" w14:textId="77777777" w:rsid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 </w:t>
      </w:r>
    </w:p>
    <w:p w14:paraId="0DC22938" w14:textId="5E07E0E8" w:rsidR="00B85069" w:rsidRDefault="008D6A98" w:rsidP="00056AA3">
      <w:pPr>
        <w:widowControl/>
        <w:autoSpaceDE/>
        <w:autoSpaceDN/>
        <w:adjustRightInd/>
        <w:textAlignment w:val="baseline"/>
        <w:rPr>
          <w:rFonts w:asciiTheme="minorHAnsi" w:hAnsiTheme="minorHAnsi" w:cstheme="minorHAnsi"/>
        </w:rPr>
      </w:pPr>
      <w:r>
        <w:rPr>
          <w:rFonts w:asciiTheme="minorHAnsi" w:hAnsiTheme="minorHAnsi" w:cstheme="minorHAnsi"/>
        </w:rPr>
        <w:t xml:space="preserve">There were no state-initiated changes in FY 2024 and FY 2025. </w:t>
      </w:r>
      <w:r w:rsidR="00373326">
        <w:rPr>
          <w:rFonts w:asciiTheme="minorHAnsi" w:hAnsiTheme="minorHAnsi" w:cstheme="minorHAnsi"/>
        </w:rPr>
        <w:t xml:space="preserve"> However, </w:t>
      </w:r>
      <w:r w:rsidR="00DF01F3">
        <w:rPr>
          <w:rFonts w:asciiTheme="minorHAnsi" w:hAnsiTheme="minorHAnsi" w:cstheme="minorHAnsi"/>
        </w:rPr>
        <w:t xml:space="preserve">in FY 2024, Governor Hobbs signed an Executive Order to protect Arizonans from heat risk in the workplace.  The Executive Order </w:t>
      </w:r>
      <w:r w:rsidR="00DF0C34">
        <w:rPr>
          <w:rFonts w:asciiTheme="minorHAnsi" w:hAnsiTheme="minorHAnsi" w:cstheme="minorHAnsi"/>
        </w:rPr>
        <w:t>directed ADOSH to develop a Workplace Heat Safety Task Force, which was comprised of industry leaders, worker representatives, and occupational safety and health professionals</w:t>
      </w:r>
      <w:r w:rsidR="00431DDB">
        <w:rPr>
          <w:rFonts w:asciiTheme="minorHAnsi" w:hAnsiTheme="minorHAnsi" w:cstheme="minorHAnsi"/>
        </w:rPr>
        <w:t>.  The Workplace Heat Safety Task Force aimed</w:t>
      </w:r>
      <w:r w:rsidR="00E60424">
        <w:rPr>
          <w:rFonts w:asciiTheme="minorHAnsi" w:hAnsiTheme="minorHAnsi" w:cstheme="minorHAnsi"/>
        </w:rPr>
        <w:t xml:space="preserve"> </w:t>
      </w:r>
      <w:r w:rsidR="00B10FE0">
        <w:rPr>
          <w:rFonts w:asciiTheme="minorHAnsi" w:hAnsiTheme="minorHAnsi" w:cstheme="minorHAnsi"/>
        </w:rPr>
        <w:t>to support</w:t>
      </w:r>
      <w:r w:rsidR="00E60424">
        <w:rPr>
          <w:rFonts w:asciiTheme="minorHAnsi" w:hAnsiTheme="minorHAnsi" w:cstheme="minorHAnsi"/>
        </w:rPr>
        <w:t xml:space="preserve"> ADOSH’s Heat Stress State Emphasis Program (SEP), which was launched in </w:t>
      </w:r>
      <w:r w:rsidR="001D47E4">
        <w:rPr>
          <w:rFonts w:asciiTheme="minorHAnsi" w:hAnsiTheme="minorHAnsi" w:cstheme="minorHAnsi"/>
        </w:rPr>
        <w:t xml:space="preserve">July </w:t>
      </w:r>
      <w:r w:rsidR="00E60424">
        <w:rPr>
          <w:rFonts w:asciiTheme="minorHAnsi" w:hAnsiTheme="minorHAnsi" w:cstheme="minorHAnsi"/>
        </w:rPr>
        <w:t>2023</w:t>
      </w:r>
      <w:r w:rsidR="00250EB1">
        <w:rPr>
          <w:rFonts w:asciiTheme="minorHAnsi" w:hAnsiTheme="minorHAnsi" w:cstheme="minorHAnsi"/>
        </w:rPr>
        <w:t>,</w:t>
      </w:r>
      <w:r w:rsidR="00771BEE">
        <w:rPr>
          <w:rFonts w:asciiTheme="minorHAnsi" w:hAnsiTheme="minorHAnsi" w:cstheme="minorHAnsi"/>
        </w:rPr>
        <w:t xml:space="preserve"> and </w:t>
      </w:r>
      <w:r w:rsidR="00250EB1">
        <w:rPr>
          <w:rFonts w:asciiTheme="minorHAnsi" w:hAnsiTheme="minorHAnsi" w:cstheme="minorHAnsi"/>
        </w:rPr>
        <w:t xml:space="preserve">was </w:t>
      </w:r>
      <w:r w:rsidR="00771BEE">
        <w:rPr>
          <w:rFonts w:asciiTheme="minorHAnsi" w:hAnsiTheme="minorHAnsi" w:cstheme="minorHAnsi"/>
        </w:rPr>
        <w:t xml:space="preserve">created to </w:t>
      </w:r>
      <w:r w:rsidR="00431DDB">
        <w:rPr>
          <w:rFonts w:asciiTheme="minorHAnsi" w:hAnsiTheme="minorHAnsi" w:cstheme="minorHAnsi"/>
        </w:rPr>
        <w:t xml:space="preserve">draft and recommend guidelines for heat illness prevention </w:t>
      </w:r>
      <w:r w:rsidR="00E60424">
        <w:rPr>
          <w:rFonts w:asciiTheme="minorHAnsi" w:hAnsiTheme="minorHAnsi" w:cstheme="minorHAnsi"/>
        </w:rPr>
        <w:t>for employers</w:t>
      </w:r>
      <w:r w:rsidR="00102B34">
        <w:rPr>
          <w:rFonts w:asciiTheme="minorHAnsi" w:hAnsiTheme="minorHAnsi" w:cstheme="minorHAnsi"/>
        </w:rPr>
        <w:t xml:space="preserve"> through enforcement, training, and compliance assistance efforts. </w:t>
      </w:r>
    </w:p>
    <w:p w14:paraId="4F78EEA4" w14:textId="77777777" w:rsidR="00C447F5" w:rsidRDefault="00C447F5" w:rsidP="00056AA3">
      <w:pPr>
        <w:widowControl/>
        <w:autoSpaceDE/>
        <w:autoSpaceDN/>
        <w:adjustRightInd/>
        <w:textAlignment w:val="baseline"/>
        <w:rPr>
          <w:rFonts w:asciiTheme="minorHAnsi" w:hAnsiTheme="minorHAnsi" w:cstheme="minorHAnsi"/>
        </w:rPr>
      </w:pPr>
    </w:p>
    <w:p w14:paraId="31105D01" w14:textId="739AFB41" w:rsidR="00672699" w:rsidRDefault="000D1C41" w:rsidP="00C447F5">
      <w:pPr>
        <w:pStyle w:val="Heading3"/>
        <w:numPr>
          <w:ilvl w:val="0"/>
          <w:numId w:val="29"/>
        </w:numPr>
        <w:spacing w:before="0"/>
        <w:ind w:left="1080"/>
        <w:rPr>
          <w:rFonts w:cstheme="minorHAnsi"/>
          <w:i/>
          <w:color w:val="000000"/>
        </w:rPr>
      </w:pPr>
      <w:bookmarkStart w:id="34" w:name="Variances"/>
      <w:bookmarkStart w:id="35" w:name="_Toc160178418"/>
      <w:bookmarkStart w:id="36" w:name="_Toc225327061"/>
      <w:bookmarkEnd w:id="34"/>
      <w:r w:rsidRPr="00700613">
        <w:t>Variances</w:t>
      </w:r>
      <w:bookmarkEnd w:id="35"/>
      <w:bookmarkEnd w:id="36"/>
      <w:r w:rsidR="005E7058" w:rsidRPr="008D4EBA">
        <w:rPr>
          <w:rFonts w:cstheme="minorHAnsi"/>
          <w:i/>
          <w:color w:val="000000"/>
        </w:rPr>
        <w:t> </w:t>
      </w:r>
    </w:p>
    <w:p w14:paraId="46ECEB0A" w14:textId="77777777" w:rsidR="00672699" w:rsidRPr="002C195E" w:rsidRDefault="00672699" w:rsidP="002C195E"/>
    <w:p w14:paraId="31FF6C02" w14:textId="3C646C2F" w:rsidR="00056AA3" w:rsidRP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There were no new variances requested or granted during the review period. </w:t>
      </w:r>
    </w:p>
    <w:p w14:paraId="39AA2843" w14:textId="02CD1702" w:rsidR="001B37CC" w:rsidRP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 </w:t>
      </w:r>
    </w:p>
    <w:p w14:paraId="46827823" w14:textId="18BA4B81" w:rsidR="00056AA3" w:rsidRDefault="000D1C41" w:rsidP="00C447F5">
      <w:pPr>
        <w:pStyle w:val="Heading3"/>
        <w:numPr>
          <w:ilvl w:val="0"/>
          <w:numId w:val="29"/>
        </w:numPr>
        <w:spacing w:before="0"/>
        <w:ind w:left="1080"/>
        <w:rPr>
          <w:rFonts w:cstheme="minorHAnsi"/>
          <w:i/>
          <w:color w:val="000000"/>
        </w:rPr>
      </w:pPr>
      <w:bookmarkStart w:id="37" w:name="State_and_Local_Gov_Worker_Program"/>
      <w:bookmarkStart w:id="38" w:name="_Toc225327062"/>
      <w:bookmarkStart w:id="39" w:name="_Toc160178419"/>
      <w:bookmarkEnd w:id="37"/>
      <w:r w:rsidRPr="00700613">
        <w:t xml:space="preserve">State And Local Government Worker </w:t>
      </w:r>
      <w:r w:rsidRPr="00EC2EE9">
        <w:rPr>
          <w:rFonts w:cstheme="minorHAnsi"/>
          <w:color w:val="000000"/>
        </w:rPr>
        <w:t>Program</w:t>
      </w:r>
      <w:bookmarkEnd w:id="38"/>
      <w:r w:rsidRPr="008D4EBA">
        <w:rPr>
          <w:rFonts w:cstheme="minorHAnsi"/>
          <w:i/>
          <w:color w:val="000000"/>
        </w:rPr>
        <w:t> </w:t>
      </w:r>
      <w:bookmarkEnd w:id="39"/>
    </w:p>
    <w:p w14:paraId="1AEDC5E3" w14:textId="77777777" w:rsidR="00672699" w:rsidRPr="002C195E" w:rsidRDefault="00672699" w:rsidP="002C195E"/>
    <w:p w14:paraId="139AE27A" w14:textId="3E0971C4" w:rsidR="00BD289B" w:rsidRDefault="00770F8B" w:rsidP="00783FE6">
      <w:pPr>
        <w:widowControl/>
        <w:autoSpaceDE/>
        <w:autoSpaceDN/>
        <w:adjustRightInd/>
        <w:textAlignment w:val="baseline"/>
        <w:rPr>
          <w:rFonts w:asciiTheme="minorHAnsi" w:hAnsiTheme="minorHAnsi" w:cstheme="minorBidi"/>
        </w:rPr>
      </w:pPr>
      <w:r>
        <w:rPr>
          <w:rFonts w:asciiTheme="minorHAnsi" w:hAnsiTheme="minorHAnsi" w:cstheme="minorBidi"/>
        </w:rPr>
        <w:t xml:space="preserve">As part of </w:t>
      </w:r>
      <w:r w:rsidR="0063532A">
        <w:rPr>
          <w:rFonts w:asciiTheme="minorHAnsi" w:hAnsiTheme="minorHAnsi" w:cstheme="minorBidi"/>
        </w:rPr>
        <w:t xml:space="preserve">the </w:t>
      </w:r>
      <w:r>
        <w:rPr>
          <w:rFonts w:asciiTheme="minorHAnsi" w:hAnsiTheme="minorHAnsi" w:cstheme="minorBidi"/>
        </w:rPr>
        <w:t xml:space="preserve">annual performance goals set in the 23(g) grant application, </w:t>
      </w:r>
      <w:r w:rsidR="00D12D3A">
        <w:rPr>
          <w:rFonts w:asciiTheme="minorHAnsi" w:hAnsiTheme="minorHAnsi" w:cstheme="minorBidi"/>
        </w:rPr>
        <w:t xml:space="preserve">Arizona focused enforcement efforts </w:t>
      </w:r>
      <w:r>
        <w:rPr>
          <w:rFonts w:asciiTheme="minorHAnsi" w:hAnsiTheme="minorHAnsi" w:cstheme="minorBidi"/>
        </w:rPr>
        <w:t>towards</w:t>
      </w:r>
      <w:r w:rsidR="00D12D3A">
        <w:rPr>
          <w:rFonts w:asciiTheme="minorHAnsi" w:hAnsiTheme="minorHAnsi" w:cstheme="minorBidi"/>
        </w:rPr>
        <w:t xml:space="preserve"> </w:t>
      </w:r>
      <w:r>
        <w:rPr>
          <w:rFonts w:asciiTheme="minorHAnsi" w:hAnsiTheme="minorHAnsi" w:cstheme="minorBidi"/>
        </w:rPr>
        <w:t xml:space="preserve">scheduled </w:t>
      </w:r>
      <w:r w:rsidR="006A2A63">
        <w:rPr>
          <w:rFonts w:asciiTheme="minorHAnsi" w:hAnsiTheme="minorHAnsi" w:cstheme="minorBidi"/>
        </w:rPr>
        <w:t xml:space="preserve">inspections </w:t>
      </w:r>
      <w:r w:rsidR="00D12D3A">
        <w:rPr>
          <w:rFonts w:asciiTheme="minorHAnsi" w:hAnsiTheme="minorHAnsi" w:cstheme="minorBidi"/>
        </w:rPr>
        <w:t xml:space="preserve">in state and local government workplaces.  </w:t>
      </w:r>
      <w:r w:rsidR="005A5154">
        <w:rPr>
          <w:rFonts w:asciiTheme="minorHAnsi" w:hAnsiTheme="minorHAnsi" w:cstheme="minorBidi"/>
        </w:rPr>
        <w:t xml:space="preserve">According to the Appendix D, </w:t>
      </w:r>
      <w:r w:rsidR="001B1BA0">
        <w:rPr>
          <w:rFonts w:asciiTheme="minorHAnsi" w:hAnsiTheme="minorHAnsi" w:cstheme="minorBidi"/>
        </w:rPr>
        <w:t xml:space="preserve">ADOSH </w:t>
      </w:r>
      <w:r w:rsidR="00FF7638">
        <w:rPr>
          <w:rFonts w:asciiTheme="minorHAnsi" w:hAnsiTheme="minorHAnsi" w:cstheme="minorBidi"/>
        </w:rPr>
        <w:t xml:space="preserve">conducted 19 of 278 (6.83%) inspections in state and local government workplaces (SAMM 6).  </w:t>
      </w:r>
      <w:r w:rsidR="00537AC7">
        <w:rPr>
          <w:rFonts w:asciiTheme="minorHAnsi" w:hAnsiTheme="minorHAnsi" w:cstheme="minorBidi"/>
        </w:rPr>
        <w:t>This fell short of the projected goal of</w:t>
      </w:r>
      <w:r w:rsidR="001D5F78">
        <w:rPr>
          <w:rFonts w:asciiTheme="minorHAnsi" w:hAnsiTheme="minorHAnsi" w:cstheme="minorBidi"/>
        </w:rPr>
        <w:t xml:space="preserve"> 60 (8%) </w:t>
      </w:r>
      <w:r w:rsidR="00537AC7">
        <w:rPr>
          <w:rFonts w:asciiTheme="minorHAnsi" w:hAnsiTheme="minorHAnsi" w:cstheme="minorBidi"/>
        </w:rPr>
        <w:t>inspections</w:t>
      </w:r>
      <w:r w:rsidR="001067F8">
        <w:rPr>
          <w:rFonts w:asciiTheme="minorHAnsi" w:hAnsiTheme="minorHAnsi" w:cstheme="minorBidi"/>
        </w:rPr>
        <w:t xml:space="preserve">, which </w:t>
      </w:r>
      <w:r w:rsidR="00646D74">
        <w:rPr>
          <w:rFonts w:asciiTheme="minorHAnsi" w:hAnsiTheme="minorHAnsi" w:cstheme="minorBidi"/>
        </w:rPr>
        <w:t xml:space="preserve">was </w:t>
      </w:r>
      <w:r w:rsidR="001067F8">
        <w:rPr>
          <w:rFonts w:asciiTheme="minorHAnsi" w:hAnsiTheme="minorHAnsi" w:cstheme="minorBidi"/>
        </w:rPr>
        <w:t>negotiated with OSHA through the 23(g) grant application</w:t>
      </w:r>
      <w:r w:rsidR="00163E13">
        <w:rPr>
          <w:rFonts w:asciiTheme="minorHAnsi" w:hAnsiTheme="minorHAnsi" w:cstheme="minorBidi"/>
        </w:rPr>
        <w:t>, but Arizona</w:t>
      </w:r>
      <w:r w:rsidR="00D11C4D">
        <w:rPr>
          <w:rFonts w:asciiTheme="minorHAnsi" w:hAnsiTheme="minorHAnsi" w:cstheme="minorBidi"/>
        </w:rPr>
        <w:t xml:space="preserve"> </w:t>
      </w:r>
      <w:r w:rsidR="0001323B">
        <w:rPr>
          <w:rFonts w:asciiTheme="minorHAnsi" w:hAnsiTheme="minorHAnsi" w:cstheme="minorBidi"/>
        </w:rPr>
        <w:t xml:space="preserve">was above the </w:t>
      </w:r>
      <w:r w:rsidR="0001323B">
        <w:rPr>
          <w:rFonts w:asciiTheme="minorHAnsi" w:hAnsiTheme="minorHAnsi" w:cstheme="minorBidi"/>
        </w:rPr>
        <w:lastRenderedPageBreak/>
        <w:t>FRL of</w:t>
      </w:r>
      <w:r w:rsidR="00A71AE8">
        <w:rPr>
          <w:rFonts w:asciiTheme="minorHAnsi" w:hAnsiTheme="minorHAnsi" w:cstheme="minorBidi"/>
        </w:rPr>
        <w:t xml:space="preserve"> -20% of the </w:t>
      </w:r>
      <w:r w:rsidR="001F148F">
        <w:rPr>
          <w:rFonts w:asciiTheme="minorHAnsi" w:hAnsiTheme="minorHAnsi" w:cstheme="minorBidi"/>
        </w:rPr>
        <w:t xml:space="preserve">three-year </w:t>
      </w:r>
      <w:r w:rsidR="00A71AE8">
        <w:rPr>
          <w:rFonts w:asciiTheme="minorHAnsi" w:hAnsiTheme="minorHAnsi" w:cstheme="minorBidi"/>
        </w:rPr>
        <w:t>national average</w:t>
      </w:r>
      <w:r w:rsidR="00B72B39">
        <w:rPr>
          <w:rFonts w:asciiTheme="minorHAnsi" w:hAnsiTheme="minorHAnsi" w:cstheme="minorBidi"/>
        </w:rPr>
        <w:t xml:space="preserve"> of 8%</w:t>
      </w:r>
      <w:r w:rsidR="001F148F">
        <w:rPr>
          <w:rFonts w:asciiTheme="minorHAnsi" w:hAnsiTheme="minorHAnsi" w:cstheme="minorBidi"/>
        </w:rPr>
        <w:t>, which</w:t>
      </w:r>
      <w:r w:rsidR="00B72B39">
        <w:rPr>
          <w:rFonts w:asciiTheme="minorHAnsi" w:hAnsiTheme="minorHAnsi" w:cstheme="minorBidi"/>
        </w:rPr>
        <w:t xml:space="preserve"> equaled 6.40</w:t>
      </w:r>
      <w:r w:rsidR="00B72B39" w:rsidRPr="009051E7">
        <w:rPr>
          <w:rFonts w:asciiTheme="minorHAnsi" w:hAnsiTheme="minorHAnsi" w:cstheme="minorBidi"/>
        </w:rPr>
        <w:t>%</w:t>
      </w:r>
      <w:r w:rsidR="001F148F" w:rsidRPr="009051E7">
        <w:rPr>
          <w:rFonts w:asciiTheme="minorHAnsi" w:hAnsiTheme="minorHAnsi" w:cstheme="minorBidi"/>
        </w:rPr>
        <w:t>.</w:t>
      </w:r>
      <w:r w:rsidR="001F148F">
        <w:rPr>
          <w:rFonts w:asciiTheme="minorHAnsi" w:hAnsiTheme="minorHAnsi" w:cstheme="minorBidi"/>
        </w:rPr>
        <w:t xml:space="preserve">  </w:t>
      </w:r>
      <w:r w:rsidR="00942E96">
        <w:rPr>
          <w:rFonts w:asciiTheme="minorHAnsi" w:hAnsiTheme="minorHAnsi" w:cstheme="minorBidi"/>
        </w:rPr>
        <w:t>Staffing</w:t>
      </w:r>
      <w:r w:rsidR="00163E13">
        <w:rPr>
          <w:rFonts w:asciiTheme="minorHAnsi" w:hAnsiTheme="minorHAnsi" w:cstheme="minorBidi"/>
        </w:rPr>
        <w:t xml:space="preserve"> </w:t>
      </w:r>
      <w:r w:rsidR="00942E96">
        <w:rPr>
          <w:rFonts w:asciiTheme="minorHAnsi" w:hAnsiTheme="minorHAnsi" w:cstheme="minorBidi"/>
        </w:rPr>
        <w:t xml:space="preserve">vacancies and turnover </w:t>
      </w:r>
      <w:r w:rsidR="005A5154">
        <w:rPr>
          <w:rFonts w:asciiTheme="minorHAnsi" w:hAnsiTheme="minorHAnsi" w:cstheme="minorBidi"/>
        </w:rPr>
        <w:t>were</w:t>
      </w:r>
      <w:r w:rsidR="00942E96">
        <w:rPr>
          <w:rFonts w:asciiTheme="minorHAnsi" w:hAnsiTheme="minorHAnsi" w:cstheme="minorBidi"/>
        </w:rPr>
        <w:t xml:space="preserve"> the primary factor</w:t>
      </w:r>
      <w:r w:rsidR="005A5154">
        <w:rPr>
          <w:rFonts w:asciiTheme="minorHAnsi" w:hAnsiTheme="minorHAnsi" w:cstheme="minorBidi"/>
        </w:rPr>
        <w:t>s</w:t>
      </w:r>
      <w:r w:rsidR="00942E96">
        <w:rPr>
          <w:rFonts w:asciiTheme="minorHAnsi" w:hAnsiTheme="minorHAnsi" w:cstheme="minorBidi"/>
        </w:rPr>
        <w:t xml:space="preserve"> for </w:t>
      </w:r>
      <w:r w:rsidR="007677C7">
        <w:rPr>
          <w:rFonts w:asciiTheme="minorHAnsi" w:hAnsiTheme="minorHAnsi" w:cstheme="minorBidi"/>
        </w:rPr>
        <w:t xml:space="preserve">ADOSH </w:t>
      </w:r>
      <w:r w:rsidR="00942E96">
        <w:rPr>
          <w:rFonts w:asciiTheme="minorHAnsi" w:hAnsiTheme="minorHAnsi" w:cstheme="minorBidi"/>
        </w:rPr>
        <w:t xml:space="preserve">not meeting inspection projections.  </w:t>
      </w:r>
      <w:r w:rsidR="00056AA3" w:rsidRPr="0E4AD524">
        <w:rPr>
          <w:rFonts w:asciiTheme="minorHAnsi" w:hAnsiTheme="minorHAnsi" w:cstheme="minorBidi"/>
        </w:rPr>
        <w:t xml:space="preserve">Proposed penalties for state and local government agencies </w:t>
      </w:r>
      <w:r w:rsidR="00156FA4">
        <w:rPr>
          <w:rFonts w:asciiTheme="minorHAnsi" w:hAnsiTheme="minorHAnsi" w:cstheme="minorBidi"/>
        </w:rPr>
        <w:t xml:space="preserve">were assessed </w:t>
      </w:r>
      <w:r w:rsidR="00056AA3" w:rsidRPr="0E4AD524">
        <w:rPr>
          <w:rFonts w:asciiTheme="minorHAnsi" w:hAnsiTheme="minorHAnsi" w:cstheme="minorBidi"/>
        </w:rPr>
        <w:t xml:space="preserve">the same </w:t>
      </w:r>
      <w:r w:rsidR="00243077">
        <w:rPr>
          <w:rFonts w:asciiTheme="minorHAnsi" w:hAnsiTheme="minorHAnsi" w:cstheme="minorBidi"/>
        </w:rPr>
        <w:t xml:space="preserve">as </w:t>
      </w:r>
      <w:r w:rsidR="00056AA3" w:rsidRPr="0E4AD524">
        <w:rPr>
          <w:rFonts w:asciiTheme="minorHAnsi" w:hAnsiTheme="minorHAnsi" w:cstheme="minorBidi"/>
        </w:rPr>
        <w:t xml:space="preserve">for private </w:t>
      </w:r>
      <w:r w:rsidR="00156FA4">
        <w:rPr>
          <w:rFonts w:asciiTheme="minorHAnsi" w:hAnsiTheme="minorHAnsi" w:cstheme="minorBidi"/>
        </w:rPr>
        <w:t>sector employers</w:t>
      </w:r>
      <w:r w:rsidR="00056AA3" w:rsidRPr="0E4AD524">
        <w:rPr>
          <w:rFonts w:asciiTheme="minorHAnsi" w:hAnsiTheme="minorHAnsi" w:cstheme="minorBidi"/>
        </w:rPr>
        <w:t>.</w:t>
      </w:r>
      <w:r w:rsidR="008D3F6B" w:rsidRPr="0E4AD524">
        <w:rPr>
          <w:rFonts w:asciiTheme="minorHAnsi" w:hAnsiTheme="minorHAnsi" w:cstheme="minorBidi"/>
        </w:rPr>
        <w:t xml:space="preserve"> </w:t>
      </w:r>
    </w:p>
    <w:p w14:paraId="359AC60B" w14:textId="76112EC3" w:rsidR="00AB3DEC" w:rsidRDefault="00AB3DEC" w:rsidP="00783FE6">
      <w:pPr>
        <w:widowControl/>
        <w:autoSpaceDE/>
        <w:autoSpaceDN/>
        <w:adjustRightInd/>
        <w:textAlignment w:val="baseline"/>
        <w:rPr>
          <w:rFonts w:asciiTheme="minorHAnsi" w:hAnsiTheme="minorHAnsi" w:cstheme="minorBidi"/>
        </w:rPr>
      </w:pPr>
    </w:p>
    <w:p w14:paraId="409B008B" w14:textId="5AB06167" w:rsidR="00056AA3" w:rsidRDefault="000D1C41" w:rsidP="00C447F5">
      <w:pPr>
        <w:pStyle w:val="Heading3"/>
        <w:numPr>
          <w:ilvl w:val="0"/>
          <w:numId w:val="29"/>
        </w:numPr>
        <w:spacing w:before="0"/>
        <w:ind w:left="1080"/>
        <w:rPr>
          <w:rFonts w:cstheme="minorHAnsi"/>
          <w:i/>
          <w:color w:val="000000"/>
        </w:rPr>
      </w:pPr>
      <w:bookmarkStart w:id="40" w:name="Whistleblower_Protection_Program"/>
      <w:bookmarkStart w:id="41" w:name="_Toc160178420"/>
      <w:bookmarkStart w:id="42" w:name="_Toc225327063"/>
      <w:bookmarkEnd w:id="40"/>
      <w:r w:rsidRPr="00700613">
        <w:t>Whistleblower Protection Program</w:t>
      </w:r>
      <w:bookmarkEnd w:id="41"/>
      <w:r w:rsidRPr="008D4EBA">
        <w:rPr>
          <w:rFonts w:cstheme="minorHAnsi"/>
          <w:color w:val="000000"/>
        </w:rPr>
        <w:t> </w:t>
      </w:r>
      <w:r w:rsidRPr="008D4EBA">
        <w:rPr>
          <w:rFonts w:cstheme="minorHAnsi"/>
          <w:i/>
          <w:color w:val="000000"/>
        </w:rPr>
        <w:t> </w:t>
      </w:r>
      <w:bookmarkEnd w:id="42"/>
    </w:p>
    <w:p w14:paraId="4F7E350C" w14:textId="77777777" w:rsidR="00672699" w:rsidRPr="002C195E" w:rsidRDefault="00672699" w:rsidP="002C195E"/>
    <w:p w14:paraId="6FA86F41" w14:textId="0C6B1F30" w:rsidR="0070537A" w:rsidRDefault="51281C9B" w:rsidP="135FD61F">
      <w:pPr>
        <w:widowControl/>
        <w:autoSpaceDE/>
        <w:autoSpaceDN/>
        <w:adjustRightInd/>
        <w:textAlignment w:val="baseline"/>
        <w:rPr>
          <w:rFonts w:asciiTheme="minorHAnsi" w:hAnsiTheme="minorHAnsi" w:cstheme="minorBidi"/>
        </w:rPr>
      </w:pPr>
      <w:r w:rsidRPr="135FD61F">
        <w:rPr>
          <w:rFonts w:asciiTheme="minorHAnsi" w:hAnsiTheme="minorHAnsi" w:cstheme="minorBidi"/>
        </w:rPr>
        <w:t>During FY 202</w:t>
      </w:r>
      <w:r w:rsidR="00E15C3B">
        <w:rPr>
          <w:rFonts w:asciiTheme="minorHAnsi" w:hAnsiTheme="minorHAnsi" w:cstheme="minorBidi"/>
        </w:rPr>
        <w:t>5</w:t>
      </w:r>
      <w:r w:rsidRPr="135FD61F">
        <w:rPr>
          <w:rFonts w:asciiTheme="minorHAnsi" w:hAnsiTheme="minorHAnsi" w:cstheme="minorBidi"/>
        </w:rPr>
        <w:t xml:space="preserve">, </w:t>
      </w:r>
      <w:r w:rsidRPr="00684A5E">
        <w:rPr>
          <w:rFonts w:asciiTheme="minorHAnsi" w:hAnsiTheme="minorHAnsi" w:cstheme="minorBidi"/>
        </w:rPr>
        <w:t xml:space="preserve">there </w:t>
      </w:r>
      <w:r w:rsidRPr="601A90A2">
        <w:rPr>
          <w:rFonts w:asciiTheme="minorHAnsi" w:hAnsiTheme="minorHAnsi" w:cstheme="minorBidi"/>
        </w:rPr>
        <w:t xml:space="preserve">were </w:t>
      </w:r>
      <w:r w:rsidR="00B90E90" w:rsidRPr="0083347D">
        <w:rPr>
          <w:rFonts w:asciiTheme="minorHAnsi" w:hAnsiTheme="minorHAnsi" w:cstheme="minorBidi"/>
        </w:rPr>
        <w:t>two</w:t>
      </w:r>
      <w:r w:rsidR="00CB35F3" w:rsidRPr="601A90A2">
        <w:rPr>
          <w:rFonts w:asciiTheme="minorHAnsi" w:hAnsiTheme="minorHAnsi" w:cstheme="minorBidi"/>
        </w:rPr>
        <w:t xml:space="preserve"> </w:t>
      </w:r>
      <w:r w:rsidR="00DE1113" w:rsidRPr="601A90A2">
        <w:rPr>
          <w:rFonts w:asciiTheme="minorHAnsi" w:hAnsiTheme="minorHAnsi" w:cstheme="minorBidi"/>
        </w:rPr>
        <w:t>r</w:t>
      </w:r>
      <w:r w:rsidR="003F37F3" w:rsidRPr="601A90A2">
        <w:rPr>
          <w:rFonts w:asciiTheme="minorHAnsi" w:hAnsiTheme="minorHAnsi" w:cstheme="minorBidi"/>
        </w:rPr>
        <w:t xml:space="preserve">etaliation </w:t>
      </w:r>
      <w:r w:rsidRPr="601A90A2">
        <w:rPr>
          <w:rFonts w:asciiTheme="minorHAnsi" w:hAnsiTheme="minorHAnsi" w:cstheme="minorBidi"/>
        </w:rPr>
        <w:t>investigators</w:t>
      </w:r>
      <w:r w:rsidR="00B90E90" w:rsidRPr="0083347D">
        <w:rPr>
          <w:rFonts w:asciiTheme="minorHAnsi" w:hAnsiTheme="minorHAnsi" w:cstheme="minorBidi"/>
        </w:rPr>
        <w:t xml:space="preserve"> and</w:t>
      </w:r>
      <w:r w:rsidRPr="601A90A2">
        <w:rPr>
          <w:rFonts w:asciiTheme="minorHAnsi" w:hAnsiTheme="minorHAnsi" w:cstheme="minorBidi"/>
        </w:rPr>
        <w:t xml:space="preserve"> </w:t>
      </w:r>
      <w:r w:rsidRPr="0083347D">
        <w:rPr>
          <w:rFonts w:asciiTheme="minorHAnsi" w:hAnsiTheme="minorHAnsi" w:cstheme="minorBidi"/>
        </w:rPr>
        <w:t xml:space="preserve">one full-time supervisor who spent </w:t>
      </w:r>
      <w:r w:rsidR="5D651207" w:rsidRPr="0083347D">
        <w:rPr>
          <w:rFonts w:asciiTheme="minorHAnsi" w:hAnsiTheme="minorHAnsi" w:cstheme="minorBidi"/>
        </w:rPr>
        <w:t>100</w:t>
      </w:r>
      <w:r w:rsidRPr="0083347D">
        <w:rPr>
          <w:rFonts w:asciiTheme="minorHAnsi" w:hAnsiTheme="minorHAnsi" w:cstheme="minorBidi"/>
        </w:rPr>
        <w:t>% of the time conducting workplace retaliation investigations.  All attended the required OSHA whistleblower protection program training.</w:t>
      </w:r>
      <w:r w:rsidRPr="135FD61F">
        <w:rPr>
          <w:rFonts w:asciiTheme="minorHAnsi" w:hAnsiTheme="minorHAnsi" w:cstheme="minorBidi"/>
        </w:rPr>
        <w:t>  </w:t>
      </w:r>
    </w:p>
    <w:p w14:paraId="7082ACA0" w14:textId="77777777" w:rsidR="002E5477" w:rsidRDefault="002E5477" w:rsidP="135FD61F">
      <w:pPr>
        <w:widowControl/>
        <w:autoSpaceDE/>
        <w:autoSpaceDN/>
        <w:adjustRightInd/>
        <w:textAlignment w:val="baseline"/>
        <w:rPr>
          <w:rFonts w:asciiTheme="minorHAnsi" w:hAnsiTheme="minorHAnsi" w:cstheme="minorBidi"/>
        </w:rPr>
      </w:pPr>
    </w:p>
    <w:p w14:paraId="74AB99EF" w14:textId="6E1613DB" w:rsidR="002E5477" w:rsidRPr="00E25B20" w:rsidRDefault="002E5477" w:rsidP="002E5477">
      <w:pPr>
        <w:rPr>
          <w:rFonts w:asciiTheme="minorHAnsi" w:hAnsiTheme="minorHAnsi" w:cstheme="minorHAnsi"/>
        </w:rPr>
      </w:pPr>
      <w:r w:rsidRPr="00E25B20">
        <w:rPr>
          <w:rFonts w:asciiTheme="minorHAnsi" w:hAnsiTheme="minorHAnsi" w:cstheme="minorHAnsi"/>
        </w:rPr>
        <w:t>ADOSH negotiated with OSHA the average number of days 11(c) investigation pending (SAMM 14) as part of their 23(g) grant. During the review period, ADOSH’s average number was 619 days, which was above the FRL.  In addition, A</w:t>
      </w:r>
      <w:r w:rsidR="00527FE3" w:rsidRPr="00E25B20">
        <w:rPr>
          <w:rFonts w:asciiTheme="minorHAnsi" w:hAnsiTheme="minorHAnsi" w:cstheme="minorHAnsi"/>
        </w:rPr>
        <w:t>D</w:t>
      </w:r>
      <w:r w:rsidRPr="00E25B20">
        <w:rPr>
          <w:rFonts w:asciiTheme="minorHAnsi" w:hAnsiTheme="minorHAnsi" w:cstheme="minorHAnsi"/>
        </w:rPr>
        <w:t>OSH negotiated the percentage of 11</w:t>
      </w:r>
      <w:r w:rsidR="00655BDD">
        <w:rPr>
          <w:rFonts w:asciiTheme="minorHAnsi" w:hAnsiTheme="minorHAnsi" w:cstheme="minorHAnsi"/>
        </w:rPr>
        <w:t>(</w:t>
      </w:r>
      <w:r w:rsidRPr="00E25B20">
        <w:rPr>
          <w:rFonts w:asciiTheme="minorHAnsi" w:hAnsiTheme="minorHAnsi" w:cstheme="minorHAnsi"/>
        </w:rPr>
        <w:t>c</w:t>
      </w:r>
      <w:r w:rsidR="00655BDD">
        <w:rPr>
          <w:rFonts w:asciiTheme="minorHAnsi" w:hAnsiTheme="minorHAnsi" w:cstheme="minorHAnsi"/>
        </w:rPr>
        <w:t>)</w:t>
      </w:r>
      <w:r w:rsidRPr="00E25B20">
        <w:rPr>
          <w:rFonts w:asciiTheme="minorHAnsi" w:hAnsiTheme="minorHAnsi" w:cstheme="minorHAnsi"/>
        </w:rPr>
        <w:t xml:space="preserve"> cases pending investigation over 90 days (SAMM 15). </w:t>
      </w:r>
      <w:r w:rsidR="00655BDD">
        <w:rPr>
          <w:rFonts w:asciiTheme="minorHAnsi" w:hAnsiTheme="minorHAnsi" w:cstheme="minorHAnsi"/>
        </w:rPr>
        <w:t xml:space="preserve"> </w:t>
      </w:r>
      <w:r w:rsidR="00DE74CA" w:rsidRPr="00E25B20">
        <w:rPr>
          <w:rFonts w:asciiTheme="minorHAnsi" w:hAnsiTheme="minorHAnsi" w:cstheme="minorHAnsi"/>
        </w:rPr>
        <w:t>During this</w:t>
      </w:r>
      <w:r w:rsidRPr="00E25B20">
        <w:rPr>
          <w:rFonts w:asciiTheme="minorHAnsi" w:hAnsiTheme="minorHAnsi" w:cstheme="minorHAnsi"/>
        </w:rPr>
        <w:t xml:space="preserve"> review period, </w:t>
      </w:r>
      <w:r w:rsidR="00527FE3" w:rsidRPr="00E25B20">
        <w:rPr>
          <w:rFonts w:asciiTheme="minorHAnsi" w:hAnsiTheme="minorHAnsi" w:cstheme="minorHAnsi"/>
        </w:rPr>
        <w:t>98</w:t>
      </w:r>
      <w:r w:rsidRPr="00E25B20">
        <w:rPr>
          <w:rFonts w:asciiTheme="minorHAnsi" w:hAnsiTheme="minorHAnsi" w:cstheme="minorHAnsi"/>
        </w:rPr>
        <w:t xml:space="preserve">% of cases were pending investigation over 90 days, which was </w:t>
      </w:r>
      <w:r w:rsidR="00527FE3" w:rsidRPr="00E25B20">
        <w:rPr>
          <w:rFonts w:asciiTheme="minorHAnsi" w:hAnsiTheme="minorHAnsi" w:cstheme="minorHAnsi"/>
        </w:rPr>
        <w:t>above</w:t>
      </w:r>
      <w:r w:rsidRPr="00E25B20">
        <w:rPr>
          <w:rFonts w:asciiTheme="minorHAnsi" w:hAnsiTheme="minorHAnsi" w:cstheme="minorHAnsi"/>
        </w:rPr>
        <w:t xml:space="preserve"> the negotiated FRL.</w:t>
      </w:r>
      <w:r w:rsidR="00527FE3" w:rsidRPr="00E25B20">
        <w:rPr>
          <w:rFonts w:asciiTheme="minorHAnsi" w:hAnsiTheme="minorHAnsi" w:cstheme="minorHAnsi"/>
        </w:rPr>
        <w:t xml:space="preserve">  ADOSH </w:t>
      </w:r>
      <w:r w:rsidR="00DE74CA">
        <w:rPr>
          <w:rFonts w:asciiTheme="minorHAnsi" w:hAnsiTheme="minorHAnsi" w:cstheme="minorHAnsi"/>
        </w:rPr>
        <w:t>was</w:t>
      </w:r>
      <w:r w:rsidR="00527FE3" w:rsidRPr="00E25B20">
        <w:rPr>
          <w:rFonts w:asciiTheme="minorHAnsi" w:hAnsiTheme="minorHAnsi" w:cstheme="minorHAnsi"/>
        </w:rPr>
        <w:t xml:space="preserve"> aware these </w:t>
      </w:r>
      <w:r w:rsidR="00DE74CA">
        <w:rPr>
          <w:rFonts w:asciiTheme="minorHAnsi" w:hAnsiTheme="minorHAnsi" w:cstheme="minorHAnsi"/>
        </w:rPr>
        <w:t>were</w:t>
      </w:r>
      <w:r w:rsidR="00527FE3" w:rsidRPr="00E25B20">
        <w:rPr>
          <w:rFonts w:asciiTheme="minorHAnsi" w:hAnsiTheme="minorHAnsi" w:cstheme="minorHAnsi"/>
        </w:rPr>
        <w:t xml:space="preserve"> above the FRL </w:t>
      </w:r>
      <w:r w:rsidR="00DE74CA">
        <w:rPr>
          <w:rFonts w:asciiTheme="minorHAnsi" w:hAnsiTheme="minorHAnsi" w:cstheme="minorHAnsi"/>
        </w:rPr>
        <w:t xml:space="preserve">and in part was due to </w:t>
      </w:r>
      <w:r w:rsidR="00C00EF6">
        <w:rPr>
          <w:rFonts w:asciiTheme="minorHAnsi" w:hAnsiTheme="minorHAnsi" w:cstheme="minorHAnsi"/>
        </w:rPr>
        <w:t>a discrepancy in the transfer of data from Salesforce to OIS.  ADOSH has been addressing these issues with Salesforce developers.</w:t>
      </w:r>
      <w:r w:rsidR="00527FE3" w:rsidRPr="00E25B20">
        <w:rPr>
          <w:rFonts w:asciiTheme="minorHAnsi" w:hAnsiTheme="minorHAnsi" w:cstheme="minorHAnsi"/>
        </w:rPr>
        <w:t xml:space="preserve">  </w:t>
      </w:r>
      <w:r w:rsidR="00DE74CA">
        <w:rPr>
          <w:rFonts w:asciiTheme="minorHAnsi" w:hAnsiTheme="minorHAnsi" w:cstheme="minorHAnsi"/>
        </w:rPr>
        <w:t xml:space="preserve">OSHA will continue to discuss these measures with ADOSH during quarterly meetings.  </w:t>
      </w:r>
    </w:p>
    <w:p w14:paraId="35949828" w14:textId="77777777" w:rsidR="0070537A" w:rsidRDefault="0070537A" w:rsidP="135FD61F">
      <w:pPr>
        <w:widowControl/>
        <w:autoSpaceDE/>
        <w:autoSpaceDN/>
        <w:adjustRightInd/>
        <w:textAlignment w:val="baseline"/>
        <w:rPr>
          <w:rFonts w:asciiTheme="minorHAnsi" w:hAnsiTheme="minorHAnsi" w:cstheme="minorBidi"/>
        </w:rPr>
      </w:pPr>
    </w:p>
    <w:p w14:paraId="7F4AD8EA" w14:textId="56170B99" w:rsidR="00CC1C71" w:rsidRPr="0083347D" w:rsidRDefault="32562F26" w:rsidP="442E6E30">
      <w:pPr>
        <w:widowControl/>
        <w:spacing w:line="259" w:lineRule="auto"/>
        <w:rPr>
          <w:rFonts w:asciiTheme="minorHAnsi" w:hAnsiTheme="minorHAnsi" w:cstheme="minorBidi"/>
        </w:rPr>
      </w:pPr>
      <w:r w:rsidRPr="0083347D">
        <w:rPr>
          <w:rFonts w:asciiTheme="minorHAnsi" w:hAnsiTheme="minorHAnsi" w:cstheme="minorBidi"/>
        </w:rPr>
        <w:t xml:space="preserve">The only </w:t>
      </w:r>
      <w:r w:rsidR="00A34CED" w:rsidRPr="0083347D">
        <w:rPr>
          <w:rFonts w:asciiTheme="minorHAnsi" w:hAnsiTheme="minorHAnsi" w:cstheme="minorBidi"/>
        </w:rPr>
        <w:t>potential</w:t>
      </w:r>
      <w:r w:rsidRPr="0083347D">
        <w:rPr>
          <w:rFonts w:asciiTheme="minorHAnsi" w:hAnsiTheme="minorHAnsi" w:cstheme="minorBidi"/>
        </w:rPr>
        <w:t xml:space="preserve"> </w:t>
      </w:r>
      <w:r w:rsidR="00CC4FE4" w:rsidRPr="0083347D">
        <w:rPr>
          <w:rFonts w:asciiTheme="minorHAnsi" w:hAnsiTheme="minorHAnsi" w:cstheme="minorBidi"/>
        </w:rPr>
        <w:t>issue</w:t>
      </w:r>
      <w:r w:rsidRPr="0083347D">
        <w:rPr>
          <w:rFonts w:asciiTheme="minorHAnsi" w:hAnsiTheme="minorHAnsi" w:cstheme="minorBidi"/>
        </w:rPr>
        <w:t xml:space="preserve"> OSHA discovered in its case file review was</w:t>
      </w:r>
      <w:r w:rsidR="00505572" w:rsidRPr="0083347D">
        <w:rPr>
          <w:rFonts w:asciiTheme="minorHAnsi" w:hAnsiTheme="minorHAnsi" w:cstheme="minorBidi"/>
        </w:rPr>
        <w:t xml:space="preserve"> if the settlement</w:t>
      </w:r>
      <w:r w:rsidR="00CC4FE4" w:rsidRPr="0083347D">
        <w:rPr>
          <w:rFonts w:asciiTheme="minorHAnsi" w:hAnsiTheme="minorHAnsi" w:cstheme="minorBidi"/>
        </w:rPr>
        <w:t xml:space="preserve"> agreement</w:t>
      </w:r>
      <w:r w:rsidR="00505572" w:rsidRPr="0083347D">
        <w:rPr>
          <w:rFonts w:asciiTheme="minorHAnsi" w:hAnsiTheme="minorHAnsi" w:cstheme="minorBidi"/>
        </w:rPr>
        <w:t xml:space="preserve"> con</w:t>
      </w:r>
      <w:r w:rsidR="00097365" w:rsidRPr="0083347D">
        <w:rPr>
          <w:rFonts w:asciiTheme="minorHAnsi" w:hAnsiTheme="minorHAnsi" w:cstheme="minorBidi"/>
        </w:rPr>
        <w:t>tained language regarding waiver of future employment</w:t>
      </w:r>
      <w:r w:rsidR="00A34CED" w:rsidRPr="0083347D">
        <w:rPr>
          <w:rFonts w:asciiTheme="minorHAnsi" w:hAnsiTheme="minorHAnsi" w:cstheme="minorBidi"/>
        </w:rPr>
        <w:t>.</w:t>
      </w:r>
      <w:r w:rsidR="00CC4FE4" w:rsidRPr="0083347D">
        <w:rPr>
          <w:rFonts w:asciiTheme="minorHAnsi" w:hAnsiTheme="minorHAnsi" w:cstheme="minorBidi"/>
        </w:rPr>
        <w:t xml:space="preserve"> </w:t>
      </w:r>
      <w:r w:rsidR="00A34CED" w:rsidRPr="0083347D">
        <w:rPr>
          <w:rFonts w:asciiTheme="minorHAnsi" w:hAnsiTheme="minorHAnsi" w:cstheme="minorBidi"/>
        </w:rPr>
        <w:t xml:space="preserve"> </w:t>
      </w:r>
      <w:r w:rsidR="00CC4FE4" w:rsidRPr="0083347D">
        <w:rPr>
          <w:rFonts w:asciiTheme="minorHAnsi" w:hAnsiTheme="minorHAnsi" w:cstheme="minorBidi"/>
        </w:rPr>
        <w:t xml:space="preserve">ADOSH did not </w:t>
      </w:r>
      <w:r w:rsidR="00C573AB" w:rsidRPr="0083347D">
        <w:rPr>
          <w:rFonts w:asciiTheme="minorHAnsi" w:hAnsiTheme="minorHAnsi" w:cstheme="minorBidi"/>
        </w:rPr>
        <w:t xml:space="preserve">document in the case file if </w:t>
      </w:r>
      <w:r w:rsidR="0006068F" w:rsidRPr="0083347D">
        <w:rPr>
          <w:rFonts w:asciiTheme="minorHAnsi" w:hAnsiTheme="minorHAnsi" w:cstheme="minorBidi"/>
        </w:rPr>
        <w:t>several factors (breadth of waiver, fairness, amount of remuneration, strength of Complainant’s case, Complainant’s consent,</w:t>
      </w:r>
      <w:r w:rsidR="00AB0F09" w:rsidRPr="0083347D">
        <w:rPr>
          <w:rFonts w:asciiTheme="minorHAnsi" w:hAnsiTheme="minorHAnsi" w:cstheme="minorBidi"/>
        </w:rPr>
        <w:t xml:space="preserve"> other relevant factors, and most importantly comprehension and acceptance of the waiver) were considered.  </w:t>
      </w:r>
      <w:r w:rsidR="2F9FC6DB" w:rsidRPr="0083347D">
        <w:rPr>
          <w:rFonts w:asciiTheme="minorHAnsi" w:hAnsiTheme="minorHAnsi" w:cstheme="minorBidi"/>
        </w:rPr>
        <w:t xml:space="preserve">Of </w:t>
      </w:r>
      <w:r w:rsidR="44888BBE" w:rsidRPr="0083347D">
        <w:rPr>
          <w:rFonts w:asciiTheme="minorHAnsi" w:hAnsiTheme="minorHAnsi" w:cstheme="minorBidi"/>
        </w:rPr>
        <w:t xml:space="preserve">the </w:t>
      </w:r>
      <w:r w:rsidR="00FF7A71">
        <w:rPr>
          <w:rFonts w:asciiTheme="minorHAnsi" w:hAnsiTheme="minorHAnsi" w:cstheme="minorBidi"/>
        </w:rPr>
        <w:t>five</w:t>
      </w:r>
      <w:r w:rsidR="00B15807" w:rsidRPr="0083347D">
        <w:rPr>
          <w:rFonts w:asciiTheme="minorHAnsi" w:hAnsiTheme="minorHAnsi" w:cstheme="minorBidi"/>
        </w:rPr>
        <w:t xml:space="preserve"> settlement</w:t>
      </w:r>
      <w:r w:rsidR="44888BBE" w:rsidRPr="0083347D">
        <w:rPr>
          <w:rFonts w:asciiTheme="minorHAnsi" w:hAnsiTheme="minorHAnsi" w:cstheme="minorBidi"/>
        </w:rPr>
        <w:t xml:space="preserve"> case files reviewed, </w:t>
      </w:r>
      <w:r w:rsidR="00B15807" w:rsidRPr="0083347D">
        <w:rPr>
          <w:rFonts w:asciiTheme="minorHAnsi" w:hAnsiTheme="minorHAnsi" w:cstheme="minorBidi"/>
        </w:rPr>
        <w:t>only one contained this clause.</w:t>
      </w:r>
      <w:r w:rsidR="00DB3EB3" w:rsidRPr="0083347D">
        <w:rPr>
          <w:rFonts w:asciiTheme="minorHAnsi" w:hAnsiTheme="minorHAnsi" w:cstheme="minorBidi"/>
        </w:rPr>
        <w:t xml:space="preserve">  </w:t>
      </w:r>
      <w:r w:rsidR="00F61C5C" w:rsidRPr="0083347D">
        <w:rPr>
          <w:rFonts w:asciiTheme="minorHAnsi" w:hAnsiTheme="minorHAnsi" w:cstheme="minorBidi"/>
        </w:rPr>
        <w:t>While it is O</w:t>
      </w:r>
      <w:r w:rsidR="1E231A08" w:rsidRPr="0083347D">
        <w:rPr>
          <w:rFonts w:asciiTheme="minorHAnsi" w:hAnsiTheme="minorHAnsi" w:cstheme="minorBidi"/>
        </w:rPr>
        <w:t>SHA’s policy</w:t>
      </w:r>
      <w:r w:rsidR="00963B51" w:rsidRPr="0083347D">
        <w:rPr>
          <w:rFonts w:asciiTheme="minorHAnsi" w:hAnsiTheme="minorHAnsi" w:cstheme="minorBidi"/>
        </w:rPr>
        <w:t xml:space="preserve"> </w:t>
      </w:r>
      <w:r w:rsidR="1E231A08" w:rsidRPr="0083347D">
        <w:rPr>
          <w:rFonts w:asciiTheme="minorHAnsi" w:hAnsiTheme="minorHAnsi" w:cstheme="minorBidi"/>
        </w:rPr>
        <w:t>to ensure</w:t>
      </w:r>
      <w:r w:rsidR="00DB3EB3" w:rsidRPr="0083347D">
        <w:rPr>
          <w:rFonts w:asciiTheme="minorHAnsi" w:hAnsiTheme="minorHAnsi" w:cstheme="minorBidi"/>
        </w:rPr>
        <w:t xml:space="preserve"> these factors are consi</w:t>
      </w:r>
      <w:r w:rsidR="0094278D" w:rsidRPr="0083347D">
        <w:rPr>
          <w:rFonts w:asciiTheme="minorHAnsi" w:hAnsiTheme="minorHAnsi" w:cstheme="minorBidi"/>
        </w:rPr>
        <w:t>dered</w:t>
      </w:r>
      <w:r w:rsidR="00DB3EB3" w:rsidRPr="0083347D">
        <w:rPr>
          <w:rFonts w:asciiTheme="minorHAnsi" w:hAnsiTheme="minorHAnsi" w:cstheme="minorBidi"/>
        </w:rPr>
        <w:t>,</w:t>
      </w:r>
      <w:r w:rsidR="00F61C5C" w:rsidRPr="0083347D">
        <w:rPr>
          <w:rFonts w:asciiTheme="minorHAnsi" w:hAnsiTheme="minorHAnsi" w:cstheme="minorBidi"/>
        </w:rPr>
        <w:t xml:space="preserve"> it is not </w:t>
      </w:r>
      <w:r w:rsidR="00FF7A71">
        <w:rPr>
          <w:rFonts w:asciiTheme="minorHAnsi" w:hAnsiTheme="minorHAnsi" w:cstheme="minorBidi"/>
        </w:rPr>
        <w:t xml:space="preserve">a requirement outlined </w:t>
      </w:r>
      <w:r w:rsidR="00F61C5C" w:rsidRPr="0083347D">
        <w:rPr>
          <w:rFonts w:asciiTheme="minorHAnsi" w:hAnsiTheme="minorHAnsi" w:cstheme="minorBidi"/>
        </w:rPr>
        <w:t>in</w:t>
      </w:r>
      <w:r w:rsidR="00DB3EB3" w:rsidRPr="0083347D">
        <w:rPr>
          <w:rFonts w:asciiTheme="minorHAnsi" w:hAnsiTheme="minorHAnsi" w:cstheme="minorBidi"/>
        </w:rPr>
        <w:t xml:space="preserve"> the ADOSH WIM.</w:t>
      </w:r>
      <w:r w:rsidR="00F61C5C" w:rsidRPr="0083347D">
        <w:rPr>
          <w:rFonts w:asciiTheme="minorHAnsi" w:hAnsiTheme="minorHAnsi" w:cstheme="minorBidi"/>
        </w:rPr>
        <w:t xml:space="preserve">  The importance</w:t>
      </w:r>
      <w:r w:rsidR="00EF3D99" w:rsidRPr="0083347D">
        <w:rPr>
          <w:rFonts w:asciiTheme="minorHAnsi" w:hAnsiTheme="minorHAnsi" w:cstheme="minorBidi"/>
        </w:rPr>
        <w:t xml:space="preserve"> of considering these factors was discussed with ADOSH</w:t>
      </w:r>
      <w:r w:rsidR="00FF7A71">
        <w:rPr>
          <w:rFonts w:asciiTheme="minorHAnsi" w:hAnsiTheme="minorHAnsi" w:cstheme="minorBidi"/>
        </w:rPr>
        <w:t>,</w:t>
      </w:r>
      <w:r w:rsidR="00963B51" w:rsidRPr="0083347D">
        <w:rPr>
          <w:rFonts w:asciiTheme="minorHAnsi" w:hAnsiTheme="minorHAnsi" w:cstheme="minorBidi"/>
        </w:rPr>
        <w:t xml:space="preserve"> and</w:t>
      </w:r>
      <w:r w:rsidR="001144E6" w:rsidRPr="0083347D">
        <w:rPr>
          <w:rFonts w:asciiTheme="minorHAnsi" w:hAnsiTheme="minorHAnsi" w:cstheme="minorBidi"/>
        </w:rPr>
        <w:t xml:space="preserve"> it was</w:t>
      </w:r>
      <w:r w:rsidR="00963B51" w:rsidRPr="0083347D">
        <w:rPr>
          <w:rFonts w:asciiTheme="minorHAnsi" w:hAnsiTheme="minorHAnsi" w:cstheme="minorBidi"/>
        </w:rPr>
        <w:t xml:space="preserve"> suggested to </w:t>
      </w:r>
      <w:r w:rsidR="00AE19DE" w:rsidRPr="0083347D">
        <w:rPr>
          <w:rFonts w:asciiTheme="minorHAnsi" w:hAnsiTheme="minorHAnsi" w:cstheme="minorBidi"/>
        </w:rPr>
        <w:t xml:space="preserve">implement </w:t>
      </w:r>
      <w:r w:rsidR="001144E6" w:rsidRPr="0083347D">
        <w:rPr>
          <w:rFonts w:asciiTheme="minorHAnsi" w:hAnsiTheme="minorHAnsi" w:cstheme="minorBidi"/>
        </w:rPr>
        <w:t>a change</w:t>
      </w:r>
      <w:r w:rsidR="00AE19DE" w:rsidRPr="0083347D">
        <w:rPr>
          <w:rFonts w:asciiTheme="minorHAnsi" w:hAnsiTheme="minorHAnsi" w:cstheme="minorBidi"/>
        </w:rPr>
        <w:t xml:space="preserve"> in</w:t>
      </w:r>
      <w:r w:rsidR="001144E6" w:rsidRPr="0083347D">
        <w:rPr>
          <w:rFonts w:asciiTheme="minorHAnsi" w:hAnsiTheme="minorHAnsi" w:cstheme="minorBidi"/>
        </w:rPr>
        <w:t xml:space="preserve"> </w:t>
      </w:r>
      <w:r w:rsidR="00AE19DE" w:rsidRPr="0083347D">
        <w:rPr>
          <w:rFonts w:asciiTheme="minorHAnsi" w:hAnsiTheme="minorHAnsi" w:cstheme="minorBidi"/>
        </w:rPr>
        <w:t xml:space="preserve">their program and consider a </w:t>
      </w:r>
      <w:r w:rsidR="00C16828" w:rsidRPr="0083347D">
        <w:rPr>
          <w:rFonts w:asciiTheme="minorHAnsi" w:hAnsiTheme="minorHAnsi" w:cstheme="minorBidi"/>
        </w:rPr>
        <w:t>state-initiated</w:t>
      </w:r>
      <w:r w:rsidR="00AE19DE" w:rsidRPr="0083347D">
        <w:rPr>
          <w:rFonts w:asciiTheme="minorHAnsi" w:hAnsiTheme="minorHAnsi" w:cstheme="minorBidi"/>
        </w:rPr>
        <w:t xml:space="preserve"> change to their WIM to adopt </w:t>
      </w:r>
      <w:r w:rsidR="001144E6" w:rsidRPr="0083347D">
        <w:rPr>
          <w:rFonts w:asciiTheme="minorHAnsi" w:hAnsiTheme="minorHAnsi" w:cstheme="minorBidi"/>
        </w:rPr>
        <w:t>those considerations.</w:t>
      </w:r>
      <w:r w:rsidR="00C16828" w:rsidRPr="0083347D">
        <w:rPr>
          <w:rFonts w:asciiTheme="minorHAnsi" w:hAnsiTheme="minorHAnsi" w:cstheme="minorBidi"/>
        </w:rPr>
        <w:t xml:space="preserve">  </w:t>
      </w:r>
    </w:p>
    <w:p w14:paraId="25274256" w14:textId="77777777" w:rsidR="00EA1C01" w:rsidRPr="0083347D" w:rsidRDefault="00EA1C01" w:rsidP="135FD61F">
      <w:pPr>
        <w:widowControl/>
        <w:autoSpaceDE/>
        <w:autoSpaceDN/>
        <w:adjustRightInd/>
        <w:textAlignment w:val="baseline"/>
        <w:rPr>
          <w:rFonts w:asciiTheme="minorHAnsi" w:hAnsiTheme="minorHAnsi" w:cstheme="minorBidi"/>
        </w:rPr>
      </w:pPr>
    </w:p>
    <w:p w14:paraId="32BEC772" w14:textId="3B3AD573" w:rsidR="31D1E00A" w:rsidRDefault="1190ED52" w:rsidP="135FD61F">
      <w:pPr>
        <w:widowControl/>
        <w:rPr>
          <w:rFonts w:asciiTheme="minorHAnsi" w:hAnsiTheme="minorHAnsi" w:cstheme="minorBidi"/>
        </w:rPr>
      </w:pPr>
      <w:r w:rsidRPr="0083347D">
        <w:rPr>
          <w:rFonts w:asciiTheme="minorHAnsi" w:hAnsiTheme="minorHAnsi" w:cstheme="minorBidi"/>
        </w:rPr>
        <w:t xml:space="preserve">There were three </w:t>
      </w:r>
      <w:r w:rsidR="00375D46" w:rsidRPr="0083347D">
        <w:rPr>
          <w:rFonts w:asciiTheme="minorHAnsi" w:hAnsiTheme="minorHAnsi" w:cstheme="minorBidi"/>
        </w:rPr>
        <w:t>f</w:t>
      </w:r>
      <w:r w:rsidRPr="0083347D">
        <w:rPr>
          <w:rFonts w:asciiTheme="minorHAnsi" w:hAnsiTheme="minorHAnsi" w:cstheme="minorBidi"/>
        </w:rPr>
        <w:t>ederal</w:t>
      </w:r>
      <w:r w:rsidRPr="0083347D" w:rsidDel="00375D46">
        <w:rPr>
          <w:rFonts w:asciiTheme="minorHAnsi" w:hAnsiTheme="minorHAnsi" w:cstheme="minorBidi"/>
        </w:rPr>
        <w:t xml:space="preserve"> </w:t>
      </w:r>
      <w:r w:rsidR="00375D46" w:rsidRPr="0083347D">
        <w:rPr>
          <w:rFonts w:asciiTheme="minorHAnsi" w:hAnsiTheme="minorHAnsi" w:cstheme="minorBidi"/>
        </w:rPr>
        <w:t>reviews</w:t>
      </w:r>
      <w:r w:rsidRPr="0083347D">
        <w:rPr>
          <w:rFonts w:asciiTheme="minorHAnsi" w:hAnsiTheme="minorHAnsi" w:cstheme="minorBidi"/>
        </w:rPr>
        <w:t xml:space="preserve"> conducted this cycle with </w:t>
      </w:r>
      <w:r w:rsidR="0083347D" w:rsidRPr="0083347D">
        <w:rPr>
          <w:rFonts w:asciiTheme="minorHAnsi" w:hAnsiTheme="minorHAnsi" w:cstheme="minorBidi"/>
        </w:rPr>
        <w:t>all three</w:t>
      </w:r>
      <w:r w:rsidRPr="0083347D">
        <w:rPr>
          <w:rFonts w:asciiTheme="minorHAnsi" w:hAnsiTheme="minorHAnsi" w:cstheme="minorBidi"/>
        </w:rPr>
        <w:t xml:space="preserve"> resulting in </w:t>
      </w:r>
      <w:r w:rsidR="002E15EC" w:rsidRPr="0083347D">
        <w:rPr>
          <w:rFonts w:asciiTheme="minorHAnsi" w:hAnsiTheme="minorHAnsi" w:cstheme="minorBidi"/>
        </w:rPr>
        <w:t xml:space="preserve">a </w:t>
      </w:r>
      <w:r w:rsidRPr="0083347D">
        <w:rPr>
          <w:rFonts w:asciiTheme="minorHAnsi" w:hAnsiTheme="minorHAnsi" w:cstheme="minorBidi"/>
        </w:rPr>
        <w:t xml:space="preserve">deferral to the </w:t>
      </w:r>
      <w:r w:rsidR="004C5B9A" w:rsidRPr="0083347D">
        <w:rPr>
          <w:rFonts w:asciiTheme="minorHAnsi" w:hAnsiTheme="minorHAnsi" w:cstheme="minorBidi"/>
        </w:rPr>
        <w:t>s</w:t>
      </w:r>
      <w:r w:rsidRPr="0083347D">
        <w:rPr>
          <w:rFonts w:asciiTheme="minorHAnsi" w:hAnsiTheme="minorHAnsi" w:cstheme="minorBidi"/>
        </w:rPr>
        <w:t xml:space="preserve">tate </w:t>
      </w:r>
      <w:r w:rsidR="00570EC4" w:rsidRPr="0083347D">
        <w:rPr>
          <w:rFonts w:asciiTheme="minorHAnsi" w:hAnsiTheme="minorHAnsi" w:cstheme="minorBidi"/>
        </w:rPr>
        <w:t xml:space="preserve">for </w:t>
      </w:r>
      <w:r w:rsidRPr="0083347D">
        <w:rPr>
          <w:rFonts w:asciiTheme="minorHAnsi" w:hAnsiTheme="minorHAnsi" w:cstheme="minorBidi"/>
        </w:rPr>
        <w:t>determination</w:t>
      </w:r>
      <w:r w:rsidR="002308F2" w:rsidRPr="0083347D">
        <w:rPr>
          <w:rFonts w:asciiTheme="minorHAnsi" w:hAnsiTheme="minorHAnsi" w:cstheme="minorBidi"/>
        </w:rPr>
        <w:t>.</w:t>
      </w:r>
      <w:r w:rsidR="002308F2">
        <w:rPr>
          <w:rFonts w:asciiTheme="minorHAnsi" w:hAnsiTheme="minorHAnsi" w:cstheme="minorBidi"/>
        </w:rPr>
        <w:t xml:space="preserve">  </w:t>
      </w:r>
    </w:p>
    <w:p w14:paraId="136434A8" w14:textId="77777777" w:rsidR="001B37CC" w:rsidRPr="00056AA3" w:rsidRDefault="001B37CC" w:rsidP="00056AA3">
      <w:pPr>
        <w:widowControl/>
        <w:autoSpaceDE/>
        <w:autoSpaceDN/>
        <w:adjustRightInd/>
        <w:textAlignment w:val="baseline"/>
        <w:rPr>
          <w:rFonts w:asciiTheme="minorHAnsi" w:hAnsiTheme="minorHAnsi" w:cstheme="minorHAnsi"/>
        </w:rPr>
      </w:pPr>
    </w:p>
    <w:p w14:paraId="5E54B2B0" w14:textId="77777777" w:rsidR="00056AA3" w:rsidRDefault="00056AA3" w:rsidP="00C107BB">
      <w:pPr>
        <w:pStyle w:val="Heading3"/>
        <w:numPr>
          <w:ilvl w:val="0"/>
          <w:numId w:val="31"/>
        </w:numPr>
        <w:spacing w:before="0"/>
        <w:ind w:left="1080"/>
        <w:rPr>
          <w:rFonts w:cstheme="minorHAnsi"/>
          <w:i/>
          <w:color w:val="000000"/>
        </w:rPr>
      </w:pPr>
      <w:bookmarkStart w:id="43" w:name="CASPA"/>
      <w:bookmarkStart w:id="44" w:name="_Toc160178421"/>
      <w:bookmarkStart w:id="45" w:name="_Toc225327064"/>
      <w:bookmarkEnd w:id="43"/>
      <w:r w:rsidRPr="00700613">
        <w:t>Complaint About State Program Administration (CASPA)</w:t>
      </w:r>
      <w:bookmarkEnd w:id="44"/>
      <w:bookmarkEnd w:id="45"/>
      <w:r w:rsidRPr="008D4EBA">
        <w:rPr>
          <w:rFonts w:cstheme="minorHAnsi"/>
          <w:i/>
          <w:color w:val="000000"/>
        </w:rPr>
        <w:t> </w:t>
      </w:r>
    </w:p>
    <w:p w14:paraId="3008E4DD" w14:textId="77777777" w:rsidR="00672699" w:rsidRPr="002C195E" w:rsidRDefault="00672699" w:rsidP="002C195E"/>
    <w:p w14:paraId="359E57DA" w14:textId="796D1983" w:rsidR="00BD289B" w:rsidRPr="00BD289B" w:rsidRDefault="00E15C3B" w:rsidP="0023666D">
      <w:pPr>
        <w:widowControl/>
        <w:autoSpaceDE/>
        <w:autoSpaceDN/>
        <w:adjustRightInd/>
        <w:textAlignment w:val="baseline"/>
        <w:rPr>
          <w:rFonts w:asciiTheme="minorHAnsi" w:hAnsiTheme="minorHAnsi" w:cstheme="minorHAnsi"/>
        </w:rPr>
      </w:pPr>
      <w:r>
        <w:rPr>
          <w:rFonts w:asciiTheme="minorHAnsi" w:hAnsiTheme="minorHAnsi" w:cstheme="minorHAnsi"/>
        </w:rPr>
        <w:t xml:space="preserve">There were no CASPAs accepted this evaluation period. </w:t>
      </w:r>
    </w:p>
    <w:p w14:paraId="3590E9FC" w14:textId="77777777" w:rsidR="00056AA3" w:rsidRPr="00056AA3" w:rsidRDefault="00056AA3"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 </w:t>
      </w:r>
    </w:p>
    <w:p w14:paraId="136D2FA8" w14:textId="77777777" w:rsidR="00056AA3" w:rsidRDefault="00056AA3" w:rsidP="00E23F90">
      <w:pPr>
        <w:pStyle w:val="Heading3"/>
        <w:numPr>
          <w:ilvl w:val="0"/>
          <w:numId w:val="33"/>
        </w:numPr>
        <w:spacing w:before="0"/>
        <w:ind w:left="1080"/>
        <w:rPr>
          <w:rFonts w:cstheme="minorHAnsi"/>
          <w:i/>
          <w:color w:val="000000"/>
        </w:rPr>
      </w:pPr>
      <w:bookmarkStart w:id="46" w:name="VPP"/>
      <w:bookmarkStart w:id="47" w:name="_Toc225327065"/>
      <w:bookmarkStart w:id="48" w:name="_Toc160178422"/>
      <w:bookmarkEnd w:id="46"/>
      <w:r w:rsidRPr="00700613">
        <w:t>Voluntary Compliance Program</w:t>
      </w:r>
      <w:bookmarkEnd w:id="47"/>
      <w:r w:rsidRPr="008D4EBA">
        <w:rPr>
          <w:rFonts w:cstheme="minorHAnsi"/>
          <w:i/>
          <w:color w:val="000000"/>
        </w:rPr>
        <w:t> </w:t>
      </w:r>
      <w:bookmarkEnd w:id="48"/>
    </w:p>
    <w:p w14:paraId="18D47687" w14:textId="77777777" w:rsidR="00672699" w:rsidRPr="002C195E" w:rsidRDefault="00672699" w:rsidP="002C195E"/>
    <w:p w14:paraId="7B483938" w14:textId="2F4AC4F8" w:rsidR="0018037D" w:rsidRDefault="0018037D" w:rsidP="0018037D">
      <w:pPr>
        <w:widowControl/>
        <w:rPr>
          <w:rFonts w:asciiTheme="minorHAnsi" w:hAnsiTheme="minorHAnsi" w:cstheme="minorHAnsi"/>
          <w:color w:val="000000"/>
        </w:rPr>
      </w:pPr>
      <w:r w:rsidRPr="0018037D">
        <w:rPr>
          <w:rFonts w:asciiTheme="minorHAnsi" w:hAnsiTheme="minorHAnsi" w:cstheme="minorHAnsi"/>
          <w:color w:val="000000"/>
        </w:rPr>
        <w:t xml:space="preserve">Employers </w:t>
      </w:r>
      <w:r w:rsidR="00A7297D">
        <w:rPr>
          <w:rFonts w:asciiTheme="minorHAnsi" w:hAnsiTheme="minorHAnsi" w:cstheme="minorHAnsi"/>
          <w:color w:val="000000"/>
        </w:rPr>
        <w:t xml:space="preserve">who </w:t>
      </w:r>
      <w:r w:rsidR="004B0237">
        <w:rPr>
          <w:rFonts w:asciiTheme="minorHAnsi" w:hAnsiTheme="minorHAnsi" w:cstheme="minorHAnsi"/>
          <w:color w:val="000000"/>
        </w:rPr>
        <w:t>implemented</w:t>
      </w:r>
      <w:r w:rsidR="00A7297D">
        <w:rPr>
          <w:rFonts w:asciiTheme="minorHAnsi" w:hAnsiTheme="minorHAnsi" w:cstheme="minorHAnsi"/>
          <w:color w:val="000000"/>
        </w:rPr>
        <w:t xml:space="preserve"> exemplary safety and health management systems </w:t>
      </w:r>
      <w:r w:rsidR="002D42DB">
        <w:rPr>
          <w:rFonts w:asciiTheme="minorHAnsi" w:hAnsiTheme="minorHAnsi" w:cstheme="minorHAnsi"/>
          <w:color w:val="000000"/>
        </w:rPr>
        <w:t xml:space="preserve">were recognized </w:t>
      </w:r>
      <w:r w:rsidR="00A210DC">
        <w:rPr>
          <w:rFonts w:asciiTheme="minorHAnsi" w:hAnsiTheme="minorHAnsi" w:cstheme="minorHAnsi"/>
          <w:color w:val="000000"/>
        </w:rPr>
        <w:t xml:space="preserve">through </w:t>
      </w:r>
      <w:r w:rsidRPr="0018037D">
        <w:rPr>
          <w:rFonts w:asciiTheme="minorHAnsi" w:hAnsiTheme="minorHAnsi" w:cstheme="minorHAnsi"/>
          <w:color w:val="000000"/>
        </w:rPr>
        <w:t>A</w:t>
      </w:r>
      <w:r w:rsidR="00A210DC">
        <w:rPr>
          <w:rFonts w:asciiTheme="minorHAnsi" w:hAnsiTheme="minorHAnsi" w:cstheme="minorHAnsi"/>
          <w:color w:val="000000"/>
        </w:rPr>
        <w:t>rizona’s</w:t>
      </w:r>
      <w:r w:rsidRPr="0018037D">
        <w:rPr>
          <w:rFonts w:asciiTheme="minorHAnsi" w:hAnsiTheme="minorHAnsi" w:cstheme="minorHAnsi"/>
          <w:color w:val="000000"/>
        </w:rPr>
        <w:t xml:space="preserve"> Voluntary Protection Program (VPP). </w:t>
      </w:r>
      <w:r>
        <w:rPr>
          <w:rFonts w:asciiTheme="minorHAnsi" w:hAnsiTheme="minorHAnsi" w:cstheme="minorHAnsi"/>
          <w:color w:val="000000"/>
        </w:rPr>
        <w:t xml:space="preserve"> </w:t>
      </w:r>
      <w:r w:rsidR="002D6B97">
        <w:rPr>
          <w:rFonts w:asciiTheme="minorHAnsi" w:hAnsiTheme="minorHAnsi" w:cstheme="minorHAnsi"/>
          <w:color w:val="000000"/>
        </w:rPr>
        <w:t xml:space="preserve">The program was approved in 1993 and updated in 2020.  </w:t>
      </w:r>
      <w:r w:rsidR="00C364B1">
        <w:rPr>
          <w:rFonts w:asciiTheme="minorHAnsi" w:hAnsiTheme="minorHAnsi" w:cstheme="minorHAnsi"/>
          <w:color w:val="000000"/>
        </w:rPr>
        <w:t xml:space="preserve">Arizona’s VPP </w:t>
      </w:r>
      <w:r w:rsidR="004B0237">
        <w:rPr>
          <w:rFonts w:asciiTheme="minorHAnsi" w:hAnsiTheme="minorHAnsi" w:cstheme="minorHAnsi"/>
          <w:color w:val="000000"/>
        </w:rPr>
        <w:t xml:space="preserve">closely </w:t>
      </w:r>
      <w:r w:rsidR="00C364B1">
        <w:rPr>
          <w:rFonts w:asciiTheme="minorHAnsi" w:hAnsiTheme="minorHAnsi" w:cstheme="minorHAnsi"/>
          <w:color w:val="000000"/>
        </w:rPr>
        <w:t xml:space="preserve">resembles OSHA’s VPP but is limited to the Star </w:t>
      </w:r>
      <w:r w:rsidR="004B0237">
        <w:rPr>
          <w:rFonts w:asciiTheme="minorHAnsi" w:hAnsiTheme="minorHAnsi" w:cstheme="minorHAnsi"/>
          <w:color w:val="000000"/>
        </w:rPr>
        <w:lastRenderedPageBreak/>
        <w:t>recognition level</w:t>
      </w:r>
      <w:r w:rsidR="00C364B1">
        <w:rPr>
          <w:rFonts w:asciiTheme="minorHAnsi" w:hAnsiTheme="minorHAnsi" w:cstheme="minorHAnsi"/>
          <w:color w:val="000000"/>
        </w:rPr>
        <w:t xml:space="preserve"> in general industry</w:t>
      </w:r>
      <w:r w:rsidR="00152EDD">
        <w:rPr>
          <w:rFonts w:asciiTheme="minorHAnsi" w:hAnsiTheme="minorHAnsi" w:cstheme="minorHAnsi"/>
          <w:color w:val="000000"/>
        </w:rPr>
        <w:t xml:space="preserve">. </w:t>
      </w:r>
      <w:r w:rsidR="00C364B1">
        <w:rPr>
          <w:rFonts w:asciiTheme="minorHAnsi" w:hAnsiTheme="minorHAnsi" w:cstheme="minorHAnsi"/>
          <w:color w:val="000000"/>
        </w:rPr>
        <w:t xml:space="preserve"> </w:t>
      </w:r>
      <w:r w:rsidR="004C6DA6">
        <w:rPr>
          <w:rFonts w:asciiTheme="minorHAnsi" w:hAnsiTheme="minorHAnsi" w:cstheme="minorHAnsi"/>
          <w:color w:val="000000"/>
        </w:rPr>
        <w:t xml:space="preserve">According to ADOSH’s SOAR, </w:t>
      </w:r>
      <w:r w:rsidR="00294B37" w:rsidRPr="004C6DA6">
        <w:rPr>
          <w:rFonts w:asciiTheme="minorHAnsi" w:hAnsiTheme="minorHAnsi" w:cstheme="minorHAnsi"/>
          <w:color w:val="000000"/>
        </w:rPr>
        <w:t xml:space="preserve">there were </w:t>
      </w:r>
      <w:r w:rsidR="004C6DA6" w:rsidRPr="004C6DA6">
        <w:rPr>
          <w:rFonts w:asciiTheme="minorHAnsi" w:hAnsiTheme="minorHAnsi" w:cstheme="minorHAnsi"/>
          <w:color w:val="000000"/>
        </w:rPr>
        <w:t>61</w:t>
      </w:r>
      <w:r w:rsidR="00294B37" w:rsidRPr="004C6DA6">
        <w:rPr>
          <w:rFonts w:asciiTheme="minorHAnsi" w:hAnsiTheme="minorHAnsi" w:cstheme="minorHAnsi"/>
          <w:color w:val="000000"/>
        </w:rPr>
        <w:t xml:space="preserve"> VPP </w:t>
      </w:r>
      <w:r w:rsidR="004C6DA6" w:rsidRPr="004C6DA6">
        <w:rPr>
          <w:rFonts w:asciiTheme="minorHAnsi" w:hAnsiTheme="minorHAnsi" w:cstheme="minorHAnsi"/>
          <w:color w:val="000000"/>
        </w:rPr>
        <w:t>participants</w:t>
      </w:r>
      <w:r w:rsidR="004C6DA6">
        <w:rPr>
          <w:rFonts w:asciiTheme="minorHAnsi" w:hAnsiTheme="minorHAnsi" w:cstheme="minorHAnsi"/>
          <w:color w:val="000000"/>
        </w:rPr>
        <w:t xml:space="preserve"> at the end of the review period. </w:t>
      </w:r>
    </w:p>
    <w:p w14:paraId="54D93FB4" w14:textId="6034BB74" w:rsidR="004C6DA6" w:rsidRDefault="004C6DA6" w:rsidP="0018037D">
      <w:pPr>
        <w:widowControl/>
        <w:rPr>
          <w:rFonts w:asciiTheme="minorHAnsi" w:hAnsiTheme="minorHAnsi" w:cstheme="minorHAnsi"/>
          <w:color w:val="000000"/>
        </w:rPr>
      </w:pPr>
    </w:p>
    <w:p w14:paraId="4BB5C025" w14:textId="5E641CE2" w:rsidR="00E55B11" w:rsidRDefault="00740A5C" w:rsidP="00E55B11">
      <w:pPr>
        <w:widowControl/>
        <w:rPr>
          <w:rFonts w:asciiTheme="minorHAnsi" w:hAnsiTheme="minorHAnsi" w:cstheme="minorHAnsi"/>
          <w:color w:val="000000"/>
        </w:rPr>
      </w:pPr>
      <w:r>
        <w:rPr>
          <w:rFonts w:asciiTheme="minorHAnsi" w:hAnsiTheme="minorHAnsi" w:cstheme="minorHAnsi"/>
          <w:color w:val="000000"/>
        </w:rPr>
        <w:t xml:space="preserve">ADOSH </w:t>
      </w:r>
      <w:r w:rsidR="00387147">
        <w:rPr>
          <w:rFonts w:asciiTheme="minorHAnsi" w:hAnsiTheme="minorHAnsi" w:cstheme="minorHAnsi"/>
          <w:color w:val="000000"/>
        </w:rPr>
        <w:t>maintain</w:t>
      </w:r>
      <w:r w:rsidR="002C4F36">
        <w:rPr>
          <w:rFonts w:asciiTheme="minorHAnsi" w:hAnsiTheme="minorHAnsi" w:cstheme="minorHAnsi"/>
          <w:color w:val="000000"/>
        </w:rPr>
        <w:t>ed</w:t>
      </w:r>
      <w:r w:rsidR="00387147">
        <w:rPr>
          <w:rFonts w:asciiTheme="minorHAnsi" w:hAnsiTheme="minorHAnsi" w:cstheme="minorHAnsi"/>
          <w:color w:val="000000"/>
        </w:rPr>
        <w:t xml:space="preserve"> several partnerships</w:t>
      </w:r>
      <w:r w:rsidR="002C4F36">
        <w:rPr>
          <w:rFonts w:asciiTheme="minorHAnsi" w:hAnsiTheme="minorHAnsi" w:cstheme="minorHAnsi"/>
          <w:color w:val="000000"/>
        </w:rPr>
        <w:t xml:space="preserve"> this </w:t>
      </w:r>
      <w:r w:rsidR="00ED7160">
        <w:rPr>
          <w:rFonts w:asciiTheme="minorHAnsi" w:hAnsiTheme="minorHAnsi" w:cstheme="minorHAnsi"/>
          <w:color w:val="000000"/>
        </w:rPr>
        <w:t xml:space="preserve">review period, including </w:t>
      </w:r>
      <w:r w:rsidR="00814EC8">
        <w:rPr>
          <w:rFonts w:asciiTheme="minorHAnsi" w:hAnsiTheme="minorHAnsi" w:cstheme="minorHAnsi"/>
          <w:color w:val="000000"/>
        </w:rPr>
        <w:t>the Home Builders of Central Arizona</w:t>
      </w:r>
      <w:r w:rsidR="00D945AB">
        <w:rPr>
          <w:rFonts w:asciiTheme="minorHAnsi" w:hAnsiTheme="minorHAnsi" w:cstheme="minorHAnsi"/>
          <w:color w:val="000000"/>
        </w:rPr>
        <w:t xml:space="preserve"> Partnership,</w:t>
      </w:r>
      <w:r w:rsidR="00814EC8">
        <w:rPr>
          <w:rFonts w:asciiTheme="minorHAnsi" w:hAnsiTheme="minorHAnsi" w:cstheme="minorHAnsi"/>
          <w:color w:val="000000"/>
        </w:rPr>
        <w:t xml:space="preserve"> </w:t>
      </w:r>
      <w:r w:rsidR="002A7DDC">
        <w:rPr>
          <w:rFonts w:asciiTheme="minorHAnsi" w:hAnsiTheme="minorHAnsi" w:cstheme="minorHAnsi"/>
          <w:color w:val="000000"/>
        </w:rPr>
        <w:t xml:space="preserve">Public Entity Partnership Program, and the </w:t>
      </w:r>
      <w:r w:rsidR="00814EC8">
        <w:rPr>
          <w:rFonts w:asciiTheme="minorHAnsi" w:hAnsiTheme="minorHAnsi" w:cstheme="minorHAnsi"/>
          <w:color w:val="000000"/>
        </w:rPr>
        <w:t>Construction Partnership</w:t>
      </w:r>
      <w:r w:rsidR="00D945AB">
        <w:rPr>
          <w:rFonts w:asciiTheme="minorHAnsi" w:hAnsiTheme="minorHAnsi" w:cstheme="minorHAnsi"/>
          <w:color w:val="000000"/>
        </w:rPr>
        <w:t xml:space="preserve">, </w:t>
      </w:r>
      <w:r w:rsidR="00DD4440">
        <w:rPr>
          <w:rFonts w:asciiTheme="minorHAnsi" w:hAnsiTheme="minorHAnsi" w:cstheme="minorHAnsi"/>
          <w:color w:val="000000"/>
        </w:rPr>
        <w:t xml:space="preserve">as well as </w:t>
      </w:r>
      <w:r w:rsidR="002A7DDC">
        <w:rPr>
          <w:rFonts w:asciiTheme="minorHAnsi" w:hAnsiTheme="minorHAnsi" w:cstheme="minorHAnsi"/>
          <w:color w:val="000000"/>
        </w:rPr>
        <w:t xml:space="preserve">several partnerships with individual employers. </w:t>
      </w:r>
    </w:p>
    <w:p w14:paraId="052DC805" w14:textId="77777777" w:rsidR="002B0F65" w:rsidRPr="00E55B11" w:rsidRDefault="002B0F65" w:rsidP="00E55B11">
      <w:pPr>
        <w:widowControl/>
        <w:rPr>
          <w:rFonts w:asciiTheme="minorHAnsi" w:hAnsiTheme="minorHAnsi" w:cstheme="minorHAnsi"/>
          <w:color w:val="000000"/>
        </w:rPr>
      </w:pPr>
    </w:p>
    <w:p w14:paraId="24AFC80C" w14:textId="77777777" w:rsidR="00056AA3" w:rsidRDefault="00056AA3" w:rsidP="00C107BB">
      <w:pPr>
        <w:pStyle w:val="Heading3"/>
        <w:numPr>
          <w:ilvl w:val="0"/>
          <w:numId w:val="33"/>
        </w:numPr>
        <w:spacing w:before="0"/>
        <w:ind w:left="1080"/>
        <w:rPr>
          <w:rFonts w:cstheme="minorHAnsi"/>
          <w:i/>
          <w:color w:val="000000"/>
        </w:rPr>
      </w:pPr>
      <w:bookmarkStart w:id="49" w:name="State_and_Local_Gov_23g_Constultation"/>
      <w:bookmarkStart w:id="50" w:name="_Toc160178423"/>
      <w:bookmarkStart w:id="51" w:name="_Toc225327066"/>
      <w:bookmarkEnd w:id="49"/>
      <w:r w:rsidRPr="00700613">
        <w:t>State and Local Government 23(g) On-site Consultation Program</w:t>
      </w:r>
      <w:bookmarkEnd w:id="50"/>
      <w:bookmarkEnd w:id="51"/>
      <w:r w:rsidRPr="008D4EBA">
        <w:rPr>
          <w:rFonts w:cstheme="minorHAnsi"/>
          <w:i/>
          <w:color w:val="000000"/>
        </w:rPr>
        <w:t> </w:t>
      </w:r>
    </w:p>
    <w:p w14:paraId="2FE259A1" w14:textId="77777777" w:rsidR="00672699" w:rsidRPr="002C195E" w:rsidRDefault="00672699" w:rsidP="002C195E"/>
    <w:p w14:paraId="069A4D4E" w14:textId="436E05DE" w:rsidR="00056AA3" w:rsidRDefault="004910B5" w:rsidP="00056AA3">
      <w:pPr>
        <w:widowControl/>
        <w:autoSpaceDE/>
        <w:autoSpaceDN/>
        <w:adjustRightInd/>
        <w:textAlignment w:val="baseline"/>
        <w:rPr>
          <w:rFonts w:asciiTheme="minorHAnsi" w:hAnsiTheme="minorHAnsi" w:cstheme="minorHAnsi"/>
        </w:rPr>
      </w:pPr>
      <w:r w:rsidRPr="00056AA3">
        <w:rPr>
          <w:rFonts w:asciiTheme="minorHAnsi" w:hAnsiTheme="minorHAnsi" w:cstheme="minorHAnsi"/>
        </w:rPr>
        <w:t xml:space="preserve">Consultation services are provided to state and local government employers through </w:t>
      </w:r>
      <w:r w:rsidR="008348E5">
        <w:rPr>
          <w:rFonts w:asciiTheme="minorHAnsi" w:hAnsiTheme="minorHAnsi" w:cstheme="minorHAnsi"/>
        </w:rPr>
        <w:t xml:space="preserve">ADOSH’s </w:t>
      </w:r>
      <w:r w:rsidRPr="00056AA3">
        <w:rPr>
          <w:rFonts w:asciiTheme="minorHAnsi" w:hAnsiTheme="minorHAnsi" w:cstheme="minorHAnsi"/>
        </w:rPr>
        <w:t>Consultation, Education, and Training</w:t>
      </w:r>
      <w:r w:rsidR="008348E5">
        <w:rPr>
          <w:rFonts w:asciiTheme="minorHAnsi" w:hAnsiTheme="minorHAnsi" w:cstheme="minorHAnsi"/>
        </w:rPr>
        <w:t xml:space="preserve"> </w:t>
      </w:r>
      <w:r w:rsidR="00512597">
        <w:rPr>
          <w:rFonts w:asciiTheme="minorHAnsi" w:hAnsiTheme="minorHAnsi" w:cstheme="minorHAnsi"/>
        </w:rPr>
        <w:t>section</w:t>
      </w:r>
      <w:r w:rsidRPr="00056AA3">
        <w:rPr>
          <w:rFonts w:asciiTheme="minorHAnsi" w:hAnsiTheme="minorHAnsi" w:cstheme="minorHAnsi"/>
        </w:rPr>
        <w:t xml:space="preserve">.  </w:t>
      </w:r>
      <w:r w:rsidR="00FC02C6" w:rsidRPr="00056AA3">
        <w:rPr>
          <w:rFonts w:asciiTheme="minorHAnsi" w:hAnsiTheme="minorHAnsi" w:cstheme="minorHAnsi"/>
        </w:rPr>
        <w:t xml:space="preserve">This </w:t>
      </w:r>
      <w:r w:rsidR="00512597">
        <w:rPr>
          <w:rFonts w:asciiTheme="minorHAnsi" w:hAnsiTheme="minorHAnsi" w:cstheme="minorHAnsi"/>
        </w:rPr>
        <w:t>portion of the FAME</w:t>
      </w:r>
      <w:r w:rsidR="00FC02C6" w:rsidRPr="00056AA3">
        <w:rPr>
          <w:rFonts w:asciiTheme="minorHAnsi" w:hAnsiTheme="minorHAnsi" w:cstheme="minorHAnsi"/>
        </w:rPr>
        <w:t xml:space="preserve"> covers consultation services provided solely to state </w:t>
      </w:r>
      <w:r w:rsidR="00512597">
        <w:rPr>
          <w:rFonts w:asciiTheme="minorHAnsi" w:hAnsiTheme="minorHAnsi" w:cstheme="minorHAnsi"/>
        </w:rPr>
        <w:t>and</w:t>
      </w:r>
      <w:r w:rsidR="00FC02C6" w:rsidRPr="00056AA3">
        <w:rPr>
          <w:rFonts w:asciiTheme="minorHAnsi" w:hAnsiTheme="minorHAnsi" w:cstheme="minorHAnsi"/>
        </w:rPr>
        <w:t xml:space="preserve"> local government agencies that are funded under Section 23(g) of the OSH Act. </w:t>
      </w:r>
      <w:r w:rsidR="00FC02C6">
        <w:rPr>
          <w:rFonts w:asciiTheme="minorHAnsi" w:hAnsiTheme="minorHAnsi" w:cstheme="minorHAnsi"/>
        </w:rPr>
        <w:t xml:space="preserve"> </w:t>
      </w:r>
      <w:r w:rsidR="00056AA3" w:rsidRPr="00056AA3">
        <w:rPr>
          <w:rFonts w:asciiTheme="minorHAnsi" w:hAnsiTheme="minorHAnsi" w:cstheme="minorHAnsi"/>
        </w:rPr>
        <w:t xml:space="preserve">Consultation for the private sector </w:t>
      </w:r>
      <w:r w:rsidR="004B2C01">
        <w:rPr>
          <w:rFonts w:asciiTheme="minorHAnsi" w:hAnsiTheme="minorHAnsi" w:cstheme="minorHAnsi"/>
        </w:rPr>
        <w:t>was</w:t>
      </w:r>
      <w:r w:rsidR="00056AA3" w:rsidRPr="00056AA3">
        <w:rPr>
          <w:rFonts w:asciiTheme="minorHAnsi" w:hAnsiTheme="minorHAnsi" w:cstheme="minorHAnsi"/>
        </w:rPr>
        <w:t xml:space="preserve"> funded under Section 21(d) of the </w:t>
      </w:r>
      <w:r w:rsidR="008348E5">
        <w:rPr>
          <w:rFonts w:asciiTheme="minorHAnsi" w:hAnsiTheme="minorHAnsi" w:cstheme="minorHAnsi"/>
        </w:rPr>
        <w:t>OSH</w:t>
      </w:r>
      <w:r w:rsidR="00056AA3" w:rsidRPr="00056AA3">
        <w:rPr>
          <w:rFonts w:asciiTheme="minorHAnsi" w:hAnsiTheme="minorHAnsi" w:cstheme="minorHAnsi"/>
        </w:rPr>
        <w:t xml:space="preserve"> Act and is evaluated separately in the FY 202</w:t>
      </w:r>
      <w:r w:rsidR="00F95967">
        <w:rPr>
          <w:rFonts w:asciiTheme="minorHAnsi" w:hAnsiTheme="minorHAnsi" w:cstheme="minorHAnsi"/>
        </w:rPr>
        <w:t>5</w:t>
      </w:r>
      <w:r w:rsidR="00056AA3" w:rsidRPr="00056AA3">
        <w:rPr>
          <w:rFonts w:asciiTheme="minorHAnsi" w:hAnsiTheme="minorHAnsi" w:cstheme="minorHAnsi"/>
        </w:rPr>
        <w:t xml:space="preserve"> </w:t>
      </w:r>
      <w:r w:rsidR="008348E5">
        <w:rPr>
          <w:rFonts w:asciiTheme="minorHAnsi" w:hAnsiTheme="minorHAnsi" w:cstheme="minorHAnsi"/>
        </w:rPr>
        <w:t xml:space="preserve">RACER. </w:t>
      </w:r>
    </w:p>
    <w:p w14:paraId="56B08BBC" w14:textId="77777777" w:rsidR="00BD289B" w:rsidRDefault="00BD289B" w:rsidP="00056AA3">
      <w:pPr>
        <w:widowControl/>
        <w:autoSpaceDE/>
        <w:autoSpaceDN/>
        <w:adjustRightInd/>
        <w:textAlignment w:val="baseline"/>
        <w:rPr>
          <w:rFonts w:asciiTheme="minorHAnsi" w:hAnsiTheme="minorHAnsi" w:cstheme="minorHAnsi"/>
        </w:rPr>
      </w:pPr>
    </w:p>
    <w:p w14:paraId="1F9B5AE0" w14:textId="654971D9" w:rsidR="00BD289B" w:rsidRPr="0040182E" w:rsidRDefault="005E452D" w:rsidP="135FD61F">
      <w:pPr>
        <w:rPr>
          <w:rStyle w:val="Strong"/>
          <w:rFonts w:asciiTheme="minorHAnsi" w:hAnsiTheme="minorHAnsi" w:cstheme="minorBidi"/>
          <w:b w:val="0"/>
          <w:bCs w:val="0"/>
        </w:rPr>
      </w:pPr>
      <w:r w:rsidRPr="0040182E">
        <w:rPr>
          <w:rStyle w:val="Strong"/>
          <w:rFonts w:asciiTheme="minorHAnsi" w:hAnsiTheme="minorHAnsi" w:cstheme="minorBidi"/>
          <w:b w:val="0"/>
          <w:bCs w:val="0"/>
        </w:rPr>
        <w:t>According to OIS, i</w:t>
      </w:r>
      <w:r w:rsidR="70AF4A43" w:rsidRPr="0040182E">
        <w:rPr>
          <w:rStyle w:val="Strong"/>
          <w:rFonts w:asciiTheme="minorHAnsi" w:hAnsiTheme="minorHAnsi" w:cstheme="minorBidi"/>
          <w:b w:val="0"/>
          <w:bCs w:val="0"/>
        </w:rPr>
        <w:t>n FY 202</w:t>
      </w:r>
      <w:r w:rsidR="00F95967" w:rsidRPr="0040182E">
        <w:rPr>
          <w:rStyle w:val="Strong"/>
          <w:rFonts w:asciiTheme="minorHAnsi" w:hAnsiTheme="minorHAnsi" w:cstheme="minorBidi"/>
          <w:b w:val="0"/>
          <w:bCs w:val="0"/>
        </w:rPr>
        <w:t>5</w:t>
      </w:r>
      <w:r w:rsidR="70AF4A43" w:rsidRPr="0040182E">
        <w:rPr>
          <w:rStyle w:val="Strong"/>
          <w:rFonts w:asciiTheme="minorHAnsi" w:hAnsiTheme="minorHAnsi" w:cstheme="minorBidi"/>
          <w:b w:val="0"/>
          <w:bCs w:val="0"/>
        </w:rPr>
        <w:t xml:space="preserve">, </w:t>
      </w:r>
      <w:r w:rsidRPr="0040182E">
        <w:rPr>
          <w:rStyle w:val="Strong"/>
          <w:rFonts w:asciiTheme="minorHAnsi" w:hAnsiTheme="minorHAnsi" w:cstheme="minorBidi"/>
          <w:b w:val="0"/>
          <w:bCs w:val="0"/>
        </w:rPr>
        <w:t>35</w:t>
      </w:r>
      <w:r w:rsidR="70AF4A43" w:rsidRPr="0040182E">
        <w:rPr>
          <w:rStyle w:val="Strong"/>
          <w:rFonts w:asciiTheme="minorHAnsi" w:hAnsiTheme="minorHAnsi" w:cstheme="minorBidi"/>
          <w:b w:val="0"/>
          <w:bCs w:val="0"/>
        </w:rPr>
        <w:t xml:space="preserve"> </w:t>
      </w:r>
      <w:r w:rsidR="000F4112" w:rsidRPr="0040182E">
        <w:rPr>
          <w:rStyle w:val="Strong"/>
          <w:rFonts w:asciiTheme="minorHAnsi" w:hAnsiTheme="minorHAnsi" w:cstheme="minorBidi"/>
          <w:b w:val="0"/>
          <w:bCs w:val="0"/>
        </w:rPr>
        <w:t xml:space="preserve">total </w:t>
      </w:r>
      <w:r w:rsidR="70AF4A43" w:rsidRPr="0040182E">
        <w:rPr>
          <w:rStyle w:val="Strong"/>
          <w:rFonts w:asciiTheme="minorHAnsi" w:hAnsiTheme="minorHAnsi" w:cstheme="minorBidi"/>
          <w:b w:val="0"/>
          <w:bCs w:val="0"/>
        </w:rPr>
        <w:t>consultation visits were conducted in the state and local government workplaces</w:t>
      </w:r>
      <w:r w:rsidR="00352955">
        <w:rPr>
          <w:rStyle w:val="Strong"/>
          <w:rFonts w:asciiTheme="minorHAnsi" w:hAnsiTheme="minorHAnsi" w:cstheme="minorBidi"/>
          <w:b w:val="0"/>
          <w:bCs w:val="0"/>
        </w:rPr>
        <w:t>, 24 (96%) safety and 11 (44%) health.  This fell short of ADOSH’s projection of</w:t>
      </w:r>
      <w:r w:rsidR="00871CCB">
        <w:rPr>
          <w:rStyle w:val="Strong"/>
          <w:rFonts w:asciiTheme="minorHAnsi" w:hAnsiTheme="minorHAnsi" w:cstheme="minorBidi"/>
          <w:b w:val="0"/>
          <w:bCs w:val="0"/>
        </w:rPr>
        <w:t xml:space="preserve"> 25 safety and 25 health</w:t>
      </w:r>
      <w:r w:rsidR="00352955">
        <w:rPr>
          <w:rStyle w:val="Strong"/>
          <w:rFonts w:asciiTheme="minorHAnsi" w:hAnsiTheme="minorHAnsi" w:cstheme="minorBidi"/>
          <w:b w:val="0"/>
          <w:bCs w:val="0"/>
        </w:rPr>
        <w:t>.</w:t>
      </w:r>
      <w:r w:rsidR="00D62B21">
        <w:rPr>
          <w:rStyle w:val="Strong"/>
          <w:rFonts w:asciiTheme="minorHAnsi" w:hAnsiTheme="minorHAnsi" w:cstheme="minorBidi"/>
          <w:b w:val="0"/>
          <w:bCs w:val="0"/>
        </w:rPr>
        <w:t xml:space="preserve"> </w:t>
      </w:r>
      <w:r w:rsidR="008F2660">
        <w:rPr>
          <w:rStyle w:val="Strong"/>
          <w:rFonts w:asciiTheme="minorHAnsi" w:hAnsiTheme="minorHAnsi" w:cstheme="minorBidi"/>
          <w:b w:val="0"/>
          <w:bCs w:val="0"/>
        </w:rPr>
        <w:t xml:space="preserve"> Out of 35 visits, 34 were </w:t>
      </w:r>
      <w:r w:rsidR="00295326" w:rsidRPr="0040182E">
        <w:rPr>
          <w:rStyle w:val="Strong"/>
          <w:rFonts w:asciiTheme="minorHAnsi" w:hAnsiTheme="minorHAnsi" w:cstheme="minorBidi"/>
          <w:b w:val="0"/>
          <w:bCs w:val="0"/>
        </w:rPr>
        <w:t>initial</w:t>
      </w:r>
      <w:r w:rsidR="008F2660">
        <w:rPr>
          <w:rStyle w:val="Strong"/>
          <w:rFonts w:asciiTheme="minorHAnsi" w:hAnsiTheme="minorHAnsi" w:cstheme="minorBidi"/>
          <w:b w:val="0"/>
          <w:bCs w:val="0"/>
        </w:rPr>
        <w:t xml:space="preserve"> consultation visits and</w:t>
      </w:r>
      <w:r w:rsidR="00295326" w:rsidRPr="0040182E">
        <w:rPr>
          <w:rStyle w:val="Strong"/>
          <w:rFonts w:asciiTheme="minorHAnsi" w:hAnsiTheme="minorHAnsi" w:cstheme="minorBidi"/>
          <w:b w:val="0"/>
          <w:bCs w:val="0"/>
        </w:rPr>
        <w:t xml:space="preserve"> </w:t>
      </w:r>
      <w:r w:rsidR="008F2660">
        <w:rPr>
          <w:rStyle w:val="Strong"/>
          <w:rFonts w:asciiTheme="minorHAnsi" w:hAnsiTheme="minorHAnsi" w:cstheme="minorBidi"/>
          <w:b w:val="0"/>
          <w:bCs w:val="0"/>
        </w:rPr>
        <w:t>o</w:t>
      </w:r>
      <w:r w:rsidR="00295326" w:rsidRPr="0040182E">
        <w:rPr>
          <w:rStyle w:val="Strong"/>
          <w:rFonts w:asciiTheme="minorHAnsi" w:hAnsiTheme="minorHAnsi" w:cstheme="minorBidi"/>
          <w:b w:val="0"/>
          <w:bCs w:val="0"/>
        </w:rPr>
        <w:t xml:space="preserve">ne </w:t>
      </w:r>
      <w:r w:rsidR="008F2660">
        <w:rPr>
          <w:rStyle w:val="Strong"/>
          <w:rFonts w:asciiTheme="minorHAnsi" w:hAnsiTheme="minorHAnsi" w:cstheme="minorBidi"/>
          <w:b w:val="0"/>
          <w:bCs w:val="0"/>
        </w:rPr>
        <w:t xml:space="preserve">was a </w:t>
      </w:r>
      <w:r w:rsidR="00295326" w:rsidRPr="0040182E">
        <w:rPr>
          <w:rStyle w:val="Strong"/>
          <w:rFonts w:asciiTheme="minorHAnsi" w:hAnsiTheme="minorHAnsi" w:cstheme="minorBidi"/>
          <w:b w:val="0"/>
          <w:bCs w:val="0"/>
        </w:rPr>
        <w:t>training &amp; education visit</w:t>
      </w:r>
      <w:r w:rsidR="00772A94" w:rsidRPr="0040182E">
        <w:rPr>
          <w:rStyle w:val="Strong"/>
          <w:rFonts w:asciiTheme="minorHAnsi" w:hAnsiTheme="minorHAnsi" w:cstheme="minorBidi"/>
          <w:b w:val="0"/>
          <w:bCs w:val="0"/>
        </w:rPr>
        <w:t xml:space="preserve">.  </w:t>
      </w:r>
      <w:r w:rsidR="0040182E" w:rsidRPr="0040182E">
        <w:rPr>
          <w:rStyle w:val="Strong"/>
          <w:rFonts w:asciiTheme="minorHAnsi" w:hAnsiTheme="minorHAnsi" w:cstheme="minorBidi"/>
          <w:b w:val="0"/>
          <w:bCs w:val="0"/>
        </w:rPr>
        <w:t xml:space="preserve">Thirty-two of 34 (94.12%) initial visits </w:t>
      </w:r>
      <w:r w:rsidR="70AF4A43" w:rsidRPr="0040182E">
        <w:rPr>
          <w:rStyle w:val="Strong"/>
          <w:rFonts w:asciiTheme="minorHAnsi" w:hAnsiTheme="minorHAnsi" w:cstheme="minorBidi"/>
          <w:b w:val="0"/>
          <w:bCs w:val="0"/>
        </w:rPr>
        <w:t xml:space="preserve">were in high hazard industries, exceeding the </w:t>
      </w:r>
      <w:r w:rsidR="0040182E">
        <w:rPr>
          <w:rStyle w:val="Strong"/>
          <w:rFonts w:asciiTheme="minorHAnsi" w:hAnsiTheme="minorHAnsi" w:cstheme="minorBidi"/>
          <w:b w:val="0"/>
          <w:bCs w:val="0"/>
        </w:rPr>
        <w:t>reference level</w:t>
      </w:r>
      <w:r w:rsidR="70AF4A43" w:rsidRPr="0040182E">
        <w:rPr>
          <w:rStyle w:val="Strong"/>
          <w:rFonts w:asciiTheme="minorHAnsi" w:hAnsiTheme="minorHAnsi" w:cstheme="minorBidi"/>
          <w:b w:val="0"/>
          <w:bCs w:val="0"/>
        </w:rPr>
        <w:t xml:space="preserve"> of 90% (MARC 1).</w:t>
      </w:r>
    </w:p>
    <w:p w14:paraId="25FA1293" w14:textId="77777777" w:rsidR="00BD289B" w:rsidRPr="00F95967" w:rsidRDefault="00BD289B" w:rsidP="00BD289B">
      <w:pPr>
        <w:rPr>
          <w:rStyle w:val="Strong"/>
          <w:rFonts w:asciiTheme="minorHAnsi" w:hAnsiTheme="minorHAnsi" w:cstheme="minorHAnsi"/>
          <w:b w:val="0"/>
          <w:bCs w:val="0"/>
          <w:highlight w:val="yellow"/>
        </w:rPr>
      </w:pPr>
    </w:p>
    <w:p w14:paraId="05A76B05" w14:textId="28894633" w:rsidR="00BD289B" w:rsidRPr="00B6576A" w:rsidRDefault="70AF4A43" w:rsidP="135FD61F">
      <w:pPr>
        <w:rPr>
          <w:rStyle w:val="Strong"/>
          <w:rFonts w:asciiTheme="minorHAnsi" w:hAnsiTheme="minorHAnsi" w:cstheme="minorBidi"/>
          <w:b w:val="0"/>
          <w:bCs w:val="0"/>
        </w:rPr>
      </w:pPr>
      <w:r w:rsidRPr="00B6576A">
        <w:rPr>
          <w:rStyle w:val="Strong"/>
          <w:rFonts w:asciiTheme="minorHAnsi" w:hAnsiTheme="minorHAnsi" w:cstheme="minorBidi"/>
          <w:b w:val="0"/>
          <w:bCs w:val="0"/>
        </w:rPr>
        <w:t xml:space="preserve">Smaller businesses with fewer than 250 employees received </w:t>
      </w:r>
      <w:r w:rsidR="00732D53" w:rsidRPr="00B6576A">
        <w:rPr>
          <w:rStyle w:val="Strong"/>
          <w:rFonts w:asciiTheme="minorHAnsi" w:hAnsiTheme="minorHAnsi" w:cstheme="minorBidi"/>
          <w:b w:val="0"/>
          <w:bCs w:val="0"/>
        </w:rPr>
        <w:t>34</w:t>
      </w:r>
      <w:r w:rsidRPr="00B6576A">
        <w:rPr>
          <w:rStyle w:val="Strong"/>
          <w:rFonts w:asciiTheme="minorHAnsi" w:hAnsiTheme="minorHAnsi" w:cstheme="minorBidi"/>
          <w:b w:val="0"/>
          <w:bCs w:val="0"/>
        </w:rPr>
        <w:t xml:space="preserve"> (</w:t>
      </w:r>
      <w:r w:rsidR="00732D53" w:rsidRPr="00B6576A">
        <w:rPr>
          <w:rStyle w:val="Strong"/>
          <w:rFonts w:asciiTheme="minorHAnsi" w:hAnsiTheme="minorHAnsi" w:cstheme="minorBidi"/>
          <w:b w:val="0"/>
          <w:bCs w:val="0"/>
        </w:rPr>
        <w:t>100%</w:t>
      </w:r>
      <w:r w:rsidRPr="00B6576A">
        <w:rPr>
          <w:rStyle w:val="Strong"/>
          <w:rFonts w:asciiTheme="minorHAnsi" w:hAnsiTheme="minorHAnsi" w:cstheme="minorBidi"/>
          <w:b w:val="0"/>
          <w:bCs w:val="0"/>
        </w:rPr>
        <w:t>) visits (MARC 2</w:t>
      </w:r>
      <w:r w:rsidR="009E2351" w:rsidRPr="00B6576A">
        <w:rPr>
          <w:rStyle w:val="Strong"/>
          <w:rFonts w:asciiTheme="minorHAnsi" w:hAnsiTheme="minorHAnsi" w:cstheme="minorBidi"/>
          <w:b w:val="0"/>
          <w:bCs w:val="0"/>
        </w:rPr>
        <w:t>a</w:t>
      </w:r>
      <w:r w:rsidR="7AC3088A" w:rsidRPr="00B6576A">
        <w:rPr>
          <w:rStyle w:val="Strong"/>
          <w:rFonts w:asciiTheme="minorHAnsi" w:hAnsiTheme="minorHAnsi" w:cstheme="minorBidi"/>
          <w:b w:val="0"/>
          <w:bCs w:val="0"/>
        </w:rPr>
        <w:t>)</w:t>
      </w:r>
      <w:r w:rsidRPr="00B6576A">
        <w:rPr>
          <w:rStyle w:val="Strong"/>
          <w:rFonts w:asciiTheme="minorHAnsi" w:hAnsiTheme="minorHAnsi" w:cstheme="minorBidi"/>
          <w:b w:val="0"/>
          <w:bCs w:val="0"/>
        </w:rPr>
        <w:t xml:space="preserve"> and businesses with fewer than 500 employees received </w:t>
      </w:r>
      <w:r w:rsidR="009E2351" w:rsidRPr="00B6576A">
        <w:rPr>
          <w:rStyle w:val="Strong"/>
          <w:rFonts w:asciiTheme="minorHAnsi" w:hAnsiTheme="minorHAnsi" w:cstheme="minorBidi"/>
          <w:b w:val="0"/>
          <w:bCs w:val="0"/>
        </w:rPr>
        <w:t>28</w:t>
      </w:r>
      <w:r w:rsidRPr="00B6576A">
        <w:rPr>
          <w:rStyle w:val="Strong"/>
          <w:rFonts w:asciiTheme="minorHAnsi" w:hAnsiTheme="minorHAnsi" w:cstheme="minorBidi"/>
          <w:b w:val="0"/>
          <w:bCs w:val="0"/>
        </w:rPr>
        <w:t xml:space="preserve"> (</w:t>
      </w:r>
      <w:r w:rsidR="009E2351" w:rsidRPr="00B6576A">
        <w:rPr>
          <w:rStyle w:val="Strong"/>
          <w:rFonts w:asciiTheme="minorHAnsi" w:hAnsiTheme="minorHAnsi" w:cstheme="minorBidi"/>
          <w:b w:val="0"/>
          <w:bCs w:val="0"/>
        </w:rPr>
        <w:t>82.35</w:t>
      </w:r>
      <w:r w:rsidRPr="00B6576A">
        <w:rPr>
          <w:rStyle w:val="Strong"/>
          <w:rFonts w:asciiTheme="minorHAnsi" w:hAnsiTheme="minorHAnsi" w:cstheme="minorBidi"/>
          <w:b w:val="0"/>
          <w:bCs w:val="0"/>
        </w:rPr>
        <w:t>%) visits (MARC 2</w:t>
      </w:r>
      <w:r w:rsidR="009E2351" w:rsidRPr="00B6576A">
        <w:rPr>
          <w:rStyle w:val="Strong"/>
          <w:rFonts w:asciiTheme="minorHAnsi" w:hAnsiTheme="minorHAnsi" w:cstheme="minorBidi"/>
          <w:b w:val="0"/>
          <w:bCs w:val="0"/>
        </w:rPr>
        <w:t>b</w:t>
      </w:r>
      <w:r w:rsidRPr="00B6576A">
        <w:rPr>
          <w:rStyle w:val="Strong"/>
          <w:rFonts w:asciiTheme="minorHAnsi" w:hAnsiTheme="minorHAnsi" w:cstheme="minorBidi"/>
          <w:b w:val="0"/>
          <w:bCs w:val="0"/>
        </w:rPr>
        <w:t>).  The consultant conferred with employees 100% of the time (MARC 3).</w:t>
      </w:r>
    </w:p>
    <w:p w14:paraId="02C15B96" w14:textId="77777777" w:rsidR="00BD289B" w:rsidRPr="00B6576A" w:rsidRDefault="00BD289B" w:rsidP="00BD289B">
      <w:pPr>
        <w:ind w:left="360"/>
        <w:rPr>
          <w:rStyle w:val="Strong"/>
          <w:rFonts w:asciiTheme="minorHAnsi" w:hAnsiTheme="minorHAnsi" w:cstheme="minorHAnsi"/>
          <w:b w:val="0"/>
          <w:bCs w:val="0"/>
        </w:rPr>
      </w:pPr>
    </w:p>
    <w:p w14:paraId="418D704D" w14:textId="6D0F7F0C" w:rsidR="009510BD" w:rsidRDefault="70AF4A43" w:rsidP="135FD61F">
      <w:pPr>
        <w:rPr>
          <w:rStyle w:val="Strong"/>
          <w:rFonts w:asciiTheme="minorHAnsi" w:hAnsiTheme="minorHAnsi" w:cstheme="minorBidi"/>
          <w:b w:val="0"/>
          <w:bCs w:val="0"/>
        </w:rPr>
      </w:pPr>
      <w:r w:rsidRPr="00B6576A">
        <w:rPr>
          <w:rStyle w:val="Strong"/>
          <w:rFonts w:asciiTheme="minorHAnsi" w:hAnsiTheme="minorHAnsi" w:cstheme="minorBidi"/>
          <w:b w:val="0"/>
          <w:bCs w:val="0"/>
        </w:rPr>
        <w:t xml:space="preserve">During this evaluation period, </w:t>
      </w:r>
      <w:r w:rsidR="007E68DA" w:rsidRPr="00B6576A">
        <w:rPr>
          <w:rStyle w:val="Strong"/>
          <w:rFonts w:asciiTheme="minorHAnsi" w:hAnsiTheme="minorHAnsi" w:cstheme="minorBidi"/>
          <w:b w:val="0"/>
          <w:bCs w:val="0"/>
        </w:rPr>
        <w:t>114</w:t>
      </w:r>
      <w:r w:rsidRPr="00B6576A">
        <w:rPr>
          <w:rStyle w:val="Strong"/>
          <w:rFonts w:asciiTheme="minorHAnsi" w:hAnsiTheme="minorHAnsi" w:cstheme="minorBidi"/>
          <w:b w:val="0"/>
          <w:bCs w:val="0"/>
        </w:rPr>
        <w:t xml:space="preserve"> serious hazards were identified and </w:t>
      </w:r>
      <w:r w:rsidR="007E68DA" w:rsidRPr="00B6576A">
        <w:rPr>
          <w:rStyle w:val="Strong"/>
          <w:rFonts w:asciiTheme="minorHAnsi" w:hAnsiTheme="minorHAnsi" w:cstheme="minorBidi"/>
          <w:b w:val="0"/>
          <w:bCs w:val="0"/>
        </w:rPr>
        <w:t>all 114</w:t>
      </w:r>
      <w:r w:rsidR="764F25BC" w:rsidRPr="00B6576A">
        <w:rPr>
          <w:rStyle w:val="Strong"/>
          <w:rFonts w:asciiTheme="minorHAnsi" w:hAnsiTheme="minorHAnsi" w:cstheme="minorBidi"/>
          <w:b w:val="0"/>
          <w:bCs w:val="0"/>
        </w:rPr>
        <w:t xml:space="preserve"> </w:t>
      </w:r>
      <w:r w:rsidRPr="00B6576A">
        <w:rPr>
          <w:rStyle w:val="Strong"/>
          <w:rFonts w:asciiTheme="minorHAnsi" w:hAnsiTheme="minorHAnsi" w:cstheme="minorBidi"/>
          <w:b w:val="0"/>
          <w:bCs w:val="0"/>
        </w:rPr>
        <w:t>(</w:t>
      </w:r>
      <w:r w:rsidR="007E68DA" w:rsidRPr="00B6576A">
        <w:rPr>
          <w:rStyle w:val="Strong"/>
          <w:rFonts w:asciiTheme="minorHAnsi" w:hAnsiTheme="minorHAnsi" w:cstheme="minorBidi"/>
          <w:b w:val="0"/>
          <w:bCs w:val="0"/>
        </w:rPr>
        <w:t>100</w:t>
      </w:r>
      <w:r w:rsidRPr="00B6576A">
        <w:rPr>
          <w:rStyle w:val="Strong"/>
          <w:rFonts w:asciiTheme="minorHAnsi" w:hAnsiTheme="minorHAnsi" w:cstheme="minorBidi"/>
          <w:b w:val="0"/>
          <w:bCs w:val="0"/>
        </w:rPr>
        <w:t xml:space="preserve">%) were corrected timely. </w:t>
      </w:r>
      <w:r w:rsidR="764F25BC" w:rsidRPr="00B6576A">
        <w:rPr>
          <w:rStyle w:val="Strong"/>
          <w:rFonts w:asciiTheme="minorHAnsi" w:hAnsiTheme="minorHAnsi" w:cstheme="minorBidi"/>
          <w:b w:val="0"/>
          <w:bCs w:val="0"/>
        </w:rPr>
        <w:t xml:space="preserve"> </w:t>
      </w:r>
      <w:r w:rsidR="007E68DA" w:rsidRPr="00B6576A">
        <w:rPr>
          <w:rStyle w:val="Strong"/>
          <w:rFonts w:asciiTheme="minorHAnsi" w:hAnsiTheme="minorHAnsi" w:cstheme="minorBidi"/>
          <w:b w:val="0"/>
          <w:bCs w:val="0"/>
        </w:rPr>
        <w:t>In addition, all 114 ha</w:t>
      </w:r>
      <w:r w:rsidRPr="00B6576A">
        <w:rPr>
          <w:rStyle w:val="Strong"/>
          <w:rFonts w:asciiTheme="minorHAnsi" w:hAnsiTheme="minorHAnsi" w:cstheme="minorBidi"/>
          <w:b w:val="0"/>
          <w:bCs w:val="0"/>
        </w:rPr>
        <w:t>zards corrected on-site</w:t>
      </w:r>
      <w:r w:rsidR="0C687848" w:rsidRPr="00B6576A">
        <w:rPr>
          <w:rStyle w:val="Strong"/>
          <w:rFonts w:asciiTheme="minorHAnsi" w:hAnsiTheme="minorHAnsi" w:cstheme="minorBidi"/>
          <w:b w:val="0"/>
          <w:bCs w:val="0"/>
        </w:rPr>
        <w:t xml:space="preserve"> </w:t>
      </w:r>
      <w:r w:rsidR="00BC5106" w:rsidRPr="00B6576A">
        <w:rPr>
          <w:rStyle w:val="Strong"/>
          <w:rFonts w:asciiTheme="minorHAnsi" w:hAnsiTheme="minorHAnsi" w:cstheme="minorBidi"/>
          <w:b w:val="0"/>
          <w:bCs w:val="0"/>
        </w:rPr>
        <w:t xml:space="preserve">or </w:t>
      </w:r>
      <w:r w:rsidRPr="00B6576A">
        <w:rPr>
          <w:rStyle w:val="Strong"/>
          <w:rFonts w:asciiTheme="minorHAnsi" w:hAnsiTheme="minorHAnsi" w:cstheme="minorBidi"/>
          <w:b w:val="0"/>
          <w:bCs w:val="0"/>
        </w:rPr>
        <w:t>within the original time frame</w:t>
      </w:r>
      <w:r w:rsidR="71D0E2E5" w:rsidRPr="00B6576A">
        <w:rPr>
          <w:rStyle w:val="Strong"/>
          <w:rFonts w:asciiTheme="minorHAnsi" w:hAnsiTheme="minorHAnsi" w:cstheme="minorBidi"/>
          <w:b w:val="0"/>
          <w:bCs w:val="0"/>
        </w:rPr>
        <w:t xml:space="preserve">, exceeding </w:t>
      </w:r>
      <w:r w:rsidRPr="00B6576A">
        <w:rPr>
          <w:rStyle w:val="Strong"/>
          <w:rFonts w:asciiTheme="minorHAnsi" w:hAnsiTheme="minorHAnsi" w:cstheme="minorBidi"/>
          <w:b w:val="0"/>
          <w:bCs w:val="0"/>
        </w:rPr>
        <w:t>the goal of 65%. No employers were referred to enforcement (MARC 4</w:t>
      </w:r>
      <w:r w:rsidR="00BA609E" w:rsidRPr="00B6576A">
        <w:rPr>
          <w:rStyle w:val="Strong"/>
          <w:rFonts w:asciiTheme="minorHAnsi" w:hAnsiTheme="minorHAnsi" w:cstheme="minorBidi"/>
          <w:b w:val="0"/>
          <w:bCs w:val="0"/>
        </w:rPr>
        <w:t>a</w:t>
      </w:r>
      <w:r w:rsidRPr="00B6576A">
        <w:rPr>
          <w:rStyle w:val="Strong"/>
          <w:rFonts w:asciiTheme="minorHAnsi" w:hAnsiTheme="minorHAnsi" w:cstheme="minorBidi"/>
          <w:b w:val="0"/>
          <w:bCs w:val="0"/>
        </w:rPr>
        <w:t>-4</w:t>
      </w:r>
      <w:r w:rsidR="00C422FD" w:rsidRPr="00B6576A">
        <w:rPr>
          <w:rStyle w:val="Strong"/>
          <w:rFonts w:asciiTheme="minorHAnsi" w:hAnsiTheme="minorHAnsi" w:cstheme="minorBidi"/>
          <w:b w:val="0"/>
          <w:bCs w:val="0"/>
        </w:rPr>
        <w:t>d</w:t>
      </w:r>
      <w:r w:rsidRPr="00B6576A">
        <w:rPr>
          <w:rStyle w:val="Strong"/>
          <w:rFonts w:asciiTheme="minorHAnsi" w:hAnsiTheme="minorHAnsi" w:cstheme="minorBidi"/>
          <w:b w:val="0"/>
          <w:bCs w:val="0"/>
        </w:rPr>
        <w:t>).</w:t>
      </w:r>
      <w:r w:rsidR="758D47F1" w:rsidRPr="00B6576A">
        <w:rPr>
          <w:rStyle w:val="Strong"/>
          <w:rFonts w:asciiTheme="minorHAnsi" w:hAnsiTheme="minorHAnsi" w:cstheme="minorBidi"/>
          <w:b w:val="0"/>
          <w:bCs w:val="0"/>
        </w:rPr>
        <w:t xml:space="preserve">  </w:t>
      </w:r>
      <w:r w:rsidR="00BA609E" w:rsidRPr="00B6576A">
        <w:rPr>
          <w:rStyle w:val="Strong"/>
          <w:rFonts w:asciiTheme="minorHAnsi" w:hAnsiTheme="minorHAnsi" w:cstheme="minorBidi"/>
          <w:b w:val="0"/>
          <w:bCs w:val="0"/>
        </w:rPr>
        <w:t>There were no</w:t>
      </w:r>
      <w:r w:rsidR="758D47F1" w:rsidRPr="00B6576A">
        <w:rPr>
          <w:rStyle w:val="Strong"/>
          <w:rFonts w:asciiTheme="minorHAnsi" w:hAnsiTheme="minorHAnsi" w:cstheme="minorBidi"/>
          <w:b w:val="0"/>
          <w:bCs w:val="0"/>
        </w:rPr>
        <w:t xml:space="preserve"> </w:t>
      </w:r>
      <w:r w:rsidR="456B079D" w:rsidRPr="00B6576A">
        <w:rPr>
          <w:rStyle w:val="Strong"/>
          <w:rFonts w:asciiTheme="minorHAnsi" w:hAnsiTheme="minorHAnsi" w:cstheme="minorBidi"/>
          <w:b w:val="0"/>
          <w:bCs w:val="0"/>
        </w:rPr>
        <w:t>serious hazards uncorrected beyond 90 days past their due date (MARC 5).</w:t>
      </w:r>
      <w:r w:rsidR="456B079D" w:rsidRPr="135FD61F">
        <w:rPr>
          <w:rStyle w:val="Strong"/>
          <w:rFonts w:asciiTheme="minorHAnsi" w:hAnsiTheme="minorHAnsi" w:cstheme="minorBidi"/>
          <w:b w:val="0"/>
          <w:bCs w:val="0"/>
        </w:rPr>
        <w:t xml:space="preserve"> </w:t>
      </w:r>
    </w:p>
    <w:p w14:paraId="422C3315" w14:textId="77777777" w:rsidR="000C2BEF" w:rsidRPr="008D4EBA" w:rsidRDefault="000C2BEF" w:rsidP="135FD61F">
      <w:pPr>
        <w:rPr>
          <w:rStyle w:val="Strong"/>
          <w:rFonts w:asciiTheme="minorHAnsi" w:hAnsiTheme="minorHAnsi" w:cstheme="minorBidi"/>
          <w:b w:val="0"/>
        </w:rPr>
      </w:pPr>
    </w:p>
    <w:p w14:paraId="668CC0C4" w14:textId="168BAD6D" w:rsidR="00375691" w:rsidRDefault="00284A3D" w:rsidP="135FD61F">
      <w:pPr>
        <w:widowControl/>
        <w:autoSpaceDE/>
        <w:autoSpaceDN/>
        <w:adjustRightInd/>
        <w:rPr>
          <w:rFonts w:asciiTheme="minorHAnsi" w:hAnsiTheme="minorHAnsi" w:cstheme="minorBidi"/>
        </w:rPr>
      </w:pPr>
      <w:r>
        <w:rPr>
          <w:rFonts w:asciiTheme="minorHAnsi" w:hAnsiTheme="minorHAnsi" w:cstheme="minorBidi"/>
        </w:rPr>
        <w:t>OSHA</w:t>
      </w:r>
      <w:r w:rsidR="00B6576A">
        <w:rPr>
          <w:rFonts w:asciiTheme="minorHAnsi" w:hAnsiTheme="minorHAnsi" w:cstheme="minorBidi"/>
        </w:rPr>
        <w:t xml:space="preserve"> conducted an</w:t>
      </w:r>
      <w:r w:rsidR="456B079D" w:rsidRPr="135FD61F">
        <w:rPr>
          <w:rFonts w:asciiTheme="minorHAnsi" w:hAnsiTheme="minorHAnsi" w:cstheme="minorBidi"/>
        </w:rPr>
        <w:t xml:space="preserve"> on-site review of the consultation program </w:t>
      </w:r>
      <w:r w:rsidR="70F2ED41" w:rsidRPr="135FD61F">
        <w:rPr>
          <w:rFonts w:asciiTheme="minorHAnsi" w:hAnsiTheme="minorHAnsi" w:cstheme="minorBidi"/>
        </w:rPr>
        <w:t xml:space="preserve">on </w:t>
      </w:r>
      <w:r w:rsidR="003E2388">
        <w:rPr>
          <w:rFonts w:asciiTheme="minorHAnsi" w:hAnsiTheme="minorHAnsi" w:cstheme="minorBidi"/>
        </w:rPr>
        <w:t>March 10 to 13, 2025</w:t>
      </w:r>
      <w:r w:rsidR="00E53608">
        <w:rPr>
          <w:rFonts w:asciiTheme="minorHAnsi" w:hAnsiTheme="minorHAnsi" w:cstheme="minorBidi"/>
        </w:rPr>
        <w:t xml:space="preserve"> which included a review of </w:t>
      </w:r>
      <w:r w:rsidR="00C95286">
        <w:rPr>
          <w:rFonts w:asciiTheme="minorHAnsi" w:hAnsiTheme="minorHAnsi" w:cstheme="minorBidi"/>
        </w:rPr>
        <w:t>12 state and local government visit files</w:t>
      </w:r>
      <w:r w:rsidR="456B079D" w:rsidRPr="135FD61F">
        <w:rPr>
          <w:rFonts w:asciiTheme="minorHAnsi" w:hAnsiTheme="minorHAnsi" w:cstheme="minorBidi"/>
        </w:rPr>
        <w:t xml:space="preserve">.  The purpose of the visit was to assess the quality of the program’s </w:t>
      </w:r>
      <w:r w:rsidR="456B079D" w:rsidRPr="00410234">
        <w:rPr>
          <w:rFonts w:asciiTheme="minorHAnsi" w:hAnsiTheme="minorHAnsi" w:cstheme="minorBidi"/>
        </w:rPr>
        <w:t xml:space="preserve">services and its internal quality assurance program in accordance with </w:t>
      </w:r>
      <w:r w:rsidR="00C95286">
        <w:rPr>
          <w:rFonts w:asciiTheme="minorHAnsi" w:hAnsiTheme="minorHAnsi" w:cstheme="minorBidi"/>
        </w:rPr>
        <w:t xml:space="preserve">OSHA’s </w:t>
      </w:r>
      <w:r w:rsidR="456B079D" w:rsidRPr="00410234">
        <w:rPr>
          <w:rFonts w:asciiTheme="minorHAnsi" w:hAnsiTheme="minorHAnsi" w:cstheme="minorBidi"/>
        </w:rPr>
        <w:t>Consultation Policies and Procedures Manual (CSP 02-00-00</w:t>
      </w:r>
      <w:r w:rsidR="003E2388">
        <w:rPr>
          <w:rFonts w:asciiTheme="minorHAnsi" w:hAnsiTheme="minorHAnsi" w:cstheme="minorBidi"/>
        </w:rPr>
        <w:t>5</w:t>
      </w:r>
      <w:r w:rsidR="456B079D" w:rsidRPr="00410234">
        <w:rPr>
          <w:rFonts w:asciiTheme="minorHAnsi" w:hAnsiTheme="minorHAnsi" w:cstheme="minorBidi"/>
        </w:rPr>
        <w:t>) and 29 Code of Federal Regulations (CFR) Part 1908 – Consultation Agreements.</w:t>
      </w:r>
      <w:r w:rsidR="00801BA7">
        <w:rPr>
          <w:rFonts w:asciiTheme="minorHAnsi" w:hAnsiTheme="minorHAnsi" w:cstheme="minorBidi"/>
        </w:rPr>
        <w:t xml:space="preserve">  </w:t>
      </w:r>
    </w:p>
    <w:p w14:paraId="71CDA258" w14:textId="77777777" w:rsidR="00375691" w:rsidRDefault="00375691" w:rsidP="135FD61F">
      <w:pPr>
        <w:widowControl/>
        <w:autoSpaceDE/>
        <w:autoSpaceDN/>
        <w:adjustRightInd/>
        <w:rPr>
          <w:rFonts w:asciiTheme="minorHAnsi" w:hAnsiTheme="minorHAnsi" w:cstheme="minorBidi"/>
        </w:rPr>
      </w:pPr>
    </w:p>
    <w:p w14:paraId="7D7D8917" w14:textId="6C571E00" w:rsidR="00D94B48" w:rsidRDefault="00512597" w:rsidP="00921354">
      <w:pPr>
        <w:widowControl/>
        <w:autoSpaceDE/>
        <w:autoSpaceDN/>
        <w:adjustRightInd/>
        <w:rPr>
          <w:rFonts w:asciiTheme="minorHAnsi" w:hAnsiTheme="minorHAnsi" w:cstheme="minorBidi"/>
        </w:rPr>
      </w:pPr>
      <w:r>
        <w:rPr>
          <w:rFonts w:asciiTheme="minorHAnsi" w:hAnsiTheme="minorHAnsi" w:cstheme="minorBidi"/>
        </w:rPr>
        <w:t xml:space="preserve">The on-site review </w:t>
      </w:r>
      <w:r w:rsidR="00F801E3">
        <w:rPr>
          <w:rFonts w:asciiTheme="minorHAnsi" w:hAnsiTheme="minorHAnsi" w:cstheme="minorBidi"/>
        </w:rPr>
        <w:t>confirmed i</w:t>
      </w:r>
      <w:r w:rsidR="005C2755">
        <w:rPr>
          <w:rFonts w:asciiTheme="minorHAnsi" w:hAnsiTheme="minorHAnsi" w:cstheme="minorBidi"/>
        </w:rPr>
        <w:t xml:space="preserve">mprovement </w:t>
      </w:r>
      <w:r w:rsidR="00F801E3">
        <w:rPr>
          <w:rFonts w:asciiTheme="minorHAnsi" w:hAnsiTheme="minorHAnsi" w:cstheme="minorBidi"/>
        </w:rPr>
        <w:t>was made</w:t>
      </w:r>
      <w:r w:rsidR="005C2755">
        <w:rPr>
          <w:rFonts w:asciiTheme="minorHAnsi" w:hAnsiTheme="minorHAnsi" w:cstheme="minorBidi"/>
        </w:rPr>
        <w:t xml:space="preserve"> from the </w:t>
      </w:r>
      <w:r w:rsidR="00F801E3">
        <w:rPr>
          <w:rFonts w:asciiTheme="minorHAnsi" w:hAnsiTheme="minorHAnsi" w:cstheme="minorBidi"/>
        </w:rPr>
        <w:t>previous review period</w:t>
      </w:r>
      <w:r w:rsidR="00D60A7E">
        <w:rPr>
          <w:rFonts w:asciiTheme="minorHAnsi" w:hAnsiTheme="minorHAnsi" w:cstheme="minorBidi"/>
        </w:rPr>
        <w:t xml:space="preserve"> and Arizona continued to provide quality consultation services to state and local government employers.  </w:t>
      </w:r>
      <w:r w:rsidR="00C63908">
        <w:rPr>
          <w:rFonts w:asciiTheme="minorHAnsi" w:hAnsiTheme="minorHAnsi" w:cstheme="minorBidi"/>
        </w:rPr>
        <w:t>Minor di</w:t>
      </w:r>
      <w:r w:rsidR="00E762BC">
        <w:rPr>
          <w:rFonts w:asciiTheme="minorHAnsi" w:hAnsiTheme="minorHAnsi" w:cstheme="minorBidi"/>
        </w:rPr>
        <w:t xml:space="preserve">screpancies </w:t>
      </w:r>
      <w:r w:rsidR="00C63908">
        <w:rPr>
          <w:rFonts w:asciiTheme="minorHAnsi" w:hAnsiTheme="minorHAnsi" w:cstheme="minorBidi"/>
        </w:rPr>
        <w:t xml:space="preserve">identified </w:t>
      </w:r>
      <w:r w:rsidR="00E762BC">
        <w:rPr>
          <w:rFonts w:asciiTheme="minorHAnsi" w:hAnsiTheme="minorHAnsi" w:cstheme="minorBidi"/>
        </w:rPr>
        <w:t>in the case file</w:t>
      </w:r>
      <w:r w:rsidR="00C63908">
        <w:rPr>
          <w:rFonts w:asciiTheme="minorHAnsi" w:hAnsiTheme="minorHAnsi" w:cstheme="minorBidi"/>
        </w:rPr>
        <w:t xml:space="preserve"> review were discussed with Arizona</w:t>
      </w:r>
      <w:r w:rsidR="005E2358">
        <w:rPr>
          <w:rFonts w:asciiTheme="minorHAnsi" w:hAnsiTheme="minorHAnsi" w:cstheme="minorBidi"/>
        </w:rPr>
        <w:t xml:space="preserve"> </w:t>
      </w:r>
      <w:r w:rsidR="00F63450">
        <w:rPr>
          <w:rFonts w:asciiTheme="minorHAnsi" w:hAnsiTheme="minorHAnsi" w:cstheme="minorBidi"/>
        </w:rPr>
        <w:t xml:space="preserve">at the time, </w:t>
      </w:r>
      <w:r w:rsidR="005E2358">
        <w:rPr>
          <w:rFonts w:asciiTheme="minorHAnsi" w:hAnsiTheme="minorHAnsi" w:cstheme="minorBidi"/>
        </w:rPr>
        <w:t>and a</w:t>
      </w:r>
      <w:r w:rsidR="00F54F1E">
        <w:rPr>
          <w:rFonts w:asciiTheme="minorHAnsi" w:hAnsiTheme="minorHAnsi" w:cstheme="minorBidi"/>
        </w:rPr>
        <w:t xml:space="preserve"> corrective action plan </w:t>
      </w:r>
      <w:r w:rsidR="005E2358">
        <w:rPr>
          <w:rFonts w:asciiTheme="minorHAnsi" w:hAnsiTheme="minorHAnsi" w:cstheme="minorBidi"/>
        </w:rPr>
        <w:t xml:space="preserve">was submitted to OSHA </w:t>
      </w:r>
      <w:r w:rsidR="00F54F1E">
        <w:rPr>
          <w:rFonts w:asciiTheme="minorHAnsi" w:hAnsiTheme="minorHAnsi" w:cstheme="minorBidi"/>
        </w:rPr>
        <w:t>address</w:t>
      </w:r>
      <w:r w:rsidR="00F63450">
        <w:rPr>
          <w:rFonts w:asciiTheme="minorHAnsi" w:hAnsiTheme="minorHAnsi" w:cstheme="minorBidi"/>
        </w:rPr>
        <w:t>ing</w:t>
      </w:r>
      <w:r w:rsidR="00F54F1E">
        <w:rPr>
          <w:rFonts w:asciiTheme="minorHAnsi" w:hAnsiTheme="minorHAnsi" w:cstheme="minorBidi"/>
        </w:rPr>
        <w:t xml:space="preserve"> these areas of </w:t>
      </w:r>
      <w:r w:rsidR="005174A7">
        <w:rPr>
          <w:rFonts w:asciiTheme="minorHAnsi" w:hAnsiTheme="minorHAnsi" w:cstheme="minorBidi"/>
        </w:rPr>
        <w:t>concern</w:t>
      </w:r>
      <w:r w:rsidR="00414DAE">
        <w:rPr>
          <w:rFonts w:asciiTheme="minorHAnsi" w:hAnsiTheme="minorHAnsi" w:cstheme="minorBidi"/>
        </w:rPr>
        <w:t>.  T</w:t>
      </w:r>
      <w:r w:rsidR="00F54F1E">
        <w:rPr>
          <w:rFonts w:asciiTheme="minorHAnsi" w:hAnsiTheme="minorHAnsi" w:cstheme="minorBidi"/>
        </w:rPr>
        <w:t xml:space="preserve">hey will be reassessed during the next review period.  </w:t>
      </w:r>
    </w:p>
    <w:p w14:paraId="2D91F7F6" w14:textId="77777777" w:rsidR="005F2FAE" w:rsidRDefault="005F2FAE" w:rsidP="00921354">
      <w:pPr>
        <w:widowControl/>
        <w:autoSpaceDE/>
        <w:autoSpaceDN/>
        <w:adjustRightInd/>
        <w:rPr>
          <w:rFonts w:asciiTheme="minorHAnsi" w:hAnsiTheme="minorHAnsi" w:cstheme="minorBidi"/>
        </w:rPr>
      </w:pPr>
    </w:p>
    <w:p w14:paraId="0462ECC0" w14:textId="5FD4AB29" w:rsidR="00F64978" w:rsidRDefault="00BC60E7" w:rsidP="00921354">
      <w:pPr>
        <w:widowControl/>
        <w:autoSpaceDE/>
        <w:autoSpaceDN/>
        <w:adjustRightInd/>
        <w:rPr>
          <w:rFonts w:asciiTheme="minorHAnsi" w:hAnsiTheme="minorHAnsi" w:cstheme="minorBidi"/>
        </w:rPr>
      </w:pPr>
      <w:r>
        <w:rPr>
          <w:rFonts w:asciiTheme="minorHAnsi" w:hAnsiTheme="minorHAnsi" w:cstheme="minorBidi"/>
        </w:rPr>
        <w:t>In five</w:t>
      </w:r>
      <w:r w:rsidR="0090671E" w:rsidRPr="00A47CAB">
        <w:rPr>
          <w:rFonts w:asciiTheme="minorHAnsi" w:hAnsiTheme="minorHAnsi" w:cstheme="minorBidi"/>
        </w:rPr>
        <w:t xml:space="preserve"> (33%) visit</w:t>
      </w:r>
      <w:r w:rsidR="006F0410" w:rsidRPr="00A47CAB">
        <w:rPr>
          <w:rFonts w:asciiTheme="minorHAnsi" w:hAnsiTheme="minorHAnsi" w:cstheme="minorBidi"/>
        </w:rPr>
        <w:t xml:space="preserve"> files</w:t>
      </w:r>
      <w:r>
        <w:rPr>
          <w:rFonts w:asciiTheme="minorHAnsi" w:hAnsiTheme="minorHAnsi" w:cstheme="minorBidi"/>
        </w:rPr>
        <w:t>, consultant</w:t>
      </w:r>
      <w:r w:rsidR="007F1994">
        <w:rPr>
          <w:rFonts w:asciiTheme="minorHAnsi" w:hAnsiTheme="minorHAnsi" w:cstheme="minorBidi"/>
        </w:rPr>
        <w:t>s</w:t>
      </w:r>
      <w:r>
        <w:rPr>
          <w:rFonts w:asciiTheme="minorHAnsi" w:hAnsiTheme="minorHAnsi" w:cstheme="minorBidi"/>
        </w:rPr>
        <w:t xml:space="preserve"> did not complete an evaluation of the employer’s safety and health program (</w:t>
      </w:r>
      <w:r w:rsidR="0090671E" w:rsidRPr="00A47CAB">
        <w:rPr>
          <w:rFonts w:asciiTheme="minorHAnsi" w:hAnsiTheme="minorHAnsi" w:cstheme="minorBidi"/>
        </w:rPr>
        <w:t>Form 33</w:t>
      </w:r>
      <w:r>
        <w:rPr>
          <w:rFonts w:asciiTheme="minorHAnsi" w:hAnsiTheme="minorHAnsi" w:cstheme="minorBidi"/>
        </w:rPr>
        <w:t>) when program assistance was requested by the employer.</w:t>
      </w:r>
      <w:r w:rsidR="006F0410" w:rsidRPr="00A47CAB">
        <w:rPr>
          <w:rFonts w:asciiTheme="minorHAnsi" w:hAnsiTheme="minorHAnsi" w:cstheme="minorBidi"/>
        </w:rPr>
        <w:t xml:space="preserve"> </w:t>
      </w:r>
      <w:r>
        <w:rPr>
          <w:rFonts w:asciiTheme="minorHAnsi" w:hAnsiTheme="minorHAnsi" w:cstheme="minorBidi"/>
        </w:rPr>
        <w:t xml:space="preserve"> </w:t>
      </w:r>
      <w:r w:rsidR="009E1C94">
        <w:rPr>
          <w:rFonts w:asciiTheme="minorHAnsi" w:hAnsiTheme="minorHAnsi" w:cstheme="minorBidi"/>
        </w:rPr>
        <w:t xml:space="preserve">This was </w:t>
      </w:r>
      <w:r w:rsidR="009E1C94">
        <w:rPr>
          <w:rFonts w:asciiTheme="minorHAnsi" w:hAnsiTheme="minorHAnsi" w:cstheme="minorBidi"/>
        </w:rPr>
        <w:lastRenderedPageBreak/>
        <w:t xml:space="preserve">addressed in the </w:t>
      </w:r>
      <w:r w:rsidR="00296B30">
        <w:rPr>
          <w:rFonts w:asciiTheme="minorHAnsi" w:hAnsiTheme="minorHAnsi" w:cstheme="minorBidi"/>
        </w:rPr>
        <w:t>FY 2025 On-Site R</w:t>
      </w:r>
      <w:r w:rsidR="009E1C94">
        <w:rPr>
          <w:rFonts w:asciiTheme="minorHAnsi" w:hAnsiTheme="minorHAnsi" w:cstheme="minorBidi"/>
        </w:rPr>
        <w:t xml:space="preserve">eview </w:t>
      </w:r>
      <w:r w:rsidR="00296B30">
        <w:rPr>
          <w:rFonts w:asciiTheme="minorHAnsi" w:hAnsiTheme="minorHAnsi" w:cstheme="minorBidi"/>
        </w:rPr>
        <w:t>R</w:t>
      </w:r>
      <w:r w:rsidR="009E1C94">
        <w:rPr>
          <w:rFonts w:asciiTheme="minorHAnsi" w:hAnsiTheme="minorHAnsi" w:cstheme="minorBidi"/>
        </w:rPr>
        <w:t xml:space="preserve">eport and ADOSH </w:t>
      </w:r>
      <w:r w:rsidR="005B313E">
        <w:rPr>
          <w:rFonts w:asciiTheme="minorHAnsi" w:hAnsiTheme="minorHAnsi" w:cstheme="minorBidi"/>
        </w:rPr>
        <w:t xml:space="preserve">retrained </w:t>
      </w:r>
      <w:r w:rsidR="009E1C94">
        <w:rPr>
          <w:rFonts w:asciiTheme="minorHAnsi" w:hAnsiTheme="minorHAnsi" w:cstheme="minorBidi"/>
        </w:rPr>
        <w:t xml:space="preserve">consultants </w:t>
      </w:r>
      <w:r w:rsidR="005B313E">
        <w:rPr>
          <w:rFonts w:asciiTheme="minorHAnsi" w:hAnsiTheme="minorHAnsi" w:cstheme="minorBidi"/>
        </w:rPr>
        <w:t xml:space="preserve">to ensure </w:t>
      </w:r>
      <w:r w:rsidR="009E1C94">
        <w:rPr>
          <w:rFonts w:asciiTheme="minorHAnsi" w:hAnsiTheme="minorHAnsi" w:cstheme="minorBidi"/>
        </w:rPr>
        <w:t xml:space="preserve">a Form 33 </w:t>
      </w:r>
      <w:r w:rsidR="005B313E">
        <w:rPr>
          <w:rFonts w:asciiTheme="minorHAnsi" w:hAnsiTheme="minorHAnsi" w:cstheme="minorBidi"/>
        </w:rPr>
        <w:t xml:space="preserve">was completed </w:t>
      </w:r>
      <w:r w:rsidR="009E1C94">
        <w:rPr>
          <w:rFonts w:asciiTheme="minorHAnsi" w:hAnsiTheme="minorHAnsi" w:cstheme="minorBidi"/>
        </w:rPr>
        <w:t>wh</w:t>
      </w:r>
      <w:r w:rsidR="00296B30">
        <w:rPr>
          <w:rFonts w:asciiTheme="minorHAnsi" w:hAnsiTheme="minorHAnsi" w:cstheme="minorBidi"/>
        </w:rPr>
        <w:t>en the employer requests a review of its safety and health program o</w:t>
      </w:r>
      <w:r w:rsidR="00CD4CD3">
        <w:rPr>
          <w:rFonts w:asciiTheme="minorHAnsi" w:hAnsiTheme="minorHAnsi" w:cstheme="minorBidi"/>
        </w:rPr>
        <w:t>r if</w:t>
      </w:r>
      <w:r w:rsidR="00296B30">
        <w:rPr>
          <w:rFonts w:asciiTheme="minorHAnsi" w:hAnsiTheme="minorHAnsi" w:cstheme="minorBidi"/>
        </w:rPr>
        <w:t xml:space="preserve"> the consultant obtains enough information during the visit to allow scoring of the related attribute. </w:t>
      </w:r>
      <w:r w:rsidR="007A7A4C">
        <w:rPr>
          <w:rFonts w:asciiTheme="minorHAnsi" w:hAnsiTheme="minorHAnsi" w:cstheme="minorBidi"/>
        </w:rPr>
        <w:t xml:space="preserve"> </w:t>
      </w:r>
    </w:p>
    <w:p w14:paraId="661635B4" w14:textId="77777777" w:rsidR="005C2755" w:rsidRDefault="005C2755" w:rsidP="00921354">
      <w:pPr>
        <w:widowControl/>
        <w:autoSpaceDE/>
        <w:autoSpaceDN/>
        <w:adjustRightInd/>
        <w:rPr>
          <w:rFonts w:asciiTheme="minorHAnsi" w:hAnsiTheme="minorHAnsi" w:cstheme="minorBidi"/>
        </w:rPr>
      </w:pPr>
    </w:p>
    <w:p w14:paraId="5375E35D" w14:textId="3D0452B0" w:rsidR="00367DD9" w:rsidRDefault="005D1063" w:rsidP="00367DD9">
      <w:pPr>
        <w:rPr>
          <w:rFonts w:asciiTheme="minorHAnsi" w:hAnsiTheme="minorHAnsi" w:cstheme="minorBidi"/>
        </w:rPr>
      </w:pPr>
      <w:r>
        <w:rPr>
          <w:rFonts w:asciiTheme="minorHAnsi" w:hAnsiTheme="minorHAnsi" w:cstheme="minorBidi"/>
        </w:rPr>
        <w:t>Written reports to the employer were completed in all visit files when required.  However, in s</w:t>
      </w:r>
      <w:r w:rsidR="0050411A">
        <w:rPr>
          <w:rFonts w:asciiTheme="minorHAnsi" w:hAnsiTheme="minorHAnsi" w:cstheme="minorBidi"/>
        </w:rPr>
        <w:t xml:space="preserve">even </w:t>
      </w:r>
      <w:r w:rsidR="00AC2C1F" w:rsidRPr="00177FA1">
        <w:rPr>
          <w:rFonts w:asciiTheme="minorHAnsi" w:hAnsiTheme="minorHAnsi" w:cstheme="minorBidi"/>
        </w:rPr>
        <w:t xml:space="preserve">(33%) </w:t>
      </w:r>
      <w:r w:rsidR="001E6F7E">
        <w:rPr>
          <w:rFonts w:asciiTheme="minorHAnsi" w:hAnsiTheme="minorHAnsi" w:cstheme="minorBidi"/>
        </w:rPr>
        <w:t xml:space="preserve">written reports to the employer, </w:t>
      </w:r>
      <w:r w:rsidR="002505BB" w:rsidRPr="00177FA1">
        <w:rPr>
          <w:rFonts w:asciiTheme="minorHAnsi" w:hAnsiTheme="minorHAnsi" w:cstheme="minorBidi"/>
        </w:rPr>
        <w:t xml:space="preserve">the number of employees </w:t>
      </w:r>
      <w:r w:rsidR="001E6F7E">
        <w:rPr>
          <w:rFonts w:asciiTheme="minorHAnsi" w:hAnsiTheme="minorHAnsi" w:cstheme="minorBidi"/>
        </w:rPr>
        <w:t>trained by the consultant was not documented.</w:t>
      </w:r>
      <w:r w:rsidR="00F07640">
        <w:rPr>
          <w:rFonts w:asciiTheme="minorHAnsi" w:hAnsiTheme="minorHAnsi" w:cstheme="minorBidi"/>
        </w:rPr>
        <w:t xml:space="preserve">  </w:t>
      </w:r>
      <w:r w:rsidR="001939D4">
        <w:rPr>
          <w:rFonts w:asciiTheme="minorHAnsi" w:hAnsiTheme="minorHAnsi" w:cstheme="minorBidi"/>
        </w:rPr>
        <w:t xml:space="preserve">This was addressed in the FY 2025 On-Site Review Report and </w:t>
      </w:r>
      <w:r w:rsidR="005A454B">
        <w:rPr>
          <w:rFonts w:asciiTheme="minorHAnsi" w:hAnsiTheme="minorHAnsi" w:cstheme="minorBidi"/>
        </w:rPr>
        <w:t>ADOSH addressed this by revising their</w:t>
      </w:r>
      <w:r w:rsidR="00A24D9D">
        <w:rPr>
          <w:rFonts w:asciiTheme="minorHAnsi" w:hAnsiTheme="minorHAnsi" w:cstheme="minorBidi"/>
        </w:rPr>
        <w:t xml:space="preserve"> written reports</w:t>
      </w:r>
      <w:r w:rsidR="005A454B">
        <w:rPr>
          <w:rFonts w:asciiTheme="minorHAnsi" w:hAnsiTheme="minorHAnsi" w:cstheme="minorBidi"/>
        </w:rPr>
        <w:t xml:space="preserve"> to capture this information</w:t>
      </w:r>
      <w:r w:rsidR="00CD4CD3">
        <w:rPr>
          <w:rFonts w:asciiTheme="minorHAnsi" w:hAnsiTheme="minorHAnsi" w:cstheme="minorBidi"/>
        </w:rPr>
        <w:t xml:space="preserve"> upon document creation</w:t>
      </w:r>
      <w:r w:rsidR="005A454B">
        <w:rPr>
          <w:rFonts w:asciiTheme="minorHAnsi" w:hAnsiTheme="minorHAnsi" w:cstheme="minorBidi"/>
        </w:rPr>
        <w:t xml:space="preserve">.  </w:t>
      </w:r>
      <w:r w:rsidR="00713332">
        <w:rPr>
          <w:rFonts w:asciiTheme="minorHAnsi" w:hAnsiTheme="minorHAnsi" w:cstheme="minorBidi"/>
        </w:rPr>
        <w:t>Lastly</w:t>
      </w:r>
      <w:r w:rsidR="00FF1AF0">
        <w:rPr>
          <w:rFonts w:asciiTheme="minorHAnsi" w:hAnsiTheme="minorHAnsi" w:cstheme="minorBidi"/>
        </w:rPr>
        <w:t>, n</w:t>
      </w:r>
      <w:r w:rsidR="00343CE5">
        <w:rPr>
          <w:rFonts w:asciiTheme="minorHAnsi" w:hAnsiTheme="minorHAnsi" w:cstheme="minorBidi"/>
        </w:rPr>
        <w:t>ine (</w:t>
      </w:r>
      <w:r w:rsidR="00FF473C">
        <w:rPr>
          <w:rFonts w:asciiTheme="minorHAnsi" w:hAnsiTheme="minorHAnsi" w:cstheme="minorBidi"/>
        </w:rPr>
        <w:t xml:space="preserve">38%) written reports to the employer did not contain a comparison of the site’s </w:t>
      </w:r>
      <w:r w:rsidR="004F6533">
        <w:rPr>
          <w:rFonts w:asciiTheme="minorHAnsi" w:hAnsiTheme="minorHAnsi" w:cstheme="minorBidi"/>
        </w:rPr>
        <w:t>D</w:t>
      </w:r>
      <w:r w:rsidR="00FF473C">
        <w:rPr>
          <w:rFonts w:asciiTheme="minorHAnsi" w:hAnsiTheme="minorHAnsi" w:cstheme="minorBidi"/>
        </w:rPr>
        <w:t xml:space="preserve">ays </w:t>
      </w:r>
      <w:r w:rsidR="004F6533">
        <w:rPr>
          <w:rFonts w:asciiTheme="minorHAnsi" w:hAnsiTheme="minorHAnsi" w:cstheme="minorBidi"/>
        </w:rPr>
        <w:t>A</w:t>
      </w:r>
      <w:r w:rsidR="00FF473C">
        <w:rPr>
          <w:rFonts w:asciiTheme="minorHAnsi" w:hAnsiTheme="minorHAnsi" w:cstheme="minorBidi"/>
        </w:rPr>
        <w:t>way</w:t>
      </w:r>
      <w:r w:rsidR="00BD0D6B">
        <w:rPr>
          <w:rFonts w:asciiTheme="minorHAnsi" w:hAnsiTheme="minorHAnsi" w:cstheme="minorBidi"/>
        </w:rPr>
        <w:t xml:space="preserve">, </w:t>
      </w:r>
      <w:r w:rsidR="004F6533">
        <w:rPr>
          <w:rFonts w:asciiTheme="minorHAnsi" w:hAnsiTheme="minorHAnsi" w:cstheme="minorBidi"/>
        </w:rPr>
        <w:t>R</w:t>
      </w:r>
      <w:r w:rsidR="00FF473C">
        <w:rPr>
          <w:rFonts w:asciiTheme="minorHAnsi" w:hAnsiTheme="minorHAnsi" w:cstheme="minorBidi"/>
        </w:rPr>
        <w:t>estricted</w:t>
      </w:r>
      <w:r w:rsidR="00BD0D6B">
        <w:rPr>
          <w:rFonts w:asciiTheme="minorHAnsi" w:hAnsiTheme="minorHAnsi" w:cstheme="minorBidi"/>
        </w:rPr>
        <w:t>,</w:t>
      </w:r>
      <w:r w:rsidR="00FF473C">
        <w:rPr>
          <w:rFonts w:asciiTheme="minorHAnsi" w:hAnsiTheme="minorHAnsi" w:cstheme="minorBidi"/>
        </w:rPr>
        <w:t xml:space="preserve"> or </w:t>
      </w:r>
      <w:r w:rsidR="004F6533">
        <w:rPr>
          <w:rFonts w:asciiTheme="minorHAnsi" w:hAnsiTheme="minorHAnsi" w:cstheme="minorBidi"/>
        </w:rPr>
        <w:t>T</w:t>
      </w:r>
      <w:r w:rsidR="00FF473C">
        <w:rPr>
          <w:rFonts w:asciiTheme="minorHAnsi" w:hAnsiTheme="minorHAnsi" w:cstheme="minorBidi"/>
        </w:rPr>
        <w:t>ransferred (DART)</w:t>
      </w:r>
      <w:r w:rsidR="00BD0D6B">
        <w:rPr>
          <w:rFonts w:asciiTheme="minorHAnsi" w:hAnsiTheme="minorHAnsi" w:cstheme="minorBidi"/>
        </w:rPr>
        <w:t xml:space="preserve"> rate</w:t>
      </w:r>
      <w:r w:rsidR="00FF473C">
        <w:rPr>
          <w:rFonts w:asciiTheme="minorHAnsi" w:hAnsiTheme="minorHAnsi" w:cstheme="minorBidi"/>
        </w:rPr>
        <w:t xml:space="preserve"> </w:t>
      </w:r>
      <w:r w:rsidR="00657683">
        <w:rPr>
          <w:rFonts w:asciiTheme="minorHAnsi" w:hAnsiTheme="minorHAnsi" w:cstheme="minorBidi"/>
        </w:rPr>
        <w:t>and</w:t>
      </w:r>
      <w:r w:rsidR="00FF473C">
        <w:rPr>
          <w:rFonts w:asciiTheme="minorHAnsi" w:hAnsiTheme="minorHAnsi" w:cstheme="minorBidi"/>
        </w:rPr>
        <w:t xml:space="preserve"> </w:t>
      </w:r>
      <w:r w:rsidR="004F6533">
        <w:rPr>
          <w:rFonts w:asciiTheme="minorHAnsi" w:hAnsiTheme="minorHAnsi" w:cstheme="minorBidi"/>
        </w:rPr>
        <w:t>T</w:t>
      </w:r>
      <w:r w:rsidR="00FF473C">
        <w:rPr>
          <w:rFonts w:asciiTheme="minorHAnsi" w:hAnsiTheme="minorHAnsi" w:cstheme="minorBidi"/>
        </w:rPr>
        <w:t>otal</w:t>
      </w:r>
      <w:r w:rsidR="00126AA9">
        <w:rPr>
          <w:rFonts w:asciiTheme="minorHAnsi" w:hAnsiTheme="minorHAnsi" w:cstheme="minorBidi"/>
        </w:rPr>
        <w:t xml:space="preserve"> </w:t>
      </w:r>
      <w:r w:rsidR="004F6533">
        <w:rPr>
          <w:rFonts w:asciiTheme="minorHAnsi" w:hAnsiTheme="minorHAnsi" w:cstheme="minorBidi"/>
        </w:rPr>
        <w:t>R</w:t>
      </w:r>
      <w:r w:rsidR="00126AA9">
        <w:rPr>
          <w:rFonts w:asciiTheme="minorHAnsi" w:hAnsiTheme="minorHAnsi" w:cstheme="minorBidi"/>
        </w:rPr>
        <w:t xml:space="preserve">ecordable </w:t>
      </w:r>
      <w:r w:rsidR="004F6533">
        <w:rPr>
          <w:rFonts w:asciiTheme="minorHAnsi" w:hAnsiTheme="minorHAnsi" w:cstheme="minorBidi"/>
        </w:rPr>
        <w:t>C</w:t>
      </w:r>
      <w:r w:rsidR="00126AA9">
        <w:rPr>
          <w:rFonts w:asciiTheme="minorHAnsi" w:hAnsiTheme="minorHAnsi" w:cstheme="minorBidi"/>
        </w:rPr>
        <w:t xml:space="preserve">ase </w:t>
      </w:r>
      <w:r w:rsidR="00BD0D6B">
        <w:rPr>
          <w:rFonts w:asciiTheme="minorHAnsi" w:hAnsiTheme="minorHAnsi" w:cstheme="minorBidi"/>
        </w:rPr>
        <w:t xml:space="preserve">(TRC) </w:t>
      </w:r>
      <w:r w:rsidR="004F6533">
        <w:rPr>
          <w:rFonts w:asciiTheme="minorHAnsi" w:hAnsiTheme="minorHAnsi" w:cstheme="minorBidi"/>
        </w:rPr>
        <w:t xml:space="preserve">rate to the </w:t>
      </w:r>
      <w:r w:rsidR="00FF1AF0">
        <w:rPr>
          <w:rFonts w:asciiTheme="minorHAnsi" w:hAnsiTheme="minorHAnsi" w:cstheme="minorBidi"/>
        </w:rPr>
        <w:t>Bureau of Labor Statistics (</w:t>
      </w:r>
      <w:r w:rsidR="004F6533">
        <w:rPr>
          <w:rFonts w:asciiTheme="minorHAnsi" w:hAnsiTheme="minorHAnsi" w:cstheme="minorBidi"/>
        </w:rPr>
        <w:t>BLS</w:t>
      </w:r>
      <w:r w:rsidR="00FF1AF0">
        <w:rPr>
          <w:rFonts w:asciiTheme="minorHAnsi" w:hAnsiTheme="minorHAnsi" w:cstheme="minorBidi"/>
        </w:rPr>
        <w:t>)</w:t>
      </w:r>
      <w:r w:rsidR="004F6533">
        <w:rPr>
          <w:rFonts w:asciiTheme="minorHAnsi" w:hAnsiTheme="minorHAnsi" w:cstheme="minorBidi"/>
        </w:rPr>
        <w:t xml:space="preserve"> rates for the industry.</w:t>
      </w:r>
      <w:r w:rsidR="00DD35C1">
        <w:rPr>
          <w:rFonts w:asciiTheme="minorHAnsi" w:hAnsiTheme="minorHAnsi" w:cstheme="minorBidi"/>
        </w:rPr>
        <w:t xml:space="preserve">  </w:t>
      </w:r>
      <w:r w:rsidR="00285821">
        <w:rPr>
          <w:rFonts w:asciiTheme="minorHAnsi" w:hAnsiTheme="minorHAnsi" w:cstheme="minorBidi"/>
        </w:rPr>
        <w:t xml:space="preserve">OSHA discussed this with ADOSH during the time of the on-site review and </w:t>
      </w:r>
      <w:r w:rsidR="00743DA3">
        <w:rPr>
          <w:rFonts w:asciiTheme="minorHAnsi" w:hAnsiTheme="minorHAnsi" w:cstheme="minorBidi"/>
        </w:rPr>
        <w:t xml:space="preserve">will monitor this as a new observation into the next review period.  </w:t>
      </w:r>
    </w:p>
    <w:p w14:paraId="378740D2" w14:textId="77777777" w:rsidR="00FF1AF0" w:rsidRDefault="00FF1AF0" w:rsidP="00367DD9">
      <w:pPr>
        <w:rPr>
          <w:rFonts w:asciiTheme="minorHAnsi" w:hAnsiTheme="minorHAnsi" w:cstheme="minorBidi"/>
        </w:rPr>
      </w:pPr>
    </w:p>
    <w:p w14:paraId="36A651B5" w14:textId="2D2E8447" w:rsidR="00A849A1" w:rsidRPr="002A15DB" w:rsidRDefault="00A849A1" w:rsidP="00A849A1">
      <w:pPr>
        <w:rPr>
          <w:rFonts w:asciiTheme="minorHAnsi" w:hAnsiTheme="minorHAnsi" w:cstheme="minorBidi"/>
        </w:rPr>
      </w:pPr>
      <w:r w:rsidRPr="002A15DB">
        <w:rPr>
          <w:rFonts w:asciiTheme="minorHAnsi" w:hAnsiTheme="minorHAnsi" w:cstheme="minorBidi"/>
          <w:b/>
          <w:bCs/>
        </w:rPr>
        <w:t>Observation FY 2025-OB-</w:t>
      </w:r>
      <w:r w:rsidR="00944F55" w:rsidRPr="002A15DB">
        <w:rPr>
          <w:rFonts w:asciiTheme="minorHAnsi" w:hAnsiTheme="minorHAnsi" w:cstheme="minorBidi"/>
          <w:b/>
          <w:bCs/>
        </w:rPr>
        <w:t>02</w:t>
      </w:r>
      <w:r w:rsidRPr="002A15DB">
        <w:rPr>
          <w:rFonts w:asciiTheme="minorHAnsi" w:hAnsiTheme="minorHAnsi" w:cstheme="minorBidi"/>
          <w:b/>
          <w:bCs/>
        </w:rPr>
        <w:t>:</w:t>
      </w:r>
      <w:r w:rsidRPr="002A15DB">
        <w:rPr>
          <w:rFonts w:asciiTheme="minorHAnsi" w:hAnsiTheme="minorHAnsi" w:cstheme="minorBidi"/>
        </w:rPr>
        <w:t xml:space="preserve"> </w:t>
      </w:r>
      <w:r w:rsidR="006161DD" w:rsidRPr="002A15DB">
        <w:rPr>
          <w:rFonts w:asciiTheme="minorHAnsi" w:hAnsiTheme="minorHAnsi" w:cstheme="minorBidi"/>
        </w:rPr>
        <w:t xml:space="preserve">Written reports to the employer did not contain a comparison of the site’s DART </w:t>
      </w:r>
      <w:r w:rsidR="00657683" w:rsidRPr="002A15DB">
        <w:rPr>
          <w:rFonts w:asciiTheme="minorHAnsi" w:hAnsiTheme="minorHAnsi" w:cstheme="minorBidi"/>
        </w:rPr>
        <w:t>and</w:t>
      </w:r>
      <w:r w:rsidR="006161DD" w:rsidRPr="002A15DB">
        <w:rPr>
          <w:rFonts w:asciiTheme="minorHAnsi" w:hAnsiTheme="minorHAnsi" w:cstheme="minorBidi"/>
        </w:rPr>
        <w:t xml:space="preserve"> TRC rate to the BLS rate for the industry. </w:t>
      </w:r>
    </w:p>
    <w:p w14:paraId="25996D57" w14:textId="77777777" w:rsidR="00A849A1" w:rsidRPr="002A15DB" w:rsidRDefault="00A849A1" w:rsidP="00A849A1">
      <w:pPr>
        <w:rPr>
          <w:rFonts w:asciiTheme="minorHAnsi" w:hAnsiTheme="minorHAnsi" w:cstheme="minorBidi"/>
        </w:rPr>
      </w:pPr>
    </w:p>
    <w:p w14:paraId="0A045B41" w14:textId="46487675" w:rsidR="00A849A1" w:rsidRPr="002A15DB" w:rsidRDefault="00A849A1" w:rsidP="00A849A1">
      <w:pPr>
        <w:rPr>
          <w:rFonts w:asciiTheme="minorHAnsi" w:hAnsiTheme="minorHAnsi" w:cstheme="minorBidi"/>
        </w:rPr>
      </w:pPr>
      <w:r w:rsidRPr="002A15DB">
        <w:rPr>
          <w:rFonts w:asciiTheme="minorHAnsi" w:hAnsiTheme="minorHAnsi" w:cstheme="minorBidi"/>
          <w:b/>
          <w:bCs/>
        </w:rPr>
        <w:t>Federal Monitoring Plan:</w:t>
      </w:r>
      <w:r w:rsidRPr="002A15DB">
        <w:rPr>
          <w:rFonts w:asciiTheme="minorHAnsi" w:hAnsiTheme="minorHAnsi" w:cstheme="minorBidi"/>
        </w:rPr>
        <w:t xml:space="preserve"> OSHA will continue to monitor and ensure </w:t>
      </w:r>
      <w:r w:rsidR="00657683" w:rsidRPr="002A15DB">
        <w:rPr>
          <w:rFonts w:asciiTheme="minorHAnsi" w:hAnsiTheme="minorHAnsi" w:cstheme="minorBidi"/>
        </w:rPr>
        <w:t>written reports contain a comparison of the DART and TRC rate to the BLS rate for the industry.</w:t>
      </w:r>
    </w:p>
    <w:p w14:paraId="5CD2538C" w14:textId="3F831A2A" w:rsidR="00091167" w:rsidRPr="005E01F4" w:rsidRDefault="00D94FE8" w:rsidP="006B5925">
      <w:pPr>
        <w:widowControl/>
        <w:autoSpaceDE/>
        <w:autoSpaceDN/>
        <w:adjustRightInd/>
        <w:textAlignment w:val="baseline"/>
        <w:rPr>
          <w:rFonts w:ascii="Segoe UI" w:hAnsi="Segoe UI" w:cs="Segoe UI"/>
          <w:sz w:val="18"/>
          <w:szCs w:val="18"/>
        </w:rPr>
        <w:sectPr w:rsidR="00091167" w:rsidRPr="005E01F4" w:rsidSect="00826F6E">
          <w:footerReference w:type="default" r:id="rId13"/>
          <w:footerReference w:type="first" r:id="rId14"/>
          <w:pgSz w:w="12240" w:h="15840"/>
          <w:pgMar w:top="1440" w:right="1260" w:bottom="1440" w:left="1440" w:header="720" w:footer="446" w:gutter="0"/>
          <w:pgNumType w:start="1"/>
          <w:cols w:space="720"/>
          <w:titlePg/>
          <w:docGrid w:linePitch="360"/>
        </w:sectPr>
      </w:pPr>
      <w:r>
        <w:rPr>
          <w:rFonts w:asciiTheme="minorHAnsi" w:hAnsiTheme="minorHAnsi" w:cstheme="minorBidi"/>
        </w:rPr>
        <w:t xml:space="preserve">  </w:t>
      </w:r>
    </w:p>
    <w:p w14:paraId="5B5D9087" w14:textId="61CEF99C" w:rsidR="003453AC" w:rsidRPr="002F23C7" w:rsidRDefault="003453AC" w:rsidP="002F23C7">
      <w:pPr>
        <w:pStyle w:val="Heading2"/>
        <w:jc w:val="center"/>
        <w:rPr>
          <w:rFonts w:cstheme="minorHAnsi"/>
          <w:color w:val="auto"/>
          <w:sz w:val="28"/>
          <w:szCs w:val="28"/>
        </w:rPr>
      </w:pPr>
      <w:bookmarkStart w:id="52" w:name="_Toc160178424"/>
      <w:bookmarkStart w:id="53" w:name="_Toc225327067"/>
      <w:r w:rsidRPr="002F23C7">
        <w:rPr>
          <w:rFonts w:cstheme="minorHAnsi"/>
          <w:sz w:val="28"/>
          <w:szCs w:val="28"/>
        </w:rPr>
        <w:lastRenderedPageBreak/>
        <w:t>Appendix A – New and Continued Findings and Recommendations</w:t>
      </w:r>
      <w:bookmarkEnd w:id="52"/>
      <w:bookmarkEnd w:id="53"/>
    </w:p>
    <w:p w14:paraId="16C79AE7" w14:textId="0FEB8741" w:rsidR="00055C58" w:rsidRPr="007D0823" w:rsidRDefault="00055C58" w:rsidP="002F23C7">
      <w:pPr>
        <w:pStyle w:val="NoSpacing"/>
        <w:jc w:val="center"/>
        <w:rPr>
          <w:rFonts w:asciiTheme="minorHAnsi" w:hAnsiTheme="minorHAnsi" w:cstheme="minorHAnsi"/>
          <w:color w:val="000000" w:themeColor="text1"/>
          <w:sz w:val="24"/>
          <w:szCs w:val="24"/>
        </w:rPr>
      </w:pPr>
      <w:r w:rsidRPr="007D0823">
        <w:rPr>
          <w:sz w:val="24"/>
          <w:szCs w:val="24"/>
        </w:rPr>
        <w:t>FY 202</w:t>
      </w:r>
      <w:r w:rsidR="005D3534">
        <w:rPr>
          <w:rFonts w:asciiTheme="minorHAnsi" w:hAnsiTheme="minorHAnsi" w:cstheme="minorHAnsi"/>
          <w:color w:val="000000" w:themeColor="text1"/>
          <w:sz w:val="24"/>
          <w:szCs w:val="24"/>
        </w:rPr>
        <w:t>5</w:t>
      </w:r>
      <w:r w:rsidRPr="007D0823">
        <w:rPr>
          <w:rFonts w:asciiTheme="minorHAnsi" w:hAnsiTheme="minorHAnsi" w:cstheme="minorHAnsi"/>
          <w:color w:val="000000" w:themeColor="text1"/>
          <w:sz w:val="24"/>
          <w:szCs w:val="24"/>
        </w:rPr>
        <w:t xml:space="preserve"> Arizona Division of Occupational Safety and Health Comprehensive FAME Report</w:t>
      </w:r>
    </w:p>
    <w:p w14:paraId="05E3FF59" w14:textId="77777777" w:rsidR="00055C58" w:rsidRPr="007D0823" w:rsidRDefault="00055C58" w:rsidP="00055C58"/>
    <w:tbl>
      <w:tblPr>
        <w:tblStyle w:val="TableGridLight"/>
        <w:tblW w:w="0" w:type="auto"/>
        <w:tblLook w:val="04A0" w:firstRow="1" w:lastRow="0" w:firstColumn="1" w:lastColumn="0" w:noHBand="0" w:noVBand="1"/>
      </w:tblPr>
      <w:tblGrid>
        <w:gridCol w:w="1345"/>
        <w:gridCol w:w="4860"/>
        <w:gridCol w:w="5400"/>
        <w:gridCol w:w="1633"/>
      </w:tblGrid>
      <w:tr w:rsidR="003F71F5" w:rsidRPr="00502BD4" w14:paraId="5E7DAD94" w14:textId="77777777" w:rsidTr="00D02EEB">
        <w:trPr>
          <w:tblHeader/>
        </w:trPr>
        <w:tc>
          <w:tcPr>
            <w:tcW w:w="1345" w:type="dxa"/>
          </w:tcPr>
          <w:p w14:paraId="19978AF5" w14:textId="7F9EE719" w:rsidR="00141808" w:rsidRPr="00502BD4" w:rsidRDefault="00141808" w:rsidP="00FF0EBC">
            <w:pPr>
              <w:rPr>
                <w:sz w:val="22"/>
                <w:szCs w:val="22"/>
              </w:rPr>
            </w:pPr>
            <w:r w:rsidRPr="00502BD4">
              <w:rPr>
                <w:rFonts w:asciiTheme="minorHAnsi" w:eastAsia="Calibri" w:hAnsiTheme="minorHAnsi" w:cstheme="minorHAnsi"/>
                <w:b/>
                <w:sz w:val="22"/>
                <w:szCs w:val="22"/>
              </w:rPr>
              <w:t>FY 202</w:t>
            </w:r>
            <w:r w:rsidR="005B17A7" w:rsidRPr="00502BD4">
              <w:rPr>
                <w:rFonts w:asciiTheme="minorHAnsi" w:eastAsia="Calibri" w:hAnsiTheme="minorHAnsi" w:cstheme="minorHAnsi"/>
                <w:b/>
                <w:sz w:val="22"/>
                <w:szCs w:val="22"/>
              </w:rPr>
              <w:t>5</w:t>
            </w:r>
            <w:r w:rsidRPr="00502BD4">
              <w:rPr>
                <w:rFonts w:asciiTheme="minorHAnsi" w:eastAsia="Calibri" w:hAnsiTheme="minorHAnsi" w:cstheme="minorHAnsi"/>
                <w:b/>
                <w:sz w:val="22"/>
                <w:szCs w:val="22"/>
              </w:rPr>
              <w:t>-#</w:t>
            </w:r>
          </w:p>
        </w:tc>
        <w:tc>
          <w:tcPr>
            <w:tcW w:w="4860" w:type="dxa"/>
          </w:tcPr>
          <w:p w14:paraId="65BA96AB" w14:textId="31DFE9B5" w:rsidR="00141808" w:rsidRPr="00502BD4" w:rsidRDefault="00141808" w:rsidP="00FF0EBC">
            <w:pPr>
              <w:rPr>
                <w:sz w:val="22"/>
                <w:szCs w:val="22"/>
              </w:rPr>
            </w:pPr>
            <w:r w:rsidRPr="00502BD4">
              <w:rPr>
                <w:rFonts w:asciiTheme="minorHAnsi" w:eastAsia="Calibri" w:hAnsiTheme="minorHAnsi" w:cstheme="minorHAnsi"/>
                <w:b/>
                <w:sz w:val="22"/>
                <w:szCs w:val="22"/>
              </w:rPr>
              <w:t>Finding</w:t>
            </w:r>
          </w:p>
        </w:tc>
        <w:tc>
          <w:tcPr>
            <w:tcW w:w="5400" w:type="dxa"/>
          </w:tcPr>
          <w:p w14:paraId="42330AC4" w14:textId="7615A58F" w:rsidR="00141808" w:rsidRPr="00502BD4" w:rsidRDefault="00141808" w:rsidP="00FF0EBC">
            <w:pPr>
              <w:rPr>
                <w:sz w:val="22"/>
                <w:szCs w:val="22"/>
              </w:rPr>
            </w:pPr>
            <w:r w:rsidRPr="00502BD4">
              <w:rPr>
                <w:rFonts w:asciiTheme="minorHAnsi" w:eastAsia="Calibri" w:hAnsiTheme="minorHAnsi" w:cstheme="minorHAnsi"/>
                <w:b/>
                <w:sz w:val="22"/>
                <w:szCs w:val="22"/>
              </w:rPr>
              <w:t>Recommendation</w:t>
            </w:r>
          </w:p>
        </w:tc>
        <w:tc>
          <w:tcPr>
            <w:tcW w:w="1633" w:type="dxa"/>
          </w:tcPr>
          <w:p w14:paraId="377D52DD" w14:textId="7A132532" w:rsidR="00141808" w:rsidRPr="00502BD4" w:rsidRDefault="00141808" w:rsidP="00FF0EBC">
            <w:pPr>
              <w:rPr>
                <w:rFonts w:asciiTheme="minorHAnsi" w:hAnsiTheme="minorHAnsi" w:cstheme="minorHAnsi"/>
                <w:sz w:val="22"/>
                <w:szCs w:val="22"/>
              </w:rPr>
            </w:pPr>
            <w:r w:rsidRPr="00502BD4">
              <w:rPr>
                <w:rFonts w:asciiTheme="minorHAnsi" w:eastAsia="Calibri" w:hAnsiTheme="minorHAnsi" w:cstheme="minorHAnsi"/>
                <w:b/>
                <w:sz w:val="22"/>
                <w:szCs w:val="22"/>
              </w:rPr>
              <w:t xml:space="preserve">FY </w:t>
            </w:r>
            <w:proofErr w:type="gramStart"/>
            <w:r w:rsidRPr="00502BD4">
              <w:rPr>
                <w:rFonts w:asciiTheme="minorHAnsi" w:eastAsia="Calibri" w:hAnsiTheme="minorHAnsi" w:cstheme="minorHAnsi"/>
                <w:b/>
                <w:sz w:val="22"/>
                <w:szCs w:val="22"/>
              </w:rPr>
              <w:t>202</w:t>
            </w:r>
            <w:r w:rsidR="00547F10" w:rsidRPr="00502BD4">
              <w:rPr>
                <w:rFonts w:asciiTheme="minorHAnsi" w:eastAsia="Calibri" w:hAnsiTheme="minorHAnsi" w:cstheme="minorHAnsi"/>
                <w:b/>
                <w:sz w:val="22"/>
                <w:szCs w:val="22"/>
              </w:rPr>
              <w:t>4</w:t>
            </w:r>
            <w:r w:rsidRPr="00502BD4">
              <w:rPr>
                <w:rFonts w:asciiTheme="minorHAnsi" w:eastAsia="Calibri" w:hAnsiTheme="minorHAnsi" w:cstheme="minorHAnsi"/>
                <w:b/>
                <w:sz w:val="22"/>
                <w:szCs w:val="22"/>
              </w:rPr>
              <w:t>-#</w:t>
            </w:r>
            <w:proofErr w:type="gramEnd"/>
            <w:r w:rsidRPr="00502BD4">
              <w:rPr>
                <w:rFonts w:asciiTheme="minorHAnsi" w:eastAsia="Calibri" w:hAnsiTheme="minorHAnsi" w:cstheme="minorHAnsi"/>
                <w:b/>
                <w:sz w:val="22"/>
                <w:szCs w:val="22"/>
              </w:rPr>
              <w:t xml:space="preserve"> or</w:t>
            </w:r>
          </w:p>
          <w:p w14:paraId="3B30E994" w14:textId="57C37D6C" w:rsidR="00141808" w:rsidRPr="00502BD4" w:rsidRDefault="00141808" w:rsidP="00FF0EBC">
            <w:pPr>
              <w:rPr>
                <w:sz w:val="22"/>
                <w:szCs w:val="22"/>
              </w:rPr>
            </w:pPr>
            <w:r w:rsidRPr="00502BD4">
              <w:rPr>
                <w:rFonts w:asciiTheme="minorHAnsi" w:eastAsia="Calibri" w:hAnsiTheme="minorHAnsi" w:cstheme="minorHAnsi"/>
                <w:b/>
                <w:sz w:val="22"/>
                <w:szCs w:val="22"/>
              </w:rPr>
              <w:t>FY 202</w:t>
            </w:r>
            <w:r w:rsidR="00547F10" w:rsidRPr="00502BD4">
              <w:rPr>
                <w:rFonts w:asciiTheme="minorHAnsi" w:eastAsia="Calibri" w:hAnsiTheme="minorHAnsi" w:cstheme="minorHAnsi"/>
                <w:b/>
                <w:sz w:val="22"/>
                <w:szCs w:val="22"/>
              </w:rPr>
              <w:t>4</w:t>
            </w:r>
            <w:r w:rsidRPr="00502BD4">
              <w:rPr>
                <w:rFonts w:asciiTheme="minorHAnsi" w:eastAsia="Calibri" w:hAnsiTheme="minorHAnsi" w:cstheme="minorHAnsi"/>
                <w:b/>
                <w:sz w:val="22"/>
                <w:szCs w:val="22"/>
              </w:rPr>
              <w:t>-OB-#</w:t>
            </w:r>
          </w:p>
        </w:tc>
      </w:tr>
      <w:tr w:rsidR="003F71F5" w:rsidRPr="00502BD4" w14:paraId="0FCA4485" w14:textId="77777777" w:rsidTr="00D02EEB">
        <w:tc>
          <w:tcPr>
            <w:tcW w:w="1345" w:type="dxa"/>
          </w:tcPr>
          <w:p w14:paraId="06734AB4" w14:textId="124988C9" w:rsidR="00270D43" w:rsidRPr="00502BD4" w:rsidRDefault="00547F10" w:rsidP="00FF0EBC">
            <w:pPr>
              <w:rPr>
                <w:rFonts w:asciiTheme="minorHAnsi" w:hAnsiTheme="minorHAnsi" w:cstheme="minorHAnsi"/>
                <w:sz w:val="22"/>
                <w:szCs w:val="22"/>
              </w:rPr>
            </w:pPr>
            <w:r w:rsidRPr="00502BD4">
              <w:rPr>
                <w:rFonts w:asciiTheme="minorHAnsi" w:hAnsiTheme="minorHAnsi" w:cstheme="minorHAnsi"/>
                <w:sz w:val="22"/>
                <w:szCs w:val="22"/>
              </w:rPr>
              <w:t>FY 2025-</w:t>
            </w:r>
            <w:r w:rsidR="00944F55" w:rsidRPr="00502BD4">
              <w:rPr>
                <w:rFonts w:asciiTheme="minorHAnsi" w:hAnsiTheme="minorHAnsi" w:cstheme="minorHAnsi"/>
                <w:sz w:val="22"/>
                <w:szCs w:val="22"/>
              </w:rPr>
              <w:t>01</w:t>
            </w:r>
          </w:p>
        </w:tc>
        <w:tc>
          <w:tcPr>
            <w:tcW w:w="4860" w:type="dxa"/>
          </w:tcPr>
          <w:p w14:paraId="10058E58" w14:textId="2E110CA0" w:rsidR="00270D43" w:rsidRPr="00502BD4" w:rsidRDefault="004B14E5" w:rsidP="00E00741">
            <w:pPr>
              <w:rPr>
                <w:rFonts w:asciiTheme="minorHAnsi" w:hAnsiTheme="minorHAnsi" w:cstheme="minorHAnsi"/>
                <w:sz w:val="22"/>
                <w:szCs w:val="22"/>
              </w:rPr>
            </w:pPr>
            <w:r w:rsidRPr="00502BD4">
              <w:rPr>
                <w:rFonts w:asciiTheme="minorHAnsi" w:hAnsiTheme="minorHAnsi" w:cstheme="minorHAnsi"/>
                <w:sz w:val="22"/>
                <w:szCs w:val="22"/>
              </w:rPr>
              <w:t xml:space="preserve">ADOSH’s average number of work days to initiate serious complaint </w:t>
            </w:r>
            <w:r w:rsidRPr="00502BD4">
              <w:rPr>
                <w:rFonts w:asciiTheme="minorHAnsi" w:hAnsiTheme="minorHAnsi" w:cstheme="minorBidi"/>
                <w:sz w:val="22"/>
                <w:szCs w:val="22"/>
              </w:rPr>
              <w:t>inspections was 41.25</w:t>
            </w:r>
            <w:r w:rsidRPr="00502BD4">
              <w:rPr>
                <w:rFonts w:asciiTheme="minorHAnsi" w:hAnsiTheme="minorHAnsi" w:cstheme="minorHAnsi"/>
                <w:sz w:val="22"/>
                <w:szCs w:val="22"/>
              </w:rPr>
              <w:t xml:space="preserve"> (SAMM </w:t>
            </w:r>
            <w:r w:rsidRPr="00502BD4">
              <w:rPr>
                <w:rFonts w:asciiTheme="minorHAnsi" w:hAnsiTheme="minorHAnsi" w:cstheme="minorBidi"/>
                <w:sz w:val="22"/>
                <w:szCs w:val="22"/>
              </w:rPr>
              <w:t>1a),</w:t>
            </w:r>
            <w:r w:rsidRPr="00502BD4">
              <w:rPr>
                <w:rFonts w:asciiTheme="minorHAnsi" w:hAnsiTheme="minorHAnsi" w:cstheme="minorHAnsi"/>
                <w:sz w:val="22"/>
                <w:szCs w:val="22"/>
              </w:rPr>
              <w:t xml:space="preserve"> which was above the negotiated goal of </w:t>
            </w:r>
            <w:r w:rsidRPr="00502BD4">
              <w:rPr>
                <w:rFonts w:asciiTheme="minorHAnsi" w:hAnsiTheme="minorHAnsi" w:cstheme="minorBidi"/>
                <w:sz w:val="22"/>
                <w:szCs w:val="22"/>
              </w:rPr>
              <w:t>14</w:t>
            </w:r>
            <w:r w:rsidRPr="00502BD4">
              <w:rPr>
                <w:rFonts w:asciiTheme="minorHAnsi" w:hAnsiTheme="minorHAnsi" w:cstheme="minorHAnsi"/>
                <w:sz w:val="22"/>
                <w:szCs w:val="22"/>
              </w:rPr>
              <w:t>.</w:t>
            </w:r>
          </w:p>
        </w:tc>
        <w:tc>
          <w:tcPr>
            <w:tcW w:w="5400" w:type="dxa"/>
          </w:tcPr>
          <w:p w14:paraId="7A0024A2" w14:textId="77777777" w:rsidR="004B14E5" w:rsidRPr="00502BD4" w:rsidRDefault="004B14E5" w:rsidP="004B14E5">
            <w:pPr>
              <w:rPr>
                <w:rFonts w:asciiTheme="minorHAnsi" w:hAnsiTheme="minorHAnsi" w:cstheme="minorBidi"/>
                <w:sz w:val="22"/>
                <w:szCs w:val="22"/>
              </w:rPr>
            </w:pPr>
            <w:r w:rsidRPr="00502BD4">
              <w:rPr>
                <w:rFonts w:asciiTheme="minorHAnsi" w:hAnsiTheme="minorHAnsi" w:cstheme="minorHAnsi"/>
                <w:sz w:val="22"/>
                <w:szCs w:val="22"/>
              </w:rPr>
              <w:t xml:space="preserve">ADOSH should ensure serious complaint </w:t>
            </w:r>
            <w:r w:rsidRPr="00502BD4">
              <w:rPr>
                <w:rFonts w:asciiTheme="minorHAnsi" w:hAnsiTheme="minorHAnsi" w:cstheme="minorBidi"/>
                <w:sz w:val="22"/>
                <w:szCs w:val="22"/>
              </w:rPr>
              <w:t>inspections</w:t>
            </w:r>
            <w:r w:rsidRPr="00502BD4">
              <w:rPr>
                <w:rFonts w:asciiTheme="minorHAnsi" w:hAnsiTheme="minorHAnsi" w:cstheme="minorHAnsi"/>
                <w:sz w:val="22"/>
                <w:szCs w:val="22"/>
              </w:rPr>
              <w:t xml:space="preserve"> are initiated within the negotiated goal of </w:t>
            </w:r>
            <w:r w:rsidRPr="00502BD4">
              <w:rPr>
                <w:rFonts w:asciiTheme="minorHAnsi" w:hAnsiTheme="minorHAnsi" w:cstheme="minorBidi"/>
                <w:sz w:val="22"/>
                <w:szCs w:val="22"/>
              </w:rPr>
              <w:t>14</w:t>
            </w:r>
            <w:r w:rsidRPr="00502BD4">
              <w:rPr>
                <w:rFonts w:asciiTheme="minorHAnsi" w:hAnsiTheme="minorHAnsi" w:cstheme="minorHAnsi"/>
                <w:sz w:val="22"/>
                <w:szCs w:val="22"/>
              </w:rPr>
              <w:t xml:space="preserve"> work days</w:t>
            </w:r>
            <w:r w:rsidRPr="00502BD4">
              <w:rPr>
                <w:rFonts w:asciiTheme="minorHAnsi" w:hAnsiTheme="minorHAnsi" w:cstheme="minorBidi"/>
                <w:sz w:val="22"/>
                <w:szCs w:val="22"/>
              </w:rPr>
              <w:t xml:space="preserve">. </w:t>
            </w:r>
          </w:p>
          <w:p w14:paraId="40328D3A" w14:textId="1689ACC5" w:rsidR="00270D43" w:rsidRPr="00502BD4" w:rsidRDefault="00270D43" w:rsidP="00141808">
            <w:pPr>
              <w:rPr>
                <w:rFonts w:asciiTheme="minorHAnsi" w:hAnsiTheme="minorHAnsi" w:cstheme="minorHAnsi"/>
                <w:sz w:val="22"/>
                <w:szCs w:val="22"/>
              </w:rPr>
            </w:pPr>
          </w:p>
        </w:tc>
        <w:tc>
          <w:tcPr>
            <w:tcW w:w="1633" w:type="dxa"/>
          </w:tcPr>
          <w:p w14:paraId="6E60B9F1" w14:textId="6EF9E3B9" w:rsidR="00270D43" w:rsidRPr="00502BD4" w:rsidRDefault="00E00741" w:rsidP="00FF0EBC">
            <w:pPr>
              <w:rPr>
                <w:rFonts w:asciiTheme="minorHAnsi" w:hAnsiTheme="minorHAnsi" w:cstheme="minorHAnsi"/>
                <w:sz w:val="22"/>
                <w:szCs w:val="22"/>
              </w:rPr>
            </w:pPr>
            <w:r w:rsidRPr="00502BD4">
              <w:rPr>
                <w:rFonts w:asciiTheme="minorHAnsi" w:hAnsiTheme="minorHAnsi" w:cstheme="minorHAnsi"/>
                <w:sz w:val="22"/>
                <w:szCs w:val="22"/>
              </w:rPr>
              <w:t xml:space="preserve">FY 2024-01, </w:t>
            </w:r>
            <w:r w:rsidRPr="00502BD4">
              <w:rPr>
                <w:rFonts w:asciiTheme="minorHAnsi" w:hAnsiTheme="minorHAnsi" w:cstheme="minorHAnsi"/>
                <w:sz w:val="22"/>
                <w:szCs w:val="22"/>
              </w:rPr>
              <w:br/>
              <w:t>FY 2023-03</w:t>
            </w:r>
          </w:p>
        </w:tc>
      </w:tr>
      <w:tr w:rsidR="00461190" w:rsidRPr="00502BD4" w14:paraId="76E71E51" w14:textId="77777777" w:rsidTr="00D02EEB">
        <w:tc>
          <w:tcPr>
            <w:tcW w:w="1345" w:type="dxa"/>
          </w:tcPr>
          <w:p w14:paraId="5A12451D" w14:textId="7398720D"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2025-</w:t>
            </w:r>
            <w:r w:rsidR="00944F55" w:rsidRPr="00502BD4">
              <w:rPr>
                <w:rFonts w:asciiTheme="minorHAnsi" w:hAnsiTheme="minorHAnsi" w:cstheme="minorHAnsi"/>
                <w:sz w:val="22"/>
                <w:szCs w:val="22"/>
              </w:rPr>
              <w:t>02</w:t>
            </w:r>
          </w:p>
        </w:tc>
        <w:tc>
          <w:tcPr>
            <w:tcW w:w="4860" w:type="dxa"/>
          </w:tcPr>
          <w:p w14:paraId="09F249F9" w14:textId="721AA084" w:rsidR="00461190" w:rsidRPr="00502BD4" w:rsidRDefault="00461190" w:rsidP="00461190">
            <w:pPr>
              <w:rPr>
                <w:rFonts w:asciiTheme="minorHAnsi" w:hAnsiTheme="minorHAnsi" w:cstheme="minorHAnsi"/>
                <w:sz w:val="22"/>
                <w:szCs w:val="22"/>
              </w:rPr>
            </w:pPr>
            <w:r w:rsidRPr="00502BD4">
              <w:rPr>
                <w:rFonts w:asciiTheme="minorHAnsi" w:hAnsiTheme="minorHAnsi" w:cstheme="minorBidi"/>
                <w:sz w:val="22"/>
                <w:szCs w:val="22"/>
              </w:rPr>
              <w:t>ADOSH’s average number of work days to initiate other-than-serious complaint inspections (SAMM 1b) was 55.21, which was above the negotiated goal of 30.</w:t>
            </w:r>
          </w:p>
        </w:tc>
        <w:tc>
          <w:tcPr>
            <w:tcW w:w="5400" w:type="dxa"/>
          </w:tcPr>
          <w:p w14:paraId="6454AFA4" w14:textId="77777777" w:rsidR="00461190" w:rsidRPr="00502BD4" w:rsidRDefault="00461190" w:rsidP="00461190">
            <w:pPr>
              <w:rPr>
                <w:rFonts w:asciiTheme="minorHAnsi" w:hAnsiTheme="minorHAnsi" w:cstheme="minorBidi"/>
                <w:sz w:val="22"/>
                <w:szCs w:val="22"/>
              </w:rPr>
            </w:pPr>
            <w:r w:rsidRPr="00502BD4">
              <w:rPr>
                <w:rFonts w:asciiTheme="minorHAnsi" w:hAnsiTheme="minorHAnsi" w:cstheme="minorBidi"/>
                <w:sz w:val="22"/>
                <w:szCs w:val="22"/>
              </w:rPr>
              <w:t xml:space="preserve">ADOSH should ensure other-than-serious complaint inspections are initiated within the negotiated goal of 30 work days. </w:t>
            </w:r>
          </w:p>
          <w:p w14:paraId="2F0C802B" w14:textId="77777777" w:rsidR="00461190" w:rsidRPr="00502BD4" w:rsidRDefault="00461190" w:rsidP="00461190">
            <w:pPr>
              <w:rPr>
                <w:rFonts w:asciiTheme="minorHAnsi" w:hAnsiTheme="minorHAnsi" w:cstheme="minorHAnsi"/>
                <w:sz w:val="22"/>
                <w:szCs w:val="22"/>
              </w:rPr>
            </w:pPr>
          </w:p>
        </w:tc>
        <w:tc>
          <w:tcPr>
            <w:tcW w:w="1633" w:type="dxa"/>
          </w:tcPr>
          <w:p w14:paraId="0D9DB9A1" w14:textId="5C96A9E6"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 xml:space="preserve">FY 2024-01, </w:t>
            </w:r>
            <w:r w:rsidRPr="00502BD4">
              <w:rPr>
                <w:rFonts w:asciiTheme="minorHAnsi" w:hAnsiTheme="minorHAnsi" w:cstheme="minorHAnsi"/>
                <w:sz w:val="22"/>
                <w:szCs w:val="22"/>
              </w:rPr>
              <w:br/>
              <w:t>FY 2023-03</w:t>
            </w:r>
          </w:p>
        </w:tc>
      </w:tr>
      <w:tr w:rsidR="003F71F5" w:rsidRPr="00502BD4" w14:paraId="00690178" w14:textId="77777777" w:rsidTr="00D02EEB">
        <w:tc>
          <w:tcPr>
            <w:tcW w:w="1345" w:type="dxa"/>
          </w:tcPr>
          <w:p w14:paraId="5A285579" w14:textId="4320D1B1"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2025-</w:t>
            </w:r>
            <w:r w:rsidR="00944F55" w:rsidRPr="00502BD4">
              <w:rPr>
                <w:rFonts w:asciiTheme="minorHAnsi" w:hAnsiTheme="minorHAnsi" w:cstheme="minorHAnsi"/>
                <w:sz w:val="22"/>
                <w:szCs w:val="22"/>
              </w:rPr>
              <w:t>03</w:t>
            </w:r>
          </w:p>
        </w:tc>
        <w:tc>
          <w:tcPr>
            <w:tcW w:w="4860" w:type="dxa"/>
          </w:tcPr>
          <w:p w14:paraId="5863DEF8" w14:textId="582687AC" w:rsidR="00461190" w:rsidRPr="00502BD4" w:rsidRDefault="00461190" w:rsidP="00461190">
            <w:pPr>
              <w:rPr>
                <w:rFonts w:asciiTheme="minorHAnsi" w:hAnsiTheme="minorHAnsi" w:cstheme="minorHAnsi"/>
                <w:sz w:val="22"/>
                <w:szCs w:val="22"/>
              </w:rPr>
            </w:pPr>
            <w:r w:rsidRPr="00502BD4">
              <w:rPr>
                <w:rFonts w:asciiTheme="minorHAnsi" w:hAnsiTheme="minorHAnsi" w:cstheme="minorHAnsi"/>
                <w:sz w:val="22"/>
                <w:szCs w:val="22"/>
              </w:rPr>
              <w:t>ADOSH’s average number of work days to initiate serious complaint investigations (SAMM 2a) was 115.88, which was above the negotiated goal of five.</w:t>
            </w:r>
          </w:p>
        </w:tc>
        <w:tc>
          <w:tcPr>
            <w:tcW w:w="5400" w:type="dxa"/>
          </w:tcPr>
          <w:p w14:paraId="0A6DAC09" w14:textId="1608929A" w:rsidR="00461190" w:rsidRPr="00502BD4" w:rsidRDefault="00461190" w:rsidP="00461190">
            <w:pPr>
              <w:rPr>
                <w:rFonts w:asciiTheme="minorHAnsi" w:hAnsiTheme="minorHAnsi" w:cstheme="minorHAnsi"/>
                <w:sz w:val="22"/>
                <w:szCs w:val="22"/>
              </w:rPr>
            </w:pPr>
            <w:r w:rsidRPr="00502BD4">
              <w:rPr>
                <w:rFonts w:asciiTheme="minorHAnsi" w:hAnsiTheme="minorHAnsi" w:cstheme="minorHAnsi"/>
                <w:sz w:val="22"/>
                <w:szCs w:val="22"/>
              </w:rPr>
              <w:t xml:space="preserve">ADOSH should ensure serious complaint </w:t>
            </w:r>
            <w:r w:rsidRPr="00502BD4">
              <w:rPr>
                <w:rFonts w:asciiTheme="minorHAnsi" w:hAnsiTheme="minorHAnsi" w:cstheme="minorBidi"/>
                <w:sz w:val="22"/>
                <w:szCs w:val="22"/>
              </w:rPr>
              <w:t>investigations</w:t>
            </w:r>
            <w:r w:rsidRPr="00502BD4">
              <w:rPr>
                <w:rFonts w:asciiTheme="minorHAnsi" w:hAnsiTheme="minorHAnsi" w:cstheme="minorHAnsi"/>
                <w:sz w:val="22"/>
                <w:szCs w:val="22"/>
              </w:rPr>
              <w:t xml:space="preserve"> are initiated within the negotiated goal of </w:t>
            </w:r>
            <w:r w:rsidRPr="00502BD4">
              <w:rPr>
                <w:rFonts w:asciiTheme="minorHAnsi" w:hAnsiTheme="minorHAnsi" w:cstheme="minorBidi"/>
                <w:sz w:val="22"/>
                <w:szCs w:val="22"/>
              </w:rPr>
              <w:t>five</w:t>
            </w:r>
            <w:r w:rsidRPr="00502BD4">
              <w:rPr>
                <w:rFonts w:asciiTheme="minorHAnsi" w:hAnsiTheme="minorHAnsi" w:cstheme="minorHAnsi"/>
                <w:sz w:val="22"/>
                <w:szCs w:val="22"/>
              </w:rPr>
              <w:t xml:space="preserve"> work days</w:t>
            </w:r>
            <w:r w:rsidRPr="00502BD4">
              <w:rPr>
                <w:rFonts w:asciiTheme="minorHAnsi" w:hAnsiTheme="minorHAnsi" w:cstheme="minorBidi"/>
                <w:sz w:val="22"/>
                <w:szCs w:val="22"/>
              </w:rPr>
              <w:t xml:space="preserve">.  </w:t>
            </w:r>
          </w:p>
        </w:tc>
        <w:tc>
          <w:tcPr>
            <w:tcW w:w="1633" w:type="dxa"/>
          </w:tcPr>
          <w:p w14:paraId="4DD9F7D8" w14:textId="2F90966A"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2024-02,</w:t>
            </w:r>
          </w:p>
          <w:p w14:paraId="3E060225" w14:textId="58E72EF5"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2023-04,</w:t>
            </w:r>
          </w:p>
          <w:p w14:paraId="2C6D83E0" w14:textId="078D15C5"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2022-OB-03, FY 2021-OB-03</w:t>
            </w:r>
          </w:p>
        </w:tc>
      </w:tr>
      <w:tr w:rsidR="00461190" w:rsidRPr="00502BD4" w14:paraId="3BDFADB2" w14:textId="77777777" w:rsidTr="00D02EEB">
        <w:tc>
          <w:tcPr>
            <w:tcW w:w="1345" w:type="dxa"/>
          </w:tcPr>
          <w:p w14:paraId="07DB7237" w14:textId="0FCBF3F1"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2025-</w:t>
            </w:r>
            <w:r w:rsidR="00944F55" w:rsidRPr="00502BD4">
              <w:rPr>
                <w:rFonts w:asciiTheme="minorHAnsi" w:hAnsiTheme="minorHAnsi" w:cstheme="minorHAnsi"/>
                <w:sz w:val="22"/>
                <w:szCs w:val="22"/>
              </w:rPr>
              <w:t>04</w:t>
            </w:r>
          </w:p>
        </w:tc>
        <w:tc>
          <w:tcPr>
            <w:tcW w:w="4860" w:type="dxa"/>
          </w:tcPr>
          <w:p w14:paraId="08B95BC2" w14:textId="482A24AD" w:rsidR="00461190" w:rsidRPr="00502BD4" w:rsidRDefault="00461190" w:rsidP="00461190">
            <w:pPr>
              <w:rPr>
                <w:rFonts w:asciiTheme="minorHAnsi" w:hAnsiTheme="minorHAnsi" w:cstheme="minorHAnsi"/>
                <w:sz w:val="22"/>
                <w:szCs w:val="22"/>
              </w:rPr>
            </w:pPr>
            <w:r w:rsidRPr="00502BD4">
              <w:rPr>
                <w:rFonts w:asciiTheme="minorHAnsi" w:hAnsiTheme="minorHAnsi" w:cstheme="minorHAnsi"/>
                <w:sz w:val="22"/>
                <w:szCs w:val="22"/>
              </w:rPr>
              <w:t xml:space="preserve">ADOSH’s average number of work days to initiate other-than-serious complaint investigations (SAMM 2b) was 118.97, which </w:t>
            </w:r>
            <w:r w:rsidR="002F54D7">
              <w:rPr>
                <w:rFonts w:asciiTheme="minorHAnsi" w:hAnsiTheme="minorHAnsi" w:cstheme="minorHAnsi"/>
                <w:sz w:val="22"/>
                <w:szCs w:val="22"/>
              </w:rPr>
              <w:t>was</w:t>
            </w:r>
            <w:r w:rsidRPr="00502BD4">
              <w:rPr>
                <w:rFonts w:asciiTheme="minorHAnsi" w:hAnsiTheme="minorHAnsi" w:cstheme="minorHAnsi"/>
                <w:sz w:val="22"/>
                <w:szCs w:val="22"/>
              </w:rPr>
              <w:t xml:space="preserve"> above the negotiated goal of 10.</w:t>
            </w:r>
          </w:p>
        </w:tc>
        <w:tc>
          <w:tcPr>
            <w:tcW w:w="5400" w:type="dxa"/>
          </w:tcPr>
          <w:p w14:paraId="11A9448E" w14:textId="77777777" w:rsidR="00461190" w:rsidRPr="00502BD4" w:rsidRDefault="00461190" w:rsidP="00461190">
            <w:pPr>
              <w:rPr>
                <w:rFonts w:asciiTheme="minorHAnsi" w:hAnsiTheme="minorHAnsi" w:cstheme="minorBidi"/>
                <w:sz w:val="22"/>
                <w:szCs w:val="22"/>
              </w:rPr>
            </w:pPr>
            <w:r w:rsidRPr="00502BD4">
              <w:rPr>
                <w:rFonts w:asciiTheme="minorHAnsi" w:hAnsiTheme="minorHAnsi" w:cstheme="minorBidi"/>
                <w:sz w:val="22"/>
                <w:szCs w:val="22"/>
              </w:rPr>
              <w:t xml:space="preserve">ADOSH should ensure other-than-serious complaint investigations should be initiated within the negotiated goal of 10 </w:t>
            </w:r>
            <w:proofErr w:type="gramStart"/>
            <w:r w:rsidRPr="00502BD4">
              <w:rPr>
                <w:rFonts w:asciiTheme="minorHAnsi" w:hAnsiTheme="minorHAnsi" w:cstheme="minorBidi"/>
                <w:sz w:val="22"/>
                <w:szCs w:val="22"/>
              </w:rPr>
              <w:t>work days</w:t>
            </w:r>
            <w:proofErr w:type="gramEnd"/>
            <w:r w:rsidRPr="00502BD4">
              <w:rPr>
                <w:rFonts w:asciiTheme="minorHAnsi" w:hAnsiTheme="minorHAnsi" w:cstheme="minorBidi"/>
                <w:sz w:val="22"/>
                <w:szCs w:val="22"/>
              </w:rPr>
              <w:t>.</w:t>
            </w:r>
          </w:p>
          <w:p w14:paraId="4A01E8A8" w14:textId="77777777" w:rsidR="00461190" w:rsidRPr="00502BD4" w:rsidRDefault="00461190" w:rsidP="00461190">
            <w:pPr>
              <w:rPr>
                <w:rFonts w:asciiTheme="minorHAnsi" w:hAnsiTheme="minorHAnsi" w:cstheme="minorHAnsi"/>
                <w:sz w:val="22"/>
                <w:szCs w:val="22"/>
              </w:rPr>
            </w:pPr>
          </w:p>
        </w:tc>
        <w:tc>
          <w:tcPr>
            <w:tcW w:w="1633" w:type="dxa"/>
          </w:tcPr>
          <w:p w14:paraId="4B5C1384" w14:textId="38014DAA"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2024-02,</w:t>
            </w:r>
          </w:p>
          <w:p w14:paraId="2665820D" w14:textId="250D3260"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2023-04,</w:t>
            </w:r>
          </w:p>
          <w:p w14:paraId="4647644D" w14:textId="1F3AF10F"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2022-OB-03, FY 2021-OB-03</w:t>
            </w:r>
          </w:p>
        </w:tc>
      </w:tr>
      <w:tr w:rsidR="003F71F5" w:rsidRPr="00502BD4" w14:paraId="67B1468C" w14:textId="77777777" w:rsidTr="00D02EEB">
        <w:tc>
          <w:tcPr>
            <w:tcW w:w="1345" w:type="dxa"/>
          </w:tcPr>
          <w:p w14:paraId="0216CD27" w14:textId="5153D10C"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2025-</w:t>
            </w:r>
            <w:r w:rsidR="00944F55" w:rsidRPr="00502BD4">
              <w:rPr>
                <w:rFonts w:asciiTheme="minorHAnsi" w:hAnsiTheme="minorHAnsi" w:cstheme="minorHAnsi"/>
                <w:sz w:val="22"/>
                <w:szCs w:val="22"/>
              </w:rPr>
              <w:t>05</w:t>
            </w:r>
          </w:p>
        </w:tc>
        <w:tc>
          <w:tcPr>
            <w:tcW w:w="4860" w:type="dxa"/>
          </w:tcPr>
          <w:p w14:paraId="3FC90000" w14:textId="05723DAB" w:rsidR="00461190" w:rsidRPr="00502BD4" w:rsidRDefault="00461190" w:rsidP="00461190">
            <w:pPr>
              <w:rPr>
                <w:rFonts w:asciiTheme="minorHAnsi" w:hAnsiTheme="minorHAnsi" w:cstheme="minorHAnsi"/>
                <w:sz w:val="22"/>
                <w:szCs w:val="22"/>
              </w:rPr>
            </w:pPr>
            <w:r w:rsidRPr="00502BD4">
              <w:rPr>
                <w:rFonts w:asciiTheme="minorHAnsi" w:hAnsiTheme="minorHAnsi" w:cstheme="minorHAnsi"/>
                <w:sz w:val="22"/>
                <w:szCs w:val="22"/>
              </w:rPr>
              <w:t xml:space="preserve">A total of 278 (37.07%) inspections were conducted, which </w:t>
            </w:r>
            <w:proofErr w:type="gramStart"/>
            <w:r w:rsidR="004D3C3D" w:rsidRPr="00502BD4">
              <w:rPr>
                <w:rFonts w:asciiTheme="minorHAnsi" w:hAnsiTheme="minorHAnsi" w:cstheme="minorHAnsi"/>
                <w:sz w:val="22"/>
                <w:szCs w:val="22"/>
              </w:rPr>
              <w:t>was</w:t>
            </w:r>
            <w:proofErr w:type="gramEnd"/>
            <w:r w:rsidRPr="00502BD4">
              <w:rPr>
                <w:rFonts w:asciiTheme="minorHAnsi" w:hAnsiTheme="minorHAnsi" w:cstheme="minorHAnsi"/>
                <w:sz w:val="22"/>
                <w:szCs w:val="22"/>
              </w:rPr>
              <w:t xml:space="preserve"> below the negotiated goal of 750</w:t>
            </w:r>
            <w:r w:rsidR="000F3359" w:rsidRPr="00502BD4">
              <w:rPr>
                <w:rFonts w:asciiTheme="minorHAnsi" w:hAnsiTheme="minorHAnsi" w:cstheme="minorHAnsi"/>
                <w:sz w:val="22"/>
                <w:szCs w:val="22"/>
              </w:rPr>
              <w:t xml:space="preserve"> (SAMM </w:t>
            </w:r>
            <w:r w:rsidR="00400814" w:rsidRPr="00502BD4">
              <w:rPr>
                <w:rFonts w:asciiTheme="minorHAnsi" w:hAnsiTheme="minorHAnsi" w:cstheme="minorHAnsi"/>
                <w:sz w:val="22"/>
                <w:szCs w:val="22"/>
              </w:rPr>
              <w:t>7</w:t>
            </w:r>
            <w:r w:rsidR="000F3359" w:rsidRPr="00502BD4">
              <w:rPr>
                <w:rFonts w:asciiTheme="minorHAnsi" w:hAnsiTheme="minorHAnsi" w:cstheme="minorHAnsi"/>
                <w:sz w:val="22"/>
                <w:szCs w:val="22"/>
              </w:rPr>
              <w:t>)</w:t>
            </w:r>
            <w:r w:rsidRPr="00502BD4">
              <w:rPr>
                <w:rFonts w:asciiTheme="minorHAnsi" w:hAnsiTheme="minorHAnsi" w:cstheme="minorHAnsi"/>
                <w:sz w:val="22"/>
                <w:szCs w:val="22"/>
              </w:rPr>
              <w:t>.</w:t>
            </w:r>
          </w:p>
        </w:tc>
        <w:tc>
          <w:tcPr>
            <w:tcW w:w="5400" w:type="dxa"/>
          </w:tcPr>
          <w:p w14:paraId="1D11C7A3" w14:textId="7F5384B6" w:rsidR="00461190" w:rsidRPr="00502BD4" w:rsidRDefault="00461190" w:rsidP="00461190">
            <w:pPr>
              <w:rPr>
                <w:rFonts w:asciiTheme="minorHAnsi" w:hAnsiTheme="minorHAnsi" w:cstheme="minorHAnsi"/>
                <w:sz w:val="22"/>
                <w:szCs w:val="22"/>
              </w:rPr>
            </w:pPr>
            <w:r w:rsidRPr="00502BD4">
              <w:rPr>
                <w:rFonts w:asciiTheme="minorHAnsi" w:hAnsiTheme="minorHAnsi" w:cstheme="minorHAnsi"/>
                <w:sz w:val="22"/>
                <w:szCs w:val="22"/>
              </w:rPr>
              <w:t>ADOSH should identify methods to increase the number of safety and health inspections conducted.</w:t>
            </w:r>
          </w:p>
        </w:tc>
        <w:tc>
          <w:tcPr>
            <w:tcW w:w="1633" w:type="dxa"/>
          </w:tcPr>
          <w:p w14:paraId="2A9E1503" w14:textId="06524886"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2024-03,</w:t>
            </w:r>
          </w:p>
          <w:p w14:paraId="3E069F7B" w14:textId="1DB4E046"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2023-05,</w:t>
            </w:r>
          </w:p>
          <w:p w14:paraId="4F5CC107" w14:textId="3F0C9B9F"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2022-01,</w:t>
            </w:r>
          </w:p>
          <w:p w14:paraId="487A19D3" w14:textId="61BAF375"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2021-02,</w:t>
            </w:r>
          </w:p>
          <w:p w14:paraId="49021A15" w14:textId="5C1AC165"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2020-02,</w:t>
            </w:r>
          </w:p>
          <w:p w14:paraId="1419EBDB" w14:textId="097A1D21"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2019-02,</w:t>
            </w:r>
          </w:p>
          <w:p w14:paraId="4E247535" w14:textId="70AF6746" w:rsidR="00461190" w:rsidRPr="00502BD4" w:rsidRDefault="00461190" w:rsidP="00FF0EBC">
            <w:pPr>
              <w:rPr>
                <w:rFonts w:asciiTheme="minorHAnsi" w:hAnsiTheme="minorHAnsi" w:cstheme="minorHAnsi"/>
                <w:sz w:val="22"/>
                <w:szCs w:val="22"/>
              </w:rPr>
            </w:pPr>
            <w:r w:rsidRPr="00502BD4">
              <w:rPr>
                <w:rFonts w:asciiTheme="minorHAnsi" w:hAnsiTheme="minorHAnsi" w:cstheme="minorHAnsi"/>
                <w:sz w:val="22"/>
                <w:szCs w:val="22"/>
              </w:rPr>
              <w:t>FY 2018-08</w:t>
            </w:r>
          </w:p>
        </w:tc>
      </w:tr>
    </w:tbl>
    <w:p w14:paraId="76B05F94" w14:textId="77777777" w:rsidR="00313C2B" w:rsidRPr="007D0823" w:rsidRDefault="00313C2B" w:rsidP="00721F80">
      <w:pPr>
        <w:rPr>
          <w:rFonts w:asciiTheme="minorHAnsi" w:hAnsiTheme="minorHAnsi" w:cstheme="minorBidi"/>
        </w:rPr>
        <w:sectPr w:rsidR="00313C2B" w:rsidRPr="007D0823" w:rsidSect="001E7CF8">
          <w:headerReference w:type="even" r:id="rId15"/>
          <w:headerReference w:type="default" r:id="rId16"/>
          <w:footerReference w:type="default" r:id="rId17"/>
          <w:headerReference w:type="first" r:id="rId18"/>
          <w:type w:val="continuous"/>
          <w:pgSz w:w="15840" w:h="12240" w:orient="landscape"/>
          <w:pgMar w:top="1440" w:right="1152" w:bottom="1440" w:left="1440" w:header="144" w:footer="720" w:gutter="0"/>
          <w:pgNumType w:start="22"/>
          <w:cols w:space="720"/>
          <w:titlePg/>
          <w:docGrid w:linePitch="360"/>
        </w:sectPr>
      </w:pPr>
    </w:p>
    <w:p w14:paraId="20F2540C" w14:textId="7F50C7F6" w:rsidR="00792B81" w:rsidRPr="002F23C7" w:rsidRDefault="00792B81" w:rsidP="002F23C7">
      <w:pPr>
        <w:pStyle w:val="Heading2"/>
        <w:jc w:val="center"/>
        <w:rPr>
          <w:rFonts w:cstheme="minorHAnsi"/>
          <w:color w:val="auto"/>
          <w:sz w:val="28"/>
          <w:szCs w:val="28"/>
        </w:rPr>
      </w:pPr>
      <w:bookmarkStart w:id="54" w:name="Appexdix_B"/>
      <w:bookmarkStart w:id="55" w:name="_Toc118905018"/>
      <w:bookmarkStart w:id="56" w:name="_Toc128388238"/>
      <w:bookmarkStart w:id="57" w:name="_Toc160178425"/>
      <w:bookmarkStart w:id="58" w:name="_Toc225327068"/>
      <w:bookmarkEnd w:id="54"/>
      <w:r w:rsidRPr="002F23C7">
        <w:rPr>
          <w:rFonts w:cstheme="minorHAnsi"/>
          <w:sz w:val="28"/>
          <w:szCs w:val="28"/>
        </w:rPr>
        <w:lastRenderedPageBreak/>
        <w:t xml:space="preserve">Appendix B – Observations </w:t>
      </w:r>
      <w:r w:rsidR="007530F9">
        <w:rPr>
          <w:rFonts w:cstheme="minorHAnsi"/>
          <w:sz w:val="28"/>
          <w:szCs w:val="28"/>
        </w:rPr>
        <w:t xml:space="preserve">and Federal </w:t>
      </w:r>
      <w:r w:rsidRPr="002F23C7">
        <w:rPr>
          <w:rFonts w:cstheme="minorHAnsi"/>
          <w:sz w:val="28"/>
          <w:szCs w:val="28"/>
        </w:rPr>
        <w:t>Monitoring</w:t>
      </w:r>
      <w:bookmarkEnd w:id="55"/>
      <w:bookmarkEnd w:id="56"/>
      <w:bookmarkEnd w:id="57"/>
      <w:bookmarkEnd w:id="58"/>
      <w:r w:rsidR="007530F9">
        <w:rPr>
          <w:rFonts w:cstheme="minorHAnsi"/>
          <w:sz w:val="28"/>
          <w:szCs w:val="28"/>
        </w:rPr>
        <w:t xml:space="preserve"> Plans</w:t>
      </w:r>
    </w:p>
    <w:p w14:paraId="0B8F1EBD" w14:textId="7D720F23" w:rsidR="00792B81" w:rsidRPr="007D0823" w:rsidRDefault="00792B81" w:rsidP="002F23C7">
      <w:pPr>
        <w:pStyle w:val="NoSpacing"/>
        <w:jc w:val="center"/>
        <w:rPr>
          <w:sz w:val="24"/>
          <w:szCs w:val="24"/>
        </w:rPr>
      </w:pPr>
      <w:r w:rsidRPr="007D0823">
        <w:rPr>
          <w:sz w:val="24"/>
          <w:szCs w:val="24"/>
        </w:rPr>
        <w:t>FY 202</w:t>
      </w:r>
      <w:r w:rsidR="005D3534">
        <w:rPr>
          <w:sz w:val="24"/>
          <w:szCs w:val="24"/>
        </w:rPr>
        <w:t>5</w:t>
      </w:r>
      <w:r w:rsidRPr="007D0823">
        <w:rPr>
          <w:sz w:val="24"/>
          <w:szCs w:val="24"/>
        </w:rPr>
        <w:t xml:space="preserve"> Arizona Division of Occupational Safety and Health </w:t>
      </w:r>
      <w:r w:rsidR="00775ED0" w:rsidRPr="007D0823">
        <w:rPr>
          <w:sz w:val="24"/>
          <w:szCs w:val="24"/>
        </w:rPr>
        <w:t>Comprehensive FAME Report</w:t>
      </w:r>
    </w:p>
    <w:p w14:paraId="0C9AEBFD" w14:textId="77777777" w:rsidR="00792B81" w:rsidRPr="007D0823" w:rsidRDefault="00792B81" w:rsidP="00792B81">
      <w:pPr>
        <w:rPr>
          <w:rFonts w:asciiTheme="minorHAnsi" w:hAnsiTheme="minorHAnsi" w:cstheme="minorHAnsi"/>
        </w:rPr>
      </w:pPr>
    </w:p>
    <w:tbl>
      <w:tblPr>
        <w:tblStyle w:val="TableGridLight"/>
        <w:tblpPr w:leftFromText="180" w:rightFromText="180" w:vertAnchor="text" w:tblpY="1"/>
        <w:tblW w:w="0" w:type="auto"/>
        <w:tblLook w:val="04A0" w:firstRow="1" w:lastRow="0" w:firstColumn="1" w:lastColumn="0" w:noHBand="0" w:noVBand="1"/>
      </w:tblPr>
      <w:tblGrid>
        <w:gridCol w:w="1705"/>
        <w:gridCol w:w="2790"/>
        <w:gridCol w:w="3275"/>
        <w:gridCol w:w="3295"/>
        <w:gridCol w:w="1885"/>
      </w:tblGrid>
      <w:tr w:rsidR="00C55D86" w:rsidRPr="007530F9" w14:paraId="21A32B6E" w14:textId="77777777" w:rsidTr="00D02EEB">
        <w:tc>
          <w:tcPr>
            <w:tcW w:w="1705" w:type="dxa"/>
          </w:tcPr>
          <w:p w14:paraId="7EC2F3A7" w14:textId="74AAE952" w:rsidR="00CB02DD" w:rsidRPr="007530F9" w:rsidRDefault="00CB02DD" w:rsidP="00CB02DD">
            <w:pPr>
              <w:widowControl/>
              <w:autoSpaceDE/>
              <w:autoSpaceDN/>
              <w:adjustRightInd/>
              <w:rPr>
                <w:rFonts w:asciiTheme="minorHAnsi" w:hAnsiTheme="minorHAnsi" w:cstheme="minorHAnsi"/>
                <w:b/>
              </w:rPr>
            </w:pPr>
            <w:r w:rsidRPr="007530F9">
              <w:rPr>
                <w:rFonts w:asciiTheme="minorHAnsi" w:hAnsiTheme="minorHAnsi" w:cstheme="minorHAnsi"/>
                <w:b/>
              </w:rPr>
              <w:t>Observation #</w:t>
            </w:r>
          </w:p>
          <w:p w14:paraId="53A44F62" w14:textId="53D3853A" w:rsidR="00CB02DD" w:rsidRPr="007530F9" w:rsidRDefault="00CB02DD" w:rsidP="00CB02DD">
            <w:pPr>
              <w:rPr>
                <w:rFonts w:asciiTheme="minorHAnsi" w:hAnsiTheme="minorHAnsi" w:cstheme="minorHAnsi"/>
              </w:rPr>
            </w:pPr>
            <w:r w:rsidRPr="007530F9">
              <w:rPr>
                <w:rFonts w:asciiTheme="minorHAnsi" w:hAnsiTheme="minorHAnsi" w:cstheme="minorHAnsi"/>
                <w:b/>
              </w:rPr>
              <w:t xml:space="preserve">FY </w:t>
            </w:r>
            <w:r w:rsidR="7CB7CCA1" w:rsidRPr="007530F9">
              <w:rPr>
                <w:rFonts w:asciiTheme="minorHAnsi" w:hAnsiTheme="minorHAnsi" w:cstheme="minorHAnsi"/>
                <w:b/>
                <w:bCs/>
              </w:rPr>
              <w:t>20</w:t>
            </w:r>
            <w:r w:rsidR="60B5B144" w:rsidRPr="007530F9">
              <w:rPr>
                <w:rFonts w:asciiTheme="minorHAnsi" w:hAnsiTheme="minorHAnsi" w:cstheme="minorHAnsi"/>
                <w:b/>
                <w:bCs/>
              </w:rPr>
              <w:t>2</w:t>
            </w:r>
            <w:r w:rsidR="00160D09" w:rsidRPr="007530F9">
              <w:rPr>
                <w:rFonts w:asciiTheme="minorHAnsi" w:hAnsiTheme="minorHAnsi" w:cstheme="minorHAnsi"/>
                <w:b/>
                <w:bCs/>
              </w:rPr>
              <w:t>5</w:t>
            </w:r>
            <w:r w:rsidRPr="007530F9">
              <w:rPr>
                <w:rFonts w:asciiTheme="minorHAnsi" w:hAnsiTheme="minorHAnsi" w:cstheme="minorHAnsi"/>
                <w:b/>
              </w:rPr>
              <w:t>-OB-#</w:t>
            </w:r>
          </w:p>
        </w:tc>
        <w:tc>
          <w:tcPr>
            <w:tcW w:w="2790" w:type="dxa"/>
          </w:tcPr>
          <w:p w14:paraId="5E1818A8" w14:textId="77777777" w:rsidR="00CB02DD" w:rsidRPr="007530F9" w:rsidRDefault="00CB02DD" w:rsidP="00CB02DD">
            <w:pPr>
              <w:widowControl/>
              <w:autoSpaceDE/>
              <w:autoSpaceDN/>
              <w:adjustRightInd/>
              <w:rPr>
                <w:rFonts w:asciiTheme="minorHAnsi" w:hAnsiTheme="minorHAnsi" w:cstheme="minorHAnsi"/>
                <w:b/>
              </w:rPr>
            </w:pPr>
            <w:r w:rsidRPr="007530F9">
              <w:rPr>
                <w:rFonts w:asciiTheme="minorHAnsi" w:hAnsiTheme="minorHAnsi" w:cstheme="minorHAnsi"/>
                <w:b/>
              </w:rPr>
              <w:t>Observation#</w:t>
            </w:r>
          </w:p>
          <w:p w14:paraId="61864DD2" w14:textId="65137AD5" w:rsidR="00CB02DD" w:rsidRPr="007530F9" w:rsidRDefault="00CB02DD" w:rsidP="00CB02DD">
            <w:pPr>
              <w:rPr>
                <w:rFonts w:asciiTheme="minorHAnsi" w:hAnsiTheme="minorHAnsi" w:cstheme="minorHAnsi"/>
              </w:rPr>
            </w:pPr>
            <w:r w:rsidRPr="007530F9">
              <w:rPr>
                <w:rFonts w:asciiTheme="minorHAnsi" w:hAnsiTheme="minorHAnsi" w:cstheme="minorHAnsi"/>
                <w:b/>
              </w:rPr>
              <w:t>FY 20</w:t>
            </w:r>
            <w:r w:rsidR="00160D09" w:rsidRPr="007530F9">
              <w:rPr>
                <w:rFonts w:asciiTheme="minorHAnsi" w:hAnsiTheme="minorHAnsi" w:cstheme="minorHAnsi"/>
                <w:b/>
              </w:rPr>
              <w:t>24</w:t>
            </w:r>
            <w:r w:rsidRPr="007530F9">
              <w:rPr>
                <w:rFonts w:asciiTheme="minorHAnsi" w:hAnsiTheme="minorHAnsi" w:cstheme="minorHAnsi"/>
                <w:b/>
              </w:rPr>
              <w:t>-</w:t>
            </w:r>
            <w:proofErr w:type="gramStart"/>
            <w:r w:rsidRPr="007530F9">
              <w:rPr>
                <w:rFonts w:asciiTheme="minorHAnsi" w:hAnsiTheme="minorHAnsi" w:cstheme="minorHAnsi"/>
                <w:b/>
              </w:rPr>
              <w:t>OB-</w:t>
            </w:r>
            <w:r w:rsidR="00160D09" w:rsidRPr="007530F9">
              <w:rPr>
                <w:rFonts w:asciiTheme="minorHAnsi" w:hAnsiTheme="minorHAnsi" w:cstheme="minorHAnsi"/>
                <w:b/>
              </w:rPr>
              <w:t>##</w:t>
            </w:r>
            <w:proofErr w:type="gramEnd"/>
            <w:r w:rsidRPr="007530F9">
              <w:rPr>
                <w:rFonts w:asciiTheme="minorHAnsi" w:hAnsiTheme="minorHAnsi" w:cstheme="minorHAnsi"/>
                <w:b/>
              </w:rPr>
              <w:t xml:space="preserve"> </w:t>
            </w:r>
            <w:r w:rsidRPr="007530F9">
              <w:rPr>
                <w:rFonts w:asciiTheme="minorHAnsi" w:hAnsiTheme="minorHAnsi" w:cstheme="minorHAnsi"/>
                <w:b/>
                <w:i/>
              </w:rPr>
              <w:t>or</w:t>
            </w:r>
            <w:r w:rsidRPr="007530F9">
              <w:rPr>
                <w:rFonts w:asciiTheme="minorHAnsi" w:hAnsiTheme="minorHAnsi" w:cstheme="minorHAnsi"/>
                <w:b/>
              </w:rPr>
              <w:t xml:space="preserve"> FY </w:t>
            </w:r>
            <w:r w:rsidR="7CB7CCA1" w:rsidRPr="007530F9">
              <w:rPr>
                <w:rFonts w:asciiTheme="minorHAnsi" w:hAnsiTheme="minorHAnsi" w:cstheme="minorHAnsi"/>
                <w:b/>
                <w:bCs/>
              </w:rPr>
              <w:t>20</w:t>
            </w:r>
            <w:r w:rsidR="04D364BD" w:rsidRPr="007530F9">
              <w:rPr>
                <w:rFonts w:asciiTheme="minorHAnsi" w:hAnsiTheme="minorHAnsi" w:cstheme="minorHAnsi"/>
                <w:b/>
                <w:bCs/>
              </w:rPr>
              <w:t>2</w:t>
            </w:r>
            <w:r w:rsidR="00160D09" w:rsidRPr="007530F9">
              <w:rPr>
                <w:rFonts w:asciiTheme="minorHAnsi" w:hAnsiTheme="minorHAnsi" w:cstheme="minorHAnsi"/>
                <w:b/>
                <w:bCs/>
              </w:rPr>
              <w:t>4</w:t>
            </w:r>
            <w:r w:rsidRPr="007530F9">
              <w:rPr>
                <w:rFonts w:asciiTheme="minorHAnsi" w:hAnsiTheme="minorHAnsi" w:cstheme="minorHAnsi"/>
                <w:b/>
              </w:rPr>
              <w:t>-#</w:t>
            </w:r>
          </w:p>
        </w:tc>
        <w:tc>
          <w:tcPr>
            <w:tcW w:w="3275" w:type="dxa"/>
          </w:tcPr>
          <w:p w14:paraId="78646EB7" w14:textId="3228C44B" w:rsidR="00CB02DD" w:rsidRPr="007530F9" w:rsidRDefault="00CB02DD" w:rsidP="00CB02DD">
            <w:pPr>
              <w:rPr>
                <w:rFonts w:asciiTheme="minorHAnsi" w:hAnsiTheme="minorHAnsi" w:cstheme="minorHAnsi"/>
              </w:rPr>
            </w:pPr>
            <w:r w:rsidRPr="007530F9">
              <w:rPr>
                <w:rFonts w:asciiTheme="minorHAnsi" w:hAnsiTheme="minorHAnsi" w:cstheme="minorHAnsi"/>
                <w:b/>
              </w:rPr>
              <w:t>Observation</w:t>
            </w:r>
          </w:p>
        </w:tc>
        <w:tc>
          <w:tcPr>
            <w:tcW w:w="3295" w:type="dxa"/>
          </w:tcPr>
          <w:p w14:paraId="3FF8653B" w14:textId="60FF4145" w:rsidR="00CB02DD" w:rsidRPr="007530F9" w:rsidRDefault="00CB02DD" w:rsidP="00CB02DD">
            <w:pPr>
              <w:rPr>
                <w:rFonts w:asciiTheme="minorHAnsi" w:hAnsiTheme="minorHAnsi" w:cstheme="minorHAnsi"/>
              </w:rPr>
            </w:pPr>
            <w:r w:rsidRPr="007530F9">
              <w:rPr>
                <w:rFonts w:asciiTheme="minorHAnsi" w:hAnsiTheme="minorHAnsi" w:cstheme="minorHAnsi"/>
                <w:b/>
              </w:rPr>
              <w:t>Federal Monitoring Plan</w:t>
            </w:r>
          </w:p>
        </w:tc>
        <w:tc>
          <w:tcPr>
            <w:tcW w:w="1885" w:type="dxa"/>
          </w:tcPr>
          <w:p w14:paraId="375060ED" w14:textId="3B77CD9B" w:rsidR="00CB02DD" w:rsidRPr="007530F9" w:rsidRDefault="00CB02DD" w:rsidP="00CB02DD">
            <w:pPr>
              <w:rPr>
                <w:rFonts w:asciiTheme="minorHAnsi" w:hAnsiTheme="minorHAnsi" w:cstheme="minorHAnsi"/>
              </w:rPr>
            </w:pPr>
            <w:r w:rsidRPr="007530F9">
              <w:rPr>
                <w:rFonts w:asciiTheme="minorHAnsi" w:hAnsiTheme="minorHAnsi" w:cstheme="minorHAnsi"/>
                <w:b/>
              </w:rPr>
              <w:t>Current Status</w:t>
            </w:r>
          </w:p>
        </w:tc>
      </w:tr>
      <w:tr w:rsidR="00C55D86" w:rsidRPr="007530F9" w14:paraId="27D99D83" w14:textId="77777777" w:rsidTr="00D02EEB">
        <w:trPr>
          <w:trHeight w:val="300"/>
        </w:trPr>
        <w:tc>
          <w:tcPr>
            <w:tcW w:w="1705" w:type="dxa"/>
          </w:tcPr>
          <w:p w14:paraId="7C62FCB9" w14:textId="2297E21B" w:rsidR="00215A65" w:rsidRPr="007530F9" w:rsidRDefault="00FE0495" w:rsidP="00215A65">
            <w:pPr>
              <w:widowControl/>
              <w:autoSpaceDE/>
              <w:autoSpaceDN/>
              <w:adjustRightInd/>
              <w:rPr>
                <w:rFonts w:asciiTheme="minorHAnsi" w:hAnsiTheme="minorHAnsi" w:cstheme="minorHAnsi"/>
              </w:rPr>
            </w:pPr>
            <w:r w:rsidRPr="007530F9">
              <w:rPr>
                <w:rFonts w:asciiTheme="minorHAnsi" w:hAnsiTheme="minorHAnsi" w:cstheme="minorHAnsi"/>
              </w:rPr>
              <w:t>FY 2025-OB-</w:t>
            </w:r>
            <w:r w:rsidR="00944F55" w:rsidRPr="007530F9">
              <w:rPr>
                <w:rFonts w:asciiTheme="minorHAnsi" w:hAnsiTheme="minorHAnsi" w:cstheme="minorHAnsi"/>
              </w:rPr>
              <w:t>01</w:t>
            </w:r>
          </w:p>
        </w:tc>
        <w:tc>
          <w:tcPr>
            <w:tcW w:w="2790" w:type="dxa"/>
          </w:tcPr>
          <w:p w14:paraId="7C864BB3" w14:textId="1259382A" w:rsidR="00215A65" w:rsidRPr="007530F9" w:rsidRDefault="00D046F8" w:rsidP="00215A65">
            <w:pPr>
              <w:widowControl/>
              <w:autoSpaceDE/>
              <w:autoSpaceDN/>
              <w:adjustRightInd/>
              <w:rPr>
                <w:rFonts w:asciiTheme="minorHAnsi" w:hAnsiTheme="minorHAnsi" w:cstheme="minorHAnsi"/>
              </w:rPr>
            </w:pPr>
            <w:r w:rsidRPr="007530F9">
              <w:rPr>
                <w:rFonts w:asciiTheme="minorHAnsi" w:hAnsiTheme="minorHAnsi" w:cstheme="minorHAnsi"/>
              </w:rPr>
              <w:t>Not Applicable</w:t>
            </w:r>
          </w:p>
        </w:tc>
        <w:tc>
          <w:tcPr>
            <w:tcW w:w="3275" w:type="dxa"/>
          </w:tcPr>
          <w:p w14:paraId="47131407" w14:textId="028D5152" w:rsidR="00215A65" w:rsidRPr="007530F9" w:rsidRDefault="00160D09" w:rsidP="00FE0495">
            <w:pPr>
              <w:rPr>
                <w:rFonts w:asciiTheme="minorHAnsi" w:hAnsiTheme="minorHAnsi" w:cstheme="minorHAnsi"/>
              </w:rPr>
            </w:pPr>
            <w:r w:rsidRPr="007530F9">
              <w:rPr>
                <w:rFonts w:asciiTheme="minorHAnsi" w:hAnsiTheme="minorHAnsi" w:cstheme="minorHAnsi"/>
              </w:rPr>
              <w:t>In six of seven (86%) fatality inspection files, NOK letters were missing and/or not sent.</w:t>
            </w:r>
          </w:p>
        </w:tc>
        <w:tc>
          <w:tcPr>
            <w:tcW w:w="3295" w:type="dxa"/>
          </w:tcPr>
          <w:p w14:paraId="41F43014" w14:textId="3920D8D0" w:rsidR="00215A65" w:rsidRPr="007530F9" w:rsidRDefault="00C35D75" w:rsidP="00215A65">
            <w:pPr>
              <w:rPr>
                <w:rFonts w:asciiTheme="minorHAnsi" w:hAnsiTheme="minorHAnsi" w:cstheme="minorHAnsi"/>
              </w:rPr>
            </w:pPr>
            <w:r w:rsidRPr="007530F9">
              <w:rPr>
                <w:rFonts w:asciiTheme="minorHAnsi" w:hAnsiTheme="minorHAnsi" w:cstheme="minorBidi"/>
              </w:rPr>
              <w:t>OSHA will continue to monitor ADOSH to ensure NOK letters are sent and maintained in the case files, in accordance with the compliance directive CPL 02-00-171, Communicating OSHA Fatality Inspection Procedures to a Fallen Worker’s Family.</w:t>
            </w:r>
          </w:p>
        </w:tc>
        <w:tc>
          <w:tcPr>
            <w:tcW w:w="1885" w:type="dxa"/>
          </w:tcPr>
          <w:p w14:paraId="4FE53972" w14:textId="75DB8BC1" w:rsidR="00331850" w:rsidRPr="007530F9" w:rsidRDefault="005D1364" w:rsidP="00215A65">
            <w:pPr>
              <w:rPr>
                <w:rFonts w:asciiTheme="minorHAnsi" w:hAnsiTheme="minorHAnsi" w:cstheme="minorHAnsi"/>
              </w:rPr>
            </w:pPr>
            <w:r w:rsidRPr="007530F9">
              <w:rPr>
                <w:rFonts w:asciiTheme="minorHAnsi" w:hAnsiTheme="minorHAnsi" w:cstheme="minorHAnsi"/>
              </w:rPr>
              <w:t>New</w:t>
            </w:r>
          </w:p>
        </w:tc>
      </w:tr>
      <w:tr w:rsidR="00C55D86" w:rsidRPr="007530F9" w14:paraId="0296F00C" w14:textId="77777777" w:rsidTr="00D02EEB">
        <w:trPr>
          <w:trHeight w:val="300"/>
        </w:trPr>
        <w:tc>
          <w:tcPr>
            <w:tcW w:w="1705" w:type="dxa"/>
          </w:tcPr>
          <w:p w14:paraId="3F70117A" w14:textId="515864E4" w:rsidR="00215A65" w:rsidRPr="007530F9" w:rsidRDefault="00FE0495" w:rsidP="00215A65">
            <w:pPr>
              <w:widowControl/>
              <w:autoSpaceDE/>
              <w:autoSpaceDN/>
              <w:adjustRightInd/>
              <w:rPr>
                <w:rFonts w:asciiTheme="minorHAnsi" w:hAnsiTheme="minorHAnsi" w:cstheme="minorHAnsi"/>
              </w:rPr>
            </w:pPr>
            <w:r w:rsidRPr="007530F9">
              <w:rPr>
                <w:rFonts w:asciiTheme="minorHAnsi" w:hAnsiTheme="minorHAnsi" w:cstheme="minorHAnsi"/>
              </w:rPr>
              <w:t>FY 2025-OB-</w:t>
            </w:r>
            <w:r w:rsidR="00944F55" w:rsidRPr="007530F9">
              <w:rPr>
                <w:rFonts w:asciiTheme="minorHAnsi" w:hAnsiTheme="minorHAnsi" w:cstheme="minorHAnsi"/>
              </w:rPr>
              <w:t>02</w:t>
            </w:r>
          </w:p>
        </w:tc>
        <w:tc>
          <w:tcPr>
            <w:tcW w:w="2790" w:type="dxa"/>
          </w:tcPr>
          <w:p w14:paraId="495B4C16" w14:textId="15827A4E" w:rsidR="00215A65" w:rsidRPr="007530F9" w:rsidRDefault="00D046F8" w:rsidP="00215A65">
            <w:pPr>
              <w:widowControl/>
              <w:autoSpaceDE/>
              <w:autoSpaceDN/>
              <w:adjustRightInd/>
              <w:rPr>
                <w:rFonts w:asciiTheme="minorHAnsi" w:hAnsiTheme="minorHAnsi" w:cstheme="minorHAnsi"/>
              </w:rPr>
            </w:pPr>
            <w:r w:rsidRPr="007530F9">
              <w:rPr>
                <w:rFonts w:asciiTheme="minorHAnsi" w:hAnsiTheme="minorHAnsi" w:cstheme="minorHAnsi"/>
              </w:rPr>
              <w:t>Not Applicable</w:t>
            </w:r>
          </w:p>
        </w:tc>
        <w:tc>
          <w:tcPr>
            <w:tcW w:w="3275" w:type="dxa"/>
          </w:tcPr>
          <w:p w14:paraId="4E82CEDE" w14:textId="486CE06D" w:rsidR="00215A65" w:rsidRPr="007530F9" w:rsidRDefault="00160D09" w:rsidP="00215A65">
            <w:pPr>
              <w:rPr>
                <w:rFonts w:asciiTheme="minorHAnsi" w:hAnsiTheme="minorHAnsi" w:cstheme="minorBidi"/>
              </w:rPr>
            </w:pPr>
            <w:r w:rsidRPr="007530F9">
              <w:rPr>
                <w:rFonts w:asciiTheme="minorHAnsi" w:hAnsiTheme="minorHAnsi" w:cstheme="minorBidi"/>
              </w:rPr>
              <w:t xml:space="preserve">Written reports to the employer did not contain a comparison of the site’s DART and TRC rate to the BLS rate for the industry. </w:t>
            </w:r>
          </w:p>
        </w:tc>
        <w:tc>
          <w:tcPr>
            <w:tcW w:w="3295" w:type="dxa"/>
          </w:tcPr>
          <w:p w14:paraId="0B47038D" w14:textId="7F2FDCE5" w:rsidR="00215A65" w:rsidRPr="007530F9" w:rsidRDefault="00FE0495" w:rsidP="00215A65">
            <w:pPr>
              <w:rPr>
                <w:rFonts w:asciiTheme="minorHAnsi" w:hAnsiTheme="minorHAnsi" w:cstheme="minorHAnsi"/>
              </w:rPr>
            </w:pPr>
            <w:r w:rsidRPr="007530F9">
              <w:rPr>
                <w:rFonts w:asciiTheme="minorHAnsi" w:hAnsiTheme="minorHAnsi" w:cstheme="minorBidi"/>
              </w:rPr>
              <w:t>OSHA will continue to monitor and ensure written reports contain a comparison of the DART and TRC rate to the BLS rate for the industry.</w:t>
            </w:r>
          </w:p>
        </w:tc>
        <w:tc>
          <w:tcPr>
            <w:tcW w:w="1885" w:type="dxa"/>
          </w:tcPr>
          <w:p w14:paraId="3E5FF717" w14:textId="50899564" w:rsidR="00215A65" w:rsidRPr="007530F9" w:rsidRDefault="00D046F8" w:rsidP="00215A65">
            <w:pPr>
              <w:rPr>
                <w:rFonts w:asciiTheme="minorHAnsi" w:hAnsiTheme="minorHAnsi" w:cstheme="minorHAnsi"/>
              </w:rPr>
            </w:pPr>
            <w:r w:rsidRPr="007530F9">
              <w:rPr>
                <w:rFonts w:asciiTheme="minorHAnsi" w:hAnsiTheme="minorHAnsi" w:cstheme="minorHAnsi"/>
              </w:rPr>
              <w:t>New</w:t>
            </w:r>
          </w:p>
        </w:tc>
      </w:tr>
      <w:tr w:rsidR="00C55D86" w:rsidRPr="007530F9" w14:paraId="4D700825" w14:textId="77777777" w:rsidTr="00D02EEB">
        <w:trPr>
          <w:trHeight w:val="300"/>
        </w:trPr>
        <w:tc>
          <w:tcPr>
            <w:tcW w:w="1705" w:type="dxa"/>
          </w:tcPr>
          <w:p w14:paraId="6D55A95E" w14:textId="5B3C2B8A" w:rsidR="00E97D41" w:rsidRPr="007530F9" w:rsidRDefault="00E97D41" w:rsidP="00E97D41">
            <w:pPr>
              <w:widowControl/>
              <w:autoSpaceDE/>
              <w:autoSpaceDN/>
              <w:adjustRightInd/>
              <w:rPr>
                <w:rFonts w:asciiTheme="minorHAnsi" w:hAnsiTheme="minorHAnsi" w:cstheme="minorHAnsi"/>
                <w:color w:val="000000" w:themeColor="text1"/>
              </w:rPr>
            </w:pPr>
            <w:r w:rsidRPr="007530F9">
              <w:rPr>
                <w:rStyle w:val="normaltextrun"/>
                <w:rFonts w:asciiTheme="minorHAnsi" w:hAnsiTheme="minorHAnsi" w:cstheme="minorHAnsi"/>
              </w:rPr>
              <w:t>Not Applicable</w:t>
            </w:r>
            <w:r w:rsidRPr="007530F9">
              <w:rPr>
                <w:rStyle w:val="eop"/>
                <w:rFonts w:asciiTheme="minorHAnsi" w:hAnsiTheme="minorHAnsi" w:cstheme="minorHAnsi"/>
              </w:rPr>
              <w:t> </w:t>
            </w:r>
          </w:p>
        </w:tc>
        <w:tc>
          <w:tcPr>
            <w:tcW w:w="2790" w:type="dxa"/>
          </w:tcPr>
          <w:p w14:paraId="0A4F74D6" w14:textId="1181169B" w:rsidR="00E97D41" w:rsidRPr="007530F9" w:rsidRDefault="00E97D41" w:rsidP="00E97D41">
            <w:pPr>
              <w:widowControl/>
              <w:autoSpaceDE/>
              <w:autoSpaceDN/>
              <w:adjustRightInd/>
              <w:rPr>
                <w:rFonts w:asciiTheme="minorHAnsi" w:hAnsiTheme="minorHAnsi" w:cstheme="minorHAnsi"/>
              </w:rPr>
            </w:pPr>
            <w:r w:rsidRPr="007530F9">
              <w:rPr>
                <w:rStyle w:val="normaltextrun"/>
                <w:rFonts w:asciiTheme="minorHAnsi" w:hAnsiTheme="minorHAnsi" w:cstheme="minorHAnsi"/>
                <w:color w:val="000000"/>
              </w:rPr>
              <w:t>FY 2024-OB-01</w:t>
            </w:r>
          </w:p>
        </w:tc>
        <w:tc>
          <w:tcPr>
            <w:tcW w:w="3275" w:type="dxa"/>
          </w:tcPr>
          <w:p w14:paraId="2541E89F" w14:textId="3B9E6418" w:rsidR="00E97D41" w:rsidRPr="007530F9" w:rsidRDefault="00E97D41" w:rsidP="00E97D41">
            <w:pPr>
              <w:rPr>
                <w:rFonts w:asciiTheme="minorHAnsi" w:hAnsiTheme="minorHAnsi" w:cstheme="minorHAnsi"/>
              </w:rPr>
            </w:pPr>
            <w:r w:rsidRPr="007530F9">
              <w:rPr>
                <w:rStyle w:val="normaltextrun"/>
                <w:rFonts w:asciiTheme="minorHAnsi" w:hAnsiTheme="minorHAnsi" w:cstheme="minorHAnsi"/>
              </w:rPr>
              <w:t>ADOSH’s serious, willful, repeated, and unclassified (SWRU) violations per inspection rate was 1.15 (SAMM 5a) and below the FRL range of 1.39 to 2.08.</w:t>
            </w:r>
            <w:r w:rsidRPr="007530F9">
              <w:rPr>
                <w:rStyle w:val="eop"/>
                <w:rFonts w:asciiTheme="minorHAnsi" w:hAnsiTheme="minorHAnsi" w:cstheme="minorHAnsi"/>
              </w:rPr>
              <w:t> </w:t>
            </w:r>
          </w:p>
        </w:tc>
        <w:tc>
          <w:tcPr>
            <w:tcW w:w="3295" w:type="dxa"/>
          </w:tcPr>
          <w:p w14:paraId="6C85DC0C" w14:textId="4672B0E7" w:rsidR="00E97D41" w:rsidRPr="007530F9" w:rsidRDefault="00E97D41" w:rsidP="00E97D41">
            <w:pPr>
              <w:rPr>
                <w:rFonts w:asciiTheme="minorHAnsi" w:hAnsiTheme="minorHAnsi" w:cstheme="minorHAnsi"/>
              </w:rPr>
            </w:pPr>
            <w:r w:rsidRPr="007530F9">
              <w:rPr>
                <w:rStyle w:val="normaltextrun"/>
                <w:rFonts w:asciiTheme="minorHAnsi" w:hAnsiTheme="minorHAnsi" w:cstheme="minorHAnsi"/>
              </w:rPr>
              <w:t>OSHA will monitor the SWRU violations per inspection rate to ensure they are within the FRL.</w:t>
            </w:r>
            <w:r w:rsidRPr="007530F9">
              <w:rPr>
                <w:rStyle w:val="eop"/>
                <w:rFonts w:asciiTheme="minorHAnsi" w:hAnsiTheme="minorHAnsi" w:cstheme="minorHAnsi"/>
              </w:rPr>
              <w:t> </w:t>
            </w:r>
          </w:p>
        </w:tc>
        <w:tc>
          <w:tcPr>
            <w:tcW w:w="1885" w:type="dxa"/>
          </w:tcPr>
          <w:p w14:paraId="6657B2B7" w14:textId="3885E589" w:rsidR="00E97D41" w:rsidRPr="007530F9" w:rsidRDefault="00E97D41" w:rsidP="00E97D41">
            <w:pPr>
              <w:rPr>
                <w:rFonts w:asciiTheme="minorHAnsi" w:hAnsiTheme="minorHAnsi" w:cstheme="minorHAnsi"/>
              </w:rPr>
            </w:pPr>
            <w:r w:rsidRPr="007530F9">
              <w:rPr>
                <w:rStyle w:val="normaltextrun"/>
                <w:rFonts w:asciiTheme="minorHAnsi" w:hAnsiTheme="minorHAnsi" w:cstheme="minorHAnsi"/>
              </w:rPr>
              <w:t>Closed</w:t>
            </w:r>
          </w:p>
        </w:tc>
      </w:tr>
    </w:tbl>
    <w:p w14:paraId="441E39CB" w14:textId="5F81455B" w:rsidR="00093D8C" w:rsidRPr="007D0823" w:rsidRDefault="00093D8C" w:rsidP="00093D8C">
      <w:pPr>
        <w:rPr>
          <w:rFonts w:asciiTheme="minorHAnsi" w:hAnsiTheme="minorHAnsi" w:cstheme="minorHAnsi"/>
        </w:rPr>
        <w:sectPr w:rsidR="00093D8C" w:rsidRPr="007D0823" w:rsidSect="00502BD4">
          <w:pgSz w:w="15840" w:h="12240" w:orient="landscape"/>
          <w:pgMar w:top="1440" w:right="1152" w:bottom="1440" w:left="1440" w:header="144" w:footer="720" w:gutter="0"/>
          <w:cols w:space="720"/>
          <w:titlePg/>
          <w:docGrid w:linePitch="360"/>
        </w:sectPr>
      </w:pPr>
    </w:p>
    <w:p w14:paraId="3B7966FB" w14:textId="2245F59B" w:rsidR="00792B81" w:rsidRPr="002F23C7" w:rsidRDefault="00792B81" w:rsidP="002F23C7">
      <w:pPr>
        <w:pStyle w:val="Heading2"/>
        <w:jc w:val="center"/>
        <w:rPr>
          <w:rFonts w:cstheme="minorHAnsi"/>
          <w:color w:val="auto"/>
          <w:sz w:val="28"/>
          <w:szCs w:val="28"/>
        </w:rPr>
      </w:pPr>
      <w:bookmarkStart w:id="59" w:name="Appexdix_C"/>
      <w:bookmarkStart w:id="60" w:name="_Toc118905019"/>
      <w:bookmarkStart w:id="61" w:name="_Toc128388239"/>
      <w:bookmarkStart w:id="62" w:name="_Toc160178426"/>
      <w:bookmarkStart w:id="63" w:name="_Toc225327069"/>
      <w:bookmarkEnd w:id="59"/>
      <w:r w:rsidRPr="002F23C7">
        <w:rPr>
          <w:sz w:val="28"/>
          <w:szCs w:val="28"/>
        </w:rPr>
        <w:lastRenderedPageBreak/>
        <w:t>Appendix C - Status of FY 202</w:t>
      </w:r>
      <w:r w:rsidR="003F71F5" w:rsidRPr="002F23C7">
        <w:rPr>
          <w:rFonts w:cstheme="minorHAnsi"/>
          <w:color w:val="auto"/>
          <w:sz w:val="28"/>
          <w:szCs w:val="28"/>
        </w:rPr>
        <w:t>4</w:t>
      </w:r>
      <w:r w:rsidRPr="002F23C7">
        <w:rPr>
          <w:rFonts w:cstheme="minorHAnsi"/>
          <w:color w:val="auto"/>
          <w:sz w:val="28"/>
          <w:szCs w:val="28"/>
        </w:rPr>
        <w:t xml:space="preserve"> Findings and Recommendations</w:t>
      </w:r>
      <w:bookmarkEnd w:id="60"/>
      <w:bookmarkEnd w:id="61"/>
      <w:bookmarkEnd w:id="62"/>
      <w:bookmarkEnd w:id="63"/>
    </w:p>
    <w:p w14:paraId="3B707B5C" w14:textId="4AF8E863" w:rsidR="00792B81" w:rsidRDefault="00792B81" w:rsidP="002F23C7">
      <w:pPr>
        <w:jc w:val="center"/>
        <w:rPr>
          <w:rFonts w:asciiTheme="minorHAnsi" w:hAnsiTheme="minorHAnsi" w:cstheme="minorHAnsi"/>
        </w:rPr>
      </w:pPr>
      <w:r w:rsidRPr="007D0823">
        <w:rPr>
          <w:rFonts w:asciiTheme="minorHAnsi" w:hAnsiTheme="minorHAnsi" w:cstheme="minorHAnsi"/>
        </w:rPr>
        <w:t>FY 202</w:t>
      </w:r>
      <w:r w:rsidR="005D3534">
        <w:rPr>
          <w:rFonts w:asciiTheme="minorHAnsi" w:hAnsiTheme="minorHAnsi" w:cstheme="minorHAnsi"/>
        </w:rPr>
        <w:t>5</w:t>
      </w:r>
      <w:r w:rsidRPr="007D0823">
        <w:rPr>
          <w:rFonts w:asciiTheme="minorHAnsi" w:hAnsiTheme="minorHAnsi" w:cstheme="minorHAnsi"/>
        </w:rPr>
        <w:t xml:space="preserve"> </w:t>
      </w:r>
      <w:r w:rsidRPr="007D0823">
        <w:rPr>
          <w:rFonts w:asciiTheme="minorHAnsi" w:hAnsiTheme="minorHAnsi" w:cstheme="minorHAnsi"/>
          <w:color w:val="000000" w:themeColor="text1"/>
        </w:rPr>
        <w:t xml:space="preserve">Arizona Division of Occupational Safety and Health </w:t>
      </w:r>
      <w:r w:rsidR="006E54BF" w:rsidRPr="007D0823">
        <w:rPr>
          <w:rFonts w:asciiTheme="minorHAnsi" w:hAnsiTheme="minorHAnsi" w:cstheme="minorHAnsi"/>
        </w:rPr>
        <w:t>Comprehensive FAME Report</w:t>
      </w:r>
    </w:p>
    <w:p w14:paraId="5C93E057" w14:textId="77777777" w:rsidR="0021121A" w:rsidRPr="007D0823" w:rsidRDefault="0021121A" w:rsidP="0099504B">
      <w:pPr>
        <w:rPr>
          <w:rFonts w:asciiTheme="minorHAnsi" w:hAnsiTheme="minorHAnsi" w:cstheme="minorHAnsi"/>
        </w:rPr>
      </w:pPr>
    </w:p>
    <w:tbl>
      <w:tblPr>
        <w:tblpPr w:leftFromText="180" w:rightFromText="180" w:vertAnchor="text" w:tblpY="1"/>
        <w:tblOverlap w:val="never"/>
        <w:tblW w:w="13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55"/>
        <w:gridCol w:w="2520"/>
        <w:gridCol w:w="2250"/>
        <w:gridCol w:w="4230"/>
        <w:gridCol w:w="1800"/>
        <w:gridCol w:w="1700"/>
      </w:tblGrid>
      <w:tr w:rsidR="00B323CE" w:rsidRPr="00502BD4" w14:paraId="68884B1C" w14:textId="77777777" w:rsidTr="00454B05">
        <w:trPr>
          <w:trHeight w:val="818"/>
        </w:trPr>
        <w:tc>
          <w:tcPr>
            <w:tcW w:w="1255" w:type="dxa"/>
          </w:tcPr>
          <w:p w14:paraId="68B4E4A6"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FY 2024-#</w:t>
            </w:r>
          </w:p>
        </w:tc>
        <w:tc>
          <w:tcPr>
            <w:tcW w:w="2520" w:type="dxa"/>
          </w:tcPr>
          <w:p w14:paraId="7EB4A717"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Finding</w:t>
            </w:r>
          </w:p>
        </w:tc>
        <w:tc>
          <w:tcPr>
            <w:tcW w:w="2250" w:type="dxa"/>
          </w:tcPr>
          <w:p w14:paraId="737B280C"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Recommendation</w:t>
            </w:r>
          </w:p>
        </w:tc>
        <w:tc>
          <w:tcPr>
            <w:tcW w:w="4230" w:type="dxa"/>
          </w:tcPr>
          <w:p w14:paraId="56BC3697"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 xml:space="preserve">State Plan Corrective Action </w:t>
            </w:r>
          </w:p>
        </w:tc>
        <w:tc>
          <w:tcPr>
            <w:tcW w:w="1800" w:type="dxa"/>
          </w:tcPr>
          <w:p w14:paraId="0D871DCB"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 xml:space="preserve">Completion Date </w:t>
            </w:r>
          </w:p>
          <w:p w14:paraId="138EAD8B"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(if Applicable)</w:t>
            </w:r>
          </w:p>
        </w:tc>
        <w:tc>
          <w:tcPr>
            <w:tcW w:w="1700" w:type="dxa"/>
          </w:tcPr>
          <w:p w14:paraId="63A47B32"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Current Status</w:t>
            </w:r>
          </w:p>
          <w:p w14:paraId="381714DE" w14:textId="77777777" w:rsidR="00B323CE" w:rsidRPr="00502BD4" w:rsidRDefault="00B323CE" w:rsidP="00AF4605">
            <w:pPr>
              <w:rPr>
                <w:rFonts w:asciiTheme="minorHAnsi" w:hAnsiTheme="minorHAnsi" w:cstheme="minorHAnsi"/>
                <w:b/>
                <w:sz w:val="22"/>
                <w:szCs w:val="22"/>
              </w:rPr>
            </w:pPr>
            <w:r w:rsidRPr="00502BD4">
              <w:rPr>
                <w:rFonts w:asciiTheme="minorHAnsi" w:hAnsiTheme="minorHAnsi" w:cstheme="minorHAnsi"/>
                <w:b/>
                <w:sz w:val="22"/>
                <w:szCs w:val="22"/>
              </w:rPr>
              <w:t>(and Date if Not Completed)</w:t>
            </w:r>
          </w:p>
        </w:tc>
      </w:tr>
      <w:tr w:rsidR="00B323CE" w:rsidRPr="00502BD4" w14:paraId="4D9A7BDC" w14:textId="77777777" w:rsidTr="00454B05">
        <w:trPr>
          <w:trHeight w:val="818"/>
        </w:trPr>
        <w:tc>
          <w:tcPr>
            <w:tcW w:w="1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FB64F6E"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FY 2024-01</w:t>
            </w:r>
          </w:p>
        </w:tc>
        <w:tc>
          <w:tcPr>
            <w:tcW w:w="25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0121C22"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ADOSH’s average number of workdays to initiate a complaint inspection was 43.12 (SAMM 1a), which was above the negotiated goal of 7. </w:t>
            </w:r>
          </w:p>
          <w:p w14:paraId="71CE10C7" w14:textId="77777777" w:rsidR="00B323CE" w:rsidRPr="00502BD4" w:rsidRDefault="00B323CE" w:rsidP="00AF4605">
            <w:pPr>
              <w:rPr>
                <w:rFonts w:asciiTheme="minorHAnsi" w:hAnsiTheme="minorHAnsi" w:cstheme="minorHAnsi"/>
                <w:sz w:val="22"/>
                <w:szCs w:val="22"/>
              </w:rPr>
            </w:pPr>
          </w:p>
        </w:tc>
        <w:tc>
          <w:tcPr>
            <w:tcW w:w="22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96686A0"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ADOSH should ensure complaint inspections are processed within the negotiated goal of seven workdays.</w:t>
            </w:r>
          </w:p>
        </w:tc>
        <w:tc>
          <w:tcPr>
            <w:tcW w:w="4230" w:type="dxa"/>
          </w:tcPr>
          <w:p w14:paraId="3D4763FE"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 negotiated complaint inspections to be initiated within a goal of 14 working days for serious hazards and 30 working days for other-than-serious hazards, as part of the new SAMMs. </w:t>
            </w:r>
          </w:p>
          <w:p w14:paraId="76D3E621" w14:textId="77777777" w:rsidR="00B323CE" w:rsidRPr="00502BD4" w:rsidRDefault="00B323CE" w:rsidP="00AF4605">
            <w:pPr>
              <w:rPr>
                <w:rFonts w:asciiTheme="minorHAnsi" w:hAnsiTheme="minorHAnsi" w:cstheme="minorHAnsi"/>
                <w:sz w:val="22"/>
                <w:szCs w:val="22"/>
              </w:rPr>
            </w:pPr>
          </w:p>
          <w:p w14:paraId="3A307E8B"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As of 05/01/2025, ADOSH implemented a system requiring weekly check-ins of the staging area to assess if resources are available to conduct the inspection within a reasonable amount of time. If the resources are not permitted, then the intake team is utilized to ensure the complaints are addressed in a timely manner. </w:t>
            </w:r>
          </w:p>
        </w:tc>
        <w:tc>
          <w:tcPr>
            <w:tcW w:w="1800" w:type="dxa"/>
          </w:tcPr>
          <w:p w14:paraId="71736C64"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Not Completed</w:t>
            </w:r>
          </w:p>
        </w:tc>
        <w:tc>
          <w:tcPr>
            <w:tcW w:w="1700" w:type="dxa"/>
          </w:tcPr>
          <w:p w14:paraId="7412269F"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Open </w:t>
            </w:r>
          </w:p>
          <w:p w14:paraId="776089FC" w14:textId="3BF43F0E" w:rsidR="00B323CE" w:rsidRPr="00502BD4" w:rsidRDefault="0020773C" w:rsidP="00AF4605">
            <w:pPr>
              <w:rPr>
                <w:rFonts w:asciiTheme="minorHAnsi" w:hAnsiTheme="minorHAnsi" w:cstheme="minorHAnsi"/>
                <w:sz w:val="22"/>
                <w:szCs w:val="22"/>
              </w:rPr>
            </w:pPr>
            <w:r w:rsidRPr="00502BD4">
              <w:rPr>
                <w:rFonts w:asciiTheme="minorHAnsi" w:hAnsiTheme="minorHAnsi" w:cstheme="minorHAnsi"/>
                <w:sz w:val="22"/>
                <w:szCs w:val="22"/>
              </w:rPr>
              <w:t>1/15/2026</w:t>
            </w:r>
          </w:p>
        </w:tc>
      </w:tr>
      <w:tr w:rsidR="00B323CE" w:rsidRPr="00502BD4" w14:paraId="0767F8AA" w14:textId="77777777" w:rsidTr="00454B05">
        <w:trPr>
          <w:trHeight w:val="818"/>
        </w:trPr>
        <w:tc>
          <w:tcPr>
            <w:tcW w:w="1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A8E95BE"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FY 2024-02</w:t>
            </w:r>
          </w:p>
        </w:tc>
        <w:tc>
          <w:tcPr>
            <w:tcW w:w="25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B13664E"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ADOSH’s response time to initiate complaint investigations was 111.20 days (SAMM 2a), which was above the negotiated goal of 3 working days. </w:t>
            </w:r>
          </w:p>
          <w:p w14:paraId="02486E5E" w14:textId="77777777" w:rsidR="00B323CE" w:rsidRPr="00502BD4" w:rsidRDefault="00B323CE" w:rsidP="00AF4605">
            <w:pPr>
              <w:rPr>
                <w:rFonts w:asciiTheme="minorHAnsi" w:hAnsiTheme="minorHAnsi" w:cstheme="minorHAnsi"/>
                <w:sz w:val="22"/>
                <w:szCs w:val="22"/>
              </w:rPr>
            </w:pPr>
          </w:p>
        </w:tc>
        <w:tc>
          <w:tcPr>
            <w:tcW w:w="22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FBED02F"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ADOSH should ensure complaint investigations are initiated within the negotiated goal of three working days.</w:t>
            </w:r>
          </w:p>
        </w:tc>
        <w:tc>
          <w:tcPr>
            <w:tcW w:w="4230" w:type="dxa"/>
          </w:tcPr>
          <w:p w14:paraId="46457238"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 negotiated complaint investigations to be initiated within a goal of 5 workdays for serious hazards and 10 </w:t>
            </w:r>
            <w:proofErr w:type="gramStart"/>
            <w:r w:rsidRPr="00502BD4">
              <w:rPr>
                <w:rFonts w:asciiTheme="minorHAnsi" w:hAnsiTheme="minorHAnsi" w:cstheme="minorHAnsi"/>
                <w:sz w:val="22"/>
                <w:szCs w:val="22"/>
              </w:rPr>
              <w:t>work days</w:t>
            </w:r>
            <w:proofErr w:type="gramEnd"/>
            <w:r w:rsidRPr="00502BD4">
              <w:rPr>
                <w:rFonts w:asciiTheme="minorHAnsi" w:hAnsiTheme="minorHAnsi" w:cstheme="minorHAnsi"/>
                <w:sz w:val="22"/>
                <w:szCs w:val="22"/>
              </w:rPr>
              <w:t xml:space="preserve"> for other-than-serious hazards.</w:t>
            </w:r>
          </w:p>
          <w:p w14:paraId="713BA256" w14:textId="77777777" w:rsidR="00B323CE" w:rsidRPr="00502BD4" w:rsidRDefault="00B323CE" w:rsidP="00AF4605">
            <w:pPr>
              <w:rPr>
                <w:rFonts w:asciiTheme="minorHAnsi" w:hAnsiTheme="minorHAnsi" w:cstheme="minorHAnsi"/>
                <w:sz w:val="22"/>
                <w:szCs w:val="22"/>
              </w:rPr>
            </w:pPr>
          </w:p>
          <w:p w14:paraId="17CFAED6"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 has an Intake Team that handles all complaint investigations. ADOSH created and hired two additional positions to assist the Intake Team. In addition, ADOSH is in the process of hiring an additional CSHO Technician to be on the Intake team to assist in these investigations. </w:t>
            </w:r>
          </w:p>
          <w:p w14:paraId="1573094F"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 is developing an A3 project (a </w:t>
            </w:r>
            <w:r w:rsidRPr="00502BD4">
              <w:rPr>
                <w:rFonts w:asciiTheme="minorHAnsi" w:hAnsiTheme="minorHAnsi" w:cstheme="minorHAnsi"/>
                <w:sz w:val="22"/>
                <w:szCs w:val="22"/>
              </w:rPr>
              <w:lastRenderedPageBreak/>
              <w:t xml:space="preserve">structured, one-page document used to analyze, solve, and improve processes or address problems within an organization) to ensure we are handling complaint investigations within the negotiated measures. The anticipated completion date is September 1, 2025. </w:t>
            </w:r>
          </w:p>
        </w:tc>
        <w:tc>
          <w:tcPr>
            <w:tcW w:w="1800" w:type="dxa"/>
          </w:tcPr>
          <w:p w14:paraId="7938CCB3"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lastRenderedPageBreak/>
              <w:t>Not Completed</w:t>
            </w:r>
          </w:p>
        </w:tc>
        <w:tc>
          <w:tcPr>
            <w:tcW w:w="1700" w:type="dxa"/>
          </w:tcPr>
          <w:p w14:paraId="1311E74A"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Open</w:t>
            </w:r>
          </w:p>
          <w:p w14:paraId="30E2C9E4" w14:textId="2423CF42" w:rsidR="00B323CE" w:rsidRPr="00502BD4" w:rsidRDefault="0020773C" w:rsidP="00AF4605">
            <w:pPr>
              <w:rPr>
                <w:rFonts w:asciiTheme="minorHAnsi" w:hAnsiTheme="minorHAnsi" w:cstheme="minorHAnsi"/>
                <w:sz w:val="22"/>
                <w:szCs w:val="22"/>
              </w:rPr>
            </w:pPr>
            <w:r w:rsidRPr="00502BD4">
              <w:rPr>
                <w:rFonts w:asciiTheme="minorHAnsi" w:hAnsiTheme="minorHAnsi" w:cstheme="minorHAnsi"/>
                <w:sz w:val="22"/>
                <w:szCs w:val="22"/>
              </w:rPr>
              <w:t>1/15/2026</w:t>
            </w:r>
          </w:p>
        </w:tc>
      </w:tr>
      <w:tr w:rsidR="00B323CE" w:rsidRPr="00502BD4" w14:paraId="4C0F5F0C" w14:textId="77777777" w:rsidTr="00454B05">
        <w:trPr>
          <w:trHeight w:val="818"/>
        </w:trPr>
        <w:tc>
          <w:tcPr>
            <w:tcW w:w="1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ABB3427"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FY 2024-03</w:t>
            </w:r>
          </w:p>
        </w:tc>
        <w:tc>
          <w:tcPr>
            <w:tcW w:w="25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ACC7DF5"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 total of 616 (52.42%) inspections of the goal of 1,175 were conducted (SAMM 7).</w:t>
            </w:r>
          </w:p>
          <w:p w14:paraId="5208E5E9" w14:textId="77777777" w:rsidR="00B323CE" w:rsidRPr="00502BD4" w:rsidRDefault="00B323CE" w:rsidP="00AF4605">
            <w:pPr>
              <w:rPr>
                <w:rFonts w:asciiTheme="minorHAnsi" w:hAnsiTheme="minorHAnsi" w:cstheme="minorHAnsi"/>
                <w:sz w:val="22"/>
                <w:szCs w:val="22"/>
              </w:rPr>
            </w:pPr>
          </w:p>
        </w:tc>
        <w:tc>
          <w:tcPr>
            <w:tcW w:w="22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A69078B"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ADOSH should determine the cause and ensure action is taken to meet inspection goals and provide a stronger enforcement presence to ensure worker safety.</w:t>
            </w:r>
          </w:p>
        </w:tc>
        <w:tc>
          <w:tcPr>
            <w:tcW w:w="4230" w:type="dxa"/>
          </w:tcPr>
          <w:p w14:paraId="6A53288D"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 xml:space="preserve">ADOSH has hired twelve positions. Additionally, ADOSH has created an internal training/onboarding program to reduce the time it takes for CSHOs to be released on their own. </w:t>
            </w:r>
          </w:p>
          <w:p w14:paraId="134786E3" w14:textId="77777777" w:rsidR="00B323CE" w:rsidRPr="00502BD4" w:rsidRDefault="00B323CE" w:rsidP="00AF4605">
            <w:pPr>
              <w:rPr>
                <w:rFonts w:asciiTheme="minorHAnsi" w:hAnsiTheme="minorHAnsi" w:cstheme="minorHAnsi"/>
                <w:strike/>
                <w:sz w:val="22"/>
                <w:szCs w:val="22"/>
              </w:rPr>
            </w:pPr>
          </w:p>
          <w:p w14:paraId="3A0E67E4"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ADOSH anticipates the average number of monthly inspections increasing in September 2025, with a significant increase in January 2026, based on the number of CSHOs in training.</w:t>
            </w:r>
          </w:p>
        </w:tc>
        <w:tc>
          <w:tcPr>
            <w:tcW w:w="1800" w:type="dxa"/>
          </w:tcPr>
          <w:p w14:paraId="55B45CDC"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Not Completed</w:t>
            </w:r>
          </w:p>
        </w:tc>
        <w:tc>
          <w:tcPr>
            <w:tcW w:w="1700" w:type="dxa"/>
          </w:tcPr>
          <w:p w14:paraId="035B4542"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Open</w:t>
            </w:r>
          </w:p>
          <w:p w14:paraId="5F7CA694" w14:textId="0CD2E248" w:rsidR="00B323CE" w:rsidRPr="00502BD4" w:rsidRDefault="0020773C" w:rsidP="00AF4605">
            <w:pPr>
              <w:rPr>
                <w:rFonts w:asciiTheme="minorHAnsi" w:hAnsiTheme="minorHAnsi" w:cstheme="minorHAnsi"/>
                <w:sz w:val="22"/>
                <w:szCs w:val="22"/>
              </w:rPr>
            </w:pPr>
            <w:r w:rsidRPr="00502BD4">
              <w:rPr>
                <w:rFonts w:asciiTheme="minorHAnsi" w:hAnsiTheme="minorHAnsi" w:cstheme="minorHAnsi"/>
                <w:sz w:val="22"/>
                <w:szCs w:val="22"/>
              </w:rPr>
              <w:t>1/15/2026</w:t>
            </w:r>
          </w:p>
        </w:tc>
      </w:tr>
      <w:tr w:rsidR="00B323CE" w:rsidRPr="00502BD4" w14:paraId="097D5730" w14:textId="77777777" w:rsidTr="00454B05">
        <w:trPr>
          <w:trHeight w:val="818"/>
        </w:trPr>
        <w:tc>
          <w:tcPr>
            <w:tcW w:w="1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4BE1CB0"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FY 2024-04</w:t>
            </w:r>
          </w:p>
        </w:tc>
        <w:tc>
          <w:tcPr>
            <w:tcW w:w="25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C5F50CD" w14:textId="77777777" w:rsidR="00B323CE" w:rsidRPr="00502BD4" w:rsidRDefault="00B323CE" w:rsidP="00AF4605">
            <w:pPr>
              <w:tabs>
                <w:tab w:val="center" w:pos="270"/>
                <w:tab w:val="left" w:pos="360"/>
              </w:tabs>
              <w:rPr>
                <w:rFonts w:asciiTheme="minorHAnsi" w:hAnsiTheme="minorHAnsi" w:cstheme="minorHAnsi"/>
                <w:sz w:val="22"/>
                <w:szCs w:val="22"/>
              </w:rPr>
            </w:pPr>
            <w:r w:rsidRPr="00502BD4">
              <w:rPr>
                <w:rFonts w:asciiTheme="minorHAnsi" w:hAnsiTheme="minorHAnsi" w:cstheme="minorHAnsi"/>
                <w:sz w:val="22"/>
                <w:szCs w:val="22"/>
              </w:rPr>
              <w:t>In FY 2023, abatement documentation was missing in 6 of 39 (15.38%) case files.</w:t>
            </w:r>
          </w:p>
          <w:p w14:paraId="3FAB792D" w14:textId="77777777" w:rsidR="00B323CE" w:rsidRPr="00502BD4" w:rsidRDefault="00B323CE" w:rsidP="00AF4605">
            <w:pPr>
              <w:rPr>
                <w:rFonts w:asciiTheme="minorHAnsi" w:hAnsiTheme="minorHAnsi" w:cstheme="minorHAnsi"/>
                <w:sz w:val="22"/>
                <w:szCs w:val="22"/>
              </w:rPr>
            </w:pPr>
          </w:p>
        </w:tc>
        <w:tc>
          <w:tcPr>
            <w:tcW w:w="22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0548FBC"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ADOSH should ensure all abatement documentation is maintained in the file. Corrective action complete, awaiting verification.</w:t>
            </w:r>
          </w:p>
        </w:tc>
        <w:tc>
          <w:tcPr>
            <w:tcW w:w="4230" w:type="dxa"/>
          </w:tcPr>
          <w:p w14:paraId="371AF7B7"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ADOSH has implemented monthly audits required by supervisors that includes ensuring required abatement documentation is in the file. Additionally, compliance officers have been given training to ensure they are aware of the expectations. Supervisors have been given training on the file closing out process, which includes checking for abatement documentation prior to closing a file.</w:t>
            </w:r>
          </w:p>
        </w:tc>
        <w:tc>
          <w:tcPr>
            <w:tcW w:w="1800" w:type="dxa"/>
          </w:tcPr>
          <w:p w14:paraId="209DE7D9" w14:textId="77777777" w:rsidR="00B323CE" w:rsidRPr="00502BD4" w:rsidRDefault="00B323CE" w:rsidP="00AF4605">
            <w:pPr>
              <w:rPr>
                <w:rFonts w:asciiTheme="minorHAnsi" w:hAnsiTheme="minorHAnsi" w:cstheme="minorHAnsi"/>
                <w:sz w:val="22"/>
                <w:szCs w:val="22"/>
              </w:rPr>
            </w:pPr>
            <w:r w:rsidRPr="00502BD4">
              <w:rPr>
                <w:rFonts w:asciiTheme="minorHAnsi" w:hAnsiTheme="minorHAnsi" w:cstheme="minorHAnsi"/>
                <w:sz w:val="22"/>
                <w:szCs w:val="22"/>
              </w:rPr>
              <w:t>11/19/2024</w:t>
            </w:r>
          </w:p>
        </w:tc>
        <w:tc>
          <w:tcPr>
            <w:tcW w:w="1700" w:type="dxa"/>
          </w:tcPr>
          <w:p w14:paraId="39867D6F" w14:textId="2F3A2DFA" w:rsidR="00B323CE" w:rsidRPr="00502BD4" w:rsidRDefault="00206EC6" w:rsidP="00AF4605">
            <w:pPr>
              <w:rPr>
                <w:rFonts w:asciiTheme="minorHAnsi" w:hAnsiTheme="minorHAnsi" w:cstheme="minorHAnsi"/>
                <w:sz w:val="22"/>
                <w:szCs w:val="22"/>
              </w:rPr>
            </w:pPr>
            <w:r w:rsidRPr="00502BD4">
              <w:rPr>
                <w:rFonts w:asciiTheme="minorHAnsi" w:hAnsiTheme="minorHAnsi" w:cstheme="minorHAnsi"/>
                <w:sz w:val="22"/>
                <w:szCs w:val="22"/>
              </w:rPr>
              <w:t>Completed 1/</w:t>
            </w:r>
            <w:r w:rsidR="00893D21" w:rsidRPr="00502BD4">
              <w:rPr>
                <w:rFonts w:asciiTheme="minorHAnsi" w:hAnsiTheme="minorHAnsi" w:cstheme="minorHAnsi"/>
                <w:sz w:val="22"/>
                <w:szCs w:val="22"/>
              </w:rPr>
              <w:t>9</w:t>
            </w:r>
            <w:r w:rsidRPr="00502BD4">
              <w:rPr>
                <w:rFonts w:asciiTheme="minorHAnsi" w:hAnsiTheme="minorHAnsi" w:cstheme="minorHAnsi"/>
                <w:sz w:val="22"/>
                <w:szCs w:val="22"/>
              </w:rPr>
              <w:t>/2026</w:t>
            </w:r>
          </w:p>
          <w:p w14:paraId="7786CD42" w14:textId="77777777" w:rsidR="00B323CE" w:rsidRPr="00502BD4" w:rsidRDefault="00B323CE" w:rsidP="00AF4605">
            <w:pPr>
              <w:rPr>
                <w:rFonts w:asciiTheme="minorHAnsi" w:hAnsiTheme="minorHAnsi" w:cstheme="minorHAnsi"/>
                <w:sz w:val="22"/>
                <w:szCs w:val="22"/>
              </w:rPr>
            </w:pPr>
          </w:p>
        </w:tc>
      </w:tr>
    </w:tbl>
    <w:p w14:paraId="085C7BD6" w14:textId="589FC305" w:rsidR="001352DD" w:rsidRPr="007D0823" w:rsidRDefault="001352DD" w:rsidP="00792B81">
      <w:pPr>
        <w:widowControl/>
        <w:autoSpaceDE/>
        <w:autoSpaceDN/>
        <w:adjustRightInd/>
        <w:rPr>
          <w:rFonts w:asciiTheme="minorHAnsi" w:hAnsiTheme="minorHAnsi" w:cstheme="minorHAnsi"/>
          <w:iCs/>
          <w:color w:val="0070C0"/>
        </w:rPr>
      </w:pPr>
    </w:p>
    <w:p w14:paraId="04098A96" w14:textId="77777777" w:rsidR="001352DD" w:rsidRPr="007D0823" w:rsidRDefault="001352DD">
      <w:pPr>
        <w:widowControl/>
        <w:autoSpaceDE/>
        <w:autoSpaceDN/>
        <w:adjustRightInd/>
        <w:rPr>
          <w:rFonts w:asciiTheme="minorHAnsi" w:hAnsiTheme="minorHAnsi" w:cstheme="minorHAnsi"/>
          <w:iCs/>
          <w:color w:val="0070C0"/>
        </w:rPr>
      </w:pPr>
      <w:r w:rsidRPr="007D0823">
        <w:rPr>
          <w:rFonts w:asciiTheme="minorHAnsi" w:hAnsiTheme="minorHAnsi" w:cstheme="minorHAnsi"/>
          <w:iCs/>
          <w:color w:val="0070C0"/>
        </w:rPr>
        <w:br w:type="page"/>
      </w:r>
    </w:p>
    <w:p w14:paraId="77235DDF" w14:textId="77777777" w:rsidR="00792B81" w:rsidRPr="007D0823" w:rsidRDefault="00792B81" w:rsidP="00792B81">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Cs/>
        </w:rPr>
        <w:sectPr w:rsidR="00792B81" w:rsidRPr="007D0823" w:rsidSect="00502BD4">
          <w:headerReference w:type="even" r:id="rId19"/>
          <w:headerReference w:type="default" r:id="rId20"/>
          <w:headerReference w:type="first" r:id="rId21"/>
          <w:footerReference w:type="first" r:id="rId22"/>
          <w:pgSz w:w="15840" w:h="12240" w:orient="landscape"/>
          <w:pgMar w:top="1440" w:right="1152" w:bottom="1440" w:left="1440" w:header="0" w:footer="720" w:gutter="0"/>
          <w:cols w:space="720"/>
          <w:docGrid w:linePitch="360"/>
        </w:sectPr>
      </w:pPr>
    </w:p>
    <w:p w14:paraId="178C4D53" w14:textId="2645A5EB" w:rsidR="004D072C" w:rsidRPr="002F23C7" w:rsidRDefault="004D072C" w:rsidP="002F23C7">
      <w:pPr>
        <w:pStyle w:val="Heading2"/>
        <w:jc w:val="center"/>
        <w:rPr>
          <w:rFonts w:ascii="Calibri" w:hAnsi="Calibri" w:cs="Calibri"/>
          <w:b w:val="0"/>
          <w:sz w:val="28"/>
          <w:szCs w:val="28"/>
        </w:rPr>
      </w:pPr>
      <w:bookmarkStart w:id="64" w:name="Appexdix_D"/>
      <w:bookmarkStart w:id="65" w:name="_Toc119418672"/>
      <w:bookmarkStart w:id="66" w:name="_Toc160178427"/>
      <w:bookmarkStart w:id="67" w:name="_Toc225327070"/>
      <w:bookmarkEnd w:id="64"/>
      <w:r w:rsidRPr="002F23C7">
        <w:rPr>
          <w:rFonts w:cstheme="minorHAnsi"/>
          <w:sz w:val="28"/>
          <w:szCs w:val="28"/>
        </w:rPr>
        <w:lastRenderedPageBreak/>
        <w:t xml:space="preserve">Appendix D – </w:t>
      </w:r>
      <w:bookmarkStart w:id="68" w:name="_Hlk119349018"/>
      <w:r w:rsidRPr="002F23C7">
        <w:rPr>
          <w:rFonts w:cstheme="minorHAnsi"/>
          <w:sz w:val="28"/>
          <w:szCs w:val="28"/>
        </w:rPr>
        <w:t>FY 202</w:t>
      </w:r>
      <w:r w:rsidR="003F71F5" w:rsidRPr="002F23C7">
        <w:rPr>
          <w:rFonts w:cstheme="minorHAnsi"/>
          <w:sz w:val="28"/>
          <w:szCs w:val="28"/>
        </w:rPr>
        <w:t>5</w:t>
      </w:r>
      <w:r w:rsidRPr="002F23C7">
        <w:rPr>
          <w:rFonts w:cstheme="minorHAnsi"/>
          <w:sz w:val="28"/>
          <w:szCs w:val="28"/>
        </w:rPr>
        <w:t xml:space="preserve"> State Activity Mandated Measures (SAMM) Report</w:t>
      </w:r>
      <w:bookmarkEnd w:id="65"/>
      <w:bookmarkEnd w:id="66"/>
      <w:bookmarkEnd w:id="67"/>
      <w:bookmarkEnd w:id="68"/>
    </w:p>
    <w:p w14:paraId="7C7F3833" w14:textId="27FE8EDD" w:rsidR="004D072C" w:rsidRPr="007D0823" w:rsidRDefault="004D072C" w:rsidP="002F23C7">
      <w:pPr>
        <w:tabs>
          <w:tab w:val="center" w:pos="4680"/>
          <w:tab w:val="right" w:pos="9360"/>
        </w:tabs>
        <w:jc w:val="center"/>
        <w:rPr>
          <w:rFonts w:ascii="Calibri" w:hAnsi="Calibri"/>
        </w:rPr>
      </w:pPr>
      <w:r w:rsidRPr="007D0823">
        <w:rPr>
          <w:rFonts w:ascii="Calibri" w:hAnsi="Calibri"/>
        </w:rPr>
        <w:t>FY 202</w:t>
      </w:r>
      <w:r w:rsidR="005D3534">
        <w:rPr>
          <w:rFonts w:ascii="Calibri" w:hAnsi="Calibri"/>
        </w:rPr>
        <w:t>5</w:t>
      </w:r>
      <w:r w:rsidRPr="007D0823">
        <w:rPr>
          <w:rFonts w:ascii="Calibri" w:hAnsi="Calibri"/>
        </w:rPr>
        <w:t xml:space="preserve"> </w:t>
      </w:r>
      <w:r w:rsidR="41A1070D" w:rsidRPr="007D0823">
        <w:rPr>
          <w:rFonts w:ascii="Calibri" w:hAnsi="Calibri"/>
        </w:rPr>
        <w:t xml:space="preserve">Arizona Division of Occupational Safety and Health </w:t>
      </w:r>
      <w:r w:rsidRPr="007D0823">
        <w:rPr>
          <w:rFonts w:ascii="Calibri" w:hAnsi="Calibri"/>
        </w:rPr>
        <w:t>Comprehensive FAME Report</w:t>
      </w:r>
    </w:p>
    <w:p w14:paraId="379BEE92" w14:textId="77777777" w:rsidR="004D072C" w:rsidRDefault="004D072C" w:rsidP="004D072C">
      <w:pPr>
        <w:widowControl/>
        <w:autoSpaceDE/>
        <w:autoSpaceDN/>
        <w:adjustRightInd/>
        <w:rPr>
          <w:rFonts w:ascii="Calibri" w:hAnsi="Calibri" w:cs="Calibri"/>
          <w:b/>
        </w:rPr>
      </w:pPr>
    </w:p>
    <w:tbl>
      <w:tblPr>
        <w:tblStyle w:val="TableGridLight"/>
        <w:tblW w:w="10350" w:type="dxa"/>
        <w:tblLook w:val="06A0" w:firstRow="1" w:lastRow="0" w:firstColumn="1" w:lastColumn="0" w:noHBand="1" w:noVBand="1"/>
        <w:tblCaption w:val="FY 20XX SAMM Report"/>
        <w:tblDescription w:val="Appendix D"/>
      </w:tblPr>
      <w:tblGrid>
        <w:gridCol w:w="1034"/>
        <w:gridCol w:w="2255"/>
        <w:gridCol w:w="1282"/>
        <w:gridCol w:w="1408"/>
        <w:gridCol w:w="4371"/>
      </w:tblGrid>
      <w:tr w:rsidR="00C55D86" w:rsidRPr="00E77ED4" w14:paraId="14249782" w14:textId="77777777" w:rsidTr="00D62332">
        <w:tc>
          <w:tcPr>
            <w:tcW w:w="1034" w:type="dxa"/>
          </w:tcPr>
          <w:p w14:paraId="648A019B" w14:textId="77777777" w:rsidR="00E77ED4" w:rsidRPr="00D62332"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D62332">
              <w:rPr>
                <w:rFonts w:asciiTheme="minorHAnsi" w:eastAsia="PMingLiU" w:hAnsiTheme="minorHAnsi" w:cstheme="minorHAnsi"/>
                <w:b/>
                <w:bCs/>
                <w:sz w:val="22"/>
                <w:szCs w:val="22"/>
              </w:rPr>
              <w:t>SAMM Number</w:t>
            </w:r>
          </w:p>
        </w:tc>
        <w:tc>
          <w:tcPr>
            <w:tcW w:w="2255" w:type="dxa"/>
          </w:tcPr>
          <w:p w14:paraId="1D6C76FF" w14:textId="77777777" w:rsidR="00E77ED4" w:rsidRPr="00D62332"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D62332">
              <w:rPr>
                <w:rFonts w:asciiTheme="minorHAnsi" w:eastAsia="PMingLiU" w:hAnsiTheme="minorHAnsi" w:cstheme="minorHAnsi"/>
                <w:b/>
                <w:bCs/>
                <w:sz w:val="22"/>
                <w:szCs w:val="22"/>
              </w:rPr>
              <w:t>SAMM Name</w:t>
            </w:r>
          </w:p>
        </w:tc>
        <w:tc>
          <w:tcPr>
            <w:tcW w:w="1282" w:type="dxa"/>
          </w:tcPr>
          <w:p w14:paraId="651DC663" w14:textId="77777777" w:rsidR="00E77ED4" w:rsidRPr="00D62332"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D62332">
              <w:rPr>
                <w:rFonts w:asciiTheme="minorHAnsi" w:eastAsia="PMingLiU" w:hAnsiTheme="minorHAnsi" w:cstheme="minorHAnsi"/>
                <w:b/>
                <w:bCs/>
                <w:sz w:val="22"/>
                <w:szCs w:val="22"/>
              </w:rPr>
              <w:t>State Plan Data</w:t>
            </w:r>
          </w:p>
        </w:tc>
        <w:tc>
          <w:tcPr>
            <w:tcW w:w="1408" w:type="dxa"/>
          </w:tcPr>
          <w:p w14:paraId="4250B52F" w14:textId="77777777" w:rsidR="00E77ED4" w:rsidRPr="00D62332"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D62332">
              <w:rPr>
                <w:rFonts w:asciiTheme="minorHAnsi" w:eastAsia="PMingLiU" w:hAnsiTheme="minorHAnsi" w:cstheme="minorHAnsi"/>
                <w:b/>
                <w:bCs/>
                <w:sz w:val="22"/>
                <w:szCs w:val="22"/>
              </w:rPr>
              <w:t>Further Review Level</w:t>
            </w:r>
          </w:p>
        </w:tc>
        <w:tc>
          <w:tcPr>
            <w:tcW w:w="4371" w:type="dxa"/>
          </w:tcPr>
          <w:p w14:paraId="2D439129" w14:textId="77777777" w:rsidR="00E77ED4" w:rsidRPr="00D62332"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D62332">
              <w:rPr>
                <w:rFonts w:asciiTheme="minorHAnsi" w:eastAsia="PMingLiU" w:hAnsiTheme="minorHAnsi" w:cstheme="minorHAnsi"/>
                <w:b/>
                <w:bCs/>
                <w:sz w:val="22"/>
                <w:szCs w:val="22"/>
              </w:rPr>
              <w:t>Notes</w:t>
            </w:r>
          </w:p>
        </w:tc>
      </w:tr>
      <w:tr w:rsidR="00C55D86" w:rsidRPr="00E77ED4" w14:paraId="27B9E3E7" w14:textId="77777777" w:rsidTr="00D62332">
        <w:tc>
          <w:tcPr>
            <w:tcW w:w="1034" w:type="dxa"/>
          </w:tcPr>
          <w:p w14:paraId="5AD4FFE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1a</w:t>
            </w:r>
          </w:p>
        </w:tc>
        <w:tc>
          <w:tcPr>
            <w:tcW w:w="2255" w:type="dxa"/>
          </w:tcPr>
          <w:p w14:paraId="3869810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1">
              <w:r w:rsidRPr="00E77ED4">
                <w:rPr>
                  <w:rFonts w:asciiTheme="minorHAnsi" w:hAnsiTheme="minorHAnsi" w:cstheme="minorHAnsi"/>
                  <w:color w:val="000000"/>
                  <w:sz w:val="22"/>
                  <w:szCs w:val="22"/>
                </w:rPr>
                <w:t>Average Number of Workdays to Initiate Serious Complaint Inspections (State Formula)</w:t>
              </w:r>
            </w:hyperlink>
          </w:p>
        </w:tc>
        <w:tc>
          <w:tcPr>
            <w:tcW w:w="1282" w:type="dxa"/>
          </w:tcPr>
          <w:p w14:paraId="4286DF8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41.25</w:t>
            </w:r>
          </w:p>
        </w:tc>
        <w:tc>
          <w:tcPr>
            <w:tcW w:w="1408" w:type="dxa"/>
          </w:tcPr>
          <w:p w14:paraId="4B3A018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14</w:t>
            </w:r>
          </w:p>
        </w:tc>
        <w:tc>
          <w:tcPr>
            <w:tcW w:w="4371" w:type="dxa"/>
          </w:tcPr>
          <w:p w14:paraId="0B5A715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negotiated by OSHA and the State Plan.</w:t>
            </w:r>
          </w:p>
        </w:tc>
      </w:tr>
      <w:tr w:rsidR="00C55D86" w:rsidRPr="00E77ED4" w14:paraId="112910E3" w14:textId="77777777" w:rsidTr="00D62332">
        <w:tc>
          <w:tcPr>
            <w:tcW w:w="1034" w:type="dxa"/>
          </w:tcPr>
          <w:p w14:paraId="2168E698"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1b</w:t>
            </w:r>
          </w:p>
        </w:tc>
        <w:tc>
          <w:tcPr>
            <w:tcW w:w="2255" w:type="dxa"/>
          </w:tcPr>
          <w:p w14:paraId="5063083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1" w:history="1">
              <w:r w:rsidRPr="00E77ED4">
                <w:rPr>
                  <w:rFonts w:asciiTheme="minorHAnsi" w:hAnsiTheme="minorHAnsi" w:cstheme="minorHAnsi"/>
                  <w:color w:val="000000"/>
                  <w:sz w:val="22"/>
                  <w:szCs w:val="22"/>
                </w:rPr>
                <w:t>Average Number of Workdays to</w:t>
              </w:r>
              <w:r w:rsidRPr="00E77ED4" w:rsidDel="003E70D0">
                <w:rPr>
                  <w:rFonts w:asciiTheme="minorHAnsi" w:hAnsiTheme="minorHAnsi" w:cstheme="minorHAnsi"/>
                  <w:color w:val="000000"/>
                  <w:sz w:val="22"/>
                  <w:szCs w:val="22"/>
                </w:rPr>
                <w:t xml:space="preserve"> </w:t>
              </w:r>
              <w:r w:rsidRPr="00E77ED4">
                <w:rPr>
                  <w:rFonts w:asciiTheme="minorHAnsi" w:hAnsiTheme="minorHAnsi" w:cstheme="minorHAnsi"/>
                  <w:color w:val="000000"/>
                  <w:sz w:val="22"/>
                  <w:szCs w:val="22"/>
                </w:rPr>
                <w:t xml:space="preserve">Initiate </w:t>
              </w:r>
              <w:r w:rsidRPr="00E77ED4">
                <w:rPr>
                  <w:rFonts w:asciiTheme="minorHAnsi" w:hAnsiTheme="minorHAnsi" w:cstheme="minorHAnsi"/>
                  <w:bCs/>
                  <w:color w:val="000000"/>
                  <w:sz w:val="22"/>
                  <w:szCs w:val="22"/>
                </w:rPr>
                <w:t>Other-than-Serious Complaint Inspections (State Formula)</w:t>
              </w:r>
            </w:hyperlink>
          </w:p>
        </w:tc>
        <w:tc>
          <w:tcPr>
            <w:tcW w:w="1282" w:type="dxa"/>
          </w:tcPr>
          <w:p w14:paraId="0240271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55.21</w:t>
            </w:r>
          </w:p>
        </w:tc>
        <w:tc>
          <w:tcPr>
            <w:tcW w:w="1408" w:type="dxa"/>
          </w:tcPr>
          <w:p w14:paraId="72294F49"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30</w:t>
            </w:r>
          </w:p>
        </w:tc>
        <w:tc>
          <w:tcPr>
            <w:tcW w:w="4371" w:type="dxa"/>
          </w:tcPr>
          <w:p w14:paraId="35D395DD"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negotiated by OSHA and the State Plan.</w:t>
            </w:r>
          </w:p>
        </w:tc>
      </w:tr>
      <w:tr w:rsidR="00C55D86" w:rsidRPr="00E77ED4" w14:paraId="6B423B95" w14:textId="77777777" w:rsidTr="00D62332">
        <w:trPr>
          <w:trHeight w:val="1448"/>
        </w:trPr>
        <w:tc>
          <w:tcPr>
            <w:tcW w:w="1034" w:type="dxa"/>
          </w:tcPr>
          <w:p w14:paraId="6F79808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1c*</w:t>
            </w:r>
          </w:p>
        </w:tc>
        <w:tc>
          <w:tcPr>
            <w:tcW w:w="2255" w:type="dxa"/>
          </w:tcPr>
          <w:p w14:paraId="2344670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 w:history="1">
              <w:r w:rsidRPr="00E77ED4">
                <w:rPr>
                  <w:rFonts w:asciiTheme="minorHAnsi" w:hAnsiTheme="minorHAnsi" w:cstheme="minorHAnsi"/>
                  <w:color w:val="000000"/>
                  <w:sz w:val="22"/>
                  <w:szCs w:val="22"/>
                </w:rPr>
                <w:t>Average Number of Workdays to</w:t>
              </w:r>
              <w:r w:rsidRPr="00E77ED4" w:rsidDel="003E70D0">
                <w:rPr>
                  <w:rFonts w:asciiTheme="minorHAnsi" w:hAnsiTheme="minorHAnsi" w:cstheme="minorHAnsi"/>
                  <w:color w:val="000000"/>
                  <w:sz w:val="22"/>
                  <w:szCs w:val="22"/>
                </w:rPr>
                <w:t xml:space="preserve"> </w:t>
              </w:r>
              <w:r w:rsidRPr="00E77ED4">
                <w:rPr>
                  <w:rFonts w:asciiTheme="minorHAnsi" w:hAnsiTheme="minorHAnsi" w:cstheme="minorHAnsi"/>
                  <w:color w:val="000000"/>
                  <w:sz w:val="22"/>
                  <w:szCs w:val="22"/>
                </w:rPr>
                <w:t xml:space="preserve">Initiate </w:t>
              </w:r>
              <w:r w:rsidRPr="00E77ED4">
                <w:rPr>
                  <w:rFonts w:asciiTheme="minorHAnsi" w:hAnsiTheme="minorHAnsi" w:cstheme="minorHAnsi"/>
                  <w:bCs/>
                  <w:color w:val="000000"/>
                  <w:sz w:val="22"/>
                  <w:szCs w:val="22"/>
                </w:rPr>
                <w:t>Serious Complaint Inspections (Federal Formula)</w:t>
              </w:r>
            </w:hyperlink>
          </w:p>
        </w:tc>
        <w:tc>
          <w:tcPr>
            <w:tcW w:w="1282" w:type="dxa"/>
          </w:tcPr>
          <w:p w14:paraId="1231430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1.66</w:t>
            </w:r>
          </w:p>
        </w:tc>
        <w:tc>
          <w:tcPr>
            <w:tcW w:w="1408" w:type="dxa"/>
          </w:tcPr>
          <w:p w14:paraId="06E4071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N/A</w:t>
            </w:r>
          </w:p>
        </w:tc>
        <w:tc>
          <w:tcPr>
            <w:tcW w:w="4371" w:type="dxa"/>
          </w:tcPr>
          <w:p w14:paraId="74F161C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This measure is for informational purposes only and is not a mandated measure.</w:t>
            </w:r>
          </w:p>
        </w:tc>
      </w:tr>
      <w:tr w:rsidR="00C55D86" w:rsidRPr="00E77ED4" w14:paraId="5502BD9E" w14:textId="77777777" w:rsidTr="00D62332">
        <w:trPr>
          <w:trHeight w:val="1493"/>
        </w:trPr>
        <w:tc>
          <w:tcPr>
            <w:tcW w:w="1034" w:type="dxa"/>
          </w:tcPr>
          <w:p w14:paraId="66F4A6D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1d*</w:t>
            </w:r>
          </w:p>
        </w:tc>
        <w:tc>
          <w:tcPr>
            <w:tcW w:w="2255" w:type="dxa"/>
          </w:tcPr>
          <w:p w14:paraId="52B216C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 w:history="1">
              <w:r w:rsidRPr="00E77ED4">
                <w:rPr>
                  <w:rFonts w:asciiTheme="minorHAnsi" w:hAnsiTheme="minorHAnsi" w:cstheme="minorHAnsi"/>
                  <w:color w:val="000000"/>
                  <w:sz w:val="22"/>
                  <w:szCs w:val="22"/>
                </w:rPr>
                <w:t xml:space="preserve">Average Number of Workdays to Initiate </w:t>
              </w:r>
              <w:r w:rsidRPr="00E77ED4">
                <w:rPr>
                  <w:rFonts w:asciiTheme="minorHAnsi" w:hAnsiTheme="minorHAnsi" w:cstheme="minorHAnsi"/>
                  <w:bCs/>
                  <w:color w:val="000000"/>
                  <w:sz w:val="22"/>
                  <w:szCs w:val="22"/>
                </w:rPr>
                <w:t>Other-than-Serious Complaint Inspections (Federal Formula)</w:t>
              </w:r>
            </w:hyperlink>
          </w:p>
        </w:tc>
        <w:tc>
          <w:tcPr>
            <w:tcW w:w="1282" w:type="dxa"/>
          </w:tcPr>
          <w:p w14:paraId="15205D09"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1.24</w:t>
            </w:r>
          </w:p>
        </w:tc>
        <w:tc>
          <w:tcPr>
            <w:tcW w:w="1408" w:type="dxa"/>
          </w:tcPr>
          <w:p w14:paraId="159DD11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N/A</w:t>
            </w:r>
          </w:p>
        </w:tc>
        <w:tc>
          <w:tcPr>
            <w:tcW w:w="4371" w:type="dxa"/>
          </w:tcPr>
          <w:p w14:paraId="626B9A1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This measure is for informational purposes only and is not a mandated measure.</w:t>
            </w:r>
          </w:p>
        </w:tc>
      </w:tr>
      <w:tr w:rsidR="00C55D86" w:rsidRPr="00E77ED4" w14:paraId="3C8EB23B" w14:textId="77777777" w:rsidTr="00D62332">
        <w:tc>
          <w:tcPr>
            <w:tcW w:w="1034" w:type="dxa"/>
          </w:tcPr>
          <w:p w14:paraId="653133C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2a</w:t>
            </w:r>
          </w:p>
        </w:tc>
        <w:tc>
          <w:tcPr>
            <w:tcW w:w="2255" w:type="dxa"/>
          </w:tcPr>
          <w:p w14:paraId="2B9B7FC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2" w:history="1">
              <w:r w:rsidRPr="00E77ED4">
                <w:rPr>
                  <w:rFonts w:asciiTheme="minorHAnsi" w:hAnsiTheme="minorHAnsi" w:cstheme="minorHAnsi"/>
                  <w:color w:val="000000"/>
                  <w:sz w:val="22"/>
                  <w:szCs w:val="22"/>
                </w:rPr>
                <w:t xml:space="preserve">Average Number of Workdays </w:t>
              </w:r>
              <w:r w:rsidRPr="00E77ED4">
                <w:rPr>
                  <w:rFonts w:asciiTheme="minorHAnsi" w:hAnsiTheme="minorHAnsi" w:cstheme="minorHAnsi"/>
                  <w:bCs/>
                  <w:color w:val="000000"/>
                  <w:sz w:val="22"/>
                  <w:szCs w:val="22"/>
                </w:rPr>
                <w:t xml:space="preserve">to Initiate Serious Complaint Investigations (State Formula) </w:t>
              </w:r>
            </w:hyperlink>
          </w:p>
        </w:tc>
        <w:tc>
          <w:tcPr>
            <w:tcW w:w="1282" w:type="dxa"/>
          </w:tcPr>
          <w:p w14:paraId="0780E6A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115.88</w:t>
            </w:r>
          </w:p>
        </w:tc>
        <w:tc>
          <w:tcPr>
            <w:tcW w:w="1408" w:type="dxa"/>
          </w:tcPr>
          <w:p w14:paraId="771C8E5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5</w:t>
            </w:r>
          </w:p>
        </w:tc>
        <w:tc>
          <w:tcPr>
            <w:tcW w:w="4371" w:type="dxa"/>
          </w:tcPr>
          <w:p w14:paraId="1D8CC5D8"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negotiated by OSHA and the State Plan.</w:t>
            </w:r>
          </w:p>
        </w:tc>
      </w:tr>
      <w:tr w:rsidR="00C55D86" w:rsidRPr="00E77ED4" w14:paraId="0E68B164" w14:textId="77777777" w:rsidTr="00D62332">
        <w:tc>
          <w:tcPr>
            <w:tcW w:w="1034" w:type="dxa"/>
          </w:tcPr>
          <w:p w14:paraId="4958553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2b</w:t>
            </w:r>
          </w:p>
        </w:tc>
        <w:tc>
          <w:tcPr>
            <w:tcW w:w="2255" w:type="dxa"/>
          </w:tcPr>
          <w:p w14:paraId="5CC9889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2" w:history="1">
              <w:r w:rsidRPr="00E77ED4">
                <w:rPr>
                  <w:rFonts w:asciiTheme="minorHAnsi" w:hAnsiTheme="minorHAnsi" w:cstheme="minorHAnsi"/>
                  <w:color w:val="000000"/>
                  <w:sz w:val="22"/>
                  <w:szCs w:val="22"/>
                </w:rPr>
                <w:t xml:space="preserve">Average Number of Workdays </w:t>
              </w:r>
              <w:r w:rsidRPr="00E77ED4">
                <w:rPr>
                  <w:rFonts w:asciiTheme="minorHAnsi" w:hAnsiTheme="minorHAnsi" w:cstheme="minorHAnsi"/>
                  <w:bCs/>
                  <w:color w:val="000000"/>
                  <w:sz w:val="22"/>
                  <w:szCs w:val="22"/>
                </w:rPr>
                <w:t xml:space="preserve">to Initiate Other-than-Serious Complaint Investigations (State Formula) </w:t>
              </w:r>
            </w:hyperlink>
          </w:p>
        </w:tc>
        <w:tc>
          <w:tcPr>
            <w:tcW w:w="1282" w:type="dxa"/>
          </w:tcPr>
          <w:p w14:paraId="3A8963B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118.97</w:t>
            </w:r>
          </w:p>
        </w:tc>
        <w:tc>
          <w:tcPr>
            <w:tcW w:w="1408" w:type="dxa"/>
          </w:tcPr>
          <w:p w14:paraId="43C2538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10</w:t>
            </w:r>
          </w:p>
        </w:tc>
        <w:tc>
          <w:tcPr>
            <w:tcW w:w="4371" w:type="dxa"/>
          </w:tcPr>
          <w:p w14:paraId="110BD7F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negotiated by OSHA and the State Plan.</w:t>
            </w:r>
          </w:p>
        </w:tc>
      </w:tr>
      <w:tr w:rsidR="00C55D86" w:rsidRPr="00E77ED4" w14:paraId="1AE2DBC6" w14:textId="77777777" w:rsidTr="00D62332">
        <w:trPr>
          <w:trHeight w:val="1484"/>
        </w:trPr>
        <w:tc>
          <w:tcPr>
            <w:tcW w:w="1034" w:type="dxa"/>
          </w:tcPr>
          <w:p w14:paraId="616A059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2c*</w:t>
            </w:r>
          </w:p>
        </w:tc>
        <w:tc>
          <w:tcPr>
            <w:tcW w:w="2255" w:type="dxa"/>
          </w:tcPr>
          <w:p w14:paraId="3B648D6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2" w:history="1">
              <w:r w:rsidRPr="00E77ED4">
                <w:rPr>
                  <w:rFonts w:asciiTheme="minorHAnsi" w:hAnsiTheme="minorHAnsi" w:cstheme="minorHAnsi"/>
                  <w:color w:val="000000"/>
                  <w:sz w:val="22"/>
                  <w:szCs w:val="22"/>
                </w:rPr>
                <w:t xml:space="preserve">Average Number of Workdays to Initiate </w:t>
              </w:r>
              <w:r w:rsidRPr="00E77ED4">
                <w:rPr>
                  <w:rFonts w:asciiTheme="minorHAnsi" w:hAnsiTheme="minorHAnsi" w:cstheme="minorHAnsi"/>
                  <w:bCs/>
                  <w:color w:val="000000"/>
                  <w:sz w:val="22"/>
                  <w:szCs w:val="22"/>
                </w:rPr>
                <w:t xml:space="preserve">Serious Complaint Investigations (Federal Formula) </w:t>
              </w:r>
            </w:hyperlink>
          </w:p>
        </w:tc>
        <w:tc>
          <w:tcPr>
            <w:tcW w:w="1282" w:type="dxa"/>
          </w:tcPr>
          <w:p w14:paraId="1B9085D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6.25</w:t>
            </w:r>
          </w:p>
        </w:tc>
        <w:tc>
          <w:tcPr>
            <w:tcW w:w="1408" w:type="dxa"/>
          </w:tcPr>
          <w:p w14:paraId="126AC35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N/A</w:t>
            </w:r>
          </w:p>
        </w:tc>
        <w:tc>
          <w:tcPr>
            <w:tcW w:w="4371" w:type="dxa"/>
          </w:tcPr>
          <w:p w14:paraId="24D5030D"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This measure is for informational purposes only and is not a mandated measure.</w:t>
            </w:r>
          </w:p>
        </w:tc>
      </w:tr>
      <w:tr w:rsidR="00C55D86" w:rsidRPr="00E77ED4" w14:paraId="1E42313F" w14:textId="77777777" w:rsidTr="00D62332">
        <w:trPr>
          <w:trHeight w:val="1799"/>
        </w:trPr>
        <w:tc>
          <w:tcPr>
            <w:tcW w:w="1034" w:type="dxa"/>
          </w:tcPr>
          <w:p w14:paraId="0C15EA7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lastRenderedPageBreak/>
              <w:t>2d*</w:t>
            </w:r>
          </w:p>
        </w:tc>
        <w:tc>
          <w:tcPr>
            <w:tcW w:w="2255" w:type="dxa"/>
          </w:tcPr>
          <w:p w14:paraId="3FCF844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2" w:history="1">
              <w:r w:rsidRPr="00E77ED4">
                <w:rPr>
                  <w:rFonts w:asciiTheme="minorHAnsi" w:hAnsiTheme="minorHAnsi" w:cstheme="minorHAnsi"/>
                  <w:color w:val="000000"/>
                  <w:sz w:val="22"/>
                  <w:szCs w:val="22"/>
                </w:rPr>
                <w:t>Average Number of Workdays to</w:t>
              </w:r>
              <w:r w:rsidRPr="00E77ED4">
                <w:rPr>
                  <w:rFonts w:asciiTheme="minorHAnsi" w:hAnsiTheme="minorHAnsi" w:cstheme="minorHAnsi"/>
                  <w:bCs/>
                  <w:color w:val="000000"/>
                  <w:sz w:val="22"/>
                  <w:szCs w:val="22"/>
                </w:rPr>
                <w:t xml:space="preserve"> Initiate Other-than-Serious Complaint Investigations (Federal Formula)</w:t>
              </w:r>
            </w:hyperlink>
          </w:p>
        </w:tc>
        <w:tc>
          <w:tcPr>
            <w:tcW w:w="1282" w:type="dxa"/>
          </w:tcPr>
          <w:p w14:paraId="1713985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15.97</w:t>
            </w:r>
          </w:p>
        </w:tc>
        <w:tc>
          <w:tcPr>
            <w:tcW w:w="1408" w:type="dxa"/>
          </w:tcPr>
          <w:p w14:paraId="65C788E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N/A</w:t>
            </w:r>
          </w:p>
        </w:tc>
        <w:tc>
          <w:tcPr>
            <w:tcW w:w="4371" w:type="dxa"/>
          </w:tcPr>
          <w:p w14:paraId="32DB330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This measure is for informational purposes only and is not a mandated measure.</w:t>
            </w:r>
          </w:p>
        </w:tc>
      </w:tr>
      <w:tr w:rsidR="00C55D86" w:rsidRPr="00E77ED4" w14:paraId="6C780487" w14:textId="77777777" w:rsidTr="00D62332">
        <w:tc>
          <w:tcPr>
            <w:tcW w:w="1034" w:type="dxa"/>
          </w:tcPr>
          <w:p w14:paraId="6C68083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3</w:t>
            </w:r>
          </w:p>
        </w:tc>
        <w:tc>
          <w:tcPr>
            <w:tcW w:w="2255" w:type="dxa"/>
          </w:tcPr>
          <w:p w14:paraId="6E10070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3" w:history="1">
              <w:r w:rsidRPr="00E77ED4">
                <w:rPr>
                  <w:rFonts w:asciiTheme="minorHAnsi" w:hAnsiTheme="minorHAnsi" w:cstheme="minorHAnsi"/>
                  <w:color w:val="000000"/>
                  <w:sz w:val="22"/>
                  <w:szCs w:val="22"/>
                </w:rPr>
                <w:t>Percent of Imminent</w:t>
              </w:r>
              <w:r w:rsidRPr="00E77ED4">
                <w:rPr>
                  <w:rFonts w:asciiTheme="minorHAnsi" w:hAnsiTheme="minorHAnsi" w:cstheme="minorHAnsi"/>
                  <w:bCs/>
                  <w:color w:val="000000"/>
                  <w:sz w:val="22"/>
                  <w:szCs w:val="22"/>
                </w:rPr>
                <w:t xml:space="preserve"> Danger Complaints and Referrals responded to within One Workday</w:t>
              </w:r>
            </w:hyperlink>
          </w:p>
        </w:tc>
        <w:tc>
          <w:tcPr>
            <w:tcW w:w="1282" w:type="dxa"/>
          </w:tcPr>
          <w:p w14:paraId="77E9E09E" w14:textId="57BD55AE" w:rsidR="00E77ED4" w:rsidRPr="00E77ED4" w:rsidRDefault="00E64F07"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hAnsiTheme="minorHAnsi" w:cstheme="minorHAnsi"/>
                <w:sz w:val="22"/>
                <w:szCs w:val="22"/>
              </w:rPr>
              <w:t>N/A</w:t>
            </w:r>
          </w:p>
        </w:tc>
        <w:tc>
          <w:tcPr>
            <w:tcW w:w="1408" w:type="dxa"/>
          </w:tcPr>
          <w:p w14:paraId="625B083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100%</w:t>
            </w:r>
          </w:p>
        </w:tc>
        <w:tc>
          <w:tcPr>
            <w:tcW w:w="4371" w:type="dxa"/>
          </w:tcPr>
          <w:p w14:paraId="5956A80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fixed for all State Plans.</w:t>
            </w:r>
          </w:p>
        </w:tc>
      </w:tr>
      <w:tr w:rsidR="00C55D86" w:rsidRPr="00E77ED4" w14:paraId="74E2251F" w14:textId="77777777" w:rsidTr="00D62332">
        <w:tc>
          <w:tcPr>
            <w:tcW w:w="1034" w:type="dxa"/>
          </w:tcPr>
          <w:p w14:paraId="5352AAE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4</w:t>
            </w:r>
          </w:p>
        </w:tc>
        <w:tc>
          <w:tcPr>
            <w:tcW w:w="2255" w:type="dxa"/>
          </w:tcPr>
          <w:p w14:paraId="25731D2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4" w:history="1">
              <w:r w:rsidRPr="00E77ED4">
                <w:rPr>
                  <w:rFonts w:asciiTheme="minorHAnsi" w:hAnsiTheme="minorHAnsi" w:cstheme="minorHAnsi"/>
                  <w:color w:val="000000"/>
                  <w:sz w:val="22"/>
                  <w:szCs w:val="22"/>
                </w:rPr>
                <w:t>Number of Denials where Entry Not Obtained</w:t>
              </w:r>
            </w:hyperlink>
          </w:p>
        </w:tc>
        <w:tc>
          <w:tcPr>
            <w:tcW w:w="1282" w:type="dxa"/>
          </w:tcPr>
          <w:p w14:paraId="4C318A8D"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0</w:t>
            </w:r>
          </w:p>
        </w:tc>
        <w:tc>
          <w:tcPr>
            <w:tcW w:w="1408" w:type="dxa"/>
          </w:tcPr>
          <w:p w14:paraId="239D1DF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0</w:t>
            </w:r>
          </w:p>
        </w:tc>
        <w:tc>
          <w:tcPr>
            <w:tcW w:w="4371" w:type="dxa"/>
          </w:tcPr>
          <w:p w14:paraId="5D933EE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fixed for all State Plans.</w:t>
            </w:r>
          </w:p>
        </w:tc>
      </w:tr>
      <w:tr w:rsidR="00C55D86" w:rsidRPr="00E77ED4" w14:paraId="14254C92" w14:textId="77777777" w:rsidTr="00D62332">
        <w:trPr>
          <w:trHeight w:val="854"/>
        </w:trPr>
        <w:tc>
          <w:tcPr>
            <w:tcW w:w="1034" w:type="dxa"/>
          </w:tcPr>
          <w:p w14:paraId="22B70F59"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5a</w:t>
            </w:r>
          </w:p>
        </w:tc>
        <w:tc>
          <w:tcPr>
            <w:tcW w:w="2255" w:type="dxa"/>
          </w:tcPr>
          <w:p w14:paraId="63D4913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5" w:history="1">
              <w:r w:rsidRPr="00E77ED4">
                <w:rPr>
                  <w:rFonts w:asciiTheme="minorHAnsi" w:hAnsiTheme="minorHAnsi" w:cstheme="minorHAnsi"/>
                  <w:color w:val="000000"/>
                  <w:sz w:val="22"/>
                  <w:szCs w:val="22"/>
                </w:rPr>
                <w:t>Average Number of Serious/Willful/Repeat Violations per Inspection with Violations</w:t>
              </w:r>
            </w:hyperlink>
          </w:p>
        </w:tc>
        <w:tc>
          <w:tcPr>
            <w:tcW w:w="1282" w:type="dxa"/>
          </w:tcPr>
          <w:p w14:paraId="6CD2BFB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1.47</w:t>
            </w:r>
          </w:p>
        </w:tc>
        <w:tc>
          <w:tcPr>
            <w:tcW w:w="1408" w:type="dxa"/>
          </w:tcPr>
          <w:p w14:paraId="6C10E0A9" w14:textId="77777777" w:rsidR="00E77ED4" w:rsidRPr="00E77ED4" w:rsidRDefault="00E77ED4" w:rsidP="00E77ED4">
            <w:pPr>
              <w:widowControl/>
              <w:autoSpaceDE/>
              <w:autoSpaceDN/>
              <w:adjustRightInd/>
              <w:rPr>
                <w:rFonts w:asciiTheme="minorHAnsi" w:hAnsiTheme="minorHAnsi" w:cstheme="minorHAnsi"/>
                <w:color w:val="C45911"/>
                <w:sz w:val="22"/>
                <w:szCs w:val="22"/>
              </w:rPr>
            </w:pPr>
            <w:r w:rsidRPr="00E77ED4">
              <w:rPr>
                <w:rFonts w:asciiTheme="minorHAnsi" w:hAnsiTheme="minorHAnsi" w:cstheme="minorHAnsi"/>
                <w:sz w:val="22"/>
                <w:szCs w:val="22"/>
              </w:rPr>
              <w:t>- 20% of 1.72</w:t>
            </w:r>
          </w:p>
          <w:p w14:paraId="5E879ADE" w14:textId="77777777" w:rsidR="00E77ED4" w:rsidRPr="00E77ED4" w:rsidRDefault="00E77ED4" w:rsidP="00E77ED4">
            <w:pPr>
              <w:widowControl/>
              <w:autoSpaceDE/>
              <w:autoSpaceDN/>
              <w:adjustRightInd/>
              <w:rPr>
                <w:rFonts w:asciiTheme="minorHAnsi" w:hAnsiTheme="minorHAnsi" w:cstheme="minorHAnsi"/>
                <w:sz w:val="22"/>
                <w:szCs w:val="22"/>
              </w:rPr>
            </w:pPr>
          </w:p>
          <w:p w14:paraId="134D310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135DE4F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eastAsia="PMingLiU" w:hAnsiTheme="minorHAnsi" w:cstheme="minorHAnsi"/>
                <w:color w:val="000000"/>
                <w:sz w:val="22"/>
                <w:szCs w:val="22"/>
              </w:rPr>
              <w:t xml:space="preserve">The further review level is based on a three-year national average.  The minimum not requiring further review is 1.38. </w:t>
            </w:r>
          </w:p>
        </w:tc>
      </w:tr>
      <w:tr w:rsidR="00C55D86" w:rsidRPr="00E77ED4" w14:paraId="195C61B4" w14:textId="77777777" w:rsidTr="00D62332">
        <w:tc>
          <w:tcPr>
            <w:tcW w:w="1034" w:type="dxa"/>
          </w:tcPr>
          <w:p w14:paraId="75F72E0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5b</w:t>
            </w:r>
          </w:p>
        </w:tc>
        <w:tc>
          <w:tcPr>
            <w:tcW w:w="2255" w:type="dxa"/>
          </w:tcPr>
          <w:p w14:paraId="26AE2DE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5" w:history="1">
              <w:r w:rsidRPr="00E77ED4">
                <w:rPr>
                  <w:rFonts w:asciiTheme="minorHAnsi" w:hAnsiTheme="minorHAnsi" w:cstheme="minorHAnsi"/>
                  <w:color w:val="000000"/>
                  <w:sz w:val="22"/>
                  <w:szCs w:val="22"/>
                </w:rPr>
                <w:t>Average Number of Other-than-Serious Violations per Inspection with Violations</w:t>
              </w:r>
            </w:hyperlink>
          </w:p>
        </w:tc>
        <w:tc>
          <w:tcPr>
            <w:tcW w:w="1282" w:type="dxa"/>
          </w:tcPr>
          <w:p w14:paraId="0323723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1.35</w:t>
            </w:r>
          </w:p>
        </w:tc>
        <w:tc>
          <w:tcPr>
            <w:tcW w:w="1408" w:type="dxa"/>
          </w:tcPr>
          <w:p w14:paraId="01E0D75D" w14:textId="77777777" w:rsidR="00E77ED4" w:rsidRPr="00E77ED4" w:rsidRDefault="00E77ED4" w:rsidP="00E77ED4">
            <w:pPr>
              <w:widowControl/>
              <w:autoSpaceDE/>
              <w:autoSpaceDN/>
              <w:adjustRightInd/>
              <w:rPr>
                <w:rFonts w:asciiTheme="minorHAnsi" w:hAnsiTheme="minorHAnsi" w:cstheme="minorHAnsi"/>
                <w:color w:val="C45911"/>
                <w:sz w:val="22"/>
                <w:szCs w:val="22"/>
              </w:rPr>
            </w:pPr>
            <w:r w:rsidRPr="00E77ED4">
              <w:rPr>
                <w:rFonts w:asciiTheme="minorHAnsi" w:hAnsiTheme="minorHAnsi" w:cstheme="minorHAnsi"/>
                <w:sz w:val="22"/>
                <w:szCs w:val="22"/>
              </w:rPr>
              <w:t>- 20% of 0.95</w:t>
            </w:r>
          </w:p>
          <w:p w14:paraId="29B2AD2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46AA967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eastAsia="PMingLiU" w:hAnsiTheme="minorHAnsi" w:cstheme="minorHAnsi"/>
                <w:color w:val="000000"/>
                <w:sz w:val="22"/>
                <w:szCs w:val="22"/>
              </w:rPr>
              <w:t>The further review level is based on a three-year national average.  The minimum not requiring further review is 0.76.</w:t>
            </w:r>
          </w:p>
        </w:tc>
      </w:tr>
      <w:tr w:rsidR="00C55D86" w:rsidRPr="00E77ED4" w14:paraId="358ABC25" w14:textId="77777777" w:rsidTr="00D62332">
        <w:tc>
          <w:tcPr>
            <w:tcW w:w="1034" w:type="dxa"/>
          </w:tcPr>
          <w:p w14:paraId="081CE88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6</w:t>
            </w:r>
          </w:p>
        </w:tc>
        <w:tc>
          <w:tcPr>
            <w:tcW w:w="2255" w:type="dxa"/>
          </w:tcPr>
          <w:p w14:paraId="5810FDA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 xml:space="preserve">Percent of Total inspections in State and Local Government </w:t>
            </w:r>
          </w:p>
        </w:tc>
        <w:tc>
          <w:tcPr>
            <w:tcW w:w="1282" w:type="dxa"/>
          </w:tcPr>
          <w:p w14:paraId="1EDFA02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6.83%</w:t>
            </w:r>
          </w:p>
        </w:tc>
        <w:tc>
          <w:tcPr>
            <w:tcW w:w="1408" w:type="dxa"/>
          </w:tcPr>
          <w:p w14:paraId="040F994A"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w:t>
            </w:r>
          </w:p>
          <w:p w14:paraId="65786A4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Grant 8.00%</w:t>
            </w:r>
          </w:p>
        </w:tc>
        <w:tc>
          <w:tcPr>
            <w:tcW w:w="4371" w:type="dxa"/>
          </w:tcPr>
          <w:p w14:paraId="5792CB3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eastAsia="PMingLiU" w:hAnsiTheme="minorHAnsi" w:cstheme="minorHAnsi"/>
                <w:color w:val="000000"/>
                <w:sz w:val="22"/>
                <w:szCs w:val="22"/>
              </w:rPr>
              <w:t>The further review level is based on a number negotiated by OSHA and the State Plan through the grant application.  The minimum not requiring further review is 6.40%.</w:t>
            </w:r>
          </w:p>
        </w:tc>
      </w:tr>
      <w:tr w:rsidR="00C55D86" w:rsidRPr="00E77ED4" w14:paraId="3FD7E1C0" w14:textId="77777777" w:rsidTr="00D62332">
        <w:tc>
          <w:tcPr>
            <w:tcW w:w="1034" w:type="dxa"/>
          </w:tcPr>
          <w:p w14:paraId="2660B60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7a</w:t>
            </w:r>
          </w:p>
        </w:tc>
        <w:tc>
          <w:tcPr>
            <w:tcW w:w="2255" w:type="dxa"/>
          </w:tcPr>
          <w:p w14:paraId="673300A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7" w:history="1">
              <w:r w:rsidRPr="00E77ED4">
                <w:rPr>
                  <w:rFonts w:asciiTheme="minorHAnsi" w:hAnsiTheme="minorHAnsi" w:cstheme="minorHAnsi"/>
                  <w:color w:val="000000"/>
                  <w:sz w:val="22"/>
                  <w:szCs w:val="22"/>
                </w:rPr>
                <w:t>Number of Safety Inspections</w:t>
              </w:r>
            </w:hyperlink>
          </w:p>
        </w:tc>
        <w:tc>
          <w:tcPr>
            <w:tcW w:w="1282" w:type="dxa"/>
          </w:tcPr>
          <w:p w14:paraId="2AADF58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210</w:t>
            </w:r>
          </w:p>
        </w:tc>
        <w:tc>
          <w:tcPr>
            <w:tcW w:w="1408" w:type="dxa"/>
          </w:tcPr>
          <w:p w14:paraId="6EB0AEC7"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- 20% of </w:t>
            </w:r>
          </w:p>
          <w:p w14:paraId="0B2E02B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Grant 545</w:t>
            </w:r>
          </w:p>
        </w:tc>
        <w:tc>
          <w:tcPr>
            <w:tcW w:w="4371" w:type="dxa"/>
          </w:tcPr>
          <w:p w14:paraId="7F2B6BE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hAnsiTheme="minorHAnsi" w:cstheme="minorHAnsi"/>
                <w:color w:val="000000"/>
                <w:sz w:val="22"/>
                <w:szCs w:val="22"/>
              </w:rPr>
              <w:t xml:space="preserve">The further review level is based on a number negotiated by OSHA and the State Plan through the grant application.  </w:t>
            </w:r>
            <w:r w:rsidRPr="00E77ED4">
              <w:rPr>
                <w:rFonts w:asciiTheme="minorHAnsi" w:eastAsia="PMingLiU" w:hAnsiTheme="minorHAnsi" w:cstheme="minorHAnsi"/>
                <w:color w:val="000000"/>
                <w:sz w:val="22"/>
                <w:szCs w:val="22"/>
              </w:rPr>
              <w:t>The minimum not requiring further review is 436.</w:t>
            </w:r>
          </w:p>
        </w:tc>
      </w:tr>
      <w:tr w:rsidR="00C55D86" w:rsidRPr="00E77ED4" w14:paraId="5A1FAE22" w14:textId="77777777" w:rsidTr="00D62332">
        <w:tc>
          <w:tcPr>
            <w:tcW w:w="1034" w:type="dxa"/>
          </w:tcPr>
          <w:p w14:paraId="57FC526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7b</w:t>
            </w:r>
          </w:p>
        </w:tc>
        <w:tc>
          <w:tcPr>
            <w:tcW w:w="2255" w:type="dxa"/>
          </w:tcPr>
          <w:p w14:paraId="05F1F01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7" w:history="1">
              <w:r w:rsidRPr="00E77ED4">
                <w:rPr>
                  <w:rFonts w:asciiTheme="minorHAnsi" w:hAnsiTheme="minorHAnsi" w:cstheme="minorHAnsi"/>
                  <w:color w:val="000000"/>
                  <w:sz w:val="22"/>
                  <w:szCs w:val="22"/>
                </w:rPr>
                <w:t>Number of Health Inspections</w:t>
              </w:r>
            </w:hyperlink>
          </w:p>
        </w:tc>
        <w:tc>
          <w:tcPr>
            <w:tcW w:w="1282" w:type="dxa"/>
          </w:tcPr>
          <w:p w14:paraId="2D95794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68</w:t>
            </w:r>
          </w:p>
        </w:tc>
        <w:tc>
          <w:tcPr>
            <w:tcW w:w="1408" w:type="dxa"/>
          </w:tcPr>
          <w:p w14:paraId="5A5B66F9"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- 20% of </w:t>
            </w:r>
          </w:p>
          <w:p w14:paraId="7F8A3CC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Grant 205</w:t>
            </w:r>
          </w:p>
        </w:tc>
        <w:tc>
          <w:tcPr>
            <w:tcW w:w="4371" w:type="dxa"/>
          </w:tcPr>
          <w:p w14:paraId="754B058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hAnsiTheme="minorHAnsi" w:cstheme="minorHAnsi"/>
                <w:color w:val="000000"/>
                <w:sz w:val="22"/>
                <w:szCs w:val="22"/>
              </w:rPr>
              <w:t xml:space="preserve">The further review level is based on a number negotiated by OSHA and the State Plan through the grant application.  </w:t>
            </w:r>
            <w:r w:rsidRPr="00E77ED4">
              <w:rPr>
                <w:rFonts w:asciiTheme="minorHAnsi" w:eastAsia="PMingLiU" w:hAnsiTheme="minorHAnsi" w:cstheme="minorHAnsi"/>
                <w:color w:val="000000"/>
                <w:sz w:val="22"/>
                <w:szCs w:val="22"/>
              </w:rPr>
              <w:t>The minimum not requiring further review is 164.</w:t>
            </w:r>
          </w:p>
        </w:tc>
      </w:tr>
      <w:tr w:rsidR="00C55D86" w:rsidRPr="00E77ED4" w14:paraId="4CBC9AB6" w14:textId="77777777" w:rsidTr="00D62332">
        <w:tc>
          <w:tcPr>
            <w:tcW w:w="1034" w:type="dxa"/>
          </w:tcPr>
          <w:p w14:paraId="0C68411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8a</w:t>
            </w:r>
          </w:p>
        </w:tc>
        <w:tc>
          <w:tcPr>
            <w:tcW w:w="2255" w:type="dxa"/>
          </w:tcPr>
          <w:p w14:paraId="1695068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hyperlink w:anchor="Measure8" w:history="1">
              <w:r w:rsidRPr="00E77ED4">
                <w:rPr>
                  <w:rFonts w:asciiTheme="minorHAnsi" w:hAnsiTheme="minorHAnsi" w:cstheme="minorHAnsi"/>
                  <w:color w:val="000000"/>
                  <w:sz w:val="22"/>
                  <w:szCs w:val="22"/>
                </w:rPr>
                <w:t>Average Current Penalty per Private Sector Serious Violation Total (1 to greater than 250 workers)</w:t>
              </w:r>
            </w:hyperlink>
          </w:p>
        </w:tc>
        <w:tc>
          <w:tcPr>
            <w:tcW w:w="1282" w:type="dxa"/>
          </w:tcPr>
          <w:p w14:paraId="6E289C0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$5,870.64</w:t>
            </w:r>
          </w:p>
        </w:tc>
        <w:tc>
          <w:tcPr>
            <w:tcW w:w="1408" w:type="dxa"/>
          </w:tcPr>
          <w:p w14:paraId="26F74FE1"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- 25% of </w:t>
            </w:r>
          </w:p>
          <w:p w14:paraId="78C02435" w14:textId="77777777" w:rsidR="00E77ED4" w:rsidRPr="00E77ED4" w:rsidRDefault="00E77ED4" w:rsidP="00E77ED4">
            <w:pPr>
              <w:widowControl/>
              <w:autoSpaceDE/>
              <w:autoSpaceDN/>
              <w:adjustRightInd/>
              <w:rPr>
                <w:rFonts w:asciiTheme="minorHAnsi" w:eastAsia="PMingLiU" w:hAnsiTheme="minorHAnsi" w:cstheme="minorHAnsi"/>
                <w:color w:val="70AD47"/>
                <w:sz w:val="22"/>
                <w:szCs w:val="22"/>
              </w:rPr>
            </w:pPr>
            <w:r w:rsidRPr="00E77ED4">
              <w:rPr>
                <w:rFonts w:asciiTheme="minorHAnsi" w:eastAsia="PMingLiU" w:hAnsiTheme="minorHAnsi" w:cstheme="minorHAnsi"/>
                <w:sz w:val="22"/>
                <w:szCs w:val="22"/>
              </w:rPr>
              <w:t>$3,926.69</w:t>
            </w:r>
          </w:p>
          <w:p w14:paraId="7E39EB4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0F04F877" w14:textId="77777777" w:rsidR="00E77ED4" w:rsidRPr="00E77ED4" w:rsidRDefault="00E77ED4" w:rsidP="00E77ED4">
            <w:pPr>
              <w:tabs>
                <w:tab w:val="left" w:pos="2416"/>
              </w:tabs>
              <w:rPr>
                <w:rFonts w:asciiTheme="minorHAnsi" w:hAnsiTheme="minorHAnsi" w:cstheme="minorHAnsi"/>
                <w:color w:val="000000"/>
                <w:sz w:val="22"/>
                <w:szCs w:val="22"/>
              </w:rPr>
            </w:pPr>
            <w:r w:rsidRPr="00E77ED4">
              <w:rPr>
                <w:rFonts w:asciiTheme="minorHAnsi" w:hAnsiTheme="minorHAnsi" w:cstheme="minorHAnsi"/>
                <w:color w:val="000000"/>
                <w:sz w:val="22"/>
                <w:szCs w:val="22"/>
              </w:rPr>
              <w:t>The further review level is based on a three-year national average.  The minimum not requiring further review is $2,945.02.</w:t>
            </w:r>
          </w:p>
        </w:tc>
      </w:tr>
      <w:tr w:rsidR="00C55D86" w:rsidRPr="00E77ED4" w14:paraId="51055981" w14:textId="77777777" w:rsidTr="00D62332">
        <w:tc>
          <w:tcPr>
            <w:tcW w:w="1034" w:type="dxa"/>
          </w:tcPr>
          <w:p w14:paraId="7A881BC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8b</w:t>
            </w:r>
          </w:p>
        </w:tc>
        <w:tc>
          <w:tcPr>
            <w:tcW w:w="2255" w:type="dxa"/>
          </w:tcPr>
          <w:p w14:paraId="529E44B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8" w:history="1">
              <w:r w:rsidRPr="00E77ED4">
                <w:rPr>
                  <w:rFonts w:asciiTheme="minorHAnsi" w:hAnsiTheme="minorHAnsi" w:cstheme="minorHAnsi"/>
                  <w:color w:val="000000"/>
                  <w:sz w:val="22"/>
                  <w:szCs w:val="22"/>
                </w:rPr>
                <w:t>Average Current Penalty per Private Sector Serious Violation (1 – 25 workers)</w:t>
              </w:r>
            </w:hyperlink>
          </w:p>
        </w:tc>
        <w:tc>
          <w:tcPr>
            <w:tcW w:w="1282" w:type="dxa"/>
          </w:tcPr>
          <w:p w14:paraId="1CBFB6F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$3,884.00</w:t>
            </w:r>
          </w:p>
        </w:tc>
        <w:tc>
          <w:tcPr>
            <w:tcW w:w="1408" w:type="dxa"/>
          </w:tcPr>
          <w:p w14:paraId="01DBE7D3"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- 25% of </w:t>
            </w:r>
          </w:p>
          <w:p w14:paraId="6C5929F2" w14:textId="77777777" w:rsidR="00E77ED4" w:rsidRPr="00E77ED4" w:rsidRDefault="00E77ED4" w:rsidP="00E77ED4">
            <w:pPr>
              <w:widowControl/>
              <w:autoSpaceDE/>
              <w:autoSpaceDN/>
              <w:adjustRightInd/>
              <w:rPr>
                <w:rFonts w:asciiTheme="minorHAnsi" w:hAnsiTheme="minorHAnsi" w:cstheme="minorHAnsi"/>
                <w:color w:val="70AD47"/>
                <w:sz w:val="22"/>
                <w:szCs w:val="22"/>
              </w:rPr>
            </w:pPr>
            <w:r w:rsidRPr="00E77ED4">
              <w:rPr>
                <w:rFonts w:asciiTheme="minorHAnsi" w:hAnsiTheme="minorHAnsi" w:cstheme="minorHAnsi"/>
                <w:sz w:val="22"/>
                <w:szCs w:val="22"/>
              </w:rPr>
              <w:t>$2,602.76</w:t>
            </w:r>
          </w:p>
          <w:p w14:paraId="33AB0DC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443C1BD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color w:val="000000"/>
                <w:sz w:val="22"/>
                <w:szCs w:val="22"/>
              </w:rPr>
              <w:t xml:space="preserve">The further review level is based on a three-year national average.  The minimum not requiring further review is $1,952.07. </w:t>
            </w:r>
          </w:p>
        </w:tc>
      </w:tr>
      <w:tr w:rsidR="00C55D86" w:rsidRPr="00E77ED4" w14:paraId="2893BA7B" w14:textId="77777777" w:rsidTr="00D62332">
        <w:tc>
          <w:tcPr>
            <w:tcW w:w="1034" w:type="dxa"/>
          </w:tcPr>
          <w:p w14:paraId="5547858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lastRenderedPageBreak/>
              <w:t>8c</w:t>
            </w:r>
          </w:p>
        </w:tc>
        <w:tc>
          <w:tcPr>
            <w:tcW w:w="2255" w:type="dxa"/>
          </w:tcPr>
          <w:p w14:paraId="33D95EF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SAMM8c" w:history="1">
              <w:r w:rsidRPr="00E77ED4">
                <w:rPr>
                  <w:rFonts w:asciiTheme="minorHAnsi" w:hAnsiTheme="minorHAnsi" w:cstheme="minorHAnsi"/>
                  <w:color w:val="000000"/>
                  <w:sz w:val="22"/>
                  <w:szCs w:val="22"/>
                </w:rPr>
                <w:t>Average Current Penalty per Private Sector Serious Violation (26 – 100 workers)</w:t>
              </w:r>
            </w:hyperlink>
          </w:p>
        </w:tc>
        <w:tc>
          <w:tcPr>
            <w:tcW w:w="1282" w:type="dxa"/>
          </w:tcPr>
          <w:p w14:paraId="351CC69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$6,471.56</w:t>
            </w:r>
          </w:p>
          <w:p w14:paraId="2BFAF2F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p w14:paraId="5548718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1408" w:type="dxa"/>
          </w:tcPr>
          <w:p w14:paraId="57375866"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- 25% of </w:t>
            </w:r>
          </w:p>
          <w:p w14:paraId="01472889" w14:textId="77777777" w:rsidR="00E77ED4" w:rsidRPr="00E77ED4" w:rsidRDefault="00E77ED4" w:rsidP="00E77ED4">
            <w:pPr>
              <w:widowControl/>
              <w:autoSpaceDE/>
              <w:autoSpaceDN/>
              <w:adjustRightInd/>
              <w:rPr>
                <w:rFonts w:asciiTheme="minorHAnsi" w:hAnsiTheme="minorHAnsi" w:cstheme="minorHAnsi"/>
                <w:color w:val="70AD47"/>
                <w:sz w:val="22"/>
                <w:szCs w:val="22"/>
              </w:rPr>
            </w:pPr>
            <w:r w:rsidRPr="00E77ED4">
              <w:rPr>
                <w:rFonts w:asciiTheme="minorHAnsi" w:hAnsiTheme="minorHAnsi" w:cstheme="minorHAnsi"/>
                <w:sz w:val="22"/>
                <w:szCs w:val="22"/>
              </w:rPr>
              <w:t>$4,443.40</w:t>
            </w:r>
          </w:p>
          <w:p w14:paraId="21EABD5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456E03C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hAnsiTheme="minorHAnsi" w:cstheme="minorHAnsi"/>
                <w:color w:val="000000"/>
                <w:sz w:val="22"/>
                <w:szCs w:val="22"/>
              </w:rPr>
              <w:t>The further review level is based on a three-year national average.  The minimum not requiring further review is $3,332.55.</w:t>
            </w:r>
          </w:p>
        </w:tc>
      </w:tr>
      <w:tr w:rsidR="00C55D86" w:rsidRPr="00E77ED4" w14:paraId="30FDA8D9" w14:textId="77777777" w:rsidTr="00D62332">
        <w:tc>
          <w:tcPr>
            <w:tcW w:w="1034" w:type="dxa"/>
          </w:tcPr>
          <w:p w14:paraId="4665BFE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8d</w:t>
            </w:r>
          </w:p>
        </w:tc>
        <w:tc>
          <w:tcPr>
            <w:tcW w:w="2255" w:type="dxa"/>
          </w:tcPr>
          <w:p w14:paraId="4880A64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SAMM8d" w:history="1">
              <w:r w:rsidRPr="00E77ED4">
                <w:rPr>
                  <w:rFonts w:asciiTheme="minorHAnsi" w:hAnsiTheme="minorHAnsi" w:cstheme="minorHAnsi"/>
                  <w:color w:val="000000"/>
                  <w:sz w:val="22"/>
                  <w:szCs w:val="22"/>
                </w:rPr>
                <w:t>Average Current Penalty per Private Sector Serious Violation (101 – 250 workers)</w:t>
              </w:r>
            </w:hyperlink>
          </w:p>
        </w:tc>
        <w:tc>
          <w:tcPr>
            <w:tcW w:w="1282" w:type="dxa"/>
          </w:tcPr>
          <w:p w14:paraId="0A7736E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$8,781.40</w:t>
            </w:r>
          </w:p>
        </w:tc>
        <w:tc>
          <w:tcPr>
            <w:tcW w:w="1408" w:type="dxa"/>
          </w:tcPr>
          <w:p w14:paraId="1A81F83D"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- 25% of </w:t>
            </w:r>
          </w:p>
          <w:p w14:paraId="071CF81B" w14:textId="77777777" w:rsidR="00E77ED4" w:rsidRPr="00E77ED4" w:rsidRDefault="00E77ED4" w:rsidP="00E77ED4">
            <w:pPr>
              <w:widowControl/>
              <w:autoSpaceDE/>
              <w:autoSpaceDN/>
              <w:adjustRightInd/>
              <w:rPr>
                <w:rFonts w:asciiTheme="minorHAnsi" w:hAnsiTheme="minorHAnsi" w:cstheme="minorHAnsi"/>
                <w:color w:val="70AD47"/>
                <w:sz w:val="22"/>
                <w:szCs w:val="22"/>
              </w:rPr>
            </w:pPr>
            <w:r w:rsidRPr="00E77ED4">
              <w:rPr>
                <w:rFonts w:asciiTheme="minorHAnsi" w:hAnsiTheme="minorHAnsi" w:cstheme="minorHAnsi"/>
                <w:sz w:val="22"/>
                <w:szCs w:val="22"/>
              </w:rPr>
              <w:t>$6,330.65</w:t>
            </w:r>
          </w:p>
          <w:p w14:paraId="7D66E34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6F29C87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hAnsiTheme="minorHAnsi" w:cstheme="minorHAnsi"/>
                <w:color w:val="000000"/>
                <w:sz w:val="22"/>
                <w:szCs w:val="22"/>
              </w:rPr>
              <w:t>The further review level is based on a three-year national average.  The minimum not requiring further review is $4,747.99.</w:t>
            </w:r>
          </w:p>
        </w:tc>
      </w:tr>
      <w:tr w:rsidR="00C55D86" w:rsidRPr="00E77ED4" w14:paraId="56AB662B" w14:textId="77777777" w:rsidTr="00D62332">
        <w:tc>
          <w:tcPr>
            <w:tcW w:w="1034" w:type="dxa"/>
          </w:tcPr>
          <w:p w14:paraId="0E43584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8e</w:t>
            </w:r>
          </w:p>
        </w:tc>
        <w:tc>
          <w:tcPr>
            <w:tcW w:w="2255" w:type="dxa"/>
          </w:tcPr>
          <w:p w14:paraId="489EBEFD"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8" w:history="1">
              <w:r w:rsidRPr="00E77ED4">
                <w:rPr>
                  <w:rFonts w:asciiTheme="minorHAnsi" w:hAnsiTheme="minorHAnsi" w:cstheme="minorHAnsi"/>
                  <w:color w:val="000000"/>
                  <w:sz w:val="22"/>
                  <w:szCs w:val="22"/>
                </w:rPr>
                <w:t>Average Current Penalty per Private Sector Serious Violation (greater than 250 workers)</w:t>
              </w:r>
            </w:hyperlink>
          </w:p>
        </w:tc>
        <w:tc>
          <w:tcPr>
            <w:tcW w:w="1282" w:type="dxa"/>
          </w:tcPr>
          <w:p w14:paraId="0D11BAE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$10,717.34</w:t>
            </w:r>
          </w:p>
        </w:tc>
        <w:tc>
          <w:tcPr>
            <w:tcW w:w="1408" w:type="dxa"/>
          </w:tcPr>
          <w:p w14:paraId="7C3C7606"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xml:space="preserve">- 25% of </w:t>
            </w:r>
          </w:p>
          <w:p w14:paraId="3688CE46"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$7,873.27</w:t>
            </w:r>
          </w:p>
          <w:p w14:paraId="395E2447" w14:textId="77777777" w:rsidR="00E77ED4" w:rsidRPr="00E77ED4" w:rsidRDefault="00E77ED4" w:rsidP="00E77ED4">
            <w:pPr>
              <w:widowControl/>
              <w:autoSpaceDE/>
              <w:autoSpaceDN/>
              <w:adjustRightInd/>
              <w:rPr>
                <w:rFonts w:asciiTheme="minorHAnsi" w:eastAsia="PMingLiU" w:hAnsiTheme="minorHAnsi" w:cstheme="minorHAnsi"/>
                <w:sz w:val="22"/>
                <w:szCs w:val="22"/>
              </w:rPr>
            </w:pPr>
          </w:p>
        </w:tc>
        <w:tc>
          <w:tcPr>
            <w:tcW w:w="4371" w:type="dxa"/>
          </w:tcPr>
          <w:p w14:paraId="6BA2914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E77ED4">
              <w:rPr>
                <w:rFonts w:asciiTheme="minorHAnsi" w:hAnsiTheme="minorHAnsi" w:cstheme="minorHAnsi"/>
                <w:color w:val="000000"/>
                <w:sz w:val="22"/>
                <w:szCs w:val="22"/>
              </w:rPr>
              <w:t>The further review level is based on a three-year national average.  The minimum not requiring further review is $5,904.95.</w:t>
            </w:r>
          </w:p>
        </w:tc>
      </w:tr>
      <w:tr w:rsidR="00C55D86" w:rsidRPr="00E77ED4" w14:paraId="3776B4CC" w14:textId="77777777" w:rsidTr="00D62332">
        <w:tc>
          <w:tcPr>
            <w:tcW w:w="1034" w:type="dxa"/>
          </w:tcPr>
          <w:p w14:paraId="087B6DB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9a</w:t>
            </w:r>
          </w:p>
        </w:tc>
        <w:tc>
          <w:tcPr>
            <w:tcW w:w="2255" w:type="dxa"/>
          </w:tcPr>
          <w:p w14:paraId="022BF2A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E77ED4">
                <w:rPr>
                  <w:rFonts w:asciiTheme="minorHAnsi" w:hAnsiTheme="minorHAnsi" w:cstheme="minorHAnsi"/>
                  <w:color w:val="000000"/>
                  <w:sz w:val="22"/>
                  <w:szCs w:val="22"/>
                </w:rPr>
                <w:t>Percent In-Compliance Programmed Safety</w:t>
              </w:r>
            </w:hyperlink>
          </w:p>
        </w:tc>
        <w:tc>
          <w:tcPr>
            <w:tcW w:w="1282" w:type="dxa"/>
          </w:tcPr>
          <w:p w14:paraId="6B07970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18.18%</w:t>
            </w:r>
          </w:p>
        </w:tc>
        <w:tc>
          <w:tcPr>
            <w:tcW w:w="1408" w:type="dxa"/>
          </w:tcPr>
          <w:p w14:paraId="1D38C1A8"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 30.44%</w:t>
            </w:r>
          </w:p>
          <w:p w14:paraId="256A0EB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70AD47"/>
                <w:sz w:val="22"/>
                <w:szCs w:val="22"/>
              </w:rPr>
            </w:pPr>
          </w:p>
        </w:tc>
        <w:tc>
          <w:tcPr>
            <w:tcW w:w="4371" w:type="dxa"/>
          </w:tcPr>
          <w:p w14:paraId="70C4582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36.53%.</w:t>
            </w:r>
          </w:p>
        </w:tc>
      </w:tr>
      <w:tr w:rsidR="00C55D86" w:rsidRPr="00E77ED4" w14:paraId="0C08C2A8" w14:textId="77777777" w:rsidTr="00D62332">
        <w:tc>
          <w:tcPr>
            <w:tcW w:w="1034" w:type="dxa"/>
          </w:tcPr>
          <w:p w14:paraId="6002CDD9"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9b</w:t>
            </w:r>
          </w:p>
        </w:tc>
        <w:tc>
          <w:tcPr>
            <w:tcW w:w="2255" w:type="dxa"/>
          </w:tcPr>
          <w:p w14:paraId="669FF29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E77ED4">
                <w:rPr>
                  <w:rFonts w:asciiTheme="minorHAnsi" w:hAnsiTheme="minorHAnsi" w:cstheme="minorHAnsi"/>
                  <w:bCs/>
                  <w:color w:val="000000"/>
                  <w:sz w:val="22"/>
                  <w:szCs w:val="22"/>
                </w:rPr>
                <w:t>Percent In-Compliance Unprogrammed Safety</w:t>
              </w:r>
            </w:hyperlink>
          </w:p>
        </w:tc>
        <w:tc>
          <w:tcPr>
            <w:tcW w:w="1282" w:type="dxa"/>
          </w:tcPr>
          <w:p w14:paraId="2129A4B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27.13%</w:t>
            </w:r>
          </w:p>
        </w:tc>
        <w:tc>
          <w:tcPr>
            <w:tcW w:w="1408" w:type="dxa"/>
          </w:tcPr>
          <w:p w14:paraId="55A15DAB"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 38.03%</w:t>
            </w:r>
          </w:p>
          <w:p w14:paraId="2A934AC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6FA79B9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45.64%.</w:t>
            </w:r>
          </w:p>
        </w:tc>
      </w:tr>
      <w:tr w:rsidR="00C55D86" w:rsidRPr="00E77ED4" w14:paraId="5339E864" w14:textId="77777777" w:rsidTr="00D62332">
        <w:tc>
          <w:tcPr>
            <w:tcW w:w="1034" w:type="dxa"/>
          </w:tcPr>
          <w:p w14:paraId="47204F9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9c</w:t>
            </w:r>
          </w:p>
        </w:tc>
        <w:tc>
          <w:tcPr>
            <w:tcW w:w="2255" w:type="dxa"/>
          </w:tcPr>
          <w:p w14:paraId="3D9951C8"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E77ED4">
                <w:rPr>
                  <w:rFonts w:asciiTheme="minorHAnsi" w:hAnsiTheme="minorHAnsi" w:cstheme="minorHAnsi"/>
                  <w:bCs/>
                  <w:color w:val="000000"/>
                  <w:sz w:val="22"/>
                  <w:szCs w:val="22"/>
                </w:rPr>
                <w:t>Percent In-Compliance Programmed Health</w:t>
              </w:r>
            </w:hyperlink>
          </w:p>
        </w:tc>
        <w:tc>
          <w:tcPr>
            <w:tcW w:w="1282" w:type="dxa"/>
          </w:tcPr>
          <w:p w14:paraId="3DE332E8"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0.00%</w:t>
            </w:r>
          </w:p>
        </w:tc>
        <w:tc>
          <w:tcPr>
            <w:tcW w:w="1408" w:type="dxa"/>
          </w:tcPr>
          <w:p w14:paraId="5024D289"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w:t>
            </w:r>
          </w:p>
          <w:p w14:paraId="2FADACF5"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43.40%</w:t>
            </w:r>
          </w:p>
        </w:tc>
        <w:tc>
          <w:tcPr>
            <w:tcW w:w="4371" w:type="dxa"/>
          </w:tcPr>
          <w:p w14:paraId="34D10F0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52.08%.</w:t>
            </w:r>
          </w:p>
        </w:tc>
      </w:tr>
      <w:tr w:rsidR="00C55D86" w:rsidRPr="00E77ED4" w14:paraId="69B86CC3" w14:textId="77777777" w:rsidTr="00D62332">
        <w:tc>
          <w:tcPr>
            <w:tcW w:w="1034" w:type="dxa"/>
          </w:tcPr>
          <w:p w14:paraId="6F95194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9d</w:t>
            </w:r>
          </w:p>
        </w:tc>
        <w:tc>
          <w:tcPr>
            <w:tcW w:w="2255" w:type="dxa"/>
          </w:tcPr>
          <w:p w14:paraId="45F851B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9" w:history="1">
              <w:r w:rsidRPr="00E77ED4">
                <w:rPr>
                  <w:rFonts w:asciiTheme="minorHAnsi" w:hAnsiTheme="minorHAnsi" w:cstheme="minorHAnsi"/>
                  <w:bCs/>
                  <w:color w:val="000000"/>
                  <w:sz w:val="22"/>
                  <w:szCs w:val="22"/>
                </w:rPr>
                <w:t>Percent In-Compliance Unprogrammed Health</w:t>
              </w:r>
            </w:hyperlink>
          </w:p>
          <w:p w14:paraId="626318D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p>
        </w:tc>
        <w:tc>
          <w:tcPr>
            <w:tcW w:w="1282" w:type="dxa"/>
          </w:tcPr>
          <w:p w14:paraId="0EBBED2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33.33%</w:t>
            </w:r>
          </w:p>
        </w:tc>
        <w:tc>
          <w:tcPr>
            <w:tcW w:w="1408" w:type="dxa"/>
          </w:tcPr>
          <w:p w14:paraId="5A84F7B5"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w:t>
            </w:r>
          </w:p>
          <w:p w14:paraId="3A1FCA19"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43.63%</w:t>
            </w:r>
          </w:p>
          <w:p w14:paraId="7098F7C5" w14:textId="77777777" w:rsidR="00E77ED4" w:rsidRPr="00E77ED4" w:rsidRDefault="00E77ED4" w:rsidP="00E77ED4">
            <w:pPr>
              <w:widowControl/>
              <w:autoSpaceDE/>
              <w:autoSpaceDN/>
              <w:adjustRightInd/>
              <w:rPr>
                <w:rFonts w:asciiTheme="minorHAnsi" w:hAnsiTheme="minorHAnsi" w:cstheme="minorHAnsi"/>
                <w:sz w:val="22"/>
                <w:szCs w:val="22"/>
              </w:rPr>
            </w:pPr>
          </w:p>
        </w:tc>
        <w:tc>
          <w:tcPr>
            <w:tcW w:w="4371" w:type="dxa"/>
          </w:tcPr>
          <w:p w14:paraId="376646D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52.35%.</w:t>
            </w:r>
          </w:p>
        </w:tc>
      </w:tr>
      <w:tr w:rsidR="00C55D86" w:rsidRPr="00E77ED4" w14:paraId="20E16DF2" w14:textId="77777777" w:rsidTr="00D62332">
        <w:trPr>
          <w:trHeight w:val="1142"/>
        </w:trPr>
        <w:tc>
          <w:tcPr>
            <w:tcW w:w="1034" w:type="dxa"/>
          </w:tcPr>
          <w:p w14:paraId="633159B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10</w:t>
            </w:r>
          </w:p>
        </w:tc>
        <w:tc>
          <w:tcPr>
            <w:tcW w:w="2255" w:type="dxa"/>
          </w:tcPr>
          <w:p w14:paraId="774AC7D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0" w:history="1">
              <w:r w:rsidRPr="00E77ED4">
                <w:rPr>
                  <w:rFonts w:asciiTheme="minorHAnsi" w:hAnsiTheme="minorHAnsi" w:cstheme="minorHAnsi"/>
                  <w:color w:val="000000"/>
                  <w:sz w:val="22"/>
                  <w:szCs w:val="22"/>
                </w:rPr>
                <w:t xml:space="preserve">Percent of </w:t>
              </w:r>
              <w:r w:rsidRPr="00E77ED4">
                <w:rPr>
                  <w:rFonts w:asciiTheme="minorHAnsi" w:hAnsiTheme="minorHAnsi" w:cstheme="minorHAnsi"/>
                  <w:bCs/>
                  <w:color w:val="000000"/>
                  <w:sz w:val="22"/>
                  <w:szCs w:val="22"/>
                </w:rPr>
                <w:t>Work-related Fatalities Responded to in One Workday</w:t>
              </w:r>
            </w:hyperlink>
          </w:p>
          <w:p w14:paraId="0AE2976C"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p>
        </w:tc>
        <w:tc>
          <w:tcPr>
            <w:tcW w:w="1282" w:type="dxa"/>
          </w:tcPr>
          <w:p w14:paraId="31D7C2CE" w14:textId="5B7991B9"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100%</w:t>
            </w:r>
          </w:p>
        </w:tc>
        <w:tc>
          <w:tcPr>
            <w:tcW w:w="1408" w:type="dxa"/>
          </w:tcPr>
          <w:p w14:paraId="3D5937F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100%</w:t>
            </w:r>
          </w:p>
        </w:tc>
        <w:tc>
          <w:tcPr>
            <w:tcW w:w="4371" w:type="dxa"/>
          </w:tcPr>
          <w:p w14:paraId="22C5FF5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fixed for all State Plans.</w:t>
            </w:r>
          </w:p>
        </w:tc>
      </w:tr>
      <w:tr w:rsidR="00C55D86" w:rsidRPr="00E77ED4" w14:paraId="33716EE5" w14:textId="77777777" w:rsidTr="00D62332">
        <w:tc>
          <w:tcPr>
            <w:tcW w:w="1034" w:type="dxa"/>
          </w:tcPr>
          <w:p w14:paraId="03439F6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11a</w:t>
            </w:r>
          </w:p>
        </w:tc>
        <w:tc>
          <w:tcPr>
            <w:tcW w:w="2255" w:type="dxa"/>
          </w:tcPr>
          <w:p w14:paraId="5446042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1" w:history="1">
              <w:r w:rsidRPr="00E77ED4">
                <w:rPr>
                  <w:rFonts w:asciiTheme="minorHAnsi" w:hAnsiTheme="minorHAnsi" w:cstheme="minorHAnsi"/>
                  <w:color w:val="000000"/>
                  <w:sz w:val="22"/>
                  <w:szCs w:val="22"/>
                </w:rPr>
                <w:t>Average Safety Lapse Time</w:t>
              </w:r>
            </w:hyperlink>
          </w:p>
        </w:tc>
        <w:tc>
          <w:tcPr>
            <w:tcW w:w="1282" w:type="dxa"/>
          </w:tcPr>
          <w:p w14:paraId="1D19798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81.20</w:t>
            </w:r>
          </w:p>
        </w:tc>
        <w:tc>
          <w:tcPr>
            <w:tcW w:w="1408" w:type="dxa"/>
          </w:tcPr>
          <w:p w14:paraId="7557ED1B"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 56.29</w:t>
            </w:r>
          </w:p>
          <w:p w14:paraId="4930266F"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573F537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67.54.</w:t>
            </w:r>
          </w:p>
        </w:tc>
      </w:tr>
      <w:tr w:rsidR="00C55D86" w:rsidRPr="00E77ED4" w14:paraId="5F0527C4" w14:textId="77777777" w:rsidTr="00D62332">
        <w:tc>
          <w:tcPr>
            <w:tcW w:w="1034" w:type="dxa"/>
          </w:tcPr>
          <w:p w14:paraId="21B8144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11b</w:t>
            </w:r>
          </w:p>
        </w:tc>
        <w:tc>
          <w:tcPr>
            <w:tcW w:w="2255" w:type="dxa"/>
          </w:tcPr>
          <w:p w14:paraId="2DEF579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1" w:history="1">
              <w:r w:rsidRPr="00E77ED4">
                <w:rPr>
                  <w:rFonts w:asciiTheme="minorHAnsi" w:hAnsiTheme="minorHAnsi" w:cstheme="minorHAnsi"/>
                  <w:color w:val="000000"/>
                  <w:sz w:val="22"/>
                  <w:szCs w:val="22"/>
                </w:rPr>
                <w:t>Average Health Lapse Time</w:t>
              </w:r>
            </w:hyperlink>
          </w:p>
        </w:tc>
        <w:tc>
          <w:tcPr>
            <w:tcW w:w="1282" w:type="dxa"/>
          </w:tcPr>
          <w:p w14:paraId="51FF12B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90.06</w:t>
            </w:r>
          </w:p>
        </w:tc>
        <w:tc>
          <w:tcPr>
            <w:tcW w:w="1408" w:type="dxa"/>
          </w:tcPr>
          <w:p w14:paraId="417EDE49"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 67.00</w:t>
            </w:r>
          </w:p>
          <w:p w14:paraId="3B22798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349BFB5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80.40.</w:t>
            </w:r>
          </w:p>
        </w:tc>
      </w:tr>
      <w:tr w:rsidR="00C55D86" w:rsidRPr="00E77ED4" w14:paraId="2C594399" w14:textId="77777777" w:rsidTr="00D62332">
        <w:tc>
          <w:tcPr>
            <w:tcW w:w="1034" w:type="dxa"/>
          </w:tcPr>
          <w:p w14:paraId="63D3862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12</w:t>
            </w:r>
          </w:p>
        </w:tc>
        <w:tc>
          <w:tcPr>
            <w:tcW w:w="2255" w:type="dxa"/>
          </w:tcPr>
          <w:p w14:paraId="44CDB0D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E77ED4">
              <w:rPr>
                <w:rFonts w:asciiTheme="minorHAnsi" w:hAnsiTheme="minorHAnsi" w:cstheme="minorHAnsi"/>
                <w:sz w:val="22"/>
                <w:szCs w:val="22"/>
              </w:rPr>
              <w:t>Percent Penalty Retained</w:t>
            </w:r>
          </w:p>
        </w:tc>
        <w:tc>
          <w:tcPr>
            <w:tcW w:w="1282" w:type="dxa"/>
          </w:tcPr>
          <w:p w14:paraId="22056CC4"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100%</w:t>
            </w:r>
          </w:p>
        </w:tc>
        <w:tc>
          <w:tcPr>
            <w:tcW w:w="1408" w:type="dxa"/>
          </w:tcPr>
          <w:p w14:paraId="452A5413"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 70.58%</w:t>
            </w:r>
          </w:p>
          <w:p w14:paraId="03E83193"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7DC2919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56.47%.</w:t>
            </w:r>
          </w:p>
        </w:tc>
      </w:tr>
      <w:tr w:rsidR="00C55D86" w:rsidRPr="00E77ED4" w14:paraId="3F2B7C09" w14:textId="77777777" w:rsidTr="00454B05">
        <w:trPr>
          <w:cantSplit/>
        </w:trPr>
        <w:tc>
          <w:tcPr>
            <w:tcW w:w="1034" w:type="dxa"/>
          </w:tcPr>
          <w:p w14:paraId="77831F5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lastRenderedPageBreak/>
              <w:t>13</w:t>
            </w:r>
          </w:p>
        </w:tc>
        <w:tc>
          <w:tcPr>
            <w:tcW w:w="2255" w:type="dxa"/>
          </w:tcPr>
          <w:p w14:paraId="7C55655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3" w:history="1">
              <w:r w:rsidRPr="00E77ED4">
                <w:rPr>
                  <w:rFonts w:asciiTheme="minorHAnsi" w:hAnsiTheme="minorHAnsi" w:cstheme="minorHAnsi"/>
                  <w:color w:val="000000"/>
                  <w:sz w:val="22"/>
                  <w:szCs w:val="22"/>
                </w:rPr>
                <w:t>Percent of Initial Inspections with Employee Walk Around Representation or Employee Interview</w:t>
              </w:r>
            </w:hyperlink>
          </w:p>
        </w:tc>
        <w:tc>
          <w:tcPr>
            <w:tcW w:w="1282" w:type="dxa"/>
          </w:tcPr>
          <w:p w14:paraId="731E228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99.64%</w:t>
            </w:r>
          </w:p>
        </w:tc>
        <w:tc>
          <w:tcPr>
            <w:tcW w:w="1408" w:type="dxa"/>
          </w:tcPr>
          <w:p w14:paraId="661EB5F5"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100%</w:t>
            </w:r>
          </w:p>
        </w:tc>
        <w:tc>
          <w:tcPr>
            <w:tcW w:w="4371" w:type="dxa"/>
          </w:tcPr>
          <w:p w14:paraId="4337650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fixed for all State Plans.</w:t>
            </w:r>
          </w:p>
        </w:tc>
      </w:tr>
      <w:tr w:rsidR="00C55D86" w:rsidRPr="00E77ED4" w14:paraId="41D974DF" w14:textId="77777777" w:rsidTr="00D62332">
        <w:tc>
          <w:tcPr>
            <w:tcW w:w="1034" w:type="dxa"/>
          </w:tcPr>
          <w:p w14:paraId="02422B7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14</w:t>
            </w:r>
          </w:p>
        </w:tc>
        <w:tc>
          <w:tcPr>
            <w:tcW w:w="2255" w:type="dxa"/>
          </w:tcPr>
          <w:p w14:paraId="3F8AC8B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4" w:history="1">
              <w:r w:rsidRPr="00E77ED4">
                <w:rPr>
                  <w:rFonts w:asciiTheme="minorHAnsi" w:hAnsiTheme="minorHAnsi" w:cstheme="minorHAnsi"/>
                  <w:color w:val="000000"/>
                  <w:sz w:val="22"/>
                  <w:szCs w:val="22"/>
                </w:rPr>
                <w:t>Average Number of Days 11(c) Investigation Pending</w:t>
              </w:r>
            </w:hyperlink>
          </w:p>
        </w:tc>
        <w:tc>
          <w:tcPr>
            <w:tcW w:w="1282" w:type="dxa"/>
          </w:tcPr>
          <w:p w14:paraId="4A436682"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619.97</w:t>
            </w:r>
          </w:p>
        </w:tc>
        <w:tc>
          <w:tcPr>
            <w:tcW w:w="1408" w:type="dxa"/>
          </w:tcPr>
          <w:p w14:paraId="16C05907"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240</w:t>
            </w:r>
          </w:p>
        </w:tc>
        <w:tc>
          <w:tcPr>
            <w:tcW w:w="4371" w:type="dxa"/>
          </w:tcPr>
          <w:p w14:paraId="6C24262D"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negotiated by OSHA and the State Plan.</w:t>
            </w:r>
          </w:p>
        </w:tc>
      </w:tr>
      <w:tr w:rsidR="00C55D86" w:rsidRPr="00E77ED4" w14:paraId="184E641E" w14:textId="77777777" w:rsidTr="00D62332">
        <w:tc>
          <w:tcPr>
            <w:tcW w:w="1034" w:type="dxa"/>
          </w:tcPr>
          <w:p w14:paraId="4E6577D6"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15</w:t>
            </w:r>
          </w:p>
        </w:tc>
        <w:tc>
          <w:tcPr>
            <w:tcW w:w="2255" w:type="dxa"/>
          </w:tcPr>
          <w:p w14:paraId="25B32B01"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5" w:history="1">
              <w:r w:rsidRPr="00E77ED4">
                <w:rPr>
                  <w:rFonts w:asciiTheme="minorHAnsi" w:hAnsiTheme="minorHAnsi" w:cstheme="minorHAnsi"/>
                  <w:color w:val="000000"/>
                  <w:sz w:val="22"/>
                  <w:szCs w:val="22"/>
                </w:rPr>
                <w:t>Percent of 11(c) Cases Pending Investigation Over 90 Days</w:t>
              </w:r>
            </w:hyperlink>
          </w:p>
        </w:tc>
        <w:tc>
          <w:tcPr>
            <w:tcW w:w="1282" w:type="dxa"/>
          </w:tcPr>
          <w:p w14:paraId="65858C2B"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98.33%</w:t>
            </w:r>
          </w:p>
        </w:tc>
        <w:tc>
          <w:tcPr>
            <w:tcW w:w="1408" w:type="dxa"/>
          </w:tcPr>
          <w:p w14:paraId="4F5F4069"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+ 20% of 30%</w:t>
            </w:r>
          </w:p>
        </w:tc>
        <w:tc>
          <w:tcPr>
            <w:tcW w:w="4371" w:type="dxa"/>
          </w:tcPr>
          <w:p w14:paraId="1436E07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negotiated by OSHA and the State Plan.  The minimum not requiring further review is 36%.</w:t>
            </w:r>
          </w:p>
        </w:tc>
      </w:tr>
      <w:tr w:rsidR="00C55D86" w:rsidRPr="00E77ED4" w14:paraId="247DA39B" w14:textId="77777777" w:rsidTr="00D62332">
        <w:tc>
          <w:tcPr>
            <w:tcW w:w="1034" w:type="dxa"/>
          </w:tcPr>
          <w:p w14:paraId="1263846E"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eastAsia="PMingLiU" w:hAnsiTheme="minorHAnsi" w:cstheme="minorHAnsi"/>
                <w:sz w:val="22"/>
                <w:szCs w:val="22"/>
              </w:rPr>
              <w:t>16</w:t>
            </w:r>
          </w:p>
        </w:tc>
        <w:tc>
          <w:tcPr>
            <w:tcW w:w="2255" w:type="dxa"/>
          </w:tcPr>
          <w:p w14:paraId="0EDC25E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hyperlink w:anchor="Measure16" w:history="1">
              <w:r w:rsidRPr="00E77ED4">
                <w:rPr>
                  <w:rFonts w:asciiTheme="minorHAnsi" w:hAnsiTheme="minorHAnsi" w:cstheme="minorHAnsi"/>
                  <w:color w:val="000000"/>
                  <w:sz w:val="22"/>
                  <w:szCs w:val="22"/>
                </w:rPr>
                <w:t>Percent of Enforcement Presence</w:t>
              </w:r>
            </w:hyperlink>
          </w:p>
        </w:tc>
        <w:tc>
          <w:tcPr>
            <w:tcW w:w="1282" w:type="dxa"/>
          </w:tcPr>
          <w:p w14:paraId="2EA72D18"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0.21%</w:t>
            </w:r>
          </w:p>
        </w:tc>
        <w:tc>
          <w:tcPr>
            <w:tcW w:w="1408" w:type="dxa"/>
          </w:tcPr>
          <w:p w14:paraId="5E79B634" w14:textId="77777777" w:rsidR="00E77ED4" w:rsidRPr="00E77ED4" w:rsidRDefault="00E77ED4" w:rsidP="00E77ED4">
            <w:pPr>
              <w:widowControl/>
              <w:autoSpaceDE/>
              <w:autoSpaceDN/>
              <w:adjustRightInd/>
              <w:rPr>
                <w:rFonts w:asciiTheme="minorHAnsi" w:hAnsiTheme="minorHAnsi" w:cstheme="minorHAnsi"/>
                <w:sz w:val="22"/>
                <w:szCs w:val="22"/>
              </w:rPr>
            </w:pPr>
            <w:r w:rsidRPr="00E77ED4">
              <w:rPr>
                <w:rFonts w:asciiTheme="minorHAnsi" w:hAnsiTheme="minorHAnsi" w:cstheme="minorHAnsi"/>
                <w:sz w:val="22"/>
                <w:szCs w:val="22"/>
              </w:rPr>
              <w:t>- 20% of 0.97%</w:t>
            </w:r>
          </w:p>
          <w:p w14:paraId="7E4FC37A"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p>
        </w:tc>
        <w:tc>
          <w:tcPr>
            <w:tcW w:w="4371" w:type="dxa"/>
          </w:tcPr>
          <w:p w14:paraId="550B1050" w14:textId="77777777" w:rsidR="00E77ED4" w:rsidRPr="00E77ED4" w:rsidRDefault="00E77ED4" w:rsidP="00E77ED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E77ED4">
              <w:rPr>
                <w:rFonts w:asciiTheme="minorHAnsi" w:hAnsiTheme="minorHAnsi" w:cstheme="minorHAnsi"/>
                <w:sz w:val="22"/>
                <w:szCs w:val="22"/>
              </w:rPr>
              <w:t>The further review level is based on a three-year national average.  The minimum not requiring further review is 0.78%.</w:t>
            </w:r>
          </w:p>
        </w:tc>
      </w:tr>
    </w:tbl>
    <w:p w14:paraId="20AB0C0E" w14:textId="77777777" w:rsidR="00E63102" w:rsidRPr="007D0823" w:rsidRDefault="00E63102" w:rsidP="004D072C">
      <w:pPr>
        <w:widowControl/>
        <w:autoSpaceDE/>
        <w:autoSpaceDN/>
        <w:adjustRightInd/>
        <w:rPr>
          <w:rFonts w:ascii="Calibri" w:hAnsi="Calibri" w:cs="Calibri"/>
          <w:b/>
        </w:rPr>
      </w:pPr>
    </w:p>
    <w:p w14:paraId="4DE84267" w14:textId="79B96DAD" w:rsidR="004D072C" w:rsidRPr="007D0823" w:rsidRDefault="004D072C" w:rsidP="004D072C">
      <w:pPr>
        <w:widowControl/>
        <w:autoSpaceDE/>
        <w:autoSpaceDN/>
        <w:adjustRightInd/>
        <w:spacing w:after="160" w:line="259" w:lineRule="auto"/>
        <w:rPr>
          <w:rFonts w:ascii="Calibri" w:eastAsia="Calibri" w:hAnsi="Calibri"/>
        </w:rPr>
      </w:pPr>
      <w:r w:rsidRPr="00A40944">
        <w:rPr>
          <w:rFonts w:ascii="Calibri" w:eastAsia="Calibri" w:hAnsi="Calibri"/>
        </w:rPr>
        <w:t xml:space="preserve">NOTE: The national averages in this report are three-year rolling averages.  Unless otherwise noted, the data contained in this Appendix D is pulled from the State Activity Mandated Measures (SAMM) Report in OIS run on </w:t>
      </w:r>
      <w:r w:rsidR="00A40944">
        <w:rPr>
          <w:rFonts w:ascii="Calibri" w:eastAsia="Calibri" w:hAnsi="Calibri"/>
        </w:rPr>
        <w:t xml:space="preserve">December 9, 2025, </w:t>
      </w:r>
      <w:r w:rsidRPr="00A40944">
        <w:rPr>
          <w:rFonts w:ascii="Calibri" w:eastAsia="Calibri" w:hAnsi="Calibri"/>
        </w:rPr>
        <w:t>as part of OSHA’s official end-of-year data run.</w:t>
      </w:r>
    </w:p>
    <w:p w14:paraId="6E8A3F17" w14:textId="77777777" w:rsidR="0075534D" w:rsidRPr="007D0823" w:rsidRDefault="0075534D" w:rsidP="00AB7C4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sectPr w:rsidR="0075534D" w:rsidRPr="007D0823" w:rsidSect="00502B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607CB" w14:textId="77777777" w:rsidR="00EB3979" w:rsidRDefault="00EB3979" w:rsidP="00C872A0">
      <w:r>
        <w:separator/>
      </w:r>
    </w:p>
  </w:endnote>
  <w:endnote w:type="continuationSeparator" w:id="0">
    <w:p w14:paraId="100C969F" w14:textId="77777777" w:rsidR="00EB3979" w:rsidRDefault="00EB3979" w:rsidP="00C872A0">
      <w:r>
        <w:continuationSeparator/>
      </w:r>
    </w:p>
  </w:endnote>
  <w:endnote w:type="continuationNotice" w:id="1">
    <w:p w14:paraId="3523E2E1" w14:textId="77777777" w:rsidR="00EB3979" w:rsidRDefault="00EB3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noProof/>
      </w:rPr>
    </w:sdtEndPr>
    <w:sdtContent>
      <w:p w14:paraId="39D65DD9" w14:textId="0DC498C0" w:rsidR="00770948" w:rsidRDefault="00770948">
        <w:pPr>
          <w:pStyle w:val="Footer"/>
          <w:jc w:val="center"/>
        </w:pPr>
        <w:r>
          <w:fldChar w:fldCharType="begin"/>
        </w:r>
        <w:r>
          <w:instrText xml:space="preserve"> PAGE   \* MERGEFORMAT </w:instrText>
        </w:r>
        <w:r>
          <w:fldChar w:fldCharType="separate"/>
        </w:r>
        <w:r w:rsidR="00704711">
          <w:rPr>
            <w:noProof/>
          </w:rPr>
          <w:t>11</w:t>
        </w:r>
        <w:r>
          <w:rPr>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03134"/>
      <w:docPartObj>
        <w:docPartGallery w:val="Page Numbers (Bottom of Page)"/>
        <w:docPartUnique/>
      </w:docPartObj>
    </w:sdtPr>
    <w:sdtEndPr>
      <w:rPr>
        <w:noProof/>
      </w:rPr>
    </w:sdtEndPr>
    <w:sdtContent>
      <w:p w14:paraId="6BE615A6" w14:textId="604292EE" w:rsidR="00775ED0" w:rsidRDefault="0000655A">
        <w:pPr>
          <w:pStyle w:val="Footer"/>
          <w:jc w:val="center"/>
        </w:pPr>
        <w:r>
          <w:fldChar w:fldCharType="begin"/>
        </w:r>
        <w:r w:rsidRPr="00CF763C">
          <w:rPr>
            <w:rFonts w:asciiTheme="minorHAnsi" w:hAnsiTheme="minorHAnsi" w:cstheme="minorHAnsi"/>
          </w:rPr>
          <w:instrText xml:space="preserve"> PAGE   \* MERGEFORMAT </w:instrText>
        </w:r>
        <w:r>
          <w:fldChar w:fldCharType="separate"/>
        </w:r>
        <w:r>
          <w:rPr>
            <w:noProof/>
          </w:rPr>
          <w:t>1</w:t>
        </w:r>
        <w:r>
          <w:rPr>
            <w:noProof/>
          </w:rPr>
          <w:fldChar w:fldCharType="end"/>
        </w:r>
      </w:p>
    </w:sdtContent>
  </w:sdt>
  <w:p w14:paraId="74D964A8" w14:textId="77777777" w:rsidR="00775ED0" w:rsidRPr="000A134A" w:rsidRDefault="00775ED0"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2B20" w14:textId="77777777" w:rsidR="00EB3979" w:rsidRDefault="00EB3979" w:rsidP="00C872A0">
      <w:r>
        <w:separator/>
      </w:r>
    </w:p>
  </w:footnote>
  <w:footnote w:type="continuationSeparator" w:id="0">
    <w:p w14:paraId="58F5CAC0" w14:textId="77777777" w:rsidR="00EB3979" w:rsidRDefault="00EB3979" w:rsidP="00C872A0">
      <w:r>
        <w:continuationSeparator/>
      </w:r>
    </w:p>
  </w:footnote>
  <w:footnote w:type="continuationNotice" w:id="1">
    <w:p w14:paraId="30329EE7" w14:textId="77777777" w:rsidR="00EB3979" w:rsidRDefault="00EB39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DC7C" w14:textId="036410B4" w:rsidR="00D671C7" w:rsidRDefault="00D671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559F" w14:textId="30E18329" w:rsidR="00D671C7" w:rsidRDefault="00D671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A58C" w14:textId="33CE10B7" w:rsidR="00770948" w:rsidRDefault="00770948">
    <w:pPr>
      <w:jc w:val="center"/>
    </w:pPr>
    <w:r w:rsidRPr="0041560D">
      <w:br/>
    </w:r>
  </w:p>
  <w:p w14:paraId="30FDA3AF" w14:textId="77777777" w:rsidR="00770948" w:rsidRDefault="00770948" w:rsidP="00D1582D">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0F5D" w14:textId="5ECC3BFE" w:rsidR="00D671C7" w:rsidRDefault="00D671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F701" w14:textId="5C266CF8" w:rsidR="00770948" w:rsidRPr="00412FCC" w:rsidRDefault="00770948" w:rsidP="00412F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56719775" w:rsidR="00770948" w:rsidRPr="000C5BE7" w:rsidRDefault="00770948"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590F74"/>
    <w:multiLevelType w:val="hybridMultilevel"/>
    <w:tmpl w:val="0F50E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4100FF0"/>
    <w:multiLevelType w:val="hybridMultilevel"/>
    <w:tmpl w:val="DA4E9892"/>
    <w:lvl w:ilvl="0" w:tplc="957AEABA">
      <w:start w:val="1"/>
      <w:numFmt w:val="decimal"/>
      <w:lvlText w:val="%1."/>
      <w:lvlJc w:val="left"/>
      <w:pPr>
        <w:ind w:left="720" w:hanging="360"/>
      </w:pPr>
      <w:rPr>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8C511E2"/>
    <w:multiLevelType w:val="hybridMultilevel"/>
    <w:tmpl w:val="78EEE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63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ABC73D7"/>
    <w:multiLevelType w:val="hybridMultilevel"/>
    <w:tmpl w:val="C1E4C210"/>
    <w:lvl w:ilvl="0" w:tplc="6C00AB1E">
      <w:start w:val="1"/>
      <w:numFmt w:val="upp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F1D0867"/>
    <w:multiLevelType w:val="hybridMultilevel"/>
    <w:tmpl w:val="ED2E92A0"/>
    <w:lvl w:ilvl="0" w:tplc="13422152">
      <w:start w:val="9"/>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06C2CB3"/>
    <w:multiLevelType w:val="hybridMultilevel"/>
    <w:tmpl w:val="22CC63C6"/>
    <w:lvl w:ilvl="0" w:tplc="C08C3EC8">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AFB4C57"/>
    <w:multiLevelType w:val="hybridMultilevel"/>
    <w:tmpl w:val="C37045CE"/>
    <w:lvl w:ilvl="0" w:tplc="63DA0A94">
      <w:start w:val="3"/>
      <w:numFmt w:val="decimal"/>
      <w:lvlText w:val="%1."/>
      <w:lvlJc w:val="left"/>
      <w:pPr>
        <w:ind w:left="144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ED4BD8"/>
    <w:multiLevelType w:val="hybridMultilevel"/>
    <w:tmpl w:val="C9F8C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9F254A"/>
    <w:multiLevelType w:val="hybridMultilevel"/>
    <w:tmpl w:val="850ED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892D14"/>
    <w:multiLevelType w:val="hybridMultilevel"/>
    <w:tmpl w:val="DD4AE3CE"/>
    <w:lvl w:ilvl="0" w:tplc="8E32A3B0">
      <w:start w:val="1"/>
      <w:numFmt w:val="decimal"/>
      <w:lvlText w:val="%1."/>
      <w:lvlJc w:val="left"/>
      <w:pPr>
        <w:ind w:left="720" w:hanging="360"/>
      </w:pPr>
      <w:rPr>
        <w:b/>
        <w:bCs/>
        <w:i w:val="0"/>
        <w:iCs w:val="0"/>
        <w:color w:val="auto"/>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095582"/>
    <w:multiLevelType w:val="hybridMultilevel"/>
    <w:tmpl w:val="2A3EEE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3AF6E8E"/>
    <w:multiLevelType w:val="hybridMultilevel"/>
    <w:tmpl w:val="3F12FB90"/>
    <w:lvl w:ilvl="0" w:tplc="F1A860A6">
      <w:start w:val="3"/>
      <w:numFmt w:val="upperRoman"/>
      <w:lvlText w:val="%1."/>
      <w:lvlJc w:val="righ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3C111F91"/>
    <w:multiLevelType w:val="hybridMultilevel"/>
    <w:tmpl w:val="146CB2A4"/>
    <w:lvl w:ilvl="0" w:tplc="A99444C0">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210563"/>
    <w:multiLevelType w:val="hybridMultilevel"/>
    <w:tmpl w:val="AD24D6C0"/>
    <w:lvl w:ilvl="0" w:tplc="A2063962">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2E72FF"/>
    <w:multiLevelType w:val="hybridMultilevel"/>
    <w:tmpl w:val="CCA699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7E67FE7"/>
    <w:multiLevelType w:val="hybridMultilevel"/>
    <w:tmpl w:val="B3741AFA"/>
    <w:lvl w:ilvl="0" w:tplc="4246D42C">
      <w:start w:val="8"/>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F622269"/>
    <w:multiLevelType w:val="hybridMultilevel"/>
    <w:tmpl w:val="AB72AB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47316AC"/>
    <w:multiLevelType w:val="hybridMultilevel"/>
    <w:tmpl w:val="0284BF86"/>
    <w:lvl w:ilvl="0" w:tplc="E506A572">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8F4168"/>
    <w:multiLevelType w:val="multilevel"/>
    <w:tmpl w:val="D924D8D4"/>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42" w15:restartNumberingAfterBreak="0">
    <w:nsid w:val="57E654A7"/>
    <w:multiLevelType w:val="hybridMultilevel"/>
    <w:tmpl w:val="CA92D5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BA224B1"/>
    <w:multiLevelType w:val="hybridMultilevel"/>
    <w:tmpl w:val="B7AE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EB5053"/>
    <w:multiLevelType w:val="hybridMultilevel"/>
    <w:tmpl w:val="A836A05E"/>
    <w:lvl w:ilvl="0" w:tplc="D228ECB8">
      <w:start w:val="4"/>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01453E"/>
    <w:multiLevelType w:val="hybridMultilevel"/>
    <w:tmpl w:val="1DFCD3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5D6562"/>
    <w:multiLevelType w:val="hybridMultilevel"/>
    <w:tmpl w:val="EAC2971A"/>
    <w:lvl w:ilvl="0" w:tplc="3DB48ECA">
      <w:start w:val="5"/>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5C34BD"/>
    <w:multiLevelType w:val="hybridMultilevel"/>
    <w:tmpl w:val="53B6F106"/>
    <w:lvl w:ilvl="0" w:tplc="13422152">
      <w:start w:val="9"/>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DC32776"/>
    <w:multiLevelType w:val="hybridMultilevel"/>
    <w:tmpl w:val="8D3254E4"/>
    <w:lvl w:ilvl="0" w:tplc="083E960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2480CE1"/>
    <w:multiLevelType w:val="hybridMultilevel"/>
    <w:tmpl w:val="8A160B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5569DE"/>
    <w:multiLevelType w:val="hybridMultilevel"/>
    <w:tmpl w:val="5F604A3A"/>
    <w:lvl w:ilvl="0" w:tplc="3DB48ECA">
      <w:start w:val="5"/>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88A2236"/>
    <w:multiLevelType w:val="hybridMultilevel"/>
    <w:tmpl w:val="3BEAF8F6"/>
    <w:lvl w:ilvl="0" w:tplc="7932F7B2">
      <w:start w:val="1"/>
      <w:numFmt w:val="decimal"/>
      <w:lvlText w:val="%1."/>
      <w:lvlJc w:val="left"/>
      <w:pPr>
        <w:ind w:left="720" w:hanging="360"/>
      </w:pPr>
      <w:rPr>
        <w:b/>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EAD7F27"/>
    <w:multiLevelType w:val="hybridMultilevel"/>
    <w:tmpl w:val="C2AA7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472946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346249164">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201576743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993604406">
    <w:abstractNumId w:val="43"/>
  </w:num>
  <w:num w:numId="5" w16cid:durableId="1522040624">
    <w:abstractNumId w:val="31"/>
  </w:num>
  <w:num w:numId="6" w16cid:durableId="362438559">
    <w:abstractNumId w:val="32"/>
  </w:num>
  <w:num w:numId="7" w16cid:durableId="2099446890">
    <w:abstractNumId w:val="25"/>
  </w:num>
  <w:num w:numId="8" w16cid:durableId="514005106">
    <w:abstractNumId w:val="26"/>
  </w:num>
  <w:num w:numId="9" w16cid:durableId="298875123">
    <w:abstractNumId w:val="42"/>
  </w:num>
  <w:num w:numId="10" w16cid:durableId="1227112723">
    <w:abstractNumId w:val="37"/>
  </w:num>
  <w:num w:numId="11" w16cid:durableId="1825125993">
    <w:abstractNumId w:val="41"/>
  </w:num>
  <w:num w:numId="12" w16cid:durableId="484859461">
    <w:abstractNumId w:val="39"/>
  </w:num>
  <w:num w:numId="13" w16cid:durableId="1210799449">
    <w:abstractNumId w:val="51"/>
  </w:num>
  <w:num w:numId="14" w16cid:durableId="512770056">
    <w:abstractNumId w:val="34"/>
  </w:num>
  <w:num w:numId="15" w16cid:durableId="1483348247">
    <w:abstractNumId w:val="36"/>
  </w:num>
  <w:num w:numId="16" w16cid:durableId="1222253899">
    <w:abstractNumId w:val="28"/>
  </w:num>
  <w:num w:numId="17" w16cid:durableId="361636865">
    <w:abstractNumId w:val="52"/>
  </w:num>
  <w:num w:numId="18" w16cid:durableId="1304771792">
    <w:abstractNumId w:val="33"/>
  </w:num>
  <w:num w:numId="19" w16cid:durableId="1499341832">
    <w:abstractNumId w:val="23"/>
  </w:num>
  <w:num w:numId="20" w16cid:durableId="1279145226">
    <w:abstractNumId w:val="49"/>
  </w:num>
  <w:num w:numId="21" w16cid:durableId="630130373">
    <w:abstractNumId w:val="45"/>
  </w:num>
  <w:num w:numId="22" w16cid:durableId="180170023">
    <w:abstractNumId w:val="48"/>
  </w:num>
  <w:num w:numId="23" w16cid:durableId="1282150815">
    <w:abstractNumId w:val="30"/>
  </w:num>
  <w:num w:numId="24" w16cid:durableId="632634935">
    <w:abstractNumId w:val="24"/>
  </w:num>
  <w:num w:numId="25" w16cid:durableId="183130001">
    <w:abstractNumId w:val="29"/>
  </w:num>
  <w:num w:numId="26" w16cid:durableId="1475222381">
    <w:abstractNumId w:val="44"/>
  </w:num>
  <w:num w:numId="27" w16cid:durableId="1491218230">
    <w:abstractNumId w:val="40"/>
  </w:num>
  <w:num w:numId="28" w16cid:durableId="1010986160">
    <w:abstractNumId w:val="50"/>
  </w:num>
  <w:num w:numId="29" w16cid:durableId="1726639967">
    <w:abstractNumId w:val="46"/>
  </w:num>
  <w:num w:numId="30" w16cid:durableId="1999338855">
    <w:abstractNumId w:val="35"/>
  </w:num>
  <w:num w:numId="31" w16cid:durableId="2063752453">
    <w:abstractNumId w:val="38"/>
  </w:num>
  <w:num w:numId="32" w16cid:durableId="1694528796">
    <w:abstractNumId w:val="27"/>
  </w:num>
  <w:num w:numId="33" w16cid:durableId="1424188101">
    <w:abstractNumId w:val="4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4C6"/>
    <w:rsid w:val="00000DE4"/>
    <w:rsid w:val="000011DF"/>
    <w:rsid w:val="00001486"/>
    <w:rsid w:val="00001C93"/>
    <w:rsid w:val="0000201A"/>
    <w:rsid w:val="000024DD"/>
    <w:rsid w:val="0000288B"/>
    <w:rsid w:val="00002B73"/>
    <w:rsid w:val="0000305D"/>
    <w:rsid w:val="0000357D"/>
    <w:rsid w:val="000036AB"/>
    <w:rsid w:val="000037A7"/>
    <w:rsid w:val="00003F85"/>
    <w:rsid w:val="0000405D"/>
    <w:rsid w:val="00004200"/>
    <w:rsid w:val="000048EC"/>
    <w:rsid w:val="00004A02"/>
    <w:rsid w:val="00004F64"/>
    <w:rsid w:val="000056BA"/>
    <w:rsid w:val="0000655A"/>
    <w:rsid w:val="00007141"/>
    <w:rsid w:val="00007781"/>
    <w:rsid w:val="00010639"/>
    <w:rsid w:val="00010D3B"/>
    <w:rsid w:val="000116C0"/>
    <w:rsid w:val="00011F84"/>
    <w:rsid w:val="000127F9"/>
    <w:rsid w:val="0001289E"/>
    <w:rsid w:val="0001323B"/>
    <w:rsid w:val="00014C7A"/>
    <w:rsid w:val="00015CBB"/>
    <w:rsid w:val="00015D1A"/>
    <w:rsid w:val="00015FC7"/>
    <w:rsid w:val="00016214"/>
    <w:rsid w:val="0001631E"/>
    <w:rsid w:val="0001642B"/>
    <w:rsid w:val="00016803"/>
    <w:rsid w:val="00016B25"/>
    <w:rsid w:val="0001706D"/>
    <w:rsid w:val="00017349"/>
    <w:rsid w:val="00021274"/>
    <w:rsid w:val="00021462"/>
    <w:rsid w:val="000214C4"/>
    <w:rsid w:val="000217D1"/>
    <w:rsid w:val="00021B60"/>
    <w:rsid w:val="00021DFF"/>
    <w:rsid w:val="00021FE0"/>
    <w:rsid w:val="00022471"/>
    <w:rsid w:val="00022BB9"/>
    <w:rsid w:val="00022BEE"/>
    <w:rsid w:val="000231AE"/>
    <w:rsid w:val="000237D4"/>
    <w:rsid w:val="00023826"/>
    <w:rsid w:val="000238BF"/>
    <w:rsid w:val="00023946"/>
    <w:rsid w:val="00023E67"/>
    <w:rsid w:val="000248F0"/>
    <w:rsid w:val="0002531F"/>
    <w:rsid w:val="00025F57"/>
    <w:rsid w:val="000260A4"/>
    <w:rsid w:val="00026A2A"/>
    <w:rsid w:val="00026D63"/>
    <w:rsid w:val="00026EED"/>
    <w:rsid w:val="00027093"/>
    <w:rsid w:val="00027326"/>
    <w:rsid w:val="000278E7"/>
    <w:rsid w:val="00027D15"/>
    <w:rsid w:val="000300C6"/>
    <w:rsid w:val="000302A3"/>
    <w:rsid w:val="000305B3"/>
    <w:rsid w:val="0003098A"/>
    <w:rsid w:val="00030B7E"/>
    <w:rsid w:val="00030F53"/>
    <w:rsid w:val="00031B3A"/>
    <w:rsid w:val="00031B97"/>
    <w:rsid w:val="00031BCB"/>
    <w:rsid w:val="00032A84"/>
    <w:rsid w:val="0003304C"/>
    <w:rsid w:val="00033563"/>
    <w:rsid w:val="0003369C"/>
    <w:rsid w:val="00034257"/>
    <w:rsid w:val="0003442F"/>
    <w:rsid w:val="0003444C"/>
    <w:rsid w:val="00034C4A"/>
    <w:rsid w:val="00035050"/>
    <w:rsid w:val="00035083"/>
    <w:rsid w:val="000354CE"/>
    <w:rsid w:val="0003567C"/>
    <w:rsid w:val="00035CFD"/>
    <w:rsid w:val="00035E72"/>
    <w:rsid w:val="0003601C"/>
    <w:rsid w:val="000363ED"/>
    <w:rsid w:val="00036865"/>
    <w:rsid w:val="00036BF0"/>
    <w:rsid w:val="00036BF8"/>
    <w:rsid w:val="00036EB4"/>
    <w:rsid w:val="00036F0D"/>
    <w:rsid w:val="0003767B"/>
    <w:rsid w:val="0003779F"/>
    <w:rsid w:val="00037E12"/>
    <w:rsid w:val="00037F48"/>
    <w:rsid w:val="0004046C"/>
    <w:rsid w:val="000404ED"/>
    <w:rsid w:val="00040D44"/>
    <w:rsid w:val="00040DCB"/>
    <w:rsid w:val="00041B44"/>
    <w:rsid w:val="00042327"/>
    <w:rsid w:val="0004233D"/>
    <w:rsid w:val="00042612"/>
    <w:rsid w:val="0004262E"/>
    <w:rsid w:val="000426CF"/>
    <w:rsid w:val="000426F2"/>
    <w:rsid w:val="00042780"/>
    <w:rsid w:val="00042C95"/>
    <w:rsid w:val="0004332E"/>
    <w:rsid w:val="00043515"/>
    <w:rsid w:val="00043D6D"/>
    <w:rsid w:val="00044132"/>
    <w:rsid w:val="00044190"/>
    <w:rsid w:val="00044436"/>
    <w:rsid w:val="000444CB"/>
    <w:rsid w:val="00044665"/>
    <w:rsid w:val="000447C9"/>
    <w:rsid w:val="000449F8"/>
    <w:rsid w:val="00044B2F"/>
    <w:rsid w:val="00044C8C"/>
    <w:rsid w:val="00044CCF"/>
    <w:rsid w:val="00045479"/>
    <w:rsid w:val="0004572B"/>
    <w:rsid w:val="00045BD6"/>
    <w:rsid w:val="00045C51"/>
    <w:rsid w:val="00046151"/>
    <w:rsid w:val="000463ED"/>
    <w:rsid w:val="000467A7"/>
    <w:rsid w:val="000468C6"/>
    <w:rsid w:val="00046A82"/>
    <w:rsid w:val="00046BEE"/>
    <w:rsid w:val="00046E13"/>
    <w:rsid w:val="000470EE"/>
    <w:rsid w:val="00047502"/>
    <w:rsid w:val="00047EFC"/>
    <w:rsid w:val="0005007B"/>
    <w:rsid w:val="000503F8"/>
    <w:rsid w:val="000505A3"/>
    <w:rsid w:val="00050991"/>
    <w:rsid w:val="000517FA"/>
    <w:rsid w:val="00051841"/>
    <w:rsid w:val="00052B36"/>
    <w:rsid w:val="00052E0B"/>
    <w:rsid w:val="000531E5"/>
    <w:rsid w:val="00053A2C"/>
    <w:rsid w:val="00053EB0"/>
    <w:rsid w:val="0005415C"/>
    <w:rsid w:val="0005443E"/>
    <w:rsid w:val="000549B0"/>
    <w:rsid w:val="00054F63"/>
    <w:rsid w:val="00054FAB"/>
    <w:rsid w:val="00055243"/>
    <w:rsid w:val="00055B40"/>
    <w:rsid w:val="00055C58"/>
    <w:rsid w:val="00055F2C"/>
    <w:rsid w:val="000560C2"/>
    <w:rsid w:val="00056AA3"/>
    <w:rsid w:val="00057464"/>
    <w:rsid w:val="00057519"/>
    <w:rsid w:val="00057566"/>
    <w:rsid w:val="00057823"/>
    <w:rsid w:val="00057840"/>
    <w:rsid w:val="0006068F"/>
    <w:rsid w:val="000608C9"/>
    <w:rsid w:val="00060B09"/>
    <w:rsid w:val="00060D39"/>
    <w:rsid w:val="00060F42"/>
    <w:rsid w:val="00061875"/>
    <w:rsid w:val="00061949"/>
    <w:rsid w:val="00061962"/>
    <w:rsid w:val="00061DE9"/>
    <w:rsid w:val="00061F0D"/>
    <w:rsid w:val="000624C4"/>
    <w:rsid w:val="000625FB"/>
    <w:rsid w:val="00062BD8"/>
    <w:rsid w:val="000633D3"/>
    <w:rsid w:val="000634A9"/>
    <w:rsid w:val="0006398D"/>
    <w:rsid w:val="00063D2A"/>
    <w:rsid w:val="0006436A"/>
    <w:rsid w:val="00064492"/>
    <w:rsid w:val="00064779"/>
    <w:rsid w:val="00064DE2"/>
    <w:rsid w:val="00065777"/>
    <w:rsid w:val="00065AB2"/>
    <w:rsid w:val="00065FC0"/>
    <w:rsid w:val="000663CB"/>
    <w:rsid w:val="0006652C"/>
    <w:rsid w:val="00066A7B"/>
    <w:rsid w:val="00066C52"/>
    <w:rsid w:val="00067241"/>
    <w:rsid w:val="0006792A"/>
    <w:rsid w:val="00067C9A"/>
    <w:rsid w:val="00067D2F"/>
    <w:rsid w:val="0007004F"/>
    <w:rsid w:val="000701E4"/>
    <w:rsid w:val="0007073F"/>
    <w:rsid w:val="00070B6C"/>
    <w:rsid w:val="00071178"/>
    <w:rsid w:val="0007139F"/>
    <w:rsid w:val="000713A9"/>
    <w:rsid w:val="0007157F"/>
    <w:rsid w:val="00071E71"/>
    <w:rsid w:val="000724F1"/>
    <w:rsid w:val="0007306B"/>
    <w:rsid w:val="00073249"/>
    <w:rsid w:val="00073633"/>
    <w:rsid w:val="0007378F"/>
    <w:rsid w:val="00073B6D"/>
    <w:rsid w:val="000743D1"/>
    <w:rsid w:val="00074876"/>
    <w:rsid w:val="00074F0B"/>
    <w:rsid w:val="000751B9"/>
    <w:rsid w:val="00075852"/>
    <w:rsid w:val="00075E1D"/>
    <w:rsid w:val="00076077"/>
    <w:rsid w:val="00076117"/>
    <w:rsid w:val="00076525"/>
    <w:rsid w:val="00076601"/>
    <w:rsid w:val="000767C0"/>
    <w:rsid w:val="00076815"/>
    <w:rsid w:val="0007690D"/>
    <w:rsid w:val="000770F2"/>
    <w:rsid w:val="00077410"/>
    <w:rsid w:val="00077695"/>
    <w:rsid w:val="00077C5C"/>
    <w:rsid w:val="00080180"/>
    <w:rsid w:val="00080666"/>
    <w:rsid w:val="00080E4A"/>
    <w:rsid w:val="000812D7"/>
    <w:rsid w:val="00081663"/>
    <w:rsid w:val="00081692"/>
    <w:rsid w:val="00081FD8"/>
    <w:rsid w:val="00082B75"/>
    <w:rsid w:val="00083A74"/>
    <w:rsid w:val="00083A76"/>
    <w:rsid w:val="00083B16"/>
    <w:rsid w:val="000840DC"/>
    <w:rsid w:val="000846B7"/>
    <w:rsid w:val="00085230"/>
    <w:rsid w:val="00085249"/>
    <w:rsid w:val="00085266"/>
    <w:rsid w:val="000857B2"/>
    <w:rsid w:val="00085C14"/>
    <w:rsid w:val="000868C0"/>
    <w:rsid w:val="000868F4"/>
    <w:rsid w:val="00086ABA"/>
    <w:rsid w:val="00086F2F"/>
    <w:rsid w:val="000874D7"/>
    <w:rsid w:val="0008759E"/>
    <w:rsid w:val="000875EC"/>
    <w:rsid w:val="00087728"/>
    <w:rsid w:val="000879EA"/>
    <w:rsid w:val="00087D37"/>
    <w:rsid w:val="00087EE9"/>
    <w:rsid w:val="00090155"/>
    <w:rsid w:val="000902ED"/>
    <w:rsid w:val="00090416"/>
    <w:rsid w:val="00090B5D"/>
    <w:rsid w:val="00091167"/>
    <w:rsid w:val="0009134A"/>
    <w:rsid w:val="00091888"/>
    <w:rsid w:val="00091968"/>
    <w:rsid w:val="00091ABD"/>
    <w:rsid w:val="00091AE2"/>
    <w:rsid w:val="00091B54"/>
    <w:rsid w:val="00091D71"/>
    <w:rsid w:val="00091D92"/>
    <w:rsid w:val="00091E7F"/>
    <w:rsid w:val="00091EAA"/>
    <w:rsid w:val="0009205D"/>
    <w:rsid w:val="000923E0"/>
    <w:rsid w:val="00092555"/>
    <w:rsid w:val="00092839"/>
    <w:rsid w:val="000929B5"/>
    <w:rsid w:val="00092F1B"/>
    <w:rsid w:val="00093239"/>
    <w:rsid w:val="000939E6"/>
    <w:rsid w:val="00093D8C"/>
    <w:rsid w:val="0009506F"/>
    <w:rsid w:val="0009535D"/>
    <w:rsid w:val="0009583F"/>
    <w:rsid w:val="00095C0D"/>
    <w:rsid w:val="00095C46"/>
    <w:rsid w:val="00095CA3"/>
    <w:rsid w:val="00095CAE"/>
    <w:rsid w:val="00096870"/>
    <w:rsid w:val="000969E2"/>
    <w:rsid w:val="00096D63"/>
    <w:rsid w:val="00096DC7"/>
    <w:rsid w:val="00096FDD"/>
    <w:rsid w:val="00097365"/>
    <w:rsid w:val="00097EDE"/>
    <w:rsid w:val="000A00F7"/>
    <w:rsid w:val="000A134A"/>
    <w:rsid w:val="000A13F5"/>
    <w:rsid w:val="000A168A"/>
    <w:rsid w:val="000A1CE9"/>
    <w:rsid w:val="000A21D1"/>
    <w:rsid w:val="000A2208"/>
    <w:rsid w:val="000A2A87"/>
    <w:rsid w:val="000A2C5E"/>
    <w:rsid w:val="000A2DE7"/>
    <w:rsid w:val="000A3243"/>
    <w:rsid w:val="000A3310"/>
    <w:rsid w:val="000A37E0"/>
    <w:rsid w:val="000A3878"/>
    <w:rsid w:val="000A390C"/>
    <w:rsid w:val="000A39E1"/>
    <w:rsid w:val="000A3BF3"/>
    <w:rsid w:val="000A40EC"/>
    <w:rsid w:val="000A4CE8"/>
    <w:rsid w:val="000A4D5E"/>
    <w:rsid w:val="000A55DB"/>
    <w:rsid w:val="000A6159"/>
    <w:rsid w:val="000A6305"/>
    <w:rsid w:val="000A658C"/>
    <w:rsid w:val="000A6885"/>
    <w:rsid w:val="000A6A65"/>
    <w:rsid w:val="000A6BA3"/>
    <w:rsid w:val="000A7279"/>
    <w:rsid w:val="000A74EE"/>
    <w:rsid w:val="000A76CE"/>
    <w:rsid w:val="000A770F"/>
    <w:rsid w:val="000A7A05"/>
    <w:rsid w:val="000B0775"/>
    <w:rsid w:val="000B07D7"/>
    <w:rsid w:val="000B0B3D"/>
    <w:rsid w:val="000B0C59"/>
    <w:rsid w:val="000B11FA"/>
    <w:rsid w:val="000B1344"/>
    <w:rsid w:val="000B174C"/>
    <w:rsid w:val="000B190E"/>
    <w:rsid w:val="000B1A5B"/>
    <w:rsid w:val="000B1ECC"/>
    <w:rsid w:val="000B22E4"/>
    <w:rsid w:val="000B28EF"/>
    <w:rsid w:val="000B2A2E"/>
    <w:rsid w:val="000B3724"/>
    <w:rsid w:val="000B3A37"/>
    <w:rsid w:val="000B3FDB"/>
    <w:rsid w:val="000B438F"/>
    <w:rsid w:val="000B4852"/>
    <w:rsid w:val="000B490F"/>
    <w:rsid w:val="000B5324"/>
    <w:rsid w:val="000B6442"/>
    <w:rsid w:val="000B6624"/>
    <w:rsid w:val="000B7044"/>
    <w:rsid w:val="000C04C6"/>
    <w:rsid w:val="000C0BFA"/>
    <w:rsid w:val="000C0E15"/>
    <w:rsid w:val="000C12C6"/>
    <w:rsid w:val="000C12CA"/>
    <w:rsid w:val="000C148C"/>
    <w:rsid w:val="000C1882"/>
    <w:rsid w:val="000C1A8A"/>
    <w:rsid w:val="000C1AE0"/>
    <w:rsid w:val="000C1B23"/>
    <w:rsid w:val="000C1B53"/>
    <w:rsid w:val="000C1ED8"/>
    <w:rsid w:val="000C1F5A"/>
    <w:rsid w:val="000C2010"/>
    <w:rsid w:val="000C21B4"/>
    <w:rsid w:val="000C258F"/>
    <w:rsid w:val="000C295F"/>
    <w:rsid w:val="000C2BEF"/>
    <w:rsid w:val="000C2E3C"/>
    <w:rsid w:val="000C2E74"/>
    <w:rsid w:val="000C31BE"/>
    <w:rsid w:val="000C368E"/>
    <w:rsid w:val="000C3779"/>
    <w:rsid w:val="000C37D7"/>
    <w:rsid w:val="000C38BD"/>
    <w:rsid w:val="000C38C7"/>
    <w:rsid w:val="000C4034"/>
    <w:rsid w:val="000C4141"/>
    <w:rsid w:val="000C43DE"/>
    <w:rsid w:val="000C46E4"/>
    <w:rsid w:val="000C4850"/>
    <w:rsid w:val="000C4A8F"/>
    <w:rsid w:val="000C53C3"/>
    <w:rsid w:val="000C5444"/>
    <w:rsid w:val="000C56FB"/>
    <w:rsid w:val="000C5887"/>
    <w:rsid w:val="000C5C82"/>
    <w:rsid w:val="000C642E"/>
    <w:rsid w:val="000C6C6A"/>
    <w:rsid w:val="000C754D"/>
    <w:rsid w:val="000C799D"/>
    <w:rsid w:val="000C7C9A"/>
    <w:rsid w:val="000C7EFB"/>
    <w:rsid w:val="000D0425"/>
    <w:rsid w:val="000D0695"/>
    <w:rsid w:val="000D0823"/>
    <w:rsid w:val="000D08E3"/>
    <w:rsid w:val="000D0C2F"/>
    <w:rsid w:val="000D1123"/>
    <w:rsid w:val="000D1822"/>
    <w:rsid w:val="000D1C41"/>
    <w:rsid w:val="000D2DB7"/>
    <w:rsid w:val="000D2E4B"/>
    <w:rsid w:val="000D3416"/>
    <w:rsid w:val="000D343F"/>
    <w:rsid w:val="000D34E1"/>
    <w:rsid w:val="000D37E7"/>
    <w:rsid w:val="000D43FF"/>
    <w:rsid w:val="000D4468"/>
    <w:rsid w:val="000D4A64"/>
    <w:rsid w:val="000D5964"/>
    <w:rsid w:val="000D5DCE"/>
    <w:rsid w:val="000D6411"/>
    <w:rsid w:val="000D663D"/>
    <w:rsid w:val="000D6DCE"/>
    <w:rsid w:val="000D750A"/>
    <w:rsid w:val="000D7738"/>
    <w:rsid w:val="000D7AAD"/>
    <w:rsid w:val="000D7B43"/>
    <w:rsid w:val="000D7BDB"/>
    <w:rsid w:val="000E0408"/>
    <w:rsid w:val="000E0581"/>
    <w:rsid w:val="000E07E7"/>
    <w:rsid w:val="000E0DD1"/>
    <w:rsid w:val="000E0E95"/>
    <w:rsid w:val="000E107D"/>
    <w:rsid w:val="000E1485"/>
    <w:rsid w:val="000E1AA2"/>
    <w:rsid w:val="000E20A2"/>
    <w:rsid w:val="000E2657"/>
    <w:rsid w:val="000E26F9"/>
    <w:rsid w:val="000E2AD5"/>
    <w:rsid w:val="000E2B3B"/>
    <w:rsid w:val="000E3583"/>
    <w:rsid w:val="000E3E2A"/>
    <w:rsid w:val="000E46F3"/>
    <w:rsid w:val="000E48B8"/>
    <w:rsid w:val="000E51C0"/>
    <w:rsid w:val="000E53DF"/>
    <w:rsid w:val="000E55CC"/>
    <w:rsid w:val="000E55F9"/>
    <w:rsid w:val="000E5C64"/>
    <w:rsid w:val="000E5DF2"/>
    <w:rsid w:val="000E5E84"/>
    <w:rsid w:val="000E6466"/>
    <w:rsid w:val="000E6BCF"/>
    <w:rsid w:val="000E7CE8"/>
    <w:rsid w:val="000E7F42"/>
    <w:rsid w:val="000F0754"/>
    <w:rsid w:val="000F0EAF"/>
    <w:rsid w:val="000F0EE3"/>
    <w:rsid w:val="000F1840"/>
    <w:rsid w:val="000F185E"/>
    <w:rsid w:val="000F1B3A"/>
    <w:rsid w:val="000F1D68"/>
    <w:rsid w:val="000F1E49"/>
    <w:rsid w:val="000F2ABA"/>
    <w:rsid w:val="000F3359"/>
    <w:rsid w:val="000F4069"/>
    <w:rsid w:val="000F4112"/>
    <w:rsid w:val="000F46ED"/>
    <w:rsid w:val="000F497C"/>
    <w:rsid w:val="000F4AAA"/>
    <w:rsid w:val="000F4B58"/>
    <w:rsid w:val="000F4DA3"/>
    <w:rsid w:val="000F5223"/>
    <w:rsid w:val="000F5631"/>
    <w:rsid w:val="000F57B0"/>
    <w:rsid w:val="000F5A36"/>
    <w:rsid w:val="000F5B56"/>
    <w:rsid w:val="000F5EAD"/>
    <w:rsid w:val="000F6973"/>
    <w:rsid w:val="000F6A5C"/>
    <w:rsid w:val="000F7258"/>
    <w:rsid w:val="000F7354"/>
    <w:rsid w:val="000F7423"/>
    <w:rsid w:val="000F742A"/>
    <w:rsid w:val="000F74CA"/>
    <w:rsid w:val="000F7562"/>
    <w:rsid w:val="000F7600"/>
    <w:rsid w:val="000F7ECC"/>
    <w:rsid w:val="000F7F0F"/>
    <w:rsid w:val="00100021"/>
    <w:rsid w:val="00100159"/>
    <w:rsid w:val="001002CF"/>
    <w:rsid w:val="00100875"/>
    <w:rsid w:val="00100B45"/>
    <w:rsid w:val="00100C25"/>
    <w:rsid w:val="00101BB2"/>
    <w:rsid w:val="00101DEE"/>
    <w:rsid w:val="00102629"/>
    <w:rsid w:val="00102A0E"/>
    <w:rsid w:val="00102AFC"/>
    <w:rsid w:val="00102B34"/>
    <w:rsid w:val="00102CA4"/>
    <w:rsid w:val="001039FA"/>
    <w:rsid w:val="00103B2C"/>
    <w:rsid w:val="00103BF9"/>
    <w:rsid w:val="00104ACF"/>
    <w:rsid w:val="00104FF4"/>
    <w:rsid w:val="001056A7"/>
    <w:rsid w:val="0010579F"/>
    <w:rsid w:val="00105EA9"/>
    <w:rsid w:val="001061C6"/>
    <w:rsid w:val="001067F8"/>
    <w:rsid w:val="00106955"/>
    <w:rsid w:val="0011011A"/>
    <w:rsid w:val="00110608"/>
    <w:rsid w:val="00110869"/>
    <w:rsid w:val="00110CB0"/>
    <w:rsid w:val="00110FF0"/>
    <w:rsid w:val="0011111A"/>
    <w:rsid w:val="001113A1"/>
    <w:rsid w:val="0011187F"/>
    <w:rsid w:val="00111C6B"/>
    <w:rsid w:val="0011206A"/>
    <w:rsid w:val="00112084"/>
    <w:rsid w:val="001122A3"/>
    <w:rsid w:val="0011277D"/>
    <w:rsid w:val="00112C81"/>
    <w:rsid w:val="00112D9B"/>
    <w:rsid w:val="0011326F"/>
    <w:rsid w:val="001138FC"/>
    <w:rsid w:val="0011390F"/>
    <w:rsid w:val="00113B5F"/>
    <w:rsid w:val="001144E6"/>
    <w:rsid w:val="00114D75"/>
    <w:rsid w:val="00114EE7"/>
    <w:rsid w:val="0011522A"/>
    <w:rsid w:val="00115887"/>
    <w:rsid w:val="0011593D"/>
    <w:rsid w:val="00115B48"/>
    <w:rsid w:val="00115DF5"/>
    <w:rsid w:val="0011602D"/>
    <w:rsid w:val="00116055"/>
    <w:rsid w:val="0011704F"/>
    <w:rsid w:val="001170E4"/>
    <w:rsid w:val="00117115"/>
    <w:rsid w:val="001174A0"/>
    <w:rsid w:val="0012003C"/>
    <w:rsid w:val="001202E3"/>
    <w:rsid w:val="00120343"/>
    <w:rsid w:val="001206AB"/>
    <w:rsid w:val="00120C4D"/>
    <w:rsid w:val="00120CA4"/>
    <w:rsid w:val="0012164B"/>
    <w:rsid w:val="001216F8"/>
    <w:rsid w:val="00121772"/>
    <w:rsid w:val="00121D31"/>
    <w:rsid w:val="00121E85"/>
    <w:rsid w:val="00121EFC"/>
    <w:rsid w:val="00122159"/>
    <w:rsid w:val="00122228"/>
    <w:rsid w:val="00122371"/>
    <w:rsid w:val="001225BC"/>
    <w:rsid w:val="0012279E"/>
    <w:rsid w:val="00122839"/>
    <w:rsid w:val="00122BD3"/>
    <w:rsid w:val="00122BDA"/>
    <w:rsid w:val="00123137"/>
    <w:rsid w:val="0012387B"/>
    <w:rsid w:val="00123D7E"/>
    <w:rsid w:val="001241D9"/>
    <w:rsid w:val="00124464"/>
    <w:rsid w:val="001244C7"/>
    <w:rsid w:val="00124501"/>
    <w:rsid w:val="00125065"/>
    <w:rsid w:val="00125345"/>
    <w:rsid w:val="00125C8A"/>
    <w:rsid w:val="00125E4B"/>
    <w:rsid w:val="00125E6B"/>
    <w:rsid w:val="001263CD"/>
    <w:rsid w:val="00126A06"/>
    <w:rsid w:val="00126AA9"/>
    <w:rsid w:val="00127759"/>
    <w:rsid w:val="00127F67"/>
    <w:rsid w:val="001312D1"/>
    <w:rsid w:val="00131C19"/>
    <w:rsid w:val="00131C70"/>
    <w:rsid w:val="00132154"/>
    <w:rsid w:val="0013224D"/>
    <w:rsid w:val="001322F1"/>
    <w:rsid w:val="001323D7"/>
    <w:rsid w:val="001327BC"/>
    <w:rsid w:val="00132992"/>
    <w:rsid w:val="00132E26"/>
    <w:rsid w:val="00132F71"/>
    <w:rsid w:val="0013305C"/>
    <w:rsid w:val="001330E6"/>
    <w:rsid w:val="001331CF"/>
    <w:rsid w:val="00133C32"/>
    <w:rsid w:val="00133EF5"/>
    <w:rsid w:val="001341FE"/>
    <w:rsid w:val="0013481B"/>
    <w:rsid w:val="00134F5D"/>
    <w:rsid w:val="0013510C"/>
    <w:rsid w:val="001352DD"/>
    <w:rsid w:val="001358F0"/>
    <w:rsid w:val="00135D7B"/>
    <w:rsid w:val="00135D9E"/>
    <w:rsid w:val="00135FF4"/>
    <w:rsid w:val="0013690F"/>
    <w:rsid w:val="00136DA3"/>
    <w:rsid w:val="00136F1F"/>
    <w:rsid w:val="00136FA2"/>
    <w:rsid w:val="001370A5"/>
    <w:rsid w:val="00137104"/>
    <w:rsid w:val="001373D1"/>
    <w:rsid w:val="0013743D"/>
    <w:rsid w:val="00137B27"/>
    <w:rsid w:val="00137EF5"/>
    <w:rsid w:val="00140527"/>
    <w:rsid w:val="00140958"/>
    <w:rsid w:val="001409B1"/>
    <w:rsid w:val="00140C21"/>
    <w:rsid w:val="00141059"/>
    <w:rsid w:val="001415E0"/>
    <w:rsid w:val="00141758"/>
    <w:rsid w:val="00141808"/>
    <w:rsid w:val="00141F18"/>
    <w:rsid w:val="00142198"/>
    <w:rsid w:val="0014284E"/>
    <w:rsid w:val="00142A72"/>
    <w:rsid w:val="00142B26"/>
    <w:rsid w:val="00143518"/>
    <w:rsid w:val="00143ACD"/>
    <w:rsid w:val="0014420A"/>
    <w:rsid w:val="00144A53"/>
    <w:rsid w:val="00145320"/>
    <w:rsid w:val="001453FF"/>
    <w:rsid w:val="00145691"/>
    <w:rsid w:val="00145775"/>
    <w:rsid w:val="00145BC1"/>
    <w:rsid w:val="00145F2C"/>
    <w:rsid w:val="001469F6"/>
    <w:rsid w:val="001471B8"/>
    <w:rsid w:val="00147478"/>
    <w:rsid w:val="00147620"/>
    <w:rsid w:val="00147B99"/>
    <w:rsid w:val="00147E32"/>
    <w:rsid w:val="00147F24"/>
    <w:rsid w:val="00147F8B"/>
    <w:rsid w:val="001508CB"/>
    <w:rsid w:val="001509BF"/>
    <w:rsid w:val="00150B43"/>
    <w:rsid w:val="00150EBE"/>
    <w:rsid w:val="00150F03"/>
    <w:rsid w:val="001515BB"/>
    <w:rsid w:val="00151F92"/>
    <w:rsid w:val="00152207"/>
    <w:rsid w:val="00152463"/>
    <w:rsid w:val="001524AD"/>
    <w:rsid w:val="001525FD"/>
    <w:rsid w:val="00152EDD"/>
    <w:rsid w:val="0015343F"/>
    <w:rsid w:val="0015367C"/>
    <w:rsid w:val="001537B2"/>
    <w:rsid w:val="00154240"/>
    <w:rsid w:val="001543E8"/>
    <w:rsid w:val="0015466A"/>
    <w:rsid w:val="00155591"/>
    <w:rsid w:val="00155F99"/>
    <w:rsid w:val="001568CC"/>
    <w:rsid w:val="00156BBB"/>
    <w:rsid w:val="00156CD6"/>
    <w:rsid w:val="00156E0C"/>
    <w:rsid w:val="00156FA4"/>
    <w:rsid w:val="00157122"/>
    <w:rsid w:val="0015714F"/>
    <w:rsid w:val="00157520"/>
    <w:rsid w:val="00157672"/>
    <w:rsid w:val="001579FD"/>
    <w:rsid w:val="00157BC4"/>
    <w:rsid w:val="001606E2"/>
    <w:rsid w:val="00160860"/>
    <w:rsid w:val="00160B31"/>
    <w:rsid w:val="00160D09"/>
    <w:rsid w:val="001610B6"/>
    <w:rsid w:val="00161736"/>
    <w:rsid w:val="00161740"/>
    <w:rsid w:val="001618C4"/>
    <w:rsid w:val="001619C5"/>
    <w:rsid w:val="00161A3A"/>
    <w:rsid w:val="00161A63"/>
    <w:rsid w:val="0016233D"/>
    <w:rsid w:val="001623D3"/>
    <w:rsid w:val="001627E4"/>
    <w:rsid w:val="00162C82"/>
    <w:rsid w:val="001633D0"/>
    <w:rsid w:val="00163980"/>
    <w:rsid w:val="00163C16"/>
    <w:rsid w:val="00163E13"/>
    <w:rsid w:val="00163E90"/>
    <w:rsid w:val="00163F37"/>
    <w:rsid w:val="00164306"/>
    <w:rsid w:val="001647BB"/>
    <w:rsid w:val="00164A79"/>
    <w:rsid w:val="00164C1E"/>
    <w:rsid w:val="00164DA9"/>
    <w:rsid w:val="00165411"/>
    <w:rsid w:val="00165A1F"/>
    <w:rsid w:val="00165F05"/>
    <w:rsid w:val="00166030"/>
    <w:rsid w:val="0016658C"/>
    <w:rsid w:val="00166CCD"/>
    <w:rsid w:val="00166D8B"/>
    <w:rsid w:val="00166FC3"/>
    <w:rsid w:val="001674C7"/>
    <w:rsid w:val="0016763E"/>
    <w:rsid w:val="00167C23"/>
    <w:rsid w:val="00170436"/>
    <w:rsid w:val="0017068E"/>
    <w:rsid w:val="00170E5C"/>
    <w:rsid w:val="00171537"/>
    <w:rsid w:val="001715A7"/>
    <w:rsid w:val="00172085"/>
    <w:rsid w:val="001729BD"/>
    <w:rsid w:val="00172ED4"/>
    <w:rsid w:val="00173143"/>
    <w:rsid w:val="00173574"/>
    <w:rsid w:val="00173853"/>
    <w:rsid w:val="00173F43"/>
    <w:rsid w:val="0017406D"/>
    <w:rsid w:val="00174C75"/>
    <w:rsid w:val="00174E4A"/>
    <w:rsid w:val="0017552C"/>
    <w:rsid w:val="001761F4"/>
    <w:rsid w:val="00176295"/>
    <w:rsid w:val="00176385"/>
    <w:rsid w:val="001768D7"/>
    <w:rsid w:val="00176A73"/>
    <w:rsid w:val="00176DF8"/>
    <w:rsid w:val="00177077"/>
    <w:rsid w:val="0017732F"/>
    <w:rsid w:val="00177A1E"/>
    <w:rsid w:val="00177D70"/>
    <w:rsid w:val="00177FA1"/>
    <w:rsid w:val="00180191"/>
    <w:rsid w:val="0018037D"/>
    <w:rsid w:val="00181286"/>
    <w:rsid w:val="001819F6"/>
    <w:rsid w:val="00181BC3"/>
    <w:rsid w:val="00181CF4"/>
    <w:rsid w:val="001821E6"/>
    <w:rsid w:val="00182B5C"/>
    <w:rsid w:val="00182CE0"/>
    <w:rsid w:val="00182E02"/>
    <w:rsid w:val="00182E93"/>
    <w:rsid w:val="0018355A"/>
    <w:rsid w:val="00183B58"/>
    <w:rsid w:val="001840B3"/>
    <w:rsid w:val="001843E2"/>
    <w:rsid w:val="00184A47"/>
    <w:rsid w:val="00185143"/>
    <w:rsid w:val="00185487"/>
    <w:rsid w:val="001861B8"/>
    <w:rsid w:val="00186326"/>
    <w:rsid w:val="001866CA"/>
    <w:rsid w:val="00186ECD"/>
    <w:rsid w:val="00187065"/>
    <w:rsid w:val="00187182"/>
    <w:rsid w:val="001879E6"/>
    <w:rsid w:val="00187D7A"/>
    <w:rsid w:val="001902C1"/>
    <w:rsid w:val="001902FE"/>
    <w:rsid w:val="001906DD"/>
    <w:rsid w:val="00190BAF"/>
    <w:rsid w:val="00190CE5"/>
    <w:rsid w:val="00190DDF"/>
    <w:rsid w:val="00190DFD"/>
    <w:rsid w:val="00192090"/>
    <w:rsid w:val="0019241E"/>
    <w:rsid w:val="00192500"/>
    <w:rsid w:val="001927A4"/>
    <w:rsid w:val="00192881"/>
    <w:rsid w:val="00192C14"/>
    <w:rsid w:val="00193347"/>
    <w:rsid w:val="00193605"/>
    <w:rsid w:val="001939D4"/>
    <w:rsid w:val="00193BA3"/>
    <w:rsid w:val="00193E53"/>
    <w:rsid w:val="00193EE2"/>
    <w:rsid w:val="0019418D"/>
    <w:rsid w:val="001941DE"/>
    <w:rsid w:val="001945D8"/>
    <w:rsid w:val="00194A4D"/>
    <w:rsid w:val="00194B88"/>
    <w:rsid w:val="00194D4B"/>
    <w:rsid w:val="00195153"/>
    <w:rsid w:val="001958C8"/>
    <w:rsid w:val="00196AB0"/>
    <w:rsid w:val="00197551"/>
    <w:rsid w:val="00197644"/>
    <w:rsid w:val="001A04E8"/>
    <w:rsid w:val="001A04EE"/>
    <w:rsid w:val="001A24D8"/>
    <w:rsid w:val="001A2967"/>
    <w:rsid w:val="001A29B4"/>
    <w:rsid w:val="001A2AEE"/>
    <w:rsid w:val="001A3356"/>
    <w:rsid w:val="001A3671"/>
    <w:rsid w:val="001A36CD"/>
    <w:rsid w:val="001A3A28"/>
    <w:rsid w:val="001A51C8"/>
    <w:rsid w:val="001A5314"/>
    <w:rsid w:val="001A6139"/>
    <w:rsid w:val="001A6633"/>
    <w:rsid w:val="001A6B79"/>
    <w:rsid w:val="001A6CE2"/>
    <w:rsid w:val="001A7158"/>
    <w:rsid w:val="001A7471"/>
    <w:rsid w:val="001A7587"/>
    <w:rsid w:val="001A7BB9"/>
    <w:rsid w:val="001A7F60"/>
    <w:rsid w:val="001B0219"/>
    <w:rsid w:val="001B02D7"/>
    <w:rsid w:val="001B0632"/>
    <w:rsid w:val="001B0A20"/>
    <w:rsid w:val="001B0AF1"/>
    <w:rsid w:val="001B0C4F"/>
    <w:rsid w:val="001B160F"/>
    <w:rsid w:val="001B1BA0"/>
    <w:rsid w:val="001B1D04"/>
    <w:rsid w:val="001B1E0B"/>
    <w:rsid w:val="001B1E5E"/>
    <w:rsid w:val="001B1E9B"/>
    <w:rsid w:val="001B1FF4"/>
    <w:rsid w:val="001B20E1"/>
    <w:rsid w:val="001B27A2"/>
    <w:rsid w:val="001B284A"/>
    <w:rsid w:val="001B2DFD"/>
    <w:rsid w:val="001B30A1"/>
    <w:rsid w:val="001B30D1"/>
    <w:rsid w:val="001B346B"/>
    <w:rsid w:val="001B37CC"/>
    <w:rsid w:val="001B3933"/>
    <w:rsid w:val="001B443A"/>
    <w:rsid w:val="001B44C6"/>
    <w:rsid w:val="001B4F8A"/>
    <w:rsid w:val="001B5256"/>
    <w:rsid w:val="001B5319"/>
    <w:rsid w:val="001B583A"/>
    <w:rsid w:val="001B5A9D"/>
    <w:rsid w:val="001B5AC7"/>
    <w:rsid w:val="001B5C50"/>
    <w:rsid w:val="001B5F10"/>
    <w:rsid w:val="001B6AEC"/>
    <w:rsid w:val="001B6DA7"/>
    <w:rsid w:val="001B6DEC"/>
    <w:rsid w:val="001B6E59"/>
    <w:rsid w:val="001B743D"/>
    <w:rsid w:val="001B7697"/>
    <w:rsid w:val="001B77A2"/>
    <w:rsid w:val="001C0257"/>
    <w:rsid w:val="001C0376"/>
    <w:rsid w:val="001C043D"/>
    <w:rsid w:val="001C05BC"/>
    <w:rsid w:val="001C08ED"/>
    <w:rsid w:val="001C0977"/>
    <w:rsid w:val="001C1394"/>
    <w:rsid w:val="001C154D"/>
    <w:rsid w:val="001C1550"/>
    <w:rsid w:val="001C1761"/>
    <w:rsid w:val="001C1BF4"/>
    <w:rsid w:val="001C1DAD"/>
    <w:rsid w:val="001C2B11"/>
    <w:rsid w:val="001C3276"/>
    <w:rsid w:val="001C3C97"/>
    <w:rsid w:val="001C410C"/>
    <w:rsid w:val="001C4234"/>
    <w:rsid w:val="001C4270"/>
    <w:rsid w:val="001C44E8"/>
    <w:rsid w:val="001C4554"/>
    <w:rsid w:val="001C470E"/>
    <w:rsid w:val="001C47EB"/>
    <w:rsid w:val="001C49B8"/>
    <w:rsid w:val="001C4F04"/>
    <w:rsid w:val="001C52AA"/>
    <w:rsid w:val="001C560E"/>
    <w:rsid w:val="001C58C2"/>
    <w:rsid w:val="001C620B"/>
    <w:rsid w:val="001C65C3"/>
    <w:rsid w:val="001C79A4"/>
    <w:rsid w:val="001C7BD0"/>
    <w:rsid w:val="001C7FDD"/>
    <w:rsid w:val="001D002A"/>
    <w:rsid w:val="001D0219"/>
    <w:rsid w:val="001D03D9"/>
    <w:rsid w:val="001D0653"/>
    <w:rsid w:val="001D0FE8"/>
    <w:rsid w:val="001D1819"/>
    <w:rsid w:val="001D1A16"/>
    <w:rsid w:val="001D1BDC"/>
    <w:rsid w:val="001D2853"/>
    <w:rsid w:val="001D352F"/>
    <w:rsid w:val="001D35E0"/>
    <w:rsid w:val="001D39E7"/>
    <w:rsid w:val="001D3B45"/>
    <w:rsid w:val="001D4572"/>
    <w:rsid w:val="001D47E4"/>
    <w:rsid w:val="001D4837"/>
    <w:rsid w:val="001D4842"/>
    <w:rsid w:val="001D4C88"/>
    <w:rsid w:val="001D5F78"/>
    <w:rsid w:val="001D6530"/>
    <w:rsid w:val="001D66FB"/>
    <w:rsid w:val="001D681F"/>
    <w:rsid w:val="001D6D59"/>
    <w:rsid w:val="001D7428"/>
    <w:rsid w:val="001D74BE"/>
    <w:rsid w:val="001D7613"/>
    <w:rsid w:val="001D7AEE"/>
    <w:rsid w:val="001D7C64"/>
    <w:rsid w:val="001E0EFF"/>
    <w:rsid w:val="001E1B35"/>
    <w:rsid w:val="001E1C5D"/>
    <w:rsid w:val="001E1FD1"/>
    <w:rsid w:val="001E263C"/>
    <w:rsid w:val="001E296B"/>
    <w:rsid w:val="001E2987"/>
    <w:rsid w:val="001E2D62"/>
    <w:rsid w:val="001E3153"/>
    <w:rsid w:val="001E3300"/>
    <w:rsid w:val="001E34C0"/>
    <w:rsid w:val="001E4597"/>
    <w:rsid w:val="001E4ED4"/>
    <w:rsid w:val="001E5097"/>
    <w:rsid w:val="001E57D9"/>
    <w:rsid w:val="001E5ABD"/>
    <w:rsid w:val="001E5B40"/>
    <w:rsid w:val="001E5C43"/>
    <w:rsid w:val="001E5CD7"/>
    <w:rsid w:val="001E5D2D"/>
    <w:rsid w:val="001E5FE4"/>
    <w:rsid w:val="001E6328"/>
    <w:rsid w:val="001E6F7E"/>
    <w:rsid w:val="001E7193"/>
    <w:rsid w:val="001E73FF"/>
    <w:rsid w:val="001E7CF8"/>
    <w:rsid w:val="001E7F78"/>
    <w:rsid w:val="001F0AF1"/>
    <w:rsid w:val="001F0B51"/>
    <w:rsid w:val="001F0C95"/>
    <w:rsid w:val="001F0F72"/>
    <w:rsid w:val="001F148F"/>
    <w:rsid w:val="001F1701"/>
    <w:rsid w:val="001F1D8A"/>
    <w:rsid w:val="001F20E5"/>
    <w:rsid w:val="001F215A"/>
    <w:rsid w:val="001F2CB9"/>
    <w:rsid w:val="001F3750"/>
    <w:rsid w:val="001F3F38"/>
    <w:rsid w:val="001F3F62"/>
    <w:rsid w:val="001F3F99"/>
    <w:rsid w:val="001F40E1"/>
    <w:rsid w:val="001F4536"/>
    <w:rsid w:val="001F5249"/>
    <w:rsid w:val="001F541E"/>
    <w:rsid w:val="001F5677"/>
    <w:rsid w:val="001F58B8"/>
    <w:rsid w:val="001F5A9C"/>
    <w:rsid w:val="001F5D05"/>
    <w:rsid w:val="001F6560"/>
    <w:rsid w:val="001F6CF1"/>
    <w:rsid w:val="001F7E2D"/>
    <w:rsid w:val="00200083"/>
    <w:rsid w:val="00200AB3"/>
    <w:rsid w:val="00200D27"/>
    <w:rsid w:val="00200FA1"/>
    <w:rsid w:val="002011AC"/>
    <w:rsid w:val="00201262"/>
    <w:rsid w:val="002016BC"/>
    <w:rsid w:val="00201C1A"/>
    <w:rsid w:val="00201EB9"/>
    <w:rsid w:val="0020200B"/>
    <w:rsid w:val="002024D4"/>
    <w:rsid w:val="00202922"/>
    <w:rsid w:val="00202BD7"/>
    <w:rsid w:val="00202D8E"/>
    <w:rsid w:val="002030FA"/>
    <w:rsid w:val="00203312"/>
    <w:rsid w:val="00203BD7"/>
    <w:rsid w:val="002045A9"/>
    <w:rsid w:val="002048CC"/>
    <w:rsid w:val="0020490C"/>
    <w:rsid w:val="00204C56"/>
    <w:rsid w:val="00204EFC"/>
    <w:rsid w:val="00205073"/>
    <w:rsid w:val="00205267"/>
    <w:rsid w:val="00205391"/>
    <w:rsid w:val="002054AD"/>
    <w:rsid w:val="002056F4"/>
    <w:rsid w:val="00205714"/>
    <w:rsid w:val="00205A99"/>
    <w:rsid w:val="00205B95"/>
    <w:rsid w:val="00206127"/>
    <w:rsid w:val="00206730"/>
    <w:rsid w:val="00206EC6"/>
    <w:rsid w:val="00206FC1"/>
    <w:rsid w:val="002070F2"/>
    <w:rsid w:val="002071E9"/>
    <w:rsid w:val="0020733F"/>
    <w:rsid w:val="0020773C"/>
    <w:rsid w:val="00207B94"/>
    <w:rsid w:val="00207C22"/>
    <w:rsid w:val="00210015"/>
    <w:rsid w:val="0021048C"/>
    <w:rsid w:val="00210E15"/>
    <w:rsid w:val="0021121A"/>
    <w:rsid w:val="00211339"/>
    <w:rsid w:val="0021139F"/>
    <w:rsid w:val="00211626"/>
    <w:rsid w:val="00211668"/>
    <w:rsid w:val="00211713"/>
    <w:rsid w:val="002117F7"/>
    <w:rsid w:val="0021277A"/>
    <w:rsid w:val="00212BC7"/>
    <w:rsid w:val="00213386"/>
    <w:rsid w:val="00213A05"/>
    <w:rsid w:val="00213FCA"/>
    <w:rsid w:val="002149ED"/>
    <w:rsid w:val="00214F7F"/>
    <w:rsid w:val="002151C2"/>
    <w:rsid w:val="00215882"/>
    <w:rsid w:val="00215A2E"/>
    <w:rsid w:val="00215A65"/>
    <w:rsid w:val="00216621"/>
    <w:rsid w:val="00216B0E"/>
    <w:rsid w:val="00216C2D"/>
    <w:rsid w:val="00216F6C"/>
    <w:rsid w:val="00217427"/>
    <w:rsid w:val="00217433"/>
    <w:rsid w:val="00217437"/>
    <w:rsid w:val="002174F8"/>
    <w:rsid w:val="002175A6"/>
    <w:rsid w:val="00217DE4"/>
    <w:rsid w:val="00220102"/>
    <w:rsid w:val="002201D3"/>
    <w:rsid w:val="00221E33"/>
    <w:rsid w:val="00222350"/>
    <w:rsid w:val="002224C3"/>
    <w:rsid w:val="002226A5"/>
    <w:rsid w:val="002231D3"/>
    <w:rsid w:val="002234D6"/>
    <w:rsid w:val="00223518"/>
    <w:rsid w:val="002235F3"/>
    <w:rsid w:val="00223609"/>
    <w:rsid w:val="00223701"/>
    <w:rsid w:val="002237E0"/>
    <w:rsid w:val="00224354"/>
    <w:rsid w:val="002243A3"/>
    <w:rsid w:val="002247E7"/>
    <w:rsid w:val="00224835"/>
    <w:rsid w:val="002249B4"/>
    <w:rsid w:val="00225300"/>
    <w:rsid w:val="0022537C"/>
    <w:rsid w:val="002257BA"/>
    <w:rsid w:val="002257D4"/>
    <w:rsid w:val="00225B29"/>
    <w:rsid w:val="00225EF6"/>
    <w:rsid w:val="0022617C"/>
    <w:rsid w:val="002262F9"/>
    <w:rsid w:val="0022685E"/>
    <w:rsid w:val="00226CD5"/>
    <w:rsid w:val="00226DAD"/>
    <w:rsid w:val="00227037"/>
    <w:rsid w:val="00227868"/>
    <w:rsid w:val="0023070A"/>
    <w:rsid w:val="002308F2"/>
    <w:rsid w:val="00230915"/>
    <w:rsid w:val="00230D53"/>
    <w:rsid w:val="0023191B"/>
    <w:rsid w:val="002319B7"/>
    <w:rsid w:val="00231AAF"/>
    <w:rsid w:val="00232213"/>
    <w:rsid w:val="00232798"/>
    <w:rsid w:val="00232A44"/>
    <w:rsid w:val="00232D99"/>
    <w:rsid w:val="002337B2"/>
    <w:rsid w:val="00233C64"/>
    <w:rsid w:val="00233D96"/>
    <w:rsid w:val="00234208"/>
    <w:rsid w:val="00234485"/>
    <w:rsid w:val="002345E3"/>
    <w:rsid w:val="0023470F"/>
    <w:rsid w:val="00234DAB"/>
    <w:rsid w:val="00235244"/>
    <w:rsid w:val="0023534C"/>
    <w:rsid w:val="00235EBB"/>
    <w:rsid w:val="00235F2E"/>
    <w:rsid w:val="0023666D"/>
    <w:rsid w:val="00236F2B"/>
    <w:rsid w:val="00237971"/>
    <w:rsid w:val="00237EF2"/>
    <w:rsid w:val="002401A5"/>
    <w:rsid w:val="002404BA"/>
    <w:rsid w:val="00240841"/>
    <w:rsid w:val="00240BBB"/>
    <w:rsid w:val="00240F43"/>
    <w:rsid w:val="00241064"/>
    <w:rsid w:val="00241235"/>
    <w:rsid w:val="00241B39"/>
    <w:rsid w:val="002427F7"/>
    <w:rsid w:val="002428E6"/>
    <w:rsid w:val="00243015"/>
    <w:rsid w:val="00243077"/>
    <w:rsid w:val="002431DE"/>
    <w:rsid w:val="0024338F"/>
    <w:rsid w:val="0024386F"/>
    <w:rsid w:val="00244139"/>
    <w:rsid w:val="00244601"/>
    <w:rsid w:val="00244FB1"/>
    <w:rsid w:val="00245943"/>
    <w:rsid w:val="00246406"/>
    <w:rsid w:val="0024697A"/>
    <w:rsid w:val="0024702D"/>
    <w:rsid w:val="002472ED"/>
    <w:rsid w:val="002478EF"/>
    <w:rsid w:val="00247ABB"/>
    <w:rsid w:val="00247D3D"/>
    <w:rsid w:val="00247FC8"/>
    <w:rsid w:val="00247FDE"/>
    <w:rsid w:val="0025032C"/>
    <w:rsid w:val="002505B5"/>
    <w:rsid w:val="002505BB"/>
    <w:rsid w:val="00250B00"/>
    <w:rsid w:val="00250CE2"/>
    <w:rsid w:val="00250EB1"/>
    <w:rsid w:val="002511A8"/>
    <w:rsid w:val="002512E8"/>
    <w:rsid w:val="0025173E"/>
    <w:rsid w:val="002517C1"/>
    <w:rsid w:val="00251FA2"/>
    <w:rsid w:val="002523FB"/>
    <w:rsid w:val="002528CF"/>
    <w:rsid w:val="00252945"/>
    <w:rsid w:val="00253249"/>
    <w:rsid w:val="00253613"/>
    <w:rsid w:val="002536CB"/>
    <w:rsid w:val="00254272"/>
    <w:rsid w:val="0025450A"/>
    <w:rsid w:val="00254D12"/>
    <w:rsid w:val="0025526A"/>
    <w:rsid w:val="002559DE"/>
    <w:rsid w:val="00255EA4"/>
    <w:rsid w:val="002561CF"/>
    <w:rsid w:val="00256502"/>
    <w:rsid w:val="00256ADA"/>
    <w:rsid w:val="00256FA8"/>
    <w:rsid w:val="0025709A"/>
    <w:rsid w:val="00257406"/>
    <w:rsid w:val="00257BF0"/>
    <w:rsid w:val="00257E2A"/>
    <w:rsid w:val="0026003E"/>
    <w:rsid w:val="002609F6"/>
    <w:rsid w:val="00260A89"/>
    <w:rsid w:val="00260C9F"/>
    <w:rsid w:val="00261411"/>
    <w:rsid w:val="0026152F"/>
    <w:rsid w:val="00261918"/>
    <w:rsid w:val="00261A11"/>
    <w:rsid w:val="00262A51"/>
    <w:rsid w:val="00262AF1"/>
    <w:rsid w:val="00262D23"/>
    <w:rsid w:val="00262DDC"/>
    <w:rsid w:val="00262F18"/>
    <w:rsid w:val="00263B44"/>
    <w:rsid w:val="00263DB9"/>
    <w:rsid w:val="00263E34"/>
    <w:rsid w:val="00263F3F"/>
    <w:rsid w:val="002648BB"/>
    <w:rsid w:val="00264C6D"/>
    <w:rsid w:val="00265778"/>
    <w:rsid w:val="00266928"/>
    <w:rsid w:val="00266CD0"/>
    <w:rsid w:val="00266D70"/>
    <w:rsid w:val="002671F2"/>
    <w:rsid w:val="002679E5"/>
    <w:rsid w:val="00267DEB"/>
    <w:rsid w:val="00267E6B"/>
    <w:rsid w:val="00267FE7"/>
    <w:rsid w:val="00270518"/>
    <w:rsid w:val="00270695"/>
    <w:rsid w:val="002707B8"/>
    <w:rsid w:val="00270C4E"/>
    <w:rsid w:val="00270D43"/>
    <w:rsid w:val="00271ECA"/>
    <w:rsid w:val="00272471"/>
    <w:rsid w:val="002725BC"/>
    <w:rsid w:val="00272C3F"/>
    <w:rsid w:val="002731DE"/>
    <w:rsid w:val="002735F9"/>
    <w:rsid w:val="00273BD1"/>
    <w:rsid w:val="00273CD1"/>
    <w:rsid w:val="00274044"/>
    <w:rsid w:val="00274463"/>
    <w:rsid w:val="00274771"/>
    <w:rsid w:val="00274E65"/>
    <w:rsid w:val="0027502F"/>
    <w:rsid w:val="00275962"/>
    <w:rsid w:val="00275B5E"/>
    <w:rsid w:val="00275F94"/>
    <w:rsid w:val="0027605F"/>
    <w:rsid w:val="002766CA"/>
    <w:rsid w:val="00277C24"/>
    <w:rsid w:val="00277D9C"/>
    <w:rsid w:val="00277EED"/>
    <w:rsid w:val="00280477"/>
    <w:rsid w:val="0028052F"/>
    <w:rsid w:val="00280552"/>
    <w:rsid w:val="00280FD9"/>
    <w:rsid w:val="0028140E"/>
    <w:rsid w:val="0028166F"/>
    <w:rsid w:val="00281733"/>
    <w:rsid w:val="0028174D"/>
    <w:rsid w:val="0028187F"/>
    <w:rsid w:val="00281930"/>
    <w:rsid w:val="00281A30"/>
    <w:rsid w:val="00281A9A"/>
    <w:rsid w:val="00281D64"/>
    <w:rsid w:val="0028238B"/>
    <w:rsid w:val="002823D9"/>
    <w:rsid w:val="00282911"/>
    <w:rsid w:val="002831C6"/>
    <w:rsid w:val="00283995"/>
    <w:rsid w:val="00283EE4"/>
    <w:rsid w:val="002840DA"/>
    <w:rsid w:val="002843F4"/>
    <w:rsid w:val="002844B7"/>
    <w:rsid w:val="0028456A"/>
    <w:rsid w:val="0028460A"/>
    <w:rsid w:val="00284A3D"/>
    <w:rsid w:val="002854E6"/>
    <w:rsid w:val="00285524"/>
    <w:rsid w:val="00285821"/>
    <w:rsid w:val="00286445"/>
    <w:rsid w:val="0028657F"/>
    <w:rsid w:val="00286681"/>
    <w:rsid w:val="0028688C"/>
    <w:rsid w:val="0028698C"/>
    <w:rsid w:val="00286A59"/>
    <w:rsid w:val="00286F99"/>
    <w:rsid w:val="00287088"/>
    <w:rsid w:val="0028737B"/>
    <w:rsid w:val="00287A84"/>
    <w:rsid w:val="00287B40"/>
    <w:rsid w:val="00290652"/>
    <w:rsid w:val="00290B29"/>
    <w:rsid w:val="00290C05"/>
    <w:rsid w:val="002913F0"/>
    <w:rsid w:val="00292313"/>
    <w:rsid w:val="0029256C"/>
    <w:rsid w:val="00292B43"/>
    <w:rsid w:val="002933CF"/>
    <w:rsid w:val="0029372E"/>
    <w:rsid w:val="00293883"/>
    <w:rsid w:val="00293B3D"/>
    <w:rsid w:val="00293B83"/>
    <w:rsid w:val="00294168"/>
    <w:rsid w:val="00294245"/>
    <w:rsid w:val="00294647"/>
    <w:rsid w:val="0029469A"/>
    <w:rsid w:val="00294773"/>
    <w:rsid w:val="002948AE"/>
    <w:rsid w:val="00294AAC"/>
    <w:rsid w:val="00294B37"/>
    <w:rsid w:val="00294D84"/>
    <w:rsid w:val="00294F74"/>
    <w:rsid w:val="00294FD0"/>
    <w:rsid w:val="002950BA"/>
    <w:rsid w:val="00295246"/>
    <w:rsid w:val="00295326"/>
    <w:rsid w:val="002954DC"/>
    <w:rsid w:val="0029647F"/>
    <w:rsid w:val="00296824"/>
    <w:rsid w:val="00296B1E"/>
    <w:rsid w:val="00296B30"/>
    <w:rsid w:val="0029705C"/>
    <w:rsid w:val="002975A0"/>
    <w:rsid w:val="002977DF"/>
    <w:rsid w:val="00297ABC"/>
    <w:rsid w:val="002A101B"/>
    <w:rsid w:val="002A15DB"/>
    <w:rsid w:val="002A16B5"/>
    <w:rsid w:val="002A16F1"/>
    <w:rsid w:val="002A16F5"/>
    <w:rsid w:val="002A1F15"/>
    <w:rsid w:val="002A22E5"/>
    <w:rsid w:val="002A240F"/>
    <w:rsid w:val="002A2421"/>
    <w:rsid w:val="002A24F7"/>
    <w:rsid w:val="002A2CB4"/>
    <w:rsid w:val="002A2F26"/>
    <w:rsid w:val="002A3B13"/>
    <w:rsid w:val="002A40A1"/>
    <w:rsid w:val="002A4398"/>
    <w:rsid w:val="002A4594"/>
    <w:rsid w:val="002A4934"/>
    <w:rsid w:val="002A4A5D"/>
    <w:rsid w:val="002A4CEF"/>
    <w:rsid w:val="002A50A7"/>
    <w:rsid w:val="002A5445"/>
    <w:rsid w:val="002A559C"/>
    <w:rsid w:val="002A574F"/>
    <w:rsid w:val="002A618F"/>
    <w:rsid w:val="002A65C4"/>
    <w:rsid w:val="002A6CD3"/>
    <w:rsid w:val="002A6EA8"/>
    <w:rsid w:val="002A7038"/>
    <w:rsid w:val="002A707D"/>
    <w:rsid w:val="002A75A8"/>
    <w:rsid w:val="002A79EC"/>
    <w:rsid w:val="002A7DDC"/>
    <w:rsid w:val="002B037F"/>
    <w:rsid w:val="002B046F"/>
    <w:rsid w:val="002B0F65"/>
    <w:rsid w:val="002B169F"/>
    <w:rsid w:val="002B1712"/>
    <w:rsid w:val="002B1F71"/>
    <w:rsid w:val="002B20B1"/>
    <w:rsid w:val="002B2590"/>
    <w:rsid w:val="002B3321"/>
    <w:rsid w:val="002B334F"/>
    <w:rsid w:val="002B336B"/>
    <w:rsid w:val="002B3624"/>
    <w:rsid w:val="002B36A2"/>
    <w:rsid w:val="002B3E37"/>
    <w:rsid w:val="002B3FA6"/>
    <w:rsid w:val="002B4100"/>
    <w:rsid w:val="002B4250"/>
    <w:rsid w:val="002B429D"/>
    <w:rsid w:val="002B43F3"/>
    <w:rsid w:val="002B4540"/>
    <w:rsid w:val="002B4830"/>
    <w:rsid w:val="002B4F49"/>
    <w:rsid w:val="002B59F8"/>
    <w:rsid w:val="002B5A91"/>
    <w:rsid w:val="002B5DEC"/>
    <w:rsid w:val="002B63FA"/>
    <w:rsid w:val="002B73FE"/>
    <w:rsid w:val="002B7579"/>
    <w:rsid w:val="002B7775"/>
    <w:rsid w:val="002B7BD5"/>
    <w:rsid w:val="002B7D36"/>
    <w:rsid w:val="002C066B"/>
    <w:rsid w:val="002C0D6A"/>
    <w:rsid w:val="002C0DC8"/>
    <w:rsid w:val="002C0FB7"/>
    <w:rsid w:val="002C1590"/>
    <w:rsid w:val="002C195E"/>
    <w:rsid w:val="002C1E78"/>
    <w:rsid w:val="002C1E8A"/>
    <w:rsid w:val="002C21A1"/>
    <w:rsid w:val="002C320C"/>
    <w:rsid w:val="002C34BA"/>
    <w:rsid w:val="002C3638"/>
    <w:rsid w:val="002C42AC"/>
    <w:rsid w:val="002C4A6C"/>
    <w:rsid w:val="002C4E8C"/>
    <w:rsid w:val="002C4F36"/>
    <w:rsid w:val="002C526F"/>
    <w:rsid w:val="002C540C"/>
    <w:rsid w:val="002C64DF"/>
    <w:rsid w:val="002C65D1"/>
    <w:rsid w:val="002C68AD"/>
    <w:rsid w:val="002C7503"/>
    <w:rsid w:val="002C7556"/>
    <w:rsid w:val="002C7B90"/>
    <w:rsid w:val="002C7C55"/>
    <w:rsid w:val="002D0261"/>
    <w:rsid w:val="002D05E4"/>
    <w:rsid w:val="002D0DA5"/>
    <w:rsid w:val="002D0F5A"/>
    <w:rsid w:val="002D1A9C"/>
    <w:rsid w:val="002D1D1E"/>
    <w:rsid w:val="002D23A3"/>
    <w:rsid w:val="002D2CFD"/>
    <w:rsid w:val="002D3271"/>
    <w:rsid w:val="002D3B38"/>
    <w:rsid w:val="002D42AC"/>
    <w:rsid w:val="002D42DB"/>
    <w:rsid w:val="002D473A"/>
    <w:rsid w:val="002D4F37"/>
    <w:rsid w:val="002D54B7"/>
    <w:rsid w:val="002D591F"/>
    <w:rsid w:val="002D5C49"/>
    <w:rsid w:val="002D5EEE"/>
    <w:rsid w:val="002D5F14"/>
    <w:rsid w:val="002D61CE"/>
    <w:rsid w:val="002D6203"/>
    <w:rsid w:val="002D6B97"/>
    <w:rsid w:val="002D6E03"/>
    <w:rsid w:val="002D7392"/>
    <w:rsid w:val="002D7406"/>
    <w:rsid w:val="002D784E"/>
    <w:rsid w:val="002D7F1F"/>
    <w:rsid w:val="002E030B"/>
    <w:rsid w:val="002E04B5"/>
    <w:rsid w:val="002E0D26"/>
    <w:rsid w:val="002E1041"/>
    <w:rsid w:val="002E122C"/>
    <w:rsid w:val="002E15EC"/>
    <w:rsid w:val="002E1782"/>
    <w:rsid w:val="002E17DD"/>
    <w:rsid w:val="002E1EAF"/>
    <w:rsid w:val="002E211F"/>
    <w:rsid w:val="002E26BD"/>
    <w:rsid w:val="002E2A9A"/>
    <w:rsid w:val="002E3348"/>
    <w:rsid w:val="002E337A"/>
    <w:rsid w:val="002E397D"/>
    <w:rsid w:val="002E3B47"/>
    <w:rsid w:val="002E3BCE"/>
    <w:rsid w:val="002E4149"/>
    <w:rsid w:val="002E43B7"/>
    <w:rsid w:val="002E4405"/>
    <w:rsid w:val="002E4DD3"/>
    <w:rsid w:val="002E4FDC"/>
    <w:rsid w:val="002E50F9"/>
    <w:rsid w:val="002E516E"/>
    <w:rsid w:val="002E53F2"/>
    <w:rsid w:val="002E5477"/>
    <w:rsid w:val="002E5B56"/>
    <w:rsid w:val="002E5B84"/>
    <w:rsid w:val="002E5F0C"/>
    <w:rsid w:val="002E625A"/>
    <w:rsid w:val="002E6386"/>
    <w:rsid w:val="002E6E73"/>
    <w:rsid w:val="002E7064"/>
    <w:rsid w:val="002E7210"/>
    <w:rsid w:val="002E7651"/>
    <w:rsid w:val="002E799C"/>
    <w:rsid w:val="002E7C15"/>
    <w:rsid w:val="002E7EB1"/>
    <w:rsid w:val="002F0208"/>
    <w:rsid w:val="002F0450"/>
    <w:rsid w:val="002F0D97"/>
    <w:rsid w:val="002F140C"/>
    <w:rsid w:val="002F1FF2"/>
    <w:rsid w:val="002F23C7"/>
    <w:rsid w:val="002F23D9"/>
    <w:rsid w:val="002F2AEB"/>
    <w:rsid w:val="002F2FA4"/>
    <w:rsid w:val="002F313C"/>
    <w:rsid w:val="002F3168"/>
    <w:rsid w:val="002F32B2"/>
    <w:rsid w:val="002F371B"/>
    <w:rsid w:val="002F4E1A"/>
    <w:rsid w:val="002F4FA0"/>
    <w:rsid w:val="002F54D7"/>
    <w:rsid w:val="002F5C76"/>
    <w:rsid w:val="002F5D9D"/>
    <w:rsid w:val="002F5F07"/>
    <w:rsid w:val="002F655B"/>
    <w:rsid w:val="002F659D"/>
    <w:rsid w:val="002F6740"/>
    <w:rsid w:val="002F699E"/>
    <w:rsid w:val="002F6AC9"/>
    <w:rsid w:val="002F6B40"/>
    <w:rsid w:val="002F6DF5"/>
    <w:rsid w:val="002F6EDD"/>
    <w:rsid w:val="002F70E2"/>
    <w:rsid w:val="002F743F"/>
    <w:rsid w:val="002F7607"/>
    <w:rsid w:val="002F78C9"/>
    <w:rsid w:val="002F7CE8"/>
    <w:rsid w:val="002F7F47"/>
    <w:rsid w:val="00300535"/>
    <w:rsid w:val="00300B0A"/>
    <w:rsid w:val="0030105C"/>
    <w:rsid w:val="00301652"/>
    <w:rsid w:val="00301752"/>
    <w:rsid w:val="003017F5"/>
    <w:rsid w:val="0030183B"/>
    <w:rsid w:val="00301929"/>
    <w:rsid w:val="00302110"/>
    <w:rsid w:val="00302834"/>
    <w:rsid w:val="003028EB"/>
    <w:rsid w:val="00302AEE"/>
    <w:rsid w:val="00302BBC"/>
    <w:rsid w:val="00303BDE"/>
    <w:rsid w:val="00304846"/>
    <w:rsid w:val="00304930"/>
    <w:rsid w:val="003051F3"/>
    <w:rsid w:val="0030523E"/>
    <w:rsid w:val="00306078"/>
    <w:rsid w:val="00306520"/>
    <w:rsid w:val="00307849"/>
    <w:rsid w:val="00307F13"/>
    <w:rsid w:val="00310A71"/>
    <w:rsid w:val="0031114F"/>
    <w:rsid w:val="00311426"/>
    <w:rsid w:val="00311A91"/>
    <w:rsid w:val="00311CFB"/>
    <w:rsid w:val="00311E8D"/>
    <w:rsid w:val="00312797"/>
    <w:rsid w:val="00312A9E"/>
    <w:rsid w:val="00312D97"/>
    <w:rsid w:val="00312EDA"/>
    <w:rsid w:val="00312FDE"/>
    <w:rsid w:val="00313B02"/>
    <w:rsid w:val="00313C2B"/>
    <w:rsid w:val="00313E31"/>
    <w:rsid w:val="0031493F"/>
    <w:rsid w:val="00315011"/>
    <w:rsid w:val="00315171"/>
    <w:rsid w:val="00315A58"/>
    <w:rsid w:val="00315C9B"/>
    <w:rsid w:val="00315D17"/>
    <w:rsid w:val="00315E58"/>
    <w:rsid w:val="0031604F"/>
    <w:rsid w:val="003175B9"/>
    <w:rsid w:val="003175FF"/>
    <w:rsid w:val="00317A46"/>
    <w:rsid w:val="00317FAE"/>
    <w:rsid w:val="003200DC"/>
    <w:rsid w:val="003201FA"/>
    <w:rsid w:val="003206E5"/>
    <w:rsid w:val="00320A32"/>
    <w:rsid w:val="0032132A"/>
    <w:rsid w:val="0032235F"/>
    <w:rsid w:val="00322518"/>
    <w:rsid w:val="003228EC"/>
    <w:rsid w:val="00322DEB"/>
    <w:rsid w:val="00322FCC"/>
    <w:rsid w:val="003235C8"/>
    <w:rsid w:val="00323F70"/>
    <w:rsid w:val="0032478B"/>
    <w:rsid w:val="003249AC"/>
    <w:rsid w:val="00325802"/>
    <w:rsid w:val="00325837"/>
    <w:rsid w:val="0032597C"/>
    <w:rsid w:val="00325B6A"/>
    <w:rsid w:val="00325EAB"/>
    <w:rsid w:val="00326059"/>
    <w:rsid w:val="00326BDA"/>
    <w:rsid w:val="00326C5C"/>
    <w:rsid w:val="00327576"/>
    <w:rsid w:val="00327926"/>
    <w:rsid w:val="00327E12"/>
    <w:rsid w:val="003306BF"/>
    <w:rsid w:val="00330F47"/>
    <w:rsid w:val="00331850"/>
    <w:rsid w:val="00331E38"/>
    <w:rsid w:val="00331F49"/>
    <w:rsid w:val="00332161"/>
    <w:rsid w:val="0033232A"/>
    <w:rsid w:val="003323FC"/>
    <w:rsid w:val="00332718"/>
    <w:rsid w:val="00332AB9"/>
    <w:rsid w:val="0033394D"/>
    <w:rsid w:val="00333BD1"/>
    <w:rsid w:val="00333F86"/>
    <w:rsid w:val="00334155"/>
    <w:rsid w:val="00334290"/>
    <w:rsid w:val="003347F9"/>
    <w:rsid w:val="00334CA2"/>
    <w:rsid w:val="00336075"/>
    <w:rsid w:val="00336613"/>
    <w:rsid w:val="00336AD4"/>
    <w:rsid w:val="00336FF6"/>
    <w:rsid w:val="0033715B"/>
    <w:rsid w:val="003371DE"/>
    <w:rsid w:val="003377B9"/>
    <w:rsid w:val="0033793D"/>
    <w:rsid w:val="00340440"/>
    <w:rsid w:val="00340ED2"/>
    <w:rsid w:val="0034114A"/>
    <w:rsid w:val="003415FE"/>
    <w:rsid w:val="00341AC5"/>
    <w:rsid w:val="00341AF2"/>
    <w:rsid w:val="00341DD1"/>
    <w:rsid w:val="00341E12"/>
    <w:rsid w:val="00341FFF"/>
    <w:rsid w:val="00342AB3"/>
    <w:rsid w:val="00343397"/>
    <w:rsid w:val="003433EF"/>
    <w:rsid w:val="00343604"/>
    <w:rsid w:val="00343689"/>
    <w:rsid w:val="003436ED"/>
    <w:rsid w:val="00343B11"/>
    <w:rsid w:val="00343CE5"/>
    <w:rsid w:val="00344186"/>
    <w:rsid w:val="003445AF"/>
    <w:rsid w:val="0034471C"/>
    <w:rsid w:val="00344BC7"/>
    <w:rsid w:val="00344D3F"/>
    <w:rsid w:val="00344DD9"/>
    <w:rsid w:val="00344F01"/>
    <w:rsid w:val="0034504D"/>
    <w:rsid w:val="00345174"/>
    <w:rsid w:val="00345379"/>
    <w:rsid w:val="003453AC"/>
    <w:rsid w:val="003453B5"/>
    <w:rsid w:val="0034562A"/>
    <w:rsid w:val="0034616D"/>
    <w:rsid w:val="0034632C"/>
    <w:rsid w:val="003465F4"/>
    <w:rsid w:val="00346710"/>
    <w:rsid w:val="003468BA"/>
    <w:rsid w:val="003468BE"/>
    <w:rsid w:val="00347170"/>
    <w:rsid w:val="003478A8"/>
    <w:rsid w:val="00347D4C"/>
    <w:rsid w:val="00347DEB"/>
    <w:rsid w:val="00347E19"/>
    <w:rsid w:val="003506B8"/>
    <w:rsid w:val="00350CFF"/>
    <w:rsid w:val="0035147B"/>
    <w:rsid w:val="00351656"/>
    <w:rsid w:val="0035171F"/>
    <w:rsid w:val="00351ABE"/>
    <w:rsid w:val="00351DAD"/>
    <w:rsid w:val="00351DE0"/>
    <w:rsid w:val="00352955"/>
    <w:rsid w:val="00353255"/>
    <w:rsid w:val="00353C7A"/>
    <w:rsid w:val="00354116"/>
    <w:rsid w:val="00354602"/>
    <w:rsid w:val="003546EF"/>
    <w:rsid w:val="0035483B"/>
    <w:rsid w:val="00355650"/>
    <w:rsid w:val="00355B56"/>
    <w:rsid w:val="00356123"/>
    <w:rsid w:val="0035620E"/>
    <w:rsid w:val="0035621C"/>
    <w:rsid w:val="00356F6C"/>
    <w:rsid w:val="00357568"/>
    <w:rsid w:val="0035765D"/>
    <w:rsid w:val="00357FF2"/>
    <w:rsid w:val="00360078"/>
    <w:rsid w:val="003601C5"/>
    <w:rsid w:val="00360206"/>
    <w:rsid w:val="003602A6"/>
    <w:rsid w:val="00360839"/>
    <w:rsid w:val="00360A5D"/>
    <w:rsid w:val="00360CDE"/>
    <w:rsid w:val="00360FB3"/>
    <w:rsid w:val="00361824"/>
    <w:rsid w:val="00361841"/>
    <w:rsid w:val="00361DE8"/>
    <w:rsid w:val="00361DFB"/>
    <w:rsid w:val="00361E2A"/>
    <w:rsid w:val="003622C8"/>
    <w:rsid w:val="003625AF"/>
    <w:rsid w:val="00362CCF"/>
    <w:rsid w:val="00362EB3"/>
    <w:rsid w:val="00363070"/>
    <w:rsid w:val="00363176"/>
    <w:rsid w:val="00363192"/>
    <w:rsid w:val="00363530"/>
    <w:rsid w:val="00363AF6"/>
    <w:rsid w:val="00363EED"/>
    <w:rsid w:val="0036420B"/>
    <w:rsid w:val="00364247"/>
    <w:rsid w:val="003643F9"/>
    <w:rsid w:val="00364975"/>
    <w:rsid w:val="00364AB6"/>
    <w:rsid w:val="00365D34"/>
    <w:rsid w:val="00366FCA"/>
    <w:rsid w:val="0036715F"/>
    <w:rsid w:val="003671A8"/>
    <w:rsid w:val="0036752E"/>
    <w:rsid w:val="003675BA"/>
    <w:rsid w:val="00367640"/>
    <w:rsid w:val="00367DD9"/>
    <w:rsid w:val="0037001B"/>
    <w:rsid w:val="00370420"/>
    <w:rsid w:val="00370BEA"/>
    <w:rsid w:val="003710A0"/>
    <w:rsid w:val="00371330"/>
    <w:rsid w:val="0037144E"/>
    <w:rsid w:val="00372009"/>
    <w:rsid w:val="00372331"/>
    <w:rsid w:val="00372BED"/>
    <w:rsid w:val="00372EE5"/>
    <w:rsid w:val="00373067"/>
    <w:rsid w:val="00373250"/>
    <w:rsid w:val="00373326"/>
    <w:rsid w:val="00373624"/>
    <w:rsid w:val="00373A53"/>
    <w:rsid w:val="00373D76"/>
    <w:rsid w:val="00373F64"/>
    <w:rsid w:val="00374643"/>
    <w:rsid w:val="00374BB7"/>
    <w:rsid w:val="00374E61"/>
    <w:rsid w:val="00375020"/>
    <w:rsid w:val="00375331"/>
    <w:rsid w:val="0037554E"/>
    <w:rsid w:val="00375691"/>
    <w:rsid w:val="003757B3"/>
    <w:rsid w:val="003759CE"/>
    <w:rsid w:val="00375AFE"/>
    <w:rsid w:val="00375D46"/>
    <w:rsid w:val="0037603D"/>
    <w:rsid w:val="00376F69"/>
    <w:rsid w:val="0037777C"/>
    <w:rsid w:val="00377F67"/>
    <w:rsid w:val="00377FAF"/>
    <w:rsid w:val="00377FE2"/>
    <w:rsid w:val="00380246"/>
    <w:rsid w:val="003802BE"/>
    <w:rsid w:val="0038038C"/>
    <w:rsid w:val="00380A03"/>
    <w:rsid w:val="00380DBE"/>
    <w:rsid w:val="00380F38"/>
    <w:rsid w:val="003810F0"/>
    <w:rsid w:val="00381929"/>
    <w:rsid w:val="00381A34"/>
    <w:rsid w:val="00381F52"/>
    <w:rsid w:val="003822A8"/>
    <w:rsid w:val="0038239C"/>
    <w:rsid w:val="00382632"/>
    <w:rsid w:val="00382767"/>
    <w:rsid w:val="003829F5"/>
    <w:rsid w:val="00382B4F"/>
    <w:rsid w:val="00382B8A"/>
    <w:rsid w:val="00382EF2"/>
    <w:rsid w:val="00383151"/>
    <w:rsid w:val="003831BD"/>
    <w:rsid w:val="00383223"/>
    <w:rsid w:val="003834DB"/>
    <w:rsid w:val="0038384C"/>
    <w:rsid w:val="0038399B"/>
    <w:rsid w:val="00383AAC"/>
    <w:rsid w:val="00383D79"/>
    <w:rsid w:val="00384539"/>
    <w:rsid w:val="00384A85"/>
    <w:rsid w:val="00384D88"/>
    <w:rsid w:val="003850F1"/>
    <w:rsid w:val="0038526F"/>
    <w:rsid w:val="003853D6"/>
    <w:rsid w:val="00385977"/>
    <w:rsid w:val="003859A8"/>
    <w:rsid w:val="00385C1A"/>
    <w:rsid w:val="00385D8D"/>
    <w:rsid w:val="00385EE4"/>
    <w:rsid w:val="0038614C"/>
    <w:rsid w:val="003861AB"/>
    <w:rsid w:val="0038622A"/>
    <w:rsid w:val="00386581"/>
    <w:rsid w:val="00386A92"/>
    <w:rsid w:val="00387147"/>
    <w:rsid w:val="00387B03"/>
    <w:rsid w:val="00387C44"/>
    <w:rsid w:val="00387C8A"/>
    <w:rsid w:val="0039036E"/>
    <w:rsid w:val="00390795"/>
    <w:rsid w:val="00391024"/>
    <w:rsid w:val="00391025"/>
    <w:rsid w:val="0039168B"/>
    <w:rsid w:val="00391A85"/>
    <w:rsid w:val="00391CB8"/>
    <w:rsid w:val="00391D20"/>
    <w:rsid w:val="00391F37"/>
    <w:rsid w:val="00391F8D"/>
    <w:rsid w:val="00392000"/>
    <w:rsid w:val="00392ACB"/>
    <w:rsid w:val="00392ADF"/>
    <w:rsid w:val="00392C0A"/>
    <w:rsid w:val="00392DAE"/>
    <w:rsid w:val="00392FE1"/>
    <w:rsid w:val="0039346D"/>
    <w:rsid w:val="003935C8"/>
    <w:rsid w:val="00394122"/>
    <w:rsid w:val="003946F0"/>
    <w:rsid w:val="003947B6"/>
    <w:rsid w:val="0039488A"/>
    <w:rsid w:val="003952D2"/>
    <w:rsid w:val="003954DF"/>
    <w:rsid w:val="003955A3"/>
    <w:rsid w:val="00395A18"/>
    <w:rsid w:val="00395CAB"/>
    <w:rsid w:val="00395E95"/>
    <w:rsid w:val="0039632A"/>
    <w:rsid w:val="00396976"/>
    <w:rsid w:val="00396CFB"/>
    <w:rsid w:val="00396D03"/>
    <w:rsid w:val="0039736F"/>
    <w:rsid w:val="00397670"/>
    <w:rsid w:val="00397B16"/>
    <w:rsid w:val="003A0527"/>
    <w:rsid w:val="003A0788"/>
    <w:rsid w:val="003A07C7"/>
    <w:rsid w:val="003A0CB1"/>
    <w:rsid w:val="003A0EC2"/>
    <w:rsid w:val="003A117C"/>
    <w:rsid w:val="003A11AD"/>
    <w:rsid w:val="003A11D9"/>
    <w:rsid w:val="003A15AE"/>
    <w:rsid w:val="003A16A5"/>
    <w:rsid w:val="003A1E5E"/>
    <w:rsid w:val="003A1E5F"/>
    <w:rsid w:val="003A1F58"/>
    <w:rsid w:val="003A20DA"/>
    <w:rsid w:val="003A2119"/>
    <w:rsid w:val="003A3610"/>
    <w:rsid w:val="003A39BB"/>
    <w:rsid w:val="003A3AFE"/>
    <w:rsid w:val="003A3D6D"/>
    <w:rsid w:val="003A435A"/>
    <w:rsid w:val="003A4C02"/>
    <w:rsid w:val="003A4F07"/>
    <w:rsid w:val="003A53CD"/>
    <w:rsid w:val="003A54DD"/>
    <w:rsid w:val="003A5EA3"/>
    <w:rsid w:val="003A7293"/>
    <w:rsid w:val="003A76D0"/>
    <w:rsid w:val="003A79DB"/>
    <w:rsid w:val="003B06F7"/>
    <w:rsid w:val="003B0E84"/>
    <w:rsid w:val="003B0F0E"/>
    <w:rsid w:val="003B1AF4"/>
    <w:rsid w:val="003B26E9"/>
    <w:rsid w:val="003B2835"/>
    <w:rsid w:val="003B2977"/>
    <w:rsid w:val="003B2D67"/>
    <w:rsid w:val="003B2D9D"/>
    <w:rsid w:val="003B2E8E"/>
    <w:rsid w:val="003B3009"/>
    <w:rsid w:val="003B3314"/>
    <w:rsid w:val="003B356E"/>
    <w:rsid w:val="003B3687"/>
    <w:rsid w:val="003B38B4"/>
    <w:rsid w:val="003B3D85"/>
    <w:rsid w:val="003B3DD0"/>
    <w:rsid w:val="003B47D4"/>
    <w:rsid w:val="003B572B"/>
    <w:rsid w:val="003B5B99"/>
    <w:rsid w:val="003B5EB6"/>
    <w:rsid w:val="003B61C9"/>
    <w:rsid w:val="003B632E"/>
    <w:rsid w:val="003B6DB3"/>
    <w:rsid w:val="003B73E8"/>
    <w:rsid w:val="003B7B93"/>
    <w:rsid w:val="003C06A2"/>
    <w:rsid w:val="003C090E"/>
    <w:rsid w:val="003C0D10"/>
    <w:rsid w:val="003C0D15"/>
    <w:rsid w:val="003C18A6"/>
    <w:rsid w:val="003C19C4"/>
    <w:rsid w:val="003C1A30"/>
    <w:rsid w:val="003C1AD5"/>
    <w:rsid w:val="003C1D84"/>
    <w:rsid w:val="003C1EE6"/>
    <w:rsid w:val="003C2062"/>
    <w:rsid w:val="003C22EF"/>
    <w:rsid w:val="003C24E4"/>
    <w:rsid w:val="003C25AC"/>
    <w:rsid w:val="003C2C5B"/>
    <w:rsid w:val="003C38CA"/>
    <w:rsid w:val="003C3E47"/>
    <w:rsid w:val="003C4331"/>
    <w:rsid w:val="003C45C1"/>
    <w:rsid w:val="003C5067"/>
    <w:rsid w:val="003C5371"/>
    <w:rsid w:val="003C553A"/>
    <w:rsid w:val="003C575C"/>
    <w:rsid w:val="003C5C8B"/>
    <w:rsid w:val="003C6383"/>
    <w:rsid w:val="003C664A"/>
    <w:rsid w:val="003C6717"/>
    <w:rsid w:val="003C6CF6"/>
    <w:rsid w:val="003C70C3"/>
    <w:rsid w:val="003C7766"/>
    <w:rsid w:val="003C7869"/>
    <w:rsid w:val="003C7F52"/>
    <w:rsid w:val="003D0501"/>
    <w:rsid w:val="003D05D7"/>
    <w:rsid w:val="003D0825"/>
    <w:rsid w:val="003D08B2"/>
    <w:rsid w:val="003D106B"/>
    <w:rsid w:val="003D1454"/>
    <w:rsid w:val="003D1627"/>
    <w:rsid w:val="003D1702"/>
    <w:rsid w:val="003D1E18"/>
    <w:rsid w:val="003D248B"/>
    <w:rsid w:val="003D24A0"/>
    <w:rsid w:val="003D273E"/>
    <w:rsid w:val="003D2E47"/>
    <w:rsid w:val="003D2F9B"/>
    <w:rsid w:val="003D3011"/>
    <w:rsid w:val="003D352C"/>
    <w:rsid w:val="003D39D9"/>
    <w:rsid w:val="003D47C2"/>
    <w:rsid w:val="003D4ADC"/>
    <w:rsid w:val="003D4ED4"/>
    <w:rsid w:val="003D53B8"/>
    <w:rsid w:val="003D5546"/>
    <w:rsid w:val="003D5D7B"/>
    <w:rsid w:val="003D6230"/>
    <w:rsid w:val="003D6B27"/>
    <w:rsid w:val="003D6D33"/>
    <w:rsid w:val="003D6F86"/>
    <w:rsid w:val="003D71BE"/>
    <w:rsid w:val="003D750D"/>
    <w:rsid w:val="003D7717"/>
    <w:rsid w:val="003E01A1"/>
    <w:rsid w:val="003E1251"/>
    <w:rsid w:val="003E1FB1"/>
    <w:rsid w:val="003E2170"/>
    <w:rsid w:val="003E2388"/>
    <w:rsid w:val="003E253E"/>
    <w:rsid w:val="003E26AB"/>
    <w:rsid w:val="003E26E6"/>
    <w:rsid w:val="003E36EA"/>
    <w:rsid w:val="003E375A"/>
    <w:rsid w:val="003E3BF1"/>
    <w:rsid w:val="003E4294"/>
    <w:rsid w:val="003E47FB"/>
    <w:rsid w:val="003E4B5E"/>
    <w:rsid w:val="003E4E2E"/>
    <w:rsid w:val="003E511A"/>
    <w:rsid w:val="003E5DC5"/>
    <w:rsid w:val="003E5DCA"/>
    <w:rsid w:val="003E5E16"/>
    <w:rsid w:val="003E6165"/>
    <w:rsid w:val="003E66F3"/>
    <w:rsid w:val="003E69ED"/>
    <w:rsid w:val="003E6A8F"/>
    <w:rsid w:val="003E6E4A"/>
    <w:rsid w:val="003E6E8B"/>
    <w:rsid w:val="003E732D"/>
    <w:rsid w:val="003E7A6E"/>
    <w:rsid w:val="003E7AC4"/>
    <w:rsid w:val="003E7AEA"/>
    <w:rsid w:val="003E7C59"/>
    <w:rsid w:val="003E7D19"/>
    <w:rsid w:val="003E7EC3"/>
    <w:rsid w:val="003F0334"/>
    <w:rsid w:val="003F0981"/>
    <w:rsid w:val="003F0994"/>
    <w:rsid w:val="003F0B71"/>
    <w:rsid w:val="003F0FB1"/>
    <w:rsid w:val="003F0FFA"/>
    <w:rsid w:val="003F1415"/>
    <w:rsid w:val="003F1679"/>
    <w:rsid w:val="003F16C7"/>
    <w:rsid w:val="003F2167"/>
    <w:rsid w:val="003F221B"/>
    <w:rsid w:val="003F2900"/>
    <w:rsid w:val="003F2C9D"/>
    <w:rsid w:val="003F30D7"/>
    <w:rsid w:val="003F3511"/>
    <w:rsid w:val="003F37F3"/>
    <w:rsid w:val="003F3901"/>
    <w:rsid w:val="003F3AB2"/>
    <w:rsid w:val="003F3CA5"/>
    <w:rsid w:val="003F43B6"/>
    <w:rsid w:val="003F46FA"/>
    <w:rsid w:val="003F49AA"/>
    <w:rsid w:val="003F5299"/>
    <w:rsid w:val="003F54F5"/>
    <w:rsid w:val="003F5925"/>
    <w:rsid w:val="003F5CA3"/>
    <w:rsid w:val="003F6589"/>
    <w:rsid w:val="003F66D7"/>
    <w:rsid w:val="003F6C37"/>
    <w:rsid w:val="003F6C61"/>
    <w:rsid w:val="003F6D2F"/>
    <w:rsid w:val="003F71EB"/>
    <w:rsid w:val="003F71F5"/>
    <w:rsid w:val="003F7844"/>
    <w:rsid w:val="003F78C1"/>
    <w:rsid w:val="003F7A1E"/>
    <w:rsid w:val="004007AC"/>
    <w:rsid w:val="00400814"/>
    <w:rsid w:val="004011CB"/>
    <w:rsid w:val="0040182E"/>
    <w:rsid w:val="00401DF0"/>
    <w:rsid w:val="0040227E"/>
    <w:rsid w:val="0040363D"/>
    <w:rsid w:val="0040394E"/>
    <w:rsid w:val="00403973"/>
    <w:rsid w:val="00403ADC"/>
    <w:rsid w:val="0040424A"/>
    <w:rsid w:val="00404261"/>
    <w:rsid w:val="004044D2"/>
    <w:rsid w:val="004044D4"/>
    <w:rsid w:val="00404919"/>
    <w:rsid w:val="0040508F"/>
    <w:rsid w:val="0040512A"/>
    <w:rsid w:val="00406DFD"/>
    <w:rsid w:val="004075CD"/>
    <w:rsid w:val="00407AFA"/>
    <w:rsid w:val="00407BCB"/>
    <w:rsid w:val="00407CC4"/>
    <w:rsid w:val="00407F61"/>
    <w:rsid w:val="00407F7C"/>
    <w:rsid w:val="00407F8E"/>
    <w:rsid w:val="00410234"/>
    <w:rsid w:val="004103CD"/>
    <w:rsid w:val="004104A2"/>
    <w:rsid w:val="00410A18"/>
    <w:rsid w:val="00410AF5"/>
    <w:rsid w:val="00410C00"/>
    <w:rsid w:val="00410CBE"/>
    <w:rsid w:val="00411415"/>
    <w:rsid w:val="004119E8"/>
    <w:rsid w:val="00411E44"/>
    <w:rsid w:val="004123BC"/>
    <w:rsid w:val="004123CE"/>
    <w:rsid w:val="00412516"/>
    <w:rsid w:val="00412FCC"/>
    <w:rsid w:val="004134D7"/>
    <w:rsid w:val="00413690"/>
    <w:rsid w:val="004138A5"/>
    <w:rsid w:val="004138DF"/>
    <w:rsid w:val="004143F7"/>
    <w:rsid w:val="00414885"/>
    <w:rsid w:val="00414C35"/>
    <w:rsid w:val="00414DAE"/>
    <w:rsid w:val="00414DF7"/>
    <w:rsid w:val="00414E4C"/>
    <w:rsid w:val="00414F98"/>
    <w:rsid w:val="00414FB6"/>
    <w:rsid w:val="0041520B"/>
    <w:rsid w:val="00415228"/>
    <w:rsid w:val="0041560D"/>
    <w:rsid w:val="00415656"/>
    <w:rsid w:val="00415D86"/>
    <w:rsid w:val="0041604F"/>
    <w:rsid w:val="00416112"/>
    <w:rsid w:val="00416547"/>
    <w:rsid w:val="00416B3C"/>
    <w:rsid w:val="0041701A"/>
    <w:rsid w:val="00417644"/>
    <w:rsid w:val="00417CAB"/>
    <w:rsid w:val="00417F19"/>
    <w:rsid w:val="004208A1"/>
    <w:rsid w:val="004208FD"/>
    <w:rsid w:val="00420CD9"/>
    <w:rsid w:val="00420F7C"/>
    <w:rsid w:val="004212AB"/>
    <w:rsid w:val="004214CE"/>
    <w:rsid w:val="004218E9"/>
    <w:rsid w:val="00421DB4"/>
    <w:rsid w:val="00421F3F"/>
    <w:rsid w:val="00422070"/>
    <w:rsid w:val="004221D9"/>
    <w:rsid w:val="00422329"/>
    <w:rsid w:val="004225E4"/>
    <w:rsid w:val="004236D4"/>
    <w:rsid w:val="0042395F"/>
    <w:rsid w:val="00423997"/>
    <w:rsid w:val="00424940"/>
    <w:rsid w:val="00424AD4"/>
    <w:rsid w:val="004252BE"/>
    <w:rsid w:val="00425313"/>
    <w:rsid w:val="0042568D"/>
    <w:rsid w:val="00425EE1"/>
    <w:rsid w:val="00425F7C"/>
    <w:rsid w:val="00426918"/>
    <w:rsid w:val="0042694A"/>
    <w:rsid w:val="00426F12"/>
    <w:rsid w:val="00427D81"/>
    <w:rsid w:val="00427EEA"/>
    <w:rsid w:val="004300CE"/>
    <w:rsid w:val="0043036A"/>
    <w:rsid w:val="00430449"/>
    <w:rsid w:val="00430451"/>
    <w:rsid w:val="004304EF"/>
    <w:rsid w:val="00430C40"/>
    <w:rsid w:val="00430C66"/>
    <w:rsid w:val="00430EC1"/>
    <w:rsid w:val="00431115"/>
    <w:rsid w:val="00431578"/>
    <w:rsid w:val="00431DDB"/>
    <w:rsid w:val="00431F6C"/>
    <w:rsid w:val="004322FA"/>
    <w:rsid w:val="00432C28"/>
    <w:rsid w:val="004334F6"/>
    <w:rsid w:val="00433756"/>
    <w:rsid w:val="0043382A"/>
    <w:rsid w:val="00433B09"/>
    <w:rsid w:val="00433E8D"/>
    <w:rsid w:val="00434CEE"/>
    <w:rsid w:val="00435253"/>
    <w:rsid w:val="004359BB"/>
    <w:rsid w:val="00435A17"/>
    <w:rsid w:val="00435C71"/>
    <w:rsid w:val="004360B9"/>
    <w:rsid w:val="00437B79"/>
    <w:rsid w:val="00437BCA"/>
    <w:rsid w:val="00437FBB"/>
    <w:rsid w:val="00440067"/>
    <w:rsid w:val="004403E9"/>
    <w:rsid w:val="00440461"/>
    <w:rsid w:val="00440CF0"/>
    <w:rsid w:val="00440DF1"/>
    <w:rsid w:val="004419F6"/>
    <w:rsid w:val="00441C2B"/>
    <w:rsid w:val="00441DBF"/>
    <w:rsid w:val="00441DDE"/>
    <w:rsid w:val="004421BD"/>
    <w:rsid w:val="0044250B"/>
    <w:rsid w:val="00442675"/>
    <w:rsid w:val="00442A5D"/>
    <w:rsid w:val="00442F53"/>
    <w:rsid w:val="0044345F"/>
    <w:rsid w:val="0044376F"/>
    <w:rsid w:val="00443961"/>
    <w:rsid w:val="00443A02"/>
    <w:rsid w:val="00443D46"/>
    <w:rsid w:val="004446BC"/>
    <w:rsid w:val="004449A1"/>
    <w:rsid w:val="004449B1"/>
    <w:rsid w:val="00444B68"/>
    <w:rsid w:val="00444C80"/>
    <w:rsid w:val="00445C6B"/>
    <w:rsid w:val="004460FB"/>
    <w:rsid w:val="004461D4"/>
    <w:rsid w:val="00446455"/>
    <w:rsid w:val="0044646D"/>
    <w:rsid w:val="004501ED"/>
    <w:rsid w:val="00450B33"/>
    <w:rsid w:val="00450E62"/>
    <w:rsid w:val="00451D3D"/>
    <w:rsid w:val="00451DA6"/>
    <w:rsid w:val="00451EF6"/>
    <w:rsid w:val="00451F80"/>
    <w:rsid w:val="004528CE"/>
    <w:rsid w:val="00453140"/>
    <w:rsid w:val="00453818"/>
    <w:rsid w:val="0045392F"/>
    <w:rsid w:val="00453AFA"/>
    <w:rsid w:val="00453E1D"/>
    <w:rsid w:val="00454277"/>
    <w:rsid w:val="00454B05"/>
    <w:rsid w:val="00454B6C"/>
    <w:rsid w:val="00454FDC"/>
    <w:rsid w:val="00454FE1"/>
    <w:rsid w:val="00455020"/>
    <w:rsid w:val="0045503E"/>
    <w:rsid w:val="00455688"/>
    <w:rsid w:val="004558FB"/>
    <w:rsid w:val="004563AB"/>
    <w:rsid w:val="0045691B"/>
    <w:rsid w:val="00456950"/>
    <w:rsid w:val="00456A58"/>
    <w:rsid w:val="00456AB3"/>
    <w:rsid w:val="00457149"/>
    <w:rsid w:val="00457B25"/>
    <w:rsid w:val="0046047E"/>
    <w:rsid w:val="00460680"/>
    <w:rsid w:val="00460F61"/>
    <w:rsid w:val="00461190"/>
    <w:rsid w:val="00461F3E"/>
    <w:rsid w:val="0046203B"/>
    <w:rsid w:val="0046256B"/>
    <w:rsid w:val="00462612"/>
    <w:rsid w:val="00462AB3"/>
    <w:rsid w:val="004636DF"/>
    <w:rsid w:val="00464590"/>
    <w:rsid w:val="004645FE"/>
    <w:rsid w:val="0046475B"/>
    <w:rsid w:val="00464C75"/>
    <w:rsid w:val="00465025"/>
    <w:rsid w:val="004658D1"/>
    <w:rsid w:val="00465DAF"/>
    <w:rsid w:val="004664FC"/>
    <w:rsid w:val="004668C9"/>
    <w:rsid w:val="00466A5C"/>
    <w:rsid w:val="00466ABA"/>
    <w:rsid w:val="00466B8D"/>
    <w:rsid w:val="00467016"/>
    <w:rsid w:val="00467374"/>
    <w:rsid w:val="0046777C"/>
    <w:rsid w:val="00467962"/>
    <w:rsid w:val="00467FE1"/>
    <w:rsid w:val="00470167"/>
    <w:rsid w:val="00470357"/>
    <w:rsid w:val="0047038A"/>
    <w:rsid w:val="0047038B"/>
    <w:rsid w:val="0047066D"/>
    <w:rsid w:val="00470794"/>
    <w:rsid w:val="00470971"/>
    <w:rsid w:val="0047130C"/>
    <w:rsid w:val="0047166F"/>
    <w:rsid w:val="00471CB4"/>
    <w:rsid w:val="00471D75"/>
    <w:rsid w:val="004723E4"/>
    <w:rsid w:val="004729E0"/>
    <w:rsid w:val="00472A7B"/>
    <w:rsid w:val="00472F7D"/>
    <w:rsid w:val="00473291"/>
    <w:rsid w:val="00473850"/>
    <w:rsid w:val="00473942"/>
    <w:rsid w:val="00473DD7"/>
    <w:rsid w:val="00473E98"/>
    <w:rsid w:val="004740E8"/>
    <w:rsid w:val="00474334"/>
    <w:rsid w:val="00474435"/>
    <w:rsid w:val="004745DA"/>
    <w:rsid w:val="00474896"/>
    <w:rsid w:val="00474C8C"/>
    <w:rsid w:val="0047552B"/>
    <w:rsid w:val="00475C10"/>
    <w:rsid w:val="00475E2A"/>
    <w:rsid w:val="00475E79"/>
    <w:rsid w:val="004763C7"/>
    <w:rsid w:val="004766E7"/>
    <w:rsid w:val="004769E1"/>
    <w:rsid w:val="00477153"/>
    <w:rsid w:val="0047789A"/>
    <w:rsid w:val="00477951"/>
    <w:rsid w:val="00480B98"/>
    <w:rsid w:val="00480BEA"/>
    <w:rsid w:val="00480EE8"/>
    <w:rsid w:val="004811CE"/>
    <w:rsid w:val="00481974"/>
    <w:rsid w:val="00481DD1"/>
    <w:rsid w:val="0048206D"/>
    <w:rsid w:val="00482B8B"/>
    <w:rsid w:val="00482ED1"/>
    <w:rsid w:val="00483334"/>
    <w:rsid w:val="004834B7"/>
    <w:rsid w:val="004835B6"/>
    <w:rsid w:val="004835E8"/>
    <w:rsid w:val="00483779"/>
    <w:rsid w:val="0048380E"/>
    <w:rsid w:val="00483C43"/>
    <w:rsid w:val="00483E94"/>
    <w:rsid w:val="00484469"/>
    <w:rsid w:val="00485461"/>
    <w:rsid w:val="00485561"/>
    <w:rsid w:val="00485C22"/>
    <w:rsid w:val="0048644E"/>
    <w:rsid w:val="00486665"/>
    <w:rsid w:val="0048668C"/>
    <w:rsid w:val="004866E4"/>
    <w:rsid w:val="00486971"/>
    <w:rsid w:val="00486AAB"/>
    <w:rsid w:val="00486BE3"/>
    <w:rsid w:val="0048722F"/>
    <w:rsid w:val="0048795F"/>
    <w:rsid w:val="00487D91"/>
    <w:rsid w:val="004907CD"/>
    <w:rsid w:val="00490D05"/>
    <w:rsid w:val="004910B5"/>
    <w:rsid w:val="0049137F"/>
    <w:rsid w:val="004913D0"/>
    <w:rsid w:val="0049173F"/>
    <w:rsid w:val="00491C5A"/>
    <w:rsid w:val="00491E6C"/>
    <w:rsid w:val="00491E89"/>
    <w:rsid w:val="00491ECF"/>
    <w:rsid w:val="004921DA"/>
    <w:rsid w:val="004923EB"/>
    <w:rsid w:val="0049240B"/>
    <w:rsid w:val="004926D4"/>
    <w:rsid w:val="0049293A"/>
    <w:rsid w:val="00492A73"/>
    <w:rsid w:val="00492E3A"/>
    <w:rsid w:val="00492E78"/>
    <w:rsid w:val="00493194"/>
    <w:rsid w:val="0049342D"/>
    <w:rsid w:val="004939FC"/>
    <w:rsid w:val="00493E60"/>
    <w:rsid w:val="00493FFB"/>
    <w:rsid w:val="0049420B"/>
    <w:rsid w:val="0049474F"/>
    <w:rsid w:val="00494869"/>
    <w:rsid w:val="00494FFA"/>
    <w:rsid w:val="004954D4"/>
    <w:rsid w:val="00495854"/>
    <w:rsid w:val="00496347"/>
    <w:rsid w:val="00496BC7"/>
    <w:rsid w:val="00497316"/>
    <w:rsid w:val="00497447"/>
    <w:rsid w:val="00497474"/>
    <w:rsid w:val="0049754B"/>
    <w:rsid w:val="00497C0D"/>
    <w:rsid w:val="00497CF7"/>
    <w:rsid w:val="004A0839"/>
    <w:rsid w:val="004A13F1"/>
    <w:rsid w:val="004A1637"/>
    <w:rsid w:val="004A17E0"/>
    <w:rsid w:val="004A1AAE"/>
    <w:rsid w:val="004A261B"/>
    <w:rsid w:val="004A309F"/>
    <w:rsid w:val="004A40F2"/>
    <w:rsid w:val="004A40F5"/>
    <w:rsid w:val="004A4254"/>
    <w:rsid w:val="004A4692"/>
    <w:rsid w:val="004A4C63"/>
    <w:rsid w:val="004A5443"/>
    <w:rsid w:val="004A57F6"/>
    <w:rsid w:val="004A5A2F"/>
    <w:rsid w:val="004A5E9E"/>
    <w:rsid w:val="004A6081"/>
    <w:rsid w:val="004A613F"/>
    <w:rsid w:val="004A64D1"/>
    <w:rsid w:val="004A6998"/>
    <w:rsid w:val="004A69D8"/>
    <w:rsid w:val="004A6EB8"/>
    <w:rsid w:val="004A7ECD"/>
    <w:rsid w:val="004A7FF5"/>
    <w:rsid w:val="004B0237"/>
    <w:rsid w:val="004B0255"/>
    <w:rsid w:val="004B05B8"/>
    <w:rsid w:val="004B0B55"/>
    <w:rsid w:val="004B0D97"/>
    <w:rsid w:val="004B106A"/>
    <w:rsid w:val="004B142C"/>
    <w:rsid w:val="004B14E5"/>
    <w:rsid w:val="004B1527"/>
    <w:rsid w:val="004B1E80"/>
    <w:rsid w:val="004B2354"/>
    <w:rsid w:val="004B27CE"/>
    <w:rsid w:val="004B2A70"/>
    <w:rsid w:val="004B2BD3"/>
    <w:rsid w:val="004B2C01"/>
    <w:rsid w:val="004B2DC8"/>
    <w:rsid w:val="004B2E1F"/>
    <w:rsid w:val="004B31ED"/>
    <w:rsid w:val="004B330D"/>
    <w:rsid w:val="004B394F"/>
    <w:rsid w:val="004B3A9D"/>
    <w:rsid w:val="004B3D81"/>
    <w:rsid w:val="004B4E0C"/>
    <w:rsid w:val="004B6487"/>
    <w:rsid w:val="004B6C98"/>
    <w:rsid w:val="004B6DA9"/>
    <w:rsid w:val="004B6EE4"/>
    <w:rsid w:val="004B739F"/>
    <w:rsid w:val="004C026E"/>
    <w:rsid w:val="004C02B2"/>
    <w:rsid w:val="004C06FC"/>
    <w:rsid w:val="004C0E1D"/>
    <w:rsid w:val="004C0EBD"/>
    <w:rsid w:val="004C1257"/>
    <w:rsid w:val="004C1432"/>
    <w:rsid w:val="004C19E1"/>
    <w:rsid w:val="004C1E56"/>
    <w:rsid w:val="004C24B5"/>
    <w:rsid w:val="004C2549"/>
    <w:rsid w:val="004C2F1E"/>
    <w:rsid w:val="004C3BF5"/>
    <w:rsid w:val="004C3ECD"/>
    <w:rsid w:val="004C4069"/>
    <w:rsid w:val="004C4576"/>
    <w:rsid w:val="004C475E"/>
    <w:rsid w:val="004C476F"/>
    <w:rsid w:val="004C50B6"/>
    <w:rsid w:val="004C5679"/>
    <w:rsid w:val="004C5B9A"/>
    <w:rsid w:val="004C5E03"/>
    <w:rsid w:val="004C5E86"/>
    <w:rsid w:val="004C641B"/>
    <w:rsid w:val="004C6DA6"/>
    <w:rsid w:val="004C7EFC"/>
    <w:rsid w:val="004CE068"/>
    <w:rsid w:val="004D00B2"/>
    <w:rsid w:val="004D0505"/>
    <w:rsid w:val="004D05C8"/>
    <w:rsid w:val="004D072C"/>
    <w:rsid w:val="004D0B18"/>
    <w:rsid w:val="004D0DD0"/>
    <w:rsid w:val="004D0E23"/>
    <w:rsid w:val="004D1941"/>
    <w:rsid w:val="004D194A"/>
    <w:rsid w:val="004D204D"/>
    <w:rsid w:val="004D26B4"/>
    <w:rsid w:val="004D3C3D"/>
    <w:rsid w:val="004D3DD2"/>
    <w:rsid w:val="004D44ED"/>
    <w:rsid w:val="004D4511"/>
    <w:rsid w:val="004D45C9"/>
    <w:rsid w:val="004D4A2C"/>
    <w:rsid w:val="004D4A8B"/>
    <w:rsid w:val="004D52C8"/>
    <w:rsid w:val="004D5721"/>
    <w:rsid w:val="004D5B73"/>
    <w:rsid w:val="004D5EC4"/>
    <w:rsid w:val="004D641A"/>
    <w:rsid w:val="004D6710"/>
    <w:rsid w:val="004D7611"/>
    <w:rsid w:val="004D7834"/>
    <w:rsid w:val="004D7DA6"/>
    <w:rsid w:val="004DEE0E"/>
    <w:rsid w:val="004E01FE"/>
    <w:rsid w:val="004E0919"/>
    <w:rsid w:val="004E11D8"/>
    <w:rsid w:val="004E14DA"/>
    <w:rsid w:val="004E151B"/>
    <w:rsid w:val="004E167F"/>
    <w:rsid w:val="004E18E5"/>
    <w:rsid w:val="004E1BC5"/>
    <w:rsid w:val="004E1DB2"/>
    <w:rsid w:val="004E22AA"/>
    <w:rsid w:val="004E22B7"/>
    <w:rsid w:val="004E23AB"/>
    <w:rsid w:val="004E2601"/>
    <w:rsid w:val="004E2CCC"/>
    <w:rsid w:val="004E3225"/>
    <w:rsid w:val="004E3470"/>
    <w:rsid w:val="004E34F6"/>
    <w:rsid w:val="004E36F7"/>
    <w:rsid w:val="004E4073"/>
    <w:rsid w:val="004E40FD"/>
    <w:rsid w:val="004E42E6"/>
    <w:rsid w:val="004E4C79"/>
    <w:rsid w:val="004E4FA0"/>
    <w:rsid w:val="004E5326"/>
    <w:rsid w:val="004E5509"/>
    <w:rsid w:val="004E58BC"/>
    <w:rsid w:val="004E5BE9"/>
    <w:rsid w:val="004E5D14"/>
    <w:rsid w:val="004E6043"/>
    <w:rsid w:val="004E6616"/>
    <w:rsid w:val="004E667A"/>
    <w:rsid w:val="004E68DE"/>
    <w:rsid w:val="004E6963"/>
    <w:rsid w:val="004E6C4B"/>
    <w:rsid w:val="004E6E21"/>
    <w:rsid w:val="004E6F37"/>
    <w:rsid w:val="004E72DE"/>
    <w:rsid w:val="004E7417"/>
    <w:rsid w:val="004E7689"/>
    <w:rsid w:val="004E782D"/>
    <w:rsid w:val="004E79ED"/>
    <w:rsid w:val="004F0127"/>
    <w:rsid w:val="004F0658"/>
    <w:rsid w:val="004F0E81"/>
    <w:rsid w:val="004F1107"/>
    <w:rsid w:val="004F13E5"/>
    <w:rsid w:val="004F1671"/>
    <w:rsid w:val="004F16A9"/>
    <w:rsid w:val="004F198A"/>
    <w:rsid w:val="004F1FC9"/>
    <w:rsid w:val="004F2E29"/>
    <w:rsid w:val="004F4190"/>
    <w:rsid w:val="004F4B9A"/>
    <w:rsid w:val="004F4E21"/>
    <w:rsid w:val="004F52A5"/>
    <w:rsid w:val="004F55E2"/>
    <w:rsid w:val="004F5900"/>
    <w:rsid w:val="004F5C7E"/>
    <w:rsid w:val="004F5F40"/>
    <w:rsid w:val="004F5FF4"/>
    <w:rsid w:val="004F6048"/>
    <w:rsid w:val="004F63F0"/>
    <w:rsid w:val="004F6455"/>
    <w:rsid w:val="004F6533"/>
    <w:rsid w:val="004F6B42"/>
    <w:rsid w:val="004F6DEA"/>
    <w:rsid w:val="004F706D"/>
    <w:rsid w:val="004F7483"/>
    <w:rsid w:val="004F750F"/>
    <w:rsid w:val="004F7653"/>
    <w:rsid w:val="004F7758"/>
    <w:rsid w:val="0050077F"/>
    <w:rsid w:val="00500CE8"/>
    <w:rsid w:val="00500DCB"/>
    <w:rsid w:val="00500DEF"/>
    <w:rsid w:val="0050106D"/>
    <w:rsid w:val="0050114F"/>
    <w:rsid w:val="00501192"/>
    <w:rsid w:val="0050199B"/>
    <w:rsid w:val="00501CB0"/>
    <w:rsid w:val="00502590"/>
    <w:rsid w:val="00502803"/>
    <w:rsid w:val="00502BD4"/>
    <w:rsid w:val="00502D50"/>
    <w:rsid w:val="00503373"/>
    <w:rsid w:val="005034C7"/>
    <w:rsid w:val="005038C7"/>
    <w:rsid w:val="00503BCA"/>
    <w:rsid w:val="005040AF"/>
    <w:rsid w:val="0050411A"/>
    <w:rsid w:val="00504502"/>
    <w:rsid w:val="00504AFF"/>
    <w:rsid w:val="00504BD6"/>
    <w:rsid w:val="00505572"/>
    <w:rsid w:val="00505840"/>
    <w:rsid w:val="00505DF6"/>
    <w:rsid w:val="00506711"/>
    <w:rsid w:val="00506875"/>
    <w:rsid w:val="00506B11"/>
    <w:rsid w:val="00506C54"/>
    <w:rsid w:val="00506EB6"/>
    <w:rsid w:val="00506FA5"/>
    <w:rsid w:val="005071A4"/>
    <w:rsid w:val="005072DE"/>
    <w:rsid w:val="005078EB"/>
    <w:rsid w:val="00507F8A"/>
    <w:rsid w:val="005102D9"/>
    <w:rsid w:val="0051031E"/>
    <w:rsid w:val="0051032C"/>
    <w:rsid w:val="00510859"/>
    <w:rsid w:val="00510980"/>
    <w:rsid w:val="00510A50"/>
    <w:rsid w:val="0051107A"/>
    <w:rsid w:val="005119FF"/>
    <w:rsid w:val="00511AA2"/>
    <w:rsid w:val="00511BBB"/>
    <w:rsid w:val="005122D8"/>
    <w:rsid w:val="00512597"/>
    <w:rsid w:val="005129C3"/>
    <w:rsid w:val="00512F24"/>
    <w:rsid w:val="005133E4"/>
    <w:rsid w:val="00513846"/>
    <w:rsid w:val="00513906"/>
    <w:rsid w:val="00513BF3"/>
    <w:rsid w:val="00513C9F"/>
    <w:rsid w:val="00514712"/>
    <w:rsid w:val="005147BE"/>
    <w:rsid w:val="0051489E"/>
    <w:rsid w:val="00515FAD"/>
    <w:rsid w:val="00516517"/>
    <w:rsid w:val="0051658C"/>
    <w:rsid w:val="005174A7"/>
    <w:rsid w:val="005175EF"/>
    <w:rsid w:val="00517906"/>
    <w:rsid w:val="005179A1"/>
    <w:rsid w:val="005179B2"/>
    <w:rsid w:val="005203E2"/>
    <w:rsid w:val="00521191"/>
    <w:rsid w:val="00521A3E"/>
    <w:rsid w:val="00522159"/>
    <w:rsid w:val="005221E8"/>
    <w:rsid w:val="00522248"/>
    <w:rsid w:val="005225F8"/>
    <w:rsid w:val="0052265F"/>
    <w:rsid w:val="00523102"/>
    <w:rsid w:val="005236A9"/>
    <w:rsid w:val="00523A8E"/>
    <w:rsid w:val="00523CE3"/>
    <w:rsid w:val="005240DB"/>
    <w:rsid w:val="00524144"/>
    <w:rsid w:val="0052483D"/>
    <w:rsid w:val="005249EB"/>
    <w:rsid w:val="00525284"/>
    <w:rsid w:val="005254B8"/>
    <w:rsid w:val="0052597B"/>
    <w:rsid w:val="00525F49"/>
    <w:rsid w:val="00525F7E"/>
    <w:rsid w:val="0052604A"/>
    <w:rsid w:val="00526073"/>
    <w:rsid w:val="00526136"/>
    <w:rsid w:val="005269A1"/>
    <w:rsid w:val="00526E1F"/>
    <w:rsid w:val="00526FBB"/>
    <w:rsid w:val="0052774F"/>
    <w:rsid w:val="005278E2"/>
    <w:rsid w:val="00527BCE"/>
    <w:rsid w:val="00527FE3"/>
    <w:rsid w:val="00530194"/>
    <w:rsid w:val="0053044E"/>
    <w:rsid w:val="00531113"/>
    <w:rsid w:val="0053111F"/>
    <w:rsid w:val="005315AC"/>
    <w:rsid w:val="005318A6"/>
    <w:rsid w:val="00531978"/>
    <w:rsid w:val="00531CE7"/>
    <w:rsid w:val="00532EA7"/>
    <w:rsid w:val="00532EBD"/>
    <w:rsid w:val="00533FBD"/>
    <w:rsid w:val="005340FA"/>
    <w:rsid w:val="0053455C"/>
    <w:rsid w:val="005353EA"/>
    <w:rsid w:val="005358CA"/>
    <w:rsid w:val="00536907"/>
    <w:rsid w:val="00536FF5"/>
    <w:rsid w:val="005377AD"/>
    <w:rsid w:val="00537916"/>
    <w:rsid w:val="00537AC7"/>
    <w:rsid w:val="00540123"/>
    <w:rsid w:val="00540179"/>
    <w:rsid w:val="005404A8"/>
    <w:rsid w:val="00540A1E"/>
    <w:rsid w:val="00540D4C"/>
    <w:rsid w:val="00540FE0"/>
    <w:rsid w:val="005412C2"/>
    <w:rsid w:val="00541A81"/>
    <w:rsid w:val="00541B9B"/>
    <w:rsid w:val="00541BE6"/>
    <w:rsid w:val="00541E71"/>
    <w:rsid w:val="00542625"/>
    <w:rsid w:val="00542CC5"/>
    <w:rsid w:val="00542FFC"/>
    <w:rsid w:val="00543713"/>
    <w:rsid w:val="00543D20"/>
    <w:rsid w:val="00543F37"/>
    <w:rsid w:val="00544031"/>
    <w:rsid w:val="00544577"/>
    <w:rsid w:val="0054467B"/>
    <w:rsid w:val="00544ACF"/>
    <w:rsid w:val="0054507C"/>
    <w:rsid w:val="00545287"/>
    <w:rsid w:val="0054565A"/>
    <w:rsid w:val="00545AD4"/>
    <w:rsid w:val="005461C0"/>
    <w:rsid w:val="005463AF"/>
    <w:rsid w:val="00546A20"/>
    <w:rsid w:val="00546BBA"/>
    <w:rsid w:val="00547B32"/>
    <w:rsid w:val="00547F10"/>
    <w:rsid w:val="0055040F"/>
    <w:rsid w:val="00550C61"/>
    <w:rsid w:val="0055161B"/>
    <w:rsid w:val="00551791"/>
    <w:rsid w:val="0055192A"/>
    <w:rsid w:val="00551B78"/>
    <w:rsid w:val="00551B9C"/>
    <w:rsid w:val="00551E2D"/>
    <w:rsid w:val="00551F4A"/>
    <w:rsid w:val="00552185"/>
    <w:rsid w:val="005521C3"/>
    <w:rsid w:val="0055242C"/>
    <w:rsid w:val="00552EB3"/>
    <w:rsid w:val="00553106"/>
    <w:rsid w:val="00553C4D"/>
    <w:rsid w:val="005540BB"/>
    <w:rsid w:val="005543E0"/>
    <w:rsid w:val="00554926"/>
    <w:rsid w:val="00555259"/>
    <w:rsid w:val="00555481"/>
    <w:rsid w:val="005555A8"/>
    <w:rsid w:val="005556B2"/>
    <w:rsid w:val="0055572A"/>
    <w:rsid w:val="00556D4D"/>
    <w:rsid w:val="00557180"/>
    <w:rsid w:val="0055779D"/>
    <w:rsid w:val="005577EE"/>
    <w:rsid w:val="0056050D"/>
    <w:rsid w:val="00560A0C"/>
    <w:rsid w:val="00560BD5"/>
    <w:rsid w:val="00560D2C"/>
    <w:rsid w:val="00560FB0"/>
    <w:rsid w:val="0056117A"/>
    <w:rsid w:val="00561182"/>
    <w:rsid w:val="00561459"/>
    <w:rsid w:val="00561B12"/>
    <w:rsid w:val="00561C1B"/>
    <w:rsid w:val="00561D24"/>
    <w:rsid w:val="0056204C"/>
    <w:rsid w:val="005623EA"/>
    <w:rsid w:val="00562433"/>
    <w:rsid w:val="00562CCF"/>
    <w:rsid w:val="00562F0E"/>
    <w:rsid w:val="005630A0"/>
    <w:rsid w:val="00563199"/>
    <w:rsid w:val="005636B9"/>
    <w:rsid w:val="005645C0"/>
    <w:rsid w:val="005647C8"/>
    <w:rsid w:val="00564AF8"/>
    <w:rsid w:val="00565063"/>
    <w:rsid w:val="00565D5E"/>
    <w:rsid w:val="00565D5F"/>
    <w:rsid w:val="00565D72"/>
    <w:rsid w:val="00565E1F"/>
    <w:rsid w:val="00565F80"/>
    <w:rsid w:val="005661B3"/>
    <w:rsid w:val="005662E9"/>
    <w:rsid w:val="00566AA4"/>
    <w:rsid w:val="00566EBA"/>
    <w:rsid w:val="00566F17"/>
    <w:rsid w:val="005670BD"/>
    <w:rsid w:val="005672B5"/>
    <w:rsid w:val="005676FC"/>
    <w:rsid w:val="005700FC"/>
    <w:rsid w:val="00570C00"/>
    <w:rsid w:val="00570EC4"/>
    <w:rsid w:val="00570F2E"/>
    <w:rsid w:val="0057110B"/>
    <w:rsid w:val="00571660"/>
    <w:rsid w:val="00571858"/>
    <w:rsid w:val="0057283B"/>
    <w:rsid w:val="00572E8B"/>
    <w:rsid w:val="00573E31"/>
    <w:rsid w:val="005749B7"/>
    <w:rsid w:val="005749CB"/>
    <w:rsid w:val="00574D43"/>
    <w:rsid w:val="0057525B"/>
    <w:rsid w:val="00575B51"/>
    <w:rsid w:val="00576178"/>
    <w:rsid w:val="005762D5"/>
    <w:rsid w:val="0057789C"/>
    <w:rsid w:val="005779C9"/>
    <w:rsid w:val="0058037B"/>
    <w:rsid w:val="005807F8"/>
    <w:rsid w:val="00581357"/>
    <w:rsid w:val="00581656"/>
    <w:rsid w:val="005816E5"/>
    <w:rsid w:val="005819C5"/>
    <w:rsid w:val="00581A43"/>
    <w:rsid w:val="00581F1A"/>
    <w:rsid w:val="005824E9"/>
    <w:rsid w:val="00582701"/>
    <w:rsid w:val="00582897"/>
    <w:rsid w:val="00582E46"/>
    <w:rsid w:val="00583280"/>
    <w:rsid w:val="005838EB"/>
    <w:rsid w:val="00583E34"/>
    <w:rsid w:val="00583F06"/>
    <w:rsid w:val="00584453"/>
    <w:rsid w:val="0058464C"/>
    <w:rsid w:val="00584756"/>
    <w:rsid w:val="00584ADA"/>
    <w:rsid w:val="00584CAB"/>
    <w:rsid w:val="00584D7B"/>
    <w:rsid w:val="005851C6"/>
    <w:rsid w:val="00585807"/>
    <w:rsid w:val="005859B1"/>
    <w:rsid w:val="00585D94"/>
    <w:rsid w:val="005860CE"/>
    <w:rsid w:val="005860E6"/>
    <w:rsid w:val="005860FD"/>
    <w:rsid w:val="00586151"/>
    <w:rsid w:val="005863B9"/>
    <w:rsid w:val="00587EE4"/>
    <w:rsid w:val="00590091"/>
    <w:rsid w:val="00590332"/>
    <w:rsid w:val="0059072C"/>
    <w:rsid w:val="005907AA"/>
    <w:rsid w:val="00591073"/>
    <w:rsid w:val="005915D6"/>
    <w:rsid w:val="005917BE"/>
    <w:rsid w:val="005917C5"/>
    <w:rsid w:val="00591A40"/>
    <w:rsid w:val="00591B6D"/>
    <w:rsid w:val="00591F96"/>
    <w:rsid w:val="00592C79"/>
    <w:rsid w:val="00592E1A"/>
    <w:rsid w:val="005937F2"/>
    <w:rsid w:val="005941CD"/>
    <w:rsid w:val="00594F37"/>
    <w:rsid w:val="0059501E"/>
    <w:rsid w:val="005950CD"/>
    <w:rsid w:val="005951E7"/>
    <w:rsid w:val="00595AF3"/>
    <w:rsid w:val="005960DB"/>
    <w:rsid w:val="00596219"/>
    <w:rsid w:val="00596352"/>
    <w:rsid w:val="00597441"/>
    <w:rsid w:val="00597AFA"/>
    <w:rsid w:val="00597FFB"/>
    <w:rsid w:val="005A02B8"/>
    <w:rsid w:val="005A0888"/>
    <w:rsid w:val="005A0A2A"/>
    <w:rsid w:val="005A0BE2"/>
    <w:rsid w:val="005A0E3D"/>
    <w:rsid w:val="005A0FA8"/>
    <w:rsid w:val="005A0FD0"/>
    <w:rsid w:val="005A1AFE"/>
    <w:rsid w:val="005A1D69"/>
    <w:rsid w:val="005A24E0"/>
    <w:rsid w:val="005A2AB5"/>
    <w:rsid w:val="005A2C54"/>
    <w:rsid w:val="005A2F63"/>
    <w:rsid w:val="005A2F6F"/>
    <w:rsid w:val="005A31F7"/>
    <w:rsid w:val="005A327A"/>
    <w:rsid w:val="005A3355"/>
    <w:rsid w:val="005A3933"/>
    <w:rsid w:val="005A3A07"/>
    <w:rsid w:val="005A3B80"/>
    <w:rsid w:val="005A4221"/>
    <w:rsid w:val="005A454B"/>
    <w:rsid w:val="005A4A23"/>
    <w:rsid w:val="005A4CA2"/>
    <w:rsid w:val="005A5154"/>
    <w:rsid w:val="005A573D"/>
    <w:rsid w:val="005A59D3"/>
    <w:rsid w:val="005A59F4"/>
    <w:rsid w:val="005A5B9A"/>
    <w:rsid w:val="005A5CAF"/>
    <w:rsid w:val="005A5EEE"/>
    <w:rsid w:val="005A6288"/>
    <w:rsid w:val="005A66D0"/>
    <w:rsid w:val="005A6B9B"/>
    <w:rsid w:val="005A6ED9"/>
    <w:rsid w:val="005A7545"/>
    <w:rsid w:val="005A7708"/>
    <w:rsid w:val="005B0161"/>
    <w:rsid w:val="005B029C"/>
    <w:rsid w:val="005B05DF"/>
    <w:rsid w:val="005B0650"/>
    <w:rsid w:val="005B0F17"/>
    <w:rsid w:val="005B16CC"/>
    <w:rsid w:val="005B17A7"/>
    <w:rsid w:val="005B1F7B"/>
    <w:rsid w:val="005B2004"/>
    <w:rsid w:val="005B24E3"/>
    <w:rsid w:val="005B2977"/>
    <w:rsid w:val="005B2AF7"/>
    <w:rsid w:val="005B2F2A"/>
    <w:rsid w:val="005B313E"/>
    <w:rsid w:val="005B31BA"/>
    <w:rsid w:val="005B356C"/>
    <w:rsid w:val="005B368D"/>
    <w:rsid w:val="005B3987"/>
    <w:rsid w:val="005B3E85"/>
    <w:rsid w:val="005B47D7"/>
    <w:rsid w:val="005B48F2"/>
    <w:rsid w:val="005B50B8"/>
    <w:rsid w:val="005B50BE"/>
    <w:rsid w:val="005B5132"/>
    <w:rsid w:val="005B5B2D"/>
    <w:rsid w:val="005B5BFC"/>
    <w:rsid w:val="005B5DF4"/>
    <w:rsid w:val="005B5F2B"/>
    <w:rsid w:val="005B6068"/>
    <w:rsid w:val="005B63CF"/>
    <w:rsid w:val="005B6AE4"/>
    <w:rsid w:val="005B6C8B"/>
    <w:rsid w:val="005B6DF0"/>
    <w:rsid w:val="005B6E3A"/>
    <w:rsid w:val="005B6F87"/>
    <w:rsid w:val="005B7114"/>
    <w:rsid w:val="005C01B2"/>
    <w:rsid w:val="005C0448"/>
    <w:rsid w:val="005C055B"/>
    <w:rsid w:val="005C0AA2"/>
    <w:rsid w:val="005C0C17"/>
    <w:rsid w:val="005C1253"/>
    <w:rsid w:val="005C138B"/>
    <w:rsid w:val="005C15CD"/>
    <w:rsid w:val="005C1A7C"/>
    <w:rsid w:val="005C1D64"/>
    <w:rsid w:val="005C203B"/>
    <w:rsid w:val="005C241E"/>
    <w:rsid w:val="005C2755"/>
    <w:rsid w:val="005C27E8"/>
    <w:rsid w:val="005C2C41"/>
    <w:rsid w:val="005C2FE0"/>
    <w:rsid w:val="005C3209"/>
    <w:rsid w:val="005C3284"/>
    <w:rsid w:val="005C3516"/>
    <w:rsid w:val="005C3565"/>
    <w:rsid w:val="005C3728"/>
    <w:rsid w:val="005C3AF2"/>
    <w:rsid w:val="005C3F96"/>
    <w:rsid w:val="005C46DA"/>
    <w:rsid w:val="005C489D"/>
    <w:rsid w:val="005C4B28"/>
    <w:rsid w:val="005C4EC9"/>
    <w:rsid w:val="005C5913"/>
    <w:rsid w:val="005C59CE"/>
    <w:rsid w:val="005C5E73"/>
    <w:rsid w:val="005C5F99"/>
    <w:rsid w:val="005C6529"/>
    <w:rsid w:val="005C6D71"/>
    <w:rsid w:val="005C74BF"/>
    <w:rsid w:val="005D027D"/>
    <w:rsid w:val="005D0643"/>
    <w:rsid w:val="005D09A4"/>
    <w:rsid w:val="005D0C58"/>
    <w:rsid w:val="005D0E21"/>
    <w:rsid w:val="005D1063"/>
    <w:rsid w:val="005D1101"/>
    <w:rsid w:val="005D1364"/>
    <w:rsid w:val="005D1B1B"/>
    <w:rsid w:val="005D1BE8"/>
    <w:rsid w:val="005D1FFE"/>
    <w:rsid w:val="005D25EC"/>
    <w:rsid w:val="005D2914"/>
    <w:rsid w:val="005D291E"/>
    <w:rsid w:val="005D2ABC"/>
    <w:rsid w:val="005D2BC7"/>
    <w:rsid w:val="005D2D13"/>
    <w:rsid w:val="005D3534"/>
    <w:rsid w:val="005D41DF"/>
    <w:rsid w:val="005D4274"/>
    <w:rsid w:val="005D44CC"/>
    <w:rsid w:val="005D47C8"/>
    <w:rsid w:val="005D5070"/>
    <w:rsid w:val="005D5363"/>
    <w:rsid w:val="005D54CA"/>
    <w:rsid w:val="005D5717"/>
    <w:rsid w:val="005D5A03"/>
    <w:rsid w:val="005D5CD7"/>
    <w:rsid w:val="005D5D2F"/>
    <w:rsid w:val="005D61A6"/>
    <w:rsid w:val="005D6339"/>
    <w:rsid w:val="005D6827"/>
    <w:rsid w:val="005D6AED"/>
    <w:rsid w:val="005D78CE"/>
    <w:rsid w:val="005D796F"/>
    <w:rsid w:val="005D7D4E"/>
    <w:rsid w:val="005D7FB3"/>
    <w:rsid w:val="005E010B"/>
    <w:rsid w:val="005E01F4"/>
    <w:rsid w:val="005E0FBE"/>
    <w:rsid w:val="005E11B6"/>
    <w:rsid w:val="005E1543"/>
    <w:rsid w:val="005E16CF"/>
    <w:rsid w:val="005E18EB"/>
    <w:rsid w:val="005E1D1F"/>
    <w:rsid w:val="005E1FE2"/>
    <w:rsid w:val="005E20BF"/>
    <w:rsid w:val="005E2179"/>
    <w:rsid w:val="005E2358"/>
    <w:rsid w:val="005E2647"/>
    <w:rsid w:val="005E28CB"/>
    <w:rsid w:val="005E3D6E"/>
    <w:rsid w:val="005E3EFB"/>
    <w:rsid w:val="005E41CE"/>
    <w:rsid w:val="005E4462"/>
    <w:rsid w:val="005E452D"/>
    <w:rsid w:val="005E4918"/>
    <w:rsid w:val="005E56E6"/>
    <w:rsid w:val="005E583F"/>
    <w:rsid w:val="005E587F"/>
    <w:rsid w:val="005E5954"/>
    <w:rsid w:val="005E5F9F"/>
    <w:rsid w:val="005E61ED"/>
    <w:rsid w:val="005E638B"/>
    <w:rsid w:val="005E639D"/>
    <w:rsid w:val="005E7058"/>
    <w:rsid w:val="005E75F6"/>
    <w:rsid w:val="005E76C4"/>
    <w:rsid w:val="005E7B1A"/>
    <w:rsid w:val="005F0476"/>
    <w:rsid w:val="005F0B00"/>
    <w:rsid w:val="005F1147"/>
    <w:rsid w:val="005F1178"/>
    <w:rsid w:val="005F125B"/>
    <w:rsid w:val="005F1373"/>
    <w:rsid w:val="005F1828"/>
    <w:rsid w:val="005F20F2"/>
    <w:rsid w:val="005F2D50"/>
    <w:rsid w:val="005F2D5D"/>
    <w:rsid w:val="005F2FAE"/>
    <w:rsid w:val="005F311C"/>
    <w:rsid w:val="005F3387"/>
    <w:rsid w:val="005F38EE"/>
    <w:rsid w:val="005F4085"/>
    <w:rsid w:val="005F417F"/>
    <w:rsid w:val="005F425C"/>
    <w:rsid w:val="005F4802"/>
    <w:rsid w:val="005F4DC8"/>
    <w:rsid w:val="005F56C6"/>
    <w:rsid w:val="005F57B7"/>
    <w:rsid w:val="005F5AD5"/>
    <w:rsid w:val="005F5B0D"/>
    <w:rsid w:val="005F6810"/>
    <w:rsid w:val="005F6A14"/>
    <w:rsid w:val="005F6EED"/>
    <w:rsid w:val="005F70AA"/>
    <w:rsid w:val="005F716A"/>
    <w:rsid w:val="005F724A"/>
    <w:rsid w:val="005F78E2"/>
    <w:rsid w:val="005F7CBE"/>
    <w:rsid w:val="005F7DCB"/>
    <w:rsid w:val="00600388"/>
    <w:rsid w:val="00600A63"/>
    <w:rsid w:val="00600B02"/>
    <w:rsid w:val="00600D7B"/>
    <w:rsid w:val="00600F93"/>
    <w:rsid w:val="00601444"/>
    <w:rsid w:val="006014F7"/>
    <w:rsid w:val="00601A7C"/>
    <w:rsid w:val="00601FDB"/>
    <w:rsid w:val="00602024"/>
    <w:rsid w:val="006020A8"/>
    <w:rsid w:val="00602141"/>
    <w:rsid w:val="006021AF"/>
    <w:rsid w:val="0060241D"/>
    <w:rsid w:val="006024DE"/>
    <w:rsid w:val="00602560"/>
    <w:rsid w:val="006025A4"/>
    <w:rsid w:val="00602922"/>
    <w:rsid w:val="0060306E"/>
    <w:rsid w:val="006036FD"/>
    <w:rsid w:val="00604113"/>
    <w:rsid w:val="00604223"/>
    <w:rsid w:val="006043C5"/>
    <w:rsid w:val="006049B0"/>
    <w:rsid w:val="00604AAE"/>
    <w:rsid w:val="00605273"/>
    <w:rsid w:val="0060571C"/>
    <w:rsid w:val="00605BDC"/>
    <w:rsid w:val="00605BDD"/>
    <w:rsid w:val="00606340"/>
    <w:rsid w:val="0060638C"/>
    <w:rsid w:val="0060638F"/>
    <w:rsid w:val="006077FD"/>
    <w:rsid w:val="00607A7D"/>
    <w:rsid w:val="006103F9"/>
    <w:rsid w:val="00610764"/>
    <w:rsid w:val="006109F6"/>
    <w:rsid w:val="00610E66"/>
    <w:rsid w:val="00611006"/>
    <w:rsid w:val="00611122"/>
    <w:rsid w:val="00611227"/>
    <w:rsid w:val="006124DB"/>
    <w:rsid w:val="0061276B"/>
    <w:rsid w:val="00613176"/>
    <w:rsid w:val="006133AA"/>
    <w:rsid w:val="00614040"/>
    <w:rsid w:val="0061497A"/>
    <w:rsid w:val="006149CB"/>
    <w:rsid w:val="00614D5D"/>
    <w:rsid w:val="00615341"/>
    <w:rsid w:val="006155C4"/>
    <w:rsid w:val="006161DD"/>
    <w:rsid w:val="006161EA"/>
    <w:rsid w:val="006163AE"/>
    <w:rsid w:val="006167C6"/>
    <w:rsid w:val="006168B7"/>
    <w:rsid w:val="00616990"/>
    <w:rsid w:val="00616ADA"/>
    <w:rsid w:val="00616B9B"/>
    <w:rsid w:val="0061701C"/>
    <w:rsid w:val="0061723B"/>
    <w:rsid w:val="006175A7"/>
    <w:rsid w:val="006178A9"/>
    <w:rsid w:val="00617D56"/>
    <w:rsid w:val="00620185"/>
    <w:rsid w:val="00620571"/>
    <w:rsid w:val="00620605"/>
    <w:rsid w:val="00620FF5"/>
    <w:rsid w:val="00621266"/>
    <w:rsid w:val="006220FA"/>
    <w:rsid w:val="00623162"/>
    <w:rsid w:val="0062341F"/>
    <w:rsid w:val="006236A7"/>
    <w:rsid w:val="006236AB"/>
    <w:rsid w:val="006239C7"/>
    <w:rsid w:val="00623BE6"/>
    <w:rsid w:val="0062454B"/>
    <w:rsid w:val="00624790"/>
    <w:rsid w:val="006249FE"/>
    <w:rsid w:val="00624E61"/>
    <w:rsid w:val="006252C6"/>
    <w:rsid w:val="0062576C"/>
    <w:rsid w:val="006262B3"/>
    <w:rsid w:val="00626348"/>
    <w:rsid w:val="0062645E"/>
    <w:rsid w:val="00626511"/>
    <w:rsid w:val="006266B1"/>
    <w:rsid w:val="00627262"/>
    <w:rsid w:val="00627391"/>
    <w:rsid w:val="006274BA"/>
    <w:rsid w:val="00630505"/>
    <w:rsid w:val="00630922"/>
    <w:rsid w:val="00630E11"/>
    <w:rsid w:val="00631143"/>
    <w:rsid w:val="00631175"/>
    <w:rsid w:val="006312DB"/>
    <w:rsid w:val="00631459"/>
    <w:rsid w:val="00631587"/>
    <w:rsid w:val="0063159D"/>
    <w:rsid w:val="006315B1"/>
    <w:rsid w:val="00631C17"/>
    <w:rsid w:val="00631E64"/>
    <w:rsid w:val="0063248E"/>
    <w:rsid w:val="006324CB"/>
    <w:rsid w:val="006325B8"/>
    <w:rsid w:val="00632960"/>
    <w:rsid w:val="00632CF0"/>
    <w:rsid w:val="00632E7D"/>
    <w:rsid w:val="006331B0"/>
    <w:rsid w:val="0063353E"/>
    <w:rsid w:val="00633727"/>
    <w:rsid w:val="00633D99"/>
    <w:rsid w:val="0063415D"/>
    <w:rsid w:val="0063416F"/>
    <w:rsid w:val="006341B6"/>
    <w:rsid w:val="006345B2"/>
    <w:rsid w:val="0063532A"/>
    <w:rsid w:val="006360DB"/>
    <w:rsid w:val="00636B85"/>
    <w:rsid w:val="006375A7"/>
    <w:rsid w:val="006375CA"/>
    <w:rsid w:val="00637605"/>
    <w:rsid w:val="00637FCC"/>
    <w:rsid w:val="00637FFA"/>
    <w:rsid w:val="006400DB"/>
    <w:rsid w:val="006402B4"/>
    <w:rsid w:val="00640490"/>
    <w:rsid w:val="0064086E"/>
    <w:rsid w:val="00640CEE"/>
    <w:rsid w:val="006415A3"/>
    <w:rsid w:val="00641884"/>
    <w:rsid w:val="0064200E"/>
    <w:rsid w:val="006427B5"/>
    <w:rsid w:val="00642826"/>
    <w:rsid w:val="00643500"/>
    <w:rsid w:val="00643DC9"/>
    <w:rsid w:val="00645443"/>
    <w:rsid w:val="006458AA"/>
    <w:rsid w:val="006460B8"/>
    <w:rsid w:val="0064617A"/>
    <w:rsid w:val="0064646B"/>
    <w:rsid w:val="00646B61"/>
    <w:rsid w:val="00646D74"/>
    <w:rsid w:val="00646D96"/>
    <w:rsid w:val="0064723E"/>
    <w:rsid w:val="00647601"/>
    <w:rsid w:val="006477CC"/>
    <w:rsid w:val="006478D0"/>
    <w:rsid w:val="006479EF"/>
    <w:rsid w:val="00650344"/>
    <w:rsid w:val="006507A0"/>
    <w:rsid w:val="00650908"/>
    <w:rsid w:val="006512FA"/>
    <w:rsid w:val="006514A3"/>
    <w:rsid w:val="006514F9"/>
    <w:rsid w:val="00652191"/>
    <w:rsid w:val="0065249F"/>
    <w:rsid w:val="0065297A"/>
    <w:rsid w:val="006529AA"/>
    <w:rsid w:val="00652DB0"/>
    <w:rsid w:val="00653178"/>
    <w:rsid w:val="00653BD3"/>
    <w:rsid w:val="006546C8"/>
    <w:rsid w:val="00654707"/>
    <w:rsid w:val="00655459"/>
    <w:rsid w:val="00655723"/>
    <w:rsid w:val="00655AEF"/>
    <w:rsid w:val="00655BDD"/>
    <w:rsid w:val="0065679E"/>
    <w:rsid w:val="006567C8"/>
    <w:rsid w:val="006570E4"/>
    <w:rsid w:val="00657161"/>
    <w:rsid w:val="00657683"/>
    <w:rsid w:val="0066010E"/>
    <w:rsid w:val="0066035A"/>
    <w:rsid w:val="00660C62"/>
    <w:rsid w:val="00660D00"/>
    <w:rsid w:val="0066207D"/>
    <w:rsid w:val="0066290A"/>
    <w:rsid w:val="00662CEA"/>
    <w:rsid w:val="0066350D"/>
    <w:rsid w:val="0066354D"/>
    <w:rsid w:val="00663C19"/>
    <w:rsid w:val="00663E79"/>
    <w:rsid w:val="00664313"/>
    <w:rsid w:val="00664539"/>
    <w:rsid w:val="00664694"/>
    <w:rsid w:val="00664D23"/>
    <w:rsid w:val="006654B7"/>
    <w:rsid w:val="00665A91"/>
    <w:rsid w:val="0066658E"/>
    <w:rsid w:val="006668D8"/>
    <w:rsid w:val="00666BFA"/>
    <w:rsid w:val="00666D5A"/>
    <w:rsid w:val="00667242"/>
    <w:rsid w:val="00667490"/>
    <w:rsid w:val="006679F9"/>
    <w:rsid w:val="00667D70"/>
    <w:rsid w:val="00670051"/>
    <w:rsid w:val="00670523"/>
    <w:rsid w:val="00670587"/>
    <w:rsid w:val="00670C0E"/>
    <w:rsid w:val="00670D54"/>
    <w:rsid w:val="00670DE1"/>
    <w:rsid w:val="00671344"/>
    <w:rsid w:val="00671775"/>
    <w:rsid w:val="00671BC8"/>
    <w:rsid w:val="006721DB"/>
    <w:rsid w:val="00672517"/>
    <w:rsid w:val="00672699"/>
    <w:rsid w:val="00672D7A"/>
    <w:rsid w:val="00673392"/>
    <w:rsid w:val="006740E2"/>
    <w:rsid w:val="0067419C"/>
    <w:rsid w:val="0067472A"/>
    <w:rsid w:val="006747CE"/>
    <w:rsid w:val="00674983"/>
    <w:rsid w:val="00674C4C"/>
    <w:rsid w:val="00675794"/>
    <w:rsid w:val="00675E28"/>
    <w:rsid w:val="006765F9"/>
    <w:rsid w:val="00676867"/>
    <w:rsid w:val="0067771E"/>
    <w:rsid w:val="00680315"/>
    <w:rsid w:val="00680333"/>
    <w:rsid w:val="00680474"/>
    <w:rsid w:val="006809F0"/>
    <w:rsid w:val="00680A29"/>
    <w:rsid w:val="00680C1A"/>
    <w:rsid w:val="00680CA3"/>
    <w:rsid w:val="00680E08"/>
    <w:rsid w:val="00681DA9"/>
    <w:rsid w:val="00682381"/>
    <w:rsid w:val="00682627"/>
    <w:rsid w:val="00683C7D"/>
    <w:rsid w:val="00684414"/>
    <w:rsid w:val="006846AA"/>
    <w:rsid w:val="00684A5E"/>
    <w:rsid w:val="006853FB"/>
    <w:rsid w:val="00685631"/>
    <w:rsid w:val="006856D8"/>
    <w:rsid w:val="006864FB"/>
    <w:rsid w:val="00686D1E"/>
    <w:rsid w:val="00686E4E"/>
    <w:rsid w:val="00687398"/>
    <w:rsid w:val="0068784E"/>
    <w:rsid w:val="006879F7"/>
    <w:rsid w:val="00687CE6"/>
    <w:rsid w:val="00687E84"/>
    <w:rsid w:val="00687F36"/>
    <w:rsid w:val="00690574"/>
    <w:rsid w:val="00690AAC"/>
    <w:rsid w:val="00690BA8"/>
    <w:rsid w:val="00691577"/>
    <w:rsid w:val="006915C5"/>
    <w:rsid w:val="00691B22"/>
    <w:rsid w:val="00691DFB"/>
    <w:rsid w:val="00691E73"/>
    <w:rsid w:val="00691E82"/>
    <w:rsid w:val="00692B5D"/>
    <w:rsid w:val="006936D1"/>
    <w:rsid w:val="0069389B"/>
    <w:rsid w:val="00693D96"/>
    <w:rsid w:val="00693E90"/>
    <w:rsid w:val="00694305"/>
    <w:rsid w:val="00694365"/>
    <w:rsid w:val="0069437A"/>
    <w:rsid w:val="00694616"/>
    <w:rsid w:val="00695011"/>
    <w:rsid w:val="00695216"/>
    <w:rsid w:val="00695246"/>
    <w:rsid w:val="00695E30"/>
    <w:rsid w:val="00696564"/>
    <w:rsid w:val="0069668A"/>
    <w:rsid w:val="006966F8"/>
    <w:rsid w:val="00696E76"/>
    <w:rsid w:val="00697198"/>
    <w:rsid w:val="00697AE2"/>
    <w:rsid w:val="00697E1D"/>
    <w:rsid w:val="006A01D7"/>
    <w:rsid w:val="006A029A"/>
    <w:rsid w:val="006A04E0"/>
    <w:rsid w:val="006A05D0"/>
    <w:rsid w:val="006A0DF2"/>
    <w:rsid w:val="006A15F8"/>
    <w:rsid w:val="006A1ACB"/>
    <w:rsid w:val="006A1AF0"/>
    <w:rsid w:val="006A2A63"/>
    <w:rsid w:val="006A2CEE"/>
    <w:rsid w:val="006A30C1"/>
    <w:rsid w:val="006A3993"/>
    <w:rsid w:val="006A3C17"/>
    <w:rsid w:val="006A418F"/>
    <w:rsid w:val="006A424B"/>
    <w:rsid w:val="006A4585"/>
    <w:rsid w:val="006A477B"/>
    <w:rsid w:val="006A4D21"/>
    <w:rsid w:val="006A4D22"/>
    <w:rsid w:val="006A5063"/>
    <w:rsid w:val="006A5F90"/>
    <w:rsid w:val="006A6410"/>
    <w:rsid w:val="006A655C"/>
    <w:rsid w:val="006A6743"/>
    <w:rsid w:val="006A6767"/>
    <w:rsid w:val="006A6EF2"/>
    <w:rsid w:val="006A7143"/>
    <w:rsid w:val="006A734C"/>
    <w:rsid w:val="006A774A"/>
    <w:rsid w:val="006A7B6C"/>
    <w:rsid w:val="006A7E19"/>
    <w:rsid w:val="006B0305"/>
    <w:rsid w:val="006B0827"/>
    <w:rsid w:val="006B0A36"/>
    <w:rsid w:val="006B0BB2"/>
    <w:rsid w:val="006B10A5"/>
    <w:rsid w:val="006B1284"/>
    <w:rsid w:val="006B16CD"/>
    <w:rsid w:val="006B1D6F"/>
    <w:rsid w:val="006B1F79"/>
    <w:rsid w:val="006B22CB"/>
    <w:rsid w:val="006B240A"/>
    <w:rsid w:val="006B27EB"/>
    <w:rsid w:val="006B2988"/>
    <w:rsid w:val="006B2BD1"/>
    <w:rsid w:val="006B2C36"/>
    <w:rsid w:val="006B347A"/>
    <w:rsid w:val="006B3664"/>
    <w:rsid w:val="006B38DA"/>
    <w:rsid w:val="006B395D"/>
    <w:rsid w:val="006B39A9"/>
    <w:rsid w:val="006B3B2B"/>
    <w:rsid w:val="006B4595"/>
    <w:rsid w:val="006B4C20"/>
    <w:rsid w:val="006B50BE"/>
    <w:rsid w:val="006B5925"/>
    <w:rsid w:val="006B5A31"/>
    <w:rsid w:val="006B5FC7"/>
    <w:rsid w:val="006B60BD"/>
    <w:rsid w:val="006B6184"/>
    <w:rsid w:val="006B644B"/>
    <w:rsid w:val="006B664F"/>
    <w:rsid w:val="006B6BEA"/>
    <w:rsid w:val="006B6BF0"/>
    <w:rsid w:val="006B6DA2"/>
    <w:rsid w:val="006B72DC"/>
    <w:rsid w:val="006B73DD"/>
    <w:rsid w:val="006B7411"/>
    <w:rsid w:val="006B758F"/>
    <w:rsid w:val="006C0489"/>
    <w:rsid w:val="006C0A35"/>
    <w:rsid w:val="006C0DF1"/>
    <w:rsid w:val="006C1091"/>
    <w:rsid w:val="006C16CD"/>
    <w:rsid w:val="006C19FF"/>
    <w:rsid w:val="006C27E1"/>
    <w:rsid w:val="006C2810"/>
    <w:rsid w:val="006C3025"/>
    <w:rsid w:val="006C3B00"/>
    <w:rsid w:val="006C3F8F"/>
    <w:rsid w:val="006C40FA"/>
    <w:rsid w:val="006C4152"/>
    <w:rsid w:val="006C4379"/>
    <w:rsid w:val="006C47EB"/>
    <w:rsid w:val="006C4B0D"/>
    <w:rsid w:val="006C5C95"/>
    <w:rsid w:val="006C6AA2"/>
    <w:rsid w:val="006C70ED"/>
    <w:rsid w:val="006C7EBE"/>
    <w:rsid w:val="006D02BB"/>
    <w:rsid w:val="006D02CD"/>
    <w:rsid w:val="006D045D"/>
    <w:rsid w:val="006D05F8"/>
    <w:rsid w:val="006D082E"/>
    <w:rsid w:val="006D08AA"/>
    <w:rsid w:val="006D1047"/>
    <w:rsid w:val="006D10BD"/>
    <w:rsid w:val="006D1384"/>
    <w:rsid w:val="006D1439"/>
    <w:rsid w:val="006D1705"/>
    <w:rsid w:val="006D19DE"/>
    <w:rsid w:val="006D1D42"/>
    <w:rsid w:val="006D219A"/>
    <w:rsid w:val="006D2D16"/>
    <w:rsid w:val="006D2FCF"/>
    <w:rsid w:val="006D3126"/>
    <w:rsid w:val="006D3171"/>
    <w:rsid w:val="006D31D6"/>
    <w:rsid w:val="006D3407"/>
    <w:rsid w:val="006D34ED"/>
    <w:rsid w:val="006D3553"/>
    <w:rsid w:val="006D3B6C"/>
    <w:rsid w:val="006D44D3"/>
    <w:rsid w:val="006D461B"/>
    <w:rsid w:val="006D4936"/>
    <w:rsid w:val="006D49F8"/>
    <w:rsid w:val="006D4BC0"/>
    <w:rsid w:val="006D52C6"/>
    <w:rsid w:val="006D61ED"/>
    <w:rsid w:val="006D64A8"/>
    <w:rsid w:val="006D68FE"/>
    <w:rsid w:val="006D69D1"/>
    <w:rsid w:val="006D6F0C"/>
    <w:rsid w:val="006D7CF5"/>
    <w:rsid w:val="006D7FDE"/>
    <w:rsid w:val="006E02C8"/>
    <w:rsid w:val="006E0338"/>
    <w:rsid w:val="006E081D"/>
    <w:rsid w:val="006E0832"/>
    <w:rsid w:val="006E0C0D"/>
    <w:rsid w:val="006E11C5"/>
    <w:rsid w:val="006E2139"/>
    <w:rsid w:val="006E23BE"/>
    <w:rsid w:val="006E25E8"/>
    <w:rsid w:val="006E2788"/>
    <w:rsid w:val="006E2E96"/>
    <w:rsid w:val="006E31DC"/>
    <w:rsid w:val="006E32EE"/>
    <w:rsid w:val="006E3F65"/>
    <w:rsid w:val="006E4ADC"/>
    <w:rsid w:val="006E54BF"/>
    <w:rsid w:val="006E54E5"/>
    <w:rsid w:val="006E5B1C"/>
    <w:rsid w:val="006E6CC3"/>
    <w:rsid w:val="006E7A97"/>
    <w:rsid w:val="006F01DD"/>
    <w:rsid w:val="006F0334"/>
    <w:rsid w:val="006F0410"/>
    <w:rsid w:val="006F060F"/>
    <w:rsid w:val="006F10FB"/>
    <w:rsid w:val="006F1799"/>
    <w:rsid w:val="006F1912"/>
    <w:rsid w:val="006F1AEC"/>
    <w:rsid w:val="006F1C1E"/>
    <w:rsid w:val="006F1D6B"/>
    <w:rsid w:val="006F2226"/>
    <w:rsid w:val="006F22ED"/>
    <w:rsid w:val="006F24E4"/>
    <w:rsid w:val="006F2BF7"/>
    <w:rsid w:val="006F3263"/>
    <w:rsid w:val="006F384B"/>
    <w:rsid w:val="006F3F9D"/>
    <w:rsid w:val="006F3FF7"/>
    <w:rsid w:val="006F47B2"/>
    <w:rsid w:val="006F4909"/>
    <w:rsid w:val="006F4D78"/>
    <w:rsid w:val="006F4F5E"/>
    <w:rsid w:val="006F5066"/>
    <w:rsid w:val="006F511E"/>
    <w:rsid w:val="006F52DD"/>
    <w:rsid w:val="006F5CBA"/>
    <w:rsid w:val="006F5D72"/>
    <w:rsid w:val="006F6506"/>
    <w:rsid w:val="006F652B"/>
    <w:rsid w:val="006F68FC"/>
    <w:rsid w:val="006F6A6A"/>
    <w:rsid w:val="006F707C"/>
    <w:rsid w:val="006F7323"/>
    <w:rsid w:val="006F76CF"/>
    <w:rsid w:val="006F7EA9"/>
    <w:rsid w:val="00700409"/>
    <w:rsid w:val="00700613"/>
    <w:rsid w:val="00700807"/>
    <w:rsid w:val="007009A0"/>
    <w:rsid w:val="007010B5"/>
    <w:rsid w:val="007011C8"/>
    <w:rsid w:val="0070159F"/>
    <w:rsid w:val="007020BC"/>
    <w:rsid w:val="007021B2"/>
    <w:rsid w:val="00702538"/>
    <w:rsid w:val="007025D9"/>
    <w:rsid w:val="0070274A"/>
    <w:rsid w:val="007027AC"/>
    <w:rsid w:val="00702B8D"/>
    <w:rsid w:val="00702FAF"/>
    <w:rsid w:val="007030D1"/>
    <w:rsid w:val="0070338F"/>
    <w:rsid w:val="007034BE"/>
    <w:rsid w:val="0070369D"/>
    <w:rsid w:val="0070399A"/>
    <w:rsid w:val="00703FD9"/>
    <w:rsid w:val="00704431"/>
    <w:rsid w:val="00704711"/>
    <w:rsid w:val="00704826"/>
    <w:rsid w:val="00704D7D"/>
    <w:rsid w:val="00704F56"/>
    <w:rsid w:val="007052B7"/>
    <w:rsid w:val="00705313"/>
    <w:rsid w:val="0070537A"/>
    <w:rsid w:val="00705742"/>
    <w:rsid w:val="007057E5"/>
    <w:rsid w:val="00705A09"/>
    <w:rsid w:val="0070617B"/>
    <w:rsid w:val="00707652"/>
    <w:rsid w:val="00707FAD"/>
    <w:rsid w:val="00710090"/>
    <w:rsid w:val="0071023E"/>
    <w:rsid w:val="00710339"/>
    <w:rsid w:val="00710360"/>
    <w:rsid w:val="00710889"/>
    <w:rsid w:val="0071094B"/>
    <w:rsid w:val="00710B87"/>
    <w:rsid w:val="007112E8"/>
    <w:rsid w:val="00711A04"/>
    <w:rsid w:val="00712370"/>
    <w:rsid w:val="00713332"/>
    <w:rsid w:val="00713471"/>
    <w:rsid w:val="00713EFF"/>
    <w:rsid w:val="007140F2"/>
    <w:rsid w:val="00714849"/>
    <w:rsid w:val="0071497B"/>
    <w:rsid w:val="00714CC3"/>
    <w:rsid w:val="00714E1A"/>
    <w:rsid w:val="00715CDA"/>
    <w:rsid w:val="0071615F"/>
    <w:rsid w:val="007161C1"/>
    <w:rsid w:val="00716505"/>
    <w:rsid w:val="007171EA"/>
    <w:rsid w:val="007175A6"/>
    <w:rsid w:val="00717B1B"/>
    <w:rsid w:val="0072002A"/>
    <w:rsid w:val="0072015A"/>
    <w:rsid w:val="00720230"/>
    <w:rsid w:val="00720865"/>
    <w:rsid w:val="00720FAA"/>
    <w:rsid w:val="00721752"/>
    <w:rsid w:val="00721E4E"/>
    <w:rsid w:val="00721F80"/>
    <w:rsid w:val="00722AFD"/>
    <w:rsid w:val="007232E0"/>
    <w:rsid w:val="00723B97"/>
    <w:rsid w:val="007249B2"/>
    <w:rsid w:val="00724A8E"/>
    <w:rsid w:val="00724A9A"/>
    <w:rsid w:val="007251FE"/>
    <w:rsid w:val="00725BBB"/>
    <w:rsid w:val="00725D6A"/>
    <w:rsid w:val="0072627E"/>
    <w:rsid w:val="0072692C"/>
    <w:rsid w:val="007270F4"/>
    <w:rsid w:val="007273F6"/>
    <w:rsid w:val="00728D3A"/>
    <w:rsid w:val="00730053"/>
    <w:rsid w:val="00730827"/>
    <w:rsid w:val="00730876"/>
    <w:rsid w:val="00730EA0"/>
    <w:rsid w:val="00730FE0"/>
    <w:rsid w:val="00731219"/>
    <w:rsid w:val="00731276"/>
    <w:rsid w:val="00731818"/>
    <w:rsid w:val="007322A5"/>
    <w:rsid w:val="007322D0"/>
    <w:rsid w:val="00732849"/>
    <w:rsid w:val="00732D53"/>
    <w:rsid w:val="00732F11"/>
    <w:rsid w:val="0073344F"/>
    <w:rsid w:val="007335F3"/>
    <w:rsid w:val="00733718"/>
    <w:rsid w:val="0073395E"/>
    <w:rsid w:val="00733A22"/>
    <w:rsid w:val="00733FA1"/>
    <w:rsid w:val="007340FB"/>
    <w:rsid w:val="00734A0D"/>
    <w:rsid w:val="00734B1E"/>
    <w:rsid w:val="0073579B"/>
    <w:rsid w:val="00737720"/>
    <w:rsid w:val="00737B21"/>
    <w:rsid w:val="00737F78"/>
    <w:rsid w:val="0074066A"/>
    <w:rsid w:val="00740737"/>
    <w:rsid w:val="007408CB"/>
    <w:rsid w:val="00740A5C"/>
    <w:rsid w:val="00740F2A"/>
    <w:rsid w:val="0074175D"/>
    <w:rsid w:val="00742202"/>
    <w:rsid w:val="00742494"/>
    <w:rsid w:val="00742970"/>
    <w:rsid w:val="0074312B"/>
    <w:rsid w:val="00743689"/>
    <w:rsid w:val="007436F4"/>
    <w:rsid w:val="00743C42"/>
    <w:rsid w:val="00743DA3"/>
    <w:rsid w:val="007443F6"/>
    <w:rsid w:val="007446D6"/>
    <w:rsid w:val="0074513D"/>
    <w:rsid w:val="007453B6"/>
    <w:rsid w:val="00745759"/>
    <w:rsid w:val="00745817"/>
    <w:rsid w:val="007458FA"/>
    <w:rsid w:val="00745F30"/>
    <w:rsid w:val="007467DE"/>
    <w:rsid w:val="007467FF"/>
    <w:rsid w:val="00746956"/>
    <w:rsid w:val="0074719B"/>
    <w:rsid w:val="007471ED"/>
    <w:rsid w:val="00747810"/>
    <w:rsid w:val="00747B3B"/>
    <w:rsid w:val="00747E84"/>
    <w:rsid w:val="00750017"/>
    <w:rsid w:val="0075016C"/>
    <w:rsid w:val="00750A6C"/>
    <w:rsid w:val="00750ADF"/>
    <w:rsid w:val="007511AC"/>
    <w:rsid w:val="00751E1B"/>
    <w:rsid w:val="00752126"/>
    <w:rsid w:val="007521AF"/>
    <w:rsid w:val="007528BA"/>
    <w:rsid w:val="007529AA"/>
    <w:rsid w:val="00752AC1"/>
    <w:rsid w:val="00752CF2"/>
    <w:rsid w:val="00752FF2"/>
    <w:rsid w:val="007530F9"/>
    <w:rsid w:val="0075322C"/>
    <w:rsid w:val="00753357"/>
    <w:rsid w:val="007533DC"/>
    <w:rsid w:val="0075348A"/>
    <w:rsid w:val="00753621"/>
    <w:rsid w:val="007545C0"/>
    <w:rsid w:val="0075481B"/>
    <w:rsid w:val="00754FA5"/>
    <w:rsid w:val="00755256"/>
    <w:rsid w:val="007552CC"/>
    <w:rsid w:val="0075534D"/>
    <w:rsid w:val="007553A7"/>
    <w:rsid w:val="00755907"/>
    <w:rsid w:val="007559C5"/>
    <w:rsid w:val="007562DA"/>
    <w:rsid w:val="00756360"/>
    <w:rsid w:val="00756A79"/>
    <w:rsid w:val="00756D73"/>
    <w:rsid w:val="007571CD"/>
    <w:rsid w:val="0075720A"/>
    <w:rsid w:val="0075756B"/>
    <w:rsid w:val="0075788C"/>
    <w:rsid w:val="00757C70"/>
    <w:rsid w:val="00757FA5"/>
    <w:rsid w:val="007604F4"/>
    <w:rsid w:val="0076059A"/>
    <w:rsid w:val="0076075C"/>
    <w:rsid w:val="007608A2"/>
    <w:rsid w:val="00760F2D"/>
    <w:rsid w:val="00760F4C"/>
    <w:rsid w:val="007612BE"/>
    <w:rsid w:val="0076182A"/>
    <w:rsid w:val="00761B13"/>
    <w:rsid w:val="00761DC2"/>
    <w:rsid w:val="00762298"/>
    <w:rsid w:val="007627D2"/>
    <w:rsid w:val="007629DE"/>
    <w:rsid w:val="00762C7C"/>
    <w:rsid w:val="00762E70"/>
    <w:rsid w:val="00762FBE"/>
    <w:rsid w:val="007634A9"/>
    <w:rsid w:val="0076356B"/>
    <w:rsid w:val="00763CAA"/>
    <w:rsid w:val="007640F4"/>
    <w:rsid w:val="00764544"/>
    <w:rsid w:val="00764A7A"/>
    <w:rsid w:val="00764DB4"/>
    <w:rsid w:val="00764FF5"/>
    <w:rsid w:val="007651EA"/>
    <w:rsid w:val="0076551B"/>
    <w:rsid w:val="0076596A"/>
    <w:rsid w:val="00765C98"/>
    <w:rsid w:val="007664E4"/>
    <w:rsid w:val="007669EF"/>
    <w:rsid w:val="00766A7A"/>
    <w:rsid w:val="00766B5D"/>
    <w:rsid w:val="00766F5E"/>
    <w:rsid w:val="007672B5"/>
    <w:rsid w:val="00767645"/>
    <w:rsid w:val="007676B3"/>
    <w:rsid w:val="007677C7"/>
    <w:rsid w:val="00767CB1"/>
    <w:rsid w:val="00770390"/>
    <w:rsid w:val="007705DD"/>
    <w:rsid w:val="00770850"/>
    <w:rsid w:val="00770948"/>
    <w:rsid w:val="00770A6C"/>
    <w:rsid w:val="00770F8B"/>
    <w:rsid w:val="007713B7"/>
    <w:rsid w:val="00771534"/>
    <w:rsid w:val="00771BAB"/>
    <w:rsid w:val="00771BEE"/>
    <w:rsid w:val="00771C54"/>
    <w:rsid w:val="00771FA9"/>
    <w:rsid w:val="00772480"/>
    <w:rsid w:val="007724C5"/>
    <w:rsid w:val="00772575"/>
    <w:rsid w:val="00772981"/>
    <w:rsid w:val="007729ED"/>
    <w:rsid w:val="00772A75"/>
    <w:rsid w:val="00772A94"/>
    <w:rsid w:val="00772BD4"/>
    <w:rsid w:val="0077300A"/>
    <w:rsid w:val="007732C0"/>
    <w:rsid w:val="007739B9"/>
    <w:rsid w:val="00773AD8"/>
    <w:rsid w:val="00773E07"/>
    <w:rsid w:val="007740BD"/>
    <w:rsid w:val="0077430D"/>
    <w:rsid w:val="00774793"/>
    <w:rsid w:val="007747BE"/>
    <w:rsid w:val="00775886"/>
    <w:rsid w:val="007758A5"/>
    <w:rsid w:val="00775BDF"/>
    <w:rsid w:val="00775ED0"/>
    <w:rsid w:val="00776224"/>
    <w:rsid w:val="00776434"/>
    <w:rsid w:val="007765E4"/>
    <w:rsid w:val="0077687A"/>
    <w:rsid w:val="007768DF"/>
    <w:rsid w:val="007768EF"/>
    <w:rsid w:val="007768FB"/>
    <w:rsid w:val="00776F99"/>
    <w:rsid w:val="007778C5"/>
    <w:rsid w:val="00777C67"/>
    <w:rsid w:val="00777F16"/>
    <w:rsid w:val="00780279"/>
    <w:rsid w:val="007802AD"/>
    <w:rsid w:val="0078047F"/>
    <w:rsid w:val="00780649"/>
    <w:rsid w:val="00780E66"/>
    <w:rsid w:val="00781203"/>
    <w:rsid w:val="007812F9"/>
    <w:rsid w:val="00781D9B"/>
    <w:rsid w:val="00781EEB"/>
    <w:rsid w:val="00781F73"/>
    <w:rsid w:val="0078278C"/>
    <w:rsid w:val="0078278D"/>
    <w:rsid w:val="00782AE3"/>
    <w:rsid w:val="00782EEC"/>
    <w:rsid w:val="00782F45"/>
    <w:rsid w:val="00782FF3"/>
    <w:rsid w:val="007834D4"/>
    <w:rsid w:val="00783840"/>
    <w:rsid w:val="00783AA3"/>
    <w:rsid w:val="00783C70"/>
    <w:rsid w:val="00783F2A"/>
    <w:rsid w:val="00783FE6"/>
    <w:rsid w:val="00784185"/>
    <w:rsid w:val="007841D5"/>
    <w:rsid w:val="007845E1"/>
    <w:rsid w:val="00784ACA"/>
    <w:rsid w:val="007853BC"/>
    <w:rsid w:val="00785742"/>
    <w:rsid w:val="00785927"/>
    <w:rsid w:val="00785982"/>
    <w:rsid w:val="00785997"/>
    <w:rsid w:val="00786688"/>
    <w:rsid w:val="00787686"/>
    <w:rsid w:val="00787E50"/>
    <w:rsid w:val="00790694"/>
    <w:rsid w:val="00790741"/>
    <w:rsid w:val="00791E41"/>
    <w:rsid w:val="00792280"/>
    <w:rsid w:val="007922B6"/>
    <w:rsid w:val="00792708"/>
    <w:rsid w:val="0079290D"/>
    <w:rsid w:val="00792B81"/>
    <w:rsid w:val="00792D50"/>
    <w:rsid w:val="00793541"/>
    <w:rsid w:val="007936F1"/>
    <w:rsid w:val="00793D9F"/>
    <w:rsid w:val="00794092"/>
    <w:rsid w:val="00794AD6"/>
    <w:rsid w:val="00794EA7"/>
    <w:rsid w:val="00795044"/>
    <w:rsid w:val="00795C26"/>
    <w:rsid w:val="00795EF2"/>
    <w:rsid w:val="00795FDB"/>
    <w:rsid w:val="007965C3"/>
    <w:rsid w:val="007968B8"/>
    <w:rsid w:val="00796A32"/>
    <w:rsid w:val="00796A79"/>
    <w:rsid w:val="00796AAC"/>
    <w:rsid w:val="00796B1B"/>
    <w:rsid w:val="00797598"/>
    <w:rsid w:val="00797C7B"/>
    <w:rsid w:val="007A0388"/>
    <w:rsid w:val="007A04E8"/>
    <w:rsid w:val="007A0B2C"/>
    <w:rsid w:val="007A0C8A"/>
    <w:rsid w:val="007A0FEC"/>
    <w:rsid w:val="007A12C9"/>
    <w:rsid w:val="007A17BB"/>
    <w:rsid w:val="007A1E56"/>
    <w:rsid w:val="007A25A5"/>
    <w:rsid w:val="007A2721"/>
    <w:rsid w:val="007A272C"/>
    <w:rsid w:val="007A2B3E"/>
    <w:rsid w:val="007A2CC1"/>
    <w:rsid w:val="007A2EE6"/>
    <w:rsid w:val="007A32C9"/>
    <w:rsid w:val="007A336C"/>
    <w:rsid w:val="007A3CD6"/>
    <w:rsid w:val="007A3E3F"/>
    <w:rsid w:val="007A45B2"/>
    <w:rsid w:val="007A48EE"/>
    <w:rsid w:val="007A584C"/>
    <w:rsid w:val="007A5F2F"/>
    <w:rsid w:val="007A6266"/>
    <w:rsid w:val="007A62C6"/>
    <w:rsid w:val="007A6457"/>
    <w:rsid w:val="007A71AC"/>
    <w:rsid w:val="007A72C1"/>
    <w:rsid w:val="007A74B7"/>
    <w:rsid w:val="007A7A4C"/>
    <w:rsid w:val="007A7AF1"/>
    <w:rsid w:val="007A7D8E"/>
    <w:rsid w:val="007B0A96"/>
    <w:rsid w:val="007B0E92"/>
    <w:rsid w:val="007B10A3"/>
    <w:rsid w:val="007B11DC"/>
    <w:rsid w:val="007B13FA"/>
    <w:rsid w:val="007B1675"/>
    <w:rsid w:val="007B18D0"/>
    <w:rsid w:val="007B1A13"/>
    <w:rsid w:val="007B1F3E"/>
    <w:rsid w:val="007B2141"/>
    <w:rsid w:val="007B21AB"/>
    <w:rsid w:val="007B24D2"/>
    <w:rsid w:val="007B2E9D"/>
    <w:rsid w:val="007B36A3"/>
    <w:rsid w:val="007B3ECF"/>
    <w:rsid w:val="007B46AB"/>
    <w:rsid w:val="007B47EC"/>
    <w:rsid w:val="007B4AD8"/>
    <w:rsid w:val="007B4F69"/>
    <w:rsid w:val="007B55DB"/>
    <w:rsid w:val="007B5650"/>
    <w:rsid w:val="007B5E8E"/>
    <w:rsid w:val="007B5FF5"/>
    <w:rsid w:val="007B6355"/>
    <w:rsid w:val="007B635A"/>
    <w:rsid w:val="007B6430"/>
    <w:rsid w:val="007B6578"/>
    <w:rsid w:val="007B6843"/>
    <w:rsid w:val="007B6AD9"/>
    <w:rsid w:val="007B7337"/>
    <w:rsid w:val="007B7ABA"/>
    <w:rsid w:val="007B7E56"/>
    <w:rsid w:val="007C05AE"/>
    <w:rsid w:val="007C0B6B"/>
    <w:rsid w:val="007C0C5B"/>
    <w:rsid w:val="007C0D75"/>
    <w:rsid w:val="007C13B8"/>
    <w:rsid w:val="007C1AFA"/>
    <w:rsid w:val="007C22D2"/>
    <w:rsid w:val="007C2617"/>
    <w:rsid w:val="007C2FE3"/>
    <w:rsid w:val="007C3072"/>
    <w:rsid w:val="007C38C6"/>
    <w:rsid w:val="007C428B"/>
    <w:rsid w:val="007C4D6B"/>
    <w:rsid w:val="007C4FEE"/>
    <w:rsid w:val="007C5163"/>
    <w:rsid w:val="007C5605"/>
    <w:rsid w:val="007C5800"/>
    <w:rsid w:val="007C6233"/>
    <w:rsid w:val="007C68B5"/>
    <w:rsid w:val="007C69BE"/>
    <w:rsid w:val="007C69C1"/>
    <w:rsid w:val="007C6B6F"/>
    <w:rsid w:val="007C6EB8"/>
    <w:rsid w:val="007C79A2"/>
    <w:rsid w:val="007C7B10"/>
    <w:rsid w:val="007C7F52"/>
    <w:rsid w:val="007C7F64"/>
    <w:rsid w:val="007D0074"/>
    <w:rsid w:val="007D0823"/>
    <w:rsid w:val="007D0CEC"/>
    <w:rsid w:val="007D0FD4"/>
    <w:rsid w:val="007D11C1"/>
    <w:rsid w:val="007D1457"/>
    <w:rsid w:val="007D14A3"/>
    <w:rsid w:val="007D14E0"/>
    <w:rsid w:val="007D1D5D"/>
    <w:rsid w:val="007D2511"/>
    <w:rsid w:val="007D25BF"/>
    <w:rsid w:val="007D2634"/>
    <w:rsid w:val="007D2C1E"/>
    <w:rsid w:val="007D2D57"/>
    <w:rsid w:val="007D2FF6"/>
    <w:rsid w:val="007D31AD"/>
    <w:rsid w:val="007D339C"/>
    <w:rsid w:val="007D3482"/>
    <w:rsid w:val="007D3539"/>
    <w:rsid w:val="007D354A"/>
    <w:rsid w:val="007D41D8"/>
    <w:rsid w:val="007D4D14"/>
    <w:rsid w:val="007D4FDA"/>
    <w:rsid w:val="007D5357"/>
    <w:rsid w:val="007D5823"/>
    <w:rsid w:val="007D5AD8"/>
    <w:rsid w:val="007D5B80"/>
    <w:rsid w:val="007D5CF0"/>
    <w:rsid w:val="007D5ECF"/>
    <w:rsid w:val="007D5F5F"/>
    <w:rsid w:val="007D6269"/>
    <w:rsid w:val="007D62F3"/>
    <w:rsid w:val="007D6425"/>
    <w:rsid w:val="007D69AB"/>
    <w:rsid w:val="007D70EB"/>
    <w:rsid w:val="007D7696"/>
    <w:rsid w:val="007D79A9"/>
    <w:rsid w:val="007D7A3A"/>
    <w:rsid w:val="007E01D5"/>
    <w:rsid w:val="007E0D04"/>
    <w:rsid w:val="007E120E"/>
    <w:rsid w:val="007E16AA"/>
    <w:rsid w:val="007E16BC"/>
    <w:rsid w:val="007E19AB"/>
    <w:rsid w:val="007E1B95"/>
    <w:rsid w:val="007E2016"/>
    <w:rsid w:val="007E344C"/>
    <w:rsid w:val="007E3E01"/>
    <w:rsid w:val="007E4214"/>
    <w:rsid w:val="007E48CF"/>
    <w:rsid w:val="007E4F43"/>
    <w:rsid w:val="007E51AA"/>
    <w:rsid w:val="007E550C"/>
    <w:rsid w:val="007E5C5A"/>
    <w:rsid w:val="007E63FC"/>
    <w:rsid w:val="007E6491"/>
    <w:rsid w:val="007E6835"/>
    <w:rsid w:val="007E68DA"/>
    <w:rsid w:val="007E69D8"/>
    <w:rsid w:val="007E76D4"/>
    <w:rsid w:val="007F0078"/>
    <w:rsid w:val="007F00FF"/>
    <w:rsid w:val="007F035B"/>
    <w:rsid w:val="007F07E3"/>
    <w:rsid w:val="007F1946"/>
    <w:rsid w:val="007F1994"/>
    <w:rsid w:val="007F1A47"/>
    <w:rsid w:val="007F1C19"/>
    <w:rsid w:val="007F2537"/>
    <w:rsid w:val="007F2D88"/>
    <w:rsid w:val="007F2E89"/>
    <w:rsid w:val="007F31B2"/>
    <w:rsid w:val="007F34B6"/>
    <w:rsid w:val="007F352D"/>
    <w:rsid w:val="007F35DE"/>
    <w:rsid w:val="007F446E"/>
    <w:rsid w:val="007F497E"/>
    <w:rsid w:val="007F549E"/>
    <w:rsid w:val="007F5881"/>
    <w:rsid w:val="007F5F47"/>
    <w:rsid w:val="007F607A"/>
    <w:rsid w:val="007F6AE3"/>
    <w:rsid w:val="007F6D66"/>
    <w:rsid w:val="007F6FB1"/>
    <w:rsid w:val="007F71DF"/>
    <w:rsid w:val="007F7CBB"/>
    <w:rsid w:val="007F7D28"/>
    <w:rsid w:val="007F7F4E"/>
    <w:rsid w:val="007F7F9D"/>
    <w:rsid w:val="0080019B"/>
    <w:rsid w:val="008012CE"/>
    <w:rsid w:val="008014B6"/>
    <w:rsid w:val="00801814"/>
    <w:rsid w:val="008019D1"/>
    <w:rsid w:val="00801BA7"/>
    <w:rsid w:val="00801EB3"/>
    <w:rsid w:val="00802237"/>
    <w:rsid w:val="008024E7"/>
    <w:rsid w:val="00802AF1"/>
    <w:rsid w:val="00802B73"/>
    <w:rsid w:val="00803052"/>
    <w:rsid w:val="008033C2"/>
    <w:rsid w:val="0080342B"/>
    <w:rsid w:val="00803506"/>
    <w:rsid w:val="00803AF3"/>
    <w:rsid w:val="00803DB8"/>
    <w:rsid w:val="00804CF7"/>
    <w:rsid w:val="00804E90"/>
    <w:rsid w:val="0080565D"/>
    <w:rsid w:val="00805FBE"/>
    <w:rsid w:val="00806A19"/>
    <w:rsid w:val="00806A3A"/>
    <w:rsid w:val="00807705"/>
    <w:rsid w:val="00807885"/>
    <w:rsid w:val="0080795D"/>
    <w:rsid w:val="00810570"/>
    <w:rsid w:val="008109AF"/>
    <w:rsid w:val="008109CA"/>
    <w:rsid w:val="00810ABB"/>
    <w:rsid w:val="00810B8B"/>
    <w:rsid w:val="00810FF7"/>
    <w:rsid w:val="00811B48"/>
    <w:rsid w:val="00811C27"/>
    <w:rsid w:val="00811F0B"/>
    <w:rsid w:val="00812232"/>
    <w:rsid w:val="0081260A"/>
    <w:rsid w:val="00812AA1"/>
    <w:rsid w:val="008131FA"/>
    <w:rsid w:val="00813238"/>
    <w:rsid w:val="008133C0"/>
    <w:rsid w:val="0081346F"/>
    <w:rsid w:val="008144CD"/>
    <w:rsid w:val="00814A3A"/>
    <w:rsid w:val="00814EC8"/>
    <w:rsid w:val="00815A3E"/>
    <w:rsid w:val="00815CBC"/>
    <w:rsid w:val="008161C7"/>
    <w:rsid w:val="008166F3"/>
    <w:rsid w:val="00816875"/>
    <w:rsid w:val="0081702B"/>
    <w:rsid w:val="008173F7"/>
    <w:rsid w:val="008177EE"/>
    <w:rsid w:val="00820038"/>
    <w:rsid w:val="008201C9"/>
    <w:rsid w:val="00820209"/>
    <w:rsid w:val="00820A44"/>
    <w:rsid w:val="00820BED"/>
    <w:rsid w:val="00821692"/>
    <w:rsid w:val="00821727"/>
    <w:rsid w:val="0082199D"/>
    <w:rsid w:val="00821B54"/>
    <w:rsid w:val="00821C6F"/>
    <w:rsid w:val="00821EA0"/>
    <w:rsid w:val="00821F2C"/>
    <w:rsid w:val="00822091"/>
    <w:rsid w:val="00822140"/>
    <w:rsid w:val="0082233C"/>
    <w:rsid w:val="008223F7"/>
    <w:rsid w:val="008225DB"/>
    <w:rsid w:val="00822725"/>
    <w:rsid w:val="00822A6D"/>
    <w:rsid w:val="00822D31"/>
    <w:rsid w:val="00822EEC"/>
    <w:rsid w:val="00823311"/>
    <w:rsid w:val="008233D3"/>
    <w:rsid w:val="0082363D"/>
    <w:rsid w:val="00823B8B"/>
    <w:rsid w:val="00823B96"/>
    <w:rsid w:val="00823C69"/>
    <w:rsid w:val="00823D90"/>
    <w:rsid w:val="00824070"/>
    <w:rsid w:val="008246E3"/>
    <w:rsid w:val="008247B9"/>
    <w:rsid w:val="00824888"/>
    <w:rsid w:val="00824F2A"/>
    <w:rsid w:val="008252EC"/>
    <w:rsid w:val="00825703"/>
    <w:rsid w:val="008259CF"/>
    <w:rsid w:val="00825E35"/>
    <w:rsid w:val="00825FD6"/>
    <w:rsid w:val="0082610A"/>
    <w:rsid w:val="00826AE4"/>
    <w:rsid w:val="00826E2A"/>
    <w:rsid w:val="00826F6E"/>
    <w:rsid w:val="008275AD"/>
    <w:rsid w:val="00827673"/>
    <w:rsid w:val="00827686"/>
    <w:rsid w:val="008277A6"/>
    <w:rsid w:val="00827A24"/>
    <w:rsid w:val="00827E03"/>
    <w:rsid w:val="00827EC4"/>
    <w:rsid w:val="00827EF6"/>
    <w:rsid w:val="00830A1D"/>
    <w:rsid w:val="00830C4A"/>
    <w:rsid w:val="00830CC4"/>
    <w:rsid w:val="0083168B"/>
    <w:rsid w:val="00831B57"/>
    <w:rsid w:val="00831D33"/>
    <w:rsid w:val="00831D7A"/>
    <w:rsid w:val="00832D88"/>
    <w:rsid w:val="0083338D"/>
    <w:rsid w:val="0083347D"/>
    <w:rsid w:val="00833722"/>
    <w:rsid w:val="008339B8"/>
    <w:rsid w:val="00833FB6"/>
    <w:rsid w:val="00834199"/>
    <w:rsid w:val="008342A9"/>
    <w:rsid w:val="008348E5"/>
    <w:rsid w:val="00834933"/>
    <w:rsid w:val="00834BC3"/>
    <w:rsid w:val="00835604"/>
    <w:rsid w:val="008357A2"/>
    <w:rsid w:val="008357C8"/>
    <w:rsid w:val="00835E95"/>
    <w:rsid w:val="00836129"/>
    <w:rsid w:val="00836157"/>
    <w:rsid w:val="00836BFC"/>
    <w:rsid w:val="00836C6C"/>
    <w:rsid w:val="00836D3A"/>
    <w:rsid w:val="00836E13"/>
    <w:rsid w:val="00837012"/>
    <w:rsid w:val="008371E0"/>
    <w:rsid w:val="008375A0"/>
    <w:rsid w:val="00837B6C"/>
    <w:rsid w:val="00837E6E"/>
    <w:rsid w:val="00840A46"/>
    <w:rsid w:val="00840A5F"/>
    <w:rsid w:val="00840A7B"/>
    <w:rsid w:val="00840D0C"/>
    <w:rsid w:val="008411E8"/>
    <w:rsid w:val="008415CD"/>
    <w:rsid w:val="008416BC"/>
    <w:rsid w:val="00841A68"/>
    <w:rsid w:val="00841AB7"/>
    <w:rsid w:val="00841F2D"/>
    <w:rsid w:val="0084220C"/>
    <w:rsid w:val="008423CE"/>
    <w:rsid w:val="008429FC"/>
    <w:rsid w:val="00842D73"/>
    <w:rsid w:val="00842FE7"/>
    <w:rsid w:val="008438B7"/>
    <w:rsid w:val="008443E6"/>
    <w:rsid w:val="00844434"/>
    <w:rsid w:val="00844782"/>
    <w:rsid w:val="008450B9"/>
    <w:rsid w:val="008451FD"/>
    <w:rsid w:val="0084557A"/>
    <w:rsid w:val="008455EF"/>
    <w:rsid w:val="008455F9"/>
    <w:rsid w:val="008457F4"/>
    <w:rsid w:val="00845891"/>
    <w:rsid w:val="00845D51"/>
    <w:rsid w:val="00845DFC"/>
    <w:rsid w:val="0084695A"/>
    <w:rsid w:val="00846A42"/>
    <w:rsid w:val="00847013"/>
    <w:rsid w:val="00847906"/>
    <w:rsid w:val="00847AD6"/>
    <w:rsid w:val="00847BBC"/>
    <w:rsid w:val="00847E74"/>
    <w:rsid w:val="008508E5"/>
    <w:rsid w:val="0085095C"/>
    <w:rsid w:val="00850AE3"/>
    <w:rsid w:val="00850E16"/>
    <w:rsid w:val="00851975"/>
    <w:rsid w:val="00852018"/>
    <w:rsid w:val="00852141"/>
    <w:rsid w:val="00852D3F"/>
    <w:rsid w:val="00852E06"/>
    <w:rsid w:val="00853012"/>
    <w:rsid w:val="00853199"/>
    <w:rsid w:val="00853552"/>
    <w:rsid w:val="00853AC5"/>
    <w:rsid w:val="00853B86"/>
    <w:rsid w:val="00853C75"/>
    <w:rsid w:val="0085401E"/>
    <w:rsid w:val="008543E8"/>
    <w:rsid w:val="00854C47"/>
    <w:rsid w:val="00854E50"/>
    <w:rsid w:val="00856121"/>
    <w:rsid w:val="0085624A"/>
    <w:rsid w:val="008562E0"/>
    <w:rsid w:val="008565D8"/>
    <w:rsid w:val="008566BF"/>
    <w:rsid w:val="008567CC"/>
    <w:rsid w:val="008571B6"/>
    <w:rsid w:val="008574CF"/>
    <w:rsid w:val="00860AF0"/>
    <w:rsid w:val="0086115C"/>
    <w:rsid w:val="008618B2"/>
    <w:rsid w:val="00861E65"/>
    <w:rsid w:val="00862330"/>
    <w:rsid w:val="0086240E"/>
    <w:rsid w:val="00862709"/>
    <w:rsid w:val="00862760"/>
    <w:rsid w:val="00862813"/>
    <w:rsid w:val="0086294E"/>
    <w:rsid w:val="00862FBB"/>
    <w:rsid w:val="00863502"/>
    <w:rsid w:val="00863BE8"/>
    <w:rsid w:val="00863F2A"/>
    <w:rsid w:val="00864372"/>
    <w:rsid w:val="00864911"/>
    <w:rsid w:val="0086499D"/>
    <w:rsid w:val="00864B32"/>
    <w:rsid w:val="00864D35"/>
    <w:rsid w:val="00864FB9"/>
    <w:rsid w:val="00864FDF"/>
    <w:rsid w:val="008650E0"/>
    <w:rsid w:val="008659E3"/>
    <w:rsid w:val="00865E1D"/>
    <w:rsid w:val="00866CAD"/>
    <w:rsid w:val="00867532"/>
    <w:rsid w:val="00867A25"/>
    <w:rsid w:val="00867A39"/>
    <w:rsid w:val="008700BA"/>
    <w:rsid w:val="008701F0"/>
    <w:rsid w:val="008704BF"/>
    <w:rsid w:val="008705E3"/>
    <w:rsid w:val="008709FC"/>
    <w:rsid w:val="008711E4"/>
    <w:rsid w:val="008713D7"/>
    <w:rsid w:val="00871A4D"/>
    <w:rsid w:val="00871CCB"/>
    <w:rsid w:val="008728F3"/>
    <w:rsid w:val="0087314E"/>
    <w:rsid w:val="00873562"/>
    <w:rsid w:val="00873666"/>
    <w:rsid w:val="00873752"/>
    <w:rsid w:val="008737E8"/>
    <w:rsid w:val="008743DC"/>
    <w:rsid w:val="00874736"/>
    <w:rsid w:val="008748B4"/>
    <w:rsid w:val="008751F6"/>
    <w:rsid w:val="008756EE"/>
    <w:rsid w:val="008759E7"/>
    <w:rsid w:val="00875CBF"/>
    <w:rsid w:val="00875CD5"/>
    <w:rsid w:val="00875D02"/>
    <w:rsid w:val="008763FF"/>
    <w:rsid w:val="00876854"/>
    <w:rsid w:val="00876986"/>
    <w:rsid w:val="008769F5"/>
    <w:rsid w:val="00876B40"/>
    <w:rsid w:val="00876C2D"/>
    <w:rsid w:val="00876C9E"/>
    <w:rsid w:val="008770AF"/>
    <w:rsid w:val="008770EA"/>
    <w:rsid w:val="008774C4"/>
    <w:rsid w:val="008804BC"/>
    <w:rsid w:val="00880D1A"/>
    <w:rsid w:val="00880E37"/>
    <w:rsid w:val="008817AA"/>
    <w:rsid w:val="00881D81"/>
    <w:rsid w:val="00881E2C"/>
    <w:rsid w:val="00882810"/>
    <w:rsid w:val="00883566"/>
    <w:rsid w:val="0088396D"/>
    <w:rsid w:val="008845D0"/>
    <w:rsid w:val="008845E3"/>
    <w:rsid w:val="00884685"/>
    <w:rsid w:val="008849F0"/>
    <w:rsid w:val="008849FF"/>
    <w:rsid w:val="00884C0D"/>
    <w:rsid w:val="00884ED9"/>
    <w:rsid w:val="00885583"/>
    <w:rsid w:val="008859AC"/>
    <w:rsid w:val="00885F33"/>
    <w:rsid w:val="008860D4"/>
    <w:rsid w:val="008869C8"/>
    <w:rsid w:val="00886AC3"/>
    <w:rsid w:val="00886EB4"/>
    <w:rsid w:val="00886F98"/>
    <w:rsid w:val="008872BD"/>
    <w:rsid w:val="008876DB"/>
    <w:rsid w:val="00887BBA"/>
    <w:rsid w:val="00887E95"/>
    <w:rsid w:val="008906AE"/>
    <w:rsid w:val="00890BF3"/>
    <w:rsid w:val="00890F07"/>
    <w:rsid w:val="0089166C"/>
    <w:rsid w:val="0089182C"/>
    <w:rsid w:val="00891901"/>
    <w:rsid w:val="00891BE8"/>
    <w:rsid w:val="00891D05"/>
    <w:rsid w:val="0089254D"/>
    <w:rsid w:val="00892EB1"/>
    <w:rsid w:val="0089331B"/>
    <w:rsid w:val="008934DC"/>
    <w:rsid w:val="00893813"/>
    <w:rsid w:val="00893D21"/>
    <w:rsid w:val="0089443D"/>
    <w:rsid w:val="00894B2B"/>
    <w:rsid w:val="008958C4"/>
    <w:rsid w:val="00895CBC"/>
    <w:rsid w:val="00896574"/>
    <w:rsid w:val="00896EA8"/>
    <w:rsid w:val="008972FE"/>
    <w:rsid w:val="00897376"/>
    <w:rsid w:val="008978AB"/>
    <w:rsid w:val="00897B9B"/>
    <w:rsid w:val="008A0025"/>
    <w:rsid w:val="008A0194"/>
    <w:rsid w:val="008A0DC6"/>
    <w:rsid w:val="008A2094"/>
    <w:rsid w:val="008A2249"/>
    <w:rsid w:val="008A337D"/>
    <w:rsid w:val="008A338C"/>
    <w:rsid w:val="008A37BA"/>
    <w:rsid w:val="008A3A1E"/>
    <w:rsid w:val="008A40F3"/>
    <w:rsid w:val="008A4178"/>
    <w:rsid w:val="008A42BD"/>
    <w:rsid w:val="008A4661"/>
    <w:rsid w:val="008A4E18"/>
    <w:rsid w:val="008A54A2"/>
    <w:rsid w:val="008A571F"/>
    <w:rsid w:val="008A588B"/>
    <w:rsid w:val="008A6395"/>
    <w:rsid w:val="008A64F4"/>
    <w:rsid w:val="008A674D"/>
    <w:rsid w:val="008A6AF7"/>
    <w:rsid w:val="008A6CBE"/>
    <w:rsid w:val="008A727F"/>
    <w:rsid w:val="008A78EC"/>
    <w:rsid w:val="008A7991"/>
    <w:rsid w:val="008A7C07"/>
    <w:rsid w:val="008B0041"/>
    <w:rsid w:val="008B042F"/>
    <w:rsid w:val="008B0591"/>
    <w:rsid w:val="008B0850"/>
    <w:rsid w:val="008B0E67"/>
    <w:rsid w:val="008B0EAA"/>
    <w:rsid w:val="008B11C9"/>
    <w:rsid w:val="008B150D"/>
    <w:rsid w:val="008B155F"/>
    <w:rsid w:val="008B1863"/>
    <w:rsid w:val="008B1934"/>
    <w:rsid w:val="008B1A82"/>
    <w:rsid w:val="008B1BC6"/>
    <w:rsid w:val="008B267F"/>
    <w:rsid w:val="008B2A7E"/>
    <w:rsid w:val="008B2B15"/>
    <w:rsid w:val="008B2F33"/>
    <w:rsid w:val="008B3043"/>
    <w:rsid w:val="008B45BE"/>
    <w:rsid w:val="008B4772"/>
    <w:rsid w:val="008B47BE"/>
    <w:rsid w:val="008B4A36"/>
    <w:rsid w:val="008B4C81"/>
    <w:rsid w:val="008B5657"/>
    <w:rsid w:val="008B5EB8"/>
    <w:rsid w:val="008B6184"/>
    <w:rsid w:val="008B6215"/>
    <w:rsid w:val="008B635A"/>
    <w:rsid w:val="008B6B71"/>
    <w:rsid w:val="008B7014"/>
    <w:rsid w:val="008B7070"/>
    <w:rsid w:val="008B7258"/>
    <w:rsid w:val="008C0158"/>
    <w:rsid w:val="008C0188"/>
    <w:rsid w:val="008C0EC0"/>
    <w:rsid w:val="008C0EC9"/>
    <w:rsid w:val="008C174F"/>
    <w:rsid w:val="008C274D"/>
    <w:rsid w:val="008C2877"/>
    <w:rsid w:val="008C2A04"/>
    <w:rsid w:val="008C2ABD"/>
    <w:rsid w:val="008C2BB3"/>
    <w:rsid w:val="008C3DCB"/>
    <w:rsid w:val="008C3F3A"/>
    <w:rsid w:val="008C4060"/>
    <w:rsid w:val="008C43E2"/>
    <w:rsid w:val="008C443C"/>
    <w:rsid w:val="008C4902"/>
    <w:rsid w:val="008C5042"/>
    <w:rsid w:val="008C544B"/>
    <w:rsid w:val="008C54AA"/>
    <w:rsid w:val="008C5655"/>
    <w:rsid w:val="008C566C"/>
    <w:rsid w:val="008C62B1"/>
    <w:rsid w:val="008C6735"/>
    <w:rsid w:val="008C6753"/>
    <w:rsid w:val="008C6C3E"/>
    <w:rsid w:val="008C6D23"/>
    <w:rsid w:val="008C7141"/>
    <w:rsid w:val="008C74DF"/>
    <w:rsid w:val="008C7775"/>
    <w:rsid w:val="008C7AFA"/>
    <w:rsid w:val="008D08DA"/>
    <w:rsid w:val="008D0A0A"/>
    <w:rsid w:val="008D104B"/>
    <w:rsid w:val="008D1581"/>
    <w:rsid w:val="008D1BAD"/>
    <w:rsid w:val="008D1C55"/>
    <w:rsid w:val="008D2B08"/>
    <w:rsid w:val="008D2CFC"/>
    <w:rsid w:val="008D2DB7"/>
    <w:rsid w:val="008D2EDC"/>
    <w:rsid w:val="008D33E2"/>
    <w:rsid w:val="008D3724"/>
    <w:rsid w:val="008D39C4"/>
    <w:rsid w:val="008D39E9"/>
    <w:rsid w:val="008D3AB8"/>
    <w:rsid w:val="008D3CF8"/>
    <w:rsid w:val="008D3F6B"/>
    <w:rsid w:val="008D3FC8"/>
    <w:rsid w:val="008D4019"/>
    <w:rsid w:val="008D4475"/>
    <w:rsid w:val="008D4EBA"/>
    <w:rsid w:val="008D51F3"/>
    <w:rsid w:val="008D60FF"/>
    <w:rsid w:val="008D6885"/>
    <w:rsid w:val="008D6A98"/>
    <w:rsid w:val="008D6C1F"/>
    <w:rsid w:val="008D6C26"/>
    <w:rsid w:val="008D7460"/>
    <w:rsid w:val="008D7685"/>
    <w:rsid w:val="008D7FEE"/>
    <w:rsid w:val="008E051D"/>
    <w:rsid w:val="008E09EB"/>
    <w:rsid w:val="008E0F34"/>
    <w:rsid w:val="008E1385"/>
    <w:rsid w:val="008E1B50"/>
    <w:rsid w:val="008E1E03"/>
    <w:rsid w:val="008E2AC1"/>
    <w:rsid w:val="008E2B3B"/>
    <w:rsid w:val="008E2DAC"/>
    <w:rsid w:val="008E2E02"/>
    <w:rsid w:val="008E336D"/>
    <w:rsid w:val="008E3710"/>
    <w:rsid w:val="008E40AE"/>
    <w:rsid w:val="008E4632"/>
    <w:rsid w:val="008E49D7"/>
    <w:rsid w:val="008E4A0D"/>
    <w:rsid w:val="008E5300"/>
    <w:rsid w:val="008E579E"/>
    <w:rsid w:val="008E65A4"/>
    <w:rsid w:val="008E69B6"/>
    <w:rsid w:val="008E6B7B"/>
    <w:rsid w:val="008E6F32"/>
    <w:rsid w:val="008E7142"/>
    <w:rsid w:val="008E7BF1"/>
    <w:rsid w:val="008E7C44"/>
    <w:rsid w:val="008E7D62"/>
    <w:rsid w:val="008F05ED"/>
    <w:rsid w:val="008F093F"/>
    <w:rsid w:val="008F0DD1"/>
    <w:rsid w:val="008F0F34"/>
    <w:rsid w:val="008F131E"/>
    <w:rsid w:val="008F18AC"/>
    <w:rsid w:val="008F191F"/>
    <w:rsid w:val="008F1B64"/>
    <w:rsid w:val="008F2660"/>
    <w:rsid w:val="008F2A12"/>
    <w:rsid w:val="008F3F99"/>
    <w:rsid w:val="008F42B1"/>
    <w:rsid w:val="008F431C"/>
    <w:rsid w:val="008F44CE"/>
    <w:rsid w:val="008F4901"/>
    <w:rsid w:val="008F5289"/>
    <w:rsid w:val="008F535D"/>
    <w:rsid w:val="008F5430"/>
    <w:rsid w:val="008F54FB"/>
    <w:rsid w:val="008F57F8"/>
    <w:rsid w:val="008F63DC"/>
    <w:rsid w:val="008F654A"/>
    <w:rsid w:val="008F6673"/>
    <w:rsid w:val="008F6AD8"/>
    <w:rsid w:val="008F6C1B"/>
    <w:rsid w:val="008F710D"/>
    <w:rsid w:val="008F71B3"/>
    <w:rsid w:val="008F736A"/>
    <w:rsid w:val="008F755F"/>
    <w:rsid w:val="008F797D"/>
    <w:rsid w:val="008F79E8"/>
    <w:rsid w:val="008F7A5A"/>
    <w:rsid w:val="008F7AF9"/>
    <w:rsid w:val="008F7D8C"/>
    <w:rsid w:val="008F7E06"/>
    <w:rsid w:val="009004B4"/>
    <w:rsid w:val="009007B4"/>
    <w:rsid w:val="00900948"/>
    <w:rsid w:val="00900B09"/>
    <w:rsid w:val="00901219"/>
    <w:rsid w:val="00901B60"/>
    <w:rsid w:val="00901BA6"/>
    <w:rsid w:val="00901C0E"/>
    <w:rsid w:val="0090249A"/>
    <w:rsid w:val="009026B0"/>
    <w:rsid w:val="0090277B"/>
    <w:rsid w:val="00902957"/>
    <w:rsid w:val="00902BA8"/>
    <w:rsid w:val="00902D14"/>
    <w:rsid w:val="00902E44"/>
    <w:rsid w:val="009034E3"/>
    <w:rsid w:val="009042CC"/>
    <w:rsid w:val="00904390"/>
    <w:rsid w:val="00904571"/>
    <w:rsid w:val="00904804"/>
    <w:rsid w:val="00904B6F"/>
    <w:rsid w:val="00904B90"/>
    <w:rsid w:val="009050BB"/>
    <w:rsid w:val="009051E7"/>
    <w:rsid w:val="0090558F"/>
    <w:rsid w:val="00906101"/>
    <w:rsid w:val="00906134"/>
    <w:rsid w:val="00906598"/>
    <w:rsid w:val="0090671E"/>
    <w:rsid w:val="00906B78"/>
    <w:rsid w:val="00906DE1"/>
    <w:rsid w:val="00906E71"/>
    <w:rsid w:val="00907160"/>
    <w:rsid w:val="009076A8"/>
    <w:rsid w:val="0090777A"/>
    <w:rsid w:val="009077DD"/>
    <w:rsid w:val="00907E1D"/>
    <w:rsid w:val="00907EF2"/>
    <w:rsid w:val="00910614"/>
    <w:rsid w:val="00910D95"/>
    <w:rsid w:val="00910FBB"/>
    <w:rsid w:val="009113A5"/>
    <w:rsid w:val="00912326"/>
    <w:rsid w:val="009124D6"/>
    <w:rsid w:val="009127A4"/>
    <w:rsid w:val="009128A8"/>
    <w:rsid w:val="00912AE9"/>
    <w:rsid w:val="00913482"/>
    <w:rsid w:val="0091366C"/>
    <w:rsid w:val="009139D7"/>
    <w:rsid w:val="00913CED"/>
    <w:rsid w:val="00913D5F"/>
    <w:rsid w:val="00913DA9"/>
    <w:rsid w:val="00913EFF"/>
    <w:rsid w:val="00914A3B"/>
    <w:rsid w:val="00914DBC"/>
    <w:rsid w:val="009156B7"/>
    <w:rsid w:val="009159B2"/>
    <w:rsid w:val="009165A2"/>
    <w:rsid w:val="009165C5"/>
    <w:rsid w:val="00916798"/>
    <w:rsid w:val="0091695C"/>
    <w:rsid w:val="00916A3B"/>
    <w:rsid w:val="0091706D"/>
    <w:rsid w:val="00917180"/>
    <w:rsid w:val="00917888"/>
    <w:rsid w:val="009179D3"/>
    <w:rsid w:val="00917B96"/>
    <w:rsid w:val="00917F24"/>
    <w:rsid w:val="009200C1"/>
    <w:rsid w:val="00920423"/>
    <w:rsid w:val="00920BBD"/>
    <w:rsid w:val="00921349"/>
    <w:rsid w:val="00921354"/>
    <w:rsid w:val="00921872"/>
    <w:rsid w:val="00921D13"/>
    <w:rsid w:val="00921EBD"/>
    <w:rsid w:val="00921FFB"/>
    <w:rsid w:val="00922522"/>
    <w:rsid w:val="0092308D"/>
    <w:rsid w:val="00923951"/>
    <w:rsid w:val="00924157"/>
    <w:rsid w:val="009243F1"/>
    <w:rsid w:val="00924556"/>
    <w:rsid w:val="00924987"/>
    <w:rsid w:val="009253C5"/>
    <w:rsid w:val="00925876"/>
    <w:rsid w:val="00925933"/>
    <w:rsid w:val="00925FAB"/>
    <w:rsid w:val="00926198"/>
    <w:rsid w:val="009263D5"/>
    <w:rsid w:val="0092646E"/>
    <w:rsid w:val="00930118"/>
    <w:rsid w:val="00930149"/>
    <w:rsid w:val="009303B6"/>
    <w:rsid w:val="009309CE"/>
    <w:rsid w:val="009310B5"/>
    <w:rsid w:val="00931611"/>
    <w:rsid w:val="00931721"/>
    <w:rsid w:val="00931FB4"/>
    <w:rsid w:val="009324FB"/>
    <w:rsid w:val="009328EF"/>
    <w:rsid w:val="009329AE"/>
    <w:rsid w:val="00932FFD"/>
    <w:rsid w:val="00933C53"/>
    <w:rsid w:val="00933DE6"/>
    <w:rsid w:val="009342B4"/>
    <w:rsid w:val="0093467E"/>
    <w:rsid w:val="00934906"/>
    <w:rsid w:val="00934C83"/>
    <w:rsid w:val="00934EFF"/>
    <w:rsid w:val="009363EC"/>
    <w:rsid w:val="009364C8"/>
    <w:rsid w:val="0093683B"/>
    <w:rsid w:val="009369AE"/>
    <w:rsid w:val="00936FE0"/>
    <w:rsid w:val="0093705C"/>
    <w:rsid w:val="009372FF"/>
    <w:rsid w:val="009375A1"/>
    <w:rsid w:val="009377CE"/>
    <w:rsid w:val="009379FE"/>
    <w:rsid w:val="00937C58"/>
    <w:rsid w:val="0094039E"/>
    <w:rsid w:val="00940AC4"/>
    <w:rsid w:val="009410F6"/>
    <w:rsid w:val="0094158B"/>
    <w:rsid w:val="00941675"/>
    <w:rsid w:val="00941CE2"/>
    <w:rsid w:val="00941DEF"/>
    <w:rsid w:val="00941E54"/>
    <w:rsid w:val="00941EF8"/>
    <w:rsid w:val="00942207"/>
    <w:rsid w:val="009422B8"/>
    <w:rsid w:val="009422D5"/>
    <w:rsid w:val="00942555"/>
    <w:rsid w:val="0094278D"/>
    <w:rsid w:val="00942E96"/>
    <w:rsid w:val="00943335"/>
    <w:rsid w:val="009440BB"/>
    <w:rsid w:val="0094432D"/>
    <w:rsid w:val="0094439D"/>
    <w:rsid w:val="00944AFA"/>
    <w:rsid w:val="00944E03"/>
    <w:rsid w:val="00944F55"/>
    <w:rsid w:val="009453A8"/>
    <w:rsid w:val="00945650"/>
    <w:rsid w:val="00945FE2"/>
    <w:rsid w:val="0094606C"/>
    <w:rsid w:val="0094621D"/>
    <w:rsid w:val="0094698A"/>
    <w:rsid w:val="00947916"/>
    <w:rsid w:val="00950098"/>
    <w:rsid w:val="00950727"/>
    <w:rsid w:val="009510BD"/>
    <w:rsid w:val="00951A0A"/>
    <w:rsid w:val="00951B52"/>
    <w:rsid w:val="00951FDB"/>
    <w:rsid w:val="009522DA"/>
    <w:rsid w:val="00952584"/>
    <w:rsid w:val="009527B9"/>
    <w:rsid w:val="00953E02"/>
    <w:rsid w:val="00953EEF"/>
    <w:rsid w:val="00954323"/>
    <w:rsid w:val="009544EE"/>
    <w:rsid w:val="00954C6C"/>
    <w:rsid w:val="009554EC"/>
    <w:rsid w:val="00955C0E"/>
    <w:rsid w:val="00955D1E"/>
    <w:rsid w:val="0095605E"/>
    <w:rsid w:val="00956439"/>
    <w:rsid w:val="009565CD"/>
    <w:rsid w:val="00956640"/>
    <w:rsid w:val="009567B8"/>
    <w:rsid w:val="00956BF7"/>
    <w:rsid w:val="00956CB7"/>
    <w:rsid w:val="00956FB8"/>
    <w:rsid w:val="00957901"/>
    <w:rsid w:val="00957E88"/>
    <w:rsid w:val="00957ECE"/>
    <w:rsid w:val="00960502"/>
    <w:rsid w:val="0096067E"/>
    <w:rsid w:val="0096085C"/>
    <w:rsid w:val="00960D34"/>
    <w:rsid w:val="009611D2"/>
    <w:rsid w:val="00961306"/>
    <w:rsid w:val="00961323"/>
    <w:rsid w:val="00961C52"/>
    <w:rsid w:val="009621A0"/>
    <w:rsid w:val="00962275"/>
    <w:rsid w:val="0096253F"/>
    <w:rsid w:val="00962BC2"/>
    <w:rsid w:val="009636FE"/>
    <w:rsid w:val="00963B51"/>
    <w:rsid w:val="00963B9D"/>
    <w:rsid w:val="00964224"/>
    <w:rsid w:val="009642F0"/>
    <w:rsid w:val="009646CE"/>
    <w:rsid w:val="00964BD0"/>
    <w:rsid w:val="00964D70"/>
    <w:rsid w:val="0096521A"/>
    <w:rsid w:val="009652AA"/>
    <w:rsid w:val="009656C5"/>
    <w:rsid w:val="009656DC"/>
    <w:rsid w:val="00966521"/>
    <w:rsid w:val="00966824"/>
    <w:rsid w:val="0096696A"/>
    <w:rsid w:val="00966BF6"/>
    <w:rsid w:val="00966D2C"/>
    <w:rsid w:val="009671B7"/>
    <w:rsid w:val="00967201"/>
    <w:rsid w:val="00967484"/>
    <w:rsid w:val="00970209"/>
    <w:rsid w:val="0097020F"/>
    <w:rsid w:val="0097097B"/>
    <w:rsid w:val="009709E1"/>
    <w:rsid w:val="00971042"/>
    <w:rsid w:val="0097139C"/>
    <w:rsid w:val="00971BB7"/>
    <w:rsid w:val="00971FDA"/>
    <w:rsid w:val="009722A8"/>
    <w:rsid w:val="00972548"/>
    <w:rsid w:val="00972554"/>
    <w:rsid w:val="009728FF"/>
    <w:rsid w:val="00972FC1"/>
    <w:rsid w:val="0097340F"/>
    <w:rsid w:val="00973B8C"/>
    <w:rsid w:val="00974415"/>
    <w:rsid w:val="009745A5"/>
    <w:rsid w:val="00974888"/>
    <w:rsid w:val="00974B47"/>
    <w:rsid w:val="00974B9B"/>
    <w:rsid w:val="00974D53"/>
    <w:rsid w:val="00975536"/>
    <w:rsid w:val="00976171"/>
    <w:rsid w:val="0097617D"/>
    <w:rsid w:val="009761D7"/>
    <w:rsid w:val="0097621C"/>
    <w:rsid w:val="009772A5"/>
    <w:rsid w:val="00977550"/>
    <w:rsid w:val="00977952"/>
    <w:rsid w:val="00980B5D"/>
    <w:rsid w:val="00981173"/>
    <w:rsid w:val="009817D3"/>
    <w:rsid w:val="00981A75"/>
    <w:rsid w:val="00981B3E"/>
    <w:rsid w:val="00981F83"/>
    <w:rsid w:val="009825E4"/>
    <w:rsid w:val="0098292A"/>
    <w:rsid w:val="00983833"/>
    <w:rsid w:val="00983A3C"/>
    <w:rsid w:val="009841A8"/>
    <w:rsid w:val="0098444E"/>
    <w:rsid w:val="00984626"/>
    <w:rsid w:val="0098545E"/>
    <w:rsid w:val="00985E77"/>
    <w:rsid w:val="009864E2"/>
    <w:rsid w:val="009868BE"/>
    <w:rsid w:val="00986B64"/>
    <w:rsid w:val="00986EFA"/>
    <w:rsid w:val="00987394"/>
    <w:rsid w:val="009876A4"/>
    <w:rsid w:val="009877F1"/>
    <w:rsid w:val="00987A24"/>
    <w:rsid w:val="00987F86"/>
    <w:rsid w:val="00990332"/>
    <w:rsid w:val="009905C4"/>
    <w:rsid w:val="00990CEB"/>
    <w:rsid w:val="009917E9"/>
    <w:rsid w:val="00991BE9"/>
    <w:rsid w:val="00993789"/>
    <w:rsid w:val="00993A45"/>
    <w:rsid w:val="0099474A"/>
    <w:rsid w:val="00994BB9"/>
    <w:rsid w:val="00994F61"/>
    <w:rsid w:val="0099504B"/>
    <w:rsid w:val="00996057"/>
    <w:rsid w:val="00996394"/>
    <w:rsid w:val="00996C89"/>
    <w:rsid w:val="00997697"/>
    <w:rsid w:val="009979B9"/>
    <w:rsid w:val="009A03C7"/>
    <w:rsid w:val="009A0B03"/>
    <w:rsid w:val="009A0D34"/>
    <w:rsid w:val="009A1399"/>
    <w:rsid w:val="009A1629"/>
    <w:rsid w:val="009A174D"/>
    <w:rsid w:val="009A200E"/>
    <w:rsid w:val="009A2079"/>
    <w:rsid w:val="009A215E"/>
    <w:rsid w:val="009A22FD"/>
    <w:rsid w:val="009A232A"/>
    <w:rsid w:val="009A23E7"/>
    <w:rsid w:val="009A255F"/>
    <w:rsid w:val="009A28FE"/>
    <w:rsid w:val="009A2ED6"/>
    <w:rsid w:val="009A31E7"/>
    <w:rsid w:val="009A3435"/>
    <w:rsid w:val="009A38BA"/>
    <w:rsid w:val="009A3B30"/>
    <w:rsid w:val="009A4826"/>
    <w:rsid w:val="009A4B7A"/>
    <w:rsid w:val="009A546A"/>
    <w:rsid w:val="009A619E"/>
    <w:rsid w:val="009A621C"/>
    <w:rsid w:val="009A63F8"/>
    <w:rsid w:val="009A6677"/>
    <w:rsid w:val="009A6721"/>
    <w:rsid w:val="009A6799"/>
    <w:rsid w:val="009A6C66"/>
    <w:rsid w:val="009A6EF9"/>
    <w:rsid w:val="009A70DF"/>
    <w:rsid w:val="009A73A7"/>
    <w:rsid w:val="009A74C7"/>
    <w:rsid w:val="009A770C"/>
    <w:rsid w:val="009A7927"/>
    <w:rsid w:val="009A7BBC"/>
    <w:rsid w:val="009A7F24"/>
    <w:rsid w:val="009B00EF"/>
    <w:rsid w:val="009B0445"/>
    <w:rsid w:val="009B053B"/>
    <w:rsid w:val="009B094E"/>
    <w:rsid w:val="009B10B2"/>
    <w:rsid w:val="009B1EED"/>
    <w:rsid w:val="009B1F07"/>
    <w:rsid w:val="009B223A"/>
    <w:rsid w:val="009B2503"/>
    <w:rsid w:val="009B2A11"/>
    <w:rsid w:val="009B2AFC"/>
    <w:rsid w:val="009B30A2"/>
    <w:rsid w:val="009B314C"/>
    <w:rsid w:val="009B3202"/>
    <w:rsid w:val="009B3DDA"/>
    <w:rsid w:val="009B3EEE"/>
    <w:rsid w:val="009B4966"/>
    <w:rsid w:val="009B53FF"/>
    <w:rsid w:val="009B5581"/>
    <w:rsid w:val="009B5940"/>
    <w:rsid w:val="009B61A1"/>
    <w:rsid w:val="009B63ED"/>
    <w:rsid w:val="009B685C"/>
    <w:rsid w:val="009B6ED3"/>
    <w:rsid w:val="009B710D"/>
    <w:rsid w:val="009B7CC0"/>
    <w:rsid w:val="009C0096"/>
    <w:rsid w:val="009C0410"/>
    <w:rsid w:val="009C0A06"/>
    <w:rsid w:val="009C2164"/>
    <w:rsid w:val="009C2AC3"/>
    <w:rsid w:val="009C2B0A"/>
    <w:rsid w:val="009C2DD6"/>
    <w:rsid w:val="009C35DE"/>
    <w:rsid w:val="009C3862"/>
    <w:rsid w:val="009C3ACE"/>
    <w:rsid w:val="009C3B21"/>
    <w:rsid w:val="009C4171"/>
    <w:rsid w:val="009C462C"/>
    <w:rsid w:val="009C475C"/>
    <w:rsid w:val="009C47D1"/>
    <w:rsid w:val="009C5878"/>
    <w:rsid w:val="009C5CFF"/>
    <w:rsid w:val="009C6522"/>
    <w:rsid w:val="009C689A"/>
    <w:rsid w:val="009C6922"/>
    <w:rsid w:val="009C6968"/>
    <w:rsid w:val="009C6B75"/>
    <w:rsid w:val="009C6B9C"/>
    <w:rsid w:val="009C6E3A"/>
    <w:rsid w:val="009C712E"/>
    <w:rsid w:val="009C75C9"/>
    <w:rsid w:val="009C795A"/>
    <w:rsid w:val="009C7962"/>
    <w:rsid w:val="009C7A87"/>
    <w:rsid w:val="009D05B9"/>
    <w:rsid w:val="009D0BDC"/>
    <w:rsid w:val="009D1256"/>
    <w:rsid w:val="009D1492"/>
    <w:rsid w:val="009D169E"/>
    <w:rsid w:val="009D17E7"/>
    <w:rsid w:val="009D186F"/>
    <w:rsid w:val="009D1910"/>
    <w:rsid w:val="009D1D87"/>
    <w:rsid w:val="009D24E1"/>
    <w:rsid w:val="009D2602"/>
    <w:rsid w:val="009D2FE5"/>
    <w:rsid w:val="009D3234"/>
    <w:rsid w:val="009D41B7"/>
    <w:rsid w:val="009D4616"/>
    <w:rsid w:val="009D492A"/>
    <w:rsid w:val="009D4DFA"/>
    <w:rsid w:val="009D4E3F"/>
    <w:rsid w:val="009D5C17"/>
    <w:rsid w:val="009D5CA7"/>
    <w:rsid w:val="009D5D45"/>
    <w:rsid w:val="009D6020"/>
    <w:rsid w:val="009D62D0"/>
    <w:rsid w:val="009D65CD"/>
    <w:rsid w:val="009D6E2E"/>
    <w:rsid w:val="009D7298"/>
    <w:rsid w:val="009D77DE"/>
    <w:rsid w:val="009D7B6D"/>
    <w:rsid w:val="009D7BAA"/>
    <w:rsid w:val="009D7BB5"/>
    <w:rsid w:val="009E0243"/>
    <w:rsid w:val="009E03C7"/>
    <w:rsid w:val="009E075C"/>
    <w:rsid w:val="009E0AAA"/>
    <w:rsid w:val="009E0E4D"/>
    <w:rsid w:val="009E107A"/>
    <w:rsid w:val="009E1869"/>
    <w:rsid w:val="009E1A02"/>
    <w:rsid w:val="009E1BFA"/>
    <w:rsid w:val="009E1C94"/>
    <w:rsid w:val="009E223E"/>
    <w:rsid w:val="009E2351"/>
    <w:rsid w:val="009E2642"/>
    <w:rsid w:val="009E3A96"/>
    <w:rsid w:val="009E3BB2"/>
    <w:rsid w:val="009E3C1C"/>
    <w:rsid w:val="009E4158"/>
    <w:rsid w:val="009E46CF"/>
    <w:rsid w:val="009E4BF1"/>
    <w:rsid w:val="009E4D15"/>
    <w:rsid w:val="009E4D8B"/>
    <w:rsid w:val="009E58BF"/>
    <w:rsid w:val="009E5C2E"/>
    <w:rsid w:val="009E6410"/>
    <w:rsid w:val="009E6ACB"/>
    <w:rsid w:val="009E7666"/>
    <w:rsid w:val="009E7E25"/>
    <w:rsid w:val="009E7F3F"/>
    <w:rsid w:val="009F04F5"/>
    <w:rsid w:val="009F0505"/>
    <w:rsid w:val="009F0AD1"/>
    <w:rsid w:val="009F1043"/>
    <w:rsid w:val="009F1081"/>
    <w:rsid w:val="009F10C7"/>
    <w:rsid w:val="009F16C9"/>
    <w:rsid w:val="009F19DD"/>
    <w:rsid w:val="009F21C8"/>
    <w:rsid w:val="009F2C8B"/>
    <w:rsid w:val="009F2D78"/>
    <w:rsid w:val="009F36CA"/>
    <w:rsid w:val="009F3A53"/>
    <w:rsid w:val="009F3E81"/>
    <w:rsid w:val="009F4513"/>
    <w:rsid w:val="009F4C57"/>
    <w:rsid w:val="009F4EE8"/>
    <w:rsid w:val="009F4FE2"/>
    <w:rsid w:val="009F5021"/>
    <w:rsid w:val="009F505D"/>
    <w:rsid w:val="009F512E"/>
    <w:rsid w:val="009F527E"/>
    <w:rsid w:val="009F572F"/>
    <w:rsid w:val="009F5761"/>
    <w:rsid w:val="009F578D"/>
    <w:rsid w:val="009F5BC9"/>
    <w:rsid w:val="009F6167"/>
    <w:rsid w:val="009F6195"/>
    <w:rsid w:val="009F61BA"/>
    <w:rsid w:val="009F62CD"/>
    <w:rsid w:val="009F752A"/>
    <w:rsid w:val="009F76F2"/>
    <w:rsid w:val="009F7AB7"/>
    <w:rsid w:val="00A003BE"/>
    <w:rsid w:val="00A007E8"/>
    <w:rsid w:val="00A0091E"/>
    <w:rsid w:val="00A00ED4"/>
    <w:rsid w:val="00A00EE1"/>
    <w:rsid w:val="00A01514"/>
    <w:rsid w:val="00A01DB9"/>
    <w:rsid w:val="00A022AB"/>
    <w:rsid w:val="00A02760"/>
    <w:rsid w:val="00A03340"/>
    <w:rsid w:val="00A03435"/>
    <w:rsid w:val="00A03567"/>
    <w:rsid w:val="00A037B9"/>
    <w:rsid w:val="00A0385F"/>
    <w:rsid w:val="00A03DAB"/>
    <w:rsid w:val="00A0422E"/>
    <w:rsid w:val="00A04314"/>
    <w:rsid w:val="00A04386"/>
    <w:rsid w:val="00A043EE"/>
    <w:rsid w:val="00A04BFF"/>
    <w:rsid w:val="00A052DD"/>
    <w:rsid w:val="00A054B0"/>
    <w:rsid w:val="00A0574B"/>
    <w:rsid w:val="00A05D80"/>
    <w:rsid w:val="00A05F06"/>
    <w:rsid w:val="00A0637F"/>
    <w:rsid w:val="00A063E2"/>
    <w:rsid w:val="00A0695D"/>
    <w:rsid w:val="00A06C2D"/>
    <w:rsid w:val="00A06E23"/>
    <w:rsid w:val="00A06EA0"/>
    <w:rsid w:val="00A074D6"/>
    <w:rsid w:val="00A079D0"/>
    <w:rsid w:val="00A10808"/>
    <w:rsid w:val="00A10C7F"/>
    <w:rsid w:val="00A11132"/>
    <w:rsid w:val="00A11135"/>
    <w:rsid w:val="00A1128D"/>
    <w:rsid w:val="00A114E8"/>
    <w:rsid w:val="00A117D2"/>
    <w:rsid w:val="00A11969"/>
    <w:rsid w:val="00A11B7D"/>
    <w:rsid w:val="00A11C9E"/>
    <w:rsid w:val="00A1215F"/>
    <w:rsid w:val="00A1256A"/>
    <w:rsid w:val="00A12800"/>
    <w:rsid w:val="00A1320F"/>
    <w:rsid w:val="00A138D4"/>
    <w:rsid w:val="00A13ADB"/>
    <w:rsid w:val="00A14D80"/>
    <w:rsid w:val="00A157B9"/>
    <w:rsid w:val="00A158FB"/>
    <w:rsid w:val="00A15D88"/>
    <w:rsid w:val="00A17120"/>
    <w:rsid w:val="00A1712E"/>
    <w:rsid w:val="00A17F2D"/>
    <w:rsid w:val="00A2032E"/>
    <w:rsid w:val="00A20667"/>
    <w:rsid w:val="00A20881"/>
    <w:rsid w:val="00A20C83"/>
    <w:rsid w:val="00A210DC"/>
    <w:rsid w:val="00A21E73"/>
    <w:rsid w:val="00A21FE6"/>
    <w:rsid w:val="00A22348"/>
    <w:rsid w:val="00A225C8"/>
    <w:rsid w:val="00A22737"/>
    <w:rsid w:val="00A23397"/>
    <w:rsid w:val="00A235AA"/>
    <w:rsid w:val="00A23650"/>
    <w:rsid w:val="00A23926"/>
    <w:rsid w:val="00A23994"/>
    <w:rsid w:val="00A23C07"/>
    <w:rsid w:val="00A23FC4"/>
    <w:rsid w:val="00A24C01"/>
    <w:rsid w:val="00A24C62"/>
    <w:rsid w:val="00A24D9D"/>
    <w:rsid w:val="00A254EC"/>
    <w:rsid w:val="00A25746"/>
    <w:rsid w:val="00A25759"/>
    <w:rsid w:val="00A25C7F"/>
    <w:rsid w:val="00A25DCD"/>
    <w:rsid w:val="00A25E72"/>
    <w:rsid w:val="00A25F51"/>
    <w:rsid w:val="00A26182"/>
    <w:rsid w:val="00A264C6"/>
    <w:rsid w:val="00A26A82"/>
    <w:rsid w:val="00A2745D"/>
    <w:rsid w:val="00A27600"/>
    <w:rsid w:val="00A27E35"/>
    <w:rsid w:val="00A3016C"/>
    <w:rsid w:val="00A30382"/>
    <w:rsid w:val="00A30CEC"/>
    <w:rsid w:val="00A317BF"/>
    <w:rsid w:val="00A31B0F"/>
    <w:rsid w:val="00A31B81"/>
    <w:rsid w:val="00A3213C"/>
    <w:rsid w:val="00A3222C"/>
    <w:rsid w:val="00A322FD"/>
    <w:rsid w:val="00A32604"/>
    <w:rsid w:val="00A326E5"/>
    <w:rsid w:val="00A32743"/>
    <w:rsid w:val="00A32EF3"/>
    <w:rsid w:val="00A33317"/>
    <w:rsid w:val="00A33398"/>
    <w:rsid w:val="00A336A3"/>
    <w:rsid w:val="00A33E48"/>
    <w:rsid w:val="00A34227"/>
    <w:rsid w:val="00A34263"/>
    <w:rsid w:val="00A345D4"/>
    <w:rsid w:val="00A34CED"/>
    <w:rsid w:val="00A34FAC"/>
    <w:rsid w:val="00A35312"/>
    <w:rsid w:val="00A354C8"/>
    <w:rsid w:val="00A35508"/>
    <w:rsid w:val="00A35721"/>
    <w:rsid w:val="00A35BF3"/>
    <w:rsid w:val="00A36008"/>
    <w:rsid w:val="00A36900"/>
    <w:rsid w:val="00A3747F"/>
    <w:rsid w:val="00A37623"/>
    <w:rsid w:val="00A40273"/>
    <w:rsid w:val="00A407E6"/>
    <w:rsid w:val="00A40944"/>
    <w:rsid w:val="00A40B99"/>
    <w:rsid w:val="00A40EFD"/>
    <w:rsid w:val="00A40F90"/>
    <w:rsid w:val="00A412AD"/>
    <w:rsid w:val="00A417AE"/>
    <w:rsid w:val="00A417CB"/>
    <w:rsid w:val="00A418C8"/>
    <w:rsid w:val="00A41AEA"/>
    <w:rsid w:val="00A42CDD"/>
    <w:rsid w:val="00A43345"/>
    <w:rsid w:val="00A43D48"/>
    <w:rsid w:val="00A43E25"/>
    <w:rsid w:val="00A44206"/>
    <w:rsid w:val="00A44559"/>
    <w:rsid w:val="00A447E6"/>
    <w:rsid w:val="00A45870"/>
    <w:rsid w:val="00A45A93"/>
    <w:rsid w:val="00A463E3"/>
    <w:rsid w:val="00A465BD"/>
    <w:rsid w:val="00A46881"/>
    <w:rsid w:val="00A46C09"/>
    <w:rsid w:val="00A471FF"/>
    <w:rsid w:val="00A4737E"/>
    <w:rsid w:val="00A47CAB"/>
    <w:rsid w:val="00A47E56"/>
    <w:rsid w:val="00A5030D"/>
    <w:rsid w:val="00A50AD6"/>
    <w:rsid w:val="00A50D0F"/>
    <w:rsid w:val="00A50E2B"/>
    <w:rsid w:val="00A50FE5"/>
    <w:rsid w:val="00A51495"/>
    <w:rsid w:val="00A522DB"/>
    <w:rsid w:val="00A52B4A"/>
    <w:rsid w:val="00A52C70"/>
    <w:rsid w:val="00A52F5B"/>
    <w:rsid w:val="00A53B0B"/>
    <w:rsid w:val="00A53C04"/>
    <w:rsid w:val="00A54097"/>
    <w:rsid w:val="00A54327"/>
    <w:rsid w:val="00A547DD"/>
    <w:rsid w:val="00A54A07"/>
    <w:rsid w:val="00A54E48"/>
    <w:rsid w:val="00A54FF5"/>
    <w:rsid w:val="00A5525A"/>
    <w:rsid w:val="00A55AD7"/>
    <w:rsid w:val="00A55F45"/>
    <w:rsid w:val="00A55F5E"/>
    <w:rsid w:val="00A5605F"/>
    <w:rsid w:val="00A564BB"/>
    <w:rsid w:val="00A567CC"/>
    <w:rsid w:val="00A5688C"/>
    <w:rsid w:val="00A56A36"/>
    <w:rsid w:val="00A56A47"/>
    <w:rsid w:val="00A56D0E"/>
    <w:rsid w:val="00A57270"/>
    <w:rsid w:val="00A57661"/>
    <w:rsid w:val="00A5767A"/>
    <w:rsid w:val="00A57836"/>
    <w:rsid w:val="00A579D1"/>
    <w:rsid w:val="00A6040F"/>
    <w:rsid w:val="00A60E34"/>
    <w:rsid w:val="00A61628"/>
    <w:rsid w:val="00A62083"/>
    <w:rsid w:val="00A6255A"/>
    <w:rsid w:val="00A62606"/>
    <w:rsid w:val="00A62EA7"/>
    <w:rsid w:val="00A63465"/>
    <w:rsid w:val="00A63510"/>
    <w:rsid w:val="00A63A41"/>
    <w:rsid w:val="00A63D30"/>
    <w:rsid w:val="00A64147"/>
    <w:rsid w:val="00A6459E"/>
    <w:rsid w:val="00A64686"/>
    <w:rsid w:val="00A6482F"/>
    <w:rsid w:val="00A64835"/>
    <w:rsid w:val="00A64C19"/>
    <w:rsid w:val="00A64CAE"/>
    <w:rsid w:val="00A65727"/>
    <w:rsid w:val="00A6578C"/>
    <w:rsid w:val="00A662E9"/>
    <w:rsid w:val="00A66614"/>
    <w:rsid w:val="00A666FC"/>
    <w:rsid w:val="00A66F3A"/>
    <w:rsid w:val="00A675CF"/>
    <w:rsid w:val="00A67762"/>
    <w:rsid w:val="00A67BB2"/>
    <w:rsid w:val="00A70168"/>
    <w:rsid w:val="00A712AA"/>
    <w:rsid w:val="00A7148E"/>
    <w:rsid w:val="00A71A0A"/>
    <w:rsid w:val="00A71AB6"/>
    <w:rsid w:val="00A71AE8"/>
    <w:rsid w:val="00A71F3E"/>
    <w:rsid w:val="00A720BC"/>
    <w:rsid w:val="00A720DD"/>
    <w:rsid w:val="00A72227"/>
    <w:rsid w:val="00A722B4"/>
    <w:rsid w:val="00A724F8"/>
    <w:rsid w:val="00A7268C"/>
    <w:rsid w:val="00A728FE"/>
    <w:rsid w:val="00A72959"/>
    <w:rsid w:val="00A7297D"/>
    <w:rsid w:val="00A72CC1"/>
    <w:rsid w:val="00A73E12"/>
    <w:rsid w:val="00A74589"/>
    <w:rsid w:val="00A74666"/>
    <w:rsid w:val="00A7479F"/>
    <w:rsid w:val="00A74842"/>
    <w:rsid w:val="00A748F2"/>
    <w:rsid w:val="00A74939"/>
    <w:rsid w:val="00A74A76"/>
    <w:rsid w:val="00A74C4B"/>
    <w:rsid w:val="00A7559B"/>
    <w:rsid w:val="00A758B8"/>
    <w:rsid w:val="00A75B71"/>
    <w:rsid w:val="00A75F0B"/>
    <w:rsid w:val="00A76341"/>
    <w:rsid w:val="00A766A3"/>
    <w:rsid w:val="00A76706"/>
    <w:rsid w:val="00A7692D"/>
    <w:rsid w:val="00A76EA9"/>
    <w:rsid w:val="00A77042"/>
    <w:rsid w:val="00A77064"/>
    <w:rsid w:val="00A7769F"/>
    <w:rsid w:val="00A77765"/>
    <w:rsid w:val="00A77B52"/>
    <w:rsid w:val="00A80044"/>
    <w:rsid w:val="00A800FB"/>
    <w:rsid w:val="00A80BA6"/>
    <w:rsid w:val="00A810B0"/>
    <w:rsid w:val="00A81262"/>
    <w:rsid w:val="00A8126C"/>
    <w:rsid w:val="00A8170A"/>
    <w:rsid w:val="00A81845"/>
    <w:rsid w:val="00A81F5B"/>
    <w:rsid w:val="00A8271D"/>
    <w:rsid w:val="00A82B34"/>
    <w:rsid w:val="00A82C73"/>
    <w:rsid w:val="00A83087"/>
    <w:rsid w:val="00A8343B"/>
    <w:rsid w:val="00A83591"/>
    <w:rsid w:val="00A83611"/>
    <w:rsid w:val="00A836E2"/>
    <w:rsid w:val="00A83858"/>
    <w:rsid w:val="00A83C48"/>
    <w:rsid w:val="00A83CAC"/>
    <w:rsid w:val="00A843A3"/>
    <w:rsid w:val="00A849A1"/>
    <w:rsid w:val="00A84BC8"/>
    <w:rsid w:val="00A850A2"/>
    <w:rsid w:val="00A8580C"/>
    <w:rsid w:val="00A85A45"/>
    <w:rsid w:val="00A85F3E"/>
    <w:rsid w:val="00A85FB4"/>
    <w:rsid w:val="00A8625A"/>
    <w:rsid w:val="00A8681D"/>
    <w:rsid w:val="00A86A92"/>
    <w:rsid w:val="00A86B27"/>
    <w:rsid w:val="00A86CB1"/>
    <w:rsid w:val="00A86CEB"/>
    <w:rsid w:val="00A86D7A"/>
    <w:rsid w:val="00A87982"/>
    <w:rsid w:val="00A87F62"/>
    <w:rsid w:val="00A90AA5"/>
    <w:rsid w:val="00A90AF1"/>
    <w:rsid w:val="00A912BA"/>
    <w:rsid w:val="00A91882"/>
    <w:rsid w:val="00A91FC6"/>
    <w:rsid w:val="00A9248B"/>
    <w:rsid w:val="00A924F3"/>
    <w:rsid w:val="00A9260F"/>
    <w:rsid w:val="00A92A1B"/>
    <w:rsid w:val="00A92AF0"/>
    <w:rsid w:val="00A92D47"/>
    <w:rsid w:val="00A9302A"/>
    <w:rsid w:val="00A932E7"/>
    <w:rsid w:val="00A9355E"/>
    <w:rsid w:val="00A93DB9"/>
    <w:rsid w:val="00A94369"/>
    <w:rsid w:val="00A946C0"/>
    <w:rsid w:val="00A958AC"/>
    <w:rsid w:val="00A95C9C"/>
    <w:rsid w:val="00A95ED4"/>
    <w:rsid w:val="00A95F17"/>
    <w:rsid w:val="00A96EF9"/>
    <w:rsid w:val="00A974C0"/>
    <w:rsid w:val="00A97923"/>
    <w:rsid w:val="00A97CB7"/>
    <w:rsid w:val="00AA004B"/>
    <w:rsid w:val="00AA00B4"/>
    <w:rsid w:val="00AA0745"/>
    <w:rsid w:val="00AA0909"/>
    <w:rsid w:val="00AA0E31"/>
    <w:rsid w:val="00AA0FEB"/>
    <w:rsid w:val="00AA10CF"/>
    <w:rsid w:val="00AA1803"/>
    <w:rsid w:val="00AA195C"/>
    <w:rsid w:val="00AA20EA"/>
    <w:rsid w:val="00AA2178"/>
    <w:rsid w:val="00AA2190"/>
    <w:rsid w:val="00AA2224"/>
    <w:rsid w:val="00AA337E"/>
    <w:rsid w:val="00AA3BAB"/>
    <w:rsid w:val="00AA4155"/>
    <w:rsid w:val="00AA446F"/>
    <w:rsid w:val="00AA45E6"/>
    <w:rsid w:val="00AA5487"/>
    <w:rsid w:val="00AA55A6"/>
    <w:rsid w:val="00AA564F"/>
    <w:rsid w:val="00AA57C3"/>
    <w:rsid w:val="00AA59A6"/>
    <w:rsid w:val="00AA5C9D"/>
    <w:rsid w:val="00AA5E38"/>
    <w:rsid w:val="00AA70D2"/>
    <w:rsid w:val="00AA7298"/>
    <w:rsid w:val="00AA7344"/>
    <w:rsid w:val="00AA739B"/>
    <w:rsid w:val="00AB0D80"/>
    <w:rsid w:val="00AB0D9D"/>
    <w:rsid w:val="00AB0F09"/>
    <w:rsid w:val="00AB1A44"/>
    <w:rsid w:val="00AB1B39"/>
    <w:rsid w:val="00AB1FC8"/>
    <w:rsid w:val="00AB284D"/>
    <w:rsid w:val="00AB29B0"/>
    <w:rsid w:val="00AB29B4"/>
    <w:rsid w:val="00AB2EFA"/>
    <w:rsid w:val="00AB2F02"/>
    <w:rsid w:val="00AB304E"/>
    <w:rsid w:val="00AB32D3"/>
    <w:rsid w:val="00AB3578"/>
    <w:rsid w:val="00AB3D60"/>
    <w:rsid w:val="00AB3DB4"/>
    <w:rsid w:val="00AB3DEC"/>
    <w:rsid w:val="00AB4F8B"/>
    <w:rsid w:val="00AB51E7"/>
    <w:rsid w:val="00AB5617"/>
    <w:rsid w:val="00AB586B"/>
    <w:rsid w:val="00AB5B94"/>
    <w:rsid w:val="00AB6C17"/>
    <w:rsid w:val="00AB6ECE"/>
    <w:rsid w:val="00AB792F"/>
    <w:rsid w:val="00AB7C44"/>
    <w:rsid w:val="00AB7E9D"/>
    <w:rsid w:val="00AC0175"/>
    <w:rsid w:val="00AC023B"/>
    <w:rsid w:val="00AC05B3"/>
    <w:rsid w:val="00AC0A1C"/>
    <w:rsid w:val="00AC0A9D"/>
    <w:rsid w:val="00AC0C9E"/>
    <w:rsid w:val="00AC1187"/>
    <w:rsid w:val="00AC15FC"/>
    <w:rsid w:val="00AC19D8"/>
    <w:rsid w:val="00AC1D15"/>
    <w:rsid w:val="00AC1D56"/>
    <w:rsid w:val="00AC20C0"/>
    <w:rsid w:val="00AC20DD"/>
    <w:rsid w:val="00AC231F"/>
    <w:rsid w:val="00AC26DB"/>
    <w:rsid w:val="00AC2876"/>
    <w:rsid w:val="00AC2BF3"/>
    <w:rsid w:val="00AC2C1F"/>
    <w:rsid w:val="00AC2C8F"/>
    <w:rsid w:val="00AC2EC0"/>
    <w:rsid w:val="00AC316C"/>
    <w:rsid w:val="00AC3349"/>
    <w:rsid w:val="00AC33C8"/>
    <w:rsid w:val="00AC3685"/>
    <w:rsid w:val="00AC3839"/>
    <w:rsid w:val="00AC39A6"/>
    <w:rsid w:val="00AC3C17"/>
    <w:rsid w:val="00AC3D90"/>
    <w:rsid w:val="00AC449A"/>
    <w:rsid w:val="00AC4584"/>
    <w:rsid w:val="00AC4C13"/>
    <w:rsid w:val="00AC4C74"/>
    <w:rsid w:val="00AC4CD2"/>
    <w:rsid w:val="00AC4D69"/>
    <w:rsid w:val="00AC5424"/>
    <w:rsid w:val="00AC5D5B"/>
    <w:rsid w:val="00AC5FE1"/>
    <w:rsid w:val="00AC6851"/>
    <w:rsid w:val="00AC79D0"/>
    <w:rsid w:val="00AC7BE1"/>
    <w:rsid w:val="00AD059B"/>
    <w:rsid w:val="00AD0FC2"/>
    <w:rsid w:val="00AD102A"/>
    <w:rsid w:val="00AD1483"/>
    <w:rsid w:val="00AD1502"/>
    <w:rsid w:val="00AD1796"/>
    <w:rsid w:val="00AD20A5"/>
    <w:rsid w:val="00AD225A"/>
    <w:rsid w:val="00AD2353"/>
    <w:rsid w:val="00AD239A"/>
    <w:rsid w:val="00AD2425"/>
    <w:rsid w:val="00AD2637"/>
    <w:rsid w:val="00AD26D4"/>
    <w:rsid w:val="00AD2F9D"/>
    <w:rsid w:val="00AD3102"/>
    <w:rsid w:val="00AD330E"/>
    <w:rsid w:val="00AD3EDC"/>
    <w:rsid w:val="00AD41D7"/>
    <w:rsid w:val="00AD4BF1"/>
    <w:rsid w:val="00AD505E"/>
    <w:rsid w:val="00AD5334"/>
    <w:rsid w:val="00AD5CCC"/>
    <w:rsid w:val="00AD5EE5"/>
    <w:rsid w:val="00AD6B6E"/>
    <w:rsid w:val="00AD6CC5"/>
    <w:rsid w:val="00AD7029"/>
    <w:rsid w:val="00AD713A"/>
    <w:rsid w:val="00AD752F"/>
    <w:rsid w:val="00AD7E0B"/>
    <w:rsid w:val="00AE06FD"/>
    <w:rsid w:val="00AE08CC"/>
    <w:rsid w:val="00AE0B06"/>
    <w:rsid w:val="00AE0C37"/>
    <w:rsid w:val="00AE0E58"/>
    <w:rsid w:val="00AE0EE1"/>
    <w:rsid w:val="00AE199E"/>
    <w:rsid w:val="00AE19DE"/>
    <w:rsid w:val="00AE25A4"/>
    <w:rsid w:val="00AE28B3"/>
    <w:rsid w:val="00AE34F4"/>
    <w:rsid w:val="00AE3D39"/>
    <w:rsid w:val="00AE4393"/>
    <w:rsid w:val="00AE488F"/>
    <w:rsid w:val="00AE49B9"/>
    <w:rsid w:val="00AE594A"/>
    <w:rsid w:val="00AE6745"/>
    <w:rsid w:val="00AE6895"/>
    <w:rsid w:val="00AE6E7A"/>
    <w:rsid w:val="00AE7906"/>
    <w:rsid w:val="00AE7A36"/>
    <w:rsid w:val="00AE7C77"/>
    <w:rsid w:val="00AE7EDB"/>
    <w:rsid w:val="00AF0189"/>
    <w:rsid w:val="00AF05EC"/>
    <w:rsid w:val="00AF061D"/>
    <w:rsid w:val="00AF0A77"/>
    <w:rsid w:val="00AF0E33"/>
    <w:rsid w:val="00AF12CE"/>
    <w:rsid w:val="00AF1A8B"/>
    <w:rsid w:val="00AF2028"/>
    <w:rsid w:val="00AF2037"/>
    <w:rsid w:val="00AF2115"/>
    <w:rsid w:val="00AF250D"/>
    <w:rsid w:val="00AF2745"/>
    <w:rsid w:val="00AF2B0D"/>
    <w:rsid w:val="00AF2E5E"/>
    <w:rsid w:val="00AF3068"/>
    <w:rsid w:val="00AF315A"/>
    <w:rsid w:val="00AF353B"/>
    <w:rsid w:val="00AF3569"/>
    <w:rsid w:val="00AF3B35"/>
    <w:rsid w:val="00AF3B3C"/>
    <w:rsid w:val="00AF3E6B"/>
    <w:rsid w:val="00AF3FE0"/>
    <w:rsid w:val="00AF45EB"/>
    <w:rsid w:val="00AF4605"/>
    <w:rsid w:val="00AF4794"/>
    <w:rsid w:val="00AF4951"/>
    <w:rsid w:val="00AF4F51"/>
    <w:rsid w:val="00AF4FA1"/>
    <w:rsid w:val="00AF58D0"/>
    <w:rsid w:val="00AF5D6E"/>
    <w:rsid w:val="00AF622C"/>
    <w:rsid w:val="00AF66E9"/>
    <w:rsid w:val="00AF695E"/>
    <w:rsid w:val="00AF6DF9"/>
    <w:rsid w:val="00AF710A"/>
    <w:rsid w:val="00AF7191"/>
    <w:rsid w:val="00AF7C74"/>
    <w:rsid w:val="00AF7CDA"/>
    <w:rsid w:val="00AF7F21"/>
    <w:rsid w:val="00B001EB"/>
    <w:rsid w:val="00B00296"/>
    <w:rsid w:val="00B00586"/>
    <w:rsid w:val="00B00735"/>
    <w:rsid w:val="00B00972"/>
    <w:rsid w:val="00B0098B"/>
    <w:rsid w:val="00B00F33"/>
    <w:rsid w:val="00B0119E"/>
    <w:rsid w:val="00B01A8E"/>
    <w:rsid w:val="00B0247E"/>
    <w:rsid w:val="00B02509"/>
    <w:rsid w:val="00B02C65"/>
    <w:rsid w:val="00B03970"/>
    <w:rsid w:val="00B03C11"/>
    <w:rsid w:val="00B03EBC"/>
    <w:rsid w:val="00B041BF"/>
    <w:rsid w:val="00B0477C"/>
    <w:rsid w:val="00B04D30"/>
    <w:rsid w:val="00B0535C"/>
    <w:rsid w:val="00B05A93"/>
    <w:rsid w:val="00B05C16"/>
    <w:rsid w:val="00B06065"/>
    <w:rsid w:val="00B06231"/>
    <w:rsid w:val="00B06B70"/>
    <w:rsid w:val="00B07478"/>
    <w:rsid w:val="00B078BB"/>
    <w:rsid w:val="00B079F2"/>
    <w:rsid w:val="00B07B8D"/>
    <w:rsid w:val="00B07C8E"/>
    <w:rsid w:val="00B07EB7"/>
    <w:rsid w:val="00B10416"/>
    <w:rsid w:val="00B10633"/>
    <w:rsid w:val="00B10FDE"/>
    <w:rsid w:val="00B10FE0"/>
    <w:rsid w:val="00B1136C"/>
    <w:rsid w:val="00B11468"/>
    <w:rsid w:val="00B11AD8"/>
    <w:rsid w:val="00B12BC4"/>
    <w:rsid w:val="00B12F55"/>
    <w:rsid w:val="00B14A04"/>
    <w:rsid w:val="00B14CB3"/>
    <w:rsid w:val="00B14E4B"/>
    <w:rsid w:val="00B14EDC"/>
    <w:rsid w:val="00B15807"/>
    <w:rsid w:val="00B15D3D"/>
    <w:rsid w:val="00B169F0"/>
    <w:rsid w:val="00B170D4"/>
    <w:rsid w:val="00B177EA"/>
    <w:rsid w:val="00B17AC0"/>
    <w:rsid w:val="00B17B7B"/>
    <w:rsid w:val="00B17D41"/>
    <w:rsid w:val="00B2021B"/>
    <w:rsid w:val="00B20295"/>
    <w:rsid w:val="00B204D8"/>
    <w:rsid w:val="00B21333"/>
    <w:rsid w:val="00B2194A"/>
    <w:rsid w:val="00B21A41"/>
    <w:rsid w:val="00B22131"/>
    <w:rsid w:val="00B22A6E"/>
    <w:rsid w:val="00B23C8D"/>
    <w:rsid w:val="00B23F23"/>
    <w:rsid w:val="00B23FC7"/>
    <w:rsid w:val="00B246CA"/>
    <w:rsid w:val="00B24AD9"/>
    <w:rsid w:val="00B24F55"/>
    <w:rsid w:val="00B251F7"/>
    <w:rsid w:val="00B256D3"/>
    <w:rsid w:val="00B25959"/>
    <w:rsid w:val="00B25C25"/>
    <w:rsid w:val="00B2659B"/>
    <w:rsid w:val="00B266FC"/>
    <w:rsid w:val="00B267CA"/>
    <w:rsid w:val="00B2792D"/>
    <w:rsid w:val="00B30158"/>
    <w:rsid w:val="00B30A65"/>
    <w:rsid w:val="00B30CD4"/>
    <w:rsid w:val="00B30FFA"/>
    <w:rsid w:val="00B32024"/>
    <w:rsid w:val="00B323CE"/>
    <w:rsid w:val="00B32A7C"/>
    <w:rsid w:val="00B33086"/>
    <w:rsid w:val="00B33825"/>
    <w:rsid w:val="00B33978"/>
    <w:rsid w:val="00B3457B"/>
    <w:rsid w:val="00B347FD"/>
    <w:rsid w:val="00B34B97"/>
    <w:rsid w:val="00B35063"/>
    <w:rsid w:val="00B3508B"/>
    <w:rsid w:val="00B3572E"/>
    <w:rsid w:val="00B35C11"/>
    <w:rsid w:val="00B35E18"/>
    <w:rsid w:val="00B36050"/>
    <w:rsid w:val="00B3643B"/>
    <w:rsid w:val="00B36C27"/>
    <w:rsid w:val="00B374BB"/>
    <w:rsid w:val="00B37F9D"/>
    <w:rsid w:val="00B400FF"/>
    <w:rsid w:val="00B4040A"/>
    <w:rsid w:val="00B406C0"/>
    <w:rsid w:val="00B40734"/>
    <w:rsid w:val="00B409D3"/>
    <w:rsid w:val="00B40C90"/>
    <w:rsid w:val="00B4160E"/>
    <w:rsid w:val="00B41AAF"/>
    <w:rsid w:val="00B41B44"/>
    <w:rsid w:val="00B41DD1"/>
    <w:rsid w:val="00B41FAA"/>
    <w:rsid w:val="00B42063"/>
    <w:rsid w:val="00B42CFF"/>
    <w:rsid w:val="00B42FEB"/>
    <w:rsid w:val="00B432D8"/>
    <w:rsid w:val="00B43435"/>
    <w:rsid w:val="00B43DE8"/>
    <w:rsid w:val="00B449DD"/>
    <w:rsid w:val="00B458D1"/>
    <w:rsid w:val="00B45CE2"/>
    <w:rsid w:val="00B45FD9"/>
    <w:rsid w:val="00B4642E"/>
    <w:rsid w:val="00B46879"/>
    <w:rsid w:val="00B46F12"/>
    <w:rsid w:val="00B470C3"/>
    <w:rsid w:val="00B47190"/>
    <w:rsid w:val="00B472E0"/>
    <w:rsid w:val="00B47422"/>
    <w:rsid w:val="00B47892"/>
    <w:rsid w:val="00B50744"/>
    <w:rsid w:val="00B50856"/>
    <w:rsid w:val="00B50D0A"/>
    <w:rsid w:val="00B50DF9"/>
    <w:rsid w:val="00B5134D"/>
    <w:rsid w:val="00B516A3"/>
    <w:rsid w:val="00B516F5"/>
    <w:rsid w:val="00B521E2"/>
    <w:rsid w:val="00B52846"/>
    <w:rsid w:val="00B5287A"/>
    <w:rsid w:val="00B528E5"/>
    <w:rsid w:val="00B52E4D"/>
    <w:rsid w:val="00B531F9"/>
    <w:rsid w:val="00B53C51"/>
    <w:rsid w:val="00B53F65"/>
    <w:rsid w:val="00B540AF"/>
    <w:rsid w:val="00B5413B"/>
    <w:rsid w:val="00B54341"/>
    <w:rsid w:val="00B5458C"/>
    <w:rsid w:val="00B54AD2"/>
    <w:rsid w:val="00B54B66"/>
    <w:rsid w:val="00B54BA2"/>
    <w:rsid w:val="00B54C75"/>
    <w:rsid w:val="00B55126"/>
    <w:rsid w:val="00B559F2"/>
    <w:rsid w:val="00B55B39"/>
    <w:rsid w:val="00B560A0"/>
    <w:rsid w:val="00B56515"/>
    <w:rsid w:val="00B56572"/>
    <w:rsid w:val="00B56580"/>
    <w:rsid w:val="00B56827"/>
    <w:rsid w:val="00B56917"/>
    <w:rsid w:val="00B56CF5"/>
    <w:rsid w:val="00B57130"/>
    <w:rsid w:val="00B57557"/>
    <w:rsid w:val="00B57816"/>
    <w:rsid w:val="00B57CFF"/>
    <w:rsid w:val="00B57D82"/>
    <w:rsid w:val="00B60266"/>
    <w:rsid w:val="00B6077C"/>
    <w:rsid w:val="00B6087C"/>
    <w:rsid w:val="00B60E4E"/>
    <w:rsid w:val="00B61973"/>
    <w:rsid w:val="00B61EA0"/>
    <w:rsid w:val="00B61ED6"/>
    <w:rsid w:val="00B6295A"/>
    <w:rsid w:val="00B62D72"/>
    <w:rsid w:val="00B62E41"/>
    <w:rsid w:val="00B631B9"/>
    <w:rsid w:val="00B636B4"/>
    <w:rsid w:val="00B64EE2"/>
    <w:rsid w:val="00B6576A"/>
    <w:rsid w:val="00B65C8F"/>
    <w:rsid w:val="00B65CD9"/>
    <w:rsid w:val="00B65DFC"/>
    <w:rsid w:val="00B67BBF"/>
    <w:rsid w:val="00B67D97"/>
    <w:rsid w:val="00B7061B"/>
    <w:rsid w:val="00B70AD6"/>
    <w:rsid w:val="00B70FB9"/>
    <w:rsid w:val="00B710C6"/>
    <w:rsid w:val="00B7122B"/>
    <w:rsid w:val="00B71334"/>
    <w:rsid w:val="00B71940"/>
    <w:rsid w:val="00B719C3"/>
    <w:rsid w:val="00B7219B"/>
    <w:rsid w:val="00B729E5"/>
    <w:rsid w:val="00B72A52"/>
    <w:rsid w:val="00B72B39"/>
    <w:rsid w:val="00B72D36"/>
    <w:rsid w:val="00B735E5"/>
    <w:rsid w:val="00B73928"/>
    <w:rsid w:val="00B743E8"/>
    <w:rsid w:val="00B74978"/>
    <w:rsid w:val="00B74C9C"/>
    <w:rsid w:val="00B7574D"/>
    <w:rsid w:val="00B757D3"/>
    <w:rsid w:val="00B75A99"/>
    <w:rsid w:val="00B75FEC"/>
    <w:rsid w:val="00B76239"/>
    <w:rsid w:val="00B76F66"/>
    <w:rsid w:val="00B7729D"/>
    <w:rsid w:val="00B775AF"/>
    <w:rsid w:val="00B775F5"/>
    <w:rsid w:val="00B77774"/>
    <w:rsid w:val="00B7787C"/>
    <w:rsid w:val="00B77FA9"/>
    <w:rsid w:val="00B808E4"/>
    <w:rsid w:val="00B808F2"/>
    <w:rsid w:val="00B80FB2"/>
    <w:rsid w:val="00B810C9"/>
    <w:rsid w:val="00B81371"/>
    <w:rsid w:val="00B81A7D"/>
    <w:rsid w:val="00B827CC"/>
    <w:rsid w:val="00B82FA0"/>
    <w:rsid w:val="00B830CA"/>
    <w:rsid w:val="00B83729"/>
    <w:rsid w:val="00B8372B"/>
    <w:rsid w:val="00B8389B"/>
    <w:rsid w:val="00B8398B"/>
    <w:rsid w:val="00B839FB"/>
    <w:rsid w:val="00B83DFF"/>
    <w:rsid w:val="00B83EC8"/>
    <w:rsid w:val="00B83FEE"/>
    <w:rsid w:val="00B84396"/>
    <w:rsid w:val="00B84A9F"/>
    <w:rsid w:val="00B84D88"/>
    <w:rsid w:val="00B85069"/>
    <w:rsid w:val="00B8596A"/>
    <w:rsid w:val="00B85C12"/>
    <w:rsid w:val="00B85F83"/>
    <w:rsid w:val="00B861C2"/>
    <w:rsid w:val="00B8620B"/>
    <w:rsid w:val="00B864D6"/>
    <w:rsid w:val="00B8695A"/>
    <w:rsid w:val="00B86F21"/>
    <w:rsid w:val="00B871A8"/>
    <w:rsid w:val="00B906F6"/>
    <w:rsid w:val="00B90962"/>
    <w:rsid w:val="00B909F2"/>
    <w:rsid w:val="00B90A00"/>
    <w:rsid w:val="00B90AD2"/>
    <w:rsid w:val="00B90E90"/>
    <w:rsid w:val="00B9114E"/>
    <w:rsid w:val="00B911CA"/>
    <w:rsid w:val="00B912C1"/>
    <w:rsid w:val="00B91340"/>
    <w:rsid w:val="00B91749"/>
    <w:rsid w:val="00B91E10"/>
    <w:rsid w:val="00B91F2A"/>
    <w:rsid w:val="00B92347"/>
    <w:rsid w:val="00B92449"/>
    <w:rsid w:val="00B92639"/>
    <w:rsid w:val="00B928DE"/>
    <w:rsid w:val="00B92912"/>
    <w:rsid w:val="00B92AD4"/>
    <w:rsid w:val="00B92BEA"/>
    <w:rsid w:val="00B92EE1"/>
    <w:rsid w:val="00B93FEF"/>
    <w:rsid w:val="00B95509"/>
    <w:rsid w:val="00B955A5"/>
    <w:rsid w:val="00B95605"/>
    <w:rsid w:val="00B95D27"/>
    <w:rsid w:val="00B9616E"/>
    <w:rsid w:val="00B968AA"/>
    <w:rsid w:val="00B96A06"/>
    <w:rsid w:val="00B96B6A"/>
    <w:rsid w:val="00BA08E4"/>
    <w:rsid w:val="00BA0943"/>
    <w:rsid w:val="00BA0C11"/>
    <w:rsid w:val="00BA0C81"/>
    <w:rsid w:val="00BA0C84"/>
    <w:rsid w:val="00BA1024"/>
    <w:rsid w:val="00BA129B"/>
    <w:rsid w:val="00BA141F"/>
    <w:rsid w:val="00BA1F04"/>
    <w:rsid w:val="00BA21E1"/>
    <w:rsid w:val="00BA23ED"/>
    <w:rsid w:val="00BA24B4"/>
    <w:rsid w:val="00BA2A39"/>
    <w:rsid w:val="00BA3011"/>
    <w:rsid w:val="00BA30BE"/>
    <w:rsid w:val="00BA35CC"/>
    <w:rsid w:val="00BA37C6"/>
    <w:rsid w:val="00BA417D"/>
    <w:rsid w:val="00BA423F"/>
    <w:rsid w:val="00BA4440"/>
    <w:rsid w:val="00BA46CF"/>
    <w:rsid w:val="00BA4958"/>
    <w:rsid w:val="00BA4EAA"/>
    <w:rsid w:val="00BA4EB9"/>
    <w:rsid w:val="00BA6071"/>
    <w:rsid w:val="00BA609E"/>
    <w:rsid w:val="00BA6152"/>
    <w:rsid w:val="00BA6452"/>
    <w:rsid w:val="00BA64E8"/>
    <w:rsid w:val="00BA6508"/>
    <w:rsid w:val="00BA6512"/>
    <w:rsid w:val="00BA6B37"/>
    <w:rsid w:val="00BA6CD1"/>
    <w:rsid w:val="00BA75BB"/>
    <w:rsid w:val="00BA7CD8"/>
    <w:rsid w:val="00BB0118"/>
    <w:rsid w:val="00BB0343"/>
    <w:rsid w:val="00BB06DF"/>
    <w:rsid w:val="00BB09F8"/>
    <w:rsid w:val="00BB0C36"/>
    <w:rsid w:val="00BB0DDB"/>
    <w:rsid w:val="00BB1867"/>
    <w:rsid w:val="00BB235B"/>
    <w:rsid w:val="00BB26E8"/>
    <w:rsid w:val="00BB27EB"/>
    <w:rsid w:val="00BB2C23"/>
    <w:rsid w:val="00BB2F93"/>
    <w:rsid w:val="00BB344E"/>
    <w:rsid w:val="00BB3775"/>
    <w:rsid w:val="00BB3CBD"/>
    <w:rsid w:val="00BB458D"/>
    <w:rsid w:val="00BB4DFF"/>
    <w:rsid w:val="00BB50A8"/>
    <w:rsid w:val="00BB5CDE"/>
    <w:rsid w:val="00BB6000"/>
    <w:rsid w:val="00BB600D"/>
    <w:rsid w:val="00BB6086"/>
    <w:rsid w:val="00BB64A3"/>
    <w:rsid w:val="00BB6637"/>
    <w:rsid w:val="00BB6B8C"/>
    <w:rsid w:val="00BB7279"/>
    <w:rsid w:val="00BB72F4"/>
    <w:rsid w:val="00BB78DA"/>
    <w:rsid w:val="00BB7D5B"/>
    <w:rsid w:val="00BC076E"/>
    <w:rsid w:val="00BC0AC9"/>
    <w:rsid w:val="00BC0BB3"/>
    <w:rsid w:val="00BC0E8D"/>
    <w:rsid w:val="00BC10BC"/>
    <w:rsid w:val="00BC17C3"/>
    <w:rsid w:val="00BC1983"/>
    <w:rsid w:val="00BC1FB9"/>
    <w:rsid w:val="00BC218A"/>
    <w:rsid w:val="00BC236F"/>
    <w:rsid w:val="00BC23FB"/>
    <w:rsid w:val="00BC2458"/>
    <w:rsid w:val="00BC3210"/>
    <w:rsid w:val="00BC32A5"/>
    <w:rsid w:val="00BC3A1D"/>
    <w:rsid w:val="00BC3D7F"/>
    <w:rsid w:val="00BC4327"/>
    <w:rsid w:val="00BC4909"/>
    <w:rsid w:val="00BC4AD9"/>
    <w:rsid w:val="00BC4E90"/>
    <w:rsid w:val="00BC5106"/>
    <w:rsid w:val="00BC5403"/>
    <w:rsid w:val="00BC578E"/>
    <w:rsid w:val="00BC5B31"/>
    <w:rsid w:val="00BC5C03"/>
    <w:rsid w:val="00BC60E7"/>
    <w:rsid w:val="00BC6254"/>
    <w:rsid w:val="00BC6274"/>
    <w:rsid w:val="00BC6608"/>
    <w:rsid w:val="00BC71CE"/>
    <w:rsid w:val="00BC7635"/>
    <w:rsid w:val="00BD05FC"/>
    <w:rsid w:val="00BD0D18"/>
    <w:rsid w:val="00BD0D49"/>
    <w:rsid w:val="00BD0D6B"/>
    <w:rsid w:val="00BD116A"/>
    <w:rsid w:val="00BD1760"/>
    <w:rsid w:val="00BD1A58"/>
    <w:rsid w:val="00BD1A80"/>
    <w:rsid w:val="00BD21EA"/>
    <w:rsid w:val="00BD289B"/>
    <w:rsid w:val="00BD2B8D"/>
    <w:rsid w:val="00BD2EDC"/>
    <w:rsid w:val="00BD3308"/>
    <w:rsid w:val="00BD3319"/>
    <w:rsid w:val="00BD3834"/>
    <w:rsid w:val="00BD3E74"/>
    <w:rsid w:val="00BD46A2"/>
    <w:rsid w:val="00BD4B83"/>
    <w:rsid w:val="00BD511E"/>
    <w:rsid w:val="00BD5923"/>
    <w:rsid w:val="00BD6750"/>
    <w:rsid w:val="00BD6F18"/>
    <w:rsid w:val="00BD7018"/>
    <w:rsid w:val="00BD7304"/>
    <w:rsid w:val="00BD7A6B"/>
    <w:rsid w:val="00BD7B89"/>
    <w:rsid w:val="00BD7D58"/>
    <w:rsid w:val="00BD7DD0"/>
    <w:rsid w:val="00BD7DDF"/>
    <w:rsid w:val="00BE02F5"/>
    <w:rsid w:val="00BE0493"/>
    <w:rsid w:val="00BE185B"/>
    <w:rsid w:val="00BE1BB7"/>
    <w:rsid w:val="00BE29C6"/>
    <w:rsid w:val="00BE2A07"/>
    <w:rsid w:val="00BE2AF8"/>
    <w:rsid w:val="00BE2C15"/>
    <w:rsid w:val="00BE2E34"/>
    <w:rsid w:val="00BE2F9B"/>
    <w:rsid w:val="00BE391C"/>
    <w:rsid w:val="00BE4129"/>
    <w:rsid w:val="00BE4FBB"/>
    <w:rsid w:val="00BE5646"/>
    <w:rsid w:val="00BE583B"/>
    <w:rsid w:val="00BE5AFD"/>
    <w:rsid w:val="00BE664F"/>
    <w:rsid w:val="00BE6A09"/>
    <w:rsid w:val="00BE7534"/>
    <w:rsid w:val="00BE7EC4"/>
    <w:rsid w:val="00BF014A"/>
    <w:rsid w:val="00BF057A"/>
    <w:rsid w:val="00BF0804"/>
    <w:rsid w:val="00BF0A8E"/>
    <w:rsid w:val="00BF141E"/>
    <w:rsid w:val="00BF1CB2"/>
    <w:rsid w:val="00BF1FE0"/>
    <w:rsid w:val="00BF2C43"/>
    <w:rsid w:val="00BF2EDB"/>
    <w:rsid w:val="00BF3ECD"/>
    <w:rsid w:val="00BF4442"/>
    <w:rsid w:val="00BF487A"/>
    <w:rsid w:val="00BF536A"/>
    <w:rsid w:val="00BF54C5"/>
    <w:rsid w:val="00BF55AB"/>
    <w:rsid w:val="00BF5642"/>
    <w:rsid w:val="00BF5ED8"/>
    <w:rsid w:val="00BF640F"/>
    <w:rsid w:val="00BF6D9A"/>
    <w:rsid w:val="00BF7129"/>
    <w:rsid w:val="00BF773A"/>
    <w:rsid w:val="00BF7A19"/>
    <w:rsid w:val="00BF7B50"/>
    <w:rsid w:val="00C00508"/>
    <w:rsid w:val="00C00706"/>
    <w:rsid w:val="00C009EB"/>
    <w:rsid w:val="00C00E3A"/>
    <w:rsid w:val="00C00EF6"/>
    <w:rsid w:val="00C0166E"/>
    <w:rsid w:val="00C0204E"/>
    <w:rsid w:val="00C02569"/>
    <w:rsid w:val="00C0336B"/>
    <w:rsid w:val="00C033E7"/>
    <w:rsid w:val="00C037D3"/>
    <w:rsid w:val="00C0401E"/>
    <w:rsid w:val="00C0402C"/>
    <w:rsid w:val="00C04166"/>
    <w:rsid w:val="00C04C5E"/>
    <w:rsid w:val="00C04F7C"/>
    <w:rsid w:val="00C05647"/>
    <w:rsid w:val="00C0590E"/>
    <w:rsid w:val="00C0649D"/>
    <w:rsid w:val="00C06D11"/>
    <w:rsid w:val="00C06D14"/>
    <w:rsid w:val="00C070FA"/>
    <w:rsid w:val="00C07847"/>
    <w:rsid w:val="00C07DF4"/>
    <w:rsid w:val="00C107BB"/>
    <w:rsid w:val="00C10836"/>
    <w:rsid w:val="00C10B05"/>
    <w:rsid w:val="00C10DCC"/>
    <w:rsid w:val="00C11094"/>
    <w:rsid w:val="00C11098"/>
    <w:rsid w:val="00C11160"/>
    <w:rsid w:val="00C11FD0"/>
    <w:rsid w:val="00C122BA"/>
    <w:rsid w:val="00C12CAF"/>
    <w:rsid w:val="00C12D78"/>
    <w:rsid w:val="00C133B2"/>
    <w:rsid w:val="00C13885"/>
    <w:rsid w:val="00C13940"/>
    <w:rsid w:val="00C14105"/>
    <w:rsid w:val="00C142C8"/>
    <w:rsid w:val="00C14646"/>
    <w:rsid w:val="00C14DDE"/>
    <w:rsid w:val="00C151E7"/>
    <w:rsid w:val="00C15234"/>
    <w:rsid w:val="00C1536C"/>
    <w:rsid w:val="00C15526"/>
    <w:rsid w:val="00C155D9"/>
    <w:rsid w:val="00C15A52"/>
    <w:rsid w:val="00C15D31"/>
    <w:rsid w:val="00C15D7E"/>
    <w:rsid w:val="00C15E83"/>
    <w:rsid w:val="00C15EE5"/>
    <w:rsid w:val="00C1632D"/>
    <w:rsid w:val="00C16828"/>
    <w:rsid w:val="00C168A0"/>
    <w:rsid w:val="00C170C0"/>
    <w:rsid w:val="00C171E3"/>
    <w:rsid w:val="00C17B4C"/>
    <w:rsid w:val="00C17DE9"/>
    <w:rsid w:val="00C201E3"/>
    <w:rsid w:val="00C20202"/>
    <w:rsid w:val="00C204A6"/>
    <w:rsid w:val="00C2090A"/>
    <w:rsid w:val="00C21509"/>
    <w:rsid w:val="00C2197D"/>
    <w:rsid w:val="00C21A0E"/>
    <w:rsid w:val="00C21E07"/>
    <w:rsid w:val="00C22085"/>
    <w:rsid w:val="00C22741"/>
    <w:rsid w:val="00C229A1"/>
    <w:rsid w:val="00C22DAC"/>
    <w:rsid w:val="00C22E65"/>
    <w:rsid w:val="00C23019"/>
    <w:rsid w:val="00C230F6"/>
    <w:rsid w:val="00C232DB"/>
    <w:rsid w:val="00C23414"/>
    <w:rsid w:val="00C2352A"/>
    <w:rsid w:val="00C23BD1"/>
    <w:rsid w:val="00C242DE"/>
    <w:rsid w:val="00C24665"/>
    <w:rsid w:val="00C24784"/>
    <w:rsid w:val="00C25691"/>
    <w:rsid w:val="00C259D0"/>
    <w:rsid w:val="00C25AE2"/>
    <w:rsid w:val="00C2623C"/>
    <w:rsid w:val="00C263D2"/>
    <w:rsid w:val="00C27ED5"/>
    <w:rsid w:val="00C300E4"/>
    <w:rsid w:val="00C303A9"/>
    <w:rsid w:val="00C306A7"/>
    <w:rsid w:val="00C30736"/>
    <w:rsid w:val="00C30AE5"/>
    <w:rsid w:val="00C30C87"/>
    <w:rsid w:val="00C30CD3"/>
    <w:rsid w:val="00C31473"/>
    <w:rsid w:val="00C31569"/>
    <w:rsid w:val="00C31897"/>
    <w:rsid w:val="00C318E1"/>
    <w:rsid w:val="00C31905"/>
    <w:rsid w:val="00C31AF7"/>
    <w:rsid w:val="00C322FA"/>
    <w:rsid w:val="00C3297E"/>
    <w:rsid w:val="00C32EBB"/>
    <w:rsid w:val="00C335F3"/>
    <w:rsid w:val="00C33CFA"/>
    <w:rsid w:val="00C33DC1"/>
    <w:rsid w:val="00C344E9"/>
    <w:rsid w:val="00C345F4"/>
    <w:rsid w:val="00C350DE"/>
    <w:rsid w:val="00C35782"/>
    <w:rsid w:val="00C35A41"/>
    <w:rsid w:val="00C35A8B"/>
    <w:rsid w:val="00C35D75"/>
    <w:rsid w:val="00C35F90"/>
    <w:rsid w:val="00C364B1"/>
    <w:rsid w:val="00C36BFD"/>
    <w:rsid w:val="00C36E42"/>
    <w:rsid w:val="00C37429"/>
    <w:rsid w:val="00C379B0"/>
    <w:rsid w:val="00C37EE0"/>
    <w:rsid w:val="00C401E7"/>
    <w:rsid w:val="00C4022A"/>
    <w:rsid w:val="00C402A2"/>
    <w:rsid w:val="00C40500"/>
    <w:rsid w:val="00C40C64"/>
    <w:rsid w:val="00C41B8B"/>
    <w:rsid w:val="00C41C48"/>
    <w:rsid w:val="00C422FD"/>
    <w:rsid w:val="00C42588"/>
    <w:rsid w:val="00C42CD0"/>
    <w:rsid w:val="00C43540"/>
    <w:rsid w:val="00C443EA"/>
    <w:rsid w:val="00C447F5"/>
    <w:rsid w:val="00C449C8"/>
    <w:rsid w:val="00C44D61"/>
    <w:rsid w:val="00C450C6"/>
    <w:rsid w:val="00C451D8"/>
    <w:rsid w:val="00C451E0"/>
    <w:rsid w:val="00C4636A"/>
    <w:rsid w:val="00C4663F"/>
    <w:rsid w:val="00C46DFB"/>
    <w:rsid w:val="00C47E36"/>
    <w:rsid w:val="00C47F39"/>
    <w:rsid w:val="00C5097E"/>
    <w:rsid w:val="00C512BF"/>
    <w:rsid w:val="00C513B2"/>
    <w:rsid w:val="00C51EEC"/>
    <w:rsid w:val="00C522BA"/>
    <w:rsid w:val="00C52469"/>
    <w:rsid w:val="00C52CB2"/>
    <w:rsid w:val="00C53F43"/>
    <w:rsid w:val="00C5461C"/>
    <w:rsid w:val="00C54992"/>
    <w:rsid w:val="00C549F3"/>
    <w:rsid w:val="00C551C5"/>
    <w:rsid w:val="00C5559B"/>
    <w:rsid w:val="00C55784"/>
    <w:rsid w:val="00C55A51"/>
    <w:rsid w:val="00C55A71"/>
    <w:rsid w:val="00C55D86"/>
    <w:rsid w:val="00C55DBD"/>
    <w:rsid w:val="00C55FB3"/>
    <w:rsid w:val="00C5641B"/>
    <w:rsid w:val="00C56940"/>
    <w:rsid w:val="00C56D60"/>
    <w:rsid w:val="00C573AB"/>
    <w:rsid w:val="00C575AC"/>
    <w:rsid w:val="00C57E33"/>
    <w:rsid w:val="00C602E4"/>
    <w:rsid w:val="00C6056A"/>
    <w:rsid w:val="00C6071A"/>
    <w:rsid w:val="00C6080F"/>
    <w:rsid w:val="00C608B8"/>
    <w:rsid w:val="00C610FD"/>
    <w:rsid w:val="00C613FD"/>
    <w:rsid w:val="00C61D8D"/>
    <w:rsid w:val="00C632AD"/>
    <w:rsid w:val="00C6348B"/>
    <w:rsid w:val="00C63620"/>
    <w:rsid w:val="00C63908"/>
    <w:rsid w:val="00C63A30"/>
    <w:rsid w:val="00C63A94"/>
    <w:rsid w:val="00C64074"/>
    <w:rsid w:val="00C64207"/>
    <w:rsid w:val="00C64249"/>
    <w:rsid w:val="00C643D8"/>
    <w:rsid w:val="00C6454B"/>
    <w:rsid w:val="00C645AD"/>
    <w:rsid w:val="00C647D4"/>
    <w:rsid w:val="00C64C67"/>
    <w:rsid w:val="00C64F79"/>
    <w:rsid w:val="00C6584C"/>
    <w:rsid w:val="00C65900"/>
    <w:rsid w:val="00C66823"/>
    <w:rsid w:val="00C668DA"/>
    <w:rsid w:val="00C66A4C"/>
    <w:rsid w:val="00C66A54"/>
    <w:rsid w:val="00C66BC5"/>
    <w:rsid w:val="00C66FB4"/>
    <w:rsid w:val="00C67432"/>
    <w:rsid w:val="00C67434"/>
    <w:rsid w:val="00C6756B"/>
    <w:rsid w:val="00C704AA"/>
    <w:rsid w:val="00C70AF7"/>
    <w:rsid w:val="00C71160"/>
    <w:rsid w:val="00C714EC"/>
    <w:rsid w:val="00C71598"/>
    <w:rsid w:val="00C71652"/>
    <w:rsid w:val="00C71682"/>
    <w:rsid w:val="00C7184D"/>
    <w:rsid w:val="00C71A62"/>
    <w:rsid w:val="00C71C2E"/>
    <w:rsid w:val="00C71C69"/>
    <w:rsid w:val="00C7217E"/>
    <w:rsid w:val="00C722DD"/>
    <w:rsid w:val="00C7293E"/>
    <w:rsid w:val="00C72C5D"/>
    <w:rsid w:val="00C72DC0"/>
    <w:rsid w:val="00C734B4"/>
    <w:rsid w:val="00C737A4"/>
    <w:rsid w:val="00C73E63"/>
    <w:rsid w:val="00C73F38"/>
    <w:rsid w:val="00C74533"/>
    <w:rsid w:val="00C74D98"/>
    <w:rsid w:val="00C75263"/>
    <w:rsid w:val="00C75F44"/>
    <w:rsid w:val="00C760D0"/>
    <w:rsid w:val="00C76580"/>
    <w:rsid w:val="00C765DB"/>
    <w:rsid w:val="00C76AC4"/>
    <w:rsid w:val="00C76D16"/>
    <w:rsid w:val="00C76DAF"/>
    <w:rsid w:val="00C773B8"/>
    <w:rsid w:val="00C778EC"/>
    <w:rsid w:val="00C7793D"/>
    <w:rsid w:val="00C779B2"/>
    <w:rsid w:val="00C77D65"/>
    <w:rsid w:val="00C77ED1"/>
    <w:rsid w:val="00C77F54"/>
    <w:rsid w:val="00C8023B"/>
    <w:rsid w:val="00C8049C"/>
    <w:rsid w:val="00C80798"/>
    <w:rsid w:val="00C808DC"/>
    <w:rsid w:val="00C80ABB"/>
    <w:rsid w:val="00C80C8C"/>
    <w:rsid w:val="00C8177B"/>
    <w:rsid w:val="00C818BD"/>
    <w:rsid w:val="00C81A1C"/>
    <w:rsid w:val="00C81B55"/>
    <w:rsid w:val="00C822E1"/>
    <w:rsid w:val="00C823CE"/>
    <w:rsid w:val="00C82445"/>
    <w:rsid w:val="00C824A8"/>
    <w:rsid w:val="00C824BE"/>
    <w:rsid w:val="00C825B2"/>
    <w:rsid w:val="00C82687"/>
    <w:rsid w:val="00C82A5B"/>
    <w:rsid w:val="00C82D70"/>
    <w:rsid w:val="00C82DF1"/>
    <w:rsid w:val="00C83656"/>
    <w:rsid w:val="00C8517B"/>
    <w:rsid w:val="00C854A9"/>
    <w:rsid w:val="00C85CAB"/>
    <w:rsid w:val="00C85F05"/>
    <w:rsid w:val="00C85F6D"/>
    <w:rsid w:val="00C865A9"/>
    <w:rsid w:val="00C872A0"/>
    <w:rsid w:val="00C872AC"/>
    <w:rsid w:val="00C87A50"/>
    <w:rsid w:val="00C902B4"/>
    <w:rsid w:val="00C90EE5"/>
    <w:rsid w:val="00C91025"/>
    <w:rsid w:val="00C91957"/>
    <w:rsid w:val="00C91A81"/>
    <w:rsid w:val="00C91F8F"/>
    <w:rsid w:val="00C922FE"/>
    <w:rsid w:val="00C92986"/>
    <w:rsid w:val="00C92CDB"/>
    <w:rsid w:val="00C93469"/>
    <w:rsid w:val="00C9363D"/>
    <w:rsid w:val="00C93670"/>
    <w:rsid w:val="00C93677"/>
    <w:rsid w:val="00C939A4"/>
    <w:rsid w:val="00C939BB"/>
    <w:rsid w:val="00C93F48"/>
    <w:rsid w:val="00C94FA3"/>
    <w:rsid w:val="00C95286"/>
    <w:rsid w:val="00C954C3"/>
    <w:rsid w:val="00C9589E"/>
    <w:rsid w:val="00C95A46"/>
    <w:rsid w:val="00C95B96"/>
    <w:rsid w:val="00C95D31"/>
    <w:rsid w:val="00C95F1F"/>
    <w:rsid w:val="00C95FC8"/>
    <w:rsid w:val="00C964AF"/>
    <w:rsid w:val="00C97809"/>
    <w:rsid w:val="00C97896"/>
    <w:rsid w:val="00C97A41"/>
    <w:rsid w:val="00C97A82"/>
    <w:rsid w:val="00C97DDC"/>
    <w:rsid w:val="00CA0A82"/>
    <w:rsid w:val="00CA103F"/>
    <w:rsid w:val="00CA12C8"/>
    <w:rsid w:val="00CA1905"/>
    <w:rsid w:val="00CA1A3B"/>
    <w:rsid w:val="00CA1CEC"/>
    <w:rsid w:val="00CA1D05"/>
    <w:rsid w:val="00CA2DD9"/>
    <w:rsid w:val="00CA3105"/>
    <w:rsid w:val="00CA31E4"/>
    <w:rsid w:val="00CA347C"/>
    <w:rsid w:val="00CA3932"/>
    <w:rsid w:val="00CA396C"/>
    <w:rsid w:val="00CA3D17"/>
    <w:rsid w:val="00CA45FA"/>
    <w:rsid w:val="00CA51A5"/>
    <w:rsid w:val="00CA5380"/>
    <w:rsid w:val="00CA543A"/>
    <w:rsid w:val="00CA5584"/>
    <w:rsid w:val="00CA5B74"/>
    <w:rsid w:val="00CA5C2E"/>
    <w:rsid w:val="00CA61D3"/>
    <w:rsid w:val="00CA64AD"/>
    <w:rsid w:val="00CA6A5D"/>
    <w:rsid w:val="00CA715D"/>
    <w:rsid w:val="00CA739F"/>
    <w:rsid w:val="00CB00CF"/>
    <w:rsid w:val="00CB02DD"/>
    <w:rsid w:val="00CB04A3"/>
    <w:rsid w:val="00CB0843"/>
    <w:rsid w:val="00CB09A3"/>
    <w:rsid w:val="00CB0B25"/>
    <w:rsid w:val="00CB0B5F"/>
    <w:rsid w:val="00CB0F94"/>
    <w:rsid w:val="00CB10F1"/>
    <w:rsid w:val="00CB174C"/>
    <w:rsid w:val="00CB1AC1"/>
    <w:rsid w:val="00CB1B3B"/>
    <w:rsid w:val="00CB1BC1"/>
    <w:rsid w:val="00CB1F06"/>
    <w:rsid w:val="00CB2409"/>
    <w:rsid w:val="00CB30ED"/>
    <w:rsid w:val="00CB312F"/>
    <w:rsid w:val="00CB35F3"/>
    <w:rsid w:val="00CB4128"/>
    <w:rsid w:val="00CB4392"/>
    <w:rsid w:val="00CB45C4"/>
    <w:rsid w:val="00CB4885"/>
    <w:rsid w:val="00CB5186"/>
    <w:rsid w:val="00CB5257"/>
    <w:rsid w:val="00CB52E3"/>
    <w:rsid w:val="00CB533A"/>
    <w:rsid w:val="00CB540B"/>
    <w:rsid w:val="00CB5651"/>
    <w:rsid w:val="00CB5687"/>
    <w:rsid w:val="00CB568E"/>
    <w:rsid w:val="00CB57C5"/>
    <w:rsid w:val="00CB5FF3"/>
    <w:rsid w:val="00CB61DA"/>
    <w:rsid w:val="00CB62B7"/>
    <w:rsid w:val="00CB642C"/>
    <w:rsid w:val="00CB653C"/>
    <w:rsid w:val="00CB65EF"/>
    <w:rsid w:val="00CB6C6B"/>
    <w:rsid w:val="00CB7600"/>
    <w:rsid w:val="00CB7C32"/>
    <w:rsid w:val="00CB7DB5"/>
    <w:rsid w:val="00CC014E"/>
    <w:rsid w:val="00CC07C7"/>
    <w:rsid w:val="00CC087C"/>
    <w:rsid w:val="00CC1054"/>
    <w:rsid w:val="00CC19C3"/>
    <w:rsid w:val="00CC1C71"/>
    <w:rsid w:val="00CC22A8"/>
    <w:rsid w:val="00CC230B"/>
    <w:rsid w:val="00CC251F"/>
    <w:rsid w:val="00CC27B9"/>
    <w:rsid w:val="00CC3161"/>
    <w:rsid w:val="00CC3C39"/>
    <w:rsid w:val="00CC4104"/>
    <w:rsid w:val="00CC44D1"/>
    <w:rsid w:val="00CC4C36"/>
    <w:rsid w:val="00CC4C6A"/>
    <w:rsid w:val="00CC4C96"/>
    <w:rsid w:val="00CC4FE4"/>
    <w:rsid w:val="00CC5B20"/>
    <w:rsid w:val="00CC5B4F"/>
    <w:rsid w:val="00CC5D98"/>
    <w:rsid w:val="00CC62B4"/>
    <w:rsid w:val="00CC6335"/>
    <w:rsid w:val="00CC64CF"/>
    <w:rsid w:val="00CC665E"/>
    <w:rsid w:val="00CC6E87"/>
    <w:rsid w:val="00CC776E"/>
    <w:rsid w:val="00CC79E0"/>
    <w:rsid w:val="00CD011B"/>
    <w:rsid w:val="00CD0578"/>
    <w:rsid w:val="00CD059B"/>
    <w:rsid w:val="00CD0AC3"/>
    <w:rsid w:val="00CD0CEC"/>
    <w:rsid w:val="00CD1748"/>
    <w:rsid w:val="00CD251B"/>
    <w:rsid w:val="00CD2905"/>
    <w:rsid w:val="00CD3554"/>
    <w:rsid w:val="00CD399B"/>
    <w:rsid w:val="00CD3F51"/>
    <w:rsid w:val="00CD40EA"/>
    <w:rsid w:val="00CD4697"/>
    <w:rsid w:val="00CD4CD3"/>
    <w:rsid w:val="00CD5B4C"/>
    <w:rsid w:val="00CD5E06"/>
    <w:rsid w:val="00CD610E"/>
    <w:rsid w:val="00CD6135"/>
    <w:rsid w:val="00CD670F"/>
    <w:rsid w:val="00CD6F1F"/>
    <w:rsid w:val="00CD7783"/>
    <w:rsid w:val="00CD792B"/>
    <w:rsid w:val="00CD7A7F"/>
    <w:rsid w:val="00CE0290"/>
    <w:rsid w:val="00CE0BF0"/>
    <w:rsid w:val="00CE0EF4"/>
    <w:rsid w:val="00CE0FA9"/>
    <w:rsid w:val="00CE1258"/>
    <w:rsid w:val="00CE144C"/>
    <w:rsid w:val="00CE1452"/>
    <w:rsid w:val="00CE146D"/>
    <w:rsid w:val="00CE1528"/>
    <w:rsid w:val="00CE1793"/>
    <w:rsid w:val="00CE1A4D"/>
    <w:rsid w:val="00CE2BEB"/>
    <w:rsid w:val="00CE2E2E"/>
    <w:rsid w:val="00CE33E4"/>
    <w:rsid w:val="00CE3842"/>
    <w:rsid w:val="00CE3AEA"/>
    <w:rsid w:val="00CE3F50"/>
    <w:rsid w:val="00CE4040"/>
    <w:rsid w:val="00CE46E3"/>
    <w:rsid w:val="00CE4775"/>
    <w:rsid w:val="00CE47F6"/>
    <w:rsid w:val="00CE4800"/>
    <w:rsid w:val="00CE48D9"/>
    <w:rsid w:val="00CE49DC"/>
    <w:rsid w:val="00CE4BA8"/>
    <w:rsid w:val="00CE5035"/>
    <w:rsid w:val="00CE5686"/>
    <w:rsid w:val="00CE57AA"/>
    <w:rsid w:val="00CE6C19"/>
    <w:rsid w:val="00CE6CA8"/>
    <w:rsid w:val="00CE7F54"/>
    <w:rsid w:val="00CF030C"/>
    <w:rsid w:val="00CF0BB6"/>
    <w:rsid w:val="00CF185B"/>
    <w:rsid w:val="00CF1C6F"/>
    <w:rsid w:val="00CF1C9B"/>
    <w:rsid w:val="00CF260D"/>
    <w:rsid w:val="00CF2BA3"/>
    <w:rsid w:val="00CF2F60"/>
    <w:rsid w:val="00CF317C"/>
    <w:rsid w:val="00CF3423"/>
    <w:rsid w:val="00CF3702"/>
    <w:rsid w:val="00CF3F10"/>
    <w:rsid w:val="00CF493C"/>
    <w:rsid w:val="00CF4C38"/>
    <w:rsid w:val="00CF4CBB"/>
    <w:rsid w:val="00CF4E9F"/>
    <w:rsid w:val="00CF4F36"/>
    <w:rsid w:val="00CF504D"/>
    <w:rsid w:val="00CF53BA"/>
    <w:rsid w:val="00CF5525"/>
    <w:rsid w:val="00CF55DD"/>
    <w:rsid w:val="00CF57EA"/>
    <w:rsid w:val="00CF6A1C"/>
    <w:rsid w:val="00CF6C1C"/>
    <w:rsid w:val="00CF6CA5"/>
    <w:rsid w:val="00CF763C"/>
    <w:rsid w:val="00CF769B"/>
    <w:rsid w:val="00CF7872"/>
    <w:rsid w:val="00CF7EF1"/>
    <w:rsid w:val="00D00330"/>
    <w:rsid w:val="00D0089D"/>
    <w:rsid w:val="00D00F19"/>
    <w:rsid w:val="00D00FD6"/>
    <w:rsid w:val="00D012B0"/>
    <w:rsid w:val="00D013B8"/>
    <w:rsid w:val="00D01927"/>
    <w:rsid w:val="00D01BA1"/>
    <w:rsid w:val="00D01C9D"/>
    <w:rsid w:val="00D027E6"/>
    <w:rsid w:val="00D02E83"/>
    <w:rsid w:val="00D02EEB"/>
    <w:rsid w:val="00D03079"/>
    <w:rsid w:val="00D03616"/>
    <w:rsid w:val="00D03D64"/>
    <w:rsid w:val="00D03F7E"/>
    <w:rsid w:val="00D046F8"/>
    <w:rsid w:val="00D04EE4"/>
    <w:rsid w:val="00D051B3"/>
    <w:rsid w:val="00D05277"/>
    <w:rsid w:val="00D05841"/>
    <w:rsid w:val="00D0591C"/>
    <w:rsid w:val="00D05D30"/>
    <w:rsid w:val="00D05F60"/>
    <w:rsid w:val="00D05F8E"/>
    <w:rsid w:val="00D06435"/>
    <w:rsid w:val="00D07152"/>
    <w:rsid w:val="00D075BA"/>
    <w:rsid w:val="00D077F6"/>
    <w:rsid w:val="00D07BB7"/>
    <w:rsid w:val="00D07D2E"/>
    <w:rsid w:val="00D07E7D"/>
    <w:rsid w:val="00D10682"/>
    <w:rsid w:val="00D1071D"/>
    <w:rsid w:val="00D10AA7"/>
    <w:rsid w:val="00D10BDF"/>
    <w:rsid w:val="00D110CF"/>
    <w:rsid w:val="00D1186B"/>
    <w:rsid w:val="00D11A96"/>
    <w:rsid w:val="00D11C10"/>
    <w:rsid w:val="00D11C4D"/>
    <w:rsid w:val="00D12D3A"/>
    <w:rsid w:val="00D12DCB"/>
    <w:rsid w:val="00D132FA"/>
    <w:rsid w:val="00D1342B"/>
    <w:rsid w:val="00D13549"/>
    <w:rsid w:val="00D13D97"/>
    <w:rsid w:val="00D141AF"/>
    <w:rsid w:val="00D144D9"/>
    <w:rsid w:val="00D14519"/>
    <w:rsid w:val="00D14A52"/>
    <w:rsid w:val="00D1518B"/>
    <w:rsid w:val="00D15347"/>
    <w:rsid w:val="00D155FA"/>
    <w:rsid w:val="00D156EC"/>
    <w:rsid w:val="00D157C2"/>
    <w:rsid w:val="00D1582D"/>
    <w:rsid w:val="00D15D33"/>
    <w:rsid w:val="00D16AE5"/>
    <w:rsid w:val="00D16BBA"/>
    <w:rsid w:val="00D17276"/>
    <w:rsid w:val="00D172E7"/>
    <w:rsid w:val="00D1749C"/>
    <w:rsid w:val="00D174A4"/>
    <w:rsid w:val="00D17ACB"/>
    <w:rsid w:val="00D17FDC"/>
    <w:rsid w:val="00D20185"/>
    <w:rsid w:val="00D202A1"/>
    <w:rsid w:val="00D20569"/>
    <w:rsid w:val="00D20CE3"/>
    <w:rsid w:val="00D20FC0"/>
    <w:rsid w:val="00D21101"/>
    <w:rsid w:val="00D2120D"/>
    <w:rsid w:val="00D214C1"/>
    <w:rsid w:val="00D217A6"/>
    <w:rsid w:val="00D21D6D"/>
    <w:rsid w:val="00D21ECC"/>
    <w:rsid w:val="00D2279F"/>
    <w:rsid w:val="00D228CE"/>
    <w:rsid w:val="00D22BED"/>
    <w:rsid w:val="00D23477"/>
    <w:rsid w:val="00D23754"/>
    <w:rsid w:val="00D23E43"/>
    <w:rsid w:val="00D24261"/>
    <w:rsid w:val="00D24728"/>
    <w:rsid w:val="00D249A7"/>
    <w:rsid w:val="00D25027"/>
    <w:rsid w:val="00D254BA"/>
    <w:rsid w:val="00D25902"/>
    <w:rsid w:val="00D25BBB"/>
    <w:rsid w:val="00D25E91"/>
    <w:rsid w:val="00D25FCC"/>
    <w:rsid w:val="00D26059"/>
    <w:rsid w:val="00D260DE"/>
    <w:rsid w:val="00D26481"/>
    <w:rsid w:val="00D27DAD"/>
    <w:rsid w:val="00D27E8F"/>
    <w:rsid w:val="00D30117"/>
    <w:rsid w:val="00D30467"/>
    <w:rsid w:val="00D305E7"/>
    <w:rsid w:val="00D30A1B"/>
    <w:rsid w:val="00D30B44"/>
    <w:rsid w:val="00D31290"/>
    <w:rsid w:val="00D31519"/>
    <w:rsid w:val="00D31678"/>
    <w:rsid w:val="00D31CC7"/>
    <w:rsid w:val="00D31E7C"/>
    <w:rsid w:val="00D32C28"/>
    <w:rsid w:val="00D33166"/>
    <w:rsid w:val="00D337AF"/>
    <w:rsid w:val="00D3428F"/>
    <w:rsid w:val="00D345A8"/>
    <w:rsid w:val="00D3493F"/>
    <w:rsid w:val="00D34D18"/>
    <w:rsid w:val="00D35071"/>
    <w:rsid w:val="00D350D0"/>
    <w:rsid w:val="00D35FBE"/>
    <w:rsid w:val="00D3611F"/>
    <w:rsid w:val="00D3651C"/>
    <w:rsid w:val="00D36810"/>
    <w:rsid w:val="00D36975"/>
    <w:rsid w:val="00D36F83"/>
    <w:rsid w:val="00D37692"/>
    <w:rsid w:val="00D3794D"/>
    <w:rsid w:val="00D37B8F"/>
    <w:rsid w:val="00D37D8A"/>
    <w:rsid w:val="00D402AF"/>
    <w:rsid w:val="00D40574"/>
    <w:rsid w:val="00D40785"/>
    <w:rsid w:val="00D407D5"/>
    <w:rsid w:val="00D40EDA"/>
    <w:rsid w:val="00D41827"/>
    <w:rsid w:val="00D41A52"/>
    <w:rsid w:val="00D422B2"/>
    <w:rsid w:val="00D42845"/>
    <w:rsid w:val="00D429AF"/>
    <w:rsid w:val="00D42C63"/>
    <w:rsid w:val="00D4314F"/>
    <w:rsid w:val="00D4396C"/>
    <w:rsid w:val="00D44789"/>
    <w:rsid w:val="00D44B48"/>
    <w:rsid w:val="00D44BE1"/>
    <w:rsid w:val="00D45D9F"/>
    <w:rsid w:val="00D46800"/>
    <w:rsid w:val="00D46C7E"/>
    <w:rsid w:val="00D46D6E"/>
    <w:rsid w:val="00D4786B"/>
    <w:rsid w:val="00D47AA6"/>
    <w:rsid w:val="00D47E51"/>
    <w:rsid w:val="00D47E5C"/>
    <w:rsid w:val="00D5006E"/>
    <w:rsid w:val="00D50AE3"/>
    <w:rsid w:val="00D50B41"/>
    <w:rsid w:val="00D50E0E"/>
    <w:rsid w:val="00D5117A"/>
    <w:rsid w:val="00D51268"/>
    <w:rsid w:val="00D519B7"/>
    <w:rsid w:val="00D51D7E"/>
    <w:rsid w:val="00D51E3A"/>
    <w:rsid w:val="00D521C8"/>
    <w:rsid w:val="00D53449"/>
    <w:rsid w:val="00D53489"/>
    <w:rsid w:val="00D5349D"/>
    <w:rsid w:val="00D53597"/>
    <w:rsid w:val="00D54730"/>
    <w:rsid w:val="00D54C49"/>
    <w:rsid w:val="00D54FD2"/>
    <w:rsid w:val="00D55598"/>
    <w:rsid w:val="00D55730"/>
    <w:rsid w:val="00D557BF"/>
    <w:rsid w:val="00D55952"/>
    <w:rsid w:val="00D5649B"/>
    <w:rsid w:val="00D56517"/>
    <w:rsid w:val="00D56530"/>
    <w:rsid w:val="00D571B4"/>
    <w:rsid w:val="00D57331"/>
    <w:rsid w:val="00D57C26"/>
    <w:rsid w:val="00D57D0F"/>
    <w:rsid w:val="00D60732"/>
    <w:rsid w:val="00D60A29"/>
    <w:rsid w:val="00D60A7E"/>
    <w:rsid w:val="00D60C0A"/>
    <w:rsid w:val="00D60C9C"/>
    <w:rsid w:val="00D60E97"/>
    <w:rsid w:val="00D6116F"/>
    <w:rsid w:val="00D6123C"/>
    <w:rsid w:val="00D61464"/>
    <w:rsid w:val="00D618F4"/>
    <w:rsid w:val="00D62265"/>
    <w:rsid w:val="00D62302"/>
    <w:rsid w:val="00D62332"/>
    <w:rsid w:val="00D6289E"/>
    <w:rsid w:val="00D62B21"/>
    <w:rsid w:val="00D62EA2"/>
    <w:rsid w:val="00D63110"/>
    <w:rsid w:val="00D63159"/>
    <w:rsid w:val="00D6337A"/>
    <w:rsid w:val="00D63C8B"/>
    <w:rsid w:val="00D641D6"/>
    <w:rsid w:val="00D642F6"/>
    <w:rsid w:val="00D6471C"/>
    <w:rsid w:val="00D648B3"/>
    <w:rsid w:val="00D649A0"/>
    <w:rsid w:val="00D64CC0"/>
    <w:rsid w:val="00D64EBD"/>
    <w:rsid w:val="00D657FB"/>
    <w:rsid w:val="00D6586F"/>
    <w:rsid w:val="00D65888"/>
    <w:rsid w:val="00D66301"/>
    <w:rsid w:val="00D66425"/>
    <w:rsid w:val="00D667ED"/>
    <w:rsid w:val="00D66DEF"/>
    <w:rsid w:val="00D671B6"/>
    <w:rsid w:val="00D671C7"/>
    <w:rsid w:val="00D67288"/>
    <w:rsid w:val="00D6735E"/>
    <w:rsid w:val="00D6773D"/>
    <w:rsid w:val="00D6797C"/>
    <w:rsid w:val="00D701DD"/>
    <w:rsid w:val="00D70B1F"/>
    <w:rsid w:val="00D70C07"/>
    <w:rsid w:val="00D7121A"/>
    <w:rsid w:val="00D717AD"/>
    <w:rsid w:val="00D71C43"/>
    <w:rsid w:val="00D72659"/>
    <w:rsid w:val="00D728F7"/>
    <w:rsid w:val="00D72AC9"/>
    <w:rsid w:val="00D72C6E"/>
    <w:rsid w:val="00D72DDD"/>
    <w:rsid w:val="00D7419B"/>
    <w:rsid w:val="00D742B5"/>
    <w:rsid w:val="00D7500C"/>
    <w:rsid w:val="00D75106"/>
    <w:rsid w:val="00D7550A"/>
    <w:rsid w:val="00D7551D"/>
    <w:rsid w:val="00D755BE"/>
    <w:rsid w:val="00D756D8"/>
    <w:rsid w:val="00D75916"/>
    <w:rsid w:val="00D75F85"/>
    <w:rsid w:val="00D76425"/>
    <w:rsid w:val="00D76717"/>
    <w:rsid w:val="00D76D11"/>
    <w:rsid w:val="00D77059"/>
    <w:rsid w:val="00D77169"/>
    <w:rsid w:val="00D775FE"/>
    <w:rsid w:val="00D778A7"/>
    <w:rsid w:val="00D77DD3"/>
    <w:rsid w:val="00D77EB9"/>
    <w:rsid w:val="00D801BD"/>
    <w:rsid w:val="00D80209"/>
    <w:rsid w:val="00D8047B"/>
    <w:rsid w:val="00D8082D"/>
    <w:rsid w:val="00D80AF0"/>
    <w:rsid w:val="00D80F26"/>
    <w:rsid w:val="00D811FF"/>
    <w:rsid w:val="00D81445"/>
    <w:rsid w:val="00D8196A"/>
    <w:rsid w:val="00D81DE4"/>
    <w:rsid w:val="00D821B1"/>
    <w:rsid w:val="00D824F0"/>
    <w:rsid w:val="00D82509"/>
    <w:rsid w:val="00D825EA"/>
    <w:rsid w:val="00D826D8"/>
    <w:rsid w:val="00D82A17"/>
    <w:rsid w:val="00D82CF5"/>
    <w:rsid w:val="00D82CFA"/>
    <w:rsid w:val="00D83069"/>
    <w:rsid w:val="00D8322C"/>
    <w:rsid w:val="00D83349"/>
    <w:rsid w:val="00D83718"/>
    <w:rsid w:val="00D83960"/>
    <w:rsid w:val="00D83995"/>
    <w:rsid w:val="00D83CC0"/>
    <w:rsid w:val="00D83D5C"/>
    <w:rsid w:val="00D83D8F"/>
    <w:rsid w:val="00D84359"/>
    <w:rsid w:val="00D84607"/>
    <w:rsid w:val="00D84901"/>
    <w:rsid w:val="00D8490A"/>
    <w:rsid w:val="00D84EC7"/>
    <w:rsid w:val="00D85195"/>
    <w:rsid w:val="00D85B16"/>
    <w:rsid w:val="00D85D0B"/>
    <w:rsid w:val="00D86250"/>
    <w:rsid w:val="00D8651C"/>
    <w:rsid w:val="00D86879"/>
    <w:rsid w:val="00D86D67"/>
    <w:rsid w:val="00D86DE2"/>
    <w:rsid w:val="00D879B5"/>
    <w:rsid w:val="00D87E6A"/>
    <w:rsid w:val="00D87EFC"/>
    <w:rsid w:val="00D900D0"/>
    <w:rsid w:val="00D91654"/>
    <w:rsid w:val="00D91FB1"/>
    <w:rsid w:val="00D9239F"/>
    <w:rsid w:val="00D92907"/>
    <w:rsid w:val="00D92C6C"/>
    <w:rsid w:val="00D93ABA"/>
    <w:rsid w:val="00D941BF"/>
    <w:rsid w:val="00D944F3"/>
    <w:rsid w:val="00D945AB"/>
    <w:rsid w:val="00D945F1"/>
    <w:rsid w:val="00D9465D"/>
    <w:rsid w:val="00D949B3"/>
    <w:rsid w:val="00D94B48"/>
    <w:rsid w:val="00D94B6E"/>
    <w:rsid w:val="00D94FE8"/>
    <w:rsid w:val="00D952A7"/>
    <w:rsid w:val="00D95665"/>
    <w:rsid w:val="00D95F8F"/>
    <w:rsid w:val="00D962C7"/>
    <w:rsid w:val="00D966B5"/>
    <w:rsid w:val="00D96B93"/>
    <w:rsid w:val="00D96C5F"/>
    <w:rsid w:val="00D96D6A"/>
    <w:rsid w:val="00D96F97"/>
    <w:rsid w:val="00D973A5"/>
    <w:rsid w:val="00D97481"/>
    <w:rsid w:val="00D9748F"/>
    <w:rsid w:val="00D97611"/>
    <w:rsid w:val="00D97660"/>
    <w:rsid w:val="00D97C66"/>
    <w:rsid w:val="00D97CB9"/>
    <w:rsid w:val="00DA0020"/>
    <w:rsid w:val="00DA0303"/>
    <w:rsid w:val="00DA031C"/>
    <w:rsid w:val="00DA0499"/>
    <w:rsid w:val="00DA0886"/>
    <w:rsid w:val="00DA08A9"/>
    <w:rsid w:val="00DA0B00"/>
    <w:rsid w:val="00DA0D4B"/>
    <w:rsid w:val="00DA10A4"/>
    <w:rsid w:val="00DA11A7"/>
    <w:rsid w:val="00DA1B90"/>
    <w:rsid w:val="00DA1BEB"/>
    <w:rsid w:val="00DA2514"/>
    <w:rsid w:val="00DA282C"/>
    <w:rsid w:val="00DA316A"/>
    <w:rsid w:val="00DA32C9"/>
    <w:rsid w:val="00DA3447"/>
    <w:rsid w:val="00DA36FF"/>
    <w:rsid w:val="00DA40D6"/>
    <w:rsid w:val="00DA42B5"/>
    <w:rsid w:val="00DA4852"/>
    <w:rsid w:val="00DA491E"/>
    <w:rsid w:val="00DA4AD7"/>
    <w:rsid w:val="00DA518E"/>
    <w:rsid w:val="00DA5B20"/>
    <w:rsid w:val="00DA5BC1"/>
    <w:rsid w:val="00DA6FE2"/>
    <w:rsid w:val="00DA70B4"/>
    <w:rsid w:val="00DA78F5"/>
    <w:rsid w:val="00DB0556"/>
    <w:rsid w:val="00DB0959"/>
    <w:rsid w:val="00DB0C24"/>
    <w:rsid w:val="00DB0CC6"/>
    <w:rsid w:val="00DB12A7"/>
    <w:rsid w:val="00DB1B42"/>
    <w:rsid w:val="00DB1E9B"/>
    <w:rsid w:val="00DB2476"/>
    <w:rsid w:val="00DB24F0"/>
    <w:rsid w:val="00DB2761"/>
    <w:rsid w:val="00DB298B"/>
    <w:rsid w:val="00DB2ABE"/>
    <w:rsid w:val="00DB31A4"/>
    <w:rsid w:val="00DB32BF"/>
    <w:rsid w:val="00DB3ABE"/>
    <w:rsid w:val="00DB3D05"/>
    <w:rsid w:val="00DB3EB3"/>
    <w:rsid w:val="00DB444F"/>
    <w:rsid w:val="00DB45A6"/>
    <w:rsid w:val="00DB566B"/>
    <w:rsid w:val="00DB5B03"/>
    <w:rsid w:val="00DB6078"/>
    <w:rsid w:val="00DB63A4"/>
    <w:rsid w:val="00DB6812"/>
    <w:rsid w:val="00DB6881"/>
    <w:rsid w:val="00DB6BF7"/>
    <w:rsid w:val="00DB75A1"/>
    <w:rsid w:val="00DB76D9"/>
    <w:rsid w:val="00DB7950"/>
    <w:rsid w:val="00DB7A60"/>
    <w:rsid w:val="00DB7A82"/>
    <w:rsid w:val="00DB7FD6"/>
    <w:rsid w:val="00DC0E99"/>
    <w:rsid w:val="00DC1052"/>
    <w:rsid w:val="00DC1120"/>
    <w:rsid w:val="00DC162F"/>
    <w:rsid w:val="00DC28B3"/>
    <w:rsid w:val="00DC2E09"/>
    <w:rsid w:val="00DC2E71"/>
    <w:rsid w:val="00DC2F74"/>
    <w:rsid w:val="00DC330A"/>
    <w:rsid w:val="00DC3A3D"/>
    <w:rsid w:val="00DC3C56"/>
    <w:rsid w:val="00DC3F1B"/>
    <w:rsid w:val="00DC42D1"/>
    <w:rsid w:val="00DC4A62"/>
    <w:rsid w:val="00DC4C60"/>
    <w:rsid w:val="00DC4D9F"/>
    <w:rsid w:val="00DC4E3F"/>
    <w:rsid w:val="00DC53AE"/>
    <w:rsid w:val="00DC543A"/>
    <w:rsid w:val="00DC594F"/>
    <w:rsid w:val="00DC5F4B"/>
    <w:rsid w:val="00DC60F0"/>
    <w:rsid w:val="00DC62E2"/>
    <w:rsid w:val="00DC6930"/>
    <w:rsid w:val="00DC6A5E"/>
    <w:rsid w:val="00DC6F63"/>
    <w:rsid w:val="00DC7221"/>
    <w:rsid w:val="00DC7D51"/>
    <w:rsid w:val="00DC7D87"/>
    <w:rsid w:val="00DD0AD5"/>
    <w:rsid w:val="00DD0F62"/>
    <w:rsid w:val="00DD137C"/>
    <w:rsid w:val="00DD15B4"/>
    <w:rsid w:val="00DD1C35"/>
    <w:rsid w:val="00DD1CA1"/>
    <w:rsid w:val="00DD20B7"/>
    <w:rsid w:val="00DD233A"/>
    <w:rsid w:val="00DD236F"/>
    <w:rsid w:val="00DD254F"/>
    <w:rsid w:val="00DD2820"/>
    <w:rsid w:val="00DD3561"/>
    <w:rsid w:val="00DD35C1"/>
    <w:rsid w:val="00DD3DEC"/>
    <w:rsid w:val="00DD40B1"/>
    <w:rsid w:val="00DD443E"/>
    <w:rsid w:val="00DD4440"/>
    <w:rsid w:val="00DD46D9"/>
    <w:rsid w:val="00DD473E"/>
    <w:rsid w:val="00DD487E"/>
    <w:rsid w:val="00DD4ABA"/>
    <w:rsid w:val="00DD4E8B"/>
    <w:rsid w:val="00DD53F6"/>
    <w:rsid w:val="00DD54CA"/>
    <w:rsid w:val="00DD57EB"/>
    <w:rsid w:val="00DD5DE3"/>
    <w:rsid w:val="00DD5F50"/>
    <w:rsid w:val="00DD7206"/>
    <w:rsid w:val="00DD77FA"/>
    <w:rsid w:val="00DD77FE"/>
    <w:rsid w:val="00DD78EF"/>
    <w:rsid w:val="00DD7CC3"/>
    <w:rsid w:val="00DD7D54"/>
    <w:rsid w:val="00DE04F8"/>
    <w:rsid w:val="00DE063A"/>
    <w:rsid w:val="00DE07DC"/>
    <w:rsid w:val="00DE096C"/>
    <w:rsid w:val="00DE0BE7"/>
    <w:rsid w:val="00DE0FBB"/>
    <w:rsid w:val="00DE1113"/>
    <w:rsid w:val="00DE122E"/>
    <w:rsid w:val="00DE1296"/>
    <w:rsid w:val="00DE12AB"/>
    <w:rsid w:val="00DE13B4"/>
    <w:rsid w:val="00DE1665"/>
    <w:rsid w:val="00DE1872"/>
    <w:rsid w:val="00DE1C68"/>
    <w:rsid w:val="00DE1FFC"/>
    <w:rsid w:val="00DE2D03"/>
    <w:rsid w:val="00DE313A"/>
    <w:rsid w:val="00DE325B"/>
    <w:rsid w:val="00DE368D"/>
    <w:rsid w:val="00DE3888"/>
    <w:rsid w:val="00DE38DF"/>
    <w:rsid w:val="00DE3B13"/>
    <w:rsid w:val="00DE3B47"/>
    <w:rsid w:val="00DE3B9C"/>
    <w:rsid w:val="00DE3D20"/>
    <w:rsid w:val="00DE4028"/>
    <w:rsid w:val="00DE43D9"/>
    <w:rsid w:val="00DE4710"/>
    <w:rsid w:val="00DE4AF1"/>
    <w:rsid w:val="00DE4E7D"/>
    <w:rsid w:val="00DE5FE7"/>
    <w:rsid w:val="00DE6929"/>
    <w:rsid w:val="00DE69A9"/>
    <w:rsid w:val="00DE6B25"/>
    <w:rsid w:val="00DE6CFB"/>
    <w:rsid w:val="00DE6FDF"/>
    <w:rsid w:val="00DE7017"/>
    <w:rsid w:val="00DE7101"/>
    <w:rsid w:val="00DE710E"/>
    <w:rsid w:val="00DE71A1"/>
    <w:rsid w:val="00DE7218"/>
    <w:rsid w:val="00DE74CA"/>
    <w:rsid w:val="00DE76B0"/>
    <w:rsid w:val="00DE76B9"/>
    <w:rsid w:val="00DE7744"/>
    <w:rsid w:val="00DE78F7"/>
    <w:rsid w:val="00DF00A7"/>
    <w:rsid w:val="00DF01F3"/>
    <w:rsid w:val="00DF0226"/>
    <w:rsid w:val="00DF0540"/>
    <w:rsid w:val="00DF05E8"/>
    <w:rsid w:val="00DF0C34"/>
    <w:rsid w:val="00DF1356"/>
    <w:rsid w:val="00DF19C1"/>
    <w:rsid w:val="00DF19F3"/>
    <w:rsid w:val="00DF1B6C"/>
    <w:rsid w:val="00DF2126"/>
    <w:rsid w:val="00DF24DE"/>
    <w:rsid w:val="00DF26E9"/>
    <w:rsid w:val="00DF3364"/>
    <w:rsid w:val="00DF4392"/>
    <w:rsid w:val="00DF49DC"/>
    <w:rsid w:val="00DF4CD8"/>
    <w:rsid w:val="00DF4DD0"/>
    <w:rsid w:val="00DF505B"/>
    <w:rsid w:val="00DF55AA"/>
    <w:rsid w:val="00DF56ED"/>
    <w:rsid w:val="00DF5825"/>
    <w:rsid w:val="00DF59A6"/>
    <w:rsid w:val="00DF5DEB"/>
    <w:rsid w:val="00DF6143"/>
    <w:rsid w:val="00DF631B"/>
    <w:rsid w:val="00DF67E9"/>
    <w:rsid w:val="00DF6889"/>
    <w:rsid w:val="00DF68A6"/>
    <w:rsid w:val="00DF6C1A"/>
    <w:rsid w:val="00DF6F5F"/>
    <w:rsid w:val="00DF726E"/>
    <w:rsid w:val="00DF74C5"/>
    <w:rsid w:val="00DF76CA"/>
    <w:rsid w:val="00DF78FB"/>
    <w:rsid w:val="00DF7B7F"/>
    <w:rsid w:val="00DF7BFE"/>
    <w:rsid w:val="00E004C1"/>
    <w:rsid w:val="00E005BB"/>
    <w:rsid w:val="00E006CC"/>
    <w:rsid w:val="00E00741"/>
    <w:rsid w:val="00E00A5B"/>
    <w:rsid w:val="00E00D62"/>
    <w:rsid w:val="00E00DEA"/>
    <w:rsid w:val="00E00FD5"/>
    <w:rsid w:val="00E011AA"/>
    <w:rsid w:val="00E0140B"/>
    <w:rsid w:val="00E01861"/>
    <w:rsid w:val="00E019D5"/>
    <w:rsid w:val="00E01D76"/>
    <w:rsid w:val="00E02095"/>
    <w:rsid w:val="00E02BB8"/>
    <w:rsid w:val="00E02C28"/>
    <w:rsid w:val="00E03175"/>
    <w:rsid w:val="00E0334B"/>
    <w:rsid w:val="00E04989"/>
    <w:rsid w:val="00E04CC1"/>
    <w:rsid w:val="00E04FDE"/>
    <w:rsid w:val="00E05350"/>
    <w:rsid w:val="00E053E7"/>
    <w:rsid w:val="00E05851"/>
    <w:rsid w:val="00E06001"/>
    <w:rsid w:val="00E0614C"/>
    <w:rsid w:val="00E0636B"/>
    <w:rsid w:val="00E06788"/>
    <w:rsid w:val="00E06EC2"/>
    <w:rsid w:val="00E07565"/>
    <w:rsid w:val="00E10C9C"/>
    <w:rsid w:val="00E11F9C"/>
    <w:rsid w:val="00E125C6"/>
    <w:rsid w:val="00E125F7"/>
    <w:rsid w:val="00E126E4"/>
    <w:rsid w:val="00E1410F"/>
    <w:rsid w:val="00E1464B"/>
    <w:rsid w:val="00E15017"/>
    <w:rsid w:val="00E151FF"/>
    <w:rsid w:val="00E1588E"/>
    <w:rsid w:val="00E15C3B"/>
    <w:rsid w:val="00E162B6"/>
    <w:rsid w:val="00E16304"/>
    <w:rsid w:val="00E16358"/>
    <w:rsid w:val="00E16983"/>
    <w:rsid w:val="00E1739F"/>
    <w:rsid w:val="00E17424"/>
    <w:rsid w:val="00E1762B"/>
    <w:rsid w:val="00E1780F"/>
    <w:rsid w:val="00E178DD"/>
    <w:rsid w:val="00E17B82"/>
    <w:rsid w:val="00E17C52"/>
    <w:rsid w:val="00E17FDC"/>
    <w:rsid w:val="00E20A03"/>
    <w:rsid w:val="00E21089"/>
    <w:rsid w:val="00E210E1"/>
    <w:rsid w:val="00E219D3"/>
    <w:rsid w:val="00E21B67"/>
    <w:rsid w:val="00E220CE"/>
    <w:rsid w:val="00E22B12"/>
    <w:rsid w:val="00E23361"/>
    <w:rsid w:val="00E23385"/>
    <w:rsid w:val="00E2348B"/>
    <w:rsid w:val="00E23DC4"/>
    <w:rsid w:val="00E23F90"/>
    <w:rsid w:val="00E247D9"/>
    <w:rsid w:val="00E24815"/>
    <w:rsid w:val="00E24AAC"/>
    <w:rsid w:val="00E24BCD"/>
    <w:rsid w:val="00E24C97"/>
    <w:rsid w:val="00E2572C"/>
    <w:rsid w:val="00E258BC"/>
    <w:rsid w:val="00E25AD2"/>
    <w:rsid w:val="00E25B20"/>
    <w:rsid w:val="00E25EE0"/>
    <w:rsid w:val="00E25FA3"/>
    <w:rsid w:val="00E26A4C"/>
    <w:rsid w:val="00E26A7D"/>
    <w:rsid w:val="00E26B1C"/>
    <w:rsid w:val="00E2733D"/>
    <w:rsid w:val="00E273D3"/>
    <w:rsid w:val="00E27529"/>
    <w:rsid w:val="00E30C19"/>
    <w:rsid w:val="00E30ED2"/>
    <w:rsid w:val="00E3116D"/>
    <w:rsid w:val="00E3116E"/>
    <w:rsid w:val="00E31584"/>
    <w:rsid w:val="00E31A94"/>
    <w:rsid w:val="00E31BB6"/>
    <w:rsid w:val="00E31FF0"/>
    <w:rsid w:val="00E332AB"/>
    <w:rsid w:val="00E343D6"/>
    <w:rsid w:val="00E34AFA"/>
    <w:rsid w:val="00E3511A"/>
    <w:rsid w:val="00E35451"/>
    <w:rsid w:val="00E355D1"/>
    <w:rsid w:val="00E3632E"/>
    <w:rsid w:val="00E363F0"/>
    <w:rsid w:val="00E36776"/>
    <w:rsid w:val="00E36D7E"/>
    <w:rsid w:val="00E36FBB"/>
    <w:rsid w:val="00E371C5"/>
    <w:rsid w:val="00E37494"/>
    <w:rsid w:val="00E37663"/>
    <w:rsid w:val="00E376BF"/>
    <w:rsid w:val="00E3774D"/>
    <w:rsid w:val="00E377A6"/>
    <w:rsid w:val="00E3787C"/>
    <w:rsid w:val="00E37E61"/>
    <w:rsid w:val="00E40AF5"/>
    <w:rsid w:val="00E40CF0"/>
    <w:rsid w:val="00E40EB3"/>
    <w:rsid w:val="00E4101C"/>
    <w:rsid w:val="00E416A0"/>
    <w:rsid w:val="00E416AD"/>
    <w:rsid w:val="00E42EEF"/>
    <w:rsid w:val="00E4324B"/>
    <w:rsid w:val="00E4350E"/>
    <w:rsid w:val="00E43E68"/>
    <w:rsid w:val="00E445E8"/>
    <w:rsid w:val="00E44ED9"/>
    <w:rsid w:val="00E44FDD"/>
    <w:rsid w:val="00E454E2"/>
    <w:rsid w:val="00E45869"/>
    <w:rsid w:val="00E458FF"/>
    <w:rsid w:val="00E4599E"/>
    <w:rsid w:val="00E459C1"/>
    <w:rsid w:val="00E45E12"/>
    <w:rsid w:val="00E46472"/>
    <w:rsid w:val="00E4679F"/>
    <w:rsid w:val="00E46890"/>
    <w:rsid w:val="00E46E66"/>
    <w:rsid w:val="00E46EF4"/>
    <w:rsid w:val="00E47179"/>
    <w:rsid w:val="00E47225"/>
    <w:rsid w:val="00E472BF"/>
    <w:rsid w:val="00E47701"/>
    <w:rsid w:val="00E4787F"/>
    <w:rsid w:val="00E478DE"/>
    <w:rsid w:val="00E500CC"/>
    <w:rsid w:val="00E50592"/>
    <w:rsid w:val="00E50598"/>
    <w:rsid w:val="00E50949"/>
    <w:rsid w:val="00E50A96"/>
    <w:rsid w:val="00E50B65"/>
    <w:rsid w:val="00E50B77"/>
    <w:rsid w:val="00E50ECC"/>
    <w:rsid w:val="00E51919"/>
    <w:rsid w:val="00E51E9D"/>
    <w:rsid w:val="00E51F18"/>
    <w:rsid w:val="00E523AE"/>
    <w:rsid w:val="00E52873"/>
    <w:rsid w:val="00E52E82"/>
    <w:rsid w:val="00E52F76"/>
    <w:rsid w:val="00E52F99"/>
    <w:rsid w:val="00E53608"/>
    <w:rsid w:val="00E537FF"/>
    <w:rsid w:val="00E547FC"/>
    <w:rsid w:val="00E54805"/>
    <w:rsid w:val="00E54A12"/>
    <w:rsid w:val="00E556FA"/>
    <w:rsid w:val="00E557C1"/>
    <w:rsid w:val="00E55B11"/>
    <w:rsid w:val="00E55DE1"/>
    <w:rsid w:val="00E55F54"/>
    <w:rsid w:val="00E56074"/>
    <w:rsid w:val="00E56446"/>
    <w:rsid w:val="00E565FB"/>
    <w:rsid w:val="00E56885"/>
    <w:rsid w:val="00E568F9"/>
    <w:rsid w:val="00E56AC9"/>
    <w:rsid w:val="00E577BF"/>
    <w:rsid w:val="00E60424"/>
    <w:rsid w:val="00E60645"/>
    <w:rsid w:val="00E60D15"/>
    <w:rsid w:val="00E60DC6"/>
    <w:rsid w:val="00E619D0"/>
    <w:rsid w:val="00E61A6D"/>
    <w:rsid w:val="00E61C92"/>
    <w:rsid w:val="00E61DCD"/>
    <w:rsid w:val="00E62399"/>
    <w:rsid w:val="00E628A9"/>
    <w:rsid w:val="00E62FF1"/>
    <w:rsid w:val="00E63102"/>
    <w:rsid w:val="00E6323D"/>
    <w:rsid w:val="00E633B7"/>
    <w:rsid w:val="00E6349E"/>
    <w:rsid w:val="00E634ED"/>
    <w:rsid w:val="00E63521"/>
    <w:rsid w:val="00E63886"/>
    <w:rsid w:val="00E645CF"/>
    <w:rsid w:val="00E649B1"/>
    <w:rsid w:val="00E64E66"/>
    <w:rsid w:val="00E64F07"/>
    <w:rsid w:val="00E64FE5"/>
    <w:rsid w:val="00E65022"/>
    <w:rsid w:val="00E65BAD"/>
    <w:rsid w:val="00E65CE7"/>
    <w:rsid w:val="00E65DDE"/>
    <w:rsid w:val="00E669C4"/>
    <w:rsid w:val="00E66EAD"/>
    <w:rsid w:val="00E671E7"/>
    <w:rsid w:val="00E67264"/>
    <w:rsid w:val="00E67400"/>
    <w:rsid w:val="00E6740C"/>
    <w:rsid w:val="00E67BC6"/>
    <w:rsid w:val="00E70450"/>
    <w:rsid w:val="00E704C5"/>
    <w:rsid w:val="00E70DF0"/>
    <w:rsid w:val="00E70E21"/>
    <w:rsid w:val="00E70FC1"/>
    <w:rsid w:val="00E70FCB"/>
    <w:rsid w:val="00E71027"/>
    <w:rsid w:val="00E712FE"/>
    <w:rsid w:val="00E714DD"/>
    <w:rsid w:val="00E71691"/>
    <w:rsid w:val="00E71D99"/>
    <w:rsid w:val="00E72466"/>
    <w:rsid w:val="00E72467"/>
    <w:rsid w:val="00E72E7C"/>
    <w:rsid w:val="00E72ED0"/>
    <w:rsid w:val="00E73259"/>
    <w:rsid w:val="00E7326C"/>
    <w:rsid w:val="00E73AC1"/>
    <w:rsid w:val="00E73DE2"/>
    <w:rsid w:val="00E73EAC"/>
    <w:rsid w:val="00E7411B"/>
    <w:rsid w:val="00E74DC6"/>
    <w:rsid w:val="00E7563A"/>
    <w:rsid w:val="00E759AB"/>
    <w:rsid w:val="00E75ACD"/>
    <w:rsid w:val="00E75BB9"/>
    <w:rsid w:val="00E75DFA"/>
    <w:rsid w:val="00E762BC"/>
    <w:rsid w:val="00E76ADF"/>
    <w:rsid w:val="00E76CCD"/>
    <w:rsid w:val="00E77017"/>
    <w:rsid w:val="00E778C2"/>
    <w:rsid w:val="00E77DDF"/>
    <w:rsid w:val="00E77ED4"/>
    <w:rsid w:val="00E77F65"/>
    <w:rsid w:val="00E803C4"/>
    <w:rsid w:val="00E80E1C"/>
    <w:rsid w:val="00E80E81"/>
    <w:rsid w:val="00E81382"/>
    <w:rsid w:val="00E815A0"/>
    <w:rsid w:val="00E81AA1"/>
    <w:rsid w:val="00E821BF"/>
    <w:rsid w:val="00E82254"/>
    <w:rsid w:val="00E8249F"/>
    <w:rsid w:val="00E82A92"/>
    <w:rsid w:val="00E835E9"/>
    <w:rsid w:val="00E840AA"/>
    <w:rsid w:val="00E8426B"/>
    <w:rsid w:val="00E84D87"/>
    <w:rsid w:val="00E84E7D"/>
    <w:rsid w:val="00E84FAF"/>
    <w:rsid w:val="00E85252"/>
    <w:rsid w:val="00E854F7"/>
    <w:rsid w:val="00E85665"/>
    <w:rsid w:val="00E858C0"/>
    <w:rsid w:val="00E86649"/>
    <w:rsid w:val="00E866DE"/>
    <w:rsid w:val="00E86818"/>
    <w:rsid w:val="00E8692D"/>
    <w:rsid w:val="00E87077"/>
    <w:rsid w:val="00E87241"/>
    <w:rsid w:val="00E87299"/>
    <w:rsid w:val="00E87457"/>
    <w:rsid w:val="00E87914"/>
    <w:rsid w:val="00E879AB"/>
    <w:rsid w:val="00E879C6"/>
    <w:rsid w:val="00E87CEE"/>
    <w:rsid w:val="00E908C9"/>
    <w:rsid w:val="00E909DF"/>
    <w:rsid w:val="00E90EE0"/>
    <w:rsid w:val="00E9104A"/>
    <w:rsid w:val="00E91DCA"/>
    <w:rsid w:val="00E924B1"/>
    <w:rsid w:val="00E92633"/>
    <w:rsid w:val="00E92636"/>
    <w:rsid w:val="00E92647"/>
    <w:rsid w:val="00E93429"/>
    <w:rsid w:val="00E93471"/>
    <w:rsid w:val="00E93C99"/>
    <w:rsid w:val="00E93F0D"/>
    <w:rsid w:val="00E940B0"/>
    <w:rsid w:val="00E941DC"/>
    <w:rsid w:val="00E944E8"/>
    <w:rsid w:val="00E94B20"/>
    <w:rsid w:val="00E95497"/>
    <w:rsid w:val="00E95510"/>
    <w:rsid w:val="00E95789"/>
    <w:rsid w:val="00E959CB"/>
    <w:rsid w:val="00E95C29"/>
    <w:rsid w:val="00E95FC7"/>
    <w:rsid w:val="00E968DD"/>
    <w:rsid w:val="00E96B0B"/>
    <w:rsid w:val="00E978DF"/>
    <w:rsid w:val="00E97D2F"/>
    <w:rsid w:val="00E97D41"/>
    <w:rsid w:val="00EA02BF"/>
    <w:rsid w:val="00EA03AE"/>
    <w:rsid w:val="00EA120A"/>
    <w:rsid w:val="00EA1427"/>
    <w:rsid w:val="00EA1480"/>
    <w:rsid w:val="00EA1BB3"/>
    <w:rsid w:val="00EA1BFA"/>
    <w:rsid w:val="00EA1C01"/>
    <w:rsid w:val="00EA1EE4"/>
    <w:rsid w:val="00EA2193"/>
    <w:rsid w:val="00EA2ABA"/>
    <w:rsid w:val="00EA2E7A"/>
    <w:rsid w:val="00EA355B"/>
    <w:rsid w:val="00EA35F0"/>
    <w:rsid w:val="00EA37DA"/>
    <w:rsid w:val="00EA38B4"/>
    <w:rsid w:val="00EA3ACF"/>
    <w:rsid w:val="00EA3BAC"/>
    <w:rsid w:val="00EA3C03"/>
    <w:rsid w:val="00EA4D22"/>
    <w:rsid w:val="00EA5046"/>
    <w:rsid w:val="00EA5078"/>
    <w:rsid w:val="00EA546C"/>
    <w:rsid w:val="00EA5653"/>
    <w:rsid w:val="00EA57A0"/>
    <w:rsid w:val="00EA5B26"/>
    <w:rsid w:val="00EA5B42"/>
    <w:rsid w:val="00EA5C6D"/>
    <w:rsid w:val="00EA5E7A"/>
    <w:rsid w:val="00EA6242"/>
    <w:rsid w:val="00EA6476"/>
    <w:rsid w:val="00EA658F"/>
    <w:rsid w:val="00EA6B4F"/>
    <w:rsid w:val="00EA70FF"/>
    <w:rsid w:val="00EA7516"/>
    <w:rsid w:val="00EA7911"/>
    <w:rsid w:val="00EA7ACC"/>
    <w:rsid w:val="00EA7BC3"/>
    <w:rsid w:val="00EA7C36"/>
    <w:rsid w:val="00EA7F30"/>
    <w:rsid w:val="00EB0621"/>
    <w:rsid w:val="00EB0884"/>
    <w:rsid w:val="00EB0BA0"/>
    <w:rsid w:val="00EB0C67"/>
    <w:rsid w:val="00EB0CCE"/>
    <w:rsid w:val="00EB1132"/>
    <w:rsid w:val="00EB16B6"/>
    <w:rsid w:val="00EB1C61"/>
    <w:rsid w:val="00EB1EB7"/>
    <w:rsid w:val="00EB264B"/>
    <w:rsid w:val="00EB294A"/>
    <w:rsid w:val="00EB29A3"/>
    <w:rsid w:val="00EB30C6"/>
    <w:rsid w:val="00EB30C9"/>
    <w:rsid w:val="00EB31F4"/>
    <w:rsid w:val="00EB37BB"/>
    <w:rsid w:val="00EB37BF"/>
    <w:rsid w:val="00EB3979"/>
    <w:rsid w:val="00EB4370"/>
    <w:rsid w:val="00EB4E91"/>
    <w:rsid w:val="00EB5A61"/>
    <w:rsid w:val="00EB5A71"/>
    <w:rsid w:val="00EB5C36"/>
    <w:rsid w:val="00EB6610"/>
    <w:rsid w:val="00EB6D36"/>
    <w:rsid w:val="00EB74D6"/>
    <w:rsid w:val="00EB791C"/>
    <w:rsid w:val="00EB7C69"/>
    <w:rsid w:val="00EB7CB2"/>
    <w:rsid w:val="00EC0056"/>
    <w:rsid w:val="00EC0126"/>
    <w:rsid w:val="00EC01E4"/>
    <w:rsid w:val="00EC08A2"/>
    <w:rsid w:val="00EC1266"/>
    <w:rsid w:val="00EC128F"/>
    <w:rsid w:val="00EC14ED"/>
    <w:rsid w:val="00EC17F3"/>
    <w:rsid w:val="00EC1E0F"/>
    <w:rsid w:val="00EC24AB"/>
    <w:rsid w:val="00EC26B0"/>
    <w:rsid w:val="00EC2EE9"/>
    <w:rsid w:val="00EC3561"/>
    <w:rsid w:val="00EC3724"/>
    <w:rsid w:val="00EC3897"/>
    <w:rsid w:val="00EC3ACE"/>
    <w:rsid w:val="00EC3E42"/>
    <w:rsid w:val="00EC3F59"/>
    <w:rsid w:val="00EC47E2"/>
    <w:rsid w:val="00EC4D04"/>
    <w:rsid w:val="00EC4E92"/>
    <w:rsid w:val="00EC4FED"/>
    <w:rsid w:val="00EC510C"/>
    <w:rsid w:val="00EC5A36"/>
    <w:rsid w:val="00EC5F23"/>
    <w:rsid w:val="00EC6508"/>
    <w:rsid w:val="00EC65AA"/>
    <w:rsid w:val="00EC65EC"/>
    <w:rsid w:val="00EC66BD"/>
    <w:rsid w:val="00EC6B24"/>
    <w:rsid w:val="00EC7073"/>
    <w:rsid w:val="00EC79B8"/>
    <w:rsid w:val="00EC7DCC"/>
    <w:rsid w:val="00ED028B"/>
    <w:rsid w:val="00ED0680"/>
    <w:rsid w:val="00ED0CEB"/>
    <w:rsid w:val="00ED165C"/>
    <w:rsid w:val="00ED1876"/>
    <w:rsid w:val="00ED3388"/>
    <w:rsid w:val="00ED3D3C"/>
    <w:rsid w:val="00ED409D"/>
    <w:rsid w:val="00ED4379"/>
    <w:rsid w:val="00ED440C"/>
    <w:rsid w:val="00ED508B"/>
    <w:rsid w:val="00ED5331"/>
    <w:rsid w:val="00ED5FAE"/>
    <w:rsid w:val="00ED624F"/>
    <w:rsid w:val="00ED67DC"/>
    <w:rsid w:val="00ED6954"/>
    <w:rsid w:val="00ED6F8F"/>
    <w:rsid w:val="00ED7160"/>
    <w:rsid w:val="00ED74C3"/>
    <w:rsid w:val="00ED7E94"/>
    <w:rsid w:val="00EE00ED"/>
    <w:rsid w:val="00EE052C"/>
    <w:rsid w:val="00EE0C7E"/>
    <w:rsid w:val="00EE0D2F"/>
    <w:rsid w:val="00EE15CE"/>
    <w:rsid w:val="00EE160F"/>
    <w:rsid w:val="00EE1817"/>
    <w:rsid w:val="00EE1C69"/>
    <w:rsid w:val="00EE2198"/>
    <w:rsid w:val="00EE2312"/>
    <w:rsid w:val="00EE2320"/>
    <w:rsid w:val="00EE23E0"/>
    <w:rsid w:val="00EE24BB"/>
    <w:rsid w:val="00EE2BC4"/>
    <w:rsid w:val="00EE2BFC"/>
    <w:rsid w:val="00EE3379"/>
    <w:rsid w:val="00EE381D"/>
    <w:rsid w:val="00EE3AE1"/>
    <w:rsid w:val="00EE4238"/>
    <w:rsid w:val="00EE4517"/>
    <w:rsid w:val="00EE510A"/>
    <w:rsid w:val="00EE52D6"/>
    <w:rsid w:val="00EE5512"/>
    <w:rsid w:val="00EE58B1"/>
    <w:rsid w:val="00EE62D9"/>
    <w:rsid w:val="00EE66BC"/>
    <w:rsid w:val="00EE6747"/>
    <w:rsid w:val="00EE6A85"/>
    <w:rsid w:val="00EE6CE7"/>
    <w:rsid w:val="00EE7410"/>
    <w:rsid w:val="00EE7494"/>
    <w:rsid w:val="00EE763B"/>
    <w:rsid w:val="00EE77F7"/>
    <w:rsid w:val="00EE7A1A"/>
    <w:rsid w:val="00EE7DB4"/>
    <w:rsid w:val="00EE7E2F"/>
    <w:rsid w:val="00EE7E6A"/>
    <w:rsid w:val="00EF0435"/>
    <w:rsid w:val="00EF0683"/>
    <w:rsid w:val="00EF0842"/>
    <w:rsid w:val="00EF0CCA"/>
    <w:rsid w:val="00EF0D2B"/>
    <w:rsid w:val="00EF11AE"/>
    <w:rsid w:val="00EF13AE"/>
    <w:rsid w:val="00EF17C7"/>
    <w:rsid w:val="00EF1840"/>
    <w:rsid w:val="00EF1969"/>
    <w:rsid w:val="00EF2291"/>
    <w:rsid w:val="00EF2589"/>
    <w:rsid w:val="00EF25EC"/>
    <w:rsid w:val="00EF27D0"/>
    <w:rsid w:val="00EF2EE1"/>
    <w:rsid w:val="00EF309D"/>
    <w:rsid w:val="00EF34B9"/>
    <w:rsid w:val="00EF383F"/>
    <w:rsid w:val="00EF3C5E"/>
    <w:rsid w:val="00EF3D99"/>
    <w:rsid w:val="00EF40C9"/>
    <w:rsid w:val="00EF41B1"/>
    <w:rsid w:val="00EF4223"/>
    <w:rsid w:val="00EF444A"/>
    <w:rsid w:val="00EF4491"/>
    <w:rsid w:val="00EF473A"/>
    <w:rsid w:val="00EF47EC"/>
    <w:rsid w:val="00EF49C9"/>
    <w:rsid w:val="00EF49E7"/>
    <w:rsid w:val="00EF4B45"/>
    <w:rsid w:val="00EF573C"/>
    <w:rsid w:val="00EF6541"/>
    <w:rsid w:val="00EF65E9"/>
    <w:rsid w:val="00EF71EF"/>
    <w:rsid w:val="00EF7BE6"/>
    <w:rsid w:val="00EF7F3C"/>
    <w:rsid w:val="00F011E4"/>
    <w:rsid w:val="00F02B7B"/>
    <w:rsid w:val="00F0311C"/>
    <w:rsid w:val="00F042A2"/>
    <w:rsid w:val="00F04457"/>
    <w:rsid w:val="00F04568"/>
    <w:rsid w:val="00F04949"/>
    <w:rsid w:val="00F050D3"/>
    <w:rsid w:val="00F0521E"/>
    <w:rsid w:val="00F05EEE"/>
    <w:rsid w:val="00F06558"/>
    <w:rsid w:val="00F06707"/>
    <w:rsid w:val="00F0678A"/>
    <w:rsid w:val="00F06DA1"/>
    <w:rsid w:val="00F074BF"/>
    <w:rsid w:val="00F07640"/>
    <w:rsid w:val="00F077A8"/>
    <w:rsid w:val="00F07B5E"/>
    <w:rsid w:val="00F102CD"/>
    <w:rsid w:val="00F1048B"/>
    <w:rsid w:val="00F107F7"/>
    <w:rsid w:val="00F10951"/>
    <w:rsid w:val="00F10B61"/>
    <w:rsid w:val="00F10D7A"/>
    <w:rsid w:val="00F10D96"/>
    <w:rsid w:val="00F10DAE"/>
    <w:rsid w:val="00F11341"/>
    <w:rsid w:val="00F127C6"/>
    <w:rsid w:val="00F12EB3"/>
    <w:rsid w:val="00F13893"/>
    <w:rsid w:val="00F13D99"/>
    <w:rsid w:val="00F142FD"/>
    <w:rsid w:val="00F1483E"/>
    <w:rsid w:val="00F14AF4"/>
    <w:rsid w:val="00F15036"/>
    <w:rsid w:val="00F1577F"/>
    <w:rsid w:val="00F158D2"/>
    <w:rsid w:val="00F16479"/>
    <w:rsid w:val="00F16D74"/>
    <w:rsid w:val="00F170BA"/>
    <w:rsid w:val="00F17134"/>
    <w:rsid w:val="00F175D0"/>
    <w:rsid w:val="00F177C2"/>
    <w:rsid w:val="00F2010C"/>
    <w:rsid w:val="00F20167"/>
    <w:rsid w:val="00F201B9"/>
    <w:rsid w:val="00F2043F"/>
    <w:rsid w:val="00F20A63"/>
    <w:rsid w:val="00F21002"/>
    <w:rsid w:val="00F21A48"/>
    <w:rsid w:val="00F21CB4"/>
    <w:rsid w:val="00F21EFD"/>
    <w:rsid w:val="00F2205A"/>
    <w:rsid w:val="00F22139"/>
    <w:rsid w:val="00F22732"/>
    <w:rsid w:val="00F233DF"/>
    <w:rsid w:val="00F23E37"/>
    <w:rsid w:val="00F23EDB"/>
    <w:rsid w:val="00F23F6A"/>
    <w:rsid w:val="00F2432B"/>
    <w:rsid w:val="00F24B2A"/>
    <w:rsid w:val="00F24BA7"/>
    <w:rsid w:val="00F24E6F"/>
    <w:rsid w:val="00F25078"/>
    <w:rsid w:val="00F251A2"/>
    <w:rsid w:val="00F252A4"/>
    <w:rsid w:val="00F253A3"/>
    <w:rsid w:val="00F25BBC"/>
    <w:rsid w:val="00F25EB0"/>
    <w:rsid w:val="00F26294"/>
    <w:rsid w:val="00F2658B"/>
    <w:rsid w:val="00F267B0"/>
    <w:rsid w:val="00F26B12"/>
    <w:rsid w:val="00F273E5"/>
    <w:rsid w:val="00F27907"/>
    <w:rsid w:val="00F314AB"/>
    <w:rsid w:val="00F314B2"/>
    <w:rsid w:val="00F31BDD"/>
    <w:rsid w:val="00F32BCC"/>
    <w:rsid w:val="00F32C0D"/>
    <w:rsid w:val="00F32DCE"/>
    <w:rsid w:val="00F32F1D"/>
    <w:rsid w:val="00F3328E"/>
    <w:rsid w:val="00F33309"/>
    <w:rsid w:val="00F33550"/>
    <w:rsid w:val="00F338E7"/>
    <w:rsid w:val="00F33973"/>
    <w:rsid w:val="00F34122"/>
    <w:rsid w:val="00F34547"/>
    <w:rsid w:val="00F348CE"/>
    <w:rsid w:val="00F34EE4"/>
    <w:rsid w:val="00F35F5D"/>
    <w:rsid w:val="00F35F68"/>
    <w:rsid w:val="00F365EA"/>
    <w:rsid w:val="00F36CD3"/>
    <w:rsid w:val="00F374A3"/>
    <w:rsid w:val="00F3765A"/>
    <w:rsid w:val="00F40E31"/>
    <w:rsid w:val="00F4108D"/>
    <w:rsid w:val="00F410DB"/>
    <w:rsid w:val="00F42201"/>
    <w:rsid w:val="00F4239E"/>
    <w:rsid w:val="00F423F4"/>
    <w:rsid w:val="00F42618"/>
    <w:rsid w:val="00F428F7"/>
    <w:rsid w:val="00F42E3D"/>
    <w:rsid w:val="00F446BF"/>
    <w:rsid w:val="00F44786"/>
    <w:rsid w:val="00F44889"/>
    <w:rsid w:val="00F44BAC"/>
    <w:rsid w:val="00F44DC2"/>
    <w:rsid w:val="00F44F4B"/>
    <w:rsid w:val="00F452B9"/>
    <w:rsid w:val="00F454AD"/>
    <w:rsid w:val="00F455F0"/>
    <w:rsid w:val="00F45770"/>
    <w:rsid w:val="00F45949"/>
    <w:rsid w:val="00F45F62"/>
    <w:rsid w:val="00F469A7"/>
    <w:rsid w:val="00F46CBB"/>
    <w:rsid w:val="00F47219"/>
    <w:rsid w:val="00F47CCE"/>
    <w:rsid w:val="00F5030C"/>
    <w:rsid w:val="00F505CB"/>
    <w:rsid w:val="00F50DE6"/>
    <w:rsid w:val="00F50FB0"/>
    <w:rsid w:val="00F519F0"/>
    <w:rsid w:val="00F51D09"/>
    <w:rsid w:val="00F51E77"/>
    <w:rsid w:val="00F51FE4"/>
    <w:rsid w:val="00F52324"/>
    <w:rsid w:val="00F52759"/>
    <w:rsid w:val="00F52A9E"/>
    <w:rsid w:val="00F52C95"/>
    <w:rsid w:val="00F52FEA"/>
    <w:rsid w:val="00F53537"/>
    <w:rsid w:val="00F5367B"/>
    <w:rsid w:val="00F537CF"/>
    <w:rsid w:val="00F53831"/>
    <w:rsid w:val="00F5387B"/>
    <w:rsid w:val="00F53B8E"/>
    <w:rsid w:val="00F53F2D"/>
    <w:rsid w:val="00F5467E"/>
    <w:rsid w:val="00F546B1"/>
    <w:rsid w:val="00F54BA5"/>
    <w:rsid w:val="00F54D97"/>
    <w:rsid w:val="00F54F1E"/>
    <w:rsid w:val="00F54FF0"/>
    <w:rsid w:val="00F55007"/>
    <w:rsid w:val="00F55641"/>
    <w:rsid w:val="00F55D57"/>
    <w:rsid w:val="00F56013"/>
    <w:rsid w:val="00F56ACE"/>
    <w:rsid w:val="00F57450"/>
    <w:rsid w:val="00F57503"/>
    <w:rsid w:val="00F57CFE"/>
    <w:rsid w:val="00F57D5B"/>
    <w:rsid w:val="00F60824"/>
    <w:rsid w:val="00F6097F"/>
    <w:rsid w:val="00F60A49"/>
    <w:rsid w:val="00F60E7C"/>
    <w:rsid w:val="00F60E85"/>
    <w:rsid w:val="00F60F16"/>
    <w:rsid w:val="00F60F45"/>
    <w:rsid w:val="00F617C7"/>
    <w:rsid w:val="00F61AAA"/>
    <w:rsid w:val="00F61C5C"/>
    <w:rsid w:val="00F62A30"/>
    <w:rsid w:val="00F62FF4"/>
    <w:rsid w:val="00F63383"/>
    <w:rsid w:val="00F63450"/>
    <w:rsid w:val="00F63649"/>
    <w:rsid w:val="00F63864"/>
    <w:rsid w:val="00F63B79"/>
    <w:rsid w:val="00F6407E"/>
    <w:rsid w:val="00F64978"/>
    <w:rsid w:val="00F65798"/>
    <w:rsid w:val="00F65BD5"/>
    <w:rsid w:val="00F65F24"/>
    <w:rsid w:val="00F668A8"/>
    <w:rsid w:val="00F66AFB"/>
    <w:rsid w:val="00F66D2D"/>
    <w:rsid w:val="00F6705F"/>
    <w:rsid w:val="00F677CE"/>
    <w:rsid w:val="00F67845"/>
    <w:rsid w:val="00F678A0"/>
    <w:rsid w:val="00F67D0D"/>
    <w:rsid w:val="00F701F2"/>
    <w:rsid w:val="00F71596"/>
    <w:rsid w:val="00F7167F"/>
    <w:rsid w:val="00F71964"/>
    <w:rsid w:val="00F71A20"/>
    <w:rsid w:val="00F71C6A"/>
    <w:rsid w:val="00F7245D"/>
    <w:rsid w:val="00F72B76"/>
    <w:rsid w:val="00F732E4"/>
    <w:rsid w:val="00F7399D"/>
    <w:rsid w:val="00F73B14"/>
    <w:rsid w:val="00F73B61"/>
    <w:rsid w:val="00F73E5E"/>
    <w:rsid w:val="00F74C40"/>
    <w:rsid w:val="00F74CE3"/>
    <w:rsid w:val="00F74D89"/>
    <w:rsid w:val="00F76033"/>
    <w:rsid w:val="00F761BE"/>
    <w:rsid w:val="00F762E2"/>
    <w:rsid w:val="00F76902"/>
    <w:rsid w:val="00F7699A"/>
    <w:rsid w:val="00F76BE8"/>
    <w:rsid w:val="00F76CC4"/>
    <w:rsid w:val="00F76F01"/>
    <w:rsid w:val="00F76F2B"/>
    <w:rsid w:val="00F77A44"/>
    <w:rsid w:val="00F77E66"/>
    <w:rsid w:val="00F77E9D"/>
    <w:rsid w:val="00F801E3"/>
    <w:rsid w:val="00F80448"/>
    <w:rsid w:val="00F80ACC"/>
    <w:rsid w:val="00F81E4F"/>
    <w:rsid w:val="00F81E89"/>
    <w:rsid w:val="00F82248"/>
    <w:rsid w:val="00F8252F"/>
    <w:rsid w:val="00F82A29"/>
    <w:rsid w:val="00F82E8A"/>
    <w:rsid w:val="00F82E90"/>
    <w:rsid w:val="00F83142"/>
    <w:rsid w:val="00F83317"/>
    <w:rsid w:val="00F8391F"/>
    <w:rsid w:val="00F83B13"/>
    <w:rsid w:val="00F83CC6"/>
    <w:rsid w:val="00F842F1"/>
    <w:rsid w:val="00F842FB"/>
    <w:rsid w:val="00F84339"/>
    <w:rsid w:val="00F846A9"/>
    <w:rsid w:val="00F848AF"/>
    <w:rsid w:val="00F84901"/>
    <w:rsid w:val="00F84965"/>
    <w:rsid w:val="00F84D12"/>
    <w:rsid w:val="00F84DC0"/>
    <w:rsid w:val="00F84E05"/>
    <w:rsid w:val="00F856E9"/>
    <w:rsid w:val="00F8585F"/>
    <w:rsid w:val="00F862D0"/>
    <w:rsid w:val="00F86355"/>
    <w:rsid w:val="00F8678E"/>
    <w:rsid w:val="00F86925"/>
    <w:rsid w:val="00F869A4"/>
    <w:rsid w:val="00F86A22"/>
    <w:rsid w:val="00F86F93"/>
    <w:rsid w:val="00F90159"/>
    <w:rsid w:val="00F90501"/>
    <w:rsid w:val="00F90909"/>
    <w:rsid w:val="00F90C13"/>
    <w:rsid w:val="00F90F67"/>
    <w:rsid w:val="00F91374"/>
    <w:rsid w:val="00F91650"/>
    <w:rsid w:val="00F91F39"/>
    <w:rsid w:val="00F931B1"/>
    <w:rsid w:val="00F9360D"/>
    <w:rsid w:val="00F93818"/>
    <w:rsid w:val="00F9393A"/>
    <w:rsid w:val="00F93B5C"/>
    <w:rsid w:val="00F93DF9"/>
    <w:rsid w:val="00F94116"/>
    <w:rsid w:val="00F94424"/>
    <w:rsid w:val="00F94671"/>
    <w:rsid w:val="00F94823"/>
    <w:rsid w:val="00F95126"/>
    <w:rsid w:val="00F95957"/>
    <w:rsid w:val="00F95967"/>
    <w:rsid w:val="00F95B7B"/>
    <w:rsid w:val="00F95D6A"/>
    <w:rsid w:val="00F962F3"/>
    <w:rsid w:val="00F96371"/>
    <w:rsid w:val="00F9655D"/>
    <w:rsid w:val="00F96718"/>
    <w:rsid w:val="00F96DF9"/>
    <w:rsid w:val="00F9720F"/>
    <w:rsid w:val="00F9751E"/>
    <w:rsid w:val="00F97A84"/>
    <w:rsid w:val="00F97D00"/>
    <w:rsid w:val="00F97D81"/>
    <w:rsid w:val="00FA04AD"/>
    <w:rsid w:val="00FA04CC"/>
    <w:rsid w:val="00FA058C"/>
    <w:rsid w:val="00FA0FCA"/>
    <w:rsid w:val="00FA1884"/>
    <w:rsid w:val="00FA19CC"/>
    <w:rsid w:val="00FA1DC6"/>
    <w:rsid w:val="00FA1DCA"/>
    <w:rsid w:val="00FA2035"/>
    <w:rsid w:val="00FA2754"/>
    <w:rsid w:val="00FA296B"/>
    <w:rsid w:val="00FA2C37"/>
    <w:rsid w:val="00FA38BE"/>
    <w:rsid w:val="00FA3A79"/>
    <w:rsid w:val="00FA3E24"/>
    <w:rsid w:val="00FA41CF"/>
    <w:rsid w:val="00FA43C9"/>
    <w:rsid w:val="00FA467D"/>
    <w:rsid w:val="00FA4CEE"/>
    <w:rsid w:val="00FA4E44"/>
    <w:rsid w:val="00FA56FC"/>
    <w:rsid w:val="00FA5ABC"/>
    <w:rsid w:val="00FA6401"/>
    <w:rsid w:val="00FA6632"/>
    <w:rsid w:val="00FA69A5"/>
    <w:rsid w:val="00FA6B86"/>
    <w:rsid w:val="00FA729A"/>
    <w:rsid w:val="00FA759D"/>
    <w:rsid w:val="00FA779C"/>
    <w:rsid w:val="00FA78ED"/>
    <w:rsid w:val="00FA79EE"/>
    <w:rsid w:val="00FB06E4"/>
    <w:rsid w:val="00FB1156"/>
    <w:rsid w:val="00FB1C28"/>
    <w:rsid w:val="00FB2322"/>
    <w:rsid w:val="00FB245B"/>
    <w:rsid w:val="00FB2B1F"/>
    <w:rsid w:val="00FB2C32"/>
    <w:rsid w:val="00FB2FD4"/>
    <w:rsid w:val="00FB329A"/>
    <w:rsid w:val="00FB37FF"/>
    <w:rsid w:val="00FB38D2"/>
    <w:rsid w:val="00FB402A"/>
    <w:rsid w:val="00FB4413"/>
    <w:rsid w:val="00FB4739"/>
    <w:rsid w:val="00FB52EC"/>
    <w:rsid w:val="00FB5436"/>
    <w:rsid w:val="00FB57A6"/>
    <w:rsid w:val="00FB5905"/>
    <w:rsid w:val="00FB60A8"/>
    <w:rsid w:val="00FB6B03"/>
    <w:rsid w:val="00FB7A56"/>
    <w:rsid w:val="00FB7F23"/>
    <w:rsid w:val="00FC02C6"/>
    <w:rsid w:val="00FC0485"/>
    <w:rsid w:val="00FC0CFC"/>
    <w:rsid w:val="00FC0D89"/>
    <w:rsid w:val="00FC0F04"/>
    <w:rsid w:val="00FC0FA3"/>
    <w:rsid w:val="00FC10E8"/>
    <w:rsid w:val="00FC1293"/>
    <w:rsid w:val="00FC18E7"/>
    <w:rsid w:val="00FC1BC5"/>
    <w:rsid w:val="00FC1CCB"/>
    <w:rsid w:val="00FC1E77"/>
    <w:rsid w:val="00FC2657"/>
    <w:rsid w:val="00FC281F"/>
    <w:rsid w:val="00FC2D9B"/>
    <w:rsid w:val="00FC3202"/>
    <w:rsid w:val="00FC38AC"/>
    <w:rsid w:val="00FC3BE9"/>
    <w:rsid w:val="00FC3C47"/>
    <w:rsid w:val="00FC4168"/>
    <w:rsid w:val="00FC41C1"/>
    <w:rsid w:val="00FC4360"/>
    <w:rsid w:val="00FC46EB"/>
    <w:rsid w:val="00FC4F4F"/>
    <w:rsid w:val="00FC4FD1"/>
    <w:rsid w:val="00FC5562"/>
    <w:rsid w:val="00FC5C79"/>
    <w:rsid w:val="00FC6086"/>
    <w:rsid w:val="00FC6328"/>
    <w:rsid w:val="00FC67A3"/>
    <w:rsid w:val="00FC67DA"/>
    <w:rsid w:val="00FC6A70"/>
    <w:rsid w:val="00FC6FB3"/>
    <w:rsid w:val="00FC7476"/>
    <w:rsid w:val="00FC76C6"/>
    <w:rsid w:val="00FC7EFB"/>
    <w:rsid w:val="00FD0162"/>
    <w:rsid w:val="00FD09A7"/>
    <w:rsid w:val="00FD0B5F"/>
    <w:rsid w:val="00FD0B7B"/>
    <w:rsid w:val="00FD104B"/>
    <w:rsid w:val="00FD158B"/>
    <w:rsid w:val="00FD1787"/>
    <w:rsid w:val="00FD20F9"/>
    <w:rsid w:val="00FD21D8"/>
    <w:rsid w:val="00FD2772"/>
    <w:rsid w:val="00FD2E05"/>
    <w:rsid w:val="00FD31FF"/>
    <w:rsid w:val="00FD3824"/>
    <w:rsid w:val="00FD399A"/>
    <w:rsid w:val="00FD3C95"/>
    <w:rsid w:val="00FD3EE8"/>
    <w:rsid w:val="00FD4706"/>
    <w:rsid w:val="00FD48FB"/>
    <w:rsid w:val="00FD4B0B"/>
    <w:rsid w:val="00FD53ED"/>
    <w:rsid w:val="00FD5DC4"/>
    <w:rsid w:val="00FD6706"/>
    <w:rsid w:val="00FD6810"/>
    <w:rsid w:val="00FD692B"/>
    <w:rsid w:val="00FD69A6"/>
    <w:rsid w:val="00FD6B45"/>
    <w:rsid w:val="00FD6EB1"/>
    <w:rsid w:val="00FD6EE6"/>
    <w:rsid w:val="00FD73BC"/>
    <w:rsid w:val="00FD7486"/>
    <w:rsid w:val="00FD797E"/>
    <w:rsid w:val="00FD7CB0"/>
    <w:rsid w:val="00FE00B5"/>
    <w:rsid w:val="00FE027F"/>
    <w:rsid w:val="00FE0437"/>
    <w:rsid w:val="00FE0495"/>
    <w:rsid w:val="00FE0D23"/>
    <w:rsid w:val="00FE168B"/>
    <w:rsid w:val="00FE1863"/>
    <w:rsid w:val="00FE18E4"/>
    <w:rsid w:val="00FE2011"/>
    <w:rsid w:val="00FE2879"/>
    <w:rsid w:val="00FE2EE5"/>
    <w:rsid w:val="00FE2F29"/>
    <w:rsid w:val="00FE32C0"/>
    <w:rsid w:val="00FE3EDD"/>
    <w:rsid w:val="00FE3F4A"/>
    <w:rsid w:val="00FE480A"/>
    <w:rsid w:val="00FE4928"/>
    <w:rsid w:val="00FE4A60"/>
    <w:rsid w:val="00FE5B61"/>
    <w:rsid w:val="00FE5B73"/>
    <w:rsid w:val="00FE6534"/>
    <w:rsid w:val="00FE662D"/>
    <w:rsid w:val="00FE69A9"/>
    <w:rsid w:val="00FE6A27"/>
    <w:rsid w:val="00FE6F63"/>
    <w:rsid w:val="00FE71B9"/>
    <w:rsid w:val="00FE76F1"/>
    <w:rsid w:val="00FF01BC"/>
    <w:rsid w:val="00FF0A13"/>
    <w:rsid w:val="00FF0EBC"/>
    <w:rsid w:val="00FF15AD"/>
    <w:rsid w:val="00FF15DB"/>
    <w:rsid w:val="00FF1AF0"/>
    <w:rsid w:val="00FF1BB7"/>
    <w:rsid w:val="00FF2379"/>
    <w:rsid w:val="00FF2778"/>
    <w:rsid w:val="00FF28F5"/>
    <w:rsid w:val="00FF2A05"/>
    <w:rsid w:val="00FF2BC5"/>
    <w:rsid w:val="00FF2C5C"/>
    <w:rsid w:val="00FF3188"/>
    <w:rsid w:val="00FF4434"/>
    <w:rsid w:val="00FF4554"/>
    <w:rsid w:val="00FF473C"/>
    <w:rsid w:val="00FF4CE7"/>
    <w:rsid w:val="00FF50FC"/>
    <w:rsid w:val="00FF5165"/>
    <w:rsid w:val="00FF5428"/>
    <w:rsid w:val="00FF54BE"/>
    <w:rsid w:val="00FF5536"/>
    <w:rsid w:val="00FF6085"/>
    <w:rsid w:val="00FF6441"/>
    <w:rsid w:val="00FF6828"/>
    <w:rsid w:val="00FF7058"/>
    <w:rsid w:val="00FF730F"/>
    <w:rsid w:val="00FF738C"/>
    <w:rsid w:val="00FF73BE"/>
    <w:rsid w:val="00FF74FA"/>
    <w:rsid w:val="00FF7551"/>
    <w:rsid w:val="00FF7638"/>
    <w:rsid w:val="00FF7A71"/>
    <w:rsid w:val="00FF7A7D"/>
    <w:rsid w:val="00FF7B28"/>
    <w:rsid w:val="00FF7DEE"/>
    <w:rsid w:val="015BB0F9"/>
    <w:rsid w:val="0164F759"/>
    <w:rsid w:val="01AF6248"/>
    <w:rsid w:val="01BF9A0D"/>
    <w:rsid w:val="01CA5700"/>
    <w:rsid w:val="01D4848D"/>
    <w:rsid w:val="01D5E636"/>
    <w:rsid w:val="01F3124F"/>
    <w:rsid w:val="021FDAC0"/>
    <w:rsid w:val="0243F6A9"/>
    <w:rsid w:val="02827025"/>
    <w:rsid w:val="02A3E6E0"/>
    <w:rsid w:val="02CE8428"/>
    <w:rsid w:val="02DCD94D"/>
    <w:rsid w:val="02E23343"/>
    <w:rsid w:val="02FD9011"/>
    <w:rsid w:val="0305F711"/>
    <w:rsid w:val="03120921"/>
    <w:rsid w:val="031E5D9A"/>
    <w:rsid w:val="0320CB2A"/>
    <w:rsid w:val="033E0DBF"/>
    <w:rsid w:val="035200E1"/>
    <w:rsid w:val="0359A046"/>
    <w:rsid w:val="0388BF47"/>
    <w:rsid w:val="03A07C0F"/>
    <w:rsid w:val="03B8C664"/>
    <w:rsid w:val="03DD9F44"/>
    <w:rsid w:val="03F2A2E9"/>
    <w:rsid w:val="03F916EC"/>
    <w:rsid w:val="04013553"/>
    <w:rsid w:val="040EB36E"/>
    <w:rsid w:val="04177A60"/>
    <w:rsid w:val="04244E62"/>
    <w:rsid w:val="049A54ED"/>
    <w:rsid w:val="04D062ED"/>
    <w:rsid w:val="04D364BD"/>
    <w:rsid w:val="04E73B2D"/>
    <w:rsid w:val="04E94019"/>
    <w:rsid w:val="04FA148F"/>
    <w:rsid w:val="050DC675"/>
    <w:rsid w:val="05104DF5"/>
    <w:rsid w:val="051D3D73"/>
    <w:rsid w:val="05360830"/>
    <w:rsid w:val="05394FF7"/>
    <w:rsid w:val="05396843"/>
    <w:rsid w:val="057F0FFD"/>
    <w:rsid w:val="058C067D"/>
    <w:rsid w:val="059C1407"/>
    <w:rsid w:val="059D2012"/>
    <w:rsid w:val="05DE5466"/>
    <w:rsid w:val="060119B7"/>
    <w:rsid w:val="060309A7"/>
    <w:rsid w:val="060B1081"/>
    <w:rsid w:val="065CC10F"/>
    <w:rsid w:val="06708EA9"/>
    <w:rsid w:val="068DC5FC"/>
    <w:rsid w:val="068EBCF2"/>
    <w:rsid w:val="06B59500"/>
    <w:rsid w:val="06D6DDE6"/>
    <w:rsid w:val="06EBB528"/>
    <w:rsid w:val="071EBC0B"/>
    <w:rsid w:val="072FC3C9"/>
    <w:rsid w:val="07330682"/>
    <w:rsid w:val="07651F5A"/>
    <w:rsid w:val="07702D8C"/>
    <w:rsid w:val="077E0A15"/>
    <w:rsid w:val="079BA991"/>
    <w:rsid w:val="07B3E9B0"/>
    <w:rsid w:val="07C8BE24"/>
    <w:rsid w:val="07FB5799"/>
    <w:rsid w:val="083C7C9A"/>
    <w:rsid w:val="085F5F33"/>
    <w:rsid w:val="08648D25"/>
    <w:rsid w:val="086E60B9"/>
    <w:rsid w:val="08860AA4"/>
    <w:rsid w:val="08892771"/>
    <w:rsid w:val="089160FC"/>
    <w:rsid w:val="0894250D"/>
    <w:rsid w:val="08AD0202"/>
    <w:rsid w:val="08BE580C"/>
    <w:rsid w:val="08C0D822"/>
    <w:rsid w:val="08D07C99"/>
    <w:rsid w:val="08D3B4C9"/>
    <w:rsid w:val="090CAB71"/>
    <w:rsid w:val="091867D4"/>
    <w:rsid w:val="092B872B"/>
    <w:rsid w:val="093B3AEA"/>
    <w:rsid w:val="09580E33"/>
    <w:rsid w:val="095D24AC"/>
    <w:rsid w:val="0969009B"/>
    <w:rsid w:val="098626C5"/>
    <w:rsid w:val="0994499F"/>
    <w:rsid w:val="09BCEBC6"/>
    <w:rsid w:val="09C27611"/>
    <w:rsid w:val="09D4245A"/>
    <w:rsid w:val="0A097953"/>
    <w:rsid w:val="0A26AD3D"/>
    <w:rsid w:val="0A3EFAD8"/>
    <w:rsid w:val="0A4ACF5D"/>
    <w:rsid w:val="0A4F0A3A"/>
    <w:rsid w:val="0A8BFC13"/>
    <w:rsid w:val="0A92D403"/>
    <w:rsid w:val="0AB5C8FF"/>
    <w:rsid w:val="0AC02F99"/>
    <w:rsid w:val="0AD30E37"/>
    <w:rsid w:val="0ADC63B3"/>
    <w:rsid w:val="0AE89347"/>
    <w:rsid w:val="0B020D36"/>
    <w:rsid w:val="0B1FCDEB"/>
    <w:rsid w:val="0B7DCD9F"/>
    <w:rsid w:val="0B93D27B"/>
    <w:rsid w:val="0BACF744"/>
    <w:rsid w:val="0BCBC5CF"/>
    <w:rsid w:val="0BD0B1B5"/>
    <w:rsid w:val="0BD35F81"/>
    <w:rsid w:val="0BD4BA46"/>
    <w:rsid w:val="0BDACB39"/>
    <w:rsid w:val="0BE66DD4"/>
    <w:rsid w:val="0BE9614A"/>
    <w:rsid w:val="0BF22D2E"/>
    <w:rsid w:val="0C0A3277"/>
    <w:rsid w:val="0C310F2E"/>
    <w:rsid w:val="0C383F62"/>
    <w:rsid w:val="0C4D7F63"/>
    <w:rsid w:val="0C550DC7"/>
    <w:rsid w:val="0C62F57E"/>
    <w:rsid w:val="0C653FB1"/>
    <w:rsid w:val="0C687848"/>
    <w:rsid w:val="0C6F7BBD"/>
    <w:rsid w:val="0C709162"/>
    <w:rsid w:val="0C78EA46"/>
    <w:rsid w:val="0CBC30FF"/>
    <w:rsid w:val="0D2623A9"/>
    <w:rsid w:val="0D52DBE2"/>
    <w:rsid w:val="0DA3B57A"/>
    <w:rsid w:val="0DC9CBE4"/>
    <w:rsid w:val="0DE1F7A4"/>
    <w:rsid w:val="0DF3E228"/>
    <w:rsid w:val="0DF6E5F0"/>
    <w:rsid w:val="0E15E91E"/>
    <w:rsid w:val="0E4AD524"/>
    <w:rsid w:val="0E5A6F6C"/>
    <w:rsid w:val="0E6BA7FA"/>
    <w:rsid w:val="0EB21F99"/>
    <w:rsid w:val="0EB48B13"/>
    <w:rsid w:val="0F1674A4"/>
    <w:rsid w:val="0F42F64D"/>
    <w:rsid w:val="0F4980CF"/>
    <w:rsid w:val="0F594A15"/>
    <w:rsid w:val="0F76FDF8"/>
    <w:rsid w:val="0F7A91CE"/>
    <w:rsid w:val="0F87B602"/>
    <w:rsid w:val="0F9B16D4"/>
    <w:rsid w:val="0FD0AD69"/>
    <w:rsid w:val="0FD82C4D"/>
    <w:rsid w:val="103F3F96"/>
    <w:rsid w:val="106E11E5"/>
    <w:rsid w:val="108C2312"/>
    <w:rsid w:val="10A63AC1"/>
    <w:rsid w:val="10C0667E"/>
    <w:rsid w:val="10D14100"/>
    <w:rsid w:val="10DEC6AE"/>
    <w:rsid w:val="111607E9"/>
    <w:rsid w:val="11189BAB"/>
    <w:rsid w:val="111FB5B3"/>
    <w:rsid w:val="112B82EA"/>
    <w:rsid w:val="115FCF2E"/>
    <w:rsid w:val="1182FD5D"/>
    <w:rsid w:val="118FA3B6"/>
    <w:rsid w:val="1190ED52"/>
    <w:rsid w:val="11C405BE"/>
    <w:rsid w:val="11CD7398"/>
    <w:rsid w:val="11D7D31D"/>
    <w:rsid w:val="1215093F"/>
    <w:rsid w:val="121AFA0F"/>
    <w:rsid w:val="124840B7"/>
    <w:rsid w:val="124ABCC4"/>
    <w:rsid w:val="128C0B52"/>
    <w:rsid w:val="129291A2"/>
    <w:rsid w:val="1298514A"/>
    <w:rsid w:val="12A621BD"/>
    <w:rsid w:val="12A9AD81"/>
    <w:rsid w:val="12BAE869"/>
    <w:rsid w:val="12C31C53"/>
    <w:rsid w:val="12CCA588"/>
    <w:rsid w:val="12FD18C3"/>
    <w:rsid w:val="1308F936"/>
    <w:rsid w:val="13109920"/>
    <w:rsid w:val="1329950E"/>
    <w:rsid w:val="13360E8F"/>
    <w:rsid w:val="1337846F"/>
    <w:rsid w:val="135FD61F"/>
    <w:rsid w:val="13D6D7B4"/>
    <w:rsid w:val="13D8575C"/>
    <w:rsid w:val="13E28C1E"/>
    <w:rsid w:val="1403BAD2"/>
    <w:rsid w:val="140776CE"/>
    <w:rsid w:val="140D9879"/>
    <w:rsid w:val="142CBB38"/>
    <w:rsid w:val="14410712"/>
    <w:rsid w:val="14555189"/>
    <w:rsid w:val="146B48B7"/>
    <w:rsid w:val="147473DD"/>
    <w:rsid w:val="1483E894"/>
    <w:rsid w:val="148B8DA7"/>
    <w:rsid w:val="149E598D"/>
    <w:rsid w:val="14D313C8"/>
    <w:rsid w:val="14E6EDD2"/>
    <w:rsid w:val="15138F14"/>
    <w:rsid w:val="1572A815"/>
    <w:rsid w:val="1594318E"/>
    <w:rsid w:val="15986F66"/>
    <w:rsid w:val="159AE928"/>
    <w:rsid w:val="15A3A212"/>
    <w:rsid w:val="15F11CE8"/>
    <w:rsid w:val="16190A50"/>
    <w:rsid w:val="161C1DAC"/>
    <w:rsid w:val="166842C3"/>
    <w:rsid w:val="166F7C6B"/>
    <w:rsid w:val="1690E77D"/>
    <w:rsid w:val="16AAB809"/>
    <w:rsid w:val="170E7876"/>
    <w:rsid w:val="176D54DA"/>
    <w:rsid w:val="17CAC7E1"/>
    <w:rsid w:val="17D6E79B"/>
    <w:rsid w:val="1831C870"/>
    <w:rsid w:val="183CB51C"/>
    <w:rsid w:val="1864E807"/>
    <w:rsid w:val="187AB58C"/>
    <w:rsid w:val="188CFBBC"/>
    <w:rsid w:val="18A62984"/>
    <w:rsid w:val="18B23936"/>
    <w:rsid w:val="18B2C836"/>
    <w:rsid w:val="18C4F30B"/>
    <w:rsid w:val="18CB3469"/>
    <w:rsid w:val="19035CBF"/>
    <w:rsid w:val="192B6CCD"/>
    <w:rsid w:val="194BC53A"/>
    <w:rsid w:val="19AFF4B7"/>
    <w:rsid w:val="19E5AB8C"/>
    <w:rsid w:val="1A2D72CF"/>
    <w:rsid w:val="1A2EBC95"/>
    <w:rsid w:val="1A974DD6"/>
    <w:rsid w:val="1AA08D2A"/>
    <w:rsid w:val="1ABBC3CE"/>
    <w:rsid w:val="1AD15040"/>
    <w:rsid w:val="1B052FA0"/>
    <w:rsid w:val="1B432AC0"/>
    <w:rsid w:val="1B57D31A"/>
    <w:rsid w:val="1B6EDA96"/>
    <w:rsid w:val="1B7455DE"/>
    <w:rsid w:val="1B7CDB2C"/>
    <w:rsid w:val="1B90A2A1"/>
    <w:rsid w:val="1BA3A6E2"/>
    <w:rsid w:val="1BB3538B"/>
    <w:rsid w:val="1BB3C215"/>
    <w:rsid w:val="1C069AE3"/>
    <w:rsid w:val="1C15CE57"/>
    <w:rsid w:val="1C2576CC"/>
    <w:rsid w:val="1C2A450E"/>
    <w:rsid w:val="1C919DE1"/>
    <w:rsid w:val="1CDCB05B"/>
    <w:rsid w:val="1D0AEC5D"/>
    <w:rsid w:val="1D17C87F"/>
    <w:rsid w:val="1D33FAE6"/>
    <w:rsid w:val="1D48D027"/>
    <w:rsid w:val="1D510D44"/>
    <w:rsid w:val="1D831046"/>
    <w:rsid w:val="1DA15B9A"/>
    <w:rsid w:val="1DD50F35"/>
    <w:rsid w:val="1E231A08"/>
    <w:rsid w:val="1E679F4C"/>
    <w:rsid w:val="1E6D536E"/>
    <w:rsid w:val="1E75F595"/>
    <w:rsid w:val="1E781960"/>
    <w:rsid w:val="1E84FF7A"/>
    <w:rsid w:val="1E8B788D"/>
    <w:rsid w:val="1E97DE0F"/>
    <w:rsid w:val="1E98FBCF"/>
    <w:rsid w:val="1EABF6A0"/>
    <w:rsid w:val="1EB423B3"/>
    <w:rsid w:val="1EE16829"/>
    <w:rsid w:val="1EED469A"/>
    <w:rsid w:val="1F208E2A"/>
    <w:rsid w:val="1F29C8D7"/>
    <w:rsid w:val="1FC99FB3"/>
    <w:rsid w:val="202382E6"/>
    <w:rsid w:val="20308756"/>
    <w:rsid w:val="20504C4F"/>
    <w:rsid w:val="207F7CBC"/>
    <w:rsid w:val="20841E45"/>
    <w:rsid w:val="209D71DF"/>
    <w:rsid w:val="20A8DAE4"/>
    <w:rsid w:val="20C1E788"/>
    <w:rsid w:val="20C473D7"/>
    <w:rsid w:val="2106E822"/>
    <w:rsid w:val="214620CF"/>
    <w:rsid w:val="2184DA71"/>
    <w:rsid w:val="21AFD522"/>
    <w:rsid w:val="21B21226"/>
    <w:rsid w:val="21E39762"/>
    <w:rsid w:val="21EC1CB0"/>
    <w:rsid w:val="221E4BDA"/>
    <w:rsid w:val="2245547D"/>
    <w:rsid w:val="22540447"/>
    <w:rsid w:val="229C7D6C"/>
    <w:rsid w:val="22D79B93"/>
    <w:rsid w:val="22F9F8AD"/>
    <w:rsid w:val="231D02F6"/>
    <w:rsid w:val="232DF2A9"/>
    <w:rsid w:val="23310A90"/>
    <w:rsid w:val="233901B3"/>
    <w:rsid w:val="234F7BCD"/>
    <w:rsid w:val="236A856F"/>
    <w:rsid w:val="237F1409"/>
    <w:rsid w:val="23868C50"/>
    <w:rsid w:val="23E07BA6"/>
    <w:rsid w:val="23EE16E6"/>
    <w:rsid w:val="24105E12"/>
    <w:rsid w:val="24171118"/>
    <w:rsid w:val="241B87CE"/>
    <w:rsid w:val="244655A7"/>
    <w:rsid w:val="2446F187"/>
    <w:rsid w:val="244FB7B0"/>
    <w:rsid w:val="2478BB39"/>
    <w:rsid w:val="2480D839"/>
    <w:rsid w:val="24BF5622"/>
    <w:rsid w:val="24CAA5A6"/>
    <w:rsid w:val="24D822E3"/>
    <w:rsid w:val="2501D393"/>
    <w:rsid w:val="252F63C5"/>
    <w:rsid w:val="254D4151"/>
    <w:rsid w:val="255D5B95"/>
    <w:rsid w:val="257C6304"/>
    <w:rsid w:val="25869672"/>
    <w:rsid w:val="25956AD3"/>
    <w:rsid w:val="25F5D2BA"/>
    <w:rsid w:val="26050015"/>
    <w:rsid w:val="2610C9AB"/>
    <w:rsid w:val="263CEA5A"/>
    <w:rsid w:val="2659784D"/>
    <w:rsid w:val="268D1F32"/>
    <w:rsid w:val="26B4D318"/>
    <w:rsid w:val="26B6C096"/>
    <w:rsid w:val="26C02CE0"/>
    <w:rsid w:val="26C0FDFB"/>
    <w:rsid w:val="26C5BF2B"/>
    <w:rsid w:val="26CB1A33"/>
    <w:rsid w:val="26EB3D52"/>
    <w:rsid w:val="26FA1DFB"/>
    <w:rsid w:val="272CADC0"/>
    <w:rsid w:val="2775F5A6"/>
    <w:rsid w:val="27883541"/>
    <w:rsid w:val="278C5453"/>
    <w:rsid w:val="279D59D1"/>
    <w:rsid w:val="27D1715E"/>
    <w:rsid w:val="27D8BABB"/>
    <w:rsid w:val="27F6F557"/>
    <w:rsid w:val="280B263F"/>
    <w:rsid w:val="281C82AD"/>
    <w:rsid w:val="281F4B1F"/>
    <w:rsid w:val="288B82CE"/>
    <w:rsid w:val="28BEB71E"/>
    <w:rsid w:val="28CF4ACD"/>
    <w:rsid w:val="2945F701"/>
    <w:rsid w:val="29483B3D"/>
    <w:rsid w:val="299A7283"/>
    <w:rsid w:val="29A6158C"/>
    <w:rsid w:val="29BB3363"/>
    <w:rsid w:val="2A0CA286"/>
    <w:rsid w:val="2A18BEAE"/>
    <w:rsid w:val="2A292445"/>
    <w:rsid w:val="2A4512AB"/>
    <w:rsid w:val="2A59A6C3"/>
    <w:rsid w:val="2A5F41B5"/>
    <w:rsid w:val="2A67EFBB"/>
    <w:rsid w:val="2A705B35"/>
    <w:rsid w:val="2A73502F"/>
    <w:rsid w:val="2A76C0AA"/>
    <w:rsid w:val="2A8E80A5"/>
    <w:rsid w:val="2A9B2B32"/>
    <w:rsid w:val="2B0A9306"/>
    <w:rsid w:val="2B1AB96D"/>
    <w:rsid w:val="2B369B64"/>
    <w:rsid w:val="2B42572C"/>
    <w:rsid w:val="2B5A2520"/>
    <w:rsid w:val="2B731C84"/>
    <w:rsid w:val="2B9D3D70"/>
    <w:rsid w:val="2BA6E829"/>
    <w:rsid w:val="2BB47472"/>
    <w:rsid w:val="2BDCB14E"/>
    <w:rsid w:val="2BE85234"/>
    <w:rsid w:val="2C0F9EDD"/>
    <w:rsid w:val="2C0FDBC8"/>
    <w:rsid w:val="2C3F3B7C"/>
    <w:rsid w:val="2C7FDBFF"/>
    <w:rsid w:val="2CAC8645"/>
    <w:rsid w:val="2CC42968"/>
    <w:rsid w:val="2CCCF72B"/>
    <w:rsid w:val="2CF0D687"/>
    <w:rsid w:val="2CFF957F"/>
    <w:rsid w:val="2D227030"/>
    <w:rsid w:val="2D842295"/>
    <w:rsid w:val="2D871801"/>
    <w:rsid w:val="2D8FD565"/>
    <w:rsid w:val="2D9D4AF2"/>
    <w:rsid w:val="2DB1F80E"/>
    <w:rsid w:val="2DB316C7"/>
    <w:rsid w:val="2DE07C33"/>
    <w:rsid w:val="2E1B77F2"/>
    <w:rsid w:val="2E2FC76B"/>
    <w:rsid w:val="2E5D24CE"/>
    <w:rsid w:val="2E738F6A"/>
    <w:rsid w:val="2ED379B7"/>
    <w:rsid w:val="2EFAC452"/>
    <w:rsid w:val="2F09D6D5"/>
    <w:rsid w:val="2F27BF20"/>
    <w:rsid w:val="2F2D7F04"/>
    <w:rsid w:val="2F7E8479"/>
    <w:rsid w:val="2F910F21"/>
    <w:rsid w:val="2F9FC6DB"/>
    <w:rsid w:val="2FC51D2E"/>
    <w:rsid w:val="2FDC0400"/>
    <w:rsid w:val="2FF5A96D"/>
    <w:rsid w:val="30019775"/>
    <w:rsid w:val="30059032"/>
    <w:rsid w:val="3023F8FD"/>
    <w:rsid w:val="30BBC357"/>
    <w:rsid w:val="30DBB298"/>
    <w:rsid w:val="30E3A2ED"/>
    <w:rsid w:val="31102733"/>
    <w:rsid w:val="312311E6"/>
    <w:rsid w:val="3144506F"/>
    <w:rsid w:val="3154D224"/>
    <w:rsid w:val="315A8609"/>
    <w:rsid w:val="316DE901"/>
    <w:rsid w:val="318CF0BF"/>
    <w:rsid w:val="319CAEA0"/>
    <w:rsid w:val="31B7DB56"/>
    <w:rsid w:val="31D1E00A"/>
    <w:rsid w:val="32150DFA"/>
    <w:rsid w:val="3224105D"/>
    <w:rsid w:val="3239BA09"/>
    <w:rsid w:val="32471015"/>
    <w:rsid w:val="32562F26"/>
    <w:rsid w:val="32714E6C"/>
    <w:rsid w:val="3273155E"/>
    <w:rsid w:val="3273AF8B"/>
    <w:rsid w:val="329B2C3A"/>
    <w:rsid w:val="32ADE53A"/>
    <w:rsid w:val="32EC7EB6"/>
    <w:rsid w:val="32FAA2CC"/>
    <w:rsid w:val="33262807"/>
    <w:rsid w:val="332BD453"/>
    <w:rsid w:val="334F058A"/>
    <w:rsid w:val="335027A2"/>
    <w:rsid w:val="336138F3"/>
    <w:rsid w:val="338450B6"/>
    <w:rsid w:val="338FAD5D"/>
    <w:rsid w:val="33B029B3"/>
    <w:rsid w:val="33BBD7B9"/>
    <w:rsid w:val="33BEEA8C"/>
    <w:rsid w:val="34121C9F"/>
    <w:rsid w:val="342AB3B3"/>
    <w:rsid w:val="342E3E6D"/>
    <w:rsid w:val="3465F0C2"/>
    <w:rsid w:val="34723DA2"/>
    <w:rsid w:val="34835C38"/>
    <w:rsid w:val="34A22603"/>
    <w:rsid w:val="34DA6A64"/>
    <w:rsid w:val="34ED5C67"/>
    <w:rsid w:val="34F13C27"/>
    <w:rsid w:val="352D6CBA"/>
    <w:rsid w:val="35555B7B"/>
    <w:rsid w:val="35683077"/>
    <w:rsid w:val="35BEDF44"/>
    <w:rsid w:val="35E2A793"/>
    <w:rsid w:val="35F7DDF3"/>
    <w:rsid w:val="360BF684"/>
    <w:rsid w:val="36357C7B"/>
    <w:rsid w:val="3638D2DE"/>
    <w:rsid w:val="3679EA44"/>
    <w:rsid w:val="369100FC"/>
    <w:rsid w:val="36A511E6"/>
    <w:rsid w:val="36A54135"/>
    <w:rsid w:val="36A7DF24"/>
    <w:rsid w:val="36D1F0E6"/>
    <w:rsid w:val="36DD43BB"/>
    <w:rsid w:val="36F2CE35"/>
    <w:rsid w:val="36FE42DC"/>
    <w:rsid w:val="371FE22A"/>
    <w:rsid w:val="37361568"/>
    <w:rsid w:val="374FD504"/>
    <w:rsid w:val="3754FAA3"/>
    <w:rsid w:val="37AAEB4B"/>
    <w:rsid w:val="37CB0196"/>
    <w:rsid w:val="37E89E37"/>
    <w:rsid w:val="37F6CFE0"/>
    <w:rsid w:val="3809EE28"/>
    <w:rsid w:val="382D6EE6"/>
    <w:rsid w:val="383A4CBF"/>
    <w:rsid w:val="38643FDC"/>
    <w:rsid w:val="38865168"/>
    <w:rsid w:val="39027862"/>
    <w:rsid w:val="3932F437"/>
    <w:rsid w:val="393980E1"/>
    <w:rsid w:val="393F4CAD"/>
    <w:rsid w:val="39439746"/>
    <w:rsid w:val="39A4D82B"/>
    <w:rsid w:val="39AABE32"/>
    <w:rsid w:val="39B57E57"/>
    <w:rsid w:val="39C8A1BE"/>
    <w:rsid w:val="39D4CA3B"/>
    <w:rsid w:val="39D6477D"/>
    <w:rsid w:val="39F50EFB"/>
    <w:rsid w:val="39F7B14F"/>
    <w:rsid w:val="3A2FE97E"/>
    <w:rsid w:val="3A334E55"/>
    <w:rsid w:val="3A6DCE7A"/>
    <w:rsid w:val="3A8CEEDF"/>
    <w:rsid w:val="3A8EC44E"/>
    <w:rsid w:val="3AAA7759"/>
    <w:rsid w:val="3AB91A60"/>
    <w:rsid w:val="3ABBE501"/>
    <w:rsid w:val="3ADF8403"/>
    <w:rsid w:val="3AED94E6"/>
    <w:rsid w:val="3B5DDD5F"/>
    <w:rsid w:val="3B93F36B"/>
    <w:rsid w:val="3BA9F161"/>
    <w:rsid w:val="3BB2FC93"/>
    <w:rsid w:val="3BD60621"/>
    <w:rsid w:val="3BDCFDE8"/>
    <w:rsid w:val="3BF44391"/>
    <w:rsid w:val="3C0EB890"/>
    <w:rsid w:val="3C3184E3"/>
    <w:rsid w:val="3C49E5B9"/>
    <w:rsid w:val="3C4A3445"/>
    <w:rsid w:val="3C4B1226"/>
    <w:rsid w:val="3C7CD601"/>
    <w:rsid w:val="3C7DB6D7"/>
    <w:rsid w:val="3C9C6BD2"/>
    <w:rsid w:val="3CCEFBD4"/>
    <w:rsid w:val="3CD28823"/>
    <w:rsid w:val="3CD8A3BA"/>
    <w:rsid w:val="3D0E54C4"/>
    <w:rsid w:val="3D10F9C8"/>
    <w:rsid w:val="3D2AF6C8"/>
    <w:rsid w:val="3D378C48"/>
    <w:rsid w:val="3D4C64C4"/>
    <w:rsid w:val="3D5B25D1"/>
    <w:rsid w:val="3D82A876"/>
    <w:rsid w:val="3D8D0797"/>
    <w:rsid w:val="3DA068D5"/>
    <w:rsid w:val="3DC47A9C"/>
    <w:rsid w:val="3DDEB9FF"/>
    <w:rsid w:val="3E0BA36C"/>
    <w:rsid w:val="3E1A2CCF"/>
    <w:rsid w:val="3E2978E5"/>
    <w:rsid w:val="3E44C36C"/>
    <w:rsid w:val="3E4C1103"/>
    <w:rsid w:val="3E727F68"/>
    <w:rsid w:val="3E73614D"/>
    <w:rsid w:val="3E8DD12D"/>
    <w:rsid w:val="3F12DD58"/>
    <w:rsid w:val="3F4C308F"/>
    <w:rsid w:val="3F6ECDE5"/>
    <w:rsid w:val="3F83F333"/>
    <w:rsid w:val="3F9510F0"/>
    <w:rsid w:val="3F9D2F25"/>
    <w:rsid w:val="3FD60125"/>
    <w:rsid w:val="403E147A"/>
    <w:rsid w:val="404A821F"/>
    <w:rsid w:val="4050F2A5"/>
    <w:rsid w:val="407C48CA"/>
    <w:rsid w:val="407E3D8F"/>
    <w:rsid w:val="40AF966F"/>
    <w:rsid w:val="40B3C33E"/>
    <w:rsid w:val="40BAC089"/>
    <w:rsid w:val="40FCBE26"/>
    <w:rsid w:val="40FD7EB7"/>
    <w:rsid w:val="40FDFD10"/>
    <w:rsid w:val="412F6A4D"/>
    <w:rsid w:val="413C8ECD"/>
    <w:rsid w:val="41556948"/>
    <w:rsid w:val="4183FD53"/>
    <w:rsid w:val="4190293A"/>
    <w:rsid w:val="41A1070D"/>
    <w:rsid w:val="41A1AD3A"/>
    <w:rsid w:val="41B754A2"/>
    <w:rsid w:val="41C445F1"/>
    <w:rsid w:val="41E03B41"/>
    <w:rsid w:val="41E5B3E5"/>
    <w:rsid w:val="42012D47"/>
    <w:rsid w:val="420B4B9C"/>
    <w:rsid w:val="420FAB65"/>
    <w:rsid w:val="421526D5"/>
    <w:rsid w:val="421D09B5"/>
    <w:rsid w:val="42533592"/>
    <w:rsid w:val="42538F59"/>
    <w:rsid w:val="42757BC8"/>
    <w:rsid w:val="429126AE"/>
    <w:rsid w:val="42E0E57B"/>
    <w:rsid w:val="43124804"/>
    <w:rsid w:val="4346D270"/>
    <w:rsid w:val="435657C4"/>
    <w:rsid w:val="4357BE10"/>
    <w:rsid w:val="43617A75"/>
    <w:rsid w:val="436275DF"/>
    <w:rsid w:val="436F8A82"/>
    <w:rsid w:val="4387BD13"/>
    <w:rsid w:val="4398CA7E"/>
    <w:rsid w:val="43B828E0"/>
    <w:rsid w:val="43CCFB67"/>
    <w:rsid w:val="44114C29"/>
    <w:rsid w:val="441A93C3"/>
    <w:rsid w:val="4425FE16"/>
    <w:rsid w:val="442E6E30"/>
    <w:rsid w:val="4444966D"/>
    <w:rsid w:val="446D59B3"/>
    <w:rsid w:val="44888BBE"/>
    <w:rsid w:val="44BEF145"/>
    <w:rsid w:val="44E08764"/>
    <w:rsid w:val="44FD4517"/>
    <w:rsid w:val="4512E9EF"/>
    <w:rsid w:val="4522328D"/>
    <w:rsid w:val="453640C1"/>
    <w:rsid w:val="453B13D7"/>
    <w:rsid w:val="4569A6DC"/>
    <w:rsid w:val="456B079D"/>
    <w:rsid w:val="457AE626"/>
    <w:rsid w:val="459F6105"/>
    <w:rsid w:val="45A42968"/>
    <w:rsid w:val="45ABF341"/>
    <w:rsid w:val="45B6457A"/>
    <w:rsid w:val="45DDAA07"/>
    <w:rsid w:val="461964C5"/>
    <w:rsid w:val="46275465"/>
    <w:rsid w:val="463FC243"/>
    <w:rsid w:val="46665F18"/>
    <w:rsid w:val="46679119"/>
    <w:rsid w:val="468897E3"/>
    <w:rsid w:val="469E9F5E"/>
    <w:rsid w:val="46A168BC"/>
    <w:rsid w:val="47233EC5"/>
    <w:rsid w:val="472C018C"/>
    <w:rsid w:val="4734EF16"/>
    <w:rsid w:val="4740CD8A"/>
    <w:rsid w:val="477FDAC9"/>
    <w:rsid w:val="47823704"/>
    <w:rsid w:val="47836B18"/>
    <w:rsid w:val="47A4FA75"/>
    <w:rsid w:val="47BEC0C5"/>
    <w:rsid w:val="47E7A54A"/>
    <w:rsid w:val="47ECAF31"/>
    <w:rsid w:val="47F5F852"/>
    <w:rsid w:val="480A9CF5"/>
    <w:rsid w:val="480FED4A"/>
    <w:rsid w:val="48238384"/>
    <w:rsid w:val="48242C15"/>
    <w:rsid w:val="484AE2AD"/>
    <w:rsid w:val="485B60C5"/>
    <w:rsid w:val="487BD3BD"/>
    <w:rsid w:val="48A09741"/>
    <w:rsid w:val="48A6DC46"/>
    <w:rsid w:val="48AF0268"/>
    <w:rsid w:val="48C4FF57"/>
    <w:rsid w:val="48CB926E"/>
    <w:rsid w:val="48FE6592"/>
    <w:rsid w:val="490BCA80"/>
    <w:rsid w:val="491FA926"/>
    <w:rsid w:val="492F9F0B"/>
    <w:rsid w:val="4936B81A"/>
    <w:rsid w:val="49488039"/>
    <w:rsid w:val="4964CCFC"/>
    <w:rsid w:val="49B36E68"/>
    <w:rsid w:val="49B613F4"/>
    <w:rsid w:val="49BCF464"/>
    <w:rsid w:val="49C37D31"/>
    <w:rsid w:val="49C71A9B"/>
    <w:rsid w:val="49D0BBF9"/>
    <w:rsid w:val="49F951EB"/>
    <w:rsid w:val="4A0787B8"/>
    <w:rsid w:val="4A0DE51E"/>
    <w:rsid w:val="4AA703B3"/>
    <w:rsid w:val="4AAD1BA1"/>
    <w:rsid w:val="4AB3D42A"/>
    <w:rsid w:val="4AC177C6"/>
    <w:rsid w:val="4AC7B0B2"/>
    <w:rsid w:val="4AFDB69A"/>
    <w:rsid w:val="4B12729F"/>
    <w:rsid w:val="4B68C0D2"/>
    <w:rsid w:val="4B917411"/>
    <w:rsid w:val="4B95224C"/>
    <w:rsid w:val="4BAF257D"/>
    <w:rsid w:val="4BB25326"/>
    <w:rsid w:val="4BBC60CC"/>
    <w:rsid w:val="4BC260C9"/>
    <w:rsid w:val="4BD3CC8A"/>
    <w:rsid w:val="4C1CAF2E"/>
    <w:rsid w:val="4C23233F"/>
    <w:rsid w:val="4C426E13"/>
    <w:rsid w:val="4C4E25E8"/>
    <w:rsid w:val="4C5839AC"/>
    <w:rsid w:val="4C6897BA"/>
    <w:rsid w:val="4C70C0A8"/>
    <w:rsid w:val="4C786B98"/>
    <w:rsid w:val="4C88A649"/>
    <w:rsid w:val="4C8B3403"/>
    <w:rsid w:val="4CB2AE73"/>
    <w:rsid w:val="4CBA7D22"/>
    <w:rsid w:val="4CC6D7C9"/>
    <w:rsid w:val="4CE911B2"/>
    <w:rsid w:val="4D0760B0"/>
    <w:rsid w:val="4D140487"/>
    <w:rsid w:val="4D523D9B"/>
    <w:rsid w:val="4D8128EB"/>
    <w:rsid w:val="4D8D2A32"/>
    <w:rsid w:val="4DA8A7F2"/>
    <w:rsid w:val="4DAE8B99"/>
    <w:rsid w:val="4DB95DAF"/>
    <w:rsid w:val="4DBAFB8E"/>
    <w:rsid w:val="4DBBC164"/>
    <w:rsid w:val="4DD77CCC"/>
    <w:rsid w:val="4DF07D13"/>
    <w:rsid w:val="4E03D97C"/>
    <w:rsid w:val="4E076D34"/>
    <w:rsid w:val="4E148C25"/>
    <w:rsid w:val="4E29D976"/>
    <w:rsid w:val="4E2B2695"/>
    <w:rsid w:val="4E383E1F"/>
    <w:rsid w:val="4E3C8303"/>
    <w:rsid w:val="4E681CC8"/>
    <w:rsid w:val="4E6DC3A1"/>
    <w:rsid w:val="4E9A9ABA"/>
    <w:rsid w:val="4EBADBC0"/>
    <w:rsid w:val="4EE62C69"/>
    <w:rsid w:val="4EF75F2E"/>
    <w:rsid w:val="4EFC208C"/>
    <w:rsid w:val="4F0721F1"/>
    <w:rsid w:val="4F296250"/>
    <w:rsid w:val="4F4C6586"/>
    <w:rsid w:val="4F56CBEF"/>
    <w:rsid w:val="4F62705D"/>
    <w:rsid w:val="4F631EBA"/>
    <w:rsid w:val="4F755A84"/>
    <w:rsid w:val="4F7905E9"/>
    <w:rsid w:val="4F96FC3E"/>
    <w:rsid w:val="4FD59018"/>
    <w:rsid w:val="4FE47414"/>
    <w:rsid w:val="503717B2"/>
    <w:rsid w:val="504B1CC9"/>
    <w:rsid w:val="505EFD79"/>
    <w:rsid w:val="505F1A3B"/>
    <w:rsid w:val="50621543"/>
    <w:rsid w:val="5062EA0E"/>
    <w:rsid w:val="5067AE56"/>
    <w:rsid w:val="507B0A00"/>
    <w:rsid w:val="50C45F78"/>
    <w:rsid w:val="50CA9EE0"/>
    <w:rsid w:val="50FAE745"/>
    <w:rsid w:val="5109BE36"/>
    <w:rsid w:val="51220CE2"/>
    <w:rsid w:val="5127EA1B"/>
    <w:rsid w:val="51281C9B"/>
    <w:rsid w:val="5128AF96"/>
    <w:rsid w:val="514059E6"/>
    <w:rsid w:val="514EC4B5"/>
    <w:rsid w:val="515C176C"/>
    <w:rsid w:val="516B5A8B"/>
    <w:rsid w:val="51B16C25"/>
    <w:rsid w:val="51BDA5FE"/>
    <w:rsid w:val="51BDE038"/>
    <w:rsid w:val="51C63CE9"/>
    <w:rsid w:val="520B38D1"/>
    <w:rsid w:val="5248B539"/>
    <w:rsid w:val="52676799"/>
    <w:rsid w:val="526BB36C"/>
    <w:rsid w:val="52781ACC"/>
    <w:rsid w:val="52A2C2A2"/>
    <w:rsid w:val="52BE2060"/>
    <w:rsid w:val="52D63A22"/>
    <w:rsid w:val="52EF627F"/>
    <w:rsid w:val="52F99970"/>
    <w:rsid w:val="5351371A"/>
    <w:rsid w:val="535CF63A"/>
    <w:rsid w:val="535E75E2"/>
    <w:rsid w:val="5368AEE6"/>
    <w:rsid w:val="53B45BC0"/>
    <w:rsid w:val="53B97775"/>
    <w:rsid w:val="53C07F9B"/>
    <w:rsid w:val="53C5E659"/>
    <w:rsid w:val="53DB5381"/>
    <w:rsid w:val="53E8970F"/>
    <w:rsid w:val="53EECC27"/>
    <w:rsid w:val="53FC755A"/>
    <w:rsid w:val="5401BE46"/>
    <w:rsid w:val="543FF6E8"/>
    <w:rsid w:val="545576A0"/>
    <w:rsid w:val="545930FC"/>
    <w:rsid w:val="546D71B6"/>
    <w:rsid w:val="54788788"/>
    <w:rsid w:val="5484D444"/>
    <w:rsid w:val="548806B0"/>
    <w:rsid w:val="54AC2B14"/>
    <w:rsid w:val="54AE688E"/>
    <w:rsid w:val="54C78A24"/>
    <w:rsid w:val="54C948B0"/>
    <w:rsid w:val="5500C444"/>
    <w:rsid w:val="55056F20"/>
    <w:rsid w:val="55625F7C"/>
    <w:rsid w:val="556AD8E7"/>
    <w:rsid w:val="55949945"/>
    <w:rsid w:val="55A72FB7"/>
    <w:rsid w:val="55D5FD11"/>
    <w:rsid w:val="55FC20B9"/>
    <w:rsid w:val="5612F0ED"/>
    <w:rsid w:val="561355DC"/>
    <w:rsid w:val="56273B64"/>
    <w:rsid w:val="5647C6CB"/>
    <w:rsid w:val="565C64B1"/>
    <w:rsid w:val="5691891E"/>
    <w:rsid w:val="569616A4"/>
    <w:rsid w:val="56A13F81"/>
    <w:rsid w:val="56A1BE70"/>
    <w:rsid w:val="56AF9EBC"/>
    <w:rsid w:val="56CB36D6"/>
    <w:rsid w:val="56DF33C8"/>
    <w:rsid w:val="56EDF125"/>
    <w:rsid w:val="56F234ED"/>
    <w:rsid w:val="570DCF4F"/>
    <w:rsid w:val="57623BFE"/>
    <w:rsid w:val="5764A9EB"/>
    <w:rsid w:val="57746CA7"/>
    <w:rsid w:val="578BA00A"/>
    <w:rsid w:val="57914E66"/>
    <w:rsid w:val="58106EEF"/>
    <w:rsid w:val="58182903"/>
    <w:rsid w:val="5842E035"/>
    <w:rsid w:val="5856BA4F"/>
    <w:rsid w:val="585A7CF7"/>
    <w:rsid w:val="587F2A90"/>
    <w:rsid w:val="58B4E48B"/>
    <w:rsid w:val="590B01F3"/>
    <w:rsid w:val="592D1EC7"/>
    <w:rsid w:val="599F8DC2"/>
    <w:rsid w:val="59B07648"/>
    <w:rsid w:val="59C002D5"/>
    <w:rsid w:val="5A25C91C"/>
    <w:rsid w:val="5A45A871"/>
    <w:rsid w:val="5A58A177"/>
    <w:rsid w:val="5A630BBE"/>
    <w:rsid w:val="5A71D2EE"/>
    <w:rsid w:val="5A8B9162"/>
    <w:rsid w:val="5A8F5C76"/>
    <w:rsid w:val="5A9A0E50"/>
    <w:rsid w:val="5A9AD96E"/>
    <w:rsid w:val="5AAA795E"/>
    <w:rsid w:val="5ADDE3A4"/>
    <w:rsid w:val="5AE0FAA3"/>
    <w:rsid w:val="5B043A24"/>
    <w:rsid w:val="5B205233"/>
    <w:rsid w:val="5B24894C"/>
    <w:rsid w:val="5B7EFB0F"/>
    <w:rsid w:val="5B9F8D23"/>
    <w:rsid w:val="5C01F9FE"/>
    <w:rsid w:val="5C15E7EE"/>
    <w:rsid w:val="5C2CAD73"/>
    <w:rsid w:val="5C4A12FD"/>
    <w:rsid w:val="5C4D9CE5"/>
    <w:rsid w:val="5C823271"/>
    <w:rsid w:val="5C968B75"/>
    <w:rsid w:val="5CA2E40D"/>
    <w:rsid w:val="5CAA1EFF"/>
    <w:rsid w:val="5CCDA110"/>
    <w:rsid w:val="5CD265CB"/>
    <w:rsid w:val="5CD64376"/>
    <w:rsid w:val="5D1978FB"/>
    <w:rsid w:val="5D651207"/>
    <w:rsid w:val="5D7465B3"/>
    <w:rsid w:val="5D8D2C1E"/>
    <w:rsid w:val="5DA49B0B"/>
    <w:rsid w:val="5DABB150"/>
    <w:rsid w:val="5E162293"/>
    <w:rsid w:val="5E324D49"/>
    <w:rsid w:val="5E77DB8E"/>
    <w:rsid w:val="5E83E76B"/>
    <w:rsid w:val="5E9716FD"/>
    <w:rsid w:val="5EEF372A"/>
    <w:rsid w:val="5F0341E2"/>
    <w:rsid w:val="5F1A323A"/>
    <w:rsid w:val="5F27777D"/>
    <w:rsid w:val="5F28FC7F"/>
    <w:rsid w:val="5F613DEF"/>
    <w:rsid w:val="5F672389"/>
    <w:rsid w:val="5F7B99A8"/>
    <w:rsid w:val="5FA26717"/>
    <w:rsid w:val="5FA9DC34"/>
    <w:rsid w:val="5FAC765C"/>
    <w:rsid w:val="5FB480F6"/>
    <w:rsid w:val="5FB9D333"/>
    <w:rsid w:val="5FE16503"/>
    <w:rsid w:val="6003AB05"/>
    <w:rsid w:val="601A90A2"/>
    <w:rsid w:val="601E0CEE"/>
    <w:rsid w:val="602DA980"/>
    <w:rsid w:val="603C66BE"/>
    <w:rsid w:val="608D1204"/>
    <w:rsid w:val="60AB8502"/>
    <w:rsid w:val="60B1056B"/>
    <w:rsid w:val="60B48390"/>
    <w:rsid w:val="60B49945"/>
    <w:rsid w:val="60B5B144"/>
    <w:rsid w:val="60D741C8"/>
    <w:rsid w:val="6105CAC3"/>
    <w:rsid w:val="611589D0"/>
    <w:rsid w:val="611613D8"/>
    <w:rsid w:val="61230416"/>
    <w:rsid w:val="612A2753"/>
    <w:rsid w:val="61810C00"/>
    <w:rsid w:val="6191446C"/>
    <w:rsid w:val="61D51436"/>
    <w:rsid w:val="61DEF5F8"/>
    <w:rsid w:val="61F3785E"/>
    <w:rsid w:val="621E591D"/>
    <w:rsid w:val="6292D54A"/>
    <w:rsid w:val="62B909ED"/>
    <w:rsid w:val="62BCEB74"/>
    <w:rsid w:val="62C2BA4B"/>
    <w:rsid w:val="62F7AA34"/>
    <w:rsid w:val="6342F474"/>
    <w:rsid w:val="6347E741"/>
    <w:rsid w:val="6348CCED"/>
    <w:rsid w:val="6364B819"/>
    <w:rsid w:val="637D7B1A"/>
    <w:rsid w:val="637F2B11"/>
    <w:rsid w:val="63832323"/>
    <w:rsid w:val="638CDB19"/>
    <w:rsid w:val="639B762A"/>
    <w:rsid w:val="63EE3B4C"/>
    <w:rsid w:val="642E389B"/>
    <w:rsid w:val="643C5277"/>
    <w:rsid w:val="644DB49A"/>
    <w:rsid w:val="648F857B"/>
    <w:rsid w:val="64A113C4"/>
    <w:rsid w:val="64D47B9A"/>
    <w:rsid w:val="650280F6"/>
    <w:rsid w:val="65057E83"/>
    <w:rsid w:val="6511DFD0"/>
    <w:rsid w:val="653EE167"/>
    <w:rsid w:val="6542CDFC"/>
    <w:rsid w:val="6556686C"/>
    <w:rsid w:val="656CBB6F"/>
    <w:rsid w:val="656F3C37"/>
    <w:rsid w:val="657947B5"/>
    <w:rsid w:val="65B1C282"/>
    <w:rsid w:val="65E948C7"/>
    <w:rsid w:val="65EA6706"/>
    <w:rsid w:val="65F62D80"/>
    <w:rsid w:val="660E369B"/>
    <w:rsid w:val="660EFDED"/>
    <w:rsid w:val="6617F31C"/>
    <w:rsid w:val="666E072A"/>
    <w:rsid w:val="6675D0F3"/>
    <w:rsid w:val="6686C9A4"/>
    <w:rsid w:val="66BF16C8"/>
    <w:rsid w:val="66C0B054"/>
    <w:rsid w:val="66D250CD"/>
    <w:rsid w:val="66D98FBC"/>
    <w:rsid w:val="66EB08EE"/>
    <w:rsid w:val="6710DCBA"/>
    <w:rsid w:val="6717C1A1"/>
    <w:rsid w:val="67216543"/>
    <w:rsid w:val="6743F230"/>
    <w:rsid w:val="6777F365"/>
    <w:rsid w:val="67B356B3"/>
    <w:rsid w:val="67D8F179"/>
    <w:rsid w:val="67E3397C"/>
    <w:rsid w:val="67EB23BC"/>
    <w:rsid w:val="68037D65"/>
    <w:rsid w:val="681E0A36"/>
    <w:rsid w:val="6838777E"/>
    <w:rsid w:val="683B6AEB"/>
    <w:rsid w:val="684664B4"/>
    <w:rsid w:val="684C55CA"/>
    <w:rsid w:val="685AE729"/>
    <w:rsid w:val="688D217A"/>
    <w:rsid w:val="68A7FB1B"/>
    <w:rsid w:val="68BC1750"/>
    <w:rsid w:val="68DDEFCE"/>
    <w:rsid w:val="68EDEE29"/>
    <w:rsid w:val="690A484C"/>
    <w:rsid w:val="69116E68"/>
    <w:rsid w:val="6924FB06"/>
    <w:rsid w:val="692DCE42"/>
    <w:rsid w:val="69405E95"/>
    <w:rsid w:val="694D5A70"/>
    <w:rsid w:val="695D610E"/>
    <w:rsid w:val="6985B038"/>
    <w:rsid w:val="69BE741D"/>
    <w:rsid w:val="69E1A89F"/>
    <w:rsid w:val="69F77082"/>
    <w:rsid w:val="6A07F1DB"/>
    <w:rsid w:val="6A25F9A8"/>
    <w:rsid w:val="6A6EDE27"/>
    <w:rsid w:val="6A71E9BD"/>
    <w:rsid w:val="6A7393D3"/>
    <w:rsid w:val="6AA4E204"/>
    <w:rsid w:val="6AED9538"/>
    <w:rsid w:val="6B12D9A2"/>
    <w:rsid w:val="6B1CE1F0"/>
    <w:rsid w:val="6B201C11"/>
    <w:rsid w:val="6B23EAFB"/>
    <w:rsid w:val="6B2760A4"/>
    <w:rsid w:val="6B31EACF"/>
    <w:rsid w:val="6B34397D"/>
    <w:rsid w:val="6B5BABF7"/>
    <w:rsid w:val="6B6DF70B"/>
    <w:rsid w:val="6B8A3CF6"/>
    <w:rsid w:val="6B901455"/>
    <w:rsid w:val="6BDF8CE5"/>
    <w:rsid w:val="6C6362B1"/>
    <w:rsid w:val="6CAEAA03"/>
    <w:rsid w:val="6D1236EF"/>
    <w:rsid w:val="6D157B08"/>
    <w:rsid w:val="6D194961"/>
    <w:rsid w:val="6D601F61"/>
    <w:rsid w:val="6D679176"/>
    <w:rsid w:val="6D766016"/>
    <w:rsid w:val="6D778B5A"/>
    <w:rsid w:val="6D9A3DED"/>
    <w:rsid w:val="6DB3B05E"/>
    <w:rsid w:val="6DB7C08A"/>
    <w:rsid w:val="6DC71D1B"/>
    <w:rsid w:val="6DD27FAB"/>
    <w:rsid w:val="6DD8D7D8"/>
    <w:rsid w:val="6E1A5E31"/>
    <w:rsid w:val="6E2E2C98"/>
    <w:rsid w:val="6E3C1422"/>
    <w:rsid w:val="6E7BD7AD"/>
    <w:rsid w:val="6E90C4FC"/>
    <w:rsid w:val="6E9DE489"/>
    <w:rsid w:val="6EBF23C6"/>
    <w:rsid w:val="6ECF3176"/>
    <w:rsid w:val="6F0F2784"/>
    <w:rsid w:val="6F22C2D7"/>
    <w:rsid w:val="6F297BC9"/>
    <w:rsid w:val="6F2B58D4"/>
    <w:rsid w:val="6F74F6D2"/>
    <w:rsid w:val="6F8C6492"/>
    <w:rsid w:val="6FA1B37A"/>
    <w:rsid w:val="6FB318C7"/>
    <w:rsid w:val="6FBF10DE"/>
    <w:rsid w:val="6FD4862D"/>
    <w:rsid w:val="6FF6C0EC"/>
    <w:rsid w:val="7000CC33"/>
    <w:rsid w:val="701F7E3E"/>
    <w:rsid w:val="7026ED04"/>
    <w:rsid w:val="7050D68C"/>
    <w:rsid w:val="7069181D"/>
    <w:rsid w:val="70AB9AEE"/>
    <w:rsid w:val="70AF4A43"/>
    <w:rsid w:val="70C72935"/>
    <w:rsid w:val="70F2ED41"/>
    <w:rsid w:val="70F74DCF"/>
    <w:rsid w:val="712CDBF3"/>
    <w:rsid w:val="7138E027"/>
    <w:rsid w:val="7152D6EA"/>
    <w:rsid w:val="717BC713"/>
    <w:rsid w:val="719FB504"/>
    <w:rsid w:val="719FD9BE"/>
    <w:rsid w:val="71C07120"/>
    <w:rsid w:val="71D0E2E5"/>
    <w:rsid w:val="71E8B7FA"/>
    <w:rsid w:val="71E9DB0F"/>
    <w:rsid w:val="71FD723D"/>
    <w:rsid w:val="72217A3D"/>
    <w:rsid w:val="7259050F"/>
    <w:rsid w:val="7260BCEA"/>
    <w:rsid w:val="7278BC89"/>
    <w:rsid w:val="727EEB4A"/>
    <w:rsid w:val="72C03B22"/>
    <w:rsid w:val="72EF5A35"/>
    <w:rsid w:val="7307A0DF"/>
    <w:rsid w:val="7307EC80"/>
    <w:rsid w:val="732CFAD8"/>
    <w:rsid w:val="7389C531"/>
    <w:rsid w:val="73F9690F"/>
    <w:rsid w:val="740A1583"/>
    <w:rsid w:val="742A629D"/>
    <w:rsid w:val="745BD43D"/>
    <w:rsid w:val="746F16E6"/>
    <w:rsid w:val="748DEDFE"/>
    <w:rsid w:val="748F5925"/>
    <w:rsid w:val="74CDEA27"/>
    <w:rsid w:val="74E24CA2"/>
    <w:rsid w:val="74E78A51"/>
    <w:rsid w:val="75273FBE"/>
    <w:rsid w:val="7546531B"/>
    <w:rsid w:val="756C0C44"/>
    <w:rsid w:val="757536D2"/>
    <w:rsid w:val="757D7A40"/>
    <w:rsid w:val="7586C4DE"/>
    <w:rsid w:val="75870D30"/>
    <w:rsid w:val="75879A06"/>
    <w:rsid w:val="758D47F1"/>
    <w:rsid w:val="7597B754"/>
    <w:rsid w:val="75B54FBB"/>
    <w:rsid w:val="75DFD508"/>
    <w:rsid w:val="75E33075"/>
    <w:rsid w:val="75F0FB8F"/>
    <w:rsid w:val="7608F792"/>
    <w:rsid w:val="760915F3"/>
    <w:rsid w:val="76178BA2"/>
    <w:rsid w:val="764F25BC"/>
    <w:rsid w:val="769D25EB"/>
    <w:rsid w:val="76BD084E"/>
    <w:rsid w:val="76CE27F4"/>
    <w:rsid w:val="76FC3938"/>
    <w:rsid w:val="772E02EA"/>
    <w:rsid w:val="77516E98"/>
    <w:rsid w:val="77548B2E"/>
    <w:rsid w:val="775B4501"/>
    <w:rsid w:val="77891FC0"/>
    <w:rsid w:val="77B64611"/>
    <w:rsid w:val="77C37E31"/>
    <w:rsid w:val="77C58EC0"/>
    <w:rsid w:val="77DE1882"/>
    <w:rsid w:val="77DEB65E"/>
    <w:rsid w:val="77F4DF7D"/>
    <w:rsid w:val="780436AB"/>
    <w:rsid w:val="78240868"/>
    <w:rsid w:val="783F0A4F"/>
    <w:rsid w:val="78603DF2"/>
    <w:rsid w:val="788F3849"/>
    <w:rsid w:val="78964DE9"/>
    <w:rsid w:val="78996612"/>
    <w:rsid w:val="78B7BABF"/>
    <w:rsid w:val="78D7440D"/>
    <w:rsid w:val="791819CE"/>
    <w:rsid w:val="791B8811"/>
    <w:rsid w:val="794FBEFB"/>
    <w:rsid w:val="7954C024"/>
    <w:rsid w:val="7975F0A9"/>
    <w:rsid w:val="79870FE3"/>
    <w:rsid w:val="79BFB08C"/>
    <w:rsid w:val="79D218B8"/>
    <w:rsid w:val="79D36A46"/>
    <w:rsid w:val="79F08869"/>
    <w:rsid w:val="79F41198"/>
    <w:rsid w:val="79FEF73C"/>
    <w:rsid w:val="7A0112EB"/>
    <w:rsid w:val="7A34550A"/>
    <w:rsid w:val="7A5AD416"/>
    <w:rsid w:val="7A5E0C9B"/>
    <w:rsid w:val="7A9C567F"/>
    <w:rsid w:val="7AB61BD2"/>
    <w:rsid w:val="7AC3088A"/>
    <w:rsid w:val="7ACADF89"/>
    <w:rsid w:val="7ADC3895"/>
    <w:rsid w:val="7AE38944"/>
    <w:rsid w:val="7AFD0B6C"/>
    <w:rsid w:val="7B1DE5B6"/>
    <w:rsid w:val="7B2EFDBC"/>
    <w:rsid w:val="7B36B2E9"/>
    <w:rsid w:val="7B4C16D7"/>
    <w:rsid w:val="7B6F038F"/>
    <w:rsid w:val="7B7C9CC7"/>
    <w:rsid w:val="7B7D88EB"/>
    <w:rsid w:val="7BAD784A"/>
    <w:rsid w:val="7BB325B1"/>
    <w:rsid w:val="7BC6DCDB"/>
    <w:rsid w:val="7C021A4E"/>
    <w:rsid w:val="7C42DCF1"/>
    <w:rsid w:val="7C4A3496"/>
    <w:rsid w:val="7CAF1C15"/>
    <w:rsid w:val="7CB7CCA1"/>
    <w:rsid w:val="7CCF41AB"/>
    <w:rsid w:val="7CDF9269"/>
    <w:rsid w:val="7CE47672"/>
    <w:rsid w:val="7CF6B8E5"/>
    <w:rsid w:val="7D3EC2DF"/>
    <w:rsid w:val="7D5215AA"/>
    <w:rsid w:val="7D944D53"/>
    <w:rsid w:val="7DA9C4DC"/>
    <w:rsid w:val="7DACCD64"/>
    <w:rsid w:val="7DC360AF"/>
    <w:rsid w:val="7DC7230C"/>
    <w:rsid w:val="7DE06F9A"/>
    <w:rsid w:val="7DEA553B"/>
    <w:rsid w:val="7DF80199"/>
    <w:rsid w:val="7E2748EA"/>
    <w:rsid w:val="7E4A73BA"/>
    <w:rsid w:val="7E4AEC76"/>
    <w:rsid w:val="7E6192E3"/>
    <w:rsid w:val="7E634A8A"/>
    <w:rsid w:val="7E92DC92"/>
    <w:rsid w:val="7EBE8DBC"/>
    <w:rsid w:val="7EC98C31"/>
    <w:rsid w:val="7ED94F16"/>
    <w:rsid w:val="7EFAEF92"/>
    <w:rsid w:val="7F011C5B"/>
    <w:rsid w:val="7F133854"/>
    <w:rsid w:val="7F2CD282"/>
    <w:rsid w:val="7F3D4E32"/>
    <w:rsid w:val="7F4955F8"/>
    <w:rsid w:val="7F967C36"/>
    <w:rsid w:val="7F9D4485"/>
    <w:rsid w:val="7FA2B971"/>
    <w:rsid w:val="7FB5ECE2"/>
    <w:rsid w:val="7FBAE2F4"/>
    <w:rsid w:val="7FCE364D"/>
    <w:rsid w:val="7FD2AC18"/>
    <w:rsid w:val="7FE92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B68EED7E-7B7D-45C4-AD31-C4B727758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C2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344DD9"/>
    <w:pPr>
      <w:keepNext/>
      <w:keepLines/>
      <w:spacing w:before="200"/>
      <w:outlineLvl w:val="1"/>
    </w:pPr>
    <w:rPr>
      <w:rFonts w:asciiTheme="minorHAnsi" w:hAnsiTheme="minorHAnsi"/>
      <w:b/>
      <w:bCs/>
      <w:color w:val="1D1B11" w:themeColor="background2" w:themeShade="1A"/>
      <w:sz w:val="26"/>
      <w:szCs w:val="26"/>
    </w:rPr>
  </w:style>
  <w:style w:type="paragraph" w:styleId="Heading3">
    <w:name w:val="heading 3"/>
    <w:basedOn w:val="Normal"/>
    <w:next w:val="Normal"/>
    <w:link w:val="Heading3Char"/>
    <w:uiPriority w:val="99"/>
    <w:qFormat/>
    <w:locked/>
    <w:rsid w:val="00344DD9"/>
    <w:pPr>
      <w:keepNext/>
      <w:keepLines/>
      <w:spacing w:before="200"/>
      <w:outlineLvl w:val="2"/>
    </w:pPr>
    <w:rPr>
      <w:rFonts w:asciiTheme="minorHAnsi" w:hAnsiTheme="minorHAnsi"/>
      <w:b/>
      <w:bCs/>
    </w:rPr>
  </w:style>
  <w:style w:type="paragraph" w:styleId="Heading4">
    <w:name w:val="heading 4"/>
    <w:basedOn w:val="Normal"/>
    <w:next w:val="Normal"/>
    <w:link w:val="Heading4Char"/>
    <w:unhideWhenUsed/>
    <w:qFormat/>
    <w:locked/>
    <w:rsid w:val="006C1091"/>
    <w:pPr>
      <w:keepNext/>
      <w:keepLines/>
      <w:spacing w:before="40"/>
      <w:outlineLvl w:val="3"/>
    </w:pPr>
    <w:rPr>
      <w:rFonts w:asciiTheme="minorHAnsi" w:eastAsiaTheme="majorEastAsia" w:hAnsiTheme="min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344DD9"/>
    <w:rPr>
      <w:rFonts w:asciiTheme="minorHAnsi" w:hAnsiTheme="minorHAnsi"/>
      <w:b/>
      <w:bCs/>
      <w:color w:val="1D1B11" w:themeColor="background2" w:themeShade="1A"/>
      <w:sz w:val="26"/>
      <w:szCs w:val="26"/>
    </w:rPr>
  </w:style>
  <w:style w:type="character" w:customStyle="1" w:styleId="Heading3Char">
    <w:name w:val="Heading 3 Char"/>
    <w:basedOn w:val="DefaultParagraphFont"/>
    <w:link w:val="Heading3"/>
    <w:uiPriority w:val="99"/>
    <w:locked/>
    <w:rsid w:val="00344DD9"/>
    <w:rPr>
      <w:rFonts w:asciiTheme="minorHAnsi" w:hAnsiTheme="minorHAnsi"/>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240" w:after="120"/>
    </w:pPr>
    <w:rPr>
      <w:rFonts w:asciiTheme="minorHAnsi" w:hAnsiTheme="minorHAnsi" w:cstheme="minorHAnsi"/>
      <w:b/>
      <w:bCs/>
      <w:sz w:val="20"/>
      <w:szCs w:val="20"/>
    </w:rPr>
  </w:style>
  <w:style w:type="paragraph" w:styleId="TOC2">
    <w:name w:val="toc 2"/>
    <w:basedOn w:val="Normal"/>
    <w:next w:val="Normal"/>
    <w:uiPriority w:val="39"/>
    <w:locked/>
    <w:rsid w:val="006B4C20"/>
    <w:pPr>
      <w:spacing w:before="120"/>
      <w:ind w:left="240"/>
    </w:pPr>
    <w:rPr>
      <w:rFonts w:asciiTheme="minorHAnsi" w:hAnsiTheme="minorHAnsi" w:cstheme="minorHAnsi"/>
      <w:i/>
      <w:iC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835604"/>
    <w:rPr>
      <w:rFonts w:cs="Times New Roman"/>
      <w:color w:val="auto"/>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5B029C"/>
    <w:rPr>
      <w:rFonts w:cs="Times New Roman"/>
      <w:color w:val="auto"/>
      <w:u w:val="single"/>
    </w:rPr>
  </w:style>
  <w:style w:type="paragraph" w:styleId="TOC3">
    <w:name w:val="toc 3"/>
    <w:basedOn w:val="Normal"/>
    <w:next w:val="Normal"/>
    <w:autoRedefine/>
    <w:uiPriority w:val="39"/>
    <w:locked/>
    <w:rsid w:val="00FB1C28"/>
    <w:pPr>
      <w:tabs>
        <w:tab w:val="left" w:pos="960"/>
        <w:tab w:val="right" w:leader="dot" w:pos="9523"/>
      </w:tabs>
      <w:ind w:left="480"/>
    </w:pPr>
    <w:rPr>
      <w:rFonts w:ascii="Calibri" w:hAnsi="Calibri" w:cs="Calibri"/>
      <w:i/>
      <w:iCs/>
      <w:sz w:val="20"/>
      <w:szCs w:val="20"/>
    </w:rPr>
  </w:style>
  <w:style w:type="paragraph" w:styleId="TOC4">
    <w:name w:val="toc 4"/>
    <w:basedOn w:val="Normal"/>
    <w:next w:val="Normal"/>
    <w:autoRedefine/>
    <w:uiPriority w:val="39"/>
    <w:locked/>
    <w:rsid w:val="003C664A"/>
    <w:pPr>
      <w:ind w:left="720"/>
    </w:pPr>
    <w:rPr>
      <w:rFonts w:asciiTheme="minorHAnsi" w:hAnsiTheme="minorHAnsi" w:cstheme="minorHAnsi"/>
      <w:sz w:val="20"/>
      <w:szCs w:val="20"/>
    </w:rPr>
  </w:style>
  <w:style w:type="paragraph" w:styleId="TOC5">
    <w:name w:val="toc 5"/>
    <w:basedOn w:val="Normal"/>
    <w:next w:val="Normal"/>
    <w:autoRedefine/>
    <w:uiPriority w:val="99"/>
    <w:locked/>
    <w:rsid w:val="003C664A"/>
    <w:pPr>
      <w:ind w:left="960"/>
    </w:pPr>
    <w:rPr>
      <w:rFonts w:asciiTheme="minorHAnsi" w:hAnsiTheme="minorHAnsi" w:cstheme="minorHAnsi"/>
      <w:sz w:val="20"/>
      <w:szCs w:val="20"/>
    </w:rPr>
  </w:style>
  <w:style w:type="paragraph" w:styleId="TOC6">
    <w:name w:val="toc 6"/>
    <w:basedOn w:val="Normal"/>
    <w:next w:val="Normal"/>
    <w:autoRedefine/>
    <w:uiPriority w:val="99"/>
    <w:locked/>
    <w:rsid w:val="003C664A"/>
    <w:pPr>
      <w:ind w:left="1200"/>
    </w:pPr>
    <w:rPr>
      <w:rFonts w:asciiTheme="minorHAnsi" w:hAnsiTheme="minorHAnsi" w:cstheme="minorHAnsi"/>
      <w:sz w:val="20"/>
      <w:szCs w:val="20"/>
    </w:rPr>
  </w:style>
  <w:style w:type="paragraph" w:styleId="TOC7">
    <w:name w:val="toc 7"/>
    <w:basedOn w:val="Normal"/>
    <w:next w:val="Normal"/>
    <w:autoRedefine/>
    <w:uiPriority w:val="99"/>
    <w:locked/>
    <w:rsid w:val="003C664A"/>
    <w:pPr>
      <w:ind w:left="1440"/>
    </w:pPr>
    <w:rPr>
      <w:rFonts w:asciiTheme="minorHAnsi" w:hAnsiTheme="minorHAnsi" w:cstheme="minorHAnsi"/>
      <w:sz w:val="20"/>
      <w:szCs w:val="20"/>
    </w:rPr>
  </w:style>
  <w:style w:type="paragraph" w:styleId="TOC8">
    <w:name w:val="toc 8"/>
    <w:basedOn w:val="Normal"/>
    <w:next w:val="Normal"/>
    <w:autoRedefine/>
    <w:uiPriority w:val="99"/>
    <w:locked/>
    <w:rsid w:val="003C664A"/>
    <w:pPr>
      <w:ind w:left="1680"/>
    </w:pPr>
    <w:rPr>
      <w:rFonts w:asciiTheme="minorHAnsi" w:hAnsiTheme="minorHAnsi" w:cstheme="minorHAnsi"/>
      <w:sz w:val="20"/>
      <w:szCs w:val="20"/>
    </w:rPr>
  </w:style>
  <w:style w:type="paragraph" w:styleId="TOC9">
    <w:name w:val="toc 9"/>
    <w:basedOn w:val="Normal"/>
    <w:next w:val="Normal"/>
    <w:autoRedefine/>
    <w:uiPriority w:val="99"/>
    <w:locked/>
    <w:rsid w:val="003C664A"/>
    <w:pPr>
      <w:ind w:left="1920"/>
    </w:pPr>
    <w:rPr>
      <w:rFonts w:asciiTheme="minorHAnsi" w:hAnsiTheme="minorHAnsi" w:cstheme="minorHAnsi"/>
      <w:sz w:val="20"/>
      <w:szCs w:val="20"/>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AB7C44"/>
    <w:pPr>
      <w:widowControl/>
      <w:autoSpaceDE/>
      <w:autoSpaceDN/>
      <w:adjustRightInd/>
      <w:spacing w:before="100" w:beforeAutospacing="1" w:after="100" w:afterAutospacing="1"/>
    </w:pPr>
  </w:style>
  <w:style w:type="character" w:customStyle="1" w:styleId="normaltextrun">
    <w:name w:val="normaltextrun"/>
    <w:basedOn w:val="DefaultParagraphFont"/>
    <w:rsid w:val="00AB7C44"/>
  </w:style>
  <w:style w:type="character" w:customStyle="1" w:styleId="eop">
    <w:name w:val="eop"/>
    <w:basedOn w:val="DefaultParagraphFont"/>
    <w:rsid w:val="00AB7C44"/>
  </w:style>
  <w:style w:type="table" w:styleId="TableGridLight">
    <w:name w:val="Grid Table Light"/>
    <w:basedOn w:val="TableNormal"/>
    <w:uiPriority w:val="40"/>
    <w:rsid w:val="00792B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next w:val="GridTable4"/>
    <w:uiPriority w:val="49"/>
    <w:rsid w:val="004D072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Strong">
    <w:name w:val="Strong"/>
    <w:basedOn w:val="DefaultParagraphFont"/>
    <w:qFormat/>
    <w:locked/>
    <w:rsid w:val="00DA0886"/>
    <w:rPr>
      <w:b/>
      <w:bCs/>
    </w:rPr>
  </w:style>
  <w:style w:type="character" w:styleId="Mention">
    <w:name w:val="Mention"/>
    <w:basedOn w:val="DefaultParagraphFont"/>
    <w:uiPriority w:val="99"/>
    <w:unhideWhenUsed/>
    <w:rsid w:val="00DE3888"/>
    <w:rPr>
      <w:color w:val="2B579A"/>
      <w:shd w:val="clear" w:color="auto" w:fill="E1DFDD"/>
    </w:rPr>
  </w:style>
  <w:style w:type="character" w:styleId="UnresolvedMention">
    <w:name w:val="Unresolved Mention"/>
    <w:basedOn w:val="DefaultParagraphFont"/>
    <w:uiPriority w:val="99"/>
    <w:semiHidden/>
    <w:unhideWhenUsed/>
    <w:rsid w:val="00A84BC8"/>
    <w:rPr>
      <w:color w:val="605E5C"/>
      <w:shd w:val="clear" w:color="auto" w:fill="E1DFDD"/>
    </w:rPr>
  </w:style>
  <w:style w:type="character" w:customStyle="1" w:styleId="ui-provider">
    <w:name w:val="ui-provider"/>
    <w:basedOn w:val="DefaultParagraphFont"/>
    <w:uiPriority w:val="1"/>
    <w:rsid w:val="00555481"/>
  </w:style>
  <w:style w:type="table" w:styleId="GridTable1Light">
    <w:name w:val="Grid Table 1 Light"/>
    <w:basedOn w:val="TableNormal"/>
    <w:uiPriority w:val="46"/>
    <w:rsid w:val="001418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rsid w:val="006C1091"/>
    <w:rPr>
      <w:rFonts w:asciiTheme="minorHAnsi" w:eastAsiaTheme="majorEastAsia" w:hAnsiTheme="minorHAnsi" w:cstheme="majorBidi"/>
      <w:b/>
      <w:iCs/>
      <w:sz w:val="24"/>
      <w:szCs w:val="24"/>
    </w:rPr>
  </w:style>
  <w:style w:type="paragraph" w:styleId="BodyText">
    <w:name w:val="Body Text"/>
    <w:basedOn w:val="Normal"/>
    <w:link w:val="BodyTextChar"/>
    <w:uiPriority w:val="1"/>
    <w:qFormat/>
    <w:rsid w:val="00D96B93"/>
    <w:pPr>
      <w:adjustRightInd/>
    </w:pPr>
  </w:style>
  <w:style w:type="character" w:customStyle="1" w:styleId="BodyTextChar">
    <w:name w:val="Body Text Char"/>
    <w:basedOn w:val="DefaultParagraphFont"/>
    <w:link w:val="BodyText"/>
    <w:uiPriority w:val="1"/>
    <w:rsid w:val="00D96B9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12768370">
      <w:bodyDiv w:val="1"/>
      <w:marLeft w:val="0"/>
      <w:marRight w:val="0"/>
      <w:marTop w:val="0"/>
      <w:marBottom w:val="0"/>
      <w:divBdr>
        <w:top w:val="none" w:sz="0" w:space="0" w:color="auto"/>
        <w:left w:val="none" w:sz="0" w:space="0" w:color="auto"/>
        <w:bottom w:val="none" w:sz="0" w:space="0" w:color="auto"/>
        <w:right w:val="none" w:sz="0" w:space="0" w:color="auto"/>
      </w:divBdr>
      <w:divsChild>
        <w:div w:id="229658478">
          <w:marLeft w:val="0"/>
          <w:marRight w:val="0"/>
          <w:marTop w:val="0"/>
          <w:marBottom w:val="0"/>
          <w:divBdr>
            <w:top w:val="none" w:sz="0" w:space="0" w:color="auto"/>
            <w:left w:val="none" w:sz="0" w:space="0" w:color="auto"/>
            <w:bottom w:val="none" w:sz="0" w:space="0" w:color="auto"/>
            <w:right w:val="none" w:sz="0" w:space="0" w:color="auto"/>
          </w:divBdr>
        </w:div>
        <w:div w:id="838810552">
          <w:marLeft w:val="0"/>
          <w:marRight w:val="0"/>
          <w:marTop w:val="0"/>
          <w:marBottom w:val="0"/>
          <w:divBdr>
            <w:top w:val="none" w:sz="0" w:space="0" w:color="auto"/>
            <w:left w:val="none" w:sz="0" w:space="0" w:color="auto"/>
            <w:bottom w:val="none" w:sz="0" w:space="0" w:color="auto"/>
            <w:right w:val="none" w:sz="0" w:space="0" w:color="auto"/>
          </w:divBdr>
          <w:divsChild>
            <w:div w:id="257178716">
              <w:marLeft w:val="0"/>
              <w:marRight w:val="0"/>
              <w:marTop w:val="30"/>
              <w:marBottom w:val="30"/>
              <w:divBdr>
                <w:top w:val="none" w:sz="0" w:space="0" w:color="auto"/>
                <w:left w:val="none" w:sz="0" w:space="0" w:color="auto"/>
                <w:bottom w:val="none" w:sz="0" w:space="0" w:color="auto"/>
                <w:right w:val="none" w:sz="0" w:space="0" w:color="auto"/>
              </w:divBdr>
              <w:divsChild>
                <w:div w:id="16153253">
                  <w:marLeft w:val="0"/>
                  <w:marRight w:val="0"/>
                  <w:marTop w:val="0"/>
                  <w:marBottom w:val="0"/>
                  <w:divBdr>
                    <w:top w:val="none" w:sz="0" w:space="0" w:color="auto"/>
                    <w:left w:val="none" w:sz="0" w:space="0" w:color="auto"/>
                    <w:bottom w:val="none" w:sz="0" w:space="0" w:color="auto"/>
                    <w:right w:val="none" w:sz="0" w:space="0" w:color="auto"/>
                  </w:divBdr>
                  <w:divsChild>
                    <w:div w:id="1064186410">
                      <w:marLeft w:val="0"/>
                      <w:marRight w:val="0"/>
                      <w:marTop w:val="0"/>
                      <w:marBottom w:val="0"/>
                      <w:divBdr>
                        <w:top w:val="none" w:sz="0" w:space="0" w:color="auto"/>
                        <w:left w:val="none" w:sz="0" w:space="0" w:color="auto"/>
                        <w:bottom w:val="none" w:sz="0" w:space="0" w:color="auto"/>
                        <w:right w:val="none" w:sz="0" w:space="0" w:color="auto"/>
                      </w:divBdr>
                    </w:div>
                  </w:divsChild>
                </w:div>
                <w:div w:id="118380171">
                  <w:marLeft w:val="0"/>
                  <w:marRight w:val="0"/>
                  <w:marTop w:val="0"/>
                  <w:marBottom w:val="0"/>
                  <w:divBdr>
                    <w:top w:val="none" w:sz="0" w:space="0" w:color="auto"/>
                    <w:left w:val="none" w:sz="0" w:space="0" w:color="auto"/>
                    <w:bottom w:val="none" w:sz="0" w:space="0" w:color="auto"/>
                    <w:right w:val="none" w:sz="0" w:space="0" w:color="auto"/>
                  </w:divBdr>
                  <w:divsChild>
                    <w:div w:id="1725374379">
                      <w:marLeft w:val="0"/>
                      <w:marRight w:val="0"/>
                      <w:marTop w:val="0"/>
                      <w:marBottom w:val="0"/>
                      <w:divBdr>
                        <w:top w:val="none" w:sz="0" w:space="0" w:color="auto"/>
                        <w:left w:val="none" w:sz="0" w:space="0" w:color="auto"/>
                        <w:bottom w:val="none" w:sz="0" w:space="0" w:color="auto"/>
                        <w:right w:val="none" w:sz="0" w:space="0" w:color="auto"/>
                      </w:divBdr>
                    </w:div>
                  </w:divsChild>
                </w:div>
                <w:div w:id="446897868">
                  <w:marLeft w:val="0"/>
                  <w:marRight w:val="0"/>
                  <w:marTop w:val="0"/>
                  <w:marBottom w:val="0"/>
                  <w:divBdr>
                    <w:top w:val="none" w:sz="0" w:space="0" w:color="auto"/>
                    <w:left w:val="none" w:sz="0" w:space="0" w:color="auto"/>
                    <w:bottom w:val="none" w:sz="0" w:space="0" w:color="auto"/>
                    <w:right w:val="none" w:sz="0" w:space="0" w:color="auto"/>
                  </w:divBdr>
                  <w:divsChild>
                    <w:div w:id="1175999785">
                      <w:marLeft w:val="0"/>
                      <w:marRight w:val="0"/>
                      <w:marTop w:val="0"/>
                      <w:marBottom w:val="0"/>
                      <w:divBdr>
                        <w:top w:val="none" w:sz="0" w:space="0" w:color="auto"/>
                        <w:left w:val="none" w:sz="0" w:space="0" w:color="auto"/>
                        <w:bottom w:val="none" w:sz="0" w:space="0" w:color="auto"/>
                        <w:right w:val="none" w:sz="0" w:space="0" w:color="auto"/>
                      </w:divBdr>
                    </w:div>
                  </w:divsChild>
                </w:div>
                <w:div w:id="454762714">
                  <w:marLeft w:val="0"/>
                  <w:marRight w:val="0"/>
                  <w:marTop w:val="0"/>
                  <w:marBottom w:val="0"/>
                  <w:divBdr>
                    <w:top w:val="none" w:sz="0" w:space="0" w:color="auto"/>
                    <w:left w:val="none" w:sz="0" w:space="0" w:color="auto"/>
                    <w:bottom w:val="none" w:sz="0" w:space="0" w:color="auto"/>
                    <w:right w:val="none" w:sz="0" w:space="0" w:color="auto"/>
                  </w:divBdr>
                  <w:divsChild>
                    <w:div w:id="1591160519">
                      <w:marLeft w:val="0"/>
                      <w:marRight w:val="0"/>
                      <w:marTop w:val="0"/>
                      <w:marBottom w:val="0"/>
                      <w:divBdr>
                        <w:top w:val="none" w:sz="0" w:space="0" w:color="auto"/>
                        <w:left w:val="none" w:sz="0" w:space="0" w:color="auto"/>
                        <w:bottom w:val="none" w:sz="0" w:space="0" w:color="auto"/>
                        <w:right w:val="none" w:sz="0" w:space="0" w:color="auto"/>
                      </w:divBdr>
                    </w:div>
                  </w:divsChild>
                </w:div>
                <w:div w:id="475879152">
                  <w:marLeft w:val="0"/>
                  <w:marRight w:val="0"/>
                  <w:marTop w:val="0"/>
                  <w:marBottom w:val="0"/>
                  <w:divBdr>
                    <w:top w:val="none" w:sz="0" w:space="0" w:color="auto"/>
                    <w:left w:val="none" w:sz="0" w:space="0" w:color="auto"/>
                    <w:bottom w:val="none" w:sz="0" w:space="0" w:color="auto"/>
                    <w:right w:val="none" w:sz="0" w:space="0" w:color="auto"/>
                  </w:divBdr>
                  <w:divsChild>
                    <w:div w:id="1516462568">
                      <w:marLeft w:val="0"/>
                      <w:marRight w:val="0"/>
                      <w:marTop w:val="0"/>
                      <w:marBottom w:val="0"/>
                      <w:divBdr>
                        <w:top w:val="none" w:sz="0" w:space="0" w:color="auto"/>
                        <w:left w:val="none" w:sz="0" w:space="0" w:color="auto"/>
                        <w:bottom w:val="none" w:sz="0" w:space="0" w:color="auto"/>
                        <w:right w:val="none" w:sz="0" w:space="0" w:color="auto"/>
                      </w:divBdr>
                    </w:div>
                  </w:divsChild>
                </w:div>
                <w:div w:id="563612578">
                  <w:marLeft w:val="0"/>
                  <w:marRight w:val="0"/>
                  <w:marTop w:val="0"/>
                  <w:marBottom w:val="0"/>
                  <w:divBdr>
                    <w:top w:val="none" w:sz="0" w:space="0" w:color="auto"/>
                    <w:left w:val="none" w:sz="0" w:space="0" w:color="auto"/>
                    <w:bottom w:val="none" w:sz="0" w:space="0" w:color="auto"/>
                    <w:right w:val="none" w:sz="0" w:space="0" w:color="auto"/>
                  </w:divBdr>
                  <w:divsChild>
                    <w:div w:id="862206637">
                      <w:marLeft w:val="0"/>
                      <w:marRight w:val="0"/>
                      <w:marTop w:val="0"/>
                      <w:marBottom w:val="0"/>
                      <w:divBdr>
                        <w:top w:val="none" w:sz="0" w:space="0" w:color="auto"/>
                        <w:left w:val="none" w:sz="0" w:space="0" w:color="auto"/>
                        <w:bottom w:val="none" w:sz="0" w:space="0" w:color="auto"/>
                        <w:right w:val="none" w:sz="0" w:space="0" w:color="auto"/>
                      </w:divBdr>
                    </w:div>
                  </w:divsChild>
                </w:div>
                <w:div w:id="624892851">
                  <w:marLeft w:val="0"/>
                  <w:marRight w:val="0"/>
                  <w:marTop w:val="0"/>
                  <w:marBottom w:val="0"/>
                  <w:divBdr>
                    <w:top w:val="none" w:sz="0" w:space="0" w:color="auto"/>
                    <w:left w:val="none" w:sz="0" w:space="0" w:color="auto"/>
                    <w:bottom w:val="none" w:sz="0" w:space="0" w:color="auto"/>
                    <w:right w:val="none" w:sz="0" w:space="0" w:color="auto"/>
                  </w:divBdr>
                  <w:divsChild>
                    <w:div w:id="1824391449">
                      <w:marLeft w:val="0"/>
                      <w:marRight w:val="0"/>
                      <w:marTop w:val="0"/>
                      <w:marBottom w:val="0"/>
                      <w:divBdr>
                        <w:top w:val="none" w:sz="0" w:space="0" w:color="auto"/>
                        <w:left w:val="none" w:sz="0" w:space="0" w:color="auto"/>
                        <w:bottom w:val="none" w:sz="0" w:space="0" w:color="auto"/>
                        <w:right w:val="none" w:sz="0" w:space="0" w:color="auto"/>
                      </w:divBdr>
                    </w:div>
                  </w:divsChild>
                </w:div>
                <w:div w:id="633290784">
                  <w:marLeft w:val="0"/>
                  <w:marRight w:val="0"/>
                  <w:marTop w:val="0"/>
                  <w:marBottom w:val="0"/>
                  <w:divBdr>
                    <w:top w:val="none" w:sz="0" w:space="0" w:color="auto"/>
                    <w:left w:val="none" w:sz="0" w:space="0" w:color="auto"/>
                    <w:bottom w:val="none" w:sz="0" w:space="0" w:color="auto"/>
                    <w:right w:val="none" w:sz="0" w:space="0" w:color="auto"/>
                  </w:divBdr>
                  <w:divsChild>
                    <w:div w:id="1588420292">
                      <w:marLeft w:val="0"/>
                      <w:marRight w:val="0"/>
                      <w:marTop w:val="0"/>
                      <w:marBottom w:val="0"/>
                      <w:divBdr>
                        <w:top w:val="none" w:sz="0" w:space="0" w:color="auto"/>
                        <w:left w:val="none" w:sz="0" w:space="0" w:color="auto"/>
                        <w:bottom w:val="none" w:sz="0" w:space="0" w:color="auto"/>
                        <w:right w:val="none" w:sz="0" w:space="0" w:color="auto"/>
                      </w:divBdr>
                    </w:div>
                  </w:divsChild>
                </w:div>
                <w:div w:id="712004549">
                  <w:marLeft w:val="0"/>
                  <w:marRight w:val="0"/>
                  <w:marTop w:val="0"/>
                  <w:marBottom w:val="0"/>
                  <w:divBdr>
                    <w:top w:val="none" w:sz="0" w:space="0" w:color="auto"/>
                    <w:left w:val="none" w:sz="0" w:space="0" w:color="auto"/>
                    <w:bottom w:val="none" w:sz="0" w:space="0" w:color="auto"/>
                    <w:right w:val="none" w:sz="0" w:space="0" w:color="auto"/>
                  </w:divBdr>
                  <w:divsChild>
                    <w:div w:id="1645771532">
                      <w:marLeft w:val="0"/>
                      <w:marRight w:val="0"/>
                      <w:marTop w:val="0"/>
                      <w:marBottom w:val="0"/>
                      <w:divBdr>
                        <w:top w:val="none" w:sz="0" w:space="0" w:color="auto"/>
                        <w:left w:val="none" w:sz="0" w:space="0" w:color="auto"/>
                        <w:bottom w:val="none" w:sz="0" w:space="0" w:color="auto"/>
                        <w:right w:val="none" w:sz="0" w:space="0" w:color="auto"/>
                      </w:divBdr>
                    </w:div>
                  </w:divsChild>
                </w:div>
                <w:div w:id="1010448145">
                  <w:marLeft w:val="0"/>
                  <w:marRight w:val="0"/>
                  <w:marTop w:val="0"/>
                  <w:marBottom w:val="0"/>
                  <w:divBdr>
                    <w:top w:val="none" w:sz="0" w:space="0" w:color="auto"/>
                    <w:left w:val="none" w:sz="0" w:space="0" w:color="auto"/>
                    <w:bottom w:val="none" w:sz="0" w:space="0" w:color="auto"/>
                    <w:right w:val="none" w:sz="0" w:space="0" w:color="auto"/>
                  </w:divBdr>
                  <w:divsChild>
                    <w:div w:id="617032522">
                      <w:marLeft w:val="0"/>
                      <w:marRight w:val="0"/>
                      <w:marTop w:val="0"/>
                      <w:marBottom w:val="0"/>
                      <w:divBdr>
                        <w:top w:val="none" w:sz="0" w:space="0" w:color="auto"/>
                        <w:left w:val="none" w:sz="0" w:space="0" w:color="auto"/>
                        <w:bottom w:val="none" w:sz="0" w:space="0" w:color="auto"/>
                        <w:right w:val="none" w:sz="0" w:space="0" w:color="auto"/>
                      </w:divBdr>
                    </w:div>
                  </w:divsChild>
                </w:div>
                <w:div w:id="1039427515">
                  <w:marLeft w:val="0"/>
                  <w:marRight w:val="0"/>
                  <w:marTop w:val="0"/>
                  <w:marBottom w:val="0"/>
                  <w:divBdr>
                    <w:top w:val="none" w:sz="0" w:space="0" w:color="auto"/>
                    <w:left w:val="none" w:sz="0" w:space="0" w:color="auto"/>
                    <w:bottom w:val="none" w:sz="0" w:space="0" w:color="auto"/>
                    <w:right w:val="none" w:sz="0" w:space="0" w:color="auto"/>
                  </w:divBdr>
                  <w:divsChild>
                    <w:div w:id="1408499894">
                      <w:marLeft w:val="0"/>
                      <w:marRight w:val="0"/>
                      <w:marTop w:val="0"/>
                      <w:marBottom w:val="0"/>
                      <w:divBdr>
                        <w:top w:val="none" w:sz="0" w:space="0" w:color="auto"/>
                        <w:left w:val="none" w:sz="0" w:space="0" w:color="auto"/>
                        <w:bottom w:val="none" w:sz="0" w:space="0" w:color="auto"/>
                        <w:right w:val="none" w:sz="0" w:space="0" w:color="auto"/>
                      </w:divBdr>
                    </w:div>
                  </w:divsChild>
                </w:div>
                <w:div w:id="1348217403">
                  <w:marLeft w:val="0"/>
                  <w:marRight w:val="0"/>
                  <w:marTop w:val="0"/>
                  <w:marBottom w:val="0"/>
                  <w:divBdr>
                    <w:top w:val="none" w:sz="0" w:space="0" w:color="auto"/>
                    <w:left w:val="none" w:sz="0" w:space="0" w:color="auto"/>
                    <w:bottom w:val="none" w:sz="0" w:space="0" w:color="auto"/>
                    <w:right w:val="none" w:sz="0" w:space="0" w:color="auto"/>
                  </w:divBdr>
                  <w:divsChild>
                    <w:div w:id="1584147351">
                      <w:marLeft w:val="0"/>
                      <w:marRight w:val="0"/>
                      <w:marTop w:val="0"/>
                      <w:marBottom w:val="0"/>
                      <w:divBdr>
                        <w:top w:val="none" w:sz="0" w:space="0" w:color="auto"/>
                        <w:left w:val="none" w:sz="0" w:space="0" w:color="auto"/>
                        <w:bottom w:val="none" w:sz="0" w:space="0" w:color="auto"/>
                        <w:right w:val="none" w:sz="0" w:space="0" w:color="auto"/>
                      </w:divBdr>
                    </w:div>
                  </w:divsChild>
                </w:div>
                <w:div w:id="1384912823">
                  <w:marLeft w:val="0"/>
                  <w:marRight w:val="0"/>
                  <w:marTop w:val="0"/>
                  <w:marBottom w:val="0"/>
                  <w:divBdr>
                    <w:top w:val="none" w:sz="0" w:space="0" w:color="auto"/>
                    <w:left w:val="none" w:sz="0" w:space="0" w:color="auto"/>
                    <w:bottom w:val="none" w:sz="0" w:space="0" w:color="auto"/>
                    <w:right w:val="none" w:sz="0" w:space="0" w:color="auto"/>
                  </w:divBdr>
                  <w:divsChild>
                    <w:div w:id="2041541182">
                      <w:marLeft w:val="0"/>
                      <w:marRight w:val="0"/>
                      <w:marTop w:val="0"/>
                      <w:marBottom w:val="0"/>
                      <w:divBdr>
                        <w:top w:val="none" w:sz="0" w:space="0" w:color="auto"/>
                        <w:left w:val="none" w:sz="0" w:space="0" w:color="auto"/>
                        <w:bottom w:val="none" w:sz="0" w:space="0" w:color="auto"/>
                        <w:right w:val="none" w:sz="0" w:space="0" w:color="auto"/>
                      </w:divBdr>
                    </w:div>
                  </w:divsChild>
                </w:div>
                <w:div w:id="1489395693">
                  <w:marLeft w:val="0"/>
                  <w:marRight w:val="0"/>
                  <w:marTop w:val="0"/>
                  <w:marBottom w:val="0"/>
                  <w:divBdr>
                    <w:top w:val="none" w:sz="0" w:space="0" w:color="auto"/>
                    <w:left w:val="none" w:sz="0" w:space="0" w:color="auto"/>
                    <w:bottom w:val="none" w:sz="0" w:space="0" w:color="auto"/>
                    <w:right w:val="none" w:sz="0" w:space="0" w:color="auto"/>
                  </w:divBdr>
                  <w:divsChild>
                    <w:div w:id="2035645828">
                      <w:marLeft w:val="0"/>
                      <w:marRight w:val="0"/>
                      <w:marTop w:val="0"/>
                      <w:marBottom w:val="0"/>
                      <w:divBdr>
                        <w:top w:val="none" w:sz="0" w:space="0" w:color="auto"/>
                        <w:left w:val="none" w:sz="0" w:space="0" w:color="auto"/>
                        <w:bottom w:val="none" w:sz="0" w:space="0" w:color="auto"/>
                        <w:right w:val="none" w:sz="0" w:space="0" w:color="auto"/>
                      </w:divBdr>
                    </w:div>
                  </w:divsChild>
                </w:div>
                <w:div w:id="1501458165">
                  <w:marLeft w:val="0"/>
                  <w:marRight w:val="0"/>
                  <w:marTop w:val="0"/>
                  <w:marBottom w:val="0"/>
                  <w:divBdr>
                    <w:top w:val="none" w:sz="0" w:space="0" w:color="auto"/>
                    <w:left w:val="none" w:sz="0" w:space="0" w:color="auto"/>
                    <w:bottom w:val="none" w:sz="0" w:space="0" w:color="auto"/>
                    <w:right w:val="none" w:sz="0" w:space="0" w:color="auto"/>
                  </w:divBdr>
                  <w:divsChild>
                    <w:div w:id="1198928204">
                      <w:marLeft w:val="0"/>
                      <w:marRight w:val="0"/>
                      <w:marTop w:val="0"/>
                      <w:marBottom w:val="0"/>
                      <w:divBdr>
                        <w:top w:val="none" w:sz="0" w:space="0" w:color="auto"/>
                        <w:left w:val="none" w:sz="0" w:space="0" w:color="auto"/>
                        <w:bottom w:val="none" w:sz="0" w:space="0" w:color="auto"/>
                        <w:right w:val="none" w:sz="0" w:space="0" w:color="auto"/>
                      </w:divBdr>
                    </w:div>
                  </w:divsChild>
                </w:div>
                <w:div w:id="1648971956">
                  <w:marLeft w:val="0"/>
                  <w:marRight w:val="0"/>
                  <w:marTop w:val="0"/>
                  <w:marBottom w:val="0"/>
                  <w:divBdr>
                    <w:top w:val="none" w:sz="0" w:space="0" w:color="auto"/>
                    <w:left w:val="none" w:sz="0" w:space="0" w:color="auto"/>
                    <w:bottom w:val="none" w:sz="0" w:space="0" w:color="auto"/>
                    <w:right w:val="none" w:sz="0" w:space="0" w:color="auto"/>
                  </w:divBdr>
                  <w:divsChild>
                    <w:div w:id="804350485">
                      <w:marLeft w:val="0"/>
                      <w:marRight w:val="0"/>
                      <w:marTop w:val="0"/>
                      <w:marBottom w:val="0"/>
                      <w:divBdr>
                        <w:top w:val="none" w:sz="0" w:space="0" w:color="auto"/>
                        <w:left w:val="none" w:sz="0" w:space="0" w:color="auto"/>
                        <w:bottom w:val="none" w:sz="0" w:space="0" w:color="auto"/>
                        <w:right w:val="none" w:sz="0" w:space="0" w:color="auto"/>
                      </w:divBdr>
                    </w:div>
                  </w:divsChild>
                </w:div>
                <w:div w:id="1682507555">
                  <w:marLeft w:val="0"/>
                  <w:marRight w:val="0"/>
                  <w:marTop w:val="0"/>
                  <w:marBottom w:val="0"/>
                  <w:divBdr>
                    <w:top w:val="none" w:sz="0" w:space="0" w:color="auto"/>
                    <w:left w:val="none" w:sz="0" w:space="0" w:color="auto"/>
                    <w:bottom w:val="none" w:sz="0" w:space="0" w:color="auto"/>
                    <w:right w:val="none" w:sz="0" w:space="0" w:color="auto"/>
                  </w:divBdr>
                  <w:divsChild>
                    <w:div w:id="382407831">
                      <w:marLeft w:val="0"/>
                      <w:marRight w:val="0"/>
                      <w:marTop w:val="0"/>
                      <w:marBottom w:val="0"/>
                      <w:divBdr>
                        <w:top w:val="none" w:sz="0" w:space="0" w:color="auto"/>
                        <w:left w:val="none" w:sz="0" w:space="0" w:color="auto"/>
                        <w:bottom w:val="none" w:sz="0" w:space="0" w:color="auto"/>
                        <w:right w:val="none" w:sz="0" w:space="0" w:color="auto"/>
                      </w:divBdr>
                    </w:div>
                  </w:divsChild>
                </w:div>
                <w:div w:id="1800491286">
                  <w:marLeft w:val="0"/>
                  <w:marRight w:val="0"/>
                  <w:marTop w:val="0"/>
                  <w:marBottom w:val="0"/>
                  <w:divBdr>
                    <w:top w:val="none" w:sz="0" w:space="0" w:color="auto"/>
                    <w:left w:val="none" w:sz="0" w:space="0" w:color="auto"/>
                    <w:bottom w:val="none" w:sz="0" w:space="0" w:color="auto"/>
                    <w:right w:val="none" w:sz="0" w:space="0" w:color="auto"/>
                  </w:divBdr>
                  <w:divsChild>
                    <w:div w:id="638656777">
                      <w:marLeft w:val="0"/>
                      <w:marRight w:val="0"/>
                      <w:marTop w:val="0"/>
                      <w:marBottom w:val="0"/>
                      <w:divBdr>
                        <w:top w:val="none" w:sz="0" w:space="0" w:color="auto"/>
                        <w:left w:val="none" w:sz="0" w:space="0" w:color="auto"/>
                        <w:bottom w:val="none" w:sz="0" w:space="0" w:color="auto"/>
                        <w:right w:val="none" w:sz="0" w:space="0" w:color="auto"/>
                      </w:divBdr>
                    </w:div>
                  </w:divsChild>
                </w:div>
                <w:div w:id="1829127946">
                  <w:marLeft w:val="0"/>
                  <w:marRight w:val="0"/>
                  <w:marTop w:val="0"/>
                  <w:marBottom w:val="0"/>
                  <w:divBdr>
                    <w:top w:val="none" w:sz="0" w:space="0" w:color="auto"/>
                    <w:left w:val="none" w:sz="0" w:space="0" w:color="auto"/>
                    <w:bottom w:val="none" w:sz="0" w:space="0" w:color="auto"/>
                    <w:right w:val="none" w:sz="0" w:space="0" w:color="auto"/>
                  </w:divBdr>
                  <w:divsChild>
                    <w:div w:id="509368095">
                      <w:marLeft w:val="0"/>
                      <w:marRight w:val="0"/>
                      <w:marTop w:val="0"/>
                      <w:marBottom w:val="0"/>
                      <w:divBdr>
                        <w:top w:val="none" w:sz="0" w:space="0" w:color="auto"/>
                        <w:left w:val="none" w:sz="0" w:space="0" w:color="auto"/>
                        <w:bottom w:val="none" w:sz="0" w:space="0" w:color="auto"/>
                        <w:right w:val="none" w:sz="0" w:space="0" w:color="auto"/>
                      </w:divBdr>
                    </w:div>
                  </w:divsChild>
                </w:div>
                <w:div w:id="1961376353">
                  <w:marLeft w:val="0"/>
                  <w:marRight w:val="0"/>
                  <w:marTop w:val="0"/>
                  <w:marBottom w:val="0"/>
                  <w:divBdr>
                    <w:top w:val="none" w:sz="0" w:space="0" w:color="auto"/>
                    <w:left w:val="none" w:sz="0" w:space="0" w:color="auto"/>
                    <w:bottom w:val="none" w:sz="0" w:space="0" w:color="auto"/>
                    <w:right w:val="none" w:sz="0" w:space="0" w:color="auto"/>
                  </w:divBdr>
                  <w:divsChild>
                    <w:div w:id="92727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741104">
          <w:marLeft w:val="0"/>
          <w:marRight w:val="0"/>
          <w:marTop w:val="0"/>
          <w:marBottom w:val="0"/>
          <w:divBdr>
            <w:top w:val="none" w:sz="0" w:space="0" w:color="auto"/>
            <w:left w:val="none" w:sz="0" w:space="0" w:color="auto"/>
            <w:bottom w:val="none" w:sz="0" w:space="0" w:color="auto"/>
            <w:right w:val="none" w:sz="0" w:space="0" w:color="auto"/>
          </w:divBdr>
        </w:div>
        <w:div w:id="1879508949">
          <w:marLeft w:val="0"/>
          <w:marRight w:val="0"/>
          <w:marTop w:val="0"/>
          <w:marBottom w:val="0"/>
          <w:divBdr>
            <w:top w:val="none" w:sz="0" w:space="0" w:color="auto"/>
            <w:left w:val="none" w:sz="0" w:space="0" w:color="auto"/>
            <w:bottom w:val="none" w:sz="0" w:space="0" w:color="auto"/>
            <w:right w:val="none" w:sz="0" w:space="0" w:color="auto"/>
          </w:divBdr>
        </w:div>
      </w:divsChild>
    </w:div>
    <w:div w:id="626275736">
      <w:bodyDiv w:val="1"/>
      <w:marLeft w:val="0"/>
      <w:marRight w:val="0"/>
      <w:marTop w:val="0"/>
      <w:marBottom w:val="0"/>
      <w:divBdr>
        <w:top w:val="none" w:sz="0" w:space="0" w:color="auto"/>
        <w:left w:val="none" w:sz="0" w:space="0" w:color="auto"/>
        <w:bottom w:val="none" w:sz="0" w:space="0" w:color="auto"/>
        <w:right w:val="none" w:sz="0" w:space="0" w:color="auto"/>
      </w:divBdr>
    </w:div>
    <w:div w:id="712072813">
      <w:bodyDiv w:val="1"/>
      <w:marLeft w:val="0"/>
      <w:marRight w:val="0"/>
      <w:marTop w:val="0"/>
      <w:marBottom w:val="0"/>
      <w:divBdr>
        <w:top w:val="none" w:sz="0" w:space="0" w:color="auto"/>
        <w:left w:val="none" w:sz="0" w:space="0" w:color="auto"/>
        <w:bottom w:val="none" w:sz="0" w:space="0" w:color="auto"/>
        <w:right w:val="none" w:sz="0" w:space="0" w:color="auto"/>
      </w:divBdr>
      <w:divsChild>
        <w:div w:id="463620113">
          <w:marLeft w:val="0"/>
          <w:marRight w:val="0"/>
          <w:marTop w:val="0"/>
          <w:marBottom w:val="0"/>
          <w:divBdr>
            <w:top w:val="none" w:sz="0" w:space="0" w:color="auto"/>
            <w:left w:val="none" w:sz="0" w:space="0" w:color="auto"/>
            <w:bottom w:val="none" w:sz="0" w:space="0" w:color="auto"/>
            <w:right w:val="none" w:sz="0" w:space="0" w:color="auto"/>
          </w:divBdr>
        </w:div>
        <w:div w:id="1229727323">
          <w:marLeft w:val="0"/>
          <w:marRight w:val="0"/>
          <w:marTop w:val="0"/>
          <w:marBottom w:val="0"/>
          <w:divBdr>
            <w:top w:val="none" w:sz="0" w:space="0" w:color="auto"/>
            <w:left w:val="none" w:sz="0" w:space="0" w:color="auto"/>
            <w:bottom w:val="none" w:sz="0" w:space="0" w:color="auto"/>
            <w:right w:val="none" w:sz="0" w:space="0" w:color="auto"/>
          </w:divBdr>
          <w:divsChild>
            <w:div w:id="2098865690">
              <w:marLeft w:val="-75"/>
              <w:marRight w:val="0"/>
              <w:marTop w:val="30"/>
              <w:marBottom w:val="30"/>
              <w:divBdr>
                <w:top w:val="none" w:sz="0" w:space="0" w:color="auto"/>
                <w:left w:val="none" w:sz="0" w:space="0" w:color="auto"/>
                <w:bottom w:val="none" w:sz="0" w:space="0" w:color="auto"/>
                <w:right w:val="none" w:sz="0" w:space="0" w:color="auto"/>
              </w:divBdr>
              <w:divsChild>
                <w:div w:id="6256327">
                  <w:marLeft w:val="0"/>
                  <w:marRight w:val="0"/>
                  <w:marTop w:val="0"/>
                  <w:marBottom w:val="0"/>
                  <w:divBdr>
                    <w:top w:val="none" w:sz="0" w:space="0" w:color="auto"/>
                    <w:left w:val="none" w:sz="0" w:space="0" w:color="auto"/>
                    <w:bottom w:val="none" w:sz="0" w:space="0" w:color="auto"/>
                    <w:right w:val="none" w:sz="0" w:space="0" w:color="auto"/>
                  </w:divBdr>
                  <w:divsChild>
                    <w:div w:id="174612567">
                      <w:marLeft w:val="0"/>
                      <w:marRight w:val="0"/>
                      <w:marTop w:val="0"/>
                      <w:marBottom w:val="0"/>
                      <w:divBdr>
                        <w:top w:val="none" w:sz="0" w:space="0" w:color="auto"/>
                        <w:left w:val="none" w:sz="0" w:space="0" w:color="auto"/>
                        <w:bottom w:val="none" w:sz="0" w:space="0" w:color="auto"/>
                        <w:right w:val="none" w:sz="0" w:space="0" w:color="auto"/>
                      </w:divBdr>
                    </w:div>
                  </w:divsChild>
                </w:div>
                <w:div w:id="6564071">
                  <w:marLeft w:val="0"/>
                  <w:marRight w:val="0"/>
                  <w:marTop w:val="0"/>
                  <w:marBottom w:val="0"/>
                  <w:divBdr>
                    <w:top w:val="none" w:sz="0" w:space="0" w:color="auto"/>
                    <w:left w:val="none" w:sz="0" w:space="0" w:color="auto"/>
                    <w:bottom w:val="none" w:sz="0" w:space="0" w:color="auto"/>
                    <w:right w:val="none" w:sz="0" w:space="0" w:color="auto"/>
                  </w:divBdr>
                  <w:divsChild>
                    <w:div w:id="1839035947">
                      <w:marLeft w:val="0"/>
                      <w:marRight w:val="0"/>
                      <w:marTop w:val="0"/>
                      <w:marBottom w:val="0"/>
                      <w:divBdr>
                        <w:top w:val="none" w:sz="0" w:space="0" w:color="auto"/>
                        <w:left w:val="none" w:sz="0" w:space="0" w:color="auto"/>
                        <w:bottom w:val="none" w:sz="0" w:space="0" w:color="auto"/>
                        <w:right w:val="none" w:sz="0" w:space="0" w:color="auto"/>
                      </w:divBdr>
                    </w:div>
                  </w:divsChild>
                </w:div>
                <w:div w:id="30501751">
                  <w:marLeft w:val="0"/>
                  <w:marRight w:val="0"/>
                  <w:marTop w:val="0"/>
                  <w:marBottom w:val="0"/>
                  <w:divBdr>
                    <w:top w:val="none" w:sz="0" w:space="0" w:color="auto"/>
                    <w:left w:val="none" w:sz="0" w:space="0" w:color="auto"/>
                    <w:bottom w:val="none" w:sz="0" w:space="0" w:color="auto"/>
                    <w:right w:val="none" w:sz="0" w:space="0" w:color="auto"/>
                  </w:divBdr>
                  <w:divsChild>
                    <w:div w:id="1520974325">
                      <w:marLeft w:val="0"/>
                      <w:marRight w:val="0"/>
                      <w:marTop w:val="0"/>
                      <w:marBottom w:val="0"/>
                      <w:divBdr>
                        <w:top w:val="none" w:sz="0" w:space="0" w:color="auto"/>
                        <w:left w:val="none" w:sz="0" w:space="0" w:color="auto"/>
                        <w:bottom w:val="none" w:sz="0" w:space="0" w:color="auto"/>
                        <w:right w:val="none" w:sz="0" w:space="0" w:color="auto"/>
                      </w:divBdr>
                    </w:div>
                  </w:divsChild>
                </w:div>
                <w:div w:id="208566474">
                  <w:marLeft w:val="0"/>
                  <w:marRight w:val="0"/>
                  <w:marTop w:val="0"/>
                  <w:marBottom w:val="0"/>
                  <w:divBdr>
                    <w:top w:val="none" w:sz="0" w:space="0" w:color="auto"/>
                    <w:left w:val="none" w:sz="0" w:space="0" w:color="auto"/>
                    <w:bottom w:val="none" w:sz="0" w:space="0" w:color="auto"/>
                    <w:right w:val="none" w:sz="0" w:space="0" w:color="auto"/>
                  </w:divBdr>
                  <w:divsChild>
                    <w:div w:id="515965068">
                      <w:marLeft w:val="0"/>
                      <w:marRight w:val="0"/>
                      <w:marTop w:val="0"/>
                      <w:marBottom w:val="0"/>
                      <w:divBdr>
                        <w:top w:val="none" w:sz="0" w:space="0" w:color="auto"/>
                        <w:left w:val="none" w:sz="0" w:space="0" w:color="auto"/>
                        <w:bottom w:val="none" w:sz="0" w:space="0" w:color="auto"/>
                        <w:right w:val="none" w:sz="0" w:space="0" w:color="auto"/>
                      </w:divBdr>
                    </w:div>
                  </w:divsChild>
                </w:div>
                <w:div w:id="215971558">
                  <w:marLeft w:val="0"/>
                  <w:marRight w:val="0"/>
                  <w:marTop w:val="0"/>
                  <w:marBottom w:val="0"/>
                  <w:divBdr>
                    <w:top w:val="none" w:sz="0" w:space="0" w:color="auto"/>
                    <w:left w:val="none" w:sz="0" w:space="0" w:color="auto"/>
                    <w:bottom w:val="none" w:sz="0" w:space="0" w:color="auto"/>
                    <w:right w:val="none" w:sz="0" w:space="0" w:color="auto"/>
                  </w:divBdr>
                  <w:divsChild>
                    <w:div w:id="1277131481">
                      <w:marLeft w:val="0"/>
                      <w:marRight w:val="0"/>
                      <w:marTop w:val="0"/>
                      <w:marBottom w:val="0"/>
                      <w:divBdr>
                        <w:top w:val="none" w:sz="0" w:space="0" w:color="auto"/>
                        <w:left w:val="none" w:sz="0" w:space="0" w:color="auto"/>
                        <w:bottom w:val="none" w:sz="0" w:space="0" w:color="auto"/>
                        <w:right w:val="none" w:sz="0" w:space="0" w:color="auto"/>
                      </w:divBdr>
                    </w:div>
                  </w:divsChild>
                </w:div>
                <w:div w:id="525412433">
                  <w:marLeft w:val="0"/>
                  <w:marRight w:val="0"/>
                  <w:marTop w:val="0"/>
                  <w:marBottom w:val="0"/>
                  <w:divBdr>
                    <w:top w:val="none" w:sz="0" w:space="0" w:color="auto"/>
                    <w:left w:val="none" w:sz="0" w:space="0" w:color="auto"/>
                    <w:bottom w:val="none" w:sz="0" w:space="0" w:color="auto"/>
                    <w:right w:val="none" w:sz="0" w:space="0" w:color="auto"/>
                  </w:divBdr>
                  <w:divsChild>
                    <w:div w:id="1446391762">
                      <w:marLeft w:val="0"/>
                      <w:marRight w:val="0"/>
                      <w:marTop w:val="0"/>
                      <w:marBottom w:val="0"/>
                      <w:divBdr>
                        <w:top w:val="none" w:sz="0" w:space="0" w:color="auto"/>
                        <w:left w:val="none" w:sz="0" w:space="0" w:color="auto"/>
                        <w:bottom w:val="none" w:sz="0" w:space="0" w:color="auto"/>
                        <w:right w:val="none" w:sz="0" w:space="0" w:color="auto"/>
                      </w:divBdr>
                    </w:div>
                  </w:divsChild>
                </w:div>
                <w:div w:id="676031673">
                  <w:marLeft w:val="0"/>
                  <w:marRight w:val="0"/>
                  <w:marTop w:val="0"/>
                  <w:marBottom w:val="0"/>
                  <w:divBdr>
                    <w:top w:val="none" w:sz="0" w:space="0" w:color="auto"/>
                    <w:left w:val="none" w:sz="0" w:space="0" w:color="auto"/>
                    <w:bottom w:val="none" w:sz="0" w:space="0" w:color="auto"/>
                    <w:right w:val="none" w:sz="0" w:space="0" w:color="auto"/>
                  </w:divBdr>
                  <w:divsChild>
                    <w:div w:id="484395594">
                      <w:marLeft w:val="0"/>
                      <w:marRight w:val="0"/>
                      <w:marTop w:val="0"/>
                      <w:marBottom w:val="0"/>
                      <w:divBdr>
                        <w:top w:val="none" w:sz="0" w:space="0" w:color="auto"/>
                        <w:left w:val="none" w:sz="0" w:space="0" w:color="auto"/>
                        <w:bottom w:val="none" w:sz="0" w:space="0" w:color="auto"/>
                        <w:right w:val="none" w:sz="0" w:space="0" w:color="auto"/>
                      </w:divBdr>
                    </w:div>
                  </w:divsChild>
                </w:div>
                <w:div w:id="730150980">
                  <w:marLeft w:val="0"/>
                  <w:marRight w:val="0"/>
                  <w:marTop w:val="0"/>
                  <w:marBottom w:val="0"/>
                  <w:divBdr>
                    <w:top w:val="none" w:sz="0" w:space="0" w:color="auto"/>
                    <w:left w:val="none" w:sz="0" w:space="0" w:color="auto"/>
                    <w:bottom w:val="none" w:sz="0" w:space="0" w:color="auto"/>
                    <w:right w:val="none" w:sz="0" w:space="0" w:color="auto"/>
                  </w:divBdr>
                  <w:divsChild>
                    <w:div w:id="159204131">
                      <w:marLeft w:val="0"/>
                      <w:marRight w:val="0"/>
                      <w:marTop w:val="0"/>
                      <w:marBottom w:val="0"/>
                      <w:divBdr>
                        <w:top w:val="none" w:sz="0" w:space="0" w:color="auto"/>
                        <w:left w:val="none" w:sz="0" w:space="0" w:color="auto"/>
                        <w:bottom w:val="none" w:sz="0" w:space="0" w:color="auto"/>
                        <w:right w:val="none" w:sz="0" w:space="0" w:color="auto"/>
                      </w:divBdr>
                    </w:div>
                  </w:divsChild>
                </w:div>
                <w:div w:id="942997538">
                  <w:marLeft w:val="0"/>
                  <w:marRight w:val="0"/>
                  <w:marTop w:val="0"/>
                  <w:marBottom w:val="0"/>
                  <w:divBdr>
                    <w:top w:val="none" w:sz="0" w:space="0" w:color="auto"/>
                    <w:left w:val="none" w:sz="0" w:space="0" w:color="auto"/>
                    <w:bottom w:val="none" w:sz="0" w:space="0" w:color="auto"/>
                    <w:right w:val="none" w:sz="0" w:space="0" w:color="auto"/>
                  </w:divBdr>
                  <w:divsChild>
                    <w:div w:id="1233852212">
                      <w:marLeft w:val="0"/>
                      <w:marRight w:val="0"/>
                      <w:marTop w:val="0"/>
                      <w:marBottom w:val="0"/>
                      <w:divBdr>
                        <w:top w:val="none" w:sz="0" w:space="0" w:color="auto"/>
                        <w:left w:val="none" w:sz="0" w:space="0" w:color="auto"/>
                        <w:bottom w:val="none" w:sz="0" w:space="0" w:color="auto"/>
                        <w:right w:val="none" w:sz="0" w:space="0" w:color="auto"/>
                      </w:divBdr>
                    </w:div>
                  </w:divsChild>
                </w:div>
                <w:div w:id="962736709">
                  <w:marLeft w:val="0"/>
                  <w:marRight w:val="0"/>
                  <w:marTop w:val="0"/>
                  <w:marBottom w:val="0"/>
                  <w:divBdr>
                    <w:top w:val="none" w:sz="0" w:space="0" w:color="auto"/>
                    <w:left w:val="none" w:sz="0" w:space="0" w:color="auto"/>
                    <w:bottom w:val="none" w:sz="0" w:space="0" w:color="auto"/>
                    <w:right w:val="none" w:sz="0" w:space="0" w:color="auto"/>
                  </w:divBdr>
                  <w:divsChild>
                    <w:div w:id="1612738052">
                      <w:marLeft w:val="0"/>
                      <w:marRight w:val="0"/>
                      <w:marTop w:val="0"/>
                      <w:marBottom w:val="0"/>
                      <w:divBdr>
                        <w:top w:val="none" w:sz="0" w:space="0" w:color="auto"/>
                        <w:left w:val="none" w:sz="0" w:space="0" w:color="auto"/>
                        <w:bottom w:val="none" w:sz="0" w:space="0" w:color="auto"/>
                        <w:right w:val="none" w:sz="0" w:space="0" w:color="auto"/>
                      </w:divBdr>
                    </w:div>
                  </w:divsChild>
                </w:div>
                <w:div w:id="989335251">
                  <w:marLeft w:val="0"/>
                  <w:marRight w:val="0"/>
                  <w:marTop w:val="0"/>
                  <w:marBottom w:val="0"/>
                  <w:divBdr>
                    <w:top w:val="none" w:sz="0" w:space="0" w:color="auto"/>
                    <w:left w:val="none" w:sz="0" w:space="0" w:color="auto"/>
                    <w:bottom w:val="none" w:sz="0" w:space="0" w:color="auto"/>
                    <w:right w:val="none" w:sz="0" w:space="0" w:color="auto"/>
                  </w:divBdr>
                  <w:divsChild>
                    <w:div w:id="299304431">
                      <w:marLeft w:val="0"/>
                      <w:marRight w:val="0"/>
                      <w:marTop w:val="0"/>
                      <w:marBottom w:val="0"/>
                      <w:divBdr>
                        <w:top w:val="none" w:sz="0" w:space="0" w:color="auto"/>
                        <w:left w:val="none" w:sz="0" w:space="0" w:color="auto"/>
                        <w:bottom w:val="none" w:sz="0" w:space="0" w:color="auto"/>
                        <w:right w:val="none" w:sz="0" w:space="0" w:color="auto"/>
                      </w:divBdr>
                    </w:div>
                  </w:divsChild>
                </w:div>
                <w:div w:id="1097285902">
                  <w:marLeft w:val="0"/>
                  <w:marRight w:val="0"/>
                  <w:marTop w:val="0"/>
                  <w:marBottom w:val="0"/>
                  <w:divBdr>
                    <w:top w:val="none" w:sz="0" w:space="0" w:color="auto"/>
                    <w:left w:val="none" w:sz="0" w:space="0" w:color="auto"/>
                    <w:bottom w:val="none" w:sz="0" w:space="0" w:color="auto"/>
                    <w:right w:val="none" w:sz="0" w:space="0" w:color="auto"/>
                  </w:divBdr>
                  <w:divsChild>
                    <w:div w:id="258372498">
                      <w:marLeft w:val="0"/>
                      <w:marRight w:val="0"/>
                      <w:marTop w:val="0"/>
                      <w:marBottom w:val="0"/>
                      <w:divBdr>
                        <w:top w:val="none" w:sz="0" w:space="0" w:color="auto"/>
                        <w:left w:val="none" w:sz="0" w:space="0" w:color="auto"/>
                        <w:bottom w:val="none" w:sz="0" w:space="0" w:color="auto"/>
                        <w:right w:val="none" w:sz="0" w:space="0" w:color="auto"/>
                      </w:divBdr>
                    </w:div>
                  </w:divsChild>
                </w:div>
                <w:div w:id="1189684792">
                  <w:marLeft w:val="0"/>
                  <w:marRight w:val="0"/>
                  <w:marTop w:val="0"/>
                  <w:marBottom w:val="0"/>
                  <w:divBdr>
                    <w:top w:val="none" w:sz="0" w:space="0" w:color="auto"/>
                    <w:left w:val="none" w:sz="0" w:space="0" w:color="auto"/>
                    <w:bottom w:val="none" w:sz="0" w:space="0" w:color="auto"/>
                    <w:right w:val="none" w:sz="0" w:space="0" w:color="auto"/>
                  </w:divBdr>
                  <w:divsChild>
                    <w:div w:id="621887154">
                      <w:marLeft w:val="0"/>
                      <w:marRight w:val="0"/>
                      <w:marTop w:val="0"/>
                      <w:marBottom w:val="0"/>
                      <w:divBdr>
                        <w:top w:val="none" w:sz="0" w:space="0" w:color="auto"/>
                        <w:left w:val="none" w:sz="0" w:space="0" w:color="auto"/>
                        <w:bottom w:val="none" w:sz="0" w:space="0" w:color="auto"/>
                        <w:right w:val="none" w:sz="0" w:space="0" w:color="auto"/>
                      </w:divBdr>
                    </w:div>
                  </w:divsChild>
                </w:div>
                <w:div w:id="1224945618">
                  <w:marLeft w:val="0"/>
                  <w:marRight w:val="0"/>
                  <w:marTop w:val="0"/>
                  <w:marBottom w:val="0"/>
                  <w:divBdr>
                    <w:top w:val="none" w:sz="0" w:space="0" w:color="auto"/>
                    <w:left w:val="none" w:sz="0" w:space="0" w:color="auto"/>
                    <w:bottom w:val="none" w:sz="0" w:space="0" w:color="auto"/>
                    <w:right w:val="none" w:sz="0" w:space="0" w:color="auto"/>
                  </w:divBdr>
                  <w:divsChild>
                    <w:div w:id="1072313176">
                      <w:marLeft w:val="0"/>
                      <w:marRight w:val="0"/>
                      <w:marTop w:val="0"/>
                      <w:marBottom w:val="0"/>
                      <w:divBdr>
                        <w:top w:val="none" w:sz="0" w:space="0" w:color="auto"/>
                        <w:left w:val="none" w:sz="0" w:space="0" w:color="auto"/>
                        <w:bottom w:val="none" w:sz="0" w:space="0" w:color="auto"/>
                        <w:right w:val="none" w:sz="0" w:space="0" w:color="auto"/>
                      </w:divBdr>
                    </w:div>
                  </w:divsChild>
                </w:div>
                <w:div w:id="1682390401">
                  <w:marLeft w:val="0"/>
                  <w:marRight w:val="0"/>
                  <w:marTop w:val="0"/>
                  <w:marBottom w:val="0"/>
                  <w:divBdr>
                    <w:top w:val="none" w:sz="0" w:space="0" w:color="auto"/>
                    <w:left w:val="none" w:sz="0" w:space="0" w:color="auto"/>
                    <w:bottom w:val="none" w:sz="0" w:space="0" w:color="auto"/>
                    <w:right w:val="none" w:sz="0" w:space="0" w:color="auto"/>
                  </w:divBdr>
                  <w:divsChild>
                    <w:div w:id="381171638">
                      <w:marLeft w:val="0"/>
                      <w:marRight w:val="0"/>
                      <w:marTop w:val="0"/>
                      <w:marBottom w:val="0"/>
                      <w:divBdr>
                        <w:top w:val="none" w:sz="0" w:space="0" w:color="auto"/>
                        <w:left w:val="none" w:sz="0" w:space="0" w:color="auto"/>
                        <w:bottom w:val="none" w:sz="0" w:space="0" w:color="auto"/>
                        <w:right w:val="none" w:sz="0" w:space="0" w:color="auto"/>
                      </w:divBdr>
                    </w:div>
                  </w:divsChild>
                </w:div>
                <w:div w:id="1807700063">
                  <w:marLeft w:val="0"/>
                  <w:marRight w:val="0"/>
                  <w:marTop w:val="0"/>
                  <w:marBottom w:val="0"/>
                  <w:divBdr>
                    <w:top w:val="none" w:sz="0" w:space="0" w:color="auto"/>
                    <w:left w:val="none" w:sz="0" w:space="0" w:color="auto"/>
                    <w:bottom w:val="none" w:sz="0" w:space="0" w:color="auto"/>
                    <w:right w:val="none" w:sz="0" w:space="0" w:color="auto"/>
                  </w:divBdr>
                  <w:divsChild>
                    <w:div w:id="174687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641431">
          <w:marLeft w:val="0"/>
          <w:marRight w:val="0"/>
          <w:marTop w:val="0"/>
          <w:marBottom w:val="0"/>
          <w:divBdr>
            <w:top w:val="none" w:sz="0" w:space="0" w:color="auto"/>
            <w:left w:val="none" w:sz="0" w:space="0" w:color="auto"/>
            <w:bottom w:val="none" w:sz="0" w:space="0" w:color="auto"/>
            <w:right w:val="none" w:sz="0" w:space="0" w:color="auto"/>
          </w:divBdr>
        </w:div>
        <w:div w:id="1933389598">
          <w:marLeft w:val="0"/>
          <w:marRight w:val="0"/>
          <w:marTop w:val="0"/>
          <w:marBottom w:val="0"/>
          <w:divBdr>
            <w:top w:val="none" w:sz="0" w:space="0" w:color="auto"/>
            <w:left w:val="none" w:sz="0" w:space="0" w:color="auto"/>
            <w:bottom w:val="none" w:sz="0" w:space="0" w:color="auto"/>
            <w:right w:val="none" w:sz="0" w:space="0" w:color="auto"/>
          </w:divBdr>
        </w:div>
      </w:divsChild>
    </w:div>
    <w:div w:id="815534656">
      <w:bodyDiv w:val="1"/>
      <w:marLeft w:val="0"/>
      <w:marRight w:val="0"/>
      <w:marTop w:val="0"/>
      <w:marBottom w:val="0"/>
      <w:divBdr>
        <w:top w:val="none" w:sz="0" w:space="0" w:color="auto"/>
        <w:left w:val="none" w:sz="0" w:space="0" w:color="auto"/>
        <w:bottom w:val="none" w:sz="0" w:space="0" w:color="auto"/>
        <w:right w:val="none" w:sz="0" w:space="0" w:color="auto"/>
      </w:divBdr>
      <w:divsChild>
        <w:div w:id="540553428">
          <w:marLeft w:val="0"/>
          <w:marRight w:val="0"/>
          <w:marTop w:val="0"/>
          <w:marBottom w:val="0"/>
          <w:divBdr>
            <w:top w:val="none" w:sz="0" w:space="0" w:color="auto"/>
            <w:left w:val="none" w:sz="0" w:space="0" w:color="auto"/>
            <w:bottom w:val="none" w:sz="0" w:space="0" w:color="auto"/>
            <w:right w:val="none" w:sz="0" w:space="0" w:color="auto"/>
          </w:divBdr>
        </w:div>
        <w:div w:id="886649231">
          <w:marLeft w:val="0"/>
          <w:marRight w:val="0"/>
          <w:marTop w:val="0"/>
          <w:marBottom w:val="0"/>
          <w:divBdr>
            <w:top w:val="none" w:sz="0" w:space="0" w:color="auto"/>
            <w:left w:val="none" w:sz="0" w:space="0" w:color="auto"/>
            <w:bottom w:val="none" w:sz="0" w:space="0" w:color="auto"/>
            <w:right w:val="none" w:sz="0" w:space="0" w:color="auto"/>
          </w:divBdr>
        </w:div>
        <w:div w:id="889540268">
          <w:marLeft w:val="0"/>
          <w:marRight w:val="0"/>
          <w:marTop w:val="0"/>
          <w:marBottom w:val="0"/>
          <w:divBdr>
            <w:top w:val="none" w:sz="0" w:space="0" w:color="auto"/>
            <w:left w:val="none" w:sz="0" w:space="0" w:color="auto"/>
            <w:bottom w:val="none" w:sz="0" w:space="0" w:color="auto"/>
            <w:right w:val="none" w:sz="0" w:space="0" w:color="auto"/>
          </w:divBdr>
        </w:div>
        <w:div w:id="978805654">
          <w:marLeft w:val="0"/>
          <w:marRight w:val="0"/>
          <w:marTop w:val="0"/>
          <w:marBottom w:val="0"/>
          <w:divBdr>
            <w:top w:val="none" w:sz="0" w:space="0" w:color="auto"/>
            <w:left w:val="none" w:sz="0" w:space="0" w:color="auto"/>
            <w:bottom w:val="none" w:sz="0" w:space="0" w:color="auto"/>
            <w:right w:val="none" w:sz="0" w:space="0" w:color="auto"/>
          </w:divBdr>
          <w:divsChild>
            <w:div w:id="1045060853">
              <w:marLeft w:val="-75"/>
              <w:marRight w:val="0"/>
              <w:marTop w:val="30"/>
              <w:marBottom w:val="30"/>
              <w:divBdr>
                <w:top w:val="none" w:sz="0" w:space="0" w:color="auto"/>
                <w:left w:val="none" w:sz="0" w:space="0" w:color="auto"/>
                <w:bottom w:val="none" w:sz="0" w:space="0" w:color="auto"/>
                <w:right w:val="none" w:sz="0" w:space="0" w:color="auto"/>
              </w:divBdr>
              <w:divsChild>
                <w:div w:id="37097341">
                  <w:marLeft w:val="0"/>
                  <w:marRight w:val="0"/>
                  <w:marTop w:val="0"/>
                  <w:marBottom w:val="0"/>
                  <w:divBdr>
                    <w:top w:val="none" w:sz="0" w:space="0" w:color="auto"/>
                    <w:left w:val="none" w:sz="0" w:space="0" w:color="auto"/>
                    <w:bottom w:val="none" w:sz="0" w:space="0" w:color="auto"/>
                    <w:right w:val="none" w:sz="0" w:space="0" w:color="auto"/>
                  </w:divBdr>
                  <w:divsChild>
                    <w:div w:id="285307862">
                      <w:marLeft w:val="0"/>
                      <w:marRight w:val="0"/>
                      <w:marTop w:val="0"/>
                      <w:marBottom w:val="0"/>
                      <w:divBdr>
                        <w:top w:val="none" w:sz="0" w:space="0" w:color="auto"/>
                        <w:left w:val="none" w:sz="0" w:space="0" w:color="auto"/>
                        <w:bottom w:val="none" w:sz="0" w:space="0" w:color="auto"/>
                        <w:right w:val="none" w:sz="0" w:space="0" w:color="auto"/>
                      </w:divBdr>
                    </w:div>
                  </w:divsChild>
                </w:div>
                <w:div w:id="38090733">
                  <w:marLeft w:val="0"/>
                  <w:marRight w:val="0"/>
                  <w:marTop w:val="0"/>
                  <w:marBottom w:val="0"/>
                  <w:divBdr>
                    <w:top w:val="none" w:sz="0" w:space="0" w:color="auto"/>
                    <w:left w:val="none" w:sz="0" w:space="0" w:color="auto"/>
                    <w:bottom w:val="none" w:sz="0" w:space="0" w:color="auto"/>
                    <w:right w:val="none" w:sz="0" w:space="0" w:color="auto"/>
                  </w:divBdr>
                  <w:divsChild>
                    <w:div w:id="1208294765">
                      <w:marLeft w:val="0"/>
                      <w:marRight w:val="0"/>
                      <w:marTop w:val="0"/>
                      <w:marBottom w:val="0"/>
                      <w:divBdr>
                        <w:top w:val="none" w:sz="0" w:space="0" w:color="auto"/>
                        <w:left w:val="none" w:sz="0" w:space="0" w:color="auto"/>
                        <w:bottom w:val="none" w:sz="0" w:space="0" w:color="auto"/>
                        <w:right w:val="none" w:sz="0" w:space="0" w:color="auto"/>
                      </w:divBdr>
                    </w:div>
                  </w:divsChild>
                </w:div>
                <w:div w:id="45956933">
                  <w:marLeft w:val="0"/>
                  <w:marRight w:val="0"/>
                  <w:marTop w:val="0"/>
                  <w:marBottom w:val="0"/>
                  <w:divBdr>
                    <w:top w:val="none" w:sz="0" w:space="0" w:color="auto"/>
                    <w:left w:val="none" w:sz="0" w:space="0" w:color="auto"/>
                    <w:bottom w:val="none" w:sz="0" w:space="0" w:color="auto"/>
                    <w:right w:val="none" w:sz="0" w:space="0" w:color="auto"/>
                  </w:divBdr>
                  <w:divsChild>
                    <w:div w:id="1501508048">
                      <w:marLeft w:val="0"/>
                      <w:marRight w:val="0"/>
                      <w:marTop w:val="0"/>
                      <w:marBottom w:val="0"/>
                      <w:divBdr>
                        <w:top w:val="none" w:sz="0" w:space="0" w:color="auto"/>
                        <w:left w:val="none" w:sz="0" w:space="0" w:color="auto"/>
                        <w:bottom w:val="none" w:sz="0" w:space="0" w:color="auto"/>
                        <w:right w:val="none" w:sz="0" w:space="0" w:color="auto"/>
                      </w:divBdr>
                    </w:div>
                  </w:divsChild>
                </w:div>
                <w:div w:id="67774045">
                  <w:marLeft w:val="0"/>
                  <w:marRight w:val="0"/>
                  <w:marTop w:val="0"/>
                  <w:marBottom w:val="0"/>
                  <w:divBdr>
                    <w:top w:val="none" w:sz="0" w:space="0" w:color="auto"/>
                    <w:left w:val="none" w:sz="0" w:space="0" w:color="auto"/>
                    <w:bottom w:val="none" w:sz="0" w:space="0" w:color="auto"/>
                    <w:right w:val="none" w:sz="0" w:space="0" w:color="auto"/>
                  </w:divBdr>
                  <w:divsChild>
                    <w:div w:id="1803186444">
                      <w:marLeft w:val="0"/>
                      <w:marRight w:val="0"/>
                      <w:marTop w:val="0"/>
                      <w:marBottom w:val="0"/>
                      <w:divBdr>
                        <w:top w:val="none" w:sz="0" w:space="0" w:color="auto"/>
                        <w:left w:val="none" w:sz="0" w:space="0" w:color="auto"/>
                        <w:bottom w:val="none" w:sz="0" w:space="0" w:color="auto"/>
                        <w:right w:val="none" w:sz="0" w:space="0" w:color="auto"/>
                      </w:divBdr>
                    </w:div>
                  </w:divsChild>
                </w:div>
                <w:div w:id="78724342">
                  <w:marLeft w:val="0"/>
                  <w:marRight w:val="0"/>
                  <w:marTop w:val="0"/>
                  <w:marBottom w:val="0"/>
                  <w:divBdr>
                    <w:top w:val="none" w:sz="0" w:space="0" w:color="auto"/>
                    <w:left w:val="none" w:sz="0" w:space="0" w:color="auto"/>
                    <w:bottom w:val="none" w:sz="0" w:space="0" w:color="auto"/>
                    <w:right w:val="none" w:sz="0" w:space="0" w:color="auto"/>
                  </w:divBdr>
                  <w:divsChild>
                    <w:div w:id="1565677401">
                      <w:marLeft w:val="0"/>
                      <w:marRight w:val="0"/>
                      <w:marTop w:val="0"/>
                      <w:marBottom w:val="0"/>
                      <w:divBdr>
                        <w:top w:val="none" w:sz="0" w:space="0" w:color="auto"/>
                        <w:left w:val="none" w:sz="0" w:space="0" w:color="auto"/>
                        <w:bottom w:val="none" w:sz="0" w:space="0" w:color="auto"/>
                        <w:right w:val="none" w:sz="0" w:space="0" w:color="auto"/>
                      </w:divBdr>
                    </w:div>
                  </w:divsChild>
                </w:div>
                <w:div w:id="132064283">
                  <w:marLeft w:val="0"/>
                  <w:marRight w:val="0"/>
                  <w:marTop w:val="0"/>
                  <w:marBottom w:val="0"/>
                  <w:divBdr>
                    <w:top w:val="none" w:sz="0" w:space="0" w:color="auto"/>
                    <w:left w:val="none" w:sz="0" w:space="0" w:color="auto"/>
                    <w:bottom w:val="none" w:sz="0" w:space="0" w:color="auto"/>
                    <w:right w:val="none" w:sz="0" w:space="0" w:color="auto"/>
                  </w:divBdr>
                  <w:divsChild>
                    <w:div w:id="558563431">
                      <w:marLeft w:val="0"/>
                      <w:marRight w:val="0"/>
                      <w:marTop w:val="0"/>
                      <w:marBottom w:val="0"/>
                      <w:divBdr>
                        <w:top w:val="none" w:sz="0" w:space="0" w:color="auto"/>
                        <w:left w:val="none" w:sz="0" w:space="0" w:color="auto"/>
                        <w:bottom w:val="none" w:sz="0" w:space="0" w:color="auto"/>
                        <w:right w:val="none" w:sz="0" w:space="0" w:color="auto"/>
                      </w:divBdr>
                    </w:div>
                  </w:divsChild>
                </w:div>
                <w:div w:id="152065794">
                  <w:marLeft w:val="0"/>
                  <w:marRight w:val="0"/>
                  <w:marTop w:val="0"/>
                  <w:marBottom w:val="0"/>
                  <w:divBdr>
                    <w:top w:val="none" w:sz="0" w:space="0" w:color="auto"/>
                    <w:left w:val="none" w:sz="0" w:space="0" w:color="auto"/>
                    <w:bottom w:val="none" w:sz="0" w:space="0" w:color="auto"/>
                    <w:right w:val="none" w:sz="0" w:space="0" w:color="auto"/>
                  </w:divBdr>
                  <w:divsChild>
                    <w:div w:id="1088118440">
                      <w:marLeft w:val="0"/>
                      <w:marRight w:val="0"/>
                      <w:marTop w:val="0"/>
                      <w:marBottom w:val="0"/>
                      <w:divBdr>
                        <w:top w:val="none" w:sz="0" w:space="0" w:color="auto"/>
                        <w:left w:val="none" w:sz="0" w:space="0" w:color="auto"/>
                        <w:bottom w:val="none" w:sz="0" w:space="0" w:color="auto"/>
                        <w:right w:val="none" w:sz="0" w:space="0" w:color="auto"/>
                      </w:divBdr>
                    </w:div>
                  </w:divsChild>
                </w:div>
                <w:div w:id="162864165">
                  <w:marLeft w:val="0"/>
                  <w:marRight w:val="0"/>
                  <w:marTop w:val="0"/>
                  <w:marBottom w:val="0"/>
                  <w:divBdr>
                    <w:top w:val="none" w:sz="0" w:space="0" w:color="auto"/>
                    <w:left w:val="none" w:sz="0" w:space="0" w:color="auto"/>
                    <w:bottom w:val="none" w:sz="0" w:space="0" w:color="auto"/>
                    <w:right w:val="none" w:sz="0" w:space="0" w:color="auto"/>
                  </w:divBdr>
                  <w:divsChild>
                    <w:div w:id="1624388795">
                      <w:marLeft w:val="0"/>
                      <w:marRight w:val="0"/>
                      <w:marTop w:val="0"/>
                      <w:marBottom w:val="0"/>
                      <w:divBdr>
                        <w:top w:val="none" w:sz="0" w:space="0" w:color="auto"/>
                        <w:left w:val="none" w:sz="0" w:space="0" w:color="auto"/>
                        <w:bottom w:val="none" w:sz="0" w:space="0" w:color="auto"/>
                        <w:right w:val="none" w:sz="0" w:space="0" w:color="auto"/>
                      </w:divBdr>
                    </w:div>
                  </w:divsChild>
                </w:div>
                <w:div w:id="185024605">
                  <w:marLeft w:val="0"/>
                  <w:marRight w:val="0"/>
                  <w:marTop w:val="0"/>
                  <w:marBottom w:val="0"/>
                  <w:divBdr>
                    <w:top w:val="none" w:sz="0" w:space="0" w:color="auto"/>
                    <w:left w:val="none" w:sz="0" w:space="0" w:color="auto"/>
                    <w:bottom w:val="none" w:sz="0" w:space="0" w:color="auto"/>
                    <w:right w:val="none" w:sz="0" w:space="0" w:color="auto"/>
                  </w:divBdr>
                  <w:divsChild>
                    <w:div w:id="1666936486">
                      <w:marLeft w:val="0"/>
                      <w:marRight w:val="0"/>
                      <w:marTop w:val="0"/>
                      <w:marBottom w:val="0"/>
                      <w:divBdr>
                        <w:top w:val="none" w:sz="0" w:space="0" w:color="auto"/>
                        <w:left w:val="none" w:sz="0" w:space="0" w:color="auto"/>
                        <w:bottom w:val="none" w:sz="0" w:space="0" w:color="auto"/>
                        <w:right w:val="none" w:sz="0" w:space="0" w:color="auto"/>
                      </w:divBdr>
                    </w:div>
                  </w:divsChild>
                </w:div>
                <w:div w:id="204635274">
                  <w:marLeft w:val="0"/>
                  <w:marRight w:val="0"/>
                  <w:marTop w:val="0"/>
                  <w:marBottom w:val="0"/>
                  <w:divBdr>
                    <w:top w:val="none" w:sz="0" w:space="0" w:color="auto"/>
                    <w:left w:val="none" w:sz="0" w:space="0" w:color="auto"/>
                    <w:bottom w:val="none" w:sz="0" w:space="0" w:color="auto"/>
                    <w:right w:val="none" w:sz="0" w:space="0" w:color="auto"/>
                  </w:divBdr>
                  <w:divsChild>
                    <w:div w:id="1552417956">
                      <w:marLeft w:val="0"/>
                      <w:marRight w:val="0"/>
                      <w:marTop w:val="0"/>
                      <w:marBottom w:val="0"/>
                      <w:divBdr>
                        <w:top w:val="none" w:sz="0" w:space="0" w:color="auto"/>
                        <w:left w:val="none" w:sz="0" w:space="0" w:color="auto"/>
                        <w:bottom w:val="none" w:sz="0" w:space="0" w:color="auto"/>
                        <w:right w:val="none" w:sz="0" w:space="0" w:color="auto"/>
                      </w:divBdr>
                    </w:div>
                  </w:divsChild>
                </w:div>
                <w:div w:id="216093811">
                  <w:marLeft w:val="0"/>
                  <w:marRight w:val="0"/>
                  <w:marTop w:val="0"/>
                  <w:marBottom w:val="0"/>
                  <w:divBdr>
                    <w:top w:val="none" w:sz="0" w:space="0" w:color="auto"/>
                    <w:left w:val="none" w:sz="0" w:space="0" w:color="auto"/>
                    <w:bottom w:val="none" w:sz="0" w:space="0" w:color="auto"/>
                    <w:right w:val="none" w:sz="0" w:space="0" w:color="auto"/>
                  </w:divBdr>
                  <w:divsChild>
                    <w:div w:id="183981689">
                      <w:marLeft w:val="0"/>
                      <w:marRight w:val="0"/>
                      <w:marTop w:val="0"/>
                      <w:marBottom w:val="0"/>
                      <w:divBdr>
                        <w:top w:val="none" w:sz="0" w:space="0" w:color="auto"/>
                        <w:left w:val="none" w:sz="0" w:space="0" w:color="auto"/>
                        <w:bottom w:val="none" w:sz="0" w:space="0" w:color="auto"/>
                        <w:right w:val="none" w:sz="0" w:space="0" w:color="auto"/>
                      </w:divBdr>
                    </w:div>
                  </w:divsChild>
                </w:div>
                <w:div w:id="235936881">
                  <w:marLeft w:val="0"/>
                  <w:marRight w:val="0"/>
                  <w:marTop w:val="0"/>
                  <w:marBottom w:val="0"/>
                  <w:divBdr>
                    <w:top w:val="none" w:sz="0" w:space="0" w:color="auto"/>
                    <w:left w:val="none" w:sz="0" w:space="0" w:color="auto"/>
                    <w:bottom w:val="none" w:sz="0" w:space="0" w:color="auto"/>
                    <w:right w:val="none" w:sz="0" w:space="0" w:color="auto"/>
                  </w:divBdr>
                  <w:divsChild>
                    <w:div w:id="1029377075">
                      <w:marLeft w:val="0"/>
                      <w:marRight w:val="0"/>
                      <w:marTop w:val="0"/>
                      <w:marBottom w:val="0"/>
                      <w:divBdr>
                        <w:top w:val="none" w:sz="0" w:space="0" w:color="auto"/>
                        <w:left w:val="none" w:sz="0" w:space="0" w:color="auto"/>
                        <w:bottom w:val="none" w:sz="0" w:space="0" w:color="auto"/>
                        <w:right w:val="none" w:sz="0" w:space="0" w:color="auto"/>
                      </w:divBdr>
                    </w:div>
                  </w:divsChild>
                </w:div>
                <w:div w:id="250506773">
                  <w:marLeft w:val="0"/>
                  <w:marRight w:val="0"/>
                  <w:marTop w:val="0"/>
                  <w:marBottom w:val="0"/>
                  <w:divBdr>
                    <w:top w:val="none" w:sz="0" w:space="0" w:color="auto"/>
                    <w:left w:val="none" w:sz="0" w:space="0" w:color="auto"/>
                    <w:bottom w:val="none" w:sz="0" w:space="0" w:color="auto"/>
                    <w:right w:val="none" w:sz="0" w:space="0" w:color="auto"/>
                  </w:divBdr>
                  <w:divsChild>
                    <w:div w:id="1672104355">
                      <w:marLeft w:val="0"/>
                      <w:marRight w:val="0"/>
                      <w:marTop w:val="0"/>
                      <w:marBottom w:val="0"/>
                      <w:divBdr>
                        <w:top w:val="none" w:sz="0" w:space="0" w:color="auto"/>
                        <w:left w:val="none" w:sz="0" w:space="0" w:color="auto"/>
                        <w:bottom w:val="none" w:sz="0" w:space="0" w:color="auto"/>
                        <w:right w:val="none" w:sz="0" w:space="0" w:color="auto"/>
                      </w:divBdr>
                    </w:div>
                  </w:divsChild>
                </w:div>
                <w:div w:id="253052387">
                  <w:marLeft w:val="0"/>
                  <w:marRight w:val="0"/>
                  <w:marTop w:val="0"/>
                  <w:marBottom w:val="0"/>
                  <w:divBdr>
                    <w:top w:val="none" w:sz="0" w:space="0" w:color="auto"/>
                    <w:left w:val="none" w:sz="0" w:space="0" w:color="auto"/>
                    <w:bottom w:val="none" w:sz="0" w:space="0" w:color="auto"/>
                    <w:right w:val="none" w:sz="0" w:space="0" w:color="auto"/>
                  </w:divBdr>
                  <w:divsChild>
                    <w:div w:id="344283810">
                      <w:marLeft w:val="0"/>
                      <w:marRight w:val="0"/>
                      <w:marTop w:val="0"/>
                      <w:marBottom w:val="0"/>
                      <w:divBdr>
                        <w:top w:val="none" w:sz="0" w:space="0" w:color="auto"/>
                        <w:left w:val="none" w:sz="0" w:space="0" w:color="auto"/>
                        <w:bottom w:val="none" w:sz="0" w:space="0" w:color="auto"/>
                        <w:right w:val="none" w:sz="0" w:space="0" w:color="auto"/>
                      </w:divBdr>
                    </w:div>
                  </w:divsChild>
                </w:div>
                <w:div w:id="258635426">
                  <w:marLeft w:val="0"/>
                  <w:marRight w:val="0"/>
                  <w:marTop w:val="0"/>
                  <w:marBottom w:val="0"/>
                  <w:divBdr>
                    <w:top w:val="none" w:sz="0" w:space="0" w:color="auto"/>
                    <w:left w:val="none" w:sz="0" w:space="0" w:color="auto"/>
                    <w:bottom w:val="none" w:sz="0" w:space="0" w:color="auto"/>
                    <w:right w:val="none" w:sz="0" w:space="0" w:color="auto"/>
                  </w:divBdr>
                  <w:divsChild>
                    <w:div w:id="920992215">
                      <w:marLeft w:val="0"/>
                      <w:marRight w:val="0"/>
                      <w:marTop w:val="0"/>
                      <w:marBottom w:val="0"/>
                      <w:divBdr>
                        <w:top w:val="none" w:sz="0" w:space="0" w:color="auto"/>
                        <w:left w:val="none" w:sz="0" w:space="0" w:color="auto"/>
                        <w:bottom w:val="none" w:sz="0" w:space="0" w:color="auto"/>
                        <w:right w:val="none" w:sz="0" w:space="0" w:color="auto"/>
                      </w:divBdr>
                    </w:div>
                  </w:divsChild>
                </w:div>
                <w:div w:id="272129834">
                  <w:marLeft w:val="0"/>
                  <w:marRight w:val="0"/>
                  <w:marTop w:val="0"/>
                  <w:marBottom w:val="0"/>
                  <w:divBdr>
                    <w:top w:val="none" w:sz="0" w:space="0" w:color="auto"/>
                    <w:left w:val="none" w:sz="0" w:space="0" w:color="auto"/>
                    <w:bottom w:val="none" w:sz="0" w:space="0" w:color="auto"/>
                    <w:right w:val="none" w:sz="0" w:space="0" w:color="auto"/>
                  </w:divBdr>
                  <w:divsChild>
                    <w:div w:id="921838768">
                      <w:marLeft w:val="0"/>
                      <w:marRight w:val="0"/>
                      <w:marTop w:val="0"/>
                      <w:marBottom w:val="0"/>
                      <w:divBdr>
                        <w:top w:val="none" w:sz="0" w:space="0" w:color="auto"/>
                        <w:left w:val="none" w:sz="0" w:space="0" w:color="auto"/>
                        <w:bottom w:val="none" w:sz="0" w:space="0" w:color="auto"/>
                        <w:right w:val="none" w:sz="0" w:space="0" w:color="auto"/>
                      </w:divBdr>
                    </w:div>
                  </w:divsChild>
                </w:div>
                <w:div w:id="285818337">
                  <w:marLeft w:val="0"/>
                  <w:marRight w:val="0"/>
                  <w:marTop w:val="0"/>
                  <w:marBottom w:val="0"/>
                  <w:divBdr>
                    <w:top w:val="none" w:sz="0" w:space="0" w:color="auto"/>
                    <w:left w:val="none" w:sz="0" w:space="0" w:color="auto"/>
                    <w:bottom w:val="none" w:sz="0" w:space="0" w:color="auto"/>
                    <w:right w:val="none" w:sz="0" w:space="0" w:color="auto"/>
                  </w:divBdr>
                  <w:divsChild>
                    <w:div w:id="1868063748">
                      <w:marLeft w:val="0"/>
                      <w:marRight w:val="0"/>
                      <w:marTop w:val="0"/>
                      <w:marBottom w:val="0"/>
                      <w:divBdr>
                        <w:top w:val="none" w:sz="0" w:space="0" w:color="auto"/>
                        <w:left w:val="none" w:sz="0" w:space="0" w:color="auto"/>
                        <w:bottom w:val="none" w:sz="0" w:space="0" w:color="auto"/>
                        <w:right w:val="none" w:sz="0" w:space="0" w:color="auto"/>
                      </w:divBdr>
                    </w:div>
                  </w:divsChild>
                </w:div>
                <w:div w:id="334769228">
                  <w:marLeft w:val="0"/>
                  <w:marRight w:val="0"/>
                  <w:marTop w:val="0"/>
                  <w:marBottom w:val="0"/>
                  <w:divBdr>
                    <w:top w:val="none" w:sz="0" w:space="0" w:color="auto"/>
                    <w:left w:val="none" w:sz="0" w:space="0" w:color="auto"/>
                    <w:bottom w:val="none" w:sz="0" w:space="0" w:color="auto"/>
                    <w:right w:val="none" w:sz="0" w:space="0" w:color="auto"/>
                  </w:divBdr>
                  <w:divsChild>
                    <w:div w:id="1574774293">
                      <w:marLeft w:val="0"/>
                      <w:marRight w:val="0"/>
                      <w:marTop w:val="0"/>
                      <w:marBottom w:val="0"/>
                      <w:divBdr>
                        <w:top w:val="none" w:sz="0" w:space="0" w:color="auto"/>
                        <w:left w:val="none" w:sz="0" w:space="0" w:color="auto"/>
                        <w:bottom w:val="none" w:sz="0" w:space="0" w:color="auto"/>
                        <w:right w:val="none" w:sz="0" w:space="0" w:color="auto"/>
                      </w:divBdr>
                    </w:div>
                  </w:divsChild>
                </w:div>
                <w:div w:id="374432139">
                  <w:marLeft w:val="0"/>
                  <w:marRight w:val="0"/>
                  <w:marTop w:val="0"/>
                  <w:marBottom w:val="0"/>
                  <w:divBdr>
                    <w:top w:val="none" w:sz="0" w:space="0" w:color="auto"/>
                    <w:left w:val="none" w:sz="0" w:space="0" w:color="auto"/>
                    <w:bottom w:val="none" w:sz="0" w:space="0" w:color="auto"/>
                    <w:right w:val="none" w:sz="0" w:space="0" w:color="auto"/>
                  </w:divBdr>
                  <w:divsChild>
                    <w:div w:id="1678191529">
                      <w:marLeft w:val="0"/>
                      <w:marRight w:val="0"/>
                      <w:marTop w:val="0"/>
                      <w:marBottom w:val="0"/>
                      <w:divBdr>
                        <w:top w:val="none" w:sz="0" w:space="0" w:color="auto"/>
                        <w:left w:val="none" w:sz="0" w:space="0" w:color="auto"/>
                        <w:bottom w:val="none" w:sz="0" w:space="0" w:color="auto"/>
                        <w:right w:val="none" w:sz="0" w:space="0" w:color="auto"/>
                      </w:divBdr>
                    </w:div>
                  </w:divsChild>
                </w:div>
                <w:div w:id="387414952">
                  <w:marLeft w:val="0"/>
                  <w:marRight w:val="0"/>
                  <w:marTop w:val="0"/>
                  <w:marBottom w:val="0"/>
                  <w:divBdr>
                    <w:top w:val="none" w:sz="0" w:space="0" w:color="auto"/>
                    <w:left w:val="none" w:sz="0" w:space="0" w:color="auto"/>
                    <w:bottom w:val="none" w:sz="0" w:space="0" w:color="auto"/>
                    <w:right w:val="none" w:sz="0" w:space="0" w:color="auto"/>
                  </w:divBdr>
                  <w:divsChild>
                    <w:div w:id="470443279">
                      <w:marLeft w:val="0"/>
                      <w:marRight w:val="0"/>
                      <w:marTop w:val="0"/>
                      <w:marBottom w:val="0"/>
                      <w:divBdr>
                        <w:top w:val="none" w:sz="0" w:space="0" w:color="auto"/>
                        <w:left w:val="none" w:sz="0" w:space="0" w:color="auto"/>
                        <w:bottom w:val="none" w:sz="0" w:space="0" w:color="auto"/>
                        <w:right w:val="none" w:sz="0" w:space="0" w:color="auto"/>
                      </w:divBdr>
                    </w:div>
                  </w:divsChild>
                </w:div>
                <w:div w:id="466434063">
                  <w:marLeft w:val="0"/>
                  <w:marRight w:val="0"/>
                  <w:marTop w:val="0"/>
                  <w:marBottom w:val="0"/>
                  <w:divBdr>
                    <w:top w:val="none" w:sz="0" w:space="0" w:color="auto"/>
                    <w:left w:val="none" w:sz="0" w:space="0" w:color="auto"/>
                    <w:bottom w:val="none" w:sz="0" w:space="0" w:color="auto"/>
                    <w:right w:val="none" w:sz="0" w:space="0" w:color="auto"/>
                  </w:divBdr>
                  <w:divsChild>
                    <w:div w:id="1213080162">
                      <w:marLeft w:val="0"/>
                      <w:marRight w:val="0"/>
                      <w:marTop w:val="0"/>
                      <w:marBottom w:val="0"/>
                      <w:divBdr>
                        <w:top w:val="none" w:sz="0" w:space="0" w:color="auto"/>
                        <w:left w:val="none" w:sz="0" w:space="0" w:color="auto"/>
                        <w:bottom w:val="none" w:sz="0" w:space="0" w:color="auto"/>
                        <w:right w:val="none" w:sz="0" w:space="0" w:color="auto"/>
                      </w:divBdr>
                    </w:div>
                  </w:divsChild>
                </w:div>
                <w:div w:id="510988981">
                  <w:marLeft w:val="0"/>
                  <w:marRight w:val="0"/>
                  <w:marTop w:val="0"/>
                  <w:marBottom w:val="0"/>
                  <w:divBdr>
                    <w:top w:val="none" w:sz="0" w:space="0" w:color="auto"/>
                    <w:left w:val="none" w:sz="0" w:space="0" w:color="auto"/>
                    <w:bottom w:val="none" w:sz="0" w:space="0" w:color="auto"/>
                    <w:right w:val="none" w:sz="0" w:space="0" w:color="auto"/>
                  </w:divBdr>
                  <w:divsChild>
                    <w:div w:id="1361903690">
                      <w:marLeft w:val="0"/>
                      <w:marRight w:val="0"/>
                      <w:marTop w:val="0"/>
                      <w:marBottom w:val="0"/>
                      <w:divBdr>
                        <w:top w:val="none" w:sz="0" w:space="0" w:color="auto"/>
                        <w:left w:val="none" w:sz="0" w:space="0" w:color="auto"/>
                        <w:bottom w:val="none" w:sz="0" w:space="0" w:color="auto"/>
                        <w:right w:val="none" w:sz="0" w:space="0" w:color="auto"/>
                      </w:divBdr>
                    </w:div>
                  </w:divsChild>
                </w:div>
                <w:div w:id="538200355">
                  <w:marLeft w:val="0"/>
                  <w:marRight w:val="0"/>
                  <w:marTop w:val="0"/>
                  <w:marBottom w:val="0"/>
                  <w:divBdr>
                    <w:top w:val="none" w:sz="0" w:space="0" w:color="auto"/>
                    <w:left w:val="none" w:sz="0" w:space="0" w:color="auto"/>
                    <w:bottom w:val="none" w:sz="0" w:space="0" w:color="auto"/>
                    <w:right w:val="none" w:sz="0" w:space="0" w:color="auto"/>
                  </w:divBdr>
                  <w:divsChild>
                    <w:div w:id="1261715184">
                      <w:marLeft w:val="0"/>
                      <w:marRight w:val="0"/>
                      <w:marTop w:val="0"/>
                      <w:marBottom w:val="0"/>
                      <w:divBdr>
                        <w:top w:val="none" w:sz="0" w:space="0" w:color="auto"/>
                        <w:left w:val="none" w:sz="0" w:space="0" w:color="auto"/>
                        <w:bottom w:val="none" w:sz="0" w:space="0" w:color="auto"/>
                        <w:right w:val="none" w:sz="0" w:space="0" w:color="auto"/>
                      </w:divBdr>
                    </w:div>
                  </w:divsChild>
                </w:div>
                <w:div w:id="558327954">
                  <w:marLeft w:val="0"/>
                  <w:marRight w:val="0"/>
                  <w:marTop w:val="0"/>
                  <w:marBottom w:val="0"/>
                  <w:divBdr>
                    <w:top w:val="none" w:sz="0" w:space="0" w:color="auto"/>
                    <w:left w:val="none" w:sz="0" w:space="0" w:color="auto"/>
                    <w:bottom w:val="none" w:sz="0" w:space="0" w:color="auto"/>
                    <w:right w:val="none" w:sz="0" w:space="0" w:color="auto"/>
                  </w:divBdr>
                  <w:divsChild>
                    <w:div w:id="398988957">
                      <w:marLeft w:val="0"/>
                      <w:marRight w:val="0"/>
                      <w:marTop w:val="0"/>
                      <w:marBottom w:val="0"/>
                      <w:divBdr>
                        <w:top w:val="none" w:sz="0" w:space="0" w:color="auto"/>
                        <w:left w:val="none" w:sz="0" w:space="0" w:color="auto"/>
                        <w:bottom w:val="none" w:sz="0" w:space="0" w:color="auto"/>
                        <w:right w:val="none" w:sz="0" w:space="0" w:color="auto"/>
                      </w:divBdr>
                    </w:div>
                  </w:divsChild>
                </w:div>
                <w:div w:id="567037930">
                  <w:marLeft w:val="0"/>
                  <w:marRight w:val="0"/>
                  <w:marTop w:val="0"/>
                  <w:marBottom w:val="0"/>
                  <w:divBdr>
                    <w:top w:val="none" w:sz="0" w:space="0" w:color="auto"/>
                    <w:left w:val="none" w:sz="0" w:space="0" w:color="auto"/>
                    <w:bottom w:val="none" w:sz="0" w:space="0" w:color="auto"/>
                    <w:right w:val="none" w:sz="0" w:space="0" w:color="auto"/>
                  </w:divBdr>
                  <w:divsChild>
                    <w:div w:id="624192343">
                      <w:marLeft w:val="0"/>
                      <w:marRight w:val="0"/>
                      <w:marTop w:val="0"/>
                      <w:marBottom w:val="0"/>
                      <w:divBdr>
                        <w:top w:val="none" w:sz="0" w:space="0" w:color="auto"/>
                        <w:left w:val="none" w:sz="0" w:space="0" w:color="auto"/>
                        <w:bottom w:val="none" w:sz="0" w:space="0" w:color="auto"/>
                        <w:right w:val="none" w:sz="0" w:space="0" w:color="auto"/>
                      </w:divBdr>
                    </w:div>
                  </w:divsChild>
                </w:div>
                <w:div w:id="606157299">
                  <w:marLeft w:val="0"/>
                  <w:marRight w:val="0"/>
                  <w:marTop w:val="0"/>
                  <w:marBottom w:val="0"/>
                  <w:divBdr>
                    <w:top w:val="none" w:sz="0" w:space="0" w:color="auto"/>
                    <w:left w:val="none" w:sz="0" w:space="0" w:color="auto"/>
                    <w:bottom w:val="none" w:sz="0" w:space="0" w:color="auto"/>
                    <w:right w:val="none" w:sz="0" w:space="0" w:color="auto"/>
                  </w:divBdr>
                  <w:divsChild>
                    <w:div w:id="791632743">
                      <w:marLeft w:val="0"/>
                      <w:marRight w:val="0"/>
                      <w:marTop w:val="0"/>
                      <w:marBottom w:val="0"/>
                      <w:divBdr>
                        <w:top w:val="none" w:sz="0" w:space="0" w:color="auto"/>
                        <w:left w:val="none" w:sz="0" w:space="0" w:color="auto"/>
                        <w:bottom w:val="none" w:sz="0" w:space="0" w:color="auto"/>
                        <w:right w:val="none" w:sz="0" w:space="0" w:color="auto"/>
                      </w:divBdr>
                    </w:div>
                  </w:divsChild>
                </w:div>
                <w:div w:id="616257740">
                  <w:marLeft w:val="0"/>
                  <w:marRight w:val="0"/>
                  <w:marTop w:val="0"/>
                  <w:marBottom w:val="0"/>
                  <w:divBdr>
                    <w:top w:val="none" w:sz="0" w:space="0" w:color="auto"/>
                    <w:left w:val="none" w:sz="0" w:space="0" w:color="auto"/>
                    <w:bottom w:val="none" w:sz="0" w:space="0" w:color="auto"/>
                    <w:right w:val="none" w:sz="0" w:space="0" w:color="auto"/>
                  </w:divBdr>
                  <w:divsChild>
                    <w:div w:id="276450437">
                      <w:marLeft w:val="0"/>
                      <w:marRight w:val="0"/>
                      <w:marTop w:val="0"/>
                      <w:marBottom w:val="0"/>
                      <w:divBdr>
                        <w:top w:val="none" w:sz="0" w:space="0" w:color="auto"/>
                        <w:left w:val="none" w:sz="0" w:space="0" w:color="auto"/>
                        <w:bottom w:val="none" w:sz="0" w:space="0" w:color="auto"/>
                        <w:right w:val="none" w:sz="0" w:space="0" w:color="auto"/>
                      </w:divBdr>
                    </w:div>
                  </w:divsChild>
                </w:div>
                <w:div w:id="639772898">
                  <w:marLeft w:val="0"/>
                  <w:marRight w:val="0"/>
                  <w:marTop w:val="0"/>
                  <w:marBottom w:val="0"/>
                  <w:divBdr>
                    <w:top w:val="none" w:sz="0" w:space="0" w:color="auto"/>
                    <w:left w:val="none" w:sz="0" w:space="0" w:color="auto"/>
                    <w:bottom w:val="none" w:sz="0" w:space="0" w:color="auto"/>
                    <w:right w:val="none" w:sz="0" w:space="0" w:color="auto"/>
                  </w:divBdr>
                  <w:divsChild>
                    <w:div w:id="899755883">
                      <w:marLeft w:val="0"/>
                      <w:marRight w:val="0"/>
                      <w:marTop w:val="0"/>
                      <w:marBottom w:val="0"/>
                      <w:divBdr>
                        <w:top w:val="none" w:sz="0" w:space="0" w:color="auto"/>
                        <w:left w:val="none" w:sz="0" w:space="0" w:color="auto"/>
                        <w:bottom w:val="none" w:sz="0" w:space="0" w:color="auto"/>
                        <w:right w:val="none" w:sz="0" w:space="0" w:color="auto"/>
                      </w:divBdr>
                    </w:div>
                  </w:divsChild>
                </w:div>
                <w:div w:id="643386882">
                  <w:marLeft w:val="0"/>
                  <w:marRight w:val="0"/>
                  <w:marTop w:val="0"/>
                  <w:marBottom w:val="0"/>
                  <w:divBdr>
                    <w:top w:val="none" w:sz="0" w:space="0" w:color="auto"/>
                    <w:left w:val="none" w:sz="0" w:space="0" w:color="auto"/>
                    <w:bottom w:val="none" w:sz="0" w:space="0" w:color="auto"/>
                    <w:right w:val="none" w:sz="0" w:space="0" w:color="auto"/>
                  </w:divBdr>
                  <w:divsChild>
                    <w:div w:id="379208486">
                      <w:marLeft w:val="0"/>
                      <w:marRight w:val="0"/>
                      <w:marTop w:val="0"/>
                      <w:marBottom w:val="0"/>
                      <w:divBdr>
                        <w:top w:val="none" w:sz="0" w:space="0" w:color="auto"/>
                        <w:left w:val="none" w:sz="0" w:space="0" w:color="auto"/>
                        <w:bottom w:val="none" w:sz="0" w:space="0" w:color="auto"/>
                        <w:right w:val="none" w:sz="0" w:space="0" w:color="auto"/>
                      </w:divBdr>
                    </w:div>
                  </w:divsChild>
                </w:div>
                <w:div w:id="645934788">
                  <w:marLeft w:val="0"/>
                  <w:marRight w:val="0"/>
                  <w:marTop w:val="0"/>
                  <w:marBottom w:val="0"/>
                  <w:divBdr>
                    <w:top w:val="none" w:sz="0" w:space="0" w:color="auto"/>
                    <w:left w:val="none" w:sz="0" w:space="0" w:color="auto"/>
                    <w:bottom w:val="none" w:sz="0" w:space="0" w:color="auto"/>
                    <w:right w:val="none" w:sz="0" w:space="0" w:color="auto"/>
                  </w:divBdr>
                  <w:divsChild>
                    <w:div w:id="506680393">
                      <w:marLeft w:val="0"/>
                      <w:marRight w:val="0"/>
                      <w:marTop w:val="0"/>
                      <w:marBottom w:val="0"/>
                      <w:divBdr>
                        <w:top w:val="none" w:sz="0" w:space="0" w:color="auto"/>
                        <w:left w:val="none" w:sz="0" w:space="0" w:color="auto"/>
                        <w:bottom w:val="none" w:sz="0" w:space="0" w:color="auto"/>
                        <w:right w:val="none" w:sz="0" w:space="0" w:color="auto"/>
                      </w:divBdr>
                    </w:div>
                  </w:divsChild>
                </w:div>
                <w:div w:id="667249978">
                  <w:marLeft w:val="0"/>
                  <w:marRight w:val="0"/>
                  <w:marTop w:val="0"/>
                  <w:marBottom w:val="0"/>
                  <w:divBdr>
                    <w:top w:val="none" w:sz="0" w:space="0" w:color="auto"/>
                    <w:left w:val="none" w:sz="0" w:space="0" w:color="auto"/>
                    <w:bottom w:val="none" w:sz="0" w:space="0" w:color="auto"/>
                    <w:right w:val="none" w:sz="0" w:space="0" w:color="auto"/>
                  </w:divBdr>
                  <w:divsChild>
                    <w:div w:id="657419032">
                      <w:marLeft w:val="0"/>
                      <w:marRight w:val="0"/>
                      <w:marTop w:val="0"/>
                      <w:marBottom w:val="0"/>
                      <w:divBdr>
                        <w:top w:val="none" w:sz="0" w:space="0" w:color="auto"/>
                        <w:left w:val="none" w:sz="0" w:space="0" w:color="auto"/>
                        <w:bottom w:val="none" w:sz="0" w:space="0" w:color="auto"/>
                        <w:right w:val="none" w:sz="0" w:space="0" w:color="auto"/>
                      </w:divBdr>
                    </w:div>
                  </w:divsChild>
                </w:div>
                <w:div w:id="744954235">
                  <w:marLeft w:val="0"/>
                  <w:marRight w:val="0"/>
                  <w:marTop w:val="0"/>
                  <w:marBottom w:val="0"/>
                  <w:divBdr>
                    <w:top w:val="none" w:sz="0" w:space="0" w:color="auto"/>
                    <w:left w:val="none" w:sz="0" w:space="0" w:color="auto"/>
                    <w:bottom w:val="none" w:sz="0" w:space="0" w:color="auto"/>
                    <w:right w:val="none" w:sz="0" w:space="0" w:color="auto"/>
                  </w:divBdr>
                  <w:divsChild>
                    <w:div w:id="1837069948">
                      <w:marLeft w:val="0"/>
                      <w:marRight w:val="0"/>
                      <w:marTop w:val="0"/>
                      <w:marBottom w:val="0"/>
                      <w:divBdr>
                        <w:top w:val="none" w:sz="0" w:space="0" w:color="auto"/>
                        <w:left w:val="none" w:sz="0" w:space="0" w:color="auto"/>
                        <w:bottom w:val="none" w:sz="0" w:space="0" w:color="auto"/>
                        <w:right w:val="none" w:sz="0" w:space="0" w:color="auto"/>
                      </w:divBdr>
                    </w:div>
                  </w:divsChild>
                </w:div>
                <w:div w:id="750469271">
                  <w:marLeft w:val="0"/>
                  <w:marRight w:val="0"/>
                  <w:marTop w:val="0"/>
                  <w:marBottom w:val="0"/>
                  <w:divBdr>
                    <w:top w:val="none" w:sz="0" w:space="0" w:color="auto"/>
                    <w:left w:val="none" w:sz="0" w:space="0" w:color="auto"/>
                    <w:bottom w:val="none" w:sz="0" w:space="0" w:color="auto"/>
                    <w:right w:val="none" w:sz="0" w:space="0" w:color="auto"/>
                  </w:divBdr>
                  <w:divsChild>
                    <w:div w:id="1734156925">
                      <w:marLeft w:val="0"/>
                      <w:marRight w:val="0"/>
                      <w:marTop w:val="0"/>
                      <w:marBottom w:val="0"/>
                      <w:divBdr>
                        <w:top w:val="none" w:sz="0" w:space="0" w:color="auto"/>
                        <w:left w:val="none" w:sz="0" w:space="0" w:color="auto"/>
                        <w:bottom w:val="none" w:sz="0" w:space="0" w:color="auto"/>
                        <w:right w:val="none" w:sz="0" w:space="0" w:color="auto"/>
                      </w:divBdr>
                    </w:div>
                  </w:divsChild>
                </w:div>
                <w:div w:id="751000949">
                  <w:marLeft w:val="0"/>
                  <w:marRight w:val="0"/>
                  <w:marTop w:val="0"/>
                  <w:marBottom w:val="0"/>
                  <w:divBdr>
                    <w:top w:val="none" w:sz="0" w:space="0" w:color="auto"/>
                    <w:left w:val="none" w:sz="0" w:space="0" w:color="auto"/>
                    <w:bottom w:val="none" w:sz="0" w:space="0" w:color="auto"/>
                    <w:right w:val="none" w:sz="0" w:space="0" w:color="auto"/>
                  </w:divBdr>
                  <w:divsChild>
                    <w:div w:id="1115102481">
                      <w:marLeft w:val="0"/>
                      <w:marRight w:val="0"/>
                      <w:marTop w:val="0"/>
                      <w:marBottom w:val="0"/>
                      <w:divBdr>
                        <w:top w:val="none" w:sz="0" w:space="0" w:color="auto"/>
                        <w:left w:val="none" w:sz="0" w:space="0" w:color="auto"/>
                        <w:bottom w:val="none" w:sz="0" w:space="0" w:color="auto"/>
                        <w:right w:val="none" w:sz="0" w:space="0" w:color="auto"/>
                      </w:divBdr>
                    </w:div>
                  </w:divsChild>
                </w:div>
                <w:div w:id="758602751">
                  <w:marLeft w:val="0"/>
                  <w:marRight w:val="0"/>
                  <w:marTop w:val="0"/>
                  <w:marBottom w:val="0"/>
                  <w:divBdr>
                    <w:top w:val="none" w:sz="0" w:space="0" w:color="auto"/>
                    <w:left w:val="none" w:sz="0" w:space="0" w:color="auto"/>
                    <w:bottom w:val="none" w:sz="0" w:space="0" w:color="auto"/>
                    <w:right w:val="none" w:sz="0" w:space="0" w:color="auto"/>
                  </w:divBdr>
                  <w:divsChild>
                    <w:div w:id="416486549">
                      <w:marLeft w:val="0"/>
                      <w:marRight w:val="0"/>
                      <w:marTop w:val="0"/>
                      <w:marBottom w:val="0"/>
                      <w:divBdr>
                        <w:top w:val="none" w:sz="0" w:space="0" w:color="auto"/>
                        <w:left w:val="none" w:sz="0" w:space="0" w:color="auto"/>
                        <w:bottom w:val="none" w:sz="0" w:space="0" w:color="auto"/>
                        <w:right w:val="none" w:sz="0" w:space="0" w:color="auto"/>
                      </w:divBdr>
                    </w:div>
                  </w:divsChild>
                </w:div>
                <w:div w:id="777220837">
                  <w:marLeft w:val="0"/>
                  <w:marRight w:val="0"/>
                  <w:marTop w:val="0"/>
                  <w:marBottom w:val="0"/>
                  <w:divBdr>
                    <w:top w:val="none" w:sz="0" w:space="0" w:color="auto"/>
                    <w:left w:val="none" w:sz="0" w:space="0" w:color="auto"/>
                    <w:bottom w:val="none" w:sz="0" w:space="0" w:color="auto"/>
                    <w:right w:val="none" w:sz="0" w:space="0" w:color="auto"/>
                  </w:divBdr>
                  <w:divsChild>
                    <w:div w:id="740493624">
                      <w:marLeft w:val="0"/>
                      <w:marRight w:val="0"/>
                      <w:marTop w:val="0"/>
                      <w:marBottom w:val="0"/>
                      <w:divBdr>
                        <w:top w:val="none" w:sz="0" w:space="0" w:color="auto"/>
                        <w:left w:val="none" w:sz="0" w:space="0" w:color="auto"/>
                        <w:bottom w:val="none" w:sz="0" w:space="0" w:color="auto"/>
                        <w:right w:val="none" w:sz="0" w:space="0" w:color="auto"/>
                      </w:divBdr>
                    </w:div>
                  </w:divsChild>
                </w:div>
                <w:div w:id="780301372">
                  <w:marLeft w:val="0"/>
                  <w:marRight w:val="0"/>
                  <w:marTop w:val="0"/>
                  <w:marBottom w:val="0"/>
                  <w:divBdr>
                    <w:top w:val="none" w:sz="0" w:space="0" w:color="auto"/>
                    <w:left w:val="none" w:sz="0" w:space="0" w:color="auto"/>
                    <w:bottom w:val="none" w:sz="0" w:space="0" w:color="auto"/>
                    <w:right w:val="none" w:sz="0" w:space="0" w:color="auto"/>
                  </w:divBdr>
                  <w:divsChild>
                    <w:div w:id="1196425627">
                      <w:marLeft w:val="0"/>
                      <w:marRight w:val="0"/>
                      <w:marTop w:val="0"/>
                      <w:marBottom w:val="0"/>
                      <w:divBdr>
                        <w:top w:val="none" w:sz="0" w:space="0" w:color="auto"/>
                        <w:left w:val="none" w:sz="0" w:space="0" w:color="auto"/>
                        <w:bottom w:val="none" w:sz="0" w:space="0" w:color="auto"/>
                        <w:right w:val="none" w:sz="0" w:space="0" w:color="auto"/>
                      </w:divBdr>
                    </w:div>
                  </w:divsChild>
                </w:div>
                <w:div w:id="786850010">
                  <w:marLeft w:val="0"/>
                  <w:marRight w:val="0"/>
                  <w:marTop w:val="0"/>
                  <w:marBottom w:val="0"/>
                  <w:divBdr>
                    <w:top w:val="none" w:sz="0" w:space="0" w:color="auto"/>
                    <w:left w:val="none" w:sz="0" w:space="0" w:color="auto"/>
                    <w:bottom w:val="none" w:sz="0" w:space="0" w:color="auto"/>
                    <w:right w:val="none" w:sz="0" w:space="0" w:color="auto"/>
                  </w:divBdr>
                  <w:divsChild>
                    <w:div w:id="414134133">
                      <w:marLeft w:val="0"/>
                      <w:marRight w:val="0"/>
                      <w:marTop w:val="0"/>
                      <w:marBottom w:val="0"/>
                      <w:divBdr>
                        <w:top w:val="none" w:sz="0" w:space="0" w:color="auto"/>
                        <w:left w:val="none" w:sz="0" w:space="0" w:color="auto"/>
                        <w:bottom w:val="none" w:sz="0" w:space="0" w:color="auto"/>
                        <w:right w:val="none" w:sz="0" w:space="0" w:color="auto"/>
                      </w:divBdr>
                    </w:div>
                  </w:divsChild>
                </w:div>
                <w:div w:id="828516165">
                  <w:marLeft w:val="0"/>
                  <w:marRight w:val="0"/>
                  <w:marTop w:val="0"/>
                  <w:marBottom w:val="0"/>
                  <w:divBdr>
                    <w:top w:val="none" w:sz="0" w:space="0" w:color="auto"/>
                    <w:left w:val="none" w:sz="0" w:space="0" w:color="auto"/>
                    <w:bottom w:val="none" w:sz="0" w:space="0" w:color="auto"/>
                    <w:right w:val="none" w:sz="0" w:space="0" w:color="auto"/>
                  </w:divBdr>
                  <w:divsChild>
                    <w:div w:id="1791968706">
                      <w:marLeft w:val="0"/>
                      <w:marRight w:val="0"/>
                      <w:marTop w:val="0"/>
                      <w:marBottom w:val="0"/>
                      <w:divBdr>
                        <w:top w:val="none" w:sz="0" w:space="0" w:color="auto"/>
                        <w:left w:val="none" w:sz="0" w:space="0" w:color="auto"/>
                        <w:bottom w:val="none" w:sz="0" w:space="0" w:color="auto"/>
                        <w:right w:val="none" w:sz="0" w:space="0" w:color="auto"/>
                      </w:divBdr>
                    </w:div>
                  </w:divsChild>
                </w:div>
                <w:div w:id="831217105">
                  <w:marLeft w:val="0"/>
                  <w:marRight w:val="0"/>
                  <w:marTop w:val="0"/>
                  <w:marBottom w:val="0"/>
                  <w:divBdr>
                    <w:top w:val="none" w:sz="0" w:space="0" w:color="auto"/>
                    <w:left w:val="none" w:sz="0" w:space="0" w:color="auto"/>
                    <w:bottom w:val="none" w:sz="0" w:space="0" w:color="auto"/>
                    <w:right w:val="none" w:sz="0" w:space="0" w:color="auto"/>
                  </w:divBdr>
                  <w:divsChild>
                    <w:div w:id="1195728200">
                      <w:marLeft w:val="0"/>
                      <w:marRight w:val="0"/>
                      <w:marTop w:val="0"/>
                      <w:marBottom w:val="0"/>
                      <w:divBdr>
                        <w:top w:val="none" w:sz="0" w:space="0" w:color="auto"/>
                        <w:left w:val="none" w:sz="0" w:space="0" w:color="auto"/>
                        <w:bottom w:val="none" w:sz="0" w:space="0" w:color="auto"/>
                        <w:right w:val="none" w:sz="0" w:space="0" w:color="auto"/>
                      </w:divBdr>
                    </w:div>
                  </w:divsChild>
                </w:div>
                <w:div w:id="846100091">
                  <w:marLeft w:val="0"/>
                  <w:marRight w:val="0"/>
                  <w:marTop w:val="0"/>
                  <w:marBottom w:val="0"/>
                  <w:divBdr>
                    <w:top w:val="none" w:sz="0" w:space="0" w:color="auto"/>
                    <w:left w:val="none" w:sz="0" w:space="0" w:color="auto"/>
                    <w:bottom w:val="none" w:sz="0" w:space="0" w:color="auto"/>
                    <w:right w:val="none" w:sz="0" w:space="0" w:color="auto"/>
                  </w:divBdr>
                  <w:divsChild>
                    <w:div w:id="965087341">
                      <w:marLeft w:val="0"/>
                      <w:marRight w:val="0"/>
                      <w:marTop w:val="0"/>
                      <w:marBottom w:val="0"/>
                      <w:divBdr>
                        <w:top w:val="none" w:sz="0" w:space="0" w:color="auto"/>
                        <w:left w:val="none" w:sz="0" w:space="0" w:color="auto"/>
                        <w:bottom w:val="none" w:sz="0" w:space="0" w:color="auto"/>
                        <w:right w:val="none" w:sz="0" w:space="0" w:color="auto"/>
                      </w:divBdr>
                    </w:div>
                  </w:divsChild>
                </w:div>
                <w:div w:id="851379212">
                  <w:marLeft w:val="0"/>
                  <w:marRight w:val="0"/>
                  <w:marTop w:val="0"/>
                  <w:marBottom w:val="0"/>
                  <w:divBdr>
                    <w:top w:val="none" w:sz="0" w:space="0" w:color="auto"/>
                    <w:left w:val="none" w:sz="0" w:space="0" w:color="auto"/>
                    <w:bottom w:val="none" w:sz="0" w:space="0" w:color="auto"/>
                    <w:right w:val="none" w:sz="0" w:space="0" w:color="auto"/>
                  </w:divBdr>
                  <w:divsChild>
                    <w:div w:id="92942127">
                      <w:marLeft w:val="0"/>
                      <w:marRight w:val="0"/>
                      <w:marTop w:val="0"/>
                      <w:marBottom w:val="0"/>
                      <w:divBdr>
                        <w:top w:val="none" w:sz="0" w:space="0" w:color="auto"/>
                        <w:left w:val="none" w:sz="0" w:space="0" w:color="auto"/>
                        <w:bottom w:val="none" w:sz="0" w:space="0" w:color="auto"/>
                        <w:right w:val="none" w:sz="0" w:space="0" w:color="auto"/>
                      </w:divBdr>
                    </w:div>
                  </w:divsChild>
                </w:div>
                <w:div w:id="862137243">
                  <w:marLeft w:val="0"/>
                  <w:marRight w:val="0"/>
                  <w:marTop w:val="0"/>
                  <w:marBottom w:val="0"/>
                  <w:divBdr>
                    <w:top w:val="none" w:sz="0" w:space="0" w:color="auto"/>
                    <w:left w:val="none" w:sz="0" w:space="0" w:color="auto"/>
                    <w:bottom w:val="none" w:sz="0" w:space="0" w:color="auto"/>
                    <w:right w:val="none" w:sz="0" w:space="0" w:color="auto"/>
                  </w:divBdr>
                  <w:divsChild>
                    <w:div w:id="880283744">
                      <w:marLeft w:val="0"/>
                      <w:marRight w:val="0"/>
                      <w:marTop w:val="0"/>
                      <w:marBottom w:val="0"/>
                      <w:divBdr>
                        <w:top w:val="none" w:sz="0" w:space="0" w:color="auto"/>
                        <w:left w:val="none" w:sz="0" w:space="0" w:color="auto"/>
                        <w:bottom w:val="none" w:sz="0" w:space="0" w:color="auto"/>
                        <w:right w:val="none" w:sz="0" w:space="0" w:color="auto"/>
                      </w:divBdr>
                    </w:div>
                  </w:divsChild>
                </w:div>
                <w:div w:id="871530116">
                  <w:marLeft w:val="0"/>
                  <w:marRight w:val="0"/>
                  <w:marTop w:val="0"/>
                  <w:marBottom w:val="0"/>
                  <w:divBdr>
                    <w:top w:val="none" w:sz="0" w:space="0" w:color="auto"/>
                    <w:left w:val="none" w:sz="0" w:space="0" w:color="auto"/>
                    <w:bottom w:val="none" w:sz="0" w:space="0" w:color="auto"/>
                    <w:right w:val="none" w:sz="0" w:space="0" w:color="auto"/>
                  </w:divBdr>
                  <w:divsChild>
                    <w:div w:id="291598175">
                      <w:marLeft w:val="0"/>
                      <w:marRight w:val="0"/>
                      <w:marTop w:val="0"/>
                      <w:marBottom w:val="0"/>
                      <w:divBdr>
                        <w:top w:val="none" w:sz="0" w:space="0" w:color="auto"/>
                        <w:left w:val="none" w:sz="0" w:space="0" w:color="auto"/>
                        <w:bottom w:val="none" w:sz="0" w:space="0" w:color="auto"/>
                        <w:right w:val="none" w:sz="0" w:space="0" w:color="auto"/>
                      </w:divBdr>
                    </w:div>
                    <w:div w:id="903832180">
                      <w:marLeft w:val="0"/>
                      <w:marRight w:val="0"/>
                      <w:marTop w:val="0"/>
                      <w:marBottom w:val="0"/>
                      <w:divBdr>
                        <w:top w:val="none" w:sz="0" w:space="0" w:color="auto"/>
                        <w:left w:val="none" w:sz="0" w:space="0" w:color="auto"/>
                        <w:bottom w:val="none" w:sz="0" w:space="0" w:color="auto"/>
                        <w:right w:val="none" w:sz="0" w:space="0" w:color="auto"/>
                      </w:divBdr>
                    </w:div>
                  </w:divsChild>
                </w:div>
                <w:div w:id="878394037">
                  <w:marLeft w:val="0"/>
                  <w:marRight w:val="0"/>
                  <w:marTop w:val="0"/>
                  <w:marBottom w:val="0"/>
                  <w:divBdr>
                    <w:top w:val="none" w:sz="0" w:space="0" w:color="auto"/>
                    <w:left w:val="none" w:sz="0" w:space="0" w:color="auto"/>
                    <w:bottom w:val="none" w:sz="0" w:space="0" w:color="auto"/>
                    <w:right w:val="none" w:sz="0" w:space="0" w:color="auto"/>
                  </w:divBdr>
                  <w:divsChild>
                    <w:div w:id="1553152889">
                      <w:marLeft w:val="0"/>
                      <w:marRight w:val="0"/>
                      <w:marTop w:val="0"/>
                      <w:marBottom w:val="0"/>
                      <w:divBdr>
                        <w:top w:val="none" w:sz="0" w:space="0" w:color="auto"/>
                        <w:left w:val="none" w:sz="0" w:space="0" w:color="auto"/>
                        <w:bottom w:val="none" w:sz="0" w:space="0" w:color="auto"/>
                        <w:right w:val="none" w:sz="0" w:space="0" w:color="auto"/>
                      </w:divBdr>
                    </w:div>
                  </w:divsChild>
                </w:div>
                <w:div w:id="882596138">
                  <w:marLeft w:val="0"/>
                  <w:marRight w:val="0"/>
                  <w:marTop w:val="0"/>
                  <w:marBottom w:val="0"/>
                  <w:divBdr>
                    <w:top w:val="none" w:sz="0" w:space="0" w:color="auto"/>
                    <w:left w:val="none" w:sz="0" w:space="0" w:color="auto"/>
                    <w:bottom w:val="none" w:sz="0" w:space="0" w:color="auto"/>
                    <w:right w:val="none" w:sz="0" w:space="0" w:color="auto"/>
                  </w:divBdr>
                  <w:divsChild>
                    <w:div w:id="761032720">
                      <w:marLeft w:val="0"/>
                      <w:marRight w:val="0"/>
                      <w:marTop w:val="0"/>
                      <w:marBottom w:val="0"/>
                      <w:divBdr>
                        <w:top w:val="none" w:sz="0" w:space="0" w:color="auto"/>
                        <w:left w:val="none" w:sz="0" w:space="0" w:color="auto"/>
                        <w:bottom w:val="none" w:sz="0" w:space="0" w:color="auto"/>
                        <w:right w:val="none" w:sz="0" w:space="0" w:color="auto"/>
                      </w:divBdr>
                    </w:div>
                  </w:divsChild>
                </w:div>
                <w:div w:id="900217040">
                  <w:marLeft w:val="0"/>
                  <w:marRight w:val="0"/>
                  <w:marTop w:val="0"/>
                  <w:marBottom w:val="0"/>
                  <w:divBdr>
                    <w:top w:val="none" w:sz="0" w:space="0" w:color="auto"/>
                    <w:left w:val="none" w:sz="0" w:space="0" w:color="auto"/>
                    <w:bottom w:val="none" w:sz="0" w:space="0" w:color="auto"/>
                    <w:right w:val="none" w:sz="0" w:space="0" w:color="auto"/>
                  </w:divBdr>
                  <w:divsChild>
                    <w:div w:id="55277231">
                      <w:marLeft w:val="0"/>
                      <w:marRight w:val="0"/>
                      <w:marTop w:val="0"/>
                      <w:marBottom w:val="0"/>
                      <w:divBdr>
                        <w:top w:val="none" w:sz="0" w:space="0" w:color="auto"/>
                        <w:left w:val="none" w:sz="0" w:space="0" w:color="auto"/>
                        <w:bottom w:val="none" w:sz="0" w:space="0" w:color="auto"/>
                        <w:right w:val="none" w:sz="0" w:space="0" w:color="auto"/>
                      </w:divBdr>
                    </w:div>
                  </w:divsChild>
                </w:div>
                <w:div w:id="920063772">
                  <w:marLeft w:val="0"/>
                  <w:marRight w:val="0"/>
                  <w:marTop w:val="0"/>
                  <w:marBottom w:val="0"/>
                  <w:divBdr>
                    <w:top w:val="none" w:sz="0" w:space="0" w:color="auto"/>
                    <w:left w:val="none" w:sz="0" w:space="0" w:color="auto"/>
                    <w:bottom w:val="none" w:sz="0" w:space="0" w:color="auto"/>
                    <w:right w:val="none" w:sz="0" w:space="0" w:color="auto"/>
                  </w:divBdr>
                  <w:divsChild>
                    <w:div w:id="930549929">
                      <w:marLeft w:val="0"/>
                      <w:marRight w:val="0"/>
                      <w:marTop w:val="0"/>
                      <w:marBottom w:val="0"/>
                      <w:divBdr>
                        <w:top w:val="none" w:sz="0" w:space="0" w:color="auto"/>
                        <w:left w:val="none" w:sz="0" w:space="0" w:color="auto"/>
                        <w:bottom w:val="none" w:sz="0" w:space="0" w:color="auto"/>
                        <w:right w:val="none" w:sz="0" w:space="0" w:color="auto"/>
                      </w:divBdr>
                    </w:div>
                  </w:divsChild>
                </w:div>
                <w:div w:id="957300678">
                  <w:marLeft w:val="0"/>
                  <w:marRight w:val="0"/>
                  <w:marTop w:val="0"/>
                  <w:marBottom w:val="0"/>
                  <w:divBdr>
                    <w:top w:val="none" w:sz="0" w:space="0" w:color="auto"/>
                    <w:left w:val="none" w:sz="0" w:space="0" w:color="auto"/>
                    <w:bottom w:val="none" w:sz="0" w:space="0" w:color="auto"/>
                    <w:right w:val="none" w:sz="0" w:space="0" w:color="auto"/>
                  </w:divBdr>
                  <w:divsChild>
                    <w:div w:id="68115103">
                      <w:marLeft w:val="0"/>
                      <w:marRight w:val="0"/>
                      <w:marTop w:val="0"/>
                      <w:marBottom w:val="0"/>
                      <w:divBdr>
                        <w:top w:val="none" w:sz="0" w:space="0" w:color="auto"/>
                        <w:left w:val="none" w:sz="0" w:space="0" w:color="auto"/>
                        <w:bottom w:val="none" w:sz="0" w:space="0" w:color="auto"/>
                        <w:right w:val="none" w:sz="0" w:space="0" w:color="auto"/>
                      </w:divBdr>
                    </w:div>
                  </w:divsChild>
                </w:div>
                <w:div w:id="990524808">
                  <w:marLeft w:val="0"/>
                  <w:marRight w:val="0"/>
                  <w:marTop w:val="0"/>
                  <w:marBottom w:val="0"/>
                  <w:divBdr>
                    <w:top w:val="none" w:sz="0" w:space="0" w:color="auto"/>
                    <w:left w:val="none" w:sz="0" w:space="0" w:color="auto"/>
                    <w:bottom w:val="none" w:sz="0" w:space="0" w:color="auto"/>
                    <w:right w:val="none" w:sz="0" w:space="0" w:color="auto"/>
                  </w:divBdr>
                  <w:divsChild>
                    <w:div w:id="787744813">
                      <w:marLeft w:val="0"/>
                      <w:marRight w:val="0"/>
                      <w:marTop w:val="0"/>
                      <w:marBottom w:val="0"/>
                      <w:divBdr>
                        <w:top w:val="none" w:sz="0" w:space="0" w:color="auto"/>
                        <w:left w:val="none" w:sz="0" w:space="0" w:color="auto"/>
                        <w:bottom w:val="none" w:sz="0" w:space="0" w:color="auto"/>
                        <w:right w:val="none" w:sz="0" w:space="0" w:color="auto"/>
                      </w:divBdr>
                    </w:div>
                  </w:divsChild>
                </w:div>
                <w:div w:id="1007951419">
                  <w:marLeft w:val="0"/>
                  <w:marRight w:val="0"/>
                  <w:marTop w:val="0"/>
                  <w:marBottom w:val="0"/>
                  <w:divBdr>
                    <w:top w:val="none" w:sz="0" w:space="0" w:color="auto"/>
                    <w:left w:val="none" w:sz="0" w:space="0" w:color="auto"/>
                    <w:bottom w:val="none" w:sz="0" w:space="0" w:color="auto"/>
                    <w:right w:val="none" w:sz="0" w:space="0" w:color="auto"/>
                  </w:divBdr>
                  <w:divsChild>
                    <w:div w:id="1702240723">
                      <w:marLeft w:val="0"/>
                      <w:marRight w:val="0"/>
                      <w:marTop w:val="0"/>
                      <w:marBottom w:val="0"/>
                      <w:divBdr>
                        <w:top w:val="none" w:sz="0" w:space="0" w:color="auto"/>
                        <w:left w:val="none" w:sz="0" w:space="0" w:color="auto"/>
                        <w:bottom w:val="none" w:sz="0" w:space="0" w:color="auto"/>
                        <w:right w:val="none" w:sz="0" w:space="0" w:color="auto"/>
                      </w:divBdr>
                    </w:div>
                  </w:divsChild>
                </w:div>
                <w:div w:id="1014725283">
                  <w:marLeft w:val="0"/>
                  <w:marRight w:val="0"/>
                  <w:marTop w:val="0"/>
                  <w:marBottom w:val="0"/>
                  <w:divBdr>
                    <w:top w:val="none" w:sz="0" w:space="0" w:color="auto"/>
                    <w:left w:val="none" w:sz="0" w:space="0" w:color="auto"/>
                    <w:bottom w:val="none" w:sz="0" w:space="0" w:color="auto"/>
                    <w:right w:val="none" w:sz="0" w:space="0" w:color="auto"/>
                  </w:divBdr>
                  <w:divsChild>
                    <w:div w:id="1516266658">
                      <w:marLeft w:val="0"/>
                      <w:marRight w:val="0"/>
                      <w:marTop w:val="0"/>
                      <w:marBottom w:val="0"/>
                      <w:divBdr>
                        <w:top w:val="none" w:sz="0" w:space="0" w:color="auto"/>
                        <w:left w:val="none" w:sz="0" w:space="0" w:color="auto"/>
                        <w:bottom w:val="none" w:sz="0" w:space="0" w:color="auto"/>
                        <w:right w:val="none" w:sz="0" w:space="0" w:color="auto"/>
                      </w:divBdr>
                    </w:div>
                  </w:divsChild>
                </w:div>
                <w:div w:id="1023550439">
                  <w:marLeft w:val="0"/>
                  <w:marRight w:val="0"/>
                  <w:marTop w:val="0"/>
                  <w:marBottom w:val="0"/>
                  <w:divBdr>
                    <w:top w:val="none" w:sz="0" w:space="0" w:color="auto"/>
                    <w:left w:val="none" w:sz="0" w:space="0" w:color="auto"/>
                    <w:bottom w:val="none" w:sz="0" w:space="0" w:color="auto"/>
                    <w:right w:val="none" w:sz="0" w:space="0" w:color="auto"/>
                  </w:divBdr>
                  <w:divsChild>
                    <w:div w:id="935794438">
                      <w:marLeft w:val="0"/>
                      <w:marRight w:val="0"/>
                      <w:marTop w:val="0"/>
                      <w:marBottom w:val="0"/>
                      <w:divBdr>
                        <w:top w:val="none" w:sz="0" w:space="0" w:color="auto"/>
                        <w:left w:val="none" w:sz="0" w:space="0" w:color="auto"/>
                        <w:bottom w:val="none" w:sz="0" w:space="0" w:color="auto"/>
                        <w:right w:val="none" w:sz="0" w:space="0" w:color="auto"/>
                      </w:divBdr>
                    </w:div>
                  </w:divsChild>
                </w:div>
                <w:div w:id="1038629591">
                  <w:marLeft w:val="0"/>
                  <w:marRight w:val="0"/>
                  <w:marTop w:val="0"/>
                  <w:marBottom w:val="0"/>
                  <w:divBdr>
                    <w:top w:val="none" w:sz="0" w:space="0" w:color="auto"/>
                    <w:left w:val="none" w:sz="0" w:space="0" w:color="auto"/>
                    <w:bottom w:val="none" w:sz="0" w:space="0" w:color="auto"/>
                    <w:right w:val="none" w:sz="0" w:space="0" w:color="auto"/>
                  </w:divBdr>
                  <w:divsChild>
                    <w:div w:id="913507820">
                      <w:marLeft w:val="0"/>
                      <w:marRight w:val="0"/>
                      <w:marTop w:val="0"/>
                      <w:marBottom w:val="0"/>
                      <w:divBdr>
                        <w:top w:val="none" w:sz="0" w:space="0" w:color="auto"/>
                        <w:left w:val="none" w:sz="0" w:space="0" w:color="auto"/>
                        <w:bottom w:val="none" w:sz="0" w:space="0" w:color="auto"/>
                        <w:right w:val="none" w:sz="0" w:space="0" w:color="auto"/>
                      </w:divBdr>
                    </w:div>
                  </w:divsChild>
                </w:div>
                <w:div w:id="1038775683">
                  <w:marLeft w:val="0"/>
                  <w:marRight w:val="0"/>
                  <w:marTop w:val="0"/>
                  <w:marBottom w:val="0"/>
                  <w:divBdr>
                    <w:top w:val="none" w:sz="0" w:space="0" w:color="auto"/>
                    <w:left w:val="none" w:sz="0" w:space="0" w:color="auto"/>
                    <w:bottom w:val="none" w:sz="0" w:space="0" w:color="auto"/>
                    <w:right w:val="none" w:sz="0" w:space="0" w:color="auto"/>
                  </w:divBdr>
                  <w:divsChild>
                    <w:div w:id="2053990482">
                      <w:marLeft w:val="0"/>
                      <w:marRight w:val="0"/>
                      <w:marTop w:val="0"/>
                      <w:marBottom w:val="0"/>
                      <w:divBdr>
                        <w:top w:val="none" w:sz="0" w:space="0" w:color="auto"/>
                        <w:left w:val="none" w:sz="0" w:space="0" w:color="auto"/>
                        <w:bottom w:val="none" w:sz="0" w:space="0" w:color="auto"/>
                        <w:right w:val="none" w:sz="0" w:space="0" w:color="auto"/>
                      </w:divBdr>
                    </w:div>
                  </w:divsChild>
                </w:div>
                <w:div w:id="1044252909">
                  <w:marLeft w:val="0"/>
                  <w:marRight w:val="0"/>
                  <w:marTop w:val="0"/>
                  <w:marBottom w:val="0"/>
                  <w:divBdr>
                    <w:top w:val="none" w:sz="0" w:space="0" w:color="auto"/>
                    <w:left w:val="none" w:sz="0" w:space="0" w:color="auto"/>
                    <w:bottom w:val="none" w:sz="0" w:space="0" w:color="auto"/>
                    <w:right w:val="none" w:sz="0" w:space="0" w:color="auto"/>
                  </w:divBdr>
                  <w:divsChild>
                    <w:div w:id="3823013">
                      <w:marLeft w:val="0"/>
                      <w:marRight w:val="0"/>
                      <w:marTop w:val="0"/>
                      <w:marBottom w:val="0"/>
                      <w:divBdr>
                        <w:top w:val="none" w:sz="0" w:space="0" w:color="auto"/>
                        <w:left w:val="none" w:sz="0" w:space="0" w:color="auto"/>
                        <w:bottom w:val="none" w:sz="0" w:space="0" w:color="auto"/>
                        <w:right w:val="none" w:sz="0" w:space="0" w:color="auto"/>
                      </w:divBdr>
                    </w:div>
                  </w:divsChild>
                </w:div>
                <w:div w:id="1074862191">
                  <w:marLeft w:val="0"/>
                  <w:marRight w:val="0"/>
                  <w:marTop w:val="0"/>
                  <w:marBottom w:val="0"/>
                  <w:divBdr>
                    <w:top w:val="none" w:sz="0" w:space="0" w:color="auto"/>
                    <w:left w:val="none" w:sz="0" w:space="0" w:color="auto"/>
                    <w:bottom w:val="none" w:sz="0" w:space="0" w:color="auto"/>
                    <w:right w:val="none" w:sz="0" w:space="0" w:color="auto"/>
                  </w:divBdr>
                  <w:divsChild>
                    <w:div w:id="1403868101">
                      <w:marLeft w:val="0"/>
                      <w:marRight w:val="0"/>
                      <w:marTop w:val="0"/>
                      <w:marBottom w:val="0"/>
                      <w:divBdr>
                        <w:top w:val="none" w:sz="0" w:space="0" w:color="auto"/>
                        <w:left w:val="none" w:sz="0" w:space="0" w:color="auto"/>
                        <w:bottom w:val="none" w:sz="0" w:space="0" w:color="auto"/>
                        <w:right w:val="none" w:sz="0" w:space="0" w:color="auto"/>
                      </w:divBdr>
                    </w:div>
                  </w:divsChild>
                </w:div>
                <w:div w:id="1086539239">
                  <w:marLeft w:val="0"/>
                  <w:marRight w:val="0"/>
                  <w:marTop w:val="0"/>
                  <w:marBottom w:val="0"/>
                  <w:divBdr>
                    <w:top w:val="none" w:sz="0" w:space="0" w:color="auto"/>
                    <w:left w:val="none" w:sz="0" w:space="0" w:color="auto"/>
                    <w:bottom w:val="none" w:sz="0" w:space="0" w:color="auto"/>
                    <w:right w:val="none" w:sz="0" w:space="0" w:color="auto"/>
                  </w:divBdr>
                  <w:divsChild>
                    <w:div w:id="1812676487">
                      <w:marLeft w:val="0"/>
                      <w:marRight w:val="0"/>
                      <w:marTop w:val="0"/>
                      <w:marBottom w:val="0"/>
                      <w:divBdr>
                        <w:top w:val="none" w:sz="0" w:space="0" w:color="auto"/>
                        <w:left w:val="none" w:sz="0" w:space="0" w:color="auto"/>
                        <w:bottom w:val="none" w:sz="0" w:space="0" w:color="auto"/>
                        <w:right w:val="none" w:sz="0" w:space="0" w:color="auto"/>
                      </w:divBdr>
                    </w:div>
                  </w:divsChild>
                </w:div>
                <w:div w:id="1093932908">
                  <w:marLeft w:val="0"/>
                  <w:marRight w:val="0"/>
                  <w:marTop w:val="0"/>
                  <w:marBottom w:val="0"/>
                  <w:divBdr>
                    <w:top w:val="none" w:sz="0" w:space="0" w:color="auto"/>
                    <w:left w:val="none" w:sz="0" w:space="0" w:color="auto"/>
                    <w:bottom w:val="none" w:sz="0" w:space="0" w:color="auto"/>
                    <w:right w:val="none" w:sz="0" w:space="0" w:color="auto"/>
                  </w:divBdr>
                  <w:divsChild>
                    <w:div w:id="196817204">
                      <w:marLeft w:val="0"/>
                      <w:marRight w:val="0"/>
                      <w:marTop w:val="0"/>
                      <w:marBottom w:val="0"/>
                      <w:divBdr>
                        <w:top w:val="none" w:sz="0" w:space="0" w:color="auto"/>
                        <w:left w:val="none" w:sz="0" w:space="0" w:color="auto"/>
                        <w:bottom w:val="none" w:sz="0" w:space="0" w:color="auto"/>
                        <w:right w:val="none" w:sz="0" w:space="0" w:color="auto"/>
                      </w:divBdr>
                    </w:div>
                  </w:divsChild>
                </w:div>
                <w:div w:id="1121343824">
                  <w:marLeft w:val="0"/>
                  <w:marRight w:val="0"/>
                  <w:marTop w:val="0"/>
                  <w:marBottom w:val="0"/>
                  <w:divBdr>
                    <w:top w:val="none" w:sz="0" w:space="0" w:color="auto"/>
                    <w:left w:val="none" w:sz="0" w:space="0" w:color="auto"/>
                    <w:bottom w:val="none" w:sz="0" w:space="0" w:color="auto"/>
                    <w:right w:val="none" w:sz="0" w:space="0" w:color="auto"/>
                  </w:divBdr>
                  <w:divsChild>
                    <w:div w:id="1046370055">
                      <w:marLeft w:val="0"/>
                      <w:marRight w:val="0"/>
                      <w:marTop w:val="0"/>
                      <w:marBottom w:val="0"/>
                      <w:divBdr>
                        <w:top w:val="none" w:sz="0" w:space="0" w:color="auto"/>
                        <w:left w:val="none" w:sz="0" w:space="0" w:color="auto"/>
                        <w:bottom w:val="none" w:sz="0" w:space="0" w:color="auto"/>
                        <w:right w:val="none" w:sz="0" w:space="0" w:color="auto"/>
                      </w:divBdr>
                    </w:div>
                  </w:divsChild>
                </w:div>
                <w:div w:id="1127119627">
                  <w:marLeft w:val="0"/>
                  <w:marRight w:val="0"/>
                  <w:marTop w:val="0"/>
                  <w:marBottom w:val="0"/>
                  <w:divBdr>
                    <w:top w:val="none" w:sz="0" w:space="0" w:color="auto"/>
                    <w:left w:val="none" w:sz="0" w:space="0" w:color="auto"/>
                    <w:bottom w:val="none" w:sz="0" w:space="0" w:color="auto"/>
                    <w:right w:val="none" w:sz="0" w:space="0" w:color="auto"/>
                  </w:divBdr>
                  <w:divsChild>
                    <w:div w:id="1898929020">
                      <w:marLeft w:val="0"/>
                      <w:marRight w:val="0"/>
                      <w:marTop w:val="0"/>
                      <w:marBottom w:val="0"/>
                      <w:divBdr>
                        <w:top w:val="none" w:sz="0" w:space="0" w:color="auto"/>
                        <w:left w:val="none" w:sz="0" w:space="0" w:color="auto"/>
                        <w:bottom w:val="none" w:sz="0" w:space="0" w:color="auto"/>
                        <w:right w:val="none" w:sz="0" w:space="0" w:color="auto"/>
                      </w:divBdr>
                    </w:div>
                  </w:divsChild>
                </w:div>
                <w:div w:id="1127967166">
                  <w:marLeft w:val="0"/>
                  <w:marRight w:val="0"/>
                  <w:marTop w:val="0"/>
                  <w:marBottom w:val="0"/>
                  <w:divBdr>
                    <w:top w:val="none" w:sz="0" w:space="0" w:color="auto"/>
                    <w:left w:val="none" w:sz="0" w:space="0" w:color="auto"/>
                    <w:bottom w:val="none" w:sz="0" w:space="0" w:color="auto"/>
                    <w:right w:val="none" w:sz="0" w:space="0" w:color="auto"/>
                  </w:divBdr>
                  <w:divsChild>
                    <w:div w:id="1290480148">
                      <w:marLeft w:val="0"/>
                      <w:marRight w:val="0"/>
                      <w:marTop w:val="0"/>
                      <w:marBottom w:val="0"/>
                      <w:divBdr>
                        <w:top w:val="none" w:sz="0" w:space="0" w:color="auto"/>
                        <w:left w:val="none" w:sz="0" w:space="0" w:color="auto"/>
                        <w:bottom w:val="none" w:sz="0" w:space="0" w:color="auto"/>
                        <w:right w:val="none" w:sz="0" w:space="0" w:color="auto"/>
                      </w:divBdr>
                    </w:div>
                  </w:divsChild>
                </w:div>
                <w:div w:id="1130973884">
                  <w:marLeft w:val="0"/>
                  <w:marRight w:val="0"/>
                  <w:marTop w:val="0"/>
                  <w:marBottom w:val="0"/>
                  <w:divBdr>
                    <w:top w:val="none" w:sz="0" w:space="0" w:color="auto"/>
                    <w:left w:val="none" w:sz="0" w:space="0" w:color="auto"/>
                    <w:bottom w:val="none" w:sz="0" w:space="0" w:color="auto"/>
                    <w:right w:val="none" w:sz="0" w:space="0" w:color="auto"/>
                  </w:divBdr>
                  <w:divsChild>
                    <w:div w:id="1141195125">
                      <w:marLeft w:val="0"/>
                      <w:marRight w:val="0"/>
                      <w:marTop w:val="0"/>
                      <w:marBottom w:val="0"/>
                      <w:divBdr>
                        <w:top w:val="none" w:sz="0" w:space="0" w:color="auto"/>
                        <w:left w:val="none" w:sz="0" w:space="0" w:color="auto"/>
                        <w:bottom w:val="none" w:sz="0" w:space="0" w:color="auto"/>
                        <w:right w:val="none" w:sz="0" w:space="0" w:color="auto"/>
                      </w:divBdr>
                    </w:div>
                  </w:divsChild>
                </w:div>
                <w:div w:id="1152527727">
                  <w:marLeft w:val="0"/>
                  <w:marRight w:val="0"/>
                  <w:marTop w:val="0"/>
                  <w:marBottom w:val="0"/>
                  <w:divBdr>
                    <w:top w:val="none" w:sz="0" w:space="0" w:color="auto"/>
                    <w:left w:val="none" w:sz="0" w:space="0" w:color="auto"/>
                    <w:bottom w:val="none" w:sz="0" w:space="0" w:color="auto"/>
                    <w:right w:val="none" w:sz="0" w:space="0" w:color="auto"/>
                  </w:divBdr>
                  <w:divsChild>
                    <w:div w:id="1363557856">
                      <w:marLeft w:val="0"/>
                      <w:marRight w:val="0"/>
                      <w:marTop w:val="0"/>
                      <w:marBottom w:val="0"/>
                      <w:divBdr>
                        <w:top w:val="none" w:sz="0" w:space="0" w:color="auto"/>
                        <w:left w:val="none" w:sz="0" w:space="0" w:color="auto"/>
                        <w:bottom w:val="none" w:sz="0" w:space="0" w:color="auto"/>
                        <w:right w:val="none" w:sz="0" w:space="0" w:color="auto"/>
                      </w:divBdr>
                    </w:div>
                    <w:div w:id="2058117976">
                      <w:marLeft w:val="0"/>
                      <w:marRight w:val="0"/>
                      <w:marTop w:val="0"/>
                      <w:marBottom w:val="0"/>
                      <w:divBdr>
                        <w:top w:val="none" w:sz="0" w:space="0" w:color="auto"/>
                        <w:left w:val="none" w:sz="0" w:space="0" w:color="auto"/>
                        <w:bottom w:val="none" w:sz="0" w:space="0" w:color="auto"/>
                        <w:right w:val="none" w:sz="0" w:space="0" w:color="auto"/>
                      </w:divBdr>
                    </w:div>
                  </w:divsChild>
                </w:div>
                <w:div w:id="1153722333">
                  <w:marLeft w:val="0"/>
                  <w:marRight w:val="0"/>
                  <w:marTop w:val="0"/>
                  <w:marBottom w:val="0"/>
                  <w:divBdr>
                    <w:top w:val="none" w:sz="0" w:space="0" w:color="auto"/>
                    <w:left w:val="none" w:sz="0" w:space="0" w:color="auto"/>
                    <w:bottom w:val="none" w:sz="0" w:space="0" w:color="auto"/>
                    <w:right w:val="none" w:sz="0" w:space="0" w:color="auto"/>
                  </w:divBdr>
                  <w:divsChild>
                    <w:div w:id="1657108583">
                      <w:marLeft w:val="0"/>
                      <w:marRight w:val="0"/>
                      <w:marTop w:val="0"/>
                      <w:marBottom w:val="0"/>
                      <w:divBdr>
                        <w:top w:val="none" w:sz="0" w:space="0" w:color="auto"/>
                        <w:left w:val="none" w:sz="0" w:space="0" w:color="auto"/>
                        <w:bottom w:val="none" w:sz="0" w:space="0" w:color="auto"/>
                        <w:right w:val="none" w:sz="0" w:space="0" w:color="auto"/>
                      </w:divBdr>
                    </w:div>
                  </w:divsChild>
                </w:div>
                <w:div w:id="1168133241">
                  <w:marLeft w:val="0"/>
                  <w:marRight w:val="0"/>
                  <w:marTop w:val="0"/>
                  <w:marBottom w:val="0"/>
                  <w:divBdr>
                    <w:top w:val="none" w:sz="0" w:space="0" w:color="auto"/>
                    <w:left w:val="none" w:sz="0" w:space="0" w:color="auto"/>
                    <w:bottom w:val="none" w:sz="0" w:space="0" w:color="auto"/>
                    <w:right w:val="none" w:sz="0" w:space="0" w:color="auto"/>
                  </w:divBdr>
                  <w:divsChild>
                    <w:div w:id="1347560272">
                      <w:marLeft w:val="0"/>
                      <w:marRight w:val="0"/>
                      <w:marTop w:val="0"/>
                      <w:marBottom w:val="0"/>
                      <w:divBdr>
                        <w:top w:val="none" w:sz="0" w:space="0" w:color="auto"/>
                        <w:left w:val="none" w:sz="0" w:space="0" w:color="auto"/>
                        <w:bottom w:val="none" w:sz="0" w:space="0" w:color="auto"/>
                        <w:right w:val="none" w:sz="0" w:space="0" w:color="auto"/>
                      </w:divBdr>
                    </w:div>
                  </w:divsChild>
                </w:div>
                <w:div w:id="1171026136">
                  <w:marLeft w:val="0"/>
                  <w:marRight w:val="0"/>
                  <w:marTop w:val="0"/>
                  <w:marBottom w:val="0"/>
                  <w:divBdr>
                    <w:top w:val="none" w:sz="0" w:space="0" w:color="auto"/>
                    <w:left w:val="none" w:sz="0" w:space="0" w:color="auto"/>
                    <w:bottom w:val="none" w:sz="0" w:space="0" w:color="auto"/>
                    <w:right w:val="none" w:sz="0" w:space="0" w:color="auto"/>
                  </w:divBdr>
                  <w:divsChild>
                    <w:div w:id="999963427">
                      <w:marLeft w:val="0"/>
                      <w:marRight w:val="0"/>
                      <w:marTop w:val="0"/>
                      <w:marBottom w:val="0"/>
                      <w:divBdr>
                        <w:top w:val="none" w:sz="0" w:space="0" w:color="auto"/>
                        <w:left w:val="none" w:sz="0" w:space="0" w:color="auto"/>
                        <w:bottom w:val="none" w:sz="0" w:space="0" w:color="auto"/>
                        <w:right w:val="none" w:sz="0" w:space="0" w:color="auto"/>
                      </w:divBdr>
                    </w:div>
                  </w:divsChild>
                </w:div>
                <w:div w:id="1173767102">
                  <w:marLeft w:val="0"/>
                  <w:marRight w:val="0"/>
                  <w:marTop w:val="0"/>
                  <w:marBottom w:val="0"/>
                  <w:divBdr>
                    <w:top w:val="none" w:sz="0" w:space="0" w:color="auto"/>
                    <w:left w:val="none" w:sz="0" w:space="0" w:color="auto"/>
                    <w:bottom w:val="none" w:sz="0" w:space="0" w:color="auto"/>
                    <w:right w:val="none" w:sz="0" w:space="0" w:color="auto"/>
                  </w:divBdr>
                  <w:divsChild>
                    <w:div w:id="1566452177">
                      <w:marLeft w:val="0"/>
                      <w:marRight w:val="0"/>
                      <w:marTop w:val="0"/>
                      <w:marBottom w:val="0"/>
                      <w:divBdr>
                        <w:top w:val="none" w:sz="0" w:space="0" w:color="auto"/>
                        <w:left w:val="none" w:sz="0" w:space="0" w:color="auto"/>
                        <w:bottom w:val="none" w:sz="0" w:space="0" w:color="auto"/>
                        <w:right w:val="none" w:sz="0" w:space="0" w:color="auto"/>
                      </w:divBdr>
                    </w:div>
                  </w:divsChild>
                </w:div>
                <w:div w:id="1177695409">
                  <w:marLeft w:val="0"/>
                  <w:marRight w:val="0"/>
                  <w:marTop w:val="0"/>
                  <w:marBottom w:val="0"/>
                  <w:divBdr>
                    <w:top w:val="none" w:sz="0" w:space="0" w:color="auto"/>
                    <w:left w:val="none" w:sz="0" w:space="0" w:color="auto"/>
                    <w:bottom w:val="none" w:sz="0" w:space="0" w:color="auto"/>
                    <w:right w:val="none" w:sz="0" w:space="0" w:color="auto"/>
                  </w:divBdr>
                  <w:divsChild>
                    <w:div w:id="1431319307">
                      <w:marLeft w:val="0"/>
                      <w:marRight w:val="0"/>
                      <w:marTop w:val="0"/>
                      <w:marBottom w:val="0"/>
                      <w:divBdr>
                        <w:top w:val="none" w:sz="0" w:space="0" w:color="auto"/>
                        <w:left w:val="none" w:sz="0" w:space="0" w:color="auto"/>
                        <w:bottom w:val="none" w:sz="0" w:space="0" w:color="auto"/>
                        <w:right w:val="none" w:sz="0" w:space="0" w:color="auto"/>
                      </w:divBdr>
                    </w:div>
                  </w:divsChild>
                </w:div>
                <w:div w:id="1190218793">
                  <w:marLeft w:val="0"/>
                  <w:marRight w:val="0"/>
                  <w:marTop w:val="0"/>
                  <w:marBottom w:val="0"/>
                  <w:divBdr>
                    <w:top w:val="none" w:sz="0" w:space="0" w:color="auto"/>
                    <w:left w:val="none" w:sz="0" w:space="0" w:color="auto"/>
                    <w:bottom w:val="none" w:sz="0" w:space="0" w:color="auto"/>
                    <w:right w:val="none" w:sz="0" w:space="0" w:color="auto"/>
                  </w:divBdr>
                  <w:divsChild>
                    <w:div w:id="834298532">
                      <w:marLeft w:val="0"/>
                      <w:marRight w:val="0"/>
                      <w:marTop w:val="0"/>
                      <w:marBottom w:val="0"/>
                      <w:divBdr>
                        <w:top w:val="none" w:sz="0" w:space="0" w:color="auto"/>
                        <w:left w:val="none" w:sz="0" w:space="0" w:color="auto"/>
                        <w:bottom w:val="none" w:sz="0" w:space="0" w:color="auto"/>
                        <w:right w:val="none" w:sz="0" w:space="0" w:color="auto"/>
                      </w:divBdr>
                    </w:div>
                  </w:divsChild>
                </w:div>
                <w:div w:id="1271741204">
                  <w:marLeft w:val="0"/>
                  <w:marRight w:val="0"/>
                  <w:marTop w:val="0"/>
                  <w:marBottom w:val="0"/>
                  <w:divBdr>
                    <w:top w:val="none" w:sz="0" w:space="0" w:color="auto"/>
                    <w:left w:val="none" w:sz="0" w:space="0" w:color="auto"/>
                    <w:bottom w:val="none" w:sz="0" w:space="0" w:color="auto"/>
                    <w:right w:val="none" w:sz="0" w:space="0" w:color="auto"/>
                  </w:divBdr>
                  <w:divsChild>
                    <w:div w:id="1688671612">
                      <w:marLeft w:val="0"/>
                      <w:marRight w:val="0"/>
                      <w:marTop w:val="0"/>
                      <w:marBottom w:val="0"/>
                      <w:divBdr>
                        <w:top w:val="none" w:sz="0" w:space="0" w:color="auto"/>
                        <w:left w:val="none" w:sz="0" w:space="0" w:color="auto"/>
                        <w:bottom w:val="none" w:sz="0" w:space="0" w:color="auto"/>
                        <w:right w:val="none" w:sz="0" w:space="0" w:color="auto"/>
                      </w:divBdr>
                    </w:div>
                  </w:divsChild>
                </w:div>
                <w:div w:id="1288589283">
                  <w:marLeft w:val="0"/>
                  <w:marRight w:val="0"/>
                  <w:marTop w:val="0"/>
                  <w:marBottom w:val="0"/>
                  <w:divBdr>
                    <w:top w:val="none" w:sz="0" w:space="0" w:color="auto"/>
                    <w:left w:val="none" w:sz="0" w:space="0" w:color="auto"/>
                    <w:bottom w:val="none" w:sz="0" w:space="0" w:color="auto"/>
                    <w:right w:val="none" w:sz="0" w:space="0" w:color="auto"/>
                  </w:divBdr>
                  <w:divsChild>
                    <w:div w:id="1466392241">
                      <w:marLeft w:val="0"/>
                      <w:marRight w:val="0"/>
                      <w:marTop w:val="0"/>
                      <w:marBottom w:val="0"/>
                      <w:divBdr>
                        <w:top w:val="none" w:sz="0" w:space="0" w:color="auto"/>
                        <w:left w:val="none" w:sz="0" w:space="0" w:color="auto"/>
                        <w:bottom w:val="none" w:sz="0" w:space="0" w:color="auto"/>
                        <w:right w:val="none" w:sz="0" w:space="0" w:color="auto"/>
                      </w:divBdr>
                    </w:div>
                  </w:divsChild>
                </w:div>
                <w:div w:id="1326475420">
                  <w:marLeft w:val="0"/>
                  <w:marRight w:val="0"/>
                  <w:marTop w:val="0"/>
                  <w:marBottom w:val="0"/>
                  <w:divBdr>
                    <w:top w:val="none" w:sz="0" w:space="0" w:color="auto"/>
                    <w:left w:val="none" w:sz="0" w:space="0" w:color="auto"/>
                    <w:bottom w:val="none" w:sz="0" w:space="0" w:color="auto"/>
                    <w:right w:val="none" w:sz="0" w:space="0" w:color="auto"/>
                  </w:divBdr>
                  <w:divsChild>
                    <w:div w:id="1839692887">
                      <w:marLeft w:val="0"/>
                      <w:marRight w:val="0"/>
                      <w:marTop w:val="0"/>
                      <w:marBottom w:val="0"/>
                      <w:divBdr>
                        <w:top w:val="none" w:sz="0" w:space="0" w:color="auto"/>
                        <w:left w:val="none" w:sz="0" w:space="0" w:color="auto"/>
                        <w:bottom w:val="none" w:sz="0" w:space="0" w:color="auto"/>
                        <w:right w:val="none" w:sz="0" w:space="0" w:color="auto"/>
                      </w:divBdr>
                    </w:div>
                  </w:divsChild>
                </w:div>
                <w:div w:id="1343311942">
                  <w:marLeft w:val="0"/>
                  <w:marRight w:val="0"/>
                  <w:marTop w:val="0"/>
                  <w:marBottom w:val="0"/>
                  <w:divBdr>
                    <w:top w:val="none" w:sz="0" w:space="0" w:color="auto"/>
                    <w:left w:val="none" w:sz="0" w:space="0" w:color="auto"/>
                    <w:bottom w:val="none" w:sz="0" w:space="0" w:color="auto"/>
                    <w:right w:val="none" w:sz="0" w:space="0" w:color="auto"/>
                  </w:divBdr>
                  <w:divsChild>
                    <w:div w:id="2082753380">
                      <w:marLeft w:val="0"/>
                      <w:marRight w:val="0"/>
                      <w:marTop w:val="0"/>
                      <w:marBottom w:val="0"/>
                      <w:divBdr>
                        <w:top w:val="none" w:sz="0" w:space="0" w:color="auto"/>
                        <w:left w:val="none" w:sz="0" w:space="0" w:color="auto"/>
                        <w:bottom w:val="none" w:sz="0" w:space="0" w:color="auto"/>
                        <w:right w:val="none" w:sz="0" w:space="0" w:color="auto"/>
                      </w:divBdr>
                    </w:div>
                  </w:divsChild>
                </w:div>
                <w:div w:id="1415279799">
                  <w:marLeft w:val="0"/>
                  <w:marRight w:val="0"/>
                  <w:marTop w:val="0"/>
                  <w:marBottom w:val="0"/>
                  <w:divBdr>
                    <w:top w:val="none" w:sz="0" w:space="0" w:color="auto"/>
                    <w:left w:val="none" w:sz="0" w:space="0" w:color="auto"/>
                    <w:bottom w:val="none" w:sz="0" w:space="0" w:color="auto"/>
                    <w:right w:val="none" w:sz="0" w:space="0" w:color="auto"/>
                  </w:divBdr>
                  <w:divsChild>
                    <w:div w:id="1868565410">
                      <w:marLeft w:val="0"/>
                      <w:marRight w:val="0"/>
                      <w:marTop w:val="0"/>
                      <w:marBottom w:val="0"/>
                      <w:divBdr>
                        <w:top w:val="none" w:sz="0" w:space="0" w:color="auto"/>
                        <w:left w:val="none" w:sz="0" w:space="0" w:color="auto"/>
                        <w:bottom w:val="none" w:sz="0" w:space="0" w:color="auto"/>
                        <w:right w:val="none" w:sz="0" w:space="0" w:color="auto"/>
                      </w:divBdr>
                    </w:div>
                  </w:divsChild>
                </w:div>
                <w:div w:id="1423717999">
                  <w:marLeft w:val="0"/>
                  <w:marRight w:val="0"/>
                  <w:marTop w:val="0"/>
                  <w:marBottom w:val="0"/>
                  <w:divBdr>
                    <w:top w:val="none" w:sz="0" w:space="0" w:color="auto"/>
                    <w:left w:val="none" w:sz="0" w:space="0" w:color="auto"/>
                    <w:bottom w:val="none" w:sz="0" w:space="0" w:color="auto"/>
                    <w:right w:val="none" w:sz="0" w:space="0" w:color="auto"/>
                  </w:divBdr>
                  <w:divsChild>
                    <w:div w:id="1870410734">
                      <w:marLeft w:val="0"/>
                      <w:marRight w:val="0"/>
                      <w:marTop w:val="0"/>
                      <w:marBottom w:val="0"/>
                      <w:divBdr>
                        <w:top w:val="none" w:sz="0" w:space="0" w:color="auto"/>
                        <w:left w:val="none" w:sz="0" w:space="0" w:color="auto"/>
                        <w:bottom w:val="none" w:sz="0" w:space="0" w:color="auto"/>
                        <w:right w:val="none" w:sz="0" w:space="0" w:color="auto"/>
                      </w:divBdr>
                    </w:div>
                  </w:divsChild>
                </w:div>
                <w:div w:id="1471438808">
                  <w:marLeft w:val="0"/>
                  <w:marRight w:val="0"/>
                  <w:marTop w:val="0"/>
                  <w:marBottom w:val="0"/>
                  <w:divBdr>
                    <w:top w:val="none" w:sz="0" w:space="0" w:color="auto"/>
                    <w:left w:val="none" w:sz="0" w:space="0" w:color="auto"/>
                    <w:bottom w:val="none" w:sz="0" w:space="0" w:color="auto"/>
                    <w:right w:val="none" w:sz="0" w:space="0" w:color="auto"/>
                  </w:divBdr>
                  <w:divsChild>
                    <w:div w:id="2070230966">
                      <w:marLeft w:val="0"/>
                      <w:marRight w:val="0"/>
                      <w:marTop w:val="0"/>
                      <w:marBottom w:val="0"/>
                      <w:divBdr>
                        <w:top w:val="none" w:sz="0" w:space="0" w:color="auto"/>
                        <w:left w:val="none" w:sz="0" w:space="0" w:color="auto"/>
                        <w:bottom w:val="none" w:sz="0" w:space="0" w:color="auto"/>
                        <w:right w:val="none" w:sz="0" w:space="0" w:color="auto"/>
                      </w:divBdr>
                    </w:div>
                  </w:divsChild>
                </w:div>
                <w:div w:id="1528107016">
                  <w:marLeft w:val="0"/>
                  <w:marRight w:val="0"/>
                  <w:marTop w:val="0"/>
                  <w:marBottom w:val="0"/>
                  <w:divBdr>
                    <w:top w:val="none" w:sz="0" w:space="0" w:color="auto"/>
                    <w:left w:val="none" w:sz="0" w:space="0" w:color="auto"/>
                    <w:bottom w:val="none" w:sz="0" w:space="0" w:color="auto"/>
                    <w:right w:val="none" w:sz="0" w:space="0" w:color="auto"/>
                  </w:divBdr>
                  <w:divsChild>
                    <w:div w:id="1634601039">
                      <w:marLeft w:val="0"/>
                      <w:marRight w:val="0"/>
                      <w:marTop w:val="0"/>
                      <w:marBottom w:val="0"/>
                      <w:divBdr>
                        <w:top w:val="none" w:sz="0" w:space="0" w:color="auto"/>
                        <w:left w:val="none" w:sz="0" w:space="0" w:color="auto"/>
                        <w:bottom w:val="none" w:sz="0" w:space="0" w:color="auto"/>
                        <w:right w:val="none" w:sz="0" w:space="0" w:color="auto"/>
                      </w:divBdr>
                    </w:div>
                  </w:divsChild>
                </w:div>
                <w:div w:id="1534686879">
                  <w:marLeft w:val="0"/>
                  <w:marRight w:val="0"/>
                  <w:marTop w:val="0"/>
                  <w:marBottom w:val="0"/>
                  <w:divBdr>
                    <w:top w:val="none" w:sz="0" w:space="0" w:color="auto"/>
                    <w:left w:val="none" w:sz="0" w:space="0" w:color="auto"/>
                    <w:bottom w:val="none" w:sz="0" w:space="0" w:color="auto"/>
                    <w:right w:val="none" w:sz="0" w:space="0" w:color="auto"/>
                  </w:divBdr>
                  <w:divsChild>
                    <w:div w:id="1351105369">
                      <w:marLeft w:val="0"/>
                      <w:marRight w:val="0"/>
                      <w:marTop w:val="0"/>
                      <w:marBottom w:val="0"/>
                      <w:divBdr>
                        <w:top w:val="none" w:sz="0" w:space="0" w:color="auto"/>
                        <w:left w:val="none" w:sz="0" w:space="0" w:color="auto"/>
                        <w:bottom w:val="none" w:sz="0" w:space="0" w:color="auto"/>
                        <w:right w:val="none" w:sz="0" w:space="0" w:color="auto"/>
                      </w:divBdr>
                    </w:div>
                  </w:divsChild>
                </w:div>
                <w:div w:id="1536966927">
                  <w:marLeft w:val="0"/>
                  <w:marRight w:val="0"/>
                  <w:marTop w:val="0"/>
                  <w:marBottom w:val="0"/>
                  <w:divBdr>
                    <w:top w:val="none" w:sz="0" w:space="0" w:color="auto"/>
                    <w:left w:val="none" w:sz="0" w:space="0" w:color="auto"/>
                    <w:bottom w:val="none" w:sz="0" w:space="0" w:color="auto"/>
                    <w:right w:val="none" w:sz="0" w:space="0" w:color="auto"/>
                  </w:divBdr>
                  <w:divsChild>
                    <w:div w:id="415326734">
                      <w:marLeft w:val="0"/>
                      <w:marRight w:val="0"/>
                      <w:marTop w:val="0"/>
                      <w:marBottom w:val="0"/>
                      <w:divBdr>
                        <w:top w:val="none" w:sz="0" w:space="0" w:color="auto"/>
                        <w:left w:val="none" w:sz="0" w:space="0" w:color="auto"/>
                        <w:bottom w:val="none" w:sz="0" w:space="0" w:color="auto"/>
                        <w:right w:val="none" w:sz="0" w:space="0" w:color="auto"/>
                      </w:divBdr>
                    </w:div>
                  </w:divsChild>
                </w:div>
                <w:div w:id="1541629281">
                  <w:marLeft w:val="0"/>
                  <w:marRight w:val="0"/>
                  <w:marTop w:val="0"/>
                  <w:marBottom w:val="0"/>
                  <w:divBdr>
                    <w:top w:val="none" w:sz="0" w:space="0" w:color="auto"/>
                    <w:left w:val="none" w:sz="0" w:space="0" w:color="auto"/>
                    <w:bottom w:val="none" w:sz="0" w:space="0" w:color="auto"/>
                    <w:right w:val="none" w:sz="0" w:space="0" w:color="auto"/>
                  </w:divBdr>
                  <w:divsChild>
                    <w:div w:id="684092953">
                      <w:marLeft w:val="0"/>
                      <w:marRight w:val="0"/>
                      <w:marTop w:val="0"/>
                      <w:marBottom w:val="0"/>
                      <w:divBdr>
                        <w:top w:val="none" w:sz="0" w:space="0" w:color="auto"/>
                        <w:left w:val="none" w:sz="0" w:space="0" w:color="auto"/>
                        <w:bottom w:val="none" w:sz="0" w:space="0" w:color="auto"/>
                        <w:right w:val="none" w:sz="0" w:space="0" w:color="auto"/>
                      </w:divBdr>
                    </w:div>
                  </w:divsChild>
                </w:div>
                <w:div w:id="1570575284">
                  <w:marLeft w:val="0"/>
                  <w:marRight w:val="0"/>
                  <w:marTop w:val="0"/>
                  <w:marBottom w:val="0"/>
                  <w:divBdr>
                    <w:top w:val="none" w:sz="0" w:space="0" w:color="auto"/>
                    <w:left w:val="none" w:sz="0" w:space="0" w:color="auto"/>
                    <w:bottom w:val="none" w:sz="0" w:space="0" w:color="auto"/>
                    <w:right w:val="none" w:sz="0" w:space="0" w:color="auto"/>
                  </w:divBdr>
                  <w:divsChild>
                    <w:div w:id="905795606">
                      <w:marLeft w:val="0"/>
                      <w:marRight w:val="0"/>
                      <w:marTop w:val="0"/>
                      <w:marBottom w:val="0"/>
                      <w:divBdr>
                        <w:top w:val="none" w:sz="0" w:space="0" w:color="auto"/>
                        <w:left w:val="none" w:sz="0" w:space="0" w:color="auto"/>
                        <w:bottom w:val="none" w:sz="0" w:space="0" w:color="auto"/>
                        <w:right w:val="none" w:sz="0" w:space="0" w:color="auto"/>
                      </w:divBdr>
                    </w:div>
                  </w:divsChild>
                </w:div>
                <w:div w:id="1573079296">
                  <w:marLeft w:val="0"/>
                  <w:marRight w:val="0"/>
                  <w:marTop w:val="0"/>
                  <w:marBottom w:val="0"/>
                  <w:divBdr>
                    <w:top w:val="none" w:sz="0" w:space="0" w:color="auto"/>
                    <w:left w:val="none" w:sz="0" w:space="0" w:color="auto"/>
                    <w:bottom w:val="none" w:sz="0" w:space="0" w:color="auto"/>
                    <w:right w:val="none" w:sz="0" w:space="0" w:color="auto"/>
                  </w:divBdr>
                  <w:divsChild>
                    <w:div w:id="1494100247">
                      <w:marLeft w:val="0"/>
                      <w:marRight w:val="0"/>
                      <w:marTop w:val="0"/>
                      <w:marBottom w:val="0"/>
                      <w:divBdr>
                        <w:top w:val="none" w:sz="0" w:space="0" w:color="auto"/>
                        <w:left w:val="none" w:sz="0" w:space="0" w:color="auto"/>
                        <w:bottom w:val="none" w:sz="0" w:space="0" w:color="auto"/>
                        <w:right w:val="none" w:sz="0" w:space="0" w:color="auto"/>
                      </w:divBdr>
                    </w:div>
                  </w:divsChild>
                </w:div>
                <w:div w:id="1586265538">
                  <w:marLeft w:val="0"/>
                  <w:marRight w:val="0"/>
                  <w:marTop w:val="0"/>
                  <w:marBottom w:val="0"/>
                  <w:divBdr>
                    <w:top w:val="none" w:sz="0" w:space="0" w:color="auto"/>
                    <w:left w:val="none" w:sz="0" w:space="0" w:color="auto"/>
                    <w:bottom w:val="none" w:sz="0" w:space="0" w:color="auto"/>
                    <w:right w:val="none" w:sz="0" w:space="0" w:color="auto"/>
                  </w:divBdr>
                  <w:divsChild>
                    <w:div w:id="1023937843">
                      <w:marLeft w:val="0"/>
                      <w:marRight w:val="0"/>
                      <w:marTop w:val="0"/>
                      <w:marBottom w:val="0"/>
                      <w:divBdr>
                        <w:top w:val="none" w:sz="0" w:space="0" w:color="auto"/>
                        <w:left w:val="none" w:sz="0" w:space="0" w:color="auto"/>
                        <w:bottom w:val="none" w:sz="0" w:space="0" w:color="auto"/>
                        <w:right w:val="none" w:sz="0" w:space="0" w:color="auto"/>
                      </w:divBdr>
                    </w:div>
                  </w:divsChild>
                </w:div>
                <w:div w:id="1594896827">
                  <w:marLeft w:val="0"/>
                  <w:marRight w:val="0"/>
                  <w:marTop w:val="0"/>
                  <w:marBottom w:val="0"/>
                  <w:divBdr>
                    <w:top w:val="none" w:sz="0" w:space="0" w:color="auto"/>
                    <w:left w:val="none" w:sz="0" w:space="0" w:color="auto"/>
                    <w:bottom w:val="none" w:sz="0" w:space="0" w:color="auto"/>
                    <w:right w:val="none" w:sz="0" w:space="0" w:color="auto"/>
                  </w:divBdr>
                  <w:divsChild>
                    <w:div w:id="1066027422">
                      <w:marLeft w:val="0"/>
                      <w:marRight w:val="0"/>
                      <w:marTop w:val="0"/>
                      <w:marBottom w:val="0"/>
                      <w:divBdr>
                        <w:top w:val="none" w:sz="0" w:space="0" w:color="auto"/>
                        <w:left w:val="none" w:sz="0" w:space="0" w:color="auto"/>
                        <w:bottom w:val="none" w:sz="0" w:space="0" w:color="auto"/>
                        <w:right w:val="none" w:sz="0" w:space="0" w:color="auto"/>
                      </w:divBdr>
                    </w:div>
                  </w:divsChild>
                </w:div>
                <w:div w:id="1663578472">
                  <w:marLeft w:val="0"/>
                  <w:marRight w:val="0"/>
                  <w:marTop w:val="0"/>
                  <w:marBottom w:val="0"/>
                  <w:divBdr>
                    <w:top w:val="none" w:sz="0" w:space="0" w:color="auto"/>
                    <w:left w:val="none" w:sz="0" w:space="0" w:color="auto"/>
                    <w:bottom w:val="none" w:sz="0" w:space="0" w:color="auto"/>
                    <w:right w:val="none" w:sz="0" w:space="0" w:color="auto"/>
                  </w:divBdr>
                  <w:divsChild>
                    <w:div w:id="989556169">
                      <w:marLeft w:val="0"/>
                      <w:marRight w:val="0"/>
                      <w:marTop w:val="0"/>
                      <w:marBottom w:val="0"/>
                      <w:divBdr>
                        <w:top w:val="none" w:sz="0" w:space="0" w:color="auto"/>
                        <w:left w:val="none" w:sz="0" w:space="0" w:color="auto"/>
                        <w:bottom w:val="none" w:sz="0" w:space="0" w:color="auto"/>
                        <w:right w:val="none" w:sz="0" w:space="0" w:color="auto"/>
                      </w:divBdr>
                    </w:div>
                  </w:divsChild>
                </w:div>
                <w:div w:id="1689210815">
                  <w:marLeft w:val="0"/>
                  <w:marRight w:val="0"/>
                  <w:marTop w:val="0"/>
                  <w:marBottom w:val="0"/>
                  <w:divBdr>
                    <w:top w:val="none" w:sz="0" w:space="0" w:color="auto"/>
                    <w:left w:val="none" w:sz="0" w:space="0" w:color="auto"/>
                    <w:bottom w:val="none" w:sz="0" w:space="0" w:color="auto"/>
                    <w:right w:val="none" w:sz="0" w:space="0" w:color="auto"/>
                  </w:divBdr>
                  <w:divsChild>
                    <w:div w:id="854267464">
                      <w:marLeft w:val="0"/>
                      <w:marRight w:val="0"/>
                      <w:marTop w:val="0"/>
                      <w:marBottom w:val="0"/>
                      <w:divBdr>
                        <w:top w:val="none" w:sz="0" w:space="0" w:color="auto"/>
                        <w:left w:val="none" w:sz="0" w:space="0" w:color="auto"/>
                        <w:bottom w:val="none" w:sz="0" w:space="0" w:color="auto"/>
                        <w:right w:val="none" w:sz="0" w:space="0" w:color="auto"/>
                      </w:divBdr>
                    </w:div>
                  </w:divsChild>
                </w:div>
                <w:div w:id="1731730907">
                  <w:marLeft w:val="0"/>
                  <w:marRight w:val="0"/>
                  <w:marTop w:val="0"/>
                  <w:marBottom w:val="0"/>
                  <w:divBdr>
                    <w:top w:val="none" w:sz="0" w:space="0" w:color="auto"/>
                    <w:left w:val="none" w:sz="0" w:space="0" w:color="auto"/>
                    <w:bottom w:val="none" w:sz="0" w:space="0" w:color="auto"/>
                    <w:right w:val="none" w:sz="0" w:space="0" w:color="auto"/>
                  </w:divBdr>
                  <w:divsChild>
                    <w:div w:id="1985427876">
                      <w:marLeft w:val="0"/>
                      <w:marRight w:val="0"/>
                      <w:marTop w:val="0"/>
                      <w:marBottom w:val="0"/>
                      <w:divBdr>
                        <w:top w:val="none" w:sz="0" w:space="0" w:color="auto"/>
                        <w:left w:val="none" w:sz="0" w:space="0" w:color="auto"/>
                        <w:bottom w:val="none" w:sz="0" w:space="0" w:color="auto"/>
                        <w:right w:val="none" w:sz="0" w:space="0" w:color="auto"/>
                      </w:divBdr>
                    </w:div>
                  </w:divsChild>
                </w:div>
                <w:div w:id="1770082772">
                  <w:marLeft w:val="0"/>
                  <w:marRight w:val="0"/>
                  <w:marTop w:val="0"/>
                  <w:marBottom w:val="0"/>
                  <w:divBdr>
                    <w:top w:val="none" w:sz="0" w:space="0" w:color="auto"/>
                    <w:left w:val="none" w:sz="0" w:space="0" w:color="auto"/>
                    <w:bottom w:val="none" w:sz="0" w:space="0" w:color="auto"/>
                    <w:right w:val="none" w:sz="0" w:space="0" w:color="auto"/>
                  </w:divBdr>
                  <w:divsChild>
                    <w:div w:id="1259175434">
                      <w:marLeft w:val="0"/>
                      <w:marRight w:val="0"/>
                      <w:marTop w:val="0"/>
                      <w:marBottom w:val="0"/>
                      <w:divBdr>
                        <w:top w:val="none" w:sz="0" w:space="0" w:color="auto"/>
                        <w:left w:val="none" w:sz="0" w:space="0" w:color="auto"/>
                        <w:bottom w:val="none" w:sz="0" w:space="0" w:color="auto"/>
                        <w:right w:val="none" w:sz="0" w:space="0" w:color="auto"/>
                      </w:divBdr>
                    </w:div>
                  </w:divsChild>
                </w:div>
                <w:div w:id="1785268629">
                  <w:marLeft w:val="0"/>
                  <w:marRight w:val="0"/>
                  <w:marTop w:val="0"/>
                  <w:marBottom w:val="0"/>
                  <w:divBdr>
                    <w:top w:val="none" w:sz="0" w:space="0" w:color="auto"/>
                    <w:left w:val="none" w:sz="0" w:space="0" w:color="auto"/>
                    <w:bottom w:val="none" w:sz="0" w:space="0" w:color="auto"/>
                    <w:right w:val="none" w:sz="0" w:space="0" w:color="auto"/>
                  </w:divBdr>
                  <w:divsChild>
                    <w:div w:id="550192442">
                      <w:marLeft w:val="0"/>
                      <w:marRight w:val="0"/>
                      <w:marTop w:val="0"/>
                      <w:marBottom w:val="0"/>
                      <w:divBdr>
                        <w:top w:val="none" w:sz="0" w:space="0" w:color="auto"/>
                        <w:left w:val="none" w:sz="0" w:space="0" w:color="auto"/>
                        <w:bottom w:val="none" w:sz="0" w:space="0" w:color="auto"/>
                        <w:right w:val="none" w:sz="0" w:space="0" w:color="auto"/>
                      </w:divBdr>
                    </w:div>
                  </w:divsChild>
                </w:div>
                <w:div w:id="1800344862">
                  <w:marLeft w:val="0"/>
                  <w:marRight w:val="0"/>
                  <w:marTop w:val="0"/>
                  <w:marBottom w:val="0"/>
                  <w:divBdr>
                    <w:top w:val="none" w:sz="0" w:space="0" w:color="auto"/>
                    <w:left w:val="none" w:sz="0" w:space="0" w:color="auto"/>
                    <w:bottom w:val="none" w:sz="0" w:space="0" w:color="auto"/>
                    <w:right w:val="none" w:sz="0" w:space="0" w:color="auto"/>
                  </w:divBdr>
                  <w:divsChild>
                    <w:div w:id="198980541">
                      <w:marLeft w:val="0"/>
                      <w:marRight w:val="0"/>
                      <w:marTop w:val="0"/>
                      <w:marBottom w:val="0"/>
                      <w:divBdr>
                        <w:top w:val="none" w:sz="0" w:space="0" w:color="auto"/>
                        <w:left w:val="none" w:sz="0" w:space="0" w:color="auto"/>
                        <w:bottom w:val="none" w:sz="0" w:space="0" w:color="auto"/>
                        <w:right w:val="none" w:sz="0" w:space="0" w:color="auto"/>
                      </w:divBdr>
                    </w:div>
                  </w:divsChild>
                </w:div>
                <w:div w:id="1822696514">
                  <w:marLeft w:val="0"/>
                  <w:marRight w:val="0"/>
                  <w:marTop w:val="0"/>
                  <w:marBottom w:val="0"/>
                  <w:divBdr>
                    <w:top w:val="none" w:sz="0" w:space="0" w:color="auto"/>
                    <w:left w:val="none" w:sz="0" w:space="0" w:color="auto"/>
                    <w:bottom w:val="none" w:sz="0" w:space="0" w:color="auto"/>
                    <w:right w:val="none" w:sz="0" w:space="0" w:color="auto"/>
                  </w:divBdr>
                  <w:divsChild>
                    <w:div w:id="1325353455">
                      <w:marLeft w:val="0"/>
                      <w:marRight w:val="0"/>
                      <w:marTop w:val="0"/>
                      <w:marBottom w:val="0"/>
                      <w:divBdr>
                        <w:top w:val="none" w:sz="0" w:space="0" w:color="auto"/>
                        <w:left w:val="none" w:sz="0" w:space="0" w:color="auto"/>
                        <w:bottom w:val="none" w:sz="0" w:space="0" w:color="auto"/>
                        <w:right w:val="none" w:sz="0" w:space="0" w:color="auto"/>
                      </w:divBdr>
                    </w:div>
                  </w:divsChild>
                </w:div>
                <w:div w:id="1878202865">
                  <w:marLeft w:val="0"/>
                  <w:marRight w:val="0"/>
                  <w:marTop w:val="0"/>
                  <w:marBottom w:val="0"/>
                  <w:divBdr>
                    <w:top w:val="none" w:sz="0" w:space="0" w:color="auto"/>
                    <w:left w:val="none" w:sz="0" w:space="0" w:color="auto"/>
                    <w:bottom w:val="none" w:sz="0" w:space="0" w:color="auto"/>
                    <w:right w:val="none" w:sz="0" w:space="0" w:color="auto"/>
                  </w:divBdr>
                  <w:divsChild>
                    <w:div w:id="1681197887">
                      <w:marLeft w:val="0"/>
                      <w:marRight w:val="0"/>
                      <w:marTop w:val="0"/>
                      <w:marBottom w:val="0"/>
                      <w:divBdr>
                        <w:top w:val="none" w:sz="0" w:space="0" w:color="auto"/>
                        <w:left w:val="none" w:sz="0" w:space="0" w:color="auto"/>
                        <w:bottom w:val="none" w:sz="0" w:space="0" w:color="auto"/>
                        <w:right w:val="none" w:sz="0" w:space="0" w:color="auto"/>
                      </w:divBdr>
                    </w:div>
                  </w:divsChild>
                </w:div>
                <w:div w:id="1880245216">
                  <w:marLeft w:val="0"/>
                  <w:marRight w:val="0"/>
                  <w:marTop w:val="0"/>
                  <w:marBottom w:val="0"/>
                  <w:divBdr>
                    <w:top w:val="none" w:sz="0" w:space="0" w:color="auto"/>
                    <w:left w:val="none" w:sz="0" w:space="0" w:color="auto"/>
                    <w:bottom w:val="none" w:sz="0" w:space="0" w:color="auto"/>
                    <w:right w:val="none" w:sz="0" w:space="0" w:color="auto"/>
                  </w:divBdr>
                  <w:divsChild>
                    <w:div w:id="1650596745">
                      <w:marLeft w:val="0"/>
                      <w:marRight w:val="0"/>
                      <w:marTop w:val="0"/>
                      <w:marBottom w:val="0"/>
                      <w:divBdr>
                        <w:top w:val="none" w:sz="0" w:space="0" w:color="auto"/>
                        <w:left w:val="none" w:sz="0" w:space="0" w:color="auto"/>
                        <w:bottom w:val="none" w:sz="0" w:space="0" w:color="auto"/>
                        <w:right w:val="none" w:sz="0" w:space="0" w:color="auto"/>
                      </w:divBdr>
                    </w:div>
                  </w:divsChild>
                </w:div>
                <w:div w:id="1881742655">
                  <w:marLeft w:val="0"/>
                  <w:marRight w:val="0"/>
                  <w:marTop w:val="0"/>
                  <w:marBottom w:val="0"/>
                  <w:divBdr>
                    <w:top w:val="none" w:sz="0" w:space="0" w:color="auto"/>
                    <w:left w:val="none" w:sz="0" w:space="0" w:color="auto"/>
                    <w:bottom w:val="none" w:sz="0" w:space="0" w:color="auto"/>
                    <w:right w:val="none" w:sz="0" w:space="0" w:color="auto"/>
                  </w:divBdr>
                  <w:divsChild>
                    <w:div w:id="1366979602">
                      <w:marLeft w:val="0"/>
                      <w:marRight w:val="0"/>
                      <w:marTop w:val="0"/>
                      <w:marBottom w:val="0"/>
                      <w:divBdr>
                        <w:top w:val="none" w:sz="0" w:space="0" w:color="auto"/>
                        <w:left w:val="none" w:sz="0" w:space="0" w:color="auto"/>
                        <w:bottom w:val="none" w:sz="0" w:space="0" w:color="auto"/>
                        <w:right w:val="none" w:sz="0" w:space="0" w:color="auto"/>
                      </w:divBdr>
                    </w:div>
                  </w:divsChild>
                </w:div>
                <w:div w:id="1918830033">
                  <w:marLeft w:val="0"/>
                  <w:marRight w:val="0"/>
                  <w:marTop w:val="0"/>
                  <w:marBottom w:val="0"/>
                  <w:divBdr>
                    <w:top w:val="none" w:sz="0" w:space="0" w:color="auto"/>
                    <w:left w:val="none" w:sz="0" w:space="0" w:color="auto"/>
                    <w:bottom w:val="none" w:sz="0" w:space="0" w:color="auto"/>
                    <w:right w:val="none" w:sz="0" w:space="0" w:color="auto"/>
                  </w:divBdr>
                  <w:divsChild>
                    <w:div w:id="763723638">
                      <w:marLeft w:val="0"/>
                      <w:marRight w:val="0"/>
                      <w:marTop w:val="0"/>
                      <w:marBottom w:val="0"/>
                      <w:divBdr>
                        <w:top w:val="none" w:sz="0" w:space="0" w:color="auto"/>
                        <w:left w:val="none" w:sz="0" w:space="0" w:color="auto"/>
                        <w:bottom w:val="none" w:sz="0" w:space="0" w:color="auto"/>
                        <w:right w:val="none" w:sz="0" w:space="0" w:color="auto"/>
                      </w:divBdr>
                    </w:div>
                  </w:divsChild>
                </w:div>
                <w:div w:id="1923682791">
                  <w:marLeft w:val="0"/>
                  <w:marRight w:val="0"/>
                  <w:marTop w:val="0"/>
                  <w:marBottom w:val="0"/>
                  <w:divBdr>
                    <w:top w:val="none" w:sz="0" w:space="0" w:color="auto"/>
                    <w:left w:val="none" w:sz="0" w:space="0" w:color="auto"/>
                    <w:bottom w:val="none" w:sz="0" w:space="0" w:color="auto"/>
                    <w:right w:val="none" w:sz="0" w:space="0" w:color="auto"/>
                  </w:divBdr>
                  <w:divsChild>
                    <w:div w:id="912932247">
                      <w:marLeft w:val="0"/>
                      <w:marRight w:val="0"/>
                      <w:marTop w:val="0"/>
                      <w:marBottom w:val="0"/>
                      <w:divBdr>
                        <w:top w:val="none" w:sz="0" w:space="0" w:color="auto"/>
                        <w:left w:val="none" w:sz="0" w:space="0" w:color="auto"/>
                        <w:bottom w:val="none" w:sz="0" w:space="0" w:color="auto"/>
                        <w:right w:val="none" w:sz="0" w:space="0" w:color="auto"/>
                      </w:divBdr>
                    </w:div>
                  </w:divsChild>
                </w:div>
                <w:div w:id="1929654541">
                  <w:marLeft w:val="0"/>
                  <w:marRight w:val="0"/>
                  <w:marTop w:val="0"/>
                  <w:marBottom w:val="0"/>
                  <w:divBdr>
                    <w:top w:val="none" w:sz="0" w:space="0" w:color="auto"/>
                    <w:left w:val="none" w:sz="0" w:space="0" w:color="auto"/>
                    <w:bottom w:val="none" w:sz="0" w:space="0" w:color="auto"/>
                    <w:right w:val="none" w:sz="0" w:space="0" w:color="auto"/>
                  </w:divBdr>
                  <w:divsChild>
                    <w:div w:id="1085615917">
                      <w:marLeft w:val="0"/>
                      <w:marRight w:val="0"/>
                      <w:marTop w:val="0"/>
                      <w:marBottom w:val="0"/>
                      <w:divBdr>
                        <w:top w:val="none" w:sz="0" w:space="0" w:color="auto"/>
                        <w:left w:val="none" w:sz="0" w:space="0" w:color="auto"/>
                        <w:bottom w:val="none" w:sz="0" w:space="0" w:color="auto"/>
                        <w:right w:val="none" w:sz="0" w:space="0" w:color="auto"/>
                      </w:divBdr>
                    </w:div>
                  </w:divsChild>
                </w:div>
                <w:div w:id="1947958536">
                  <w:marLeft w:val="0"/>
                  <w:marRight w:val="0"/>
                  <w:marTop w:val="0"/>
                  <w:marBottom w:val="0"/>
                  <w:divBdr>
                    <w:top w:val="none" w:sz="0" w:space="0" w:color="auto"/>
                    <w:left w:val="none" w:sz="0" w:space="0" w:color="auto"/>
                    <w:bottom w:val="none" w:sz="0" w:space="0" w:color="auto"/>
                    <w:right w:val="none" w:sz="0" w:space="0" w:color="auto"/>
                  </w:divBdr>
                  <w:divsChild>
                    <w:div w:id="215703545">
                      <w:marLeft w:val="0"/>
                      <w:marRight w:val="0"/>
                      <w:marTop w:val="0"/>
                      <w:marBottom w:val="0"/>
                      <w:divBdr>
                        <w:top w:val="none" w:sz="0" w:space="0" w:color="auto"/>
                        <w:left w:val="none" w:sz="0" w:space="0" w:color="auto"/>
                        <w:bottom w:val="none" w:sz="0" w:space="0" w:color="auto"/>
                        <w:right w:val="none" w:sz="0" w:space="0" w:color="auto"/>
                      </w:divBdr>
                    </w:div>
                  </w:divsChild>
                </w:div>
                <w:div w:id="1953903341">
                  <w:marLeft w:val="0"/>
                  <w:marRight w:val="0"/>
                  <w:marTop w:val="0"/>
                  <w:marBottom w:val="0"/>
                  <w:divBdr>
                    <w:top w:val="none" w:sz="0" w:space="0" w:color="auto"/>
                    <w:left w:val="none" w:sz="0" w:space="0" w:color="auto"/>
                    <w:bottom w:val="none" w:sz="0" w:space="0" w:color="auto"/>
                    <w:right w:val="none" w:sz="0" w:space="0" w:color="auto"/>
                  </w:divBdr>
                  <w:divsChild>
                    <w:div w:id="261960851">
                      <w:marLeft w:val="0"/>
                      <w:marRight w:val="0"/>
                      <w:marTop w:val="0"/>
                      <w:marBottom w:val="0"/>
                      <w:divBdr>
                        <w:top w:val="none" w:sz="0" w:space="0" w:color="auto"/>
                        <w:left w:val="none" w:sz="0" w:space="0" w:color="auto"/>
                        <w:bottom w:val="none" w:sz="0" w:space="0" w:color="auto"/>
                        <w:right w:val="none" w:sz="0" w:space="0" w:color="auto"/>
                      </w:divBdr>
                    </w:div>
                  </w:divsChild>
                </w:div>
                <w:div w:id="1956522930">
                  <w:marLeft w:val="0"/>
                  <w:marRight w:val="0"/>
                  <w:marTop w:val="0"/>
                  <w:marBottom w:val="0"/>
                  <w:divBdr>
                    <w:top w:val="none" w:sz="0" w:space="0" w:color="auto"/>
                    <w:left w:val="none" w:sz="0" w:space="0" w:color="auto"/>
                    <w:bottom w:val="none" w:sz="0" w:space="0" w:color="auto"/>
                    <w:right w:val="none" w:sz="0" w:space="0" w:color="auto"/>
                  </w:divBdr>
                  <w:divsChild>
                    <w:div w:id="1035349338">
                      <w:marLeft w:val="0"/>
                      <w:marRight w:val="0"/>
                      <w:marTop w:val="0"/>
                      <w:marBottom w:val="0"/>
                      <w:divBdr>
                        <w:top w:val="none" w:sz="0" w:space="0" w:color="auto"/>
                        <w:left w:val="none" w:sz="0" w:space="0" w:color="auto"/>
                        <w:bottom w:val="none" w:sz="0" w:space="0" w:color="auto"/>
                        <w:right w:val="none" w:sz="0" w:space="0" w:color="auto"/>
                      </w:divBdr>
                    </w:div>
                  </w:divsChild>
                </w:div>
                <w:div w:id="1972591584">
                  <w:marLeft w:val="0"/>
                  <w:marRight w:val="0"/>
                  <w:marTop w:val="0"/>
                  <w:marBottom w:val="0"/>
                  <w:divBdr>
                    <w:top w:val="none" w:sz="0" w:space="0" w:color="auto"/>
                    <w:left w:val="none" w:sz="0" w:space="0" w:color="auto"/>
                    <w:bottom w:val="none" w:sz="0" w:space="0" w:color="auto"/>
                    <w:right w:val="none" w:sz="0" w:space="0" w:color="auto"/>
                  </w:divBdr>
                  <w:divsChild>
                    <w:div w:id="535778123">
                      <w:marLeft w:val="0"/>
                      <w:marRight w:val="0"/>
                      <w:marTop w:val="0"/>
                      <w:marBottom w:val="0"/>
                      <w:divBdr>
                        <w:top w:val="none" w:sz="0" w:space="0" w:color="auto"/>
                        <w:left w:val="none" w:sz="0" w:space="0" w:color="auto"/>
                        <w:bottom w:val="none" w:sz="0" w:space="0" w:color="auto"/>
                        <w:right w:val="none" w:sz="0" w:space="0" w:color="auto"/>
                      </w:divBdr>
                    </w:div>
                  </w:divsChild>
                </w:div>
                <w:div w:id="1996294142">
                  <w:marLeft w:val="0"/>
                  <w:marRight w:val="0"/>
                  <w:marTop w:val="0"/>
                  <w:marBottom w:val="0"/>
                  <w:divBdr>
                    <w:top w:val="none" w:sz="0" w:space="0" w:color="auto"/>
                    <w:left w:val="none" w:sz="0" w:space="0" w:color="auto"/>
                    <w:bottom w:val="none" w:sz="0" w:space="0" w:color="auto"/>
                    <w:right w:val="none" w:sz="0" w:space="0" w:color="auto"/>
                  </w:divBdr>
                  <w:divsChild>
                    <w:div w:id="477263703">
                      <w:marLeft w:val="0"/>
                      <w:marRight w:val="0"/>
                      <w:marTop w:val="0"/>
                      <w:marBottom w:val="0"/>
                      <w:divBdr>
                        <w:top w:val="none" w:sz="0" w:space="0" w:color="auto"/>
                        <w:left w:val="none" w:sz="0" w:space="0" w:color="auto"/>
                        <w:bottom w:val="none" w:sz="0" w:space="0" w:color="auto"/>
                        <w:right w:val="none" w:sz="0" w:space="0" w:color="auto"/>
                      </w:divBdr>
                    </w:div>
                  </w:divsChild>
                </w:div>
                <w:div w:id="1999067170">
                  <w:marLeft w:val="0"/>
                  <w:marRight w:val="0"/>
                  <w:marTop w:val="0"/>
                  <w:marBottom w:val="0"/>
                  <w:divBdr>
                    <w:top w:val="none" w:sz="0" w:space="0" w:color="auto"/>
                    <w:left w:val="none" w:sz="0" w:space="0" w:color="auto"/>
                    <w:bottom w:val="none" w:sz="0" w:space="0" w:color="auto"/>
                    <w:right w:val="none" w:sz="0" w:space="0" w:color="auto"/>
                  </w:divBdr>
                  <w:divsChild>
                    <w:div w:id="1632250679">
                      <w:marLeft w:val="0"/>
                      <w:marRight w:val="0"/>
                      <w:marTop w:val="0"/>
                      <w:marBottom w:val="0"/>
                      <w:divBdr>
                        <w:top w:val="none" w:sz="0" w:space="0" w:color="auto"/>
                        <w:left w:val="none" w:sz="0" w:space="0" w:color="auto"/>
                        <w:bottom w:val="none" w:sz="0" w:space="0" w:color="auto"/>
                        <w:right w:val="none" w:sz="0" w:space="0" w:color="auto"/>
                      </w:divBdr>
                    </w:div>
                  </w:divsChild>
                </w:div>
                <w:div w:id="2008438166">
                  <w:marLeft w:val="0"/>
                  <w:marRight w:val="0"/>
                  <w:marTop w:val="0"/>
                  <w:marBottom w:val="0"/>
                  <w:divBdr>
                    <w:top w:val="none" w:sz="0" w:space="0" w:color="auto"/>
                    <w:left w:val="none" w:sz="0" w:space="0" w:color="auto"/>
                    <w:bottom w:val="none" w:sz="0" w:space="0" w:color="auto"/>
                    <w:right w:val="none" w:sz="0" w:space="0" w:color="auto"/>
                  </w:divBdr>
                  <w:divsChild>
                    <w:div w:id="859204021">
                      <w:marLeft w:val="0"/>
                      <w:marRight w:val="0"/>
                      <w:marTop w:val="0"/>
                      <w:marBottom w:val="0"/>
                      <w:divBdr>
                        <w:top w:val="none" w:sz="0" w:space="0" w:color="auto"/>
                        <w:left w:val="none" w:sz="0" w:space="0" w:color="auto"/>
                        <w:bottom w:val="none" w:sz="0" w:space="0" w:color="auto"/>
                        <w:right w:val="none" w:sz="0" w:space="0" w:color="auto"/>
                      </w:divBdr>
                    </w:div>
                  </w:divsChild>
                </w:div>
                <w:div w:id="2014381892">
                  <w:marLeft w:val="0"/>
                  <w:marRight w:val="0"/>
                  <w:marTop w:val="0"/>
                  <w:marBottom w:val="0"/>
                  <w:divBdr>
                    <w:top w:val="none" w:sz="0" w:space="0" w:color="auto"/>
                    <w:left w:val="none" w:sz="0" w:space="0" w:color="auto"/>
                    <w:bottom w:val="none" w:sz="0" w:space="0" w:color="auto"/>
                    <w:right w:val="none" w:sz="0" w:space="0" w:color="auto"/>
                  </w:divBdr>
                  <w:divsChild>
                    <w:div w:id="934704790">
                      <w:marLeft w:val="0"/>
                      <w:marRight w:val="0"/>
                      <w:marTop w:val="0"/>
                      <w:marBottom w:val="0"/>
                      <w:divBdr>
                        <w:top w:val="none" w:sz="0" w:space="0" w:color="auto"/>
                        <w:left w:val="none" w:sz="0" w:space="0" w:color="auto"/>
                        <w:bottom w:val="none" w:sz="0" w:space="0" w:color="auto"/>
                        <w:right w:val="none" w:sz="0" w:space="0" w:color="auto"/>
                      </w:divBdr>
                    </w:div>
                  </w:divsChild>
                </w:div>
                <w:div w:id="2091391428">
                  <w:marLeft w:val="0"/>
                  <w:marRight w:val="0"/>
                  <w:marTop w:val="0"/>
                  <w:marBottom w:val="0"/>
                  <w:divBdr>
                    <w:top w:val="none" w:sz="0" w:space="0" w:color="auto"/>
                    <w:left w:val="none" w:sz="0" w:space="0" w:color="auto"/>
                    <w:bottom w:val="none" w:sz="0" w:space="0" w:color="auto"/>
                    <w:right w:val="none" w:sz="0" w:space="0" w:color="auto"/>
                  </w:divBdr>
                  <w:divsChild>
                    <w:div w:id="1681466707">
                      <w:marLeft w:val="0"/>
                      <w:marRight w:val="0"/>
                      <w:marTop w:val="0"/>
                      <w:marBottom w:val="0"/>
                      <w:divBdr>
                        <w:top w:val="none" w:sz="0" w:space="0" w:color="auto"/>
                        <w:left w:val="none" w:sz="0" w:space="0" w:color="auto"/>
                        <w:bottom w:val="none" w:sz="0" w:space="0" w:color="auto"/>
                        <w:right w:val="none" w:sz="0" w:space="0" w:color="auto"/>
                      </w:divBdr>
                    </w:div>
                  </w:divsChild>
                </w:div>
                <w:div w:id="2091804357">
                  <w:marLeft w:val="0"/>
                  <w:marRight w:val="0"/>
                  <w:marTop w:val="0"/>
                  <w:marBottom w:val="0"/>
                  <w:divBdr>
                    <w:top w:val="none" w:sz="0" w:space="0" w:color="auto"/>
                    <w:left w:val="none" w:sz="0" w:space="0" w:color="auto"/>
                    <w:bottom w:val="none" w:sz="0" w:space="0" w:color="auto"/>
                    <w:right w:val="none" w:sz="0" w:space="0" w:color="auto"/>
                  </w:divBdr>
                  <w:divsChild>
                    <w:div w:id="1502159667">
                      <w:marLeft w:val="0"/>
                      <w:marRight w:val="0"/>
                      <w:marTop w:val="0"/>
                      <w:marBottom w:val="0"/>
                      <w:divBdr>
                        <w:top w:val="none" w:sz="0" w:space="0" w:color="auto"/>
                        <w:left w:val="none" w:sz="0" w:space="0" w:color="auto"/>
                        <w:bottom w:val="none" w:sz="0" w:space="0" w:color="auto"/>
                        <w:right w:val="none" w:sz="0" w:space="0" w:color="auto"/>
                      </w:divBdr>
                    </w:div>
                  </w:divsChild>
                </w:div>
                <w:div w:id="2092503960">
                  <w:marLeft w:val="0"/>
                  <w:marRight w:val="0"/>
                  <w:marTop w:val="0"/>
                  <w:marBottom w:val="0"/>
                  <w:divBdr>
                    <w:top w:val="none" w:sz="0" w:space="0" w:color="auto"/>
                    <w:left w:val="none" w:sz="0" w:space="0" w:color="auto"/>
                    <w:bottom w:val="none" w:sz="0" w:space="0" w:color="auto"/>
                    <w:right w:val="none" w:sz="0" w:space="0" w:color="auto"/>
                  </w:divBdr>
                  <w:divsChild>
                    <w:div w:id="1715233018">
                      <w:marLeft w:val="0"/>
                      <w:marRight w:val="0"/>
                      <w:marTop w:val="0"/>
                      <w:marBottom w:val="0"/>
                      <w:divBdr>
                        <w:top w:val="none" w:sz="0" w:space="0" w:color="auto"/>
                        <w:left w:val="none" w:sz="0" w:space="0" w:color="auto"/>
                        <w:bottom w:val="none" w:sz="0" w:space="0" w:color="auto"/>
                        <w:right w:val="none" w:sz="0" w:space="0" w:color="auto"/>
                      </w:divBdr>
                    </w:div>
                  </w:divsChild>
                </w:div>
                <w:div w:id="2098209425">
                  <w:marLeft w:val="0"/>
                  <w:marRight w:val="0"/>
                  <w:marTop w:val="0"/>
                  <w:marBottom w:val="0"/>
                  <w:divBdr>
                    <w:top w:val="none" w:sz="0" w:space="0" w:color="auto"/>
                    <w:left w:val="none" w:sz="0" w:space="0" w:color="auto"/>
                    <w:bottom w:val="none" w:sz="0" w:space="0" w:color="auto"/>
                    <w:right w:val="none" w:sz="0" w:space="0" w:color="auto"/>
                  </w:divBdr>
                  <w:divsChild>
                    <w:div w:id="1043285997">
                      <w:marLeft w:val="0"/>
                      <w:marRight w:val="0"/>
                      <w:marTop w:val="0"/>
                      <w:marBottom w:val="0"/>
                      <w:divBdr>
                        <w:top w:val="none" w:sz="0" w:space="0" w:color="auto"/>
                        <w:left w:val="none" w:sz="0" w:space="0" w:color="auto"/>
                        <w:bottom w:val="none" w:sz="0" w:space="0" w:color="auto"/>
                        <w:right w:val="none" w:sz="0" w:space="0" w:color="auto"/>
                      </w:divBdr>
                    </w:div>
                  </w:divsChild>
                </w:div>
                <w:div w:id="2106727979">
                  <w:marLeft w:val="0"/>
                  <w:marRight w:val="0"/>
                  <w:marTop w:val="0"/>
                  <w:marBottom w:val="0"/>
                  <w:divBdr>
                    <w:top w:val="none" w:sz="0" w:space="0" w:color="auto"/>
                    <w:left w:val="none" w:sz="0" w:space="0" w:color="auto"/>
                    <w:bottom w:val="none" w:sz="0" w:space="0" w:color="auto"/>
                    <w:right w:val="none" w:sz="0" w:space="0" w:color="auto"/>
                  </w:divBdr>
                  <w:divsChild>
                    <w:div w:id="1917283596">
                      <w:marLeft w:val="0"/>
                      <w:marRight w:val="0"/>
                      <w:marTop w:val="0"/>
                      <w:marBottom w:val="0"/>
                      <w:divBdr>
                        <w:top w:val="none" w:sz="0" w:space="0" w:color="auto"/>
                        <w:left w:val="none" w:sz="0" w:space="0" w:color="auto"/>
                        <w:bottom w:val="none" w:sz="0" w:space="0" w:color="auto"/>
                        <w:right w:val="none" w:sz="0" w:space="0" w:color="auto"/>
                      </w:divBdr>
                    </w:div>
                  </w:divsChild>
                </w:div>
                <w:div w:id="2132740634">
                  <w:marLeft w:val="0"/>
                  <w:marRight w:val="0"/>
                  <w:marTop w:val="0"/>
                  <w:marBottom w:val="0"/>
                  <w:divBdr>
                    <w:top w:val="none" w:sz="0" w:space="0" w:color="auto"/>
                    <w:left w:val="none" w:sz="0" w:space="0" w:color="auto"/>
                    <w:bottom w:val="none" w:sz="0" w:space="0" w:color="auto"/>
                    <w:right w:val="none" w:sz="0" w:space="0" w:color="auto"/>
                  </w:divBdr>
                  <w:divsChild>
                    <w:div w:id="50621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50488">
          <w:marLeft w:val="0"/>
          <w:marRight w:val="0"/>
          <w:marTop w:val="0"/>
          <w:marBottom w:val="0"/>
          <w:divBdr>
            <w:top w:val="none" w:sz="0" w:space="0" w:color="auto"/>
            <w:left w:val="none" w:sz="0" w:space="0" w:color="auto"/>
            <w:bottom w:val="none" w:sz="0" w:space="0" w:color="auto"/>
            <w:right w:val="none" w:sz="0" w:space="0" w:color="auto"/>
          </w:divBdr>
        </w:div>
        <w:div w:id="1134177394">
          <w:marLeft w:val="0"/>
          <w:marRight w:val="0"/>
          <w:marTop w:val="0"/>
          <w:marBottom w:val="0"/>
          <w:divBdr>
            <w:top w:val="none" w:sz="0" w:space="0" w:color="auto"/>
            <w:left w:val="none" w:sz="0" w:space="0" w:color="auto"/>
            <w:bottom w:val="none" w:sz="0" w:space="0" w:color="auto"/>
            <w:right w:val="none" w:sz="0" w:space="0" w:color="auto"/>
          </w:divBdr>
        </w:div>
        <w:div w:id="1497764396">
          <w:marLeft w:val="0"/>
          <w:marRight w:val="0"/>
          <w:marTop w:val="0"/>
          <w:marBottom w:val="0"/>
          <w:divBdr>
            <w:top w:val="none" w:sz="0" w:space="0" w:color="auto"/>
            <w:left w:val="none" w:sz="0" w:space="0" w:color="auto"/>
            <w:bottom w:val="none" w:sz="0" w:space="0" w:color="auto"/>
            <w:right w:val="none" w:sz="0" w:space="0" w:color="auto"/>
          </w:divBdr>
        </w:div>
      </w:divsChild>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053307531">
      <w:bodyDiv w:val="1"/>
      <w:marLeft w:val="0"/>
      <w:marRight w:val="0"/>
      <w:marTop w:val="0"/>
      <w:marBottom w:val="0"/>
      <w:divBdr>
        <w:top w:val="none" w:sz="0" w:space="0" w:color="auto"/>
        <w:left w:val="none" w:sz="0" w:space="0" w:color="auto"/>
        <w:bottom w:val="none" w:sz="0" w:space="0" w:color="auto"/>
        <w:right w:val="none" w:sz="0" w:space="0" w:color="auto"/>
      </w:divBdr>
      <w:divsChild>
        <w:div w:id="794064036">
          <w:marLeft w:val="0"/>
          <w:marRight w:val="0"/>
          <w:marTop w:val="0"/>
          <w:marBottom w:val="0"/>
          <w:divBdr>
            <w:top w:val="none" w:sz="0" w:space="0" w:color="auto"/>
            <w:left w:val="none" w:sz="0" w:space="0" w:color="auto"/>
            <w:bottom w:val="none" w:sz="0" w:space="0" w:color="auto"/>
            <w:right w:val="none" w:sz="0" w:space="0" w:color="auto"/>
          </w:divBdr>
        </w:div>
        <w:div w:id="853955638">
          <w:marLeft w:val="0"/>
          <w:marRight w:val="0"/>
          <w:marTop w:val="0"/>
          <w:marBottom w:val="0"/>
          <w:divBdr>
            <w:top w:val="none" w:sz="0" w:space="0" w:color="auto"/>
            <w:left w:val="none" w:sz="0" w:space="0" w:color="auto"/>
            <w:bottom w:val="none" w:sz="0" w:space="0" w:color="auto"/>
            <w:right w:val="none" w:sz="0" w:space="0" w:color="auto"/>
          </w:divBdr>
        </w:div>
        <w:div w:id="1849640660">
          <w:marLeft w:val="0"/>
          <w:marRight w:val="0"/>
          <w:marTop w:val="0"/>
          <w:marBottom w:val="0"/>
          <w:divBdr>
            <w:top w:val="none" w:sz="0" w:space="0" w:color="auto"/>
            <w:left w:val="none" w:sz="0" w:space="0" w:color="auto"/>
            <w:bottom w:val="none" w:sz="0" w:space="0" w:color="auto"/>
            <w:right w:val="none" w:sz="0" w:space="0" w:color="auto"/>
          </w:divBdr>
        </w:div>
      </w:divsChild>
    </w:div>
    <w:div w:id="1119833561">
      <w:bodyDiv w:val="1"/>
      <w:marLeft w:val="0"/>
      <w:marRight w:val="0"/>
      <w:marTop w:val="0"/>
      <w:marBottom w:val="0"/>
      <w:divBdr>
        <w:top w:val="none" w:sz="0" w:space="0" w:color="auto"/>
        <w:left w:val="none" w:sz="0" w:space="0" w:color="auto"/>
        <w:bottom w:val="none" w:sz="0" w:space="0" w:color="auto"/>
        <w:right w:val="none" w:sz="0" w:space="0" w:color="auto"/>
      </w:divBdr>
      <w:divsChild>
        <w:div w:id="629752226">
          <w:marLeft w:val="0"/>
          <w:marRight w:val="0"/>
          <w:marTop w:val="0"/>
          <w:marBottom w:val="0"/>
          <w:divBdr>
            <w:top w:val="none" w:sz="0" w:space="0" w:color="auto"/>
            <w:left w:val="none" w:sz="0" w:space="0" w:color="auto"/>
            <w:bottom w:val="none" w:sz="0" w:space="0" w:color="auto"/>
            <w:right w:val="none" w:sz="0" w:space="0" w:color="auto"/>
          </w:divBdr>
        </w:div>
        <w:div w:id="653491254">
          <w:marLeft w:val="0"/>
          <w:marRight w:val="0"/>
          <w:marTop w:val="0"/>
          <w:marBottom w:val="0"/>
          <w:divBdr>
            <w:top w:val="none" w:sz="0" w:space="0" w:color="auto"/>
            <w:left w:val="none" w:sz="0" w:space="0" w:color="auto"/>
            <w:bottom w:val="none" w:sz="0" w:space="0" w:color="auto"/>
            <w:right w:val="none" w:sz="0" w:space="0" w:color="auto"/>
          </w:divBdr>
        </w:div>
        <w:div w:id="1788545059">
          <w:marLeft w:val="0"/>
          <w:marRight w:val="0"/>
          <w:marTop w:val="0"/>
          <w:marBottom w:val="0"/>
          <w:divBdr>
            <w:top w:val="none" w:sz="0" w:space="0" w:color="auto"/>
            <w:left w:val="none" w:sz="0" w:space="0" w:color="auto"/>
            <w:bottom w:val="none" w:sz="0" w:space="0" w:color="auto"/>
            <w:right w:val="none" w:sz="0" w:space="0" w:color="auto"/>
          </w:divBdr>
          <w:divsChild>
            <w:div w:id="554395388">
              <w:marLeft w:val="-75"/>
              <w:marRight w:val="0"/>
              <w:marTop w:val="30"/>
              <w:marBottom w:val="30"/>
              <w:divBdr>
                <w:top w:val="none" w:sz="0" w:space="0" w:color="auto"/>
                <w:left w:val="none" w:sz="0" w:space="0" w:color="auto"/>
                <w:bottom w:val="none" w:sz="0" w:space="0" w:color="auto"/>
                <w:right w:val="none" w:sz="0" w:space="0" w:color="auto"/>
              </w:divBdr>
              <w:divsChild>
                <w:div w:id="185827323">
                  <w:marLeft w:val="0"/>
                  <w:marRight w:val="0"/>
                  <w:marTop w:val="0"/>
                  <w:marBottom w:val="0"/>
                  <w:divBdr>
                    <w:top w:val="none" w:sz="0" w:space="0" w:color="auto"/>
                    <w:left w:val="none" w:sz="0" w:space="0" w:color="auto"/>
                    <w:bottom w:val="none" w:sz="0" w:space="0" w:color="auto"/>
                    <w:right w:val="none" w:sz="0" w:space="0" w:color="auto"/>
                  </w:divBdr>
                  <w:divsChild>
                    <w:div w:id="1129007990">
                      <w:marLeft w:val="0"/>
                      <w:marRight w:val="0"/>
                      <w:marTop w:val="0"/>
                      <w:marBottom w:val="0"/>
                      <w:divBdr>
                        <w:top w:val="none" w:sz="0" w:space="0" w:color="auto"/>
                        <w:left w:val="none" w:sz="0" w:space="0" w:color="auto"/>
                        <w:bottom w:val="none" w:sz="0" w:space="0" w:color="auto"/>
                        <w:right w:val="none" w:sz="0" w:space="0" w:color="auto"/>
                      </w:divBdr>
                    </w:div>
                  </w:divsChild>
                </w:div>
                <w:div w:id="217010447">
                  <w:marLeft w:val="0"/>
                  <w:marRight w:val="0"/>
                  <w:marTop w:val="0"/>
                  <w:marBottom w:val="0"/>
                  <w:divBdr>
                    <w:top w:val="none" w:sz="0" w:space="0" w:color="auto"/>
                    <w:left w:val="none" w:sz="0" w:space="0" w:color="auto"/>
                    <w:bottom w:val="none" w:sz="0" w:space="0" w:color="auto"/>
                    <w:right w:val="none" w:sz="0" w:space="0" w:color="auto"/>
                  </w:divBdr>
                  <w:divsChild>
                    <w:div w:id="602879160">
                      <w:marLeft w:val="0"/>
                      <w:marRight w:val="0"/>
                      <w:marTop w:val="0"/>
                      <w:marBottom w:val="0"/>
                      <w:divBdr>
                        <w:top w:val="none" w:sz="0" w:space="0" w:color="auto"/>
                        <w:left w:val="none" w:sz="0" w:space="0" w:color="auto"/>
                        <w:bottom w:val="none" w:sz="0" w:space="0" w:color="auto"/>
                        <w:right w:val="none" w:sz="0" w:space="0" w:color="auto"/>
                      </w:divBdr>
                    </w:div>
                  </w:divsChild>
                </w:div>
                <w:div w:id="244920010">
                  <w:marLeft w:val="0"/>
                  <w:marRight w:val="0"/>
                  <w:marTop w:val="0"/>
                  <w:marBottom w:val="0"/>
                  <w:divBdr>
                    <w:top w:val="none" w:sz="0" w:space="0" w:color="auto"/>
                    <w:left w:val="none" w:sz="0" w:space="0" w:color="auto"/>
                    <w:bottom w:val="none" w:sz="0" w:space="0" w:color="auto"/>
                    <w:right w:val="none" w:sz="0" w:space="0" w:color="auto"/>
                  </w:divBdr>
                  <w:divsChild>
                    <w:div w:id="481042681">
                      <w:marLeft w:val="0"/>
                      <w:marRight w:val="0"/>
                      <w:marTop w:val="0"/>
                      <w:marBottom w:val="0"/>
                      <w:divBdr>
                        <w:top w:val="none" w:sz="0" w:space="0" w:color="auto"/>
                        <w:left w:val="none" w:sz="0" w:space="0" w:color="auto"/>
                        <w:bottom w:val="none" w:sz="0" w:space="0" w:color="auto"/>
                        <w:right w:val="none" w:sz="0" w:space="0" w:color="auto"/>
                      </w:divBdr>
                    </w:div>
                  </w:divsChild>
                </w:div>
                <w:div w:id="269749957">
                  <w:marLeft w:val="0"/>
                  <w:marRight w:val="0"/>
                  <w:marTop w:val="0"/>
                  <w:marBottom w:val="0"/>
                  <w:divBdr>
                    <w:top w:val="none" w:sz="0" w:space="0" w:color="auto"/>
                    <w:left w:val="none" w:sz="0" w:space="0" w:color="auto"/>
                    <w:bottom w:val="none" w:sz="0" w:space="0" w:color="auto"/>
                    <w:right w:val="none" w:sz="0" w:space="0" w:color="auto"/>
                  </w:divBdr>
                  <w:divsChild>
                    <w:div w:id="521282686">
                      <w:marLeft w:val="0"/>
                      <w:marRight w:val="0"/>
                      <w:marTop w:val="0"/>
                      <w:marBottom w:val="0"/>
                      <w:divBdr>
                        <w:top w:val="none" w:sz="0" w:space="0" w:color="auto"/>
                        <w:left w:val="none" w:sz="0" w:space="0" w:color="auto"/>
                        <w:bottom w:val="none" w:sz="0" w:space="0" w:color="auto"/>
                        <w:right w:val="none" w:sz="0" w:space="0" w:color="auto"/>
                      </w:divBdr>
                    </w:div>
                  </w:divsChild>
                </w:div>
                <w:div w:id="290522364">
                  <w:marLeft w:val="0"/>
                  <w:marRight w:val="0"/>
                  <w:marTop w:val="0"/>
                  <w:marBottom w:val="0"/>
                  <w:divBdr>
                    <w:top w:val="none" w:sz="0" w:space="0" w:color="auto"/>
                    <w:left w:val="none" w:sz="0" w:space="0" w:color="auto"/>
                    <w:bottom w:val="none" w:sz="0" w:space="0" w:color="auto"/>
                    <w:right w:val="none" w:sz="0" w:space="0" w:color="auto"/>
                  </w:divBdr>
                  <w:divsChild>
                    <w:div w:id="1665935490">
                      <w:marLeft w:val="0"/>
                      <w:marRight w:val="0"/>
                      <w:marTop w:val="0"/>
                      <w:marBottom w:val="0"/>
                      <w:divBdr>
                        <w:top w:val="none" w:sz="0" w:space="0" w:color="auto"/>
                        <w:left w:val="none" w:sz="0" w:space="0" w:color="auto"/>
                        <w:bottom w:val="none" w:sz="0" w:space="0" w:color="auto"/>
                        <w:right w:val="none" w:sz="0" w:space="0" w:color="auto"/>
                      </w:divBdr>
                    </w:div>
                  </w:divsChild>
                </w:div>
                <w:div w:id="340163741">
                  <w:marLeft w:val="0"/>
                  <w:marRight w:val="0"/>
                  <w:marTop w:val="0"/>
                  <w:marBottom w:val="0"/>
                  <w:divBdr>
                    <w:top w:val="none" w:sz="0" w:space="0" w:color="auto"/>
                    <w:left w:val="none" w:sz="0" w:space="0" w:color="auto"/>
                    <w:bottom w:val="none" w:sz="0" w:space="0" w:color="auto"/>
                    <w:right w:val="none" w:sz="0" w:space="0" w:color="auto"/>
                  </w:divBdr>
                  <w:divsChild>
                    <w:div w:id="1578398078">
                      <w:marLeft w:val="0"/>
                      <w:marRight w:val="0"/>
                      <w:marTop w:val="0"/>
                      <w:marBottom w:val="0"/>
                      <w:divBdr>
                        <w:top w:val="none" w:sz="0" w:space="0" w:color="auto"/>
                        <w:left w:val="none" w:sz="0" w:space="0" w:color="auto"/>
                        <w:bottom w:val="none" w:sz="0" w:space="0" w:color="auto"/>
                        <w:right w:val="none" w:sz="0" w:space="0" w:color="auto"/>
                      </w:divBdr>
                    </w:div>
                  </w:divsChild>
                </w:div>
                <w:div w:id="476143246">
                  <w:marLeft w:val="0"/>
                  <w:marRight w:val="0"/>
                  <w:marTop w:val="0"/>
                  <w:marBottom w:val="0"/>
                  <w:divBdr>
                    <w:top w:val="none" w:sz="0" w:space="0" w:color="auto"/>
                    <w:left w:val="none" w:sz="0" w:space="0" w:color="auto"/>
                    <w:bottom w:val="none" w:sz="0" w:space="0" w:color="auto"/>
                    <w:right w:val="none" w:sz="0" w:space="0" w:color="auto"/>
                  </w:divBdr>
                  <w:divsChild>
                    <w:div w:id="1187983497">
                      <w:marLeft w:val="0"/>
                      <w:marRight w:val="0"/>
                      <w:marTop w:val="0"/>
                      <w:marBottom w:val="0"/>
                      <w:divBdr>
                        <w:top w:val="none" w:sz="0" w:space="0" w:color="auto"/>
                        <w:left w:val="none" w:sz="0" w:space="0" w:color="auto"/>
                        <w:bottom w:val="none" w:sz="0" w:space="0" w:color="auto"/>
                        <w:right w:val="none" w:sz="0" w:space="0" w:color="auto"/>
                      </w:divBdr>
                    </w:div>
                  </w:divsChild>
                </w:div>
                <w:div w:id="659768560">
                  <w:marLeft w:val="0"/>
                  <w:marRight w:val="0"/>
                  <w:marTop w:val="0"/>
                  <w:marBottom w:val="0"/>
                  <w:divBdr>
                    <w:top w:val="none" w:sz="0" w:space="0" w:color="auto"/>
                    <w:left w:val="none" w:sz="0" w:space="0" w:color="auto"/>
                    <w:bottom w:val="none" w:sz="0" w:space="0" w:color="auto"/>
                    <w:right w:val="none" w:sz="0" w:space="0" w:color="auto"/>
                  </w:divBdr>
                  <w:divsChild>
                    <w:div w:id="518202712">
                      <w:marLeft w:val="0"/>
                      <w:marRight w:val="0"/>
                      <w:marTop w:val="0"/>
                      <w:marBottom w:val="0"/>
                      <w:divBdr>
                        <w:top w:val="none" w:sz="0" w:space="0" w:color="auto"/>
                        <w:left w:val="none" w:sz="0" w:space="0" w:color="auto"/>
                        <w:bottom w:val="none" w:sz="0" w:space="0" w:color="auto"/>
                        <w:right w:val="none" w:sz="0" w:space="0" w:color="auto"/>
                      </w:divBdr>
                    </w:div>
                  </w:divsChild>
                </w:div>
                <w:div w:id="682367575">
                  <w:marLeft w:val="0"/>
                  <w:marRight w:val="0"/>
                  <w:marTop w:val="0"/>
                  <w:marBottom w:val="0"/>
                  <w:divBdr>
                    <w:top w:val="none" w:sz="0" w:space="0" w:color="auto"/>
                    <w:left w:val="none" w:sz="0" w:space="0" w:color="auto"/>
                    <w:bottom w:val="none" w:sz="0" w:space="0" w:color="auto"/>
                    <w:right w:val="none" w:sz="0" w:space="0" w:color="auto"/>
                  </w:divBdr>
                  <w:divsChild>
                    <w:div w:id="680275845">
                      <w:marLeft w:val="0"/>
                      <w:marRight w:val="0"/>
                      <w:marTop w:val="0"/>
                      <w:marBottom w:val="0"/>
                      <w:divBdr>
                        <w:top w:val="none" w:sz="0" w:space="0" w:color="auto"/>
                        <w:left w:val="none" w:sz="0" w:space="0" w:color="auto"/>
                        <w:bottom w:val="none" w:sz="0" w:space="0" w:color="auto"/>
                        <w:right w:val="none" w:sz="0" w:space="0" w:color="auto"/>
                      </w:divBdr>
                    </w:div>
                  </w:divsChild>
                </w:div>
                <w:div w:id="817845317">
                  <w:marLeft w:val="0"/>
                  <w:marRight w:val="0"/>
                  <w:marTop w:val="0"/>
                  <w:marBottom w:val="0"/>
                  <w:divBdr>
                    <w:top w:val="none" w:sz="0" w:space="0" w:color="auto"/>
                    <w:left w:val="none" w:sz="0" w:space="0" w:color="auto"/>
                    <w:bottom w:val="none" w:sz="0" w:space="0" w:color="auto"/>
                    <w:right w:val="none" w:sz="0" w:space="0" w:color="auto"/>
                  </w:divBdr>
                  <w:divsChild>
                    <w:div w:id="360786875">
                      <w:marLeft w:val="0"/>
                      <w:marRight w:val="0"/>
                      <w:marTop w:val="0"/>
                      <w:marBottom w:val="0"/>
                      <w:divBdr>
                        <w:top w:val="none" w:sz="0" w:space="0" w:color="auto"/>
                        <w:left w:val="none" w:sz="0" w:space="0" w:color="auto"/>
                        <w:bottom w:val="none" w:sz="0" w:space="0" w:color="auto"/>
                        <w:right w:val="none" w:sz="0" w:space="0" w:color="auto"/>
                      </w:divBdr>
                    </w:div>
                  </w:divsChild>
                </w:div>
                <w:div w:id="974604024">
                  <w:marLeft w:val="0"/>
                  <w:marRight w:val="0"/>
                  <w:marTop w:val="0"/>
                  <w:marBottom w:val="0"/>
                  <w:divBdr>
                    <w:top w:val="none" w:sz="0" w:space="0" w:color="auto"/>
                    <w:left w:val="none" w:sz="0" w:space="0" w:color="auto"/>
                    <w:bottom w:val="none" w:sz="0" w:space="0" w:color="auto"/>
                    <w:right w:val="none" w:sz="0" w:space="0" w:color="auto"/>
                  </w:divBdr>
                  <w:divsChild>
                    <w:div w:id="1654065604">
                      <w:marLeft w:val="0"/>
                      <w:marRight w:val="0"/>
                      <w:marTop w:val="0"/>
                      <w:marBottom w:val="0"/>
                      <w:divBdr>
                        <w:top w:val="none" w:sz="0" w:space="0" w:color="auto"/>
                        <w:left w:val="none" w:sz="0" w:space="0" w:color="auto"/>
                        <w:bottom w:val="none" w:sz="0" w:space="0" w:color="auto"/>
                        <w:right w:val="none" w:sz="0" w:space="0" w:color="auto"/>
                      </w:divBdr>
                    </w:div>
                  </w:divsChild>
                </w:div>
                <w:div w:id="1004238315">
                  <w:marLeft w:val="0"/>
                  <w:marRight w:val="0"/>
                  <w:marTop w:val="0"/>
                  <w:marBottom w:val="0"/>
                  <w:divBdr>
                    <w:top w:val="none" w:sz="0" w:space="0" w:color="auto"/>
                    <w:left w:val="none" w:sz="0" w:space="0" w:color="auto"/>
                    <w:bottom w:val="none" w:sz="0" w:space="0" w:color="auto"/>
                    <w:right w:val="none" w:sz="0" w:space="0" w:color="auto"/>
                  </w:divBdr>
                  <w:divsChild>
                    <w:div w:id="789201609">
                      <w:marLeft w:val="0"/>
                      <w:marRight w:val="0"/>
                      <w:marTop w:val="0"/>
                      <w:marBottom w:val="0"/>
                      <w:divBdr>
                        <w:top w:val="none" w:sz="0" w:space="0" w:color="auto"/>
                        <w:left w:val="none" w:sz="0" w:space="0" w:color="auto"/>
                        <w:bottom w:val="none" w:sz="0" w:space="0" w:color="auto"/>
                        <w:right w:val="none" w:sz="0" w:space="0" w:color="auto"/>
                      </w:divBdr>
                    </w:div>
                  </w:divsChild>
                </w:div>
                <w:div w:id="1023894533">
                  <w:marLeft w:val="0"/>
                  <w:marRight w:val="0"/>
                  <w:marTop w:val="0"/>
                  <w:marBottom w:val="0"/>
                  <w:divBdr>
                    <w:top w:val="none" w:sz="0" w:space="0" w:color="auto"/>
                    <w:left w:val="none" w:sz="0" w:space="0" w:color="auto"/>
                    <w:bottom w:val="none" w:sz="0" w:space="0" w:color="auto"/>
                    <w:right w:val="none" w:sz="0" w:space="0" w:color="auto"/>
                  </w:divBdr>
                  <w:divsChild>
                    <w:div w:id="649015127">
                      <w:marLeft w:val="0"/>
                      <w:marRight w:val="0"/>
                      <w:marTop w:val="0"/>
                      <w:marBottom w:val="0"/>
                      <w:divBdr>
                        <w:top w:val="none" w:sz="0" w:space="0" w:color="auto"/>
                        <w:left w:val="none" w:sz="0" w:space="0" w:color="auto"/>
                        <w:bottom w:val="none" w:sz="0" w:space="0" w:color="auto"/>
                        <w:right w:val="none" w:sz="0" w:space="0" w:color="auto"/>
                      </w:divBdr>
                    </w:div>
                  </w:divsChild>
                </w:div>
                <w:div w:id="1063405201">
                  <w:marLeft w:val="0"/>
                  <w:marRight w:val="0"/>
                  <w:marTop w:val="0"/>
                  <w:marBottom w:val="0"/>
                  <w:divBdr>
                    <w:top w:val="none" w:sz="0" w:space="0" w:color="auto"/>
                    <w:left w:val="none" w:sz="0" w:space="0" w:color="auto"/>
                    <w:bottom w:val="none" w:sz="0" w:space="0" w:color="auto"/>
                    <w:right w:val="none" w:sz="0" w:space="0" w:color="auto"/>
                  </w:divBdr>
                  <w:divsChild>
                    <w:div w:id="214661387">
                      <w:marLeft w:val="0"/>
                      <w:marRight w:val="0"/>
                      <w:marTop w:val="0"/>
                      <w:marBottom w:val="0"/>
                      <w:divBdr>
                        <w:top w:val="none" w:sz="0" w:space="0" w:color="auto"/>
                        <w:left w:val="none" w:sz="0" w:space="0" w:color="auto"/>
                        <w:bottom w:val="none" w:sz="0" w:space="0" w:color="auto"/>
                        <w:right w:val="none" w:sz="0" w:space="0" w:color="auto"/>
                      </w:divBdr>
                    </w:div>
                  </w:divsChild>
                </w:div>
                <w:div w:id="1101530253">
                  <w:marLeft w:val="0"/>
                  <w:marRight w:val="0"/>
                  <w:marTop w:val="0"/>
                  <w:marBottom w:val="0"/>
                  <w:divBdr>
                    <w:top w:val="none" w:sz="0" w:space="0" w:color="auto"/>
                    <w:left w:val="none" w:sz="0" w:space="0" w:color="auto"/>
                    <w:bottom w:val="none" w:sz="0" w:space="0" w:color="auto"/>
                    <w:right w:val="none" w:sz="0" w:space="0" w:color="auto"/>
                  </w:divBdr>
                  <w:divsChild>
                    <w:div w:id="1273705487">
                      <w:marLeft w:val="0"/>
                      <w:marRight w:val="0"/>
                      <w:marTop w:val="0"/>
                      <w:marBottom w:val="0"/>
                      <w:divBdr>
                        <w:top w:val="none" w:sz="0" w:space="0" w:color="auto"/>
                        <w:left w:val="none" w:sz="0" w:space="0" w:color="auto"/>
                        <w:bottom w:val="none" w:sz="0" w:space="0" w:color="auto"/>
                        <w:right w:val="none" w:sz="0" w:space="0" w:color="auto"/>
                      </w:divBdr>
                    </w:div>
                  </w:divsChild>
                </w:div>
                <w:div w:id="1202749275">
                  <w:marLeft w:val="0"/>
                  <w:marRight w:val="0"/>
                  <w:marTop w:val="0"/>
                  <w:marBottom w:val="0"/>
                  <w:divBdr>
                    <w:top w:val="none" w:sz="0" w:space="0" w:color="auto"/>
                    <w:left w:val="none" w:sz="0" w:space="0" w:color="auto"/>
                    <w:bottom w:val="none" w:sz="0" w:space="0" w:color="auto"/>
                    <w:right w:val="none" w:sz="0" w:space="0" w:color="auto"/>
                  </w:divBdr>
                  <w:divsChild>
                    <w:div w:id="1024593299">
                      <w:marLeft w:val="0"/>
                      <w:marRight w:val="0"/>
                      <w:marTop w:val="0"/>
                      <w:marBottom w:val="0"/>
                      <w:divBdr>
                        <w:top w:val="none" w:sz="0" w:space="0" w:color="auto"/>
                        <w:left w:val="none" w:sz="0" w:space="0" w:color="auto"/>
                        <w:bottom w:val="none" w:sz="0" w:space="0" w:color="auto"/>
                        <w:right w:val="none" w:sz="0" w:space="0" w:color="auto"/>
                      </w:divBdr>
                    </w:div>
                  </w:divsChild>
                </w:div>
                <w:div w:id="1233346461">
                  <w:marLeft w:val="0"/>
                  <w:marRight w:val="0"/>
                  <w:marTop w:val="0"/>
                  <w:marBottom w:val="0"/>
                  <w:divBdr>
                    <w:top w:val="none" w:sz="0" w:space="0" w:color="auto"/>
                    <w:left w:val="none" w:sz="0" w:space="0" w:color="auto"/>
                    <w:bottom w:val="none" w:sz="0" w:space="0" w:color="auto"/>
                    <w:right w:val="none" w:sz="0" w:space="0" w:color="auto"/>
                  </w:divBdr>
                  <w:divsChild>
                    <w:div w:id="88698993">
                      <w:marLeft w:val="0"/>
                      <w:marRight w:val="0"/>
                      <w:marTop w:val="0"/>
                      <w:marBottom w:val="0"/>
                      <w:divBdr>
                        <w:top w:val="none" w:sz="0" w:space="0" w:color="auto"/>
                        <w:left w:val="none" w:sz="0" w:space="0" w:color="auto"/>
                        <w:bottom w:val="none" w:sz="0" w:space="0" w:color="auto"/>
                        <w:right w:val="none" w:sz="0" w:space="0" w:color="auto"/>
                      </w:divBdr>
                    </w:div>
                  </w:divsChild>
                </w:div>
                <w:div w:id="1342198097">
                  <w:marLeft w:val="0"/>
                  <w:marRight w:val="0"/>
                  <w:marTop w:val="0"/>
                  <w:marBottom w:val="0"/>
                  <w:divBdr>
                    <w:top w:val="none" w:sz="0" w:space="0" w:color="auto"/>
                    <w:left w:val="none" w:sz="0" w:space="0" w:color="auto"/>
                    <w:bottom w:val="none" w:sz="0" w:space="0" w:color="auto"/>
                    <w:right w:val="none" w:sz="0" w:space="0" w:color="auto"/>
                  </w:divBdr>
                  <w:divsChild>
                    <w:div w:id="1628659017">
                      <w:marLeft w:val="0"/>
                      <w:marRight w:val="0"/>
                      <w:marTop w:val="0"/>
                      <w:marBottom w:val="0"/>
                      <w:divBdr>
                        <w:top w:val="none" w:sz="0" w:space="0" w:color="auto"/>
                        <w:left w:val="none" w:sz="0" w:space="0" w:color="auto"/>
                        <w:bottom w:val="none" w:sz="0" w:space="0" w:color="auto"/>
                        <w:right w:val="none" w:sz="0" w:space="0" w:color="auto"/>
                      </w:divBdr>
                    </w:div>
                  </w:divsChild>
                </w:div>
                <w:div w:id="1382512674">
                  <w:marLeft w:val="0"/>
                  <w:marRight w:val="0"/>
                  <w:marTop w:val="0"/>
                  <w:marBottom w:val="0"/>
                  <w:divBdr>
                    <w:top w:val="none" w:sz="0" w:space="0" w:color="auto"/>
                    <w:left w:val="none" w:sz="0" w:space="0" w:color="auto"/>
                    <w:bottom w:val="none" w:sz="0" w:space="0" w:color="auto"/>
                    <w:right w:val="none" w:sz="0" w:space="0" w:color="auto"/>
                  </w:divBdr>
                  <w:divsChild>
                    <w:div w:id="102308254">
                      <w:marLeft w:val="0"/>
                      <w:marRight w:val="0"/>
                      <w:marTop w:val="0"/>
                      <w:marBottom w:val="0"/>
                      <w:divBdr>
                        <w:top w:val="none" w:sz="0" w:space="0" w:color="auto"/>
                        <w:left w:val="none" w:sz="0" w:space="0" w:color="auto"/>
                        <w:bottom w:val="none" w:sz="0" w:space="0" w:color="auto"/>
                        <w:right w:val="none" w:sz="0" w:space="0" w:color="auto"/>
                      </w:divBdr>
                    </w:div>
                  </w:divsChild>
                </w:div>
                <w:div w:id="1413578668">
                  <w:marLeft w:val="0"/>
                  <w:marRight w:val="0"/>
                  <w:marTop w:val="0"/>
                  <w:marBottom w:val="0"/>
                  <w:divBdr>
                    <w:top w:val="none" w:sz="0" w:space="0" w:color="auto"/>
                    <w:left w:val="none" w:sz="0" w:space="0" w:color="auto"/>
                    <w:bottom w:val="none" w:sz="0" w:space="0" w:color="auto"/>
                    <w:right w:val="none" w:sz="0" w:space="0" w:color="auto"/>
                  </w:divBdr>
                  <w:divsChild>
                    <w:div w:id="1977947320">
                      <w:marLeft w:val="0"/>
                      <w:marRight w:val="0"/>
                      <w:marTop w:val="0"/>
                      <w:marBottom w:val="0"/>
                      <w:divBdr>
                        <w:top w:val="none" w:sz="0" w:space="0" w:color="auto"/>
                        <w:left w:val="none" w:sz="0" w:space="0" w:color="auto"/>
                        <w:bottom w:val="none" w:sz="0" w:space="0" w:color="auto"/>
                        <w:right w:val="none" w:sz="0" w:space="0" w:color="auto"/>
                      </w:divBdr>
                    </w:div>
                  </w:divsChild>
                </w:div>
                <w:div w:id="1510947925">
                  <w:marLeft w:val="0"/>
                  <w:marRight w:val="0"/>
                  <w:marTop w:val="0"/>
                  <w:marBottom w:val="0"/>
                  <w:divBdr>
                    <w:top w:val="none" w:sz="0" w:space="0" w:color="auto"/>
                    <w:left w:val="none" w:sz="0" w:space="0" w:color="auto"/>
                    <w:bottom w:val="none" w:sz="0" w:space="0" w:color="auto"/>
                    <w:right w:val="none" w:sz="0" w:space="0" w:color="auto"/>
                  </w:divBdr>
                  <w:divsChild>
                    <w:div w:id="1006596450">
                      <w:marLeft w:val="0"/>
                      <w:marRight w:val="0"/>
                      <w:marTop w:val="0"/>
                      <w:marBottom w:val="0"/>
                      <w:divBdr>
                        <w:top w:val="none" w:sz="0" w:space="0" w:color="auto"/>
                        <w:left w:val="none" w:sz="0" w:space="0" w:color="auto"/>
                        <w:bottom w:val="none" w:sz="0" w:space="0" w:color="auto"/>
                        <w:right w:val="none" w:sz="0" w:space="0" w:color="auto"/>
                      </w:divBdr>
                    </w:div>
                  </w:divsChild>
                </w:div>
                <w:div w:id="1746103174">
                  <w:marLeft w:val="0"/>
                  <w:marRight w:val="0"/>
                  <w:marTop w:val="0"/>
                  <w:marBottom w:val="0"/>
                  <w:divBdr>
                    <w:top w:val="none" w:sz="0" w:space="0" w:color="auto"/>
                    <w:left w:val="none" w:sz="0" w:space="0" w:color="auto"/>
                    <w:bottom w:val="none" w:sz="0" w:space="0" w:color="auto"/>
                    <w:right w:val="none" w:sz="0" w:space="0" w:color="auto"/>
                  </w:divBdr>
                  <w:divsChild>
                    <w:div w:id="2119055890">
                      <w:marLeft w:val="0"/>
                      <w:marRight w:val="0"/>
                      <w:marTop w:val="0"/>
                      <w:marBottom w:val="0"/>
                      <w:divBdr>
                        <w:top w:val="none" w:sz="0" w:space="0" w:color="auto"/>
                        <w:left w:val="none" w:sz="0" w:space="0" w:color="auto"/>
                        <w:bottom w:val="none" w:sz="0" w:space="0" w:color="auto"/>
                        <w:right w:val="none" w:sz="0" w:space="0" w:color="auto"/>
                      </w:divBdr>
                    </w:div>
                  </w:divsChild>
                </w:div>
                <w:div w:id="1753694760">
                  <w:marLeft w:val="0"/>
                  <w:marRight w:val="0"/>
                  <w:marTop w:val="0"/>
                  <w:marBottom w:val="0"/>
                  <w:divBdr>
                    <w:top w:val="none" w:sz="0" w:space="0" w:color="auto"/>
                    <w:left w:val="none" w:sz="0" w:space="0" w:color="auto"/>
                    <w:bottom w:val="none" w:sz="0" w:space="0" w:color="auto"/>
                    <w:right w:val="none" w:sz="0" w:space="0" w:color="auto"/>
                  </w:divBdr>
                  <w:divsChild>
                    <w:div w:id="1839804252">
                      <w:marLeft w:val="0"/>
                      <w:marRight w:val="0"/>
                      <w:marTop w:val="0"/>
                      <w:marBottom w:val="0"/>
                      <w:divBdr>
                        <w:top w:val="none" w:sz="0" w:space="0" w:color="auto"/>
                        <w:left w:val="none" w:sz="0" w:space="0" w:color="auto"/>
                        <w:bottom w:val="none" w:sz="0" w:space="0" w:color="auto"/>
                        <w:right w:val="none" w:sz="0" w:space="0" w:color="auto"/>
                      </w:divBdr>
                    </w:div>
                  </w:divsChild>
                </w:div>
                <w:div w:id="1917588628">
                  <w:marLeft w:val="0"/>
                  <w:marRight w:val="0"/>
                  <w:marTop w:val="0"/>
                  <w:marBottom w:val="0"/>
                  <w:divBdr>
                    <w:top w:val="none" w:sz="0" w:space="0" w:color="auto"/>
                    <w:left w:val="none" w:sz="0" w:space="0" w:color="auto"/>
                    <w:bottom w:val="none" w:sz="0" w:space="0" w:color="auto"/>
                    <w:right w:val="none" w:sz="0" w:space="0" w:color="auto"/>
                  </w:divBdr>
                  <w:divsChild>
                    <w:div w:id="4792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28428">
          <w:marLeft w:val="0"/>
          <w:marRight w:val="0"/>
          <w:marTop w:val="0"/>
          <w:marBottom w:val="0"/>
          <w:divBdr>
            <w:top w:val="none" w:sz="0" w:space="0" w:color="auto"/>
            <w:left w:val="none" w:sz="0" w:space="0" w:color="auto"/>
            <w:bottom w:val="none" w:sz="0" w:space="0" w:color="auto"/>
            <w:right w:val="none" w:sz="0" w:space="0" w:color="auto"/>
          </w:divBdr>
        </w:div>
      </w:divsChild>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175925806">
      <w:bodyDiv w:val="1"/>
      <w:marLeft w:val="0"/>
      <w:marRight w:val="0"/>
      <w:marTop w:val="0"/>
      <w:marBottom w:val="0"/>
      <w:divBdr>
        <w:top w:val="none" w:sz="0" w:space="0" w:color="auto"/>
        <w:left w:val="none" w:sz="0" w:space="0" w:color="auto"/>
        <w:bottom w:val="none" w:sz="0" w:space="0" w:color="auto"/>
        <w:right w:val="none" w:sz="0" w:space="0" w:color="auto"/>
      </w:divBdr>
      <w:divsChild>
        <w:div w:id="39595914">
          <w:marLeft w:val="0"/>
          <w:marRight w:val="0"/>
          <w:marTop w:val="0"/>
          <w:marBottom w:val="0"/>
          <w:divBdr>
            <w:top w:val="none" w:sz="0" w:space="0" w:color="auto"/>
            <w:left w:val="none" w:sz="0" w:space="0" w:color="auto"/>
            <w:bottom w:val="none" w:sz="0" w:space="0" w:color="auto"/>
            <w:right w:val="none" w:sz="0" w:space="0" w:color="auto"/>
          </w:divBdr>
        </w:div>
        <w:div w:id="46683704">
          <w:marLeft w:val="0"/>
          <w:marRight w:val="0"/>
          <w:marTop w:val="0"/>
          <w:marBottom w:val="0"/>
          <w:divBdr>
            <w:top w:val="none" w:sz="0" w:space="0" w:color="auto"/>
            <w:left w:val="none" w:sz="0" w:space="0" w:color="auto"/>
            <w:bottom w:val="none" w:sz="0" w:space="0" w:color="auto"/>
            <w:right w:val="none" w:sz="0" w:space="0" w:color="auto"/>
          </w:divBdr>
        </w:div>
        <w:div w:id="55861303">
          <w:marLeft w:val="0"/>
          <w:marRight w:val="0"/>
          <w:marTop w:val="0"/>
          <w:marBottom w:val="0"/>
          <w:divBdr>
            <w:top w:val="none" w:sz="0" w:space="0" w:color="auto"/>
            <w:left w:val="none" w:sz="0" w:space="0" w:color="auto"/>
            <w:bottom w:val="none" w:sz="0" w:space="0" w:color="auto"/>
            <w:right w:val="none" w:sz="0" w:space="0" w:color="auto"/>
          </w:divBdr>
        </w:div>
        <w:div w:id="155001400">
          <w:marLeft w:val="0"/>
          <w:marRight w:val="0"/>
          <w:marTop w:val="0"/>
          <w:marBottom w:val="0"/>
          <w:divBdr>
            <w:top w:val="none" w:sz="0" w:space="0" w:color="auto"/>
            <w:left w:val="none" w:sz="0" w:space="0" w:color="auto"/>
            <w:bottom w:val="none" w:sz="0" w:space="0" w:color="auto"/>
            <w:right w:val="none" w:sz="0" w:space="0" w:color="auto"/>
          </w:divBdr>
        </w:div>
        <w:div w:id="200946956">
          <w:marLeft w:val="0"/>
          <w:marRight w:val="0"/>
          <w:marTop w:val="0"/>
          <w:marBottom w:val="0"/>
          <w:divBdr>
            <w:top w:val="none" w:sz="0" w:space="0" w:color="auto"/>
            <w:left w:val="none" w:sz="0" w:space="0" w:color="auto"/>
            <w:bottom w:val="none" w:sz="0" w:space="0" w:color="auto"/>
            <w:right w:val="none" w:sz="0" w:space="0" w:color="auto"/>
          </w:divBdr>
        </w:div>
        <w:div w:id="219173396">
          <w:marLeft w:val="0"/>
          <w:marRight w:val="0"/>
          <w:marTop w:val="0"/>
          <w:marBottom w:val="0"/>
          <w:divBdr>
            <w:top w:val="none" w:sz="0" w:space="0" w:color="auto"/>
            <w:left w:val="none" w:sz="0" w:space="0" w:color="auto"/>
            <w:bottom w:val="none" w:sz="0" w:space="0" w:color="auto"/>
            <w:right w:val="none" w:sz="0" w:space="0" w:color="auto"/>
          </w:divBdr>
        </w:div>
        <w:div w:id="473110662">
          <w:marLeft w:val="0"/>
          <w:marRight w:val="0"/>
          <w:marTop w:val="0"/>
          <w:marBottom w:val="0"/>
          <w:divBdr>
            <w:top w:val="none" w:sz="0" w:space="0" w:color="auto"/>
            <w:left w:val="none" w:sz="0" w:space="0" w:color="auto"/>
            <w:bottom w:val="none" w:sz="0" w:space="0" w:color="auto"/>
            <w:right w:val="none" w:sz="0" w:space="0" w:color="auto"/>
          </w:divBdr>
        </w:div>
        <w:div w:id="532353558">
          <w:marLeft w:val="0"/>
          <w:marRight w:val="0"/>
          <w:marTop w:val="0"/>
          <w:marBottom w:val="0"/>
          <w:divBdr>
            <w:top w:val="none" w:sz="0" w:space="0" w:color="auto"/>
            <w:left w:val="none" w:sz="0" w:space="0" w:color="auto"/>
            <w:bottom w:val="none" w:sz="0" w:space="0" w:color="auto"/>
            <w:right w:val="none" w:sz="0" w:space="0" w:color="auto"/>
          </w:divBdr>
        </w:div>
        <w:div w:id="543248151">
          <w:marLeft w:val="0"/>
          <w:marRight w:val="0"/>
          <w:marTop w:val="0"/>
          <w:marBottom w:val="0"/>
          <w:divBdr>
            <w:top w:val="none" w:sz="0" w:space="0" w:color="auto"/>
            <w:left w:val="none" w:sz="0" w:space="0" w:color="auto"/>
            <w:bottom w:val="none" w:sz="0" w:space="0" w:color="auto"/>
            <w:right w:val="none" w:sz="0" w:space="0" w:color="auto"/>
          </w:divBdr>
        </w:div>
        <w:div w:id="765466808">
          <w:marLeft w:val="0"/>
          <w:marRight w:val="0"/>
          <w:marTop w:val="0"/>
          <w:marBottom w:val="0"/>
          <w:divBdr>
            <w:top w:val="none" w:sz="0" w:space="0" w:color="auto"/>
            <w:left w:val="none" w:sz="0" w:space="0" w:color="auto"/>
            <w:bottom w:val="none" w:sz="0" w:space="0" w:color="auto"/>
            <w:right w:val="none" w:sz="0" w:space="0" w:color="auto"/>
          </w:divBdr>
        </w:div>
        <w:div w:id="801848600">
          <w:marLeft w:val="0"/>
          <w:marRight w:val="0"/>
          <w:marTop w:val="0"/>
          <w:marBottom w:val="0"/>
          <w:divBdr>
            <w:top w:val="none" w:sz="0" w:space="0" w:color="auto"/>
            <w:left w:val="none" w:sz="0" w:space="0" w:color="auto"/>
            <w:bottom w:val="none" w:sz="0" w:space="0" w:color="auto"/>
            <w:right w:val="none" w:sz="0" w:space="0" w:color="auto"/>
          </w:divBdr>
        </w:div>
        <w:div w:id="942346234">
          <w:marLeft w:val="0"/>
          <w:marRight w:val="0"/>
          <w:marTop w:val="0"/>
          <w:marBottom w:val="0"/>
          <w:divBdr>
            <w:top w:val="none" w:sz="0" w:space="0" w:color="auto"/>
            <w:left w:val="none" w:sz="0" w:space="0" w:color="auto"/>
            <w:bottom w:val="none" w:sz="0" w:space="0" w:color="auto"/>
            <w:right w:val="none" w:sz="0" w:space="0" w:color="auto"/>
          </w:divBdr>
        </w:div>
        <w:div w:id="1065490659">
          <w:marLeft w:val="0"/>
          <w:marRight w:val="0"/>
          <w:marTop w:val="0"/>
          <w:marBottom w:val="0"/>
          <w:divBdr>
            <w:top w:val="none" w:sz="0" w:space="0" w:color="auto"/>
            <w:left w:val="none" w:sz="0" w:space="0" w:color="auto"/>
            <w:bottom w:val="none" w:sz="0" w:space="0" w:color="auto"/>
            <w:right w:val="none" w:sz="0" w:space="0" w:color="auto"/>
          </w:divBdr>
        </w:div>
        <w:div w:id="1077089284">
          <w:marLeft w:val="0"/>
          <w:marRight w:val="0"/>
          <w:marTop w:val="0"/>
          <w:marBottom w:val="0"/>
          <w:divBdr>
            <w:top w:val="none" w:sz="0" w:space="0" w:color="auto"/>
            <w:left w:val="none" w:sz="0" w:space="0" w:color="auto"/>
            <w:bottom w:val="none" w:sz="0" w:space="0" w:color="auto"/>
            <w:right w:val="none" w:sz="0" w:space="0" w:color="auto"/>
          </w:divBdr>
        </w:div>
        <w:div w:id="1131244694">
          <w:marLeft w:val="0"/>
          <w:marRight w:val="0"/>
          <w:marTop w:val="0"/>
          <w:marBottom w:val="0"/>
          <w:divBdr>
            <w:top w:val="none" w:sz="0" w:space="0" w:color="auto"/>
            <w:left w:val="none" w:sz="0" w:space="0" w:color="auto"/>
            <w:bottom w:val="none" w:sz="0" w:space="0" w:color="auto"/>
            <w:right w:val="none" w:sz="0" w:space="0" w:color="auto"/>
          </w:divBdr>
        </w:div>
        <w:div w:id="1336112941">
          <w:marLeft w:val="0"/>
          <w:marRight w:val="0"/>
          <w:marTop w:val="0"/>
          <w:marBottom w:val="0"/>
          <w:divBdr>
            <w:top w:val="none" w:sz="0" w:space="0" w:color="auto"/>
            <w:left w:val="none" w:sz="0" w:space="0" w:color="auto"/>
            <w:bottom w:val="none" w:sz="0" w:space="0" w:color="auto"/>
            <w:right w:val="none" w:sz="0" w:space="0" w:color="auto"/>
          </w:divBdr>
        </w:div>
        <w:div w:id="1406488136">
          <w:marLeft w:val="0"/>
          <w:marRight w:val="0"/>
          <w:marTop w:val="0"/>
          <w:marBottom w:val="0"/>
          <w:divBdr>
            <w:top w:val="none" w:sz="0" w:space="0" w:color="auto"/>
            <w:left w:val="none" w:sz="0" w:space="0" w:color="auto"/>
            <w:bottom w:val="none" w:sz="0" w:space="0" w:color="auto"/>
            <w:right w:val="none" w:sz="0" w:space="0" w:color="auto"/>
          </w:divBdr>
        </w:div>
        <w:div w:id="1430663758">
          <w:marLeft w:val="0"/>
          <w:marRight w:val="0"/>
          <w:marTop w:val="0"/>
          <w:marBottom w:val="0"/>
          <w:divBdr>
            <w:top w:val="none" w:sz="0" w:space="0" w:color="auto"/>
            <w:left w:val="none" w:sz="0" w:space="0" w:color="auto"/>
            <w:bottom w:val="none" w:sz="0" w:space="0" w:color="auto"/>
            <w:right w:val="none" w:sz="0" w:space="0" w:color="auto"/>
          </w:divBdr>
        </w:div>
        <w:div w:id="1483693577">
          <w:marLeft w:val="0"/>
          <w:marRight w:val="0"/>
          <w:marTop w:val="0"/>
          <w:marBottom w:val="0"/>
          <w:divBdr>
            <w:top w:val="none" w:sz="0" w:space="0" w:color="auto"/>
            <w:left w:val="none" w:sz="0" w:space="0" w:color="auto"/>
            <w:bottom w:val="none" w:sz="0" w:space="0" w:color="auto"/>
            <w:right w:val="none" w:sz="0" w:space="0" w:color="auto"/>
          </w:divBdr>
        </w:div>
        <w:div w:id="1515997373">
          <w:marLeft w:val="0"/>
          <w:marRight w:val="0"/>
          <w:marTop w:val="0"/>
          <w:marBottom w:val="0"/>
          <w:divBdr>
            <w:top w:val="none" w:sz="0" w:space="0" w:color="auto"/>
            <w:left w:val="none" w:sz="0" w:space="0" w:color="auto"/>
            <w:bottom w:val="none" w:sz="0" w:space="0" w:color="auto"/>
            <w:right w:val="none" w:sz="0" w:space="0" w:color="auto"/>
          </w:divBdr>
        </w:div>
        <w:div w:id="1519584920">
          <w:marLeft w:val="0"/>
          <w:marRight w:val="0"/>
          <w:marTop w:val="0"/>
          <w:marBottom w:val="0"/>
          <w:divBdr>
            <w:top w:val="none" w:sz="0" w:space="0" w:color="auto"/>
            <w:left w:val="none" w:sz="0" w:space="0" w:color="auto"/>
            <w:bottom w:val="none" w:sz="0" w:space="0" w:color="auto"/>
            <w:right w:val="none" w:sz="0" w:space="0" w:color="auto"/>
          </w:divBdr>
        </w:div>
        <w:div w:id="1551570584">
          <w:marLeft w:val="0"/>
          <w:marRight w:val="0"/>
          <w:marTop w:val="0"/>
          <w:marBottom w:val="0"/>
          <w:divBdr>
            <w:top w:val="none" w:sz="0" w:space="0" w:color="auto"/>
            <w:left w:val="none" w:sz="0" w:space="0" w:color="auto"/>
            <w:bottom w:val="none" w:sz="0" w:space="0" w:color="auto"/>
            <w:right w:val="none" w:sz="0" w:space="0" w:color="auto"/>
          </w:divBdr>
        </w:div>
        <w:div w:id="1597710276">
          <w:marLeft w:val="0"/>
          <w:marRight w:val="0"/>
          <w:marTop w:val="0"/>
          <w:marBottom w:val="0"/>
          <w:divBdr>
            <w:top w:val="none" w:sz="0" w:space="0" w:color="auto"/>
            <w:left w:val="none" w:sz="0" w:space="0" w:color="auto"/>
            <w:bottom w:val="none" w:sz="0" w:space="0" w:color="auto"/>
            <w:right w:val="none" w:sz="0" w:space="0" w:color="auto"/>
          </w:divBdr>
        </w:div>
        <w:div w:id="1625579693">
          <w:marLeft w:val="0"/>
          <w:marRight w:val="0"/>
          <w:marTop w:val="0"/>
          <w:marBottom w:val="0"/>
          <w:divBdr>
            <w:top w:val="none" w:sz="0" w:space="0" w:color="auto"/>
            <w:left w:val="none" w:sz="0" w:space="0" w:color="auto"/>
            <w:bottom w:val="none" w:sz="0" w:space="0" w:color="auto"/>
            <w:right w:val="none" w:sz="0" w:space="0" w:color="auto"/>
          </w:divBdr>
        </w:div>
        <w:div w:id="1644768225">
          <w:marLeft w:val="0"/>
          <w:marRight w:val="0"/>
          <w:marTop w:val="0"/>
          <w:marBottom w:val="0"/>
          <w:divBdr>
            <w:top w:val="none" w:sz="0" w:space="0" w:color="auto"/>
            <w:left w:val="none" w:sz="0" w:space="0" w:color="auto"/>
            <w:bottom w:val="none" w:sz="0" w:space="0" w:color="auto"/>
            <w:right w:val="none" w:sz="0" w:space="0" w:color="auto"/>
          </w:divBdr>
        </w:div>
        <w:div w:id="1678269086">
          <w:marLeft w:val="0"/>
          <w:marRight w:val="0"/>
          <w:marTop w:val="0"/>
          <w:marBottom w:val="0"/>
          <w:divBdr>
            <w:top w:val="none" w:sz="0" w:space="0" w:color="auto"/>
            <w:left w:val="none" w:sz="0" w:space="0" w:color="auto"/>
            <w:bottom w:val="none" w:sz="0" w:space="0" w:color="auto"/>
            <w:right w:val="none" w:sz="0" w:space="0" w:color="auto"/>
          </w:divBdr>
        </w:div>
        <w:div w:id="1824197725">
          <w:marLeft w:val="0"/>
          <w:marRight w:val="0"/>
          <w:marTop w:val="0"/>
          <w:marBottom w:val="0"/>
          <w:divBdr>
            <w:top w:val="none" w:sz="0" w:space="0" w:color="auto"/>
            <w:left w:val="none" w:sz="0" w:space="0" w:color="auto"/>
            <w:bottom w:val="none" w:sz="0" w:space="0" w:color="auto"/>
            <w:right w:val="none" w:sz="0" w:space="0" w:color="auto"/>
          </w:divBdr>
        </w:div>
        <w:div w:id="1963345115">
          <w:marLeft w:val="0"/>
          <w:marRight w:val="0"/>
          <w:marTop w:val="0"/>
          <w:marBottom w:val="0"/>
          <w:divBdr>
            <w:top w:val="none" w:sz="0" w:space="0" w:color="auto"/>
            <w:left w:val="none" w:sz="0" w:space="0" w:color="auto"/>
            <w:bottom w:val="none" w:sz="0" w:space="0" w:color="auto"/>
            <w:right w:val="none" w:sz="0" w:space="0" w:color="auto"/>
          </w:divBdr>
        </w:div>
        <w:div w:id="1963799342">
          <w:marLeft w:val="0"/>
          <w:marRight w:val="0"/>
          <w:marTop w:val="0"/>
          <w:marBottom w:val="0"/>
          <w:divBdr>
            <w:top w:val="none" w:sz="0" w:space="0" w:color="auto"/>
            <w:left w:val="none" w:sz="0" w:space="0" w:color="auto"/>
            <w:bottom w:val="none" w:sz="0" w:space="0" w:color="auto"/>
            <w:right w:val="none" w:sz="0" w:space="0" w:color="auto"/>
          </w:divBdr>
        </w:div>
        <w:div w:id="2141682242">
          <w:marLeft w:val="0"/>
          <w:marRight w:val="0"/>
          <w:marTop w:val="0"/>
          <w:marBottom w:val="0"/>
          <w:divBdr>
            <w:top w:val="none" w:sz="0" w:space="0" w:color="auto"/>
            <w:left w:val="none" w:sz="0" w:space="0" w:color="auto"/>
            <w:bottom w:val="none" w:sz="0" w:space="0" w:color="auto"/>
            <w:right w:val="none" w:sz="0" w:space="0" w:color="auto"/>
          </w:divBdr>
        </w:div>
      </w:divsChild>
    </w:div>
    <w:div w:id="1213227993">
      <w:bodyDiv w:val="1"/>
      <w:marLeft w:val="0"/>
      <w:marRight w:val="0"/>
      <w:marTop w:val="0"/>
      <w:marBottom w:val="0"/>
      <w:divBdr>
        <w:top w:val="none" w:sz="0" w:space="0" w:color="auto"/>
        <w:left w:val="none" w:sz="0" w:space="0" w:color="auto"/>
        <w:bottom w:val="none" w:sz="0" w:space="0" w:color="auto"/>
        <w:right w:val="none" w:sz="0" w:space="0" w:color="auto"/>
      </w:divBdr>
      <w:divsChild>
        <w:div w:id="217590091">
          <w:marLeft w:val="0"/>
          <w:marRight w:val="0"/>
          <w:marTop w:val="0"/>
          <w:marBottom w:val="0"/>
          <w:divBdr>
            <w:top w:val="none" w:sz="0" w:space="0" w:color="auto"/>
            <w:left w:val="none" w:sz="0" w:space="0" w:color="auto"/>
            <w:bottom w:val="none" w:sz="0" w:space="0" w:color="auto"/>
            <w:right w:val="none" w:sz="0" w:space="0" w:color="auto"/>
          </w:divBdr>
        </w:div>
        <w:div w:id="684284396">
          <w:marLeft w:val="0"/>
          <w:marRight w:val="0"/>
          <w:marTop w:val="0"/>
          <w:marBottom w:val="0"/>
          <w:divBdr>
            <w:top w:val="none" w:sz="0" w:space="0" w:color="auto"/>
            <w:left w:val="none" w:sz="0" w:space="0" w:color="auto"/>
            <w:bottom w:val="none" w:sz="0" w:space="0" w:color="auto"/>
            <w:right w:val="none" w:sz="0" w:space="0" w:color="auto"/>
          </w:divBdr>
        </w:div>
        <w:div w:id="847061159">
          <w:marLeft w:val="0"/>
          <w:marRight w:val="0"/>
          <w:marTop w:val="0"/>
          <w:marBottom w:val="0"/>
          <w:divBdr>
            <w:top w:val="none" w:sz="0" w:space="0" w:color="auto"/>
            <w:left w:val="none" w:sz="0" w:space="0" w:color="auto"/>
            <w:bottom w:val="none" w:sz="0" w:space="0" w:color="auto"/>
            <w:right w:val="none" w:sz="0" w:space="0" w:color="auto"/>
          </w:divBdr>
        </w:div>
        <w:div w:id="994143825">
          <w:marLeft w:val="0"/>
          <w:marRight w:val="0"/>
          <w:marTop w:val="0"/>
          <w:marBottom w:val="0"/>
          <w:divBdr>
            <w:top w:val="none" w:sz="0" w:space="0" w:color="auto"/>
            <w:left w:val="none" w:sz="0" w:space="0" w:color="auto"/>
            <w:bottom w:val="none" w:sz="0" w:space="0" w:color="auto"/>
            <w:right w:val="none" w:sz="0" w:space="0" w:color="auto"/>
          </w:divBdr>
        </w:div>
        <w:div w:id="1110398395">
          <w:marLeft w:val="0"/>
          <w:marRight w:val="0"/>
          <w:marTop w:val="0"/>
          <w:marBottom w:val="0"/>
          <w:divBdr>
            <w:top w:val="none" w:sz="0" w:space="0" w:color="auto"/>
            <w:left w:val="none" w:sz="0" w:space="0" w:color="auto"/>
            <w:bottom w:val="none" w:sz="0" w:space="0" w:color="auto"/>
            <w:right w:val="none" w:sz="0" w:space="0" w:color="auto"/>
          </w:divBdr>
        </w:div>
        <w:div w:id="1150904515">
          <w:marLeft w:val="0"/>
          <w:marRight w:val="0"/>
          <w:marTop w:val="0"/>
          <w:marBottom w:val="0"/>
          <w:divBdr>
            <w:top w:val="none" w:sz="0" w:space="0" w:color="auto"/>
            <w:left w:val="none" w:sz="0" w:space="0" w:color="auto"/>
            <w:bottom w:val="none" w:sz="0" w:space="0" w:color="auto"/>
            <w:right w:val="none" w:sz="0" w:space="0" w:color="auto"/>
          </w:divBdr>
        </w:div>
        <w:div w:id="1193760842">
          <w:marLeft w:val="0"/>
          <w:marRight w:val="0"/>
          <w:marTop w:val="0"/>
          <w:marBottom w:val="0"/>
          <w:divBdr>
            <w:top w:val="none" w:sz="0" w:space="0" w:color="auto"/>
            <w:left w:val="none" w:sz="0" w:space="0" w:color="auto"/>
            <w:bottom w:val="none" w:sz="0" w:space="0" w:color="auto"/>
            <w:right w:val="none" w:sz="0" w:space="0" w:color="auto"/>
          </w:divBdr>
        </w:div>
        <w:div w:id="1219392237">
          <w:marLeft w:val="0"/>
          <w:marRight w:val="0"/>
          <w:marTop w:val="0"/>
          <w:marBottom w:val="0"/>
          <w:divBdr>
            <w:top w:val="none" w:sz="0" w:space="0" w:color="auto"/>
            <w:left w:val="none" w:sz="0" w:space="0" w:color="auto"/>
            <w:bottom w:val="none" w:sz="0" w:space="0" w:color="auto"/>
            <w:right w:val="none" w:sz="0" w:space="0" w:color="auto"/>
          </w:divBdr>
        </w:div>
        <w:div w:id="1507213729">
          <w:marLeft w:val="0"/>
          <w:marRight w:val="0"/>
          <w:marTop w:val="0"/>
          <w:marBottom w:val="0"/>
          <w:divBdr>
            <w:top w:val="none" w:sz="0" w:space="0" w:color="auto"/>
            <w:left w:val="none" w:sz="0" w:space="0" w:color="auto"/>
            <w:bottom w:val="none" w:sz="0" w:space="0" w:color="auto"/>
            <w:right w:val="none" w:sz="0" w:space="0" w:color="auto"/>
          </w:divBdr>
        </w:div>
        <w:div w:id="1635528659">
          <w:marLeft w:val="0"/>
          <w:marRight w:val="0"/>
          <w:marTop w:val="0"/>
          <w:marBottom w:val="0"/>
          <w:divBdr>
            <w:top w:val="none" w:sz="0" w:space="0" w:color="auto"/>
            <w:left w:val="none" w:sz="0" w:space="0" w:color="auto"/>
            <w:bottom w:val="none" w:sz="0" w:space="0" w:color="auto"/>
            <w:right w:val="none" w:sz="0" w:space="0" w:color="auto"/>
          </w:divBdr>
        </w:div>
        <w:div w:id="1648894724">
          <w:marLeft w:val="0"/>
          <w:marRight w:val="0"/>
          <w:marTop w:val="0"/>
          <w:marBottom w:val="0"/>
          <w:divBdr>
            <w:top w:val="none" w:sz="0" w:space="0" w:color="auto"/>
            <w:left w:val="none" w:sz="0" w:space="0" w:color="auto"/>
            <w:bottom w:val="none" w:sz="0" w:space="0" w:color="auto"/>
            <w:right w:val="none" w:sz="0" w:space="0" w:color="auto"/>
          </w:divBdr>
          <w:divsChild>
            <w:div w:id="17973976">
              <w:marLeft w:val="-75"/>
              <w:marRight w:val="0"/>
              <w:marTop w:val="30"/>
              <w:marBottom w:val="30"/>
              <w:divBdr>
                <w:top w:val="none" w:sz="0" w:space="0" w:color="auto"/>
                <w:left w:val="none" w:sz="0" w:space="0" w:color="auto"/>
                <w:bottom w:val="none" w:sz="0" w:space="0" w:color="auto"/>
                <w:right w:val="none" w:sz="0" w:space="0" w:color="auto"/>
              </w:divBdr>
              <w:divsChild>
                <w:div w:id="30039529">
                  <w:marLeft w:val="0"/>
                  <w:marRight w:val="0"/>
                  <w:marTop w:val="0"/>
                  <w:marBottom w:val="0"/>
                  <w:divBdr>
                    <w:top w:val="none" w:sz="0" w:space="0" w:color="auto"/>
                    <w:left w:val="none" w:sz="0" w:space="0" w:color="auto"/>
                    <w:bottom w:val="none" w:sz="0" w:space="0" w:color="auto"/>
                    <w:right w:val="none" w:sz="0" w:space="0" w:color="auto"/>
                  </w:divBdr>
                  <w:divsChild>
                    <w:div w:id="1653676611">
                      <w:marLeft w:val="0"/>
                      <w:marRight w:val="0"/>
                      <w:marTop w:val="0"/>
                      <w:marBottom w:val="0"/>
                      <w:divBdr>
                        <w:top w:val="none" w:sz="0" w:space="0" w:color="auto"/>
                        <w:left w:val="none" w:sz="0" w:space="0" w:color="auto"/>
                        <w:bottom w:val="none" w:sz="0" w:space="0" w:color="auto"/>
                        <w:right w:val="none" w:sz="0" w:space="0" w:color="auto"/>
                      </w:divBdr>
                    </w:div>
                  </w:divsChild>
                </w:div>
                <w:div w:id="122358683">
                  <w:marLeft w:val="0"/>
                  <w:marRight w:val="0"/>
                  <w:marTop w:val="0"/>
                  <w:marBottom w:val="0"/>
                  <w:divBdr>
                    <w:top w:val="none" w:sz="0" w:space="0" w:color="auto"/>
                    <w:left w:val="none" w:sz="0" w:space="0" w:color="auto"/>
                    <w:bottom w:val="none" w:sz="0" w:space="0" w:color="auto"/>
                    <w:right w:val="none" w:sz="0" w:space="0" w:color="auto"/>
                  </w:divBdr>
                  <w:divsChild>
                    <w:div w:id="407044430">
                      <w:marLeft w:val="0"/>
                      <w:marRight w:val="0"/>
                      <w:marTop w:val="0"/>
                      <w:marBottom w:val="0"/>
                      <w:divBdr>
                        <w:top w:val="none" w:sz="0" w:space="0" w:color="auto"/>
                        <w:left w:val="none" w:sz="0" w:space="0" w:color="auto"/>
                        <w:bottom w:val="none" w:sz="0" w:space="0" w:color="auto"/>
                        <w:right w:val="none" w:sz="0" w:space="0" w:color="auto"/>
                      </w:divBdr>
                    </w:div>
                  </w:divsChild>
                </w:div>
                <w:div w:id="144906168">
                  <w:marLeft w:val="0"/>
                  <w:marRight w:val="0"/>
                  <w:marTop w:val="0"/>
                  <w:marBottom w:val="0"/>
                  <w:divBdr>
                    <w:top w:val="none" w:sz="0" w:space="0" w:color="auto"/>
                    <w:left w:val="none" w:sz="0" w:space="0" w:color="auto"/>
                    <w:bottom w:val="none" w:sz="0" w:space="0" w:color="auto"/>
                    <w:right w:val="none" w:sz="0" w:space="0" w:color="auto"/>
                  </w:divBdr>
                  <w:divsChild>
                    <w:div w:id="1662342947">
                      <w:marLeft w:val="0"/>
                      <w:marRight w:val="0"/>
                      <w:marTop w:val="0"/>
                      <w:marBottom w:val="0"/>
                      <w:divBdr>
                        <w:top w:val="none" w:sz="0" w:space="0" w:color="auto"/>
                        <w:left w:val="none" w:sz="0" w:space="0" w:color="auto"/>
                        <w:bottom w:val="none" w:sz="0" w:space="0" w:color="auto"/>
                        <w:right w:val="none" w:sz="0" w:space="0" w:color="auto"/>
                      </w:divBdr>
                    </w:div>
                  </w:divsChild>
                </w:div>
                <w:div w:id="238566953">
                  <w:marLeft w:val="0"/>
                  <w:marRight w:val="0"/>
                  <w:marTop w:val="0"/>
                  <w:marBottom w:val="0"/>
                  <w:divBdr>
                    <w:top w:val="none" w:sz="0" w:space="0" w:color="auto"/>
                    <w:left w:val="none" w:sz="0" w:space="0" w:color="auto"/>
                    <w:bottom w:val="none" w:sz="0" w:space="0" w:color="auto"/>
                    <w:right w:val="none" w:sz="0" w:space="0" w:color="auto"/>
                  </w:divBdr>
                  <w:divsChild>
                    <w:div w:id="1320426695">
                      <w:marLeft w:val="0"/>
                      <w:marRight w:val="0"/>
                      <w:marTop w:val="0"/>
                      <w:marBottom w:val="0"/>
                      <w:divBdr>
                        <w:top w:val="none" w:sz="0" w:space="0" w:color="auto"/>
                        <w:left w:val="none" w:sz="0" w:space="0" w:color="auto"/>
                        <w:bottom w:val="none" w:sz="0" w:space="0" w:color="auto"/>
                        <w:right w:val="none" w:sz="0" w:space="0" w:color="auto"/>
                      </w:divBdr>
                    </w:div>
                  </w:divsChild>
                </w:div>
                <w:div w:id="256836082">
                  <w:marLeft w:val="0"/>
                  <w:marRight w:val="0"/>
                  <w:marTop w:val="0"/>
                  <w:marBottom w:val="0"/>
                  <w:divBdr>
                    <w:top w:val="none" w:sz="0" w:space="0" w:color="auto"/>
                    <w:left w:val="none" w:sz="0" w:space="0" w:color="auto"/>
                    <w:bottom w:val="none" w:sz="0" w:space="0" w:color="auto"/>
                    <w:right w:val="none" w:sz="0" w:space="0" w:color="auto"/>
                  </w:divBdr>
                  <w:divsChild>
                    <w:div w:id="208809854">
                      <w:marLeft w:val="0"/>
                      <w:marRight w:val="0"/>
                      <w:marTop w:val="0"/>
                      <w:marBottom w:val="0"/>
                      <w:divBdr>
                        <w:top w:val="none" w:sz="0" w:space="0" w:color="auto"/>
                        <w:left w:val="none" w:sz="0" w:space="0" w:color="auto"/>
                        <w:bottom w:val="none" w:sz="0" w:space="0" w:color="auto"/>
                        <w:right w:val="none" w:sz="0" w:space="0" w:color="auto"/>
                      </w:divBdr>
                    </w:div>
                  </w:divsChild>
                </w:div>
                <w:div w:id="341247220">
                  <w:marLeft w:val="0"/>
                  <w:marRight w:val="0"/>
                  <w:marTop w:val="0"/>
                  <w:marBottom w:val="0"/>
                  <w:divBdr>
                    <w:top w:val="none" w:sz="0" w:space="0" w:color="auto"/>
                    <w:left w:val="none" w:sz="0" w:space="0" w:color="auto"/>
                    <w:bottom w:val="none" w:sz="0" w:space="0" w:color="auto"/>
                    <w:right w:val="none" w:sz="0" w:space="0" w:color="auto"/>
                  </w:divBdr>
                  <w:divsChild>
                    <w:div w:id="1290893538">
                      <w:marLeft w:val="0"/>
                      <w:marRight w:val="0"/>
                      <w:marTop w:val="0"/>
                      <w:marBottom w:val="0"/>
                      <w:divBdr>
                        <w:top w:val="none" w:sz="0" w:space="0" w:color="auto"/>
                        <w:left w:val="none" w:sz="0" w:space="0" w:color="auto"/>
                        <w:bottom w:val="none" w:sz="0" w:space="0" w:color="auto"/>
                        <w:right w:val="none" w:sz="0" w:space="0" w:color="auto"/>
                      </w:divBdr>
                    </w:div>
                  </w:divsChild>
                </w:div>
                <w:div w:id="372730541">
                  <w:marLeft w:val="0"/>
                  <w:marRight w:val="0"/>
                  <w:marTop w:val="0"/>
                  <w:marBottom w:val="0"/>
                  <w:divBdr>
                    <w:top w:val="none" w:sz="0" w:space="0" w:color="auto"/>
                    <w:left w:val="none" w:sz="0" w:space="0" w:color="auto"/>
                    <w:bottom w:val="none" w:sz="0" w:space="0" w:color="auto"/>
                    <w:right w:val="none" w:sz="0" w:space="0" w:color="auto"/>
                  </w:divBdr>
                  <w:divsChild>
                    <w:div w:id="116291670">
                      <w:marLeft w:val="0"/>
                      <w:marRight w:val="0"/>
                      <w:marTop w:val="0"/>
                      <w:marBottom w:val="0"/>
                      <w:divBdr>
                        <w:top w:val="none" w:sz="0" w:space="0" w:color="auto"/>
                        <w:left w:val="none" w:sz="0" w:space="0" w:color="auto"/>
                        <w:bottom w:val="none" w:sz="0" w:space="0" w:color="auto"/>
                        <w:right w:val="none" w:sz="0" w:space="0" w:color="auto"/>
                      </w:divBdr>
                    </w:div>
                  </w:divsChild>
                </w:div>
                <w:div w:id="382025282">
                  <w:marLeft w:val="0"/>
                  <w:marRight w:val="0"/>
                  <w:marTop w:val="0"/>
                  <w:marBottom w:val="0"/>
                  <w:divBdr>
                    <w:top w:val="none" w:sz="0" w:space="0" w:color="auto"/>
                    <w:left w:val="none" w:sz="0" w:space="0" w:color="auto"/>
                    <w:bottom w:val="none" w:sz="0" w:space="0" w:color="auto"/>
                    <w:right w:val="none" w:sz="0" w:space="0" w:color="auto"/>
                  </w:divBdr>
                  <w:divsChild>
                    <w:div w:id="197278995">
                      <w:marLeft w:val="0"/>
                      <w:marRight w:val="0"/>
                      <w:marTop w:val="0"/>
                      <w:marBottom w:val="0"/>
                      <w:divBdr>
                        <w:top w:val="none" w:sz="0" w:space="0" w:color="auto"/>
                        <w:left w:val="none" w:sz="0" w:space="0" w:color="auto"/>
                        <w:bottom w:val="none" w:sz="0" w:space="0" w:color="auto"/>
                        <w:right w:val="none" w:sz="0" w:space="0" w:color="auto"/>
                      </w:divBdr>
                    </w:div>
                  </w:divsChild>
                </w:div>
                <w:div w:id="396131897">
                  <w:marLeft w:val="0"/>
                  <w:marRight w:val="0"/>
                  <w:marTop w:val="0"/>
                  <w:marBottom w:val="0"/>
                  <w:divBdr>
                    <w:top w:val="none" w:sz="0" w:space="0" w:color="auto"/>
                    <w:left w:val="none" w:sz="0" w:space="0" w:color="auto"/>
                    <w:bottom w:val="none" w:sz="0" w:space="0" w:color="auto"/>
                    <w:right w:val="none" w:sz="0" w:space="0" w:color="auto"/>
                  </w:divBdr>
                  <w:divsChild>
                    <w:div w:id="467824882">
                      <w:marLeft w:val="0"/>
                      <w:marRight w:val="0"/>
                      <w:marTop w:val="0"/>
                      <w:marBottom w:val="0"/>
                      <w:divBdr>
                        <w:top w:val="none" w:sz="0" w:space="0" w:color="auto"/>
                        <w:left w:val="none" w:sz="0" w:space="0" w:color="auto"/>
                        <w:bottom w:val="none" w:sz="0" w:space="0" w:color="auto"/>
                        <w:right w:val="none" w:sz="0" w:space="0" w:color="auto"/>
                      </w:divBdr>
                    </w:div>
                  </w:divsChild>
                </w:div>
                <w:div w:id="441926271">
                  <w:marLeft w:val="0"/>
                  <w:marRight w:val="0"/>
                  <w:marTop w:val="0"/>
                  <w:marBottom w:val="0"/>
                  <w:divBdr>
                    <w:top w:val="none" w:sz="0" w:space="0" w:color="auto"/>
                    <w:left w:val="none" w:sz="0" w:space="0" w:color="auto"/>
                    <w:bottom w:val="none" w:sz="0" w:space="0" w:color="auto"/>
                    <w:right w:val="none" w:sz="0" w:space="0" w:color="auto"/>
                  </w:divBdr>
                  <w:divsChild>
                    <w:div w:id="2002805514">
                      <w:marLeft w:val="0"/>
                      <w:marRight w:val="0"/>
                      <w:marTop w:val="0"/>
                      <w:marBottom w:val="0"/>
                      <w:divBdr>
                        <w:top w:val="none" w:sz="0" w:space="0" w:color="auto"/>
                        <w:left w:val="none" w:sz="0" w:space="0" w:color="auto"/>
                        <w:bottom w:val="none" w:sz="0" w:space="0" w:color="auto"/>
                        <w:right w:val="none" w:sz="0" w:space="0" w:color="auto"/>
                      </w:divBdr>
                    </w:div>
                  </w:divsChild>
                </w:div>
                <w:div w:id="527571782">
                  <w:marLeft w:val="0"/>
                  <w:marRight w:val="0"/>
                  <w:marTop w:val="0"/>
                  <w:marBottom w:val="0"/>
                  <w:divBdr>
                    <w:top w:val="none" w:sz="0" w:space="0" w:color="auto"/>
                    <w:left w:val="none" w:sz="0" w:space="0" w:color="auto"/>
                    <w:bottom w:val="none" w:sz="0" w:space="0" w:color="auto"/>
                    <w:right w:val="none" w:sz="0" w:space="0" w:color="auto"/>
                  </w:divBdr>
                  <w:divsChild>
                    <w:div w:id="956907425">
                      <w:marLeft w:val="0"/>
                      <w:marRight w:val="0"/>
                      <w:marTop w:val="0"/>
                      <w:marBottom w:val="0"/>
                      <w:divBdr>
                        <w:top w:val="none" w:sz="0" w:space="0" w:color="auto"/>
                        <w:left w:val="none" w:sz="0" w:space="0" w:color="auto"/>
                        <w:bottom w:val="none" w:sz="0" w:space="0" w:color="auto"/>
                        <w:right w:val="none" w:sz="0" w:space="0" w:color="auto"/>
                      </w:divBdr>
                    </w:div>
                  </w:divsChild>
                </w:div>
                <w:div w:id="586768466">
                  <w:marLeft w:val="0"/>
                  <w:marRight w:val="0"/>
                  <w:marTop w:val="0"/>
                  <w:marBottom w:val="0"/>
                  <w:divBdr>
                    <w:top w:val="none" w:sz="0" w:space="0" w:color="auto"/>
                    <w:left w:val="none" w:sz="0" w:space="0" w:color="auto"/>
                    <w:bottom w:val="none" w:sz="0" w:space="0" w:color="auto"/>
                    <w:right w:val="none" w:sz="0" w:space="0" w:color="auto"/>
                  </w:divBdr>
                  <w:divsChild>
                    <w:div w:id="383066602">
                      <w:marLeft w:val="0"/>
                      <w:marRight w:val="0"/>
                      <w:marTop w:val="0"/>
                      <w:marBottom w:val="0"/>
                      <w:divBdr>
                        <w:top w:val="none" w:sz="0" w:space="0" w:color="auto"/>
                        <w:left w:val="none" w:sz="0" w:space="0" w:color="auto"/>
                        <w:bottom w:val="none" w:sz="0" w:space="0" w:color="auto"/>
                        <w:right w:val="none" w:sz="0" w:space="0" w:color="auto"/>
                      </w:divBdr>
                    </w:div>
                  </w:divsChild>
                </w:div>
                <w:div w:id="652760448">
                  <w:marLeft w:val="0"/>
                  <w:marRight w:val="0"/>
                  <w:marTop w:val="0"/>
                  <w:marBottom w:val="0"/>
                  <w:divBdr>
                    <w:top w:val="none" w:sz="0" w:space="0" w:color="auto"/>
                    <w:left w:val="none" w:sz="0" w:space="0" w:color="auto"/>
                    <w:bottom w:val="none" w:sz="0" w:space="0" w:color="auto"/>
                    <w:right w:val="none" w:sz="0" w:space="0" w:color="auto"/>
                  </w:divBdr>
                  <w:divsChild>
                    <w:div w:id="506023108">
                      <w:marLeft w:val="0"/>
                      <w:marRight w:val="0"/>
                      <w:marTop w:val="0"/>
                      <w:marBottom w:val="0"/>
                      <w:divBdr>
                        <w:top w:val="none" w:sz="0" w:space="0" w:color="auto"/>
                        <w:left w:val="none" w:sz="0" w:space="0" w:color="auto"/>
                        <w:bottom w:val="none" w:sz="0" w:space="0" w:color="auto"/>
                        <w:right w:val="none" w:sz="0" w:space="0" w:color="auto"/>
                      </w:divBdr>
                    </w:div>
                  </w:divsChild>
                </w:div>
                <w:div w:id="822282258">
                  <w:marLeft w:val="0"/>
                  <w:marRight w:val="0"/>
                  <w:marTop w:val="0"/>
                  <w:marBottom w:val="0"/>
                  <w:divBdr>
                    <w:top w:val="none" w:sz="0" w:space="0" w:color="auto"/>
                    <w:left w:val="none" w:sz="0" w:space="0" w:color="auto"/>
                    <w:bottom w:val="none" w:sz="0" w:space="0" w:color="auto"/>
                    <w:right w:val="none" w:sz="0" w:space="0" w:color="auto"/>
                  </w:divBdr>
                  <w:divsChild>
                    <w:div w:id="697202587">
                      <w:marLeft w:val="0"/>
                      <w:marRight w:val="0"/>
                      <w:marTop w:val="0"/>
                      <w:marBottom w:val="0"/>
                      <w:divBdr>
                        <w:top w:val="none" w:sz="0" w:space="0" w:color="auto"/>
                        <w:left w:val="none" w:sz="0" w:space="0" w:color="auto"/>
                        <w:bottom w:val="none" w:sz="0" w:space="0" w:color="auto"/>
                        <w:right w:val="none" w:sz="0" w:space="0" w:color="auto"/>
                      </w:divBdr>
                    </w:div>
                  </w:divsChild>
                </w:div>
                <w:div w:id="842471625">
                  <w:marLeft w:val="0"/>
                  <w:marRight w:val="0"/>
                  <w:marTop w:val="0"/>
                  <w:marBottom w:val="0"/>
                  <w:divBdr>
                    <w:top w:val="none" w:sz="0" w:space="0" w:color="auto"/>
                    <w:left w:val="none" w:sz="0" w:space="0" w:color="auto"/>
                    <w:bottom w:val="none" w:sz="0" w:space="0" w:color="auto"/>
                    <w:right w:val="none" w:sz="0" w:space="0" w:color="auto"/>
                  </w:divBdr>
                  <w:divsChild>
                    <w:div w:id="689335421">
                      <w:marLeft w:val="0"/>
                      <w:marRight w:val="0"/>
                      <w:marTop w:val="0"/>
                      <w:marBottom w:val="0"/>
                      <w:divBdr>
                        <w:top w:val="none" w:sz="0" w:space="0" w:color="auto"/>
                        <w:left w:val="none" w:sz="0" w:space="0" w:color="auto"/>
                        <w:bottom w:val="none" w:sz="0" w:space="0" w:color="auto"/>
                        <w:right w:val="none" w:sz="0" w:space="0" w:color="auto"/>
                      </w:divBdr>
                    </w:div>
                  </w:divsChild>
                </w:div>
                <w:div w:id="898630869">
                  <w:marLeft w:val="0"/>
                  <w:marRight w:val="0"/>
                  <w:marTop w:val="0"/>
                  <w:marBottom w:val="0"/>
                  <w:divBdr>
                    <w:top w:val="none" w:sz="0" w:space="0" w:color="auto"/>
                    <w:left w:val="none" w:sz="0" w:space="0" w:color="auto"/>
                    <w:bottom w:val="none" w:sz="0" w:space="0" w:color="auto"/>
                    <w:right w:val="none" w:sz="0" w:space="0" w:color="auto"/>
                  </w:divBdr>
                  <w:divsChild>
                    <w:div w:id="816453004">
                      <w:marLeft w:val="0"/>
                      <w:marRight w:val="0"/>
                      <w:marTop w:val="0"/>
                      <w:marBottom w:val="0"/>
                      <w:divBdr>
                        <w:top w:val="none" w:sz="0" w:space="0" w:color="auto"/>
                        <w:left w:val="none" w:sz="0" w:space="0" w:color="auto"/>
                        <w:bottom w:val="none" w:sz="0" w:space="0" w:color="auto"/>
                        <w:right w:val="none" w:sz="0" w:space="0" w:color="auto"/>
                      </w:divBdr>
                    </w:div>
                  </w:divsChild>
                </w:div>
                <w:div w:id="898638972">
                  <w:marLeft w:val="0"/>
                  <w:marRight w:val="0"/>
                  <w:marTop w:val="0"/>
                  <w:marBottom w:val="0"/>
                  <w:divBdr>
                    <w:top w:val="none" w:sz="0" w:space="0" w:color="auto"/>
                    <w:left w:val="none" w:sz="0" w:space="0" w:color="auto"/>
                    <w:bottom w:val="none" w:sz="0" w:space="0" w:color="auto"/>
                    <w:right w:val="none" w:sz="0" w:space="0" w:color="auto"/>
                  </w:divBdr>
                  <w:divsChild>
                    <w:div w:id="383409724">
                      <w:marLeft w:val="0"/>
                      <w:marRight w:val="0"/>
                      <w:marTop w:val="0"/>
                      <w:marBottom w:val="0"/>
                      <w:divBdr>
                        <w:top w:val="none" w:sz="0" w:space="0" w:color="auto"/>
                        <w:left w:val="none" w:sz="0" w:space="0" w:color="auto"/>
                        <w:bottom w:val="none" w:sz="0" w:space="0" w:color="auto"/>
                        <w:right w:val="none" w:sz="0" w:space="0" w:color="auto"/>
                      </w:divBdr>
                    </w:div>
                  </w:divsChild>
                </w:div>
                <w:div w:id="908539478">
                  <w:marLeft w:val="0"/>
                  <w:marRight w:val="0"/>
                  <w:marTop w:val="0"/>
                  <w:marBottom w:val="0"/>
                  <w:divBdr>
                    <w:top w:val="none" w:sz="0" w:space="0" w:color="auto"/>
                    <w:left w:val="none" w:sz="0" w:space="0" w:color="auto"/>
                    <w:bottom w:val="none" w:sz="0" w:space="0" w:color="auto"/>
                    <w:right w:val="none" w:sz="0" w:space="0" w:color="auto"/>
                  </w:divBdr>
                  <w:divsChild>
                    <w:div w:id="127869225">
                      <w:marLeft w:val="0"/>
                      <w:marRight w:val="0"/>
                      <w:marTop w:val="0"/>
                      <w:marBottom w:val="0"/>
                      <w:divBdr>
                        <w:top w:val="none" w:sz="0" w:space="0" w:color="auto"/>
                        <w:left w:val="none" w:sz="0" w:space="0" w:color="auto"/>
                        <w:bottom w:val="none" w:sz="0" w:space="0" w:color="auto"/>
                        <w:right w:val="none" w:sz="0" w:space="0" w:color="auto"/>
                      </w:divBdr>
                    </w:div>
                    <w:div w:id="1754937391">
                      <w:marLeft w:val="0"/>
                      <w:marRight w:val="0"/>
                      <w:marTop w:val="0"/>
                      <w:marBottom w:val="0"/>
                      <w:divBdr>
                        <w:top w:val="none" w:sz="0" w:space="0" w:color="auto"/>
                        <w:left w:val="none" w:sz="0" w:space="0" w:color="auto"/>
                        <w:bottom w:val="none" w:sz="0" w:space="0" w:color="auto"/>
                        <w:right w:val="none" w:sz="0" w:space="0" w:color="auto"/>
                      </w:divBdr>
                    </w:div>
                  </w:divsChild>
                </w:div>
                <w:div w:id="1029724130">
                  <w:marLeft w:val="0"/>
                  <w:marRight w:val="0"/>
                  <w:marTop w:val="0"/>
                  <w:marBottom w:val="0"/>
                  <w:divBdr>
                    <w:top w:val="none" w:sz="0" w:space="0" w:color="auto"/>
                    <w:left w:val="none" w:sz="0" w:space="0" w:color="auto"/>
                    <w:bottom w:val="none" w:sz="0" w:space="0" w:color="auto"/>
                    <w:right w:val="none" w:sz="0" w:space="0" w:color="auto"/>
                  </w:divBdr>
                  <w:divsChild>
                    <w:div w:id="607541402">
                      <w:marLeft w:val="0"/>
                      <w:marRight w:val="0"/>
                      <w:marTop w:val="0"/>
                      <w:marBottom w:val="0"/>
                      <w:divBdr>
                        <w:top w:val="none" w:sz="0" w:space="0" w:color="auto"/>
                        <w:left w:val="none" w:sz="0" w:space="0" w:color="auto"/>
                        <w:bottom w:val="none" w:sz="0" w:space="0" w:color="auto"/>
                        <w:right w:val="none" w:sz="0" w:space="0" w:color="auto"/>
                      </w:divBdr>
                    </w:div>
                  </w:divsChild>
                </w:div>
                <w:div w:id="1173448211">
                  <w:marLeft w:val="0"/>
                  <w:marRight w:val="0"/>
                  <w:marTop w:val="0"/>
                  <w:marBottom w:val="0"/>
                  <w:divBdr>
                    <w:top w:val="none" w:sz="0" w:space="0" w:color="auto"/>
                    <w:left w:val="none" w:sz="0" w:space="0" w:color="auto"/>
                    <w:bottom w:val="none" w:sz="0" w:space="0" w:color="auto"/>
                    <w:right w:val="none" w:sz="0" w:space="0" w:color="auto"/>
                  </w:divBdr>
                  <w:divsChild>
                    <w:div w:id="2006277101">
                      <w:marLeft w:val="0"/>
                      <w:marRight w:val="0"/>
                      <w:marTop w:val="0"/>
                      <w:marBottom w:val="0"/>
                      <w:divBdr>
                        <w:top w:val="none" w:sz="0" w:space="0" w:color="auto"/>
                        <w:left w:val="none" w:sz="0" w:space="0" w:color="auto"/>
                        <w:bottom w:val="none" w:sz="0" w:space="0" w:color="auto"/>
                        <w:right w:val="none" w:sz="0" w:space="0" w:color="auto"/>
                      </w:divBdr>
                    </w:div>
                  </w:divsChild>
                </w:div>
                <w:div w:id="1290744101">
                  <w:marLeft w:val="0"/>
                  <w:marRight w:val="0"/>
                  <w:marTop w:val="0"/>
                  <w:marBottom w:val="0"/>
                  <w:divBdr>
                    <w:top w:val="none" w:sz="0" w:space="0" w:color="auto"/>
                    <w:left w:val="none" w:sz="0" w:space="0" w:color="auto"/>
                    <w:bottom w:val="none" w:sz="0" w:space="0" w:color="auto"/>
                    <w:right w:val="none" w:sz="0" w:space="0" w:color="auto"/>
                  </w:divBdr>
                  <w:divsChild>
                    <w:div w:id="2069836332">
                      <w:marLeft w:val="0"/>
                      <w:marRight w:val="0"/>
                      <w:marTop w:val="0"/>
                      <w:marBottom w:val="0"/>
                      <w:divBdr>
                        <w:top w:val="none" w:sz="0" w:space="0" w:color="auto"/>
                        <w:left w:val="none" w:sz="0" w:space="0" w:color="auto"/>
                        <w:bottom w:val="none" w:sz="0" w:space="0" w:color="auto"/>
                        <w:right w:val="none" w:sz="0" w:space="0" w:color="auto"/>
                      </w:divBdr>
                    </w:div>
                  </w:divsChild>
                </w:div>
                <w:div w:id="1311331230">
                  <w:marLeft w:val="0"/>
                  <w:marRight w:val="0"/>
                  <w:marTop w:val="0"/>
                  <w:marBottom w:val="0"/>
                  <w:divBdr>
                    <w:top w:val="none" w:sz="0" w:space="0" w:color="auto"/>
                    <w:left w:val="none" w:sz="0" w:space="0" w:color="auto"/>
                    <w:bottom w:val="none" w:sz="0" w:space="0" w:color="auto"/>
                    <w:right w:val="none" w:sz="0" w:space="0" w:color="auto"/>
                  </w:divBdr>
                  <w:divsChild>
                    <w:div w:id="794176710">
                      <w:marLeft w:val="0"/>
                      <w:marRight w:val="0"/>
                      <w:marTop w:val="0"/>
                      <w:marBottom w:val="0"/>
                      <w:divBdr>
                        <w:top w:val="none" w:sz="0" w:space="0" w:color="auto"/>
                        <w:left w:val="none" w:sz="0" w:space="0" w:color="auto"/>
                        <w:bottom w:val="none" w:sz="0" w:space="0" w:color="auto"/>
                        <w:right w:val="none" w:sz="0" w:space="0" w:color="auto"/>
                      </w:divBdr>
                    </w:div>
                  </w:divsChild>
                </w:div>
                <w:div w:id="1324359408">
                  <w:marLeft w:val="0"/>
                  <w:marRight w:val="0"/>
                  <w:marTop w:val="0"/>
                  <w:marBottom w:val="0"/>
                  <w:divBdr>
                    <w:top w:val="none" w:sz="0" w:space="0" w:color="auto"/>
                    <w:left w:val="none" w:sz="0" w:space="0" w:color="auto"/>
                    <w:bottom w:val="none" w:sz="0" w:space="0" w:color="auto"/>
                    <w:right w:val="none" w:sz="0" w:space="0" w:color="auto"/>
                  </w:divBdr>
                  <w:divsChild>
                    <w:div w:id="522134292">
                      <w:marLeft w:val="0"/>
                      <w:marRight w:val="0"/>
                      <w:marTop w:val="0"/>
                      <w:marBottom w:val="0"/>
                      <w:divBdr>
                        <w:top w:val="none" w:sz="0" w:space="0" w:color="auto"/>
                        <w:left w:val="none" w:sz="0" w:space="0" w:color="auto"/>
                        <w:bottom w:val="none" w:sz="0" w:space="0" w:color="auto"/>
                        <w:right w:val="none" w:sz="0" w:space="0" w:color="auto"/>
                      </w:divBdr>
                    </w:div>
                  </w:divsChild>
                </w:div>
                <w:div w:id="1528250176">
                  <w:marLeft w:val="0"/>
                  <w:marRight w:val="0"/>
                  <w:marTop w:val="0"/>
                  <w:marBottom w:val="0"/>
                  <w:divBdr>
                    <w:top w:val="none" w:sz="0" w:space="0" w:color="auto"/>
                    <w:left w:val="none" w:sz="0" w:space="0" w:color="auto"/>
                    <w:bottom w:val="none" w:sz="0" w:space="0" w:color="auto"/>
                    <w:right w:val="none" w:sz="0" w:space="0" w:color="auto"/>
                  </w:divBdr>
                  <w:divsChild>
                    <w:div w:id="2102138323">
                      <w:marLeft w:val="0"/>
                      <w:marRight w:val="0"/>
                      <w:marTop w:val="0"/>
                      <w:marBottom w:val="0"/>
                      <w:divBdr>
                        <w:top w:val="none" w:sz="0" w:space="0" w:color="auto"/>
                        <w:left w:val="none" w:sz="0" w:space="0" w:color="auto"/>
                        <w:bottom w:val="none" w:sz="0" w:space="0" w:color="auto"/>
                        <w:right w:val="none" w:sz="0" w:space="0" w:color="auto"/>
                      </w:divBdr>
                    </w:div>
                  </w:divsChild>
                </w:div>
                <w:div w:id="1637680634">
                  <w:marLeft w:val="0"/>
                  <w:marRight w:val="0"/>
                  <w:marTop w:val="0"/>
                  <w:marBottom w:val="0"/>
                  <w:divBdr>
                    <w:top w:val="none" w:sz="0" w:space="0" w:color="auto"/>
                    <w:left w:val="none" w:sz="0" w:space="0" w:color="auto"/>
                    <w:bottom w:val="none" w:sz="0" w:space="0" w:color="auto"/>
                    <w:right w:val="none" w:sz="0" w:space="0" w:color="auto"/>
                  </w:divBdr>
                  <w:divsChild>
                    <w:div w:id="1742286490">
                      <w:marLeft w:val="0"/>
                      <w:marRight w:val="0"/>
                      <w:marTop w:val="0"/>
                      <w:marBottom w:val="0"/>
                      <w:divBdr>
                        <w:top w:val="none" w:sz="0" w:space="0" w:color="auto"/>
                        <w:left w:val="none" w:sz="0" w:space="0" w:color="auto"/>
                        <w:bottom w:val="none" w:sz="0" w:space="0" w:color="auto"/>
                        <w:right w:val="none" w:sz="0" w:space="0" w:color="auto"/>
                      </w:divBdr>
                    </w:div>
                  </w:divsChild>
                </w:div>
                <w:div w:id="1709375916">
                  <w:marLeft w:val="0"/>
                  <w:marRight w:val="0"/>
                  <w:marTop w:val="0"/>
                  <w:marBottom w:val="0"/>
                  <w:divBdr>
                    <w:top w:val="none" w:sz="0" w:space="0" w:color="auto"/>
                    <w:left w:val="none" w:sz="0" w:space="0" w:color="auto"/>
                    <w:bottom w:val="none" w:sz="0" w:space="0" w:color="auto"/>
                    <w:right w:val="none" w:sz="0" w:space="0" w:color="auto"/>
                  </w:divBdr>
                  <w:divsChild>
                    <w:div w:id="802427728">
                      <w:marLeft w:val="0"/>
                      <w:marRight w:val="0"/>
                      <w:marTop w:val="0"/>
                      <w:marBottom w:val="0"/>
                      <w:divBdr>
                        <w:top w:val="none" w:sz="0" w:space="0" w:color="auto"/>
                        <w:left w:val="none" w:sz="0" w:space="0" w:color="auto"/>
                        <w:bottom w:val="none" w:sz="0" w:space="0" w:color="auto"/>
                        <w:right w:val="none" w:sz="0" w:space="0" w:color="auto"/>
                      </w:divBdr>
                    </w:div>
                  </w:divsChild>
                </w:div>
                <w:div w:id="1715736881">
                  <w:marLeft w:val="0"/>
                  <w:marRight w:val="0"/>
                  <w:marTop w:val="0"/>
                  <w:marBottom w:val="0"/>
                  <w:divBdr>
                    <w:top w:val="none" w:sz="0" w:space="0" w:color="auto"/>
                    <w:left w:val="none" w:sz="0" w:space="0" w:color="auto"/>
                    <w:bottom w:val="none" w:sz="0" w:space="0" w:color="auto"/>
                    <w:right w:val="none" w:sz="0" w:space="0" w:color="auto"/>
                  </w:divBdr>
                  <w:divsChild>
                    <w:div w:id="287008594">
                      <w:marLeft w:val="0"/>
                      <w:marRight w:val="0"/>
                      <w:marTop w:val="0"/>
                      <w:marBottom w:val="0"/>
                      <w:divBdr>
                        <w:top w:val="none" w:sz="0" w:space="0" w:color="auto"/>
                        <w:left w:val="none" w:sz="0" w:space="0" w:color="auto"/>
                        <w:bottom w:val="none" w:sz="0" w:space="0" w:color="auto"/>
                        <w:right w:val="none" w:sz="0" w:space="0" w:color="auto"/>
                      </w:divBdr>
                    </w:div>
                  </w:divsChild>
                </w:div>
                <w:div w:id="1816146814">
                  <w:marLeft w:val="0"/>
                  <w:marRight w:val="0"/>
                  <w:marTop w:val="0"/>
                  <w:marBottom w:val="0"/>
                  <w:divBdr>
                    <w:top w:val="none" w:sz="0" w:space="0" w:color="auto"/>
                    <w:left w:val="none" w:sz="0" w:space="0" w:color="auto"/>
                    <w:bottom w:val="none" w:sz="0" w:space="0" w:color="auto"/>
                    <w:right w:val="none" w:sz="0" w:space="0" w:color="auto"/>
                  </w:divBdr>
                  <w:divsChild>
                    <w:div w:id="1626618196">
                      <w:marLeft w:val="0"/>
                      <w:marRight w:val="0"/>
                      <w:marTop w:val="0"/>
                      <w:marBottom w:val="0"/>
                      <w:divBdr>
                        <w:top w:val="none" w:sz="0" w:space="0" w:color="auto"/>
                        <w:left w:val="none" w:sz="0" w:space="0" w:color="auto"/>
                        <w:bottom w:val="none" w:sz="0" w:space="0" w:color="auto"/>
                        <w:right w:val="none" w:sz="0" w:space="0" w:color="auto"/>
                      </w:divBdr>
                    </w:div>
                  </w:divsChild>
                </w:div>
                <w:div w:id="1842233902">
                  <w:marLeft w:val="0"/>
                  <w:marRight w:val="0"/>
                  <w:marTop w:val="0"/>
                  <w:marBottom w:val="0"/>
                  <w:divBdr>
                    <w:top w:val="none" w:sz="0" w:space="0" w:color="auto"/>
                    <w:left w:val="none" w:sz="0" w:space="0" w:color="auto"/>
                    <w:bottom w:val="none" w:sz="0" w:space="0" w:color="auto"/>
                    <w:right w:val="none" w:sz="0" w:space="0" w:color="auto"/>
                  </w:divBdr>
                  <w:divsChild>
                    <w:div w:id="415979636">
                      <w:marLeft w:val="0"/>
                      <w:marRight w:val="0"/>
                      <w:marTop w:val="0"/>
                      <w:marBottom w:val="0"/>
                      <w:divBdr>
                        <w:top w:val="none" w:sz="0" w:space="0" w:color="auto"/>
                        <w:left w:val="none" w:sz="0" w:space="0" w:color="auto"/>
                        <w:bottom w:val="none" w:sz="0" w:space="0" w:color="auto"/>
                        <w:right w:val="none" w:sz="0" w:space="0" w:color="auto"/>
                      </w:divBdr>
                    </w:div>
                    <w:div w:id="482043401">
                      <w:marLeft w:val="0"/>
                      <w:marRight w:val="0"/>
                      <w:marTop w:val="0"/>
                      <w:marBottom w:val="0"/>
                      <w:divBdr>
                        <w:top w:val="none" w:sz="0" w:space="0" w:color="auto"/>
                        <w:left w:val="none" w:sz="0" w:space="0" w:color="auto"/>
                        <w:bottom w:val="none" w:sz="0" w:space="0" w:color="auto"/>
                        <w:right w:val="none" w:sz="0" w:space="0" w:color="auto"/>
                      </w:divBdr>
                    </w:div>
                  </w:divsChild>
                </w:div>
                <w:div w:id="1867792646">
                  <w:marLeft w:val="0"/>
                  <w:marRight w:val="0"/>
                  <w:marTop w:val="0"/>
                  <w:marBottom w:val="0"/>
                  <w:divBdr>
                    <w:top w:val="none" w:sz="0" w:space="0" w:color="auto"/>
                    <w:left w:val="none" w:sz="0" w:space="0" w:color="auto"/>
                    <w:bottom w:val="none" w:sz="0" w:space="0" w:color="auto"/>
                    <w:right w:val="none" w:sz="0" w:space="0" w:color="auto"/>
                  </w:divBdr>
                  <w:divsChild>
                    <w:div w:id="1826775133">
                      <w:marLeft w:val="0"/>
                      <w:marRight w:val="0"/>
                      <w:marTop w:val="0"/>
                      <w:marBottom w:val="0"/>
                      <w:divBdr>
                        <w:top w:val="none" w:sz="0" w:space="0" w:color="auto"/>
                        <w:left w:val="none" w:sz="0" w:space="0" w:color="auto"/>
                        <w:bottom w:val="none" w:sz="0" w:space="0" w:color="auto"/>
                        <w:right w:val="none" w:sz="0" w:space="0" w:color="auto"/>
                      </w:divBdr>
                    </w:div>
                  </w:divsChild>
                </w:div>
                <w:div w:id="1879656558">
                  <w:marLeft w:val="0"/>
                  <w:marRight w:val="0"/>
                  <w:marTop w:val="0"/>
                  <w:marBottom w:val="0"/>
                  <w:divBdr>
                    <w:top w:val="none" w:sz="0" w:space="0" w:color="auto"/>
                    <w:left w:val="none" w:sz="0" w:space="0" w:color="auto"/>
                    <w:bottom w:val="none" w:sz="0" w:space="0" w:color="auto"/>
                    <w:right w:val="none" w:sz="0" w:space="0" w:color="auto"/>
                  </w:divBdr>
                  <w:divsChild>
                    <w:div w:id="1895267099">
                      <w:marLeft w:val="0"/>
                      <w:marRight w:val="0"/>
                      <w:marTop w:val="0"/>
                      <w:marBottom w:val="0"/>
                      <w:divBdr>
                        <w:top w:val="none" w:sz="0" w:space="0" w:color="auto"/>
                        <w:left w:val="none" w:sz="0" w:space="0" w:color="auto"/>
                        <w:bottom w:val="none" w:sz="0" w:space="0" w:color="auto"/>
                        <w:right w:val="none" w:sz="0" w:space="0" w:color="auto"/>
                      </w:divBdr>
                    </w:div>
                  </w:divsChild>
                </w:div>
                <w:div w:id="1889411485">
                  <w:marLeft w:val="0"/>
                  <w:marRight w:val="0"/>
                  <w:marTop w:val="0"/>
                  <w:marBottom w:val="0"/>
                  <w:divBdr>
                    <w:top w:val="none" w:sz="0" w:space="0" w:color="auto"/>
                    <w:left w:val="none" w:sz="0" w:space="0" w:color="auto"/>
                    <w:bottom w:val="none" w:sz="0" w:space="0" w:color="auto"/>
                    <w:right w:val="none" w:sz="0" w:space="0" w:color="auto"/>
                  </w:divBdr>
                  <w:divsChild>
                    <w:div w:id="810440283">
                      <w:marLeft w:val="0"/>
                      <w:marRight w:val="0"/>
                      <w:marTop w:val="0"/>
                      <w:marBottom w:val="0"/>
                      <w:divBdr>
                        <w:top w:val="none" w:sz="0" w:space="0" w:color="auto"/>
                        <w:left w:val="none" w:sz="0" w:space="0" w:color="auto"/>
                        <w:bottom w:val="none" w:sz="0" w:space="0" w:color="auto"/>
                        <w:right w:val="none" w:sz="0" w:space="0" w:color="auto"/>
                      </w:divBdr>
                    </w:div>
                  </w:divsChild>
                </w:div>
                <w:div w:id="1912305134">
                  <w:marLeft w:val="0"/>
                  <w:marRight w:val="0"/>
                  <w:marTop w:val="0"/>
                  <w:marBottom w:val="0"/>
                  <w:divBdr>
                    <w:top w:val="none" w:sz="0" w:space="0" w:color="auto"/>
                    <w:left w:val="none" w:sz="0" w:space="0" w:color="auto"/>
                    <w:bottom w:val="none" w:sz="0" w:space="0" w:color="auto"/>
                    <w:right w:val="none" w:sz="0" w:space="0" w:color="auto"/>
                  </w:divBdr>
                  <w:divsChild>
                    <w:div w:id="97415182">
                      <w:marLeft w:val="0"/>
                      <w:marRight w:val="0"/>
                      <w:marTop w:val="0"/>
                      <w:marBottom w:val="0"/>
                      <w:divBdr>
                        <w:top w:val="none" w:sz="0" w:space="0" w:color="auto"/>
                        <w:left w:val="none" w:sz="0" w:space="0" w:color="auto"/>
                        <w:bottom w:val="none" w:sz="0" w:space="0" w:color="auto"/>
                        <w:right w:val="none" w:sz="0" w:space="0" w:color="auto"/>
                      </w:divBdr>
                    </w:div>
                  </w:divsChild>
                </w:div>
                <w:div w:id="1990399154">
                  <w:marLeft w:val="0"/>
                  <w:marRight w:val="0"/>
                  <w:marTop w:val="0"/>
                  <w:marBottom w:val="0"/>
                  <w:divBdr>
                    <w:top w:val="none" w:sz="0" w:space="0" w:color="auto"/>
                    <w:left w:val="none" w:sz="0" w:space="0" w:color="auto"/>
                    <w:bottom w:val="none" w:sz="0" w:space="0" w:color="auto"/>
                    <w:right w:val="none" w:sz="0" w:space="0" w:color="auto"/>
                  </w:divBdr>
                  <w:divsChild>
                    <w:div w:id="1636325138">
                      <w:marLeft w:val="0"/>
                      <w:marRight w:val="0"/>
                      <w:marTop w:val="0"/>
                      <w:marBottom w:val="0"/>
                      <w:divBdr>
                        <w:top w:val="none" w:sz="0" w:space="0" w:color="auto"/>
                        <w:left w:val="none" w:sz="0" w:space="0" w:color="auto"/>
                        <w:bottom w:val="none" w:sz="0" w:space="0" w:color="auto"/>
                        <w:right w:val="none" w:sz="0" w:space="0" w:color="auto"/>
                      </w:divBdr>
                    </w:div>
                  </w:divsChild>
                </w:div>
                <w:div w:id="2099060489">
                  <w:marLeft w:val="0"/>
                  <w:marRight w:val="0"/>
                  <w:marTop w:val="0"/>
                  <w:marBottom w:val="0"/>
                  <w:divBdr>
                    <w:top w:val="none" w:sz="0" w:space="0" w:color="auto"/>
                    <w:left w:val="none" w:sz="0" w:space="0" w:color="auto"/>
                    <w:bottom w:val="none" w:sz="0" w:space="0" w:color="auto"/>
                    <w:right w:val="none" w:sz="0" w:space="0" w:color="auto"/>
                  </w:divBdr>
                  <w:divsChild>
                    <w:div w:id="7958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39684">
          <w:marLeft w:val="0"/>
          <w:marRight w:val="0"/>
          <w:marTop w:val="0"/>
          <w:marBottom w:val="0"/>
          <w:divBdr>
            <w:top w:val="none" w:sz="0" w:space="0" w:color="auto"/>
            <w:left w:val="none" w:sz="0" w:space="0" w:color="auto"/>
            <w:bottom w:val="none" w:sz="0" w:space="0" w:color="auto"/>
            <w:right w:val="none" w:sz="0" w:space="0" w:color="auto"/>
          </w:divBdr>
        </w:div>
      </w:divsChild>
    </w:div>
    <w:div w:id="1336035592">
      <w:bodyDiv w:val="1"/>
      <w:marLeft w:val="0"/>
      <w:marRight w:val="0"/>
      <w:marTop w:val="0"/>
      <w:marBottom w:val="0"/>
      <w:divBdr>
        <w:top w:val="none" w:sz="0" w:space="0" w:color="auto"/>
        <w:left w:val="none" w:sz="0" w:space="0" w:color="auto"/>
        <w:bottom w:val="none" w:sz="0" w:space="0" w:color="auto"/>
        <w:right w:val="none" w:sz="0" w:space="0" w:color="auto"/>
      </w:divBdr>
    </w:div>
    <w:div w:id="1407797428">
      <w:bodyDiv w:val="1"/>
      <w:marLeft w:val="0"/>
      <w:marRight w:val="0"/>
      <w:marTop w:val="0"/>
      <w:marBottom w:val="0"/>
      <w:divBdr>
        <w:top w:val="none" w:sz="0" w:space="0" w:color="auto"/>
        <w:left w:val="none" w:sz="0" w:space="0" w:color="auto"/>
        <w:bottom w:val="none" w:sz="0" w:space="0" w:color="auto"/>
        <w:right w:val="none" w:sz="0" w:space="0" w:color="auto"/>
      </w:divBdr>
      <w:divsChild>
        <w:div w:id="491217331">
          <w:marLeft w:val="0"/>
          <w:marRight w:val="0"/>
          <w:marTop w:val="0"/>
          <w:marBottom w:val="0"/>
          <w:divBdr>
            <w:top w:val="none" w:sz="0" w:space="0" w:color="auto"/>
            <w:left w:val="none" w:sz="0" w:space="0" w:color="auto"/>
            <w:bottom w:val="none" w:sz="0" w:space="0" w:color="auto"/>
            <w:right w:val="none" w:sz="0" w:space="0" w:color="auto"/>
          </w:divBdr>
        </w:div>
        <w:div w:id="1197038874">
          <w:marLeft w:val="0"/>
          <w:marRight w:val="0"/>
          <w:marTop w:val="0"/>
          <w:marBottom w:val="0"/>
          <w:divBdr>
            <w:top w:val="none" w:sz="0" w:space="0" w:color="auto"/>
            <w:left w:val="none" w:sz="0" w:space="0" w:color="auto"/>
            <w:bottom w:val="none" w:sz="0" w:space="0" w:color="auto"/>
            <w:right w:val="none" w:sz="0" w:space="0" w:color="auto"/>
          </w:divBdr>
        </w:div>
        <w:div w:id="1305546862">
          <w:marLeft w:val="0"/>
          <w:marRight w:val="0"/>
          <w:marTop w:val="0"/>
          <w:marBottom w:val="0"/>
          <w:divBdr>
            <w:top w:val="none" w:sz="0" w:space="0" w:color="auto"/>
            <w:left w:val="none" w:sz="0" w:space="0" w:color="auto"/>
            <w:bottom w:val="none" w:sz="0" w:space="0" w:color="auto"/>
            <w:right w:val="none" w:sz="0" w:space="0" w:color="auto"/>
          </w:divBdr>
        </w:div>
      </w:divsChild>
    </w:div>
    <w:div w:id="1468625961">
      <w:bodyDiv w:val="1"/>
      <w:marLeft w:val="0"/>
      <w:marRight w:val="0"/>
      <w:marTop w:val="0"/>
      <w:marBottom w:val="0"/>
      <w:divBdr>
        <w:top w:val="none" w:sz="0" w:space="0" w:color="auto"/>
        <w:left w:val="none" w:sz="0" w:space="0" w:color="auto"/>
        <w:bottom w:val="none" w:sz="0" w:space="0" w:color="auto"/>
        <w:right w:val="none" w:sz="0" w:space="0" w:color="auto"/>
      </w:divBdr>
      <w:divsChild>
        <w:div w:id="30570585">
          <w:marLeft w:val="0"/>
          <w:marRight w:val="0"/>
          <w:marTop w:val="0"/>
          <w:marBottom w:val="0"/>
          <w:divBdr>
            <w:top w:val="none" w:sz="0" w:space="0" w:color="auto"/>
            <w:left w:val="none" w:sz="0" w:space="0" w:color="auto"/>
            <w:bottom w:val="none" w:sz="0" w:space="0" w:color="auto"/>
            <w:right w:val="none" w:sz="0" w:space="0" w:color="auto"/>
          </w:divBdr>
          <w:divsChild>
            <w:div w:id="121584940">
              <w:marLeft w:val="0"/>
              <w:marRight w:val="0"/>
              <w:marTop w:val="0"/>
              <w:marBottom w:val="0"/>
              <w:divBdr>
                <w:top w:val="none" w:sz="0" w:space="0" w:color="auto"/>
                <w:left w:val="none" w:sz="0" w:space="0" w:color="auto"/>
                <w:bottom w:val="none" w:sz="0" w:space="0" w:color="auto"/>
                <w:right w:val="none" w:sz="0" w:space="0" w:color="auto"/>
              </w:divBdr>
            </w:div>
            <w:div w:id="679702808">
              <w:marLeft w:val="0"/>
              <w:marRight w:val="0"/>
              <w:marTop w:val="0"/>
              <w:marBottom w:val="0"/>
              <w:divBdr>
                <w:top w:val="none" w:sz="0" w:space="0" w:color="auto"/>
                <w:left w:val="none" w:sz="0" w:space="0" w:color="auto"/>
                <w:bottom w:val="none" w:sz="0" w:space="0" w:color="auto"/>
                <w:right w:val="none" w:sz="0" w:space="0" w:color="auto"/>
              </w:divBdr>
            </w:div>
            <w:div w:id="1512337749">
              <w:marLeft w:val="0"/>
              <w:marRight w:val="0"/>
              <w:marTop w:val="0"/>
              <w:marBottom w:val="0"/>
              <w:divBdr>
                <w:top w:val="none" w:sz="0" w:space="0" w:color="auto"/>
                <w:left w:val="none" w:sz="0" w:space="0" w:color="auto"/>
                <w:bottom w:val="none" w:sz="0" w:space="0" w:color="auto"/>
                <w:right w:val="none" w:sz="0" w:space="0" w:color="auto"/>
              </w:divBdr>
            </w:div>
            <w:div w:id="1524005662">
              <w:marLeft w:val="0"/>
              <w:marRight w:val="0"/>
              <w:marTop w:val="0"/>
              <w:marBottom w:val="0"/>
              <w:divBdr>
                <w:top w:val="none" w:sz="0" w:space="0" w:color="auto"/>
                <w:left w:val="none" w:sz="0" w:space="0" w:color="auto"/>
                <w:bottom w:val="none" w:sz="0" w:space="0" w:color="auto"/>
                <w:right w:val="none" w:sz="0" w:space="0" w:color="auto"/>
              </w:divBdr>
            </w:div>
            <w:div w:id="1835754691">
              <w:marLeft w:val="0"/>
              <w:marRight w:val="0"/>
              <w:marTop w:val="0"/>
              <w:marBottom w:val="0"/>
              <w:divBdr>
                <w:top w:val="none" w:sz="0" w:space="0" w:color="auto"/>
                <w:left w:val="none" w:sz="0" w:space="0" w:color="auto"/>
                <w:bottom w:val="none" w:sz="0" w:space="0" w:color="auto"/>
                <w:right w:val="none" w:sz="0" w:space="0" w:color="auto"/>
              </w:divBdr>
            </w:div>
          </w:divsChild>
        </w:div>
        <w:div w:id="65736245">
          <w:marLeft w:val="0"/>
          <w:marRight w:val="0"/>
          <w:marTop w:val="0"/>
          <w:marBottom w:val="0"/>
          <w:divBdr>
            <w:top w:val="none" w:sz="0" w:space="0" w:color="auto"/>
            <w:left w:val="none" w:sz="0" w:space="0" w:color="auto"/>
            <w:bottom w:val="none" w:sz="0" w:space="0" w:color="auto"/>
            <w:right w:val="none" w:sz="0" w:space="0" w:color="auto"/>
          </w:divBdr>
        </w:div>
        <w:div w:id="74061300">
          <w:marLeft w:val="0"/>
          <w:marRight w:val="0"/>
          <w:marTop w:val="0"/>
          <w:marBottom w:val="0"/>
          <w:divBdr>
            <w:top w:val="none" w:sz="0" w:space="0" w:color="auto"/>
            <w:left w:val="none" w:sz="0" w:space="0" w:color="auto"/>
            <w:bottom w:val="none" w:sz="0" w:space="0" w:color="auto"/>
            <w:right w:val="none" w:sz="0" w:space="0" w:color="auto"/>
          </w:divBdr>
        </w:div>
        <w:div w:id="123742772">
          <w:marLeft w:val="0"/>
          <w:marRight w:val="0"/>
          <w:marTop w:val="0"/>
          <w:marBottom w:val="0"/>
          <w:divBdr>
            <w:top w:val="none" w:sz="0" w:space="0" w:color="auto"/>
            <w:left w:val="none" w:sz="0" w:space="0" w:color="auto"/>
            <w:bottom w:val="none" w:sz="0" w:space="0" w:color="auto"/>
            <w:right w:val="none" w:sz="0" w:space="0" w:color="auto"/>
          </w:divBdr>
        </w:div>
        <w:div w:id="231355230">
          <w:marLeft w:val="0"/>
          <w:marRight w:val="0"/>
          <w:marTop w:val="0"/>
          <w:marBottom w:val="0"/>
          <w:divBdr>
            <w:top w:val="none" w:sz="0" w:space="0" w:color="auto"/>
            <w:left w:val="none" w:sz="0" w:space="0" w:color="auto"/>
            <w:bottom w:val="none" w:sz="0" w:space="0" w:color="auto"/>
            <w:right w:val="none" w:sz="0" w:space="0" w:color="auto"/>
          </w:divBdr>
        </w:div>
        <w:div w:id="248466377">
          <w:marLeft w:val="0"/>
          <w:marRight w:val="0"/>
          <w:marTop w:val="0"/>
          <w:marBottom w:val="0"/>
          <w:divBdr>
            <w:top w:val="none" w:sz="0" w:space="0" w:color="auto"/>
            <w:left w:val="none" w:sz="0" w:space="0" w:color="auto"/>
            <w:bottom w:val="none" w:sz="0" w:space="0" w:color="auto"/>
            <w:right w:val="none" w:sz="0" w:space="0" w:color="auto"/>
          </w:divBdr>
        </w:div>
        <w:div w:id="250698677">
          <w:marLeft w:val="0"/>
          <w:marRight w:val="0"/>
          <w:marTop w:val="0"/>
          <w:marBottom w:val="0"/>
          <w:divBdr>
            <w:top w:val="none" w:sz="0" w:space="0" w:color="auto"/>
            <w:left w:val="none" w:sz="0" w:space="0" w:color="auto"/>
            <w:bottom w:val="none" w:sz="0" w:space="0" w:color="auto"/>
            <w:right w:val="none" w:sz="0" w:space="0" w:color="auto"/>
          </w:divBdr>
        </w:div>
        <w:div w:id="257563971">
          <w:marLeft w:val="0"/>
          <w:marRight w:val="0"/>
          <w:marTop w:val="0"/>
          <w:marBottom w:val="0"/>
          <w:divBdr>
            <w:top w:val="none" w:sz="0" w:space="0" w:color="auto"/>
            <w:left w:val="none" w:sz="0" w:space="0" w:color="auto"/>
            <w:bottom w:val="none" w:sz="0" w:space="0" w:color="auto"/>
            <w:right w:val="none" w:sz="0" w:space="0" w:color="auto"/>
          </w:divBdr>
        </w:div>
        <w:div w:id="273245953">
          <w:marLeft w:val="0"/>
          <w:marRight w:val="0"/>
          <w:marTop w:val="0"/>
          <w:marBottom w:val="0"/>
          <w:divBdr>
            <w:top w:val="none" w:sz="0" w:space="0" w:color="auto"/>
            <w:left w:val="none" w:sz="0" w:space="0" w:color="auto"/>
            <w:bottom w:val="none" w:sz="0" w:space="0" w:color="auto"/>
            <w:right w:val="none" w:sz="0" w:space="0" w:color="auto"/>
          </w:divBdr>
        </w:div>
        <w:div w:id="275410446">
          <w:marLeft w:val="0"/>
          <w:marRight w:val="0"/>
          <w:marTop w:val="0"/>
          <w:marBottom w:val="0"/>
          <w:divBdr>
            <w:top w:val="none" w:sz="0" w:space="0" w:color="auto"/>
            <w:left w:val="none" w:sz="0" w:space="0" w:color="auto"/>
            <w:bottom w:val="none" w:sz="0" w:space="0" w:color="auto"/>
            <w:right w:val="none" w:sz="0" w:space="0" w:color="auto"/>
          </w:divBdr>
        </w:div>
        <w:div w:id="338046675">
          <w:marLeft w:val="0"/>
          <w:marRight w:val="0"/>
          <w:marTop w:val="0"/>
          <w:marBottom w:val="0"/>
          <w:divBdr>
            <w:top w:val="none" w:sz="0" w:space="0" w:color="auto"/>
            <w:left w:val="none" w:sz="0" w:space="0" w:color="auto"/>
            <w:bottom w:val="none" w:sz="0" w:space="0" w:color="auto"/>
            <w:right w:val="none" w:sz="0" w:space="0" w:color="auto"/>
          </w:divBdr>
        </w:div>
        <w:div w:id="338697788">
          <w:marLeft w:val="0"/>
          <w:marRight w:val="0"/>
          <w:marTop w:val="0"/>
          <w:marBottom w:val="0"/>
          <w:divBdr>
            <w:top w:val="none" w:sz="0" w:space="0" w:color="auto"/>
            <w:left w:val="none" w:sz="0" w:space="0" w:color="auto"/>
            <w:bottom w:val="none" w:sz="0" w:space="0" w:color="auto"/>
            <w:right w:val="none" w:sz="0" w:space="0" w:color="auto"/>
          </w:divBdr>
        </w:div>
        <w:div w:id="338964642">
          <w:marLeft w:val="0"/>
          <w:marRight w:val="0"/>
          <w:marTop w:val="0"/>
          <w:marBottom w:val="0"/>
          <w:divBdr>
            <w:top w:val="none" w:sz="0" w:space="0" w:color="auto"/>
            <w:left w:val="none" w:sz="0" w:space="0" w:color="auto"/>
            <w:bottom w:val="none" w:sz="0" w:space="0" w:color="auto"/>
            <w:right w:val="none" w:sz="0" w:space="0" w:color="auto"/>
          </w:divBdr>
        </w:div>
        <w:div w:id="373163570">
          <w:marLeft w:val="0"/>
          <w:marRight w:val="0"/>
          <w:marTop w:val="0"/>
          <w:marBottom w:val="0"/>
          <w:divBdr>
            <w:top w:val="none" w:sz="0" w:space="0" w:color="auto"/>
            <w:left w:val="none" w:sz="0" w:space="0" w:color="auto"/>
            <w:bottom w:val="none" w:sz="0" w:space="0" w:color="auto"/>
            <w:right w:val="none" w:sz="0" w:space="0" w:color="auto"/>
          </w:divBdr>
        </w:div>
        <w:div w:id="375010816">
          <w:marLeft w:val="0"/>
          <w:marRight w:val="0"/>
          <w:marTop w:val="0"/>
          <w:marBottom w:val="0"/>
          <w:divBdr>
            <w:top w:val="none" w:sz="0" w:space="0" w:color="auto"/>
            <w:left w:val="none" w:sz="0" w:space="0" w:color="auto"/>
            <w:bottom w:val="none" w:sz="0" w:space="0" w:color="auto"/>
            <w:right w:val="none" w:sz="0" w:space="0" w:color="auto"/>
          </w:divBdr>
          <w:divsChild>
            <w:div w:id="823668111">
              <w:marLeft w:val="0"/>
              <w:marRight w:val="0"/>
              <w:marTop w:val="0"/>
              <w:marBottom w:val="0"/>
              <w:divBdr>
                <w:top w:val="none" w:sz="0" w:space="0" w:color="auto"/>
                <w:left w:val="none" w:sz="0" w:space="0" w:color="auto"/>
                <w:bottom w:val="none" w:sz="0" w:space="0" w:color="auto"/>
                <w:right w:val="none" w:sz="0" w:space="0" w:color="auto"/>
              </w:divBdr>
            </w:div>
            <w:div w:id="1392843465">
              <w:marLeft w:val="0"/>
              <w:marRight w:val="0"/>
              <w:marTop w:val="0"/>
              <w:marBottom w:val="0"/>
              <w:divBdr>
                <w:top w:val="none" w:sz="0" w:space="0" w:color="auto"/>
                <w:left w:val="none" w:sz="0" w:space="0" w:color="auto"/>
                <w:bottom w:val="none" w:sz="0" w:space="0" w:color="auto"/>
                <w:right w:val="none" w:sz="0" w:space="0" w:color="auto"/>
              </w:divBdr>
            </w:div>
            <w:div w:id="1682924542">
              <w:marLeft w:val="0"/>
              <w:marRight w:val="0"/>
              <w:marTop w:val="0"/>
              <w:marBottom w:val="0"/>
              <w:divBdr>
                <w:top w:val="none" w:sz="0" w:space="0" w:color="auto"/>
                <w:left w:val="none" w:sz="0" w:space="0" w:color="auto"/>
                <w:bottom w:val="none" w:sz="0" w:space="0" w:color="auto"/>
                <w:right w:val="none" w:sz="0" w:space="0" w:color="auto"/>
              </w:divBdr>
            </w:div>
            <w:div w:id="1764763797">
              <w:marLeft w:val="0"/>
              <w:marRight w:val="0"/>
              <w:marTop w:val="0"/>
              <w:marBottom w:val="0"/>
              <w:divBdr>
                <w:top w:val="none" w:sz="0" w:space="0" w:color="auto"/>
                <w:left w:val="none" w:sz="0" w:space="0" w:color="auto"/>
                <w:bottom w:val="none" w:sz="0" w:space="0" w:color="auto"/>
                <w:right w:val="none" w:sz="0" w:space="0" w:color="auto"/>
              </w:divBdr>
            </w:div>
            <w:div w:id="2006855619">
              <w:marLeft w:val="0"/>
              <w:marRight w:val="0"/>
              <w:marTop w:val="0"/>
              <w:marBottom w:val="0"/>
              <w:divBdr>
                <w:top w:val="none" w:sz="0" w:space="0" w:color="auto"/>
                <w:left w:val="none" w:sz="0" w:space="0" w:color="auto"/>
                <w:bottom w:val="none" w:sz="0" w:space="0" w:color="auto"/>
                <w:right w:val="none" w:sz="0" w:space="0" w:color="auto"/>
              </w:divBdr>
            </w:div>
          </w:divsChild>
        </w:div>
        <w:div w:id="568150255">
          <w:marLeft w:val="0"/>
          <w:marRight w:val="0"/>
          <w:marTop w:val="0"/>
          <w:marBottom w:val="0"/>
          <w:divBdr>
            <w:top w:val="none" w:sz="0" w:space="0" w:color="auto"/>
            <w:left w:val="none" w:sz="0" w:space="0" w:color="auto"/>
            <w:bottom w:val="none" w:sz="0" w:space="0" w:color="auto"/>
            <w:right w:val="none" w:sz="0" w:space="0" w:color="auto"/>
          </w:divBdr>
        </w:div>
        <w:div w:id="572203897">
          <w:marLeft w:val="0"/>
          <w:marRight w:val="0"/>
          <w:marTop w:val="0"/>
          <w:marBottom w:val="0"/>
          <w:divBdr>
            <w:top w:val="none" w:sz="0" w:space="0" w:color="auto"/>
            <w:left w:val="none" w:sz="0" w:space="0" w:color="auto"/>
            <w:bottom w:val="none" w:sz="0" w:space="0" w:color="auto"/>
            <w:right w:val="none" w:sz="0" w:space="0" w:color="auto"/>
          </w:divBdr>
          <w:divsChild>
            <w:div w:id="389498026">
              <w:marLeft w:val="0"/>
              <w:marRight w:val="0"/>
              <w:marTop w:val="0"/>
              <w:marBottom w:val="0"/>
              <w:divBdr>
                <w:top w:val="none" w:sz="0" w:space="0" w:color="auto"/>
                <w:left w:val="none" w:sz="0" w:space="0" w:color="auto"/>
                <w:bottom w:val="none" w:sz="0" w:space="0" w:color="auto"/>
                <w:right w:val="none" w:sz="0" w:space="0" w:color="auto"/>
              </w:divBdr>
            </w:div>
            <w:div w:id="899561149">
              <w:marLeft w:val="0"/>
              <w:marRight w:val="0"/>
              <w:marTop w:val="0"/>
              <w:marBottom w:val="0"/>
              <w:divBdr>
                <w:top w:val="none" w:sz="0" w:space="0" w:color="auto"/>
                <w:left w:val="none" w:sz="0" w:space="0" w:color="auto"/>
                <w:bottom w:val="none" w:sz="0" w:space="0" w:color="auto"/>
                <w:right w:val="none" w:sz="0" w:space="0" w:color="auto"/>
              </w:divBdr>
            </w:div>
            <w:div w:id="903488356">
              <w:marLeft w:val="0"/>
              <w:marRight w:val="0"/>
              <w:marTop w:val="0"/>
              <w:marBottom w:val="0"/>
              <w:divBdr>
                <w:top w:val="none" w:sz="0" w:space="0" w:color="auto"/>
                <w:left w:val="none" w:sz="0" w:space="0" w:color="auto"/>
                <w:bottom w:val="none" w:sz="0" w:space="0" w:color="auto"/>
                <w:right w:val="none" w:sz="0" w:space="0" w:color="auto"/>
              </w:divBdr>
            </w:div>
            <w:div w:id="1129082989">
              <w:marLeft w:val="0"/>
              <w:marRight w:val="0"/>
              <w:marTop w:val="0"/>
              <w:marBottom w:val="0"/>
              <w:divBdr>
                <w:top w:val="none" w:sz="0" w:space="0" w:color="auto"/>
                <w:left w:val="none" w:sz="0" w:space="0" w:color="auto"/>
                <w:bottom w:val="none" w:sz="0" w:space="0" w:color="auto"/>
                <w:right w:val="none" w:sz="0" w:space="0" w:color="auto"/>
              </w:divBdr>
            </w:div>
            <w:div w:id="2044399784">
              <w:marLeft w:val="0"/>
              <w:marRight w:val="0"/>
              <w:marTop w:val="0"/>
              <w:marBottom w:val="0"/>
              <w:divBdr>
                <w:top w:val="none" w:sz="0" w:space="0" w:color="auto"/>
                <w:left w:val="none" w:sz="0" w:space="0" w:color="auto"/>
                <w:bottom w:val="none" w:sz="0" w:space="0" w:color="auto"/>
                <w:right w:val="none" w:sz="0" w:space="0" w:color="auto"/>
              </w:divBdr>
            </w:div>
          </w:divsChild>
        </w:div>
        <w:div w:id="581530328">
          <w:marLeft w:val="0"/>
          <w:marRight w:val="0"/>
          <w:marTop w:val="0"/>
          <w:marBottom w:val="0"/>
          <w:divBdr>
            <w:top w:val="none" w:sz="0" w:space="0" w:color="auto"/>
            <w:left w:val="none" w:sz="0" w:space="0" w:color="auto"/>
            <w:bottom w:val="none" w:sz="0" w:space="0" w:color="auto"/>
            <w:right w:val="none" w:sz="0" w:space="0" w:color="auto"/>
          </w:divBdr>
        </w:div>
        <w:div w:id="621376906">
          <w:marLeft w:val="0"/>
          <w:marRight w:val="0"/>
          <w:marTop w:val="0"/>
          <w:marBottom w:val="0"/>
          <w:divBdr>
            <w:top w:val="none" w:sz="0" w:space="0" w:color="auto"/>
            <w:left w:val="none" w:sz="0" w:space="0" w:color="auto"/>
            <w:bottom w:val="none" w:sz="0" w:space="0" w:color="auto"/>
            <w:right w:val="none" w:sz="0" w:space="0" w:color="auto"/>
          </w:divBdr>
        </w:div>
        <w:div w:id="653409625">
          <w:marLeft w:val="0"/>
          <w:marRight w:val="0"/>
          <w:marTop w:val="0"/>
          <w:marBottom w:val="0"/>
          <w:divBdr>
            <w:top w:val="none" w:sz="0" w:space="0" w:color="auto"/>
            <w:left w:val="none" w:sz="0" w:space="0" w:color="auto"/>
            <w:bottom w:val="none" w:sz="0" w:space="0" w:color="auto"/>
            <w:right w:val="none" w:sz="0" w:space="0" w:color="auto"/>
          </w:divBdr>
        </w:div>
        <w:div w:id="695277712">
          <w:marLeft w:val="0"/>
          <w:marRight w:val="0"/>
          <w:marTop w:val="0"/>
          <w:marBottom w:val="0"/>
          <w:divBdr>
            <w:top w:val="none" w:sz="0" w:space="0" w:color="auto"/>
            <w:left w:val="none" w:sz="0" w:space="0" w:color="auto"/>
            <w:bottom w:val="none" w:sz="0" w:space="0" w:color="auto"/>
            <w:right w:val="none" w:sz="0" w:space="0" w:color="auto"/>
          </w:divBdr>
        </w:div>
        <w:div w:id="862285010">
          <w:marLeft w:val="0"/>
          <w:marRight w:val="0"/>
          <w:marTop w:val="0"/>
          <w:marBottom w:val="0"/>
          <w:divBdr>
            <w:top w:val="none" w:sz="0" w:space="0" w:color="auto"/>
            <w:left w:val="none" w:sz="0" w:space="0" w:color="auto"/>
            <w:bottom w:val="none" w:sz="0" w:space="0" w:color="auto"/>
            <w:right w:val="none" w:sz="0" w:space="0" w:color="auto"/>
          </w:divBdr>
        </w:div>
        <w:div w:id="888153817">
          <w:marLeft w:val="0"/>
          <w:marRight w:val="0"/>
          <w:marTop w:val="0"/>
          <w:marBottom w:val="0"/>
          <w:divBdr>
            <w:top w:val="none" w:sz="0" w:space="0" w:color="auto"/>
            <w:left w:val="none" w:sz="0" w:space="0" w:color="auto"/>
            <w:bottom w:val="none" w:sz="0" w:space="0" w:color="auto"/>
            <w:right w:val="none" w:sz="0" w:space="0" w:color="auto"/>
          </w:divBdr>
        </w:div>
        <w:div w:id="890582485">
          <w:marLeft w:val="0"/>
          <w:marRight w:val="0"/>
          <w:marTop w:val="0"/>
          <w:marBottom w:val="0"/>
          <w:divBdr>
            <w:top w:val="none" w:sz="0" w:space="0" w:color="auto"/>
            <w:left w:val="none" w:sz="0" w:space="0" w:color="auto"/>
            <w:bottom w:val="none" w:sz="0" w:space="0" w:color="auto"/>
            <w:right w:val="none" w:sz="0" w:space="0" w:color="auto"/>
          </w:divBdr>
        </w:div>
        <w:div w:id="897782270">
          <w:marLeft w:val="0"/>
          <w:marRight w:val="0"/>
          <w:marTop w:val="0"/>
          <w:marBottom w:val="0"/>
          <w:divBdr>
            <w:top w:val="none" w:sz="0" w:space="0" w:color="auto"/>
            <w:left w:val="none" w:sz="0" w:space="0" w:color="auto"/>
            <w:bottom w:val="none" w:sz="0" w:space="0" w:color="auto"/>
            <w:right w:val="none" w:sz="0" w:space="0" w:color="auto"/>
          </w:divBdr>
        </w:div>
        <w:div w:id="998919547">
          <w:marLeft w:val="0"/>
          <w:marRight w:val="0"/>
          <w:marTop w:val="0"/>
          <w:marBottom w:val="0"/>
          <w:divBdr>
            <w:top w:val="none" w:sz="0" w:space="0" w:color="auto"/>
            <w:left w:val="none" w:sz="0" w:space="0" w:color="auto"/>
            <w:bottom w:val="none" w:sz="0" w:space="0" w:color="auto"/>
            <w:right w:val="none" w:sz="0" w:space="0" w:color="auto"/>
          </w:divBdr>
        </w:div>
        <w:div w:id="1051542946">
          <w:marLeft w:val="0"/>
          <w:marRight w:val="0"/>
          <w:marTop w:val="0"/>
          <w:marBottom w:val="0"/>
          <w:divBdr>
            <w:top w:val="none" w:sz="0" w:space="0" w:color="auto"/>
            <w:left w:val="none" w:sz="0" w:space="0" w:color="auto"/>
            <w:bottom w:val="none" w:sz="0" w:space="0" w:color="auto"/>
            <w:right w:val="none" w:sz="0" w:space="0" w:color="auto"/>
          </w:divBdr>
          <w:divsChild>
            <w:div w:id="1837380526">
              <w:marLeft w:val="-75"/>
              <w:marRight w:val="0"/>
              <w:marTop w:val="30"/>
              <w:marBottom w:val="30"/>
              <w:divBdr>
                <w:top w:val="none" w:sz="0" w:space="0" w:color="auto"/>
                <w:left w:val="none" w:sz="0" w:space="0" w:color="auto"/>
                <w:bottom w:val="none" w:sz="0" w:space="0" w:color="auto"/>
                <w:right w:val="none" w:sz="0" w:space="0" w:color="auto"/>
              </w:divBdr>
              <w:divsChild>
                <w:div w:id="58984713">
                  <w:marLeft w:val="0"/>
                  <w:marRight w:val="0"/>
                  <w:marTop w:val="0"/>
                  <w:marBottom w:val="0"/>
                  <w:divBdr>
                    <w:top w:val="none" w:sz="0" w:space="0" w:color="auto"/>
                    <w:left w:val="none" w:sz="0" w:space="0" w:color="auto"/>
                    <w:bottom w:val="none" w:sz="0" w:space="0" w:color="auto"/>
                    <w:right w:val="none" w:sz="0" w:space="0" w:color="auto"/>
                  </w:divBdr>
                  <w:divsChild>
                    <w:div w:id="1771585167">
                      <w:marLeft w:val="0"/>
                      <w:marRight w:val="0"/>
                      <w:marTop w:val="0"/>
                      <w:marBottom w:val="0"/>
                      <w:divBdr>
                        <w:top w:val="none" w:sz="0" w:space="0" w:color="auto"/>
                        <w:left w:val="none" w:sz="0" w:space="0" w:color="auto"/>
                        <w:bottom w:val="none" w:sz="0" w:space="0" w:color="auto"/>
                        <w:right w:val="none" w:sz="0" w:space="0" w:color="auto"/>
                      </w:divBdr>
                    </w:div>
                  </w:divsChild>
                </w:div>
                <w:div w:id="127288569">
                  <w:marLeft w:val="0"/>
                  <w:marRight w:val="0"/>
                  <w:marTop w:val="0"/>
                  <w:marBottom w:val="0"/>
                  <w:divBdr>
                    <w:top w:val="none" w:sz="0" w:space="0" w:color="auto"/>
                    <w:left w:val="none" w:sz="0" w:space="0" w:color="auto"/>
                    <w:bottom w:val="none" w:sz="0" w:space="0" w:color="auto"/>
                    <w:right w:val="none" w:sz="0" w:space="0" w:color="auto"/>
                  </w:divBdr>
                  <w:divsChild>
                    <w:div w:id="45228678">
                      <w:marLeft w:val="0"/>
                      <w:marRight w:val="0"/>
                      <w:marTop w:val="0"/>
                      <w:marBottom w:val="0"/>
                      <w:divBdr>
                        <w:top w:val="none" w:sz="0" w:space="0" w:color="auto"/>
                        <w:left w:val="none" w:sz="0" w:space="0" w:color="auto"/>
                        <w:bottom w:val="none" w:sz="0" w:space="0" w:color="auto"/>
                        <w:right w:val="none" w:sz="0" w:space="0" w:color="auto"/>
                      </w:divBdr>
                    </w:div>
                  </w:divsChild>
                </w:div>
                <w:div w:id="130368877">
                  <w:marLeft w:val="0"/>
                  <w:marRight w:val="0"/>
                  <w:marTop w:val="0"/>
                  <w:marBottom w:val="0"/>
                  <w:divBdr>
                    <w:top w:val="none" w:sz="0" w:space="0" w:color="auto"/>
                    <w:left w:val="none" w:sz="0" w:space="0" w:color="auto"/>
                    <w:bottom w:val="none" w:sz="0" w:space="0" w:color="auto"/>
                    <w:right w:val="none" w:sz="0" w:space="0" w:color="auto"/>
                  </w:divBdr>
                  <w:divsChild>
                    <w:div w:id="398987876">
                      <w:marLeft w:val="0"/>
                      <w:marRight w:val="0"/>
                      <w:marTop w:val="0"/>
                      <w:marBottom w:val="0"/>
                      <w:divBdr>
                        <w:top w:val="none" w:sz="0" w:space="0" w:color="auto"/>
                        <w:left w:val="none" w:sz="0" w:space="0" w:color="auto"/>
                        <w:bottom w:val="none" w:sz="0" w:space="0" w:color="auto"/>
                        <w:right w:val="none" w:sz="0" w:space="0" w:color="auto"/>
                      </w:divBdr>
                    </w:div>
                  </w:divsChild>
                </w:div>
                <w:div w:id="148450639">
                  <w:marLeft w:val="0"/>
                  <w:marRight w:val="0"/>
                  <w:marTop w:val="0"/>
                  <w:marBottom w:val="0"/>
                  <w:divBdr>
                    <w:top w:val="none" w:sz="0" w:space="0" w:color="auto"/>
                    <w:left w:val="none" w:sz="0" w:space="0" w:color="auto"/>
                    <w:bottom w:val="none" w:sz="0" w:space="0" w:color="auto"/>
                    <w:right w:val="none" w:sz="0" w:space="0" w:color="auto"/>
                  </w:divBdr>
                  <w:divsChild>
                    <w:div w:id="1394769022">
                      <w:marLeft w:val="0"/>
                      <w:marRight w:val="0"/>
                      <w:marTop w:val="0"/>
                      <w:marBottom w:val="0"/>
                      <w:divBdr>
                        <w:top w:val="none" w:sz="0" w:space="0" w:color="auto"/>
                        <w:left w:val="none" w:sz="0" w:space="0" w:color="auto"/>
                        <w:bottom w:val="none" w:sz="0" w:space="0" w:color="auto"/>
                        <w:right w:val="none" w:sz="0" w:space="0" w:color="auto"/>
                      </w:divBdr>
                    </w:div>
                  </w:divsChild>
                </w:div>
                <w:div w:id="196046028">
                  <w:marLeft w:val="0"/>
                  <w:marRight w:val="0"/>
                  <w:marTop w:val="0"/>
                  <w:marBottom w:val="0"/>
                  <w:divBdr>
                    <w:top w:val="none" w:sz="0" w:space="0" w:color="auto"/>
                    <w:left w:val="none" w:sz="0" w:space="0" w:color="auto"/>
                    <w:bottom w:val="none" w:sz="0" w:space="0" w:color="auto"/>
                    <w:right w:val="none" w:sz="0" w:space="0" w:color="auto"/>
                  </w:divBdr>
                  <w:divsChild>
                    <w:div w:id="853109618">
                      <w:marLeft w:val="0"/>
                      <w:marRight w:val="0"/>
                      <w:marTop w:val="0"/>
                      <w:marBottom w:val="0"/>
                      <w:divBdr>
                        <w:top w:val="none" w:sz="0" w:space="0" w:color="auto"/>
                        <w:left w:val="none" w:sz="0" w:space="0" w:color="auto"/>
                        <w:bottom w:val="none" w:sz="0" w:space="0" w:color="auto"/>
                        <w:right w:val="none" w:sz="0" w:space="0" w:color="auto"/>
                      </w:divBdr>
                    </w:div>
                  </w:divsChild>
                </w:div>
                <w:div w:id="225575518">
                  <w:marLeft w:val="0"/>
                  <w:marRight w:val="0"/>
                  <w:marTop w:val="0"/>
                  <w:marBottom w:val="0"/>
                  <w:divBdr>
                    <w:top w:val="none" w:sz="0" w:space="0" w:color="auto"/>
                    <w:left w:val="none" w:sz="0" w:space="0" w:color="auto"/>
                    <w:bottom w:val="none" w:sz="0" w:space="0" w:color="auto"/>
                    <w:right w:val="none" w:sz="0" w:space="0" w:color="auto"/>
                  </w:divBdr>
                  <w:divsChild>
                    <w:div w:id="1089347977">
                      <w:marLeft w:val="0"/>
                      <w:marRight w:val="0"/>
                      <w:marTop w:val="0"/>
                      <w:marBottom w:val="0"/>
                      <w:divBdr>
                        <w:top w:val="none" w:sz="0" w:space="0" w:color="auto"/>
                        <w:left w:val="none" w:sz="0" w:space="0" w:color="auto"/>
                        <w:bottom w:val="none" w:sz="0" w:space="0" w:color="auto"/>
                        <w:right w:val="none" w:sz="0" w:space="0" w:color="auto"/>
                      </w:divBdr>
                    </w:div>
                  </w:divsChild>
                </w:div>
                <w:div w:id="403650586">
                  <w:marLeft w:val="0"/>
                  <w:marRight w:val="0"/>
                  <w:marTop w:val="0"/>
                  <w:marBottom w:val="0"/>
                  <w:divBdr>
                    <w:top w:val="none" w:sz="0" w:space="0" w:color="auto"/>
                    <w:left w:val="none" w:sz="0" w:space="0" w:color="auto"/>
                    <w:bottom w:val="none" w:sz="0" w:space="0" w:color="auto"/>
                    <w:right w:val="none" w:sz="0" w:space="0" w:color="auto"/>
                  </w:divBdr>
                  <w:divsChild>
                    <w:div w:id="677585566">
                      <w:marLeft w:val="0"/>
                      <w:marRight w:val="0"/>
                      <w:marTop w:val="0"/>
                      <w:marBottom w:val="0"/>
                      <w:divBdr>
                        <w:top w:val="none" w:sz="0" w:space="0" w:color="auto"/>
                        <w:left w:val="none" w:sz="0" w:space="0" w:color="auto"/>
                        <w:bottom w:val="none" w:sz="0" w:space="0" w:color="auto"/>
                        <w:right w:val="none" w:sz="0" w:space="0" w:color="auto"/>
                      </w:divBdr>
                    </w:div>
                    <w:div w:id="1760446804">
                      <w:marLeft w:val="0"/>
                      <w:marRight w:val="0"/>
                      <w:marTop w:val="0"/>
                      <w:marBottom w:val="0"/>
                      <w:divBdr>
                        <w:top w:val="none" w:sz="0" w:space="0" w:color="auto"/>
                        <w:left w:val="none" w:sz="0" w:space="0" w:color="auto"/>
                        <w:bottom w:val="none" w:sz="0" w:space="0" w:color="auto"/>
                        <w:right w:val="none" w:sz="0" w:space="0" w:color="auto"/>
                      </w:divBdr>
                    </w:div>
                  </w:divsChild>
                </w:div>
                <w:div w:id="435447090">
                  <w:marLeft w:val="0"/>
                  <w:marRight w:val="0"/>
                  <w:marTop w:val="0"/>
                  <w:marBottom w:val="0"/>
                  <w:divBdr>
                    <w:top w:val="none" w:sz="0" w:space="0" w:color="auto"/>
                    <w:left w:val="none" w:sz="0" w:space="0" w:color="auto"/>
                    <w:bottom w:val="none" w:sz="0" w:space="0" w:color="auto"/>
                    <w:right w:val="none" w:sz="0" w:space="0" w:color="auto"/>
                  </w:divBdr>
                  <w:divsChild>
                    <w:div w:id="1926724017">
                      <w:marLeft w:val="0"/>
                      <w:marRight w:val="0"/>
                      <w:marTop w:val="0"/>
                      <w:marBottom w:val="0"/>
                      <w:divBdr>
                        <w:top w:val="none" w:sz="0" w:space="0" w:color="auto"/>
                        <w:left w:val="none" w:sz="0" w:space="0" w:color="auto"/>
                        <w:bottom w:val="none" w:sz="0" w:space="0" w:color="auto"/>
                        <w:right w:val="none" w:sz="0" w:space="0" w:color="auto"/>
                      </w:divBdr>
                    </w:div>
                  </w:divsChild>
                </w:div>
                <w:div w:id="435911039">
                  <w:marLeft w:val="0"/>
                  <w:marRight w:val="0"/>
                  <w:marTop w:val="0"/>
                  <w:marBottom w:val="0"/>
                  <w:divBdr>
                    <w:top w:val="none" w:sz="0" w:space="0" w:color="auto"/>
                    <w:left w:val="none" w:sz="0" w:space="0" w:color="auto"/>
                    <w:bottom w:val="none" w:sz="0" w:space="0" w:color="auto"/>
                    <w:right w:val="none" w:sz="0" w:space="0" w:color="auto"/>
                  </w:divBdr>
                  <w:divsChild>
                    <w:div w:id="1812595456">
                      <w:marLeft w:val="0"/>
                      <w:marRight w:val="0"/>
                      <w:marTop w:val="0"/>
                      <w:marBottom w:val="0"/>
                      <w:divBdr>
                        <w:top w:val="none" w:sz="0" w:space="0" w:color="auto"/>
                        <w:left w:val="none" w:sz="0" w:space="0" w:color="auto"/>
                        <w:bottom w:val="none" w:sz="0" w:space="0" w:color="auto"/>
                        <w:right w:val="none" w:sz="0" w:space="0" w:color="auto"/>
                      </w:divBdr>
                    </w:div>
                  </w:divsChild>
                </w:div>
                <w:div w:id="528106710">
                  <w:marLeft w:val="0"/>
                  <w:marRight w:val="0"/>
                  <w:marTop w:val="0"/>
                  <w:marBottom w:val="0"/>
                  <w:divBdr>
                    <w:top w:val="none" w:sz="0" w:space="0" w:color="auto"/>
                    <w:left w:val="none" w:sz="0" w:space="0" w:color="auto"/>
                    <w:bottom w:val="none" w:sz="0" w:space="0" w:color="auto"/>
                    <w:right w:val="none" w:sz="0" w:space="0" w:color="auto"/>
                  </w:divBdr>
                  <w:divsChild>
                    <w:div w:id="229846654">
                      <w:marLeft w:val="0"/>
                      <w:marRight w:val="0"/>
                      <w:marTop w:val="0"/>
                      <w:marBottom w:val="0"/>
                      <w:divBdr>
                        <w:top w:val="none" w:sz="0" w:space="0" w:color="auto"/>
                        <w:left w:val="none" w:sz="0" w:space="0" w:color="auto"/>
                        <w:bottom w:val="none" w:sz="0" w:space="0" w:color="auto"/>
                        <w:right w:val="none" w:sz="0" w:space="0" w:color="auto"/>
                      </w:divBdr>
                    </w:div>
                  </w:divsChild>
                </w:div>
                <w:div w:id="552666696">
                  <w:marLeft w:val="0"/>
                  <w:marRight w:val="0"/>
                  <w:marTop w:val="0"/>
                  <w:marBottom w:val="0"/>
                  <w:divBdr>
                    <w:top w:val="none" w:sz="0" w:space="0" w:color="auto"/>
                    <w:left w:val="none" w:sz="0" w:space="0" w:color="auto"/>
                    <w:bottom w:val="none" w:sz="0" w:space="0" w:color="auto"/>
                    <w:right w:val="none" w:sz="0" w:space="0" w:color="auto"/>
                  </w:divBdr>
                  <w:divsChild>
                    <w:div w:id="452139698">
                      <w:marLeft w:val="0"/>
                      <w:marRight w:val="0"/>
                      <w:marTop w:val="0"/>
                      <w:marBottom w:val="0"/>
                      <w:divBdr>
                        <w:top w:val="none" w:sz="0" w:space="0" w:color="auto"/>
                        <w:left w:val="none" w:sz="0" w:space="0" w:color="auto"/>
                        <w:bottom w:val="none" w:sz="0" w:space="0" w:color="auto"/>
                        <w:right w:val="none" w:sz="0" w:space="0" w:color="auto"/>
                      </w:divBdr>
                    </w:div>
                  </w:divsChild>
                </w:div>
                <w:div w:id="593127308">
                  <w:marLeft w:val="0"/>
                  <w:marRight w:val="0"/>
                  <w:marTop w:val="0"/>
                  <w:marBottom w:val="0"/>
                  <w:divBdr>
                    <w:top w:val="none" w:sz="0" w:space="0" w:color="auto"/>
                    <w:left w:val="none" w:sz="0" w:space="0" w:color="auto"/>
                    <w:bottom w:val="none" w:sz="0" w:space="0" w:color="auto"/>
                    <w:right w:val="none" w:sz="0" w:space="0" w:color="auto"/>
                  </w:divBdr>
                  <w:divsChild>
                    <w:div w:id="1696926682">
                      <w:marLeft w:val="0"/>
                      <w:marRight w:val="0"/>
                      <w:marTop w:val="0"/>
                      <w:marBottom w:val="0"/>
                      <w:divBdr>
                        <w:top w:val="none" w:sz="0" w:space="0" w:color="auto"/>
                        <w:left w:val="none" w:sz="0" w:space="0" w:color="auto"/>
                        <w:bottom w:val="none" w:sz="0" w:space="0" w:color="auto"/>
                        <w:right w:val="none" w:sz="0" w:space="0" w:color="auto"/>
                      </w:divBdr>
                    </w:div>
                  </w:divsChild>
                </w:div>
                <w:div w:id="764616413">
                  <w:marLeft w:val="0"/>
                  <w:marRight w:val="0"/>
                  <w:marTop w:val="0"/>
                  <w:marBottom w:val="0"/>
                  <w:divBdr>
                    <w:top w:val="none" w:sz="0" w:space="0" w:color="auto"/>
                    <w:left w:val="none" w:sz="0" w:space="0" w:color="auto"/>
                    <w:bottom w:val="none" w:sz="0" w:space="0" w:color="auto"/>
                    <w:right w:val="none" w:sz="0" w:space="0" w:color="auto"/>
                  </w:divBdr>
                  <w:divsChild>
                    <w:div w:id="1879120909">
                      <w:marLeft w:val="0"/>
                      <w:marRight w:val="0"/>
                      <w:marTop w:val="0"/>
                      <w:marBottom w:val="0"/>
                      <w:divBdr>
                        <w:top w:val="none" w:sz="0" w:space="0" w:color="auto"/>
                        <w:left w:val="none" w:sz="0" w:space="0" w:color="auto"/>
                        <w:bottom w:val="none" w:sz="0" w:space="0" w:color="auto"/>
                        <w:right w:val="none" w:sz="0" w:space="0" w:color="auto"/>
                      </w:divBdr>
                    </w:div>
                  </w:divsChild>
                </w:div>
                <w:div w:id="817382191">
                  <w:marLeft w:val="0"/>
                  <w:marRight w:val="0"/>
                  <w:marTop w:val="0"/>
                  <w:marBottom w:val="0"/>
                  <w:divBdr>
                    <w:top w:val="none" w:sz="0" w:space="0" w:color="auto"/>
                    <w:left w:val="none" w:sz="0" w:space="0" w:color="auto"/>
                    <w:bottom w:val="none" w:sz="0" w:space="0" w:color="auto"/>
                    <w:right w:val="none" w:sz="0" w:space="0" w:color="auto"/>
                  </w:divBdr>
                  <w:divsChild>
                    <w:div w:id="77214825">
                      <w:marLeft w:val="0"/>
                      <w:marRight w:val="0"/>
                      <w:marTop w:val="0"/>
                      <w:marBottom w:val="0"/>
                      <w:divBdr>
                        <w:top w:val="none" w:sz="0" w:space="0" w:color="auto"/>
                        <w:left w:val="none" w:sz="0" w:space="0" w:color="auto"/>
                        <w:bottom w:val="none" w:sz="0" w:space="0" w:color="auto"/>
                        <w:right w:val="none" w:sz="0" w:space="0" w:color="auto"/>
                      </w:divBdr>
                    </w:div>
                  </w:divsChild>
                </w:div>
                <w:div w:id="866481962">
                  <w:marLeft w:val="0"/>
                  <w:marRight w:val="0"/>
                  <w:marTop w:val="0"/>
                  <w:marBottom w:val="0"/>
                  <w:divBdr>
                    <w:top w:val="none" w:sz="0" w:space="0" w:color="auto"/>
                    <w:left w:val="none" w:sz="0" w:space="0" w:color="auto"/>
                    <w:bottom w:val="none" w:sz="0" w:space="0" w:color="auto"/>
                    <w:right w:val="none" w:sz="0" w:space="0" w:color="auto"/>
                  </w:divBdr>
                  <w:divsChild>
                    <w:div w:id="293800612">
                      <w:marLeft w:val="0"/>
                      <w:marRight w:val="0"/>
                      <w:marTop w:val="0"/>
                      <w:marBottom w:val="0"/>
                      <w:divBdr>
                        <w:top w:val="none" w:sz="0" w:space="0" w:color="auto"/>
                        <w:left w:val="none" w:sz="0" w:space="0" w:color="auto"/>
                        <w:bottom w:val="none" w:sz="0" w:space="0" w:color="auto"/>
                        <w:right w:val="none" w:sz="0" w:space="0" w:color="auto"/>
                      </w:divBdr>
                    </w:div>
                  </w:divsChild>
                </w:div>
                <w:div w:id="873348433">
                  <w:marLeft w:val="0"/>
                  <w:marRight w:val="0"/>
                  <w:marTop w:val="0"/>
                  <w:marBottom w:val="0"/>
                  <w:divBdr>
                    <w:top w:val="none" w:sz="0" w:space="0" w:color="auto"/>
                    <w:left w:val="none" w:sz="0" w:space="0" w:color="auto"/>
                    <w:bottom w:val="none" w:sz="0" w:space="0" w:color="auto"/>
                    <w:right w:val="none" w:sz="0" w:space="0" w:color="auto"/>
                  </w:divBdr>
                  <w:divsChild>
                    <w:div w:id="1605847250">
                      <w:marLeft w:val="0"/>
                      <w:marRight w:val="0"/>
                      <w:marTop w:val="0"/>
                      <w:marBottom w:val="0"/>
                      <w:divBdr>
                        <w:top w:val="none" w:sz="0" w:space="0" w:color="auto"/>
                        <w:left w:val="none" w:sz="0" w:space="0" w:color="auto"/>
                        <w:bottom w:val="none" w:sz="0" w:space="0" w:color="auto"/>
                        <w:right w:val="none" w:sz="0" w:space="0" w:color="auto"/>
                      </w:divBdr>
                    </w:div>
                  </w:divsChild>
                </w:div>
                <w:div w:id="914054092">
                  <w:marLeft w:val="0"/>
                  <w:marRight w:val="0"/>
                  <w:marTop w:val="0"/>
                  <w:marBottom w:val="0"/>
                  <w:divBdr>
                    <w:top w:val="none" w:sz="0" w:space="0" w:color="auto"/>
                    <w:left w:val="none" w:sz="0" w:space="0" w:color="auto"/>
                    <w:bottom w:val="none" w:sz="0" w:space="0" w:color="auto"/>
                    <w:right w:val="none" w:sz="0" w:space="0" w:color="auto"/>
                  </w:divBdr>
                  <w:divsChild>
                    <w:div w:id="6177421">
                      <w:marLeft w:val="0"/>
                      <w:marRight w:val="0"/>
                      <w:marTop w:val="0"/>
                      <w:marBottom w:val="0"/>
                      <w:divBdr>
                        <w:top w:val="none" w:sz="0" w:space="0" w:color="auto"/>
                        <w:left w:val="none" w:sz="0" w:space="0" w:color="auto"/>
                        <w:bottom w:val="none" w:sz="0" w:space="0" w:color="auto"/>
                        <w:right w:val="none" w:sz="0" w:space="0" w:color="auto"/>
                      </w:divBdr>
                    </w:div>
                  </w:divsChild>
                </w:div>
                <w:div w:id="927884069">
                  <w:marLeft w:val="0"/>
                  <w:marRight w:val="0"/>
                  <w:marTop w:val="0"/>
                  <w:marBottom w:val="0"/>
                  <w:divBdr>
                    <w:top w:val="none" w:sz="0" w:space="0" w:color="auto"/>
                    <w:left w:val="none" w:sz="0" w:space="0" w:color="auto"/>
                    <w:bottom w:val="none" w:sz="0" w:space="0" w:color="auto"/>
                    <w:right w:val="none" w:sz="0" w:space="0" w:color="auto"/>
                  </w:divBdr>
                  <w:divsChild>
                    <w:div w:id="1126697270">
                      <w:marLeft w:val="0"/>
                      <w:marRight w:val="0"/>
                      <w:marTop w:val="0"/>
                      <w:marBottom w:val="0"/>
                      <w:divBdr>
                        <w:top w:val="none" w:sz="0" w:space="0" w:color="auto"/>
                        <w:left w:val="none" w:sz="0" w:space="0" w:color="auto"/>
                        <w:bottom w:val="none" w:sz="0" w:space="0" w:color="auto"/>
                        <w:right w:val="none" w:sz="0" w:space="0" w:color="auto"/>
                      </w:divBdr>
                    </w:div>
                    <w:div w:id="1841768742">
                      <w:marLeft w:val="0"/>
                      <w:marRight w:val="0"/>
                      <w:marTop w:val="0"/>
                      <w:marBottom w:val="0"/>
                      <w:divBdr>
                        <w:top w:val="none" w:sz="0" w:space="0" w:color="auto"/>
                        <w:left w:val="none" w:sz="0" w:space="0" w:color="auto"/>
                        <w:bottom w:val="none" w:sz="0" w:space="0" w:color="auto"/>
                        <w:right w:val="none" w:sz="0" w:space="0" w:color="auto"/>
                      </w:divBdr>
                    </w:div>
                  </w:divsChild>
                </w:div>
                <w:div w:id="962420660">
                  <w:marLeft w:val="0"/>
                  <w:marRight w:val="0"/>
                  <w:marTop w:val="0"/>
                  <w:marBottom w:val="0"/>
                  <w:divBdr>
                    <w:top w:val="none" w:sz="0" w:space="0" w:color="auto"/>
                    <w:left w:val="none" w:sz="0" w:space="0" w:color="auto"/>
                    <w:bottom w:val="none" w:sz="0" w:space="0" w:color="auto"/>
                    <w:right w:val="none" w:sz="0" w:space="0" w:color="auto"/>
                  </w:divBdr>
                  <w:divsChild>
                    <w:div w:id="1138375519">
                      <w:marLeft w:val="0"/>
                      <w:marRight w:val="0"/>
                      <w:marTop w:val="0"/>
                      <w:marBottom w:val="0"/>
                      <w:divBdr>
                        <w:top w:val="none" w:sz="0" w:space="0" w:color="auto"/>
                        <w:left w:val="none" w:sz="0" w:space="0" w:color="auto"/>
                        <w:bottom w:val="none" w:sz="0" w:space="0" w:color="auto"/>
                        <w:right w:val="none" w:sz="0" w:space="0" w:color="auto"/>
                      </w:divBdr>
                    </w:div>
                  </w:divsChild>
                </w:div>
                <w:div w:id="969164438">
                  <w:marLeft w:val="0"/>
                  <w:marRight w:val="0"/>
                  <w:marTop w:val="0"/>
                  <w:marBottom w:val="0"/>
                  <w:divBdr>
                    <w:top w:val="none" w:sz="0" w:space="0" w:color="auto"/>
                    <w:left w:val="none" w:sz="0" w:space="0" w:color="auto"/>
                    <w:bottom w:val="none" w:sz="0" w:space="0" w:color="auto"/>
                    <w:right w:val="none" w:sz="0" w:space="0" w:color="auto"/>
                  </w:divBdr>
                  <w:divsChild>
                    <w:div w:id="537473025">
                      <w:marLeft w:val="0"/>
                      <w:marRight w:val="0"/>
                      <w:marTop w:val="0"/>
                      <w:marBottom w:val="0"/>
                      <w:divBdr>
                        <w:top w:val="none" w:sz="0" w:space="0" w:color="auto"/>
                        <w:left w:val="none" w:sz="0" w:space="0" w:color="auto"/>
                        <w:bottom w:val="none" w:sz="0" w:space="0" w:color="auto"/>
                        <w:right w:val="none" w:sz="0" w:space="0" w:color="auto"/>
                      </w:divBdr>
                    </w:div>
                  </w:divsChild>
                </w:div>
                <w:div w:id="1032337898">
                  <w:marLeft w:val="0"/>
                  <w:marRight w:val="0"/>
                  <w:marTop w:val="0"/>
                  <w:marBottom w:val="0"/>
                  <w:divBdr>
                    <w:top w:val="none" w:sz="0" w:space="0" w:color="auto"/>
                    <w:left w:val="none" w:sz="0" w:space="0" w:color="auto"/>
                    <w:bottom w:val="none" w:sz="0" w:space="0" w:color="auto"/>
                    <w:right w:val="none" w:sz="0" w:space="0" w:color="auto"/>
                  </w:divBdr>
                  <w:divsChild>
                    <w:div w:id="1140417865">
                      <w:marLeft w:val="0"/>
                      <w:marRight w:val="0"/>
                      <w:marTop w:val="0"/>
                      <w:marBottom w:val="0"/>
                      <w:divBdr>
                        <w:top w:val="none" w:sz="0" w:space="0" w:color="auto"/>
                        <w:left w:val="none" w:sz="0" w:space="0" w:color="auto"/>
                        <w:bottom w:val="none" w:sz="0" w:space="0" w:color="auto"/>
                        <w:right w:val="none" w:sz="0" w:space="0" w:color="auto"/>
                      </w:divBdr>
                    </w:div>
                  </w:divsChild>
                </w:div>
                <w:div w:id="1032342923">
                  <w:marLeft w:val="0"/>
                  <w:marRight w:val="0"/>
                  <w:marTop w:val="0"/>
                  <w:marBottom w:val="0"/>
                  <w:divBdr>
                    <w:top w:val="none" w:sz="0" w:space="0" w:color="auto"/>
                    <w:left w:val="none" w:sz="0" w:space="0" w:color="auto"/>
                    <w:bottom w:val="none" w:sz="0" w:space="0" w:color="auto"/>
                    <w:right w:val="none" w:sz="0" w:space="0" w:color="auto"/>
                  </w:divBdr>
                  <w:divsChild>
                    <w:div w:id="1936283556">
                      <w:marLeft w:val="0"/>
                      <w:marRight w:val="0"/>
                      <w:marTop w:val="0"/>
                      <w:marBottom w:val="0"/>
                      <w:divBdr>
                        <w:top w:val="none" w:sz="0" w:space="0" w:color="auto"/>
                        <w:left w:val="none" w:sz="0" w:space="0" w:color="auto"/>
                        <w:bottom w:val="none" w:sz="0" w:space="0" w:color="auto"/>
                        <w:right w:val="none" w:sz="0" w:space="0" w:color="auto"/>
                      </w:divBdr>
                    </w:div>
                  </w:divsChild>
                </w:div>
                <w:div w:id="1159418062">
                  <w:marLeft w:val="0"/>
                  <w:marRight w:val="0"/>
                  <w:marTop w:val="0"/>
                  <w:marBottom w:val="0"/>
                  <w:divBdr>
                    <w:top w:val="none" w:sz="0" w:space="0" w:color="auto"/>
                    <w:left w:val="none" w:sz="0" w:space="0" w:color="auto"/>
                    <w:bottom w:val="none" w:sz="0" w:space="0" w:color="auto"/>
                    <w:right w:val="none" w:sz="0" w:space="0" w:color="auto"/>
                  </w:divBdr>
                  <w:divsChild>
                    <w:div w:id="555166421">
                      <w:marLeft w:val="0"/>
                      <w:marRight w:val="0"/>
                      <w:marTop w:val="0"/>
                      <w:marBottom w:val="0"/>
                      <w:divBdr>
                        <w:top w:val="none" w:sz="0" w:space="0" w:color="auto"/>
                        <w:left w:val="none" w:sz="0" w:space="0" w:color="auto"/>
                        <w:bottom w:val="none" w:sz="0" w:space="0" w:color="auto"/>
                        <w:right w:val="none" w:sz="0" w:space="0" w:color="auto"/>
                      </w:divBdr>
                    </w:div>
                  </w:divsChild>
                </w:div>
                <w:div w:id="1214196478">
                  <w:marLeft w:val="0"/>
                  <w:marRight w:val="0"/>
                  <w:marTop w:val="0"/>
                  <w:marBottom w:val="0"/>
                  <w:divBdr>
                    <w:top w:val="none" w:sz="0" w:space="0" w:color="auto"/>
                    <w:left w:val="none" w:sz="0" w:space="0" w:color="auto"/>
                    <w:bottom w:val="none" w:sz="0" w:space="0" w:color="auto"/>
                    <w:right w:val="none" w:sz="0" w:space="0" w:color="auto"/>
                  </w:divBdr>
                  <w:divsChild>
                    <w:div w:id="1583372039">
                      <w:marLeft w:val="0"/>
                      <w:marRight w:val="0"/>
                      <w:marTop w:val="0"/>
                      <w:marBottom w:val="0"/>
                      <w:divBdr>
                        <w:top w:val="none" w:sz="0" w:space="0" w:color="auto"/>
                        <w:left w:val="none" w:sz="0" w:space="0" w:color="auto"/>
                        <w:bottom w:val="none" w:sz="0" w:space="0" w:color="auto"/>
                        <w:right w:val="none" w:sz="0" w:space="0" w:color="auto"/>
                      </w:divBdr>
                    </w:div>
                  </w:divsChild>
                </w:div>
                <w:div w:id="1221289767">
                  <w:marLeft w:val="0"/>
                  <w:marRight w:val="0"/>
                  <w:marTop w:val="0"/>
                  <w:marBottom w:val="0"/>
                  <w:divBdr>
                    <w:top w:val="none" w:sz="0" w:space="0" w:color="auto"/>
                    <w:left w:val="none" w:sz="0" w:space="0" w:color="auto"/>
                    <w:bottom w:val="none" w:sz="0" w:space="0" w:color="auto"/>
                    <w:right w:val="none" w:sz="0" w:space="0" w:color="auto"/>
                  </w:divBdr>
                  <w:divsChild>
                    <w:div w:id="100145202">
                      <w:marLeft w:val="0"/>
                      <w:marRight w:val="0"/>
                      <w:marTop w:val="0"/>
                      <w:marBottom w:val="0"/>
                      <w:divBdr>
                        <w:top w:val="none" w:sz="0" w:space="0" w:color="auto"/>
                        <w:left w:val="none" w:sz="0" w:space="0" w:color="auto"/>
                        <w:bottom w:val="none" w:sz="0" w:space="0" w:color="auto"/>
                        <w:right w:val="none" w:sz="0" w:space="0" w:color="auto"/>
                      </w:divBdr>
                    </w:div>
                  </w:divsChild>
                </w:div>
                <w:div w:id="1237477032">
                  <w:marLeft w:val="0"/>
                  <w:marRight w:val="0"/>
                  <w:marTop w:val="0"/>
                  <w:marBottom w:val="0"/>
                  <w:divBdr>
                    <w:top w:val="none" w:sz="0" w:space="0" w:color="auto"/>
                    <w:left w:val="none" w:sz="0" w:space="0" w:color="auto"/>
                    <w:bottom w:val="none" w:sz="0" w:space="0" w:color="auto"/>
                    <w:right w:val="none" w:sz="0" w:space="0" w:color="auto"/>
                  </w:divBdr>
                  <w:divsChild>
                    <w:div w:id="45498177">
                      <w:marLeft w:val="0"/>
                      <w:marRight w:val="0"/>
                      <w:marTop w:val="0"/>
                      <w:marBottom w:val="0"/>
                      <w:divBdr>
                        <w:top w:val="none" w:sz="0" w:space="0" w:color="auto"/>
                        <w:left w:val="none" w:sz="0" w:space="0" w:color="auto"/>
                        <w:bottom w:val="none" w:sz="0" w:space="0" w:color="auto"/>
                        <w:right w:val="none" w:sz="0" w:space="0" w:color="auto"/>
                      </w:divBdr>
                    </w:div>
                  </w:divsChild>
                </w:div>
                <w:div w:id="1350375505">
                  <w:marLeft w:val="0"/>
                  <w:marRight w:val="0"/>
                  <w:marTop w:val="0"/>
                  <w:marBottom w:val="0"/>
                  <w:divBdr>
                    <w:top w:val="none" w:sz="0" w:space="0" w:color="auto"/>
                    <w:left w:val="none" w:sz="0" w:space="0" w:color="auto"/>
                    <w:bottom w:val="none" w:sz="0" w:space="0" w:color="auto"/>
                    <w:right w:val="none" w:sz="0" w:space="0" w:color="auto"/>
                  </w:divBdr>
                  <w:divsChild>
                    <w:div w:id="530535162">
                      <w:marLeft w:val="0"/>
                      <w:marRight w:val="0"/>
                      <w:marTop w:val="0"/>
                      <w:marBottom w:val="0"/>
                      <w:divBdr>
                        <w:top w:val="none" w:sz="0" w:space="0" w:color="auto"/>
                        <w:left w:val="none" w:sz="0" w:space="0" w:color="auto"/>
                        <w:bottom w:val="none" w:sz="0" w:space="0" w:color="auto"/>
                        <w:right w:val="none" w:sz="0" w:space="0" w:color="auto"/>
                      </w:divBdr>
                    </w:div>
                  </w:divsChild>
                </w:div>
                <w:div w:id="1417097594">
                  <w:marLeft w:val="0"/>
                  <w:marRight w:val="0"/>
                  <w:marTop w:val="0"/>
                  <w:marBottom w:val="0"/>
                  <w:divBdr>
                    <w:top w:val="none" w:sz="0" w:space="0" w:color="auto"/>
                    <w:left w:val="none" w:sz="0" w:space="0" w:color="auto"/>
                    <w:bottom w:val="none" w:sz="0" w:space="0" w:color="auto"/>
                    <w:right w:val="none" w:sz="0" w:space="0" w:color="auto"/>
                  </w:divBdr>
                  <w:divsChild>
                    <w:div w:id="1872186275">
                      <w:marLeft w:val="0"/>
                      <w:marRight w:val="0"/>
                      <w:marTop w:val="0"/>
                      <w:marBottom w:val="0"/>
                      <w:divBdr>
                        <w:top w:val="none" w:sz="0" w:space="0" w:color="auto"/>
                        <w:left w:val="none" w:sz="0" w:space="0" w:color="auto"/>
                        <w:bottom w:val="none" w:sz="0" w:space="0" w:color="auto"/>
                        <w:right w:val="none" w:sz="0" w:space="0" w:color="auto"/>
                      </w:divBdr>
                    </w:div>
                  </w:divsChild>
                </w:div>
                <w:div w:id="1466780158">
                  <w:marLeft w:val="0"/>
                  <w:marRight w:val="0"/>
                  <w:marTop w:val="0"/>
                  <w:marBottom w:val="0"/>
                  <w:divBdr>
                    <w:top w:val="none" w:sz="0" w:space="0" w:color="auto"/>
                    <w:left w:val="none" w:sz="0" w:space="0" w:color="auto"/>
                    <w:bottom w:val="none" w:sz="0" w:space="0" w:color="auto"/>
                    <w:right w:val="none" w:sz="0" w:space="0" w:color="auto"/>
                  </w:divBdr>
                  <w:divsChild>
                    <w:div w:id="550462743">
                      <w:marLeft w:val="0"/>
                      <w:marRight w:val="0"/>
                      <w:marTop w:val="0"/>
                      <w:marBottom w:val="0"/>
                      <w:divBdr>
                        <w:top w:val="none" w:sz="0" w:space="0" w:color="auto"/>
                        <w:left w:val="none" w:sz="0" w:space="0" w:color="auto"/>
                        <w:bottom w:val="none" w:sz="0" w:space="0" w:color="auto"/>
                        <w:right w:val="none" w:sz="0" w:space="0" w:color="auto"/>
                      </w:divBdr>
                    </w:div>
                  </w:divsChild>
                </w:div>
                <w:div w:id="1507551615">
                  <w:marLeft w:val="0"/>
                  <w:marRight w:val="0"/>
                  <w:marTop w:val="0"/>
                  <w:marBottom w:val="0"/>
                  <w:divBdr>
                    <w:top w:val="none" w:sz="0" w:space="0" w:color="auto"/>
                    <w:left w:val="none" w:sz="0" w:space="0" w:color="auto"/>
                    <w:bottom w:val="none" w:sz="0" w:space="0" w:color="auto"/>
                    <w:right w:val="none" w:sz="0" w:space="0" w:color="auto"/>
                  </w:divBdr>
                  <w:divsChild>
                    <w:div w:id="1304382398">
                      <w:marLeft w:val="0"/>
                      <w:marRight w:val="0"/>
                      <w:marTop w:val="0"/>
                      <w:marBottom w:val="0"/>
                      <w:divBdr>
                        <w:top w:val="none" w:sz="0" w:space="0" w:color="auto"/>
                        <w:left w:val="none" w:sz="0" w:space="0" w:color="auto"/>
                        <w:bottom w:val="none" w:sz="0" w:space="0" w:color="auto"/>
                        <w:right w:val="none" w:sz="0" w:space="0" w:color="auto"/>
                      </w:divBdr>
                    </w:div>
                  </w:divsChild>
                </w:div>
                <w:div w:id="1577084693">
                  <w:marLeft w:val="0"/>
                  <w:marRight w:val="0"/>
                  <w:marTop w:val="0"/>
                  <w:marBottom w:val="0"/>
                  <w:divBdr>
                    <w:top w:val="none" w:sz="0" w:space="0" w:color="auto"/>
                    <w:left w:val="none" w:sz="0" w:space="0" w:color="auto"/>
                    <w:bottom w:val="none" w:sz="0" w:space="0" w:color="auto"/>
                    <w:right w:val="none" w:sz="0" w:space="0" w:color="auto"/>
                  </w:divBdr>
                  <w:divsChild>
                    <w:div w:id="1557813960">
                      <w:marLeft w:val="0"/>
                      <w:marRight w:val="0"/>
                      <w:marTop w:val="0"/>
                      <w:marBottom w:val="0"/>
                      <w:divBdr>
                        <w:top w:val="none" w:sz="0" w:space="0" w:color="auto"/>
                        <w:left w:val="none" w:sz="0" w:space="0" w:color="auto"/>
                        <w:bottom w:val="none" w:sz="0" w:space="0" w:color="auto"/>
                        <w:right w:val="none" w:sz="0" w:space="0" w:color="auto"/>
                      </w:divBdr>
                    </w:div>
                  </w:divsChild>
                </w:div>
                <w:div w:id="1608124938">
                  <w:marLeft w:val="0"/>
                  <w:marRight w:val="0"/>
                  <w:marTop w:val="0"/>
                  <w:marBottom w:val="0"/>
                  <w:divBdr>
                    <w:top w:val="none" w:sz="0" w:space="0" w:color="auto"/>
                    <w:left w:val="none" w:sz="0" w:space="0" w:color="auto"/>
                    <w:bottom w:val="none" w:sz="0" w:space="0" w:color="auto"/>
                    <w:right w:val="none" w:sz="0" w:space="0" w:color="auto"/>
                  </w:divBdr>
                  <w:divsChild>
                    <w:div w:id="1571767907">
                      <w:marLeft w:val="0"/>
                      <w:marRight w:val="0"/>
                      <w:marTop w:val="0"/>
                      <w:marBottom w:val="0"/>
                      <w:divBdr>
                        <w:top w:val="none" w:sz="0" w:space="0" w:color="auto"/>
                        <w:left w:val="none" w:sz="0" w:space="0" w:color="auto"/>
                        <w:bottom w:val="none" w:sz="0" w:space="0" w:color="auto"/>
                        <w:right w:val="none" w:sz="0" w:space="0" w:color="auto"/>
                      </w:divBdr>
                    </w:div>
                  </w:divsChild>
                </w:div>
                <w:div w:id="1613710414">
                  <w:marLeft w:val="0"/>
                  <w:marRight w:val="0"/>
                  <w:marTop w:val="0"/>
                  <w:marBottom w:val="0"/>
                  <w:divBdr>
                    <w:top w:val="none" w:sz="0" w:space="0" w:color="auto"/>
                    <w:left w:val="none" w:sz="0" w:space="0" w:color="auto"/>
                    <w:bottom w:val="none" w:sz="0" w:space="0" w:color="auto"/>
                    <w:right w:val="none" w:sz="0" w:space="0" w:color="auto"/>
                  </w:divBdr>
                  <w:divsChild>
                    <w:div w:id="677923154">
                      <w:marLeft w:val="0"/>
                      <w:marRight w:val="0"/>
                      <w:marTop w:val="0"/>
                      <w:marBottom w:val="0"/>
                      <w:divBdr>
                        <w:top w:val="none" w:sz="0" w:space="0" w:color="auto"/>
                        <w:left w:val="none" w:sz="0" w:space="0" w:color="auto"/>
                        <w:bottom w:val="none" w:sz="0" w:space="0" w:color="auto"/>
                        <w:right w:val="none" w:sz="0" w:space="0" w:color="auto"/>
                      </w:divBdr>
                    </w:div>
                  </w:divsChild>
                </w:div>
                <w:div w:id="1842161506">
                  <w:marLeft w:val="0"/>
                  <w:marRight w:val="0"/>
                  <w:marTop w:val="0"/>
                  <w:marBottom w:val="0"/>
                  <w:divBdr>
                    <w:top w:val="none" w:sz="0" w:space="0" w:color="auto"/>
                    <w:left w:val="none" w:sz="0" w:space="0" w:color="auto"/>
                    <w:bottom w:val="none" w:sz="0" w:space="0" w:color="auto"/>
                    <w:right w:val="none" w:sz="0" w:space="0" w:color="auto"/>
                  </w:divBdr>
                  <w:divsChild>
                    <w:div w:id="954020957">
                      <w:marLeft w:val="0"/>
                      <w:marRight w:val="0"/>
                      <w:marTop w:val="0"/>
                      <w:marBottom w:val="0"/>
                      <w:divBdr>
                        <w:top w:val="none" w:sz="0" w:space="0" w:color="auto"/>
                        <w:left w:val="none" w:sz="0" w:space="0" w:color="auto"/>
                        <w:bottom w:val="none" w:sz="0" w:space="0" w:color="auto"/>
                        <w:right w:val="none" w:sz="0" w:space="0" w:color="auto"/>
                      </w:divBdr>
                    </w:div>
                  </w:divsChild>
                </w:div>
                <w:div w:id="1847136144">
                  <w:marLeft w:val="0"/>
                  <w:marRight w:val="0"/>
                  <w:marTop w:val="0"/>
                  <w:marBottom w:val="0"/>
                  <w:divBdr>
                    <w:top w:val="none" w:sz="0" w:space="0" w:color="auto"/>
                    <w:left w:val="none" w:sz="0" w:space="0" w:color="auto"/>
                    <w:bottom w:val="none" w:sz="0" w:space="0" w:color="auto"/>
                    <w:right w:val="none" w:sz="0" w:space="0" w:color="auto"/>
                  </w:divBdr>
                  <w:divsChild>
                    <w:div w:id="1605069497">
                      <w:marLeft w:val="0"/>
                      <w:marRight w:val="0"/>
                      <w:marTop w:val="0"/>
                      <w:marBottom w:val="0"/>
                      <w:divBdr>
                        <w:top w:val="none" w:sz="0" w:space="0" w:color="auto"/>
                        <w:left w:val="none" w:sz="0" w:space="0" w:color="auto"/>
                        <w:bottom w:val="none" w:sz="0" w:space="0" w:color="auto"/>
                        <w:right w:val="none" w:sz="0" w:space="0" w:color="auto"/>
                      </w:divBdr>
                    </w:div>
                  </w:divsChild>
                </w:div>
                <w:div w:id="1857308309">
                  <w:marLeft w:val="0"/>
                  <w:marRight w:val="0"/>
                  <w:marTop w:val="0"/>
                  <w:marBottom w:val="0"/>
                  <w:divBdr>
                    <w:top w:val="none" w:sz="0" w:space="0" w:color="auto"/>
                    <w:left w:val="none" w:sz="0" w:space="0" w:color="auto"/>
                    <w:bottom w:val="none" w:sz="0" w:space="0" w:color="auto"/>
                    <w:right w:val="none" w:sz="0" w:space="0" w:color="auto"/>
                  </w:divBdr>
                  <w:divsChild>
                    <w:div w:id="1472358467">
                      <w:marLeft w:val="0"/>
                      <w:marRight w:val="0"/>
                      <w:marTop w:val="0"/>
                      <w:marBottom w:val="0"/>
                      <w:divBdr>
                        <w:top w:val="none" w:sz="0" w:space="0" w:color="auto"/>
                        <w:left w:val="none" w:sz="0" w:space="0" w:color="auto"/>
                        <w:bottom w:val="none" w:sz="0" w:space="0" w:color="auto"/>
                        <w:right w:val="none" w:sz="0" w:space="0" w:color="auto"/>
                      </w:divBdr>
                    </w:div>
                  </w:divsChild>
                </w:div>
                <w:div w:id="1865633707">
                  <w:marLeft w:val="0"/>
                  <w:marRight w:val="0"/>
                  <w:marTop w:val="0"/>
                  <w:marBottom w:val="0"/>
                  <w:divBdr>
                    <w:top w:val="none" w:sz="0" w:space="0" w:color="auto"/>
                    <w:left w:val="none" w:sz="0" w:space="0" w:color="auto"/>
                    <w:bottom w:val="none" w:sz="0" w:space="0" w:color="auto"/>
                    <w:right w:val="none" w:sz="0" w:space="0" w:color="auto"/>
                  </w:divBdr>
                  <w:divsChild>
                    <w:div w:id="54552529">
                      <w:marLeft w:val="0"/>
                      <w:marRight w:val="0"/>
                      <w:marTop w:val="0"/>
                      <w:marBottom w:val="0"/>
                      <w:divBdr>
                        <w:top w:val="none" w:sz="0" w:space="0" w:color="auto"/>
                        <w:left w:val="none" w:sz="0" w:space="0" w:color="auto"/>
                        <w:bottom w:val="none" w:sz="0" w:space="0" w:color="auto"/>
                        <w:right w:val="none" w:sz="0" w:space="0" w:color="auto"/>
                      </w:divBdr>
                    </w:div>
                  </w:divsChild>
                </w:div>
                <w:div w:id="1866552806">
                  <w:marLeft w:val="0"/>
                  <w:marRight w:val="0"/>
                  <w:marTop w:val="0"/>
                  <w:marBottom w:val="0"/>
                  <w:divBdr>
                    <w:top w:val="none" w:sz="0" w:space="0" w:color="auto"/>
                    <w:left w:val="none" w:sz="0" w:space="0" w:color="auto"/>
                    <w:bottom w:val="none" w:sz="0" w:space="0" w:color="auto"/>
                    <w:right w:val="none" w:sz="0" w:space="0" w:color="auto"/>
                  </w:divBdr>
                  <w:divsChild>
                    <w:div w:id="1627850792">
                      <w:marLeft w:val="0"/>
                      <w:marRight w:val="0"/>
                      <w:marTop w:val="0"/>
                      <w:marBottom w:val="0"/>
                      <w:divBdr>
                        <w:top w:val="none" w:sz="0" w:space="0" w:color="auto"/>
                        <w:left w:val="none" w:sz="0" w:space="0" w:color="auto"/>
                        <w:bottom w:val="none" w:sz="0" w:space="0" w:color="auto"/>
                        <w:right w:val="none" w:sz="0" w:space="0" w:color="auto"/>
                      </w:divBdr>
                    </w:div>
                  </w:divsChild>
                </w:div>
                <w:div w:id="1922829654">
                  <w:marLeft w:val="0"/>
                  <w:marRight w:val="0"/>
                  <w:marTop w:val="0"/>
                  <w:marBottom w:val="0"/>
                  <w:divBdr>
                    <w:top w:val="none" w:sz="0" w:space="0" w:color="auto"/>
                    <w:left w:val="none" w:sz="0" w:space="0" w:color="auto"/>
                    <w:bottom w:val="none" w:sz="0" w:space="0" w:color="auto"/>
                    <w:right w:val="none" w:sz="0" w:space="0" w:color="auto"/>
                  </w:divBdr>
                  <w:divsChild>
                    <w:div w:id="363599473">
                      <w:marLeft w:val="0"/>
                      <w:marRight w:val="0"/>
                      <w:marTop w:val="0"/>
                      <w:marBottom w:val="0"/>
                      <w:divBdr>
                        <w:top w:val="none" w:sz="0" w:space="0" w:color="auto"/>
                        <w:left w:val="none" w:sz="0" w:space="0" w:color="auto"/>
                        <w:bottom w:val="none" w:sz="0" w:space="0" w:color="auto"/>
                        <w:right w:val="none" w:sz="0" w:space="0" w:color="auto"/>
                      </w:divBdr>
                    </w:div>
                    <w:div w:id="1526674373">
                      <w:marLeft w:val="0"/>
                      <w:marRight w:val="0"/>
                      <w:marTop w:val="0"/>
                      <w:marBottom w:val="0"/>
                      <w:divBdr>
                        <w:top w:val="none" w:sz="0" w:space="0" w:color="auto"/>
                        <w:left w:val="none" w:sz="0" w:space="0" w:color="auto"/>
                        <w:bottom w:val="none" w:sz="0" w:space="0" w:color="auto"/>
                        <w:right w:val="none" w:sz="0" w:space="0" w:color="auto"/>
                      </w:divBdr>
                    </w:div>
                  </w:divsChild>
                </w:div>
                <w:div w:id="1944337523">
                  <w:marLeft w:val="0"/>
                  <w:marRight w:val="0"/>
                  <w:marTop w:val="0"/>
                  <w:marBottom w:val="0"/>
                  <w:divBdr>
                    <w:top w:val="none" w:sz="0" w:space="0" w:color="auto"/>
                    <w:left w:val="none" w:sz="0" w:space="0" w:color="auto"/>
                    <w:bottom w:val="none" w:sz="0" w:space="0" w:color="auto"/>
                    <w:right w:val="none" w:sz="0" w:space="0" w:color="auto"/>
                  </w:divBdr>
                  <w:divsChild>
                    <w:div w:id="590040893">
                      <w:marLeft w:val="0"/>
                      <w:marRight w:val="0"/>
                      <w:marTop w:val="0"/>
                      <w:marBottom w:val="0"/>
                      <w:divBdr>
                        <w:top w:val="none" w:sz="0" w:space="0" w:color="auto"/>
                        <w:left w:val="none" w:sz="0" w:space="0" w:color="auto"/>
                        <w:bottom w:val="none" w:sz="0" w:space="0" w:color="auto"/>
                        <w:right w:val="none" w:sz="0" w:space="0" w:color="auto"/>
                      </w:divBdr>
                    </w:div>
                  </w:divsChild>
                </w:div>
                <w:div w:id="1950041007">
                  <w:marLeft w:val="0"/>
                  <w:marRight w:val="0"/>
                  <w:marTop w:val="0"/>
                  <w:marBottom w:val="0"/>
                  <w:divBdr>
                    <w:top w:val="none" w:sz="0" w:space="0" w:color="auto"/>
                    <w:left w:val="none" w:sz="0" w:space="0" w:color="auto"/>
                    <w:bottom w:val="none" w:sz="0" w:space="0" w:color="auto"/>
                    <w:right w:val="none" w:sz="0" w:space="0" w:color="auto"/>
                  </w:divBdr>
                  <w:divsChild>
                    <w:div w:id="953826091">
                      <w:marLeft w:val="0"/>
                      <w:marRight w:val="0"/>
                      <w:marTop w:val="0"/>
                      <w:marBottom w:val="0"/>
                      <w:divBdr>
                        <w:top w:val="none" w:sz="0" w:space="0" w:color="auto"/>
                        <w:left w:val="none" w:sz="0" w:space="0" w:color="auto"/>
                        <w:bottom w:val="none" w:sz="0" w:space="0" w:color="auto"/>
                        <w:right w:val="none" w:sz="0" w:space="0" w:color="auto"/>
                      </w:divBdr>
                    </w:div>
                  </w:divsChild>
                </w:div>
                <w:div w:id="2092461023">
                  <w:marLeft w:val="0"/>
                  <w:marRight w:val="0"/>
                  <w:marTop w:val="0"/>
                  <w:marBottom w:val="0"/>
                  <w:divBdr>
                    <w:top w:val="none" w:sz="0" w:space="0" w:color="auto"/>
                    <w:left w:val="none" w:sz="0" w:space="0" w:color="auto"/>
                    <w:bottom w:val="none" w:sz="0" w:space="0" w:color="auto"/>
                    <w:right w:val="none" w:sz="0" w:space="0" w:color="auto"/>
                  </w:divBdr>
                  <w:divsChild>
                    <w:div w:id="6102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454526">
          <w:marLeft w:val="0"/>
          <w:marRight w:val="0"/>
          <w:marTop w:val="0"/>
          <w:marBottom w:val="0"/>
          <w:divBdr>
            <w:top w:val="none" w:sz="0" w:space="0" w:color="auto"/>
            <w:left w:val="none" w:sz="0" w:space="0" w:color="auto"/>
            <w:bottom w:val="none" w:sz="0" w:space="0" w:color="auto"/>
            <w:right w:val="none" w:sz="0" w:space="0" w:color="auto"/>
          </w:divBdr>
        </w:div>
        <w:div w:id="1199583415">
          <w:marLeft w:val="0"/>
          <w:marRight w:val="0"/>
          <w:marTop w:val="0"/>
          <w:marBottom w:val="0"/>
          <w:divBdr>
            <w:top w:val="none" w:sz="0" w:space="0" w:color="auto"/>
            <w:left w:val="none" w:sz="0" w:space="0" w:color="auto"/>
            <w:bottom w:val="none" w:sz="0" w:space="0" w:color="auto"/>
            <w:right w:val="none" w:sz="0" w:space="0" w:color="auto"/>
          </w:divBdr>
          <w:divsChild>
            <w:div w:id="230849346">
              <w:marLeft w:val="0"/>
              <w:marRight w:val="0"/>
              <w:marTop w:val="0"/>
              <w:marBottom w:val="0"/>
              <w:divBdr>
                <w:top w:val="none" w:sz="0" w:space="0" w:color="auto"/>
                <w:left w:val="none" w:sz="0" w:space="0" w:color="auto"/>
                <w:bottom w:val="none" w:sz="0" w:space="0" w:color="auto"/>
                <w:right w:val="none" w:sz="0" w:space="0" w:color="auto"/>
              </w:divBdr>
            </w:div>
            <w:div w:id="524367344">
              <w:marLeft w:val="0"/>
              <w:marRight w:val="0"/>
              <w:marTop w:val="0"/>
              <w:marBottom w:val="0"/>
              <w:divBdr>
                <w:top w:val="none" w:sz="0" w:space="0" w:color="auto"/>
                <w:left w:val="none" w:sz="0" w:space="0" w:color="auto"/>
                <w:bottom w:val="none" w:sz="0" w:space="0" w:color="auto"/>
                <w:right w:val="none" w:sz="0" w:space="0" w:color="auto"/>
              </w:divBdr>
            </w:div>
            <w:div w:id="1043557635">
              <w:marLeft w:val="0"/>
              <w:marRight w:val="0"/>
              <w:marTop w:val="0"/>
              <w:marBottom w:val="0"/>
              <w:divBdr>
                <w:top w:val="none" w:sz="0" w:space="0" w:color="auto"/>
                <w:left w:val="none" w:sz="0" w:space="0" w:color="auto"/>
                <w:bottom w:val="none" w:sz="0" w:space="0" w:color="auto"/>
                <w:right w:val="none" w:sz="0" w:space="0" w:color="auto"/>
              </w:divBdr>
            </w:div>
            <w:div w:id="1587769018">
              <w:marLeft w:val="0"/>
              <w:marRight w:val="0"/>
              <w:marTop w:val="0"/>
              <w:marBottom w:val="0"/>
              <w:divBdr>
                <w:top w:val="none" w:sz="0" w:space="0" w:color="auto"/>
                <w:left w:val="none" w:sz="0" w:space="0" w:color="auto"/>
                <w:bottom w:val="none" w:sz="0" w:space="0" w:color="auto"/>
                <w:right w:val="none" w:sz="0" w:space="0" w:color="auto"/>
              </w:divBdr>
            </w:div>
            <w:div w:id="1894809489">
              <w:marLeft w:val="0"/>
              <w:marRight w:val="0"/>
              <w:marTop w:val="0"/>
              <w:marBottom w:val="0"/>
              <w:divBdr>
                <w:top w:val="none" w:sz="0" w:space="0" w:color="auto"/>
                <w:left w:val="none" w:sz="0" w:space="0" w:color="auto"/>
                <w:bottom w:val="none" w:sz="0" w:space="0" w:color="auto"/>
                <w:right w:val="none" w:sz="0" w:space="0" w:color="auto"/>
              </w:divBdr>
            </w:div>
          </w:divsChild>
        </w:div>
        <w:div w:id="1238781649">
          <w:marLeft w:val="0"/>
          <w:marRight w:val="0"/>
          <w:marTop w:val="0"/>
          <w:marBottom w:val="0"/>
          <w:divBdr>
            <w:top w:val="none" w:sz="0" w:space="0" w:color="auto"/>
            <w:left w:val="none" w:sz="0" w:space="0" w:color="auto"/>
            <w:bottom w:val="none" w:sz="0" w:space="0" w:color="auto"/>
            <w:right w:val="none" w:sz="0" w:space="0" w:color="auto"/>
          </w:divBdr>
        </w:div>
        <w:div w:id="1294795444">
          <w:marLeft w:val="0"/>
          <w:marRight w:val="0"/>
          <w:marTop w:val="0"/>
          <w:marBottom w:val="0"/>
          <w:divBdr>
            <w:top w:val="none" w:sz="0" w:space="0" w:color="auto"/>
            <w:left w:val="none" w:sz="0" w:space="0" w:color="auto"/>
            <w:bottom w:val="none" w:sz="0" w:space="0" w:color="auto"/>
            <w:right w:val="none" w:sz="0" w:space="0" w:color="auto"/>
          </w:divBdr>
          <w:divsChild>
            <w:div w:id="1691830359">
              <w:marLeft w:val="-75"/>
              <w:marRight w:val="0"/>
              <w:marTop w:val="30"/>
              <w:marBottom w:val="30"/>
              <w:divBdr>
                <w:top w:val="none" w:sz="0" w:space="0" w:color="auto"/>
                <w:left w:val="none" w:sz="0" w:space="0" w:color="auto"/>
                <w:bottom w:val="none" w:sz="0" w:space="0" w:color="auto"/>
                <w:right w:val="none" w:sz="0" w:space="0" w:color="auto"/>
              </w:divBdr>
              <w:divsChild>
                <w:div w:id="71315679">
                  <w:marLeft w:val="0"/>
                  <w:marRight w:val="0"/>
                  <w:marTop w:val="0"/>
                  <w:marBottom w:val="0"/>
                  <w:divBdr>
                    <w:top w:val="none" w:sz="0" w:space="0" w:color="auto"/>
                    <w:left w:val="none" w:sz="0" w:space="0" w:color="auto"/>
                    <w:bottom w:val="none" w:sz="0" w:space="0" w:color="auto"/>
                    <w:right w:val="none" w:sz="0" w:space="0" w:color="auto"/>
                  </w:divBdr>
                  <w:divsChild>
                    <w:div w:id="1297680918">
                      <w:marLeft w:val="0"/>
                      <w:marRight w:val="0"/>
                      <w:marTop w:val="0"/>
                      <w:marBottom w:val="0"/>
                      <w:divBdr>
                        <w:top w:val="none" w:sz="0" w:space="0" w:color="auto"/>
                        <w:left w:val="none" w:sz="0" w:space="0" w:color="auto"/>
                        <w:bottom w:val="none" w:sz="0" w:space="0" w:color="auto"/>
                        <w:right w:val="none" w:sz="0" w:space="0" w:color="auto"/>
                      </w:divBdr>
                    </w:div>
                  </w:divsChild>
                </w:div>
                <w:div w:id="113915494">
                  <w:marLeft w:val="0"/>
                  <w:marRight w:val="0"/>
                  <w:marTop w:val="0"/>
                  <w:marBottom w:val="0"/>
                  <w:divBdr>
                    <w:top w:val="none" w:sz="0" w:space="0" w:color="auto"/>
                    <w:left w:val="none" w:sz="0" w:space="0" w:color="auto"/>
                    <w:bottom w:val="none" w:sz="0" w:space="0" w:color="auto"/>
                    <w:right w:val="none" w:sz="0" w:space="0" w:color="auto"/>
                  </w:divBdr>
                  <w:divsChild>
                    <w:div w:id="314337674">
                      <w:marLeft w:val="0"/>
                      <w:marRight w:val="0"/>
                      <w:marTop w:val="0"/>
                      <w:marBottom w:val="0"/>
                      <w:divBdr>
                        <w:top w:val="none" w:sz="0" w:space="0" w:color="auto"/>
                        <w:left w:val="none" w:sz="0" w:space="0" w:color="auto"/>
                        <w:bottom w:val="none" w:sz="0" w:space="0" w:color="auto"/>
                        <w:right w:val="none" w:sz="0" w:space="0" w:color="auto"/>
                      </w:divBdr>
                    </w:div>
                  </w:divsChild>
                </w:div>
                <w:div w:id="172301795">
                  <w:marLeft w:val="0"/>
                  <w:marRight w:val="0"/>
                  <w:marTop w:val="0"/>
                  <w:marBottom w:val="0"/>
                  <w:divBdr>
                    <w:top w:val="none" w:sz="0" w:space="0" w:color="auto"/>
                    <w:left w:val="none" w:sz="0" w:space="0" w:color="auto"/>
                    <w:bottom w:val="none" w:sz="0" w:space="0" w:color="auto"/>
                    <w:right w:val="none" w:sz="0" w:space="0" w:color="auto"/>
                  </w:divBdr>
                  <w:divsChild>
                    <w:div w:id="1808274814">
                      <w:marLeft w:val="0"/>
                      <w:marRight w:val="0"/>
                      <w:marTop w:val="0"/>
                      <w:marBottom w:val="0"/>
                      <w:divBdr>
                        <w:top w:val="none" w:sz="0" w:space="0" w:color="auto"/>
                        <w:left w:val="none" w:sz="0" w:space="0" w:color="auto"/>
                        <w:bottom w:val="none" w:sz="0" w:space="0" w:color="auto"/>
                        <w:right w:val="none" w:sz="0" w:space="0" w:color="auto"/>
                      </w:divBdr>
                    </w:div>
                  </w:divsChild>
                </w:div>
                <w:div w:id="188765999">
                  <w:marLeft w:val="0"/>
                  <w:marRight w:val="0"/>
                  <w:marTop w:val="0"/>
                  <w:marBottom w:val="0"/>
                  <w:divBdr>
                    <w:top w:val="none" w:sz="0" w:space="0" w:color="auto"/>
                    <w:left w:val="none" w:sz="0" w:space="0" w:color="auto"/>
                    <w:bottom w:val="none" w:sz="0" w:space="0" w:color="auto"/>
                    <w:right w:val="none" w:sz="0" w:space="0" w:color="auto"/>
                  </w:divBdr>
                  <w:divsChild>
                    <w:div w:id="1180244450">
                      <w:marLeft w:val="0"/>
                      <w:marRight w:val="0"/>
                      <w:marTop w:val="0"/>
                      <w:marBottom w:val="0"/>
                      <w:divBdr>
                        <w:top w:val="none" w:sz="0" w:space="0" w:color="auto"/>
                        <w:left w:val="none" w:sz="0" w:space="0" w:color="auto"/>
                        <w:bottom w:val="none" w:sz="0" w:space="0" w:color="auto"/>
                        <w:right w:val="none" w:sz="0" w:space="0" w:color="auto"/>
                      </w:divBdr>
                    </w:div>
                  </w:divsChild>
                </w:div>
                <w:div w:id="206070799">
                  <w:marLeft w:val="0"/>
                  <w:marRight w:val="0"/>
                  <w:marTop w:val="0"/>
                  <w:marBottom w:val="0"/>
                  <w:divBdr>
                    <w:top w:val="none" w:sz="0" w:space="0" w:color="auto"/>
                    <w:left w:val="none" w:sz="0" w:space="0" w:color="auto"/>
                    <w:bottom w:val="none" w:sz="0" w:space="0" w:color="auto"/>
                    <w:right w:val="none" w:sz="0" w:space="0" w:color="auto"/>
                  </w:divBdr>
                  <w:divsChild>
                    <w:div w:id="1802963592">
                      <w:marLeft w:val="0"/>
                      <w:marRight w:val="0"/>
                      <w:marTop w:val="0"/>
                      <w:marBottom w:val="0"/>
                      <w:divBdr>
                        <w:top w:val="none" w:sz="0" w:space="0" w:color="auto"/>
                        <w:left w:val="none" w:sz="0" w:space="0" w:color="auto"/>
                        <w:bottom w:val="none" w:sz="0" w:space="0" w:color="auto"/>
                        <w:right w:val="none" w:sz="0" w:space="0" w:color="auto"/>
                      </w:divBdr>
                    </w:div>
                  </w:divsChild>
                </w:div>
                <w:div w:id="215971168">
                  <w:marLeft w:val="0"/>
                  <w:marRight w:val="0"/>
                  <w:marTop w:val="0"/>
                  <w:marBottom w:val="0"/>
                  <w:divBdr>
                    <w:top w:val="none" w:sz="0" w:space="0" w:color="auto"/>
                    <w:left w:val="none" w:sz="0" w:space="0" w:color="auto"/>
                    <w:bottom w:val="none" w:sz="0" w:space="0" w:color="auto"/>
                    <w:right w:val="none" w:sz="0" w:space="0" w:color="auto"/>
                  </w:divBdr>
                  <w:divsChild>
                    <w:div w:id="16738198">
                      <w:marLeft w:val="0"/>
                      <w:marRight w:val="0"/>
                      <w:marTop w:val="0"/>
                      <w:marBottom w:val="0"/>
                      <w:divBdr>
                        <w:top w:val="none" w:sz="0" w:space="0" w:color="auto"/>
                        <w:left w:val="none" w:sz="0" w:space="0" w:color="auto"/>
                        <w:bottom w:val="none" w:sz="0" w:space="0" w:color="auto"/>
                        <w:right w:val="none" w:sz="0" w:space="0" w:color="auto"/>
                      </w:divBdr>
                    </w:div>
                  </w:divsChild>
                </w:div>
                <w:div w:id="238054173">
                  <w:marLeft w:val="0"/>
                  <w:marRight w:val="0"/>
                  <w:marTop w:val="0"/>
                  <w:marBottom w:val="0"/>
                  <w:divBdr>
                    <w:top w:val="none" w:sz="0" w:space="0" w:color="auto"/>
                    <w:left w:val="none" w:sz="0" w:space="0" w:color="auto"/>
                    <w:bottom w:val="none" w:sz="0" w:space="0" w:color="auto"/>
                    <w:right w:val="none" w:sz="0" w:space="0" w:color="auto"/>
                  </w:divBdr>
                  <w:divsChild>
                    <w:div w:id="1455900714">
                      <w:marLeft w:val="0"/>
                      <w:marRight w:val="0"/>
                      <w:marTop w:val="0"/>
                      <w:marBottom w:val="0"/>
                      <w:divBdr>
                        <w:top w:val="none" w:sz="0" w:space="0" w:color="auto"/>
                        <w:left w:val="none" w:sz="0" w:space="0" w:color="auto"/>
                        <w:bottom w:val="none" w:sz="0" w:space="0" w:color="auto"/>
                        <w:right w:val="none" w:sz="0" w:space="0" w:color="auto"/>
                      </w:divBdr>
                    </w:div>
                  </w:divsChild>
                </w:div>
                <w:div w:id="258954692">
                  <w:marLeft w:val="0"/>
                  <w:marRight w:val="0"/>
                  <w:marTop w:val="0"/>
                  <w:marBottom w:val="0"/>
                  <w:divBdr>
                    <w:top w:val="none" w:sz="0" w:space="0" w:color="auto"/>
                    <w:left w:val="none" w:sz="0" w:space="0" w:color="auto"/>
                    <w:bottom w:val="none" w:sz="0" w:space="0" w:color="auto"/>
                    <w:right w:val="none" w:sz="0" w:space="0" w:color="auto"/>
                  </w:divBdr>
                  <w:divsChild>
                    <w:div w:id="676805203">
                      <w:marLeft w:val="0"/>
                      <w:marRight w:val="0"/>
                      <w:marTop w:val="0"/>
                      <w:marBottom w:val="0"/>
                      <w:divBdr>
                        <w:top w:val="none" w:sz="0" w:space="0" w:color="auto"/>
                        <w:left w:val="none" w:sz="0" w:space="0" w:color="auto"/>
                        <w:bottom w:val="none" w:sz="0" w:space="0" w:color="auto"/>
                        <w:right w:val="none" w:sz="0" w:space="0" w:color="auto"/>
                      </w:divBdr>
                    </w:div>
                    <w:div w:id="1240746624">
                      <w:marLeft w:val="0"/>
                      <w:marRight w:val="0"/>
                      <w:marTop w:val="0"/>
                      <w:marBottom w:val="0"/>
                      <w:divBdr>
                        <w:top w:val="none" w:sz="0" w:space="0" w:color="auto"/>
                        <w:left w:val="none" w:sz="0" w:space="0" w:color="auto"/>
                        <w:bottom w:val="none" w:sz="0" w:space="0" w:color="auto"/>
                        <w:right w:val="none" w:sz="0" w:space="0" w:color="auto"/>
                      </w:divBdr>
                    </w:div>
                  </w:divsChild>
                </w:div>
                <w:div w:id="294986148">
                  <w:marLeft w:val="0"/>
                  <w:marRight w:val="0"/>
                  <w:marTop w:val="0"/>
                  <w:marBottom w:val="0"/>
                  <w:divBdr>
                    <w:top w:val="none" w:sz="0" w:space="0" w:color="auto"/>
                    <w:left w:val="none" w:sz="0" w:space="0" w:color="auto"/>
                    <w:bottom w:val="none" w:sz="0" w:space="0" w:color="auto"/>
                    <w:right w:val="none" w:sz="0" w:space="0" w:color="auto"/>
                  </w:divBdr>
                  <w:divsChild>
                    <w:div w:id="1874072538">
                      <w:marLeft w:val="0"/>
                      <w:marRight w:val="0"/>
                      <w:marTop w:val="0"/>
                      <w:marBottom w:val="0"/>
                      <w:divBdr>
                        <w:top w:val="none" w:sz="0" w:space="0" w:color="auto"/>
                        <w:left w:val="none" w:sz="0" w:space="0" w:color="auto"/>
                        <w:bottom w:val="none" w:sz="0" w:space="0" w:color="auto"/>
                        <w:right w:val="none" w:sz="0" w:space="0" w:color="auto"/>
                      </w:divBdr>
                    </w:div>
                  </w:divsChild>
                </w:div>
                <w:div w:id="295183244">
                  <w:marLeft w:val="0"/>
                  <w:marRight w:val="0"/>
                  <w:marTop w:val="0"/>
                  <w:marBottom w:val="0"/>
                  <w:divBdr>
                    <w:top w:val="none" w:sz="0" w:space="0" w:color="auto"/>
                    <w:left w:val="none" w:sz="0" w:space="0" w:color="auto"/>
                    <w:bottom w:val="none" w:sz="0" w:space="0" w:color="auto"/>
                    <w:right w:val="none" w:sz="0" w:space="0" w:color="auto"/>
                  </w:divBdr>
                  <w:divsChild>
                    <w:div w:id="832915171">
                      <w:marLeft w:val="0"/>
                      <w:marRight w:val="0"/>
                      <w:marTop w:val="0"/>
                      <w:marBottom w:val="0"/>
                      <w:divBdr>
                        <w:top w:val="none" w:sz="0" w:space="0" w:color="auto"/>
                        <w:left w:val="none" w:sz="0" w:space="0" w:color="auto"/>
                        <w:bottom w:val="none" w:sz="0" w:space="0" w:color="auto"/>
                        <w:right w:val="none" w:sz="0" w:space="0" w:color="auto"/>
                      </w:divBdr>
                    </w:div>
                  </w:divsChild>
                </w:div>
                <w:div w:id="312952289">
                  <w:marLeft w:val="0"/>
                  <w:marRight w:val="0"/>
                  <w:marTop w:val="0"/>
                  <w:marBottom w:val="0"/>
                  <w:divBdr>
                    <w:top w:val="none" w:sz="0" w:space="0" w:color="auto"/>
                    <w:left w:val="none" w:sz="0" w:space="0" w:color="auto"/>
                    <w:bottom w:val="none" w:sz="0" w:space="0" w:color="auto"/>
                    <w:right w:val="none" w:sz="0" w:space="0" w:color="auto"/>
                  </w:divBdr>
                  <w:divsChild>
                    <w:div w:id="737676236">
                      <w:marLeft w:val="0"/>
                      <w:marRight w:val="0"/>
                      <w:marTop w:val="0"/>
                      <w:marBottom w:val="0"/>
                      <w:divBdr>
                        <w:top w:val="none" w:sz="0" w:space="0" w:color="auto"/>
                        <w:left w:val="none" w:sz="0" w:space="0" w:color="auto"/>
                        <w:bottom w:val="none" w:sz="0" w:space="0" w:color="auto"/>
                        <w:right w:val="none" w:sz="0" w:space="0" w:color="auto"/>
                      </w:divBdr>
                    </w:div>
                    <w:div w:id="1534885758">
                      <w:marLeft w:val="0"/>
                      <w:marRight w:val="0"/>
                      <w:marTop w:val="0"/>
                      <w:marBottom w:val="0"/>
                      <w:divBdr>
                        <w:top w:val="none" w:sz="0" w:space="0" w:color="auto"/>
                        <w:left w:val="none" w:sz="0" w:space="0" w:color="auto"/>
                        <w:bottom w:val="none" w:sz="0" w:space="0" w:color="auto"/>
                        <w:right w:val="none" w:sz="0" w:space="0" w:color="auto"/>
                      </w:divBdr>
                    </w:div>
                  </w:divsChild>
                </w:div>
                <w:div w:id="327369398">
                  <w:marLeft w:val="0"/>
                  <w:marRight w:val="0"/>
                  <w:marTop w:val="0"/>
                  <w:marBottom w:val="0"/>
                  <w:divBdr>
                    <w:top w:val="none" w:sz="0" w:space="0" w:color="auto"/>
                    <w:left w:val="none" w:sz="0" w:space="0" w:color="auto"/>
                    <w:bottom w:val="none" w:sz="0" w:space="0" w:color="auto"/>
                    <w:right w:val="none" w:sz="0" w:space="0" w:color="auto"/>
                  </w:divBdr>
                  <w:divsChild>
                    <w:div w:id="1899244534">
                      <w:marLeft w:val="0"/>
                      <w:marRight w:val="0"/>
                      <w:marTop w:val="0"/>
                      <w:marBottom w:val="0"/>
                      <w:divBdr>
                        <w:top w:val="none" w:sz="0" w:space="0" w:color="auto"/>
                        <w:left w:val="none" w:sz="0" w:space="0" w:color="auto"/>
                        <w:bottom w:val="none" w:sz="0" w:space="0" w:color="auto"/>
                        <w:right w:val="none" w:sz="0" w:space="0" w:color="auto"/>
                      </w:divBdr>
                    </w:div>
                  </w:divsChild>
                </w:div>
                <w:div w:id="344594536">
                  <w:marLeft w:val="0"/>
                  <w:marRight w:val="0"/>
                  <w:marTop w:val="0"/>
                  <w:marBottom w:val="0"/>
                  <w:divBdr>
                    <w:top w:val="none" w:sz="0" w:space="0" w:color="auto"/>
                    <w:left w:val="none" w:sz="0" w:space="0" w:color="auto"/>
                    <w:bottom w:val="none" w:sz="0" w:space="0" w:color="auto"/>
                    <w:right w:val="none" w:sz="0" w:space="0" w:color="auto"/>
                  </w:divBdr>
                  <w:divsChild>
                    <w:div w:id="518128699">
                      <w:marLeft w:val="0"/>
                      <w:marRight w:val="0"/>
                      <w:marTop w:val="0"/>
                      <w:marBottom w:val="0"/>
                      <w:divBdr>
                        <w:top w:val="none" w:sz="0" w:space="0" w:color="auto"/>
                        <w:left w:val="none" w:sz="0" w:space="0" w:color="auto"/>
                        <w:bottom w:val="none" w:sz="0" w:space="0" w:color="auto"/>
                        <w:right w:val="none" w:sz="0" w:space="0" w:color="auto"/>
                      </w:divBdr>
                    </w:div>
                    <w:div w:id="1630821036">
                      <w:marLeft w:val="0"/>
                      <w:marRight w:val="0"/>
                      <w:marTop w:val="0"/>
                      <w:marBottom w:val="0"/>
                      <w:divBdr>
                        <w:top w:val="none" w:sz="0" w:space="0" w:color="auto"/>
                        <w:left w:val="none" w:sz="0" w:space="0" w:color="auto"/>
                        <w:bottom w:val="none" w:sz="0" w:space="0" w:color="auto"/>
                        <w:right w:val="none" w:sz="0" w:space="0" w:color="auto"/>
                      </w:divBdr>
                    </w:div>
                  </w:divsChild>
                </w:div>
                <w:div w:id="363136711">
                  <w:marLeft w:val="0"/>
                  <w:marRight w:val="0"/>
                  <w:marTop w:val="0"/>
                  <w:marBottom w:val="0"/>
                  <w:divBdr>
                    <w:top w:val="none" w:sz="0" w:space="0" w:color="auto"/>
                    <w:left w:val="none" w:sz="0" w:space="0" w:color="auto"/>
                    <w:bottom w:val="none" w:sz="0" w:space="0" w:color="auto"/>
                    <w:right w:val="none" w:sz="0" w:space="0" w:color="auto"/>
                  </w:divBdr>
                  <w:divsChild>
                    <w:div w:id="898248171">
                      <w:marLeft w:val="0"/>
                      <w:marRight w:val="0"/>
                      <w:marTop w:val="0"/>
                      <w:marBottom w:val="0"/>
                      <w:divBdr>
                        <w:top w:val="none" w:sz="0" w:space="0" w:color="auto"/>
                        <w:left w:val="none" w:sz="0" w:space="0" w:color="auto"/>
                        <w:bottom w:val="none" w:sz="0" w:space="0" w:color="auto"/>
                        <w:right w:val="none" w:sz="0" w:space="0" w:color="auto"/>
                      </w:divBdr>
                    </w:div>
                  </w:divsChild>
                </w:div>
                <w:div w:id="366217893">
                  <w:marLeft w:val="0"/>
                  <w:marRight w:val="0"/>
                  <w:marTop w:val="0"/>
                  <w:marBottom w:val="0"/>
                  <w:divBdr>
                    <w:top w:val="none" w:sz="0" w:space="0" w:color="auto"/>
                    <w:left w:val="none" w:sz="0" w:space="0" w:color="auto"/>
                    <w:bottom w:val="none" w:sz="0" w:space="0" w:color="auto"/>
                    <w:right w:val="none" w:sz="0" w:space="0" w:color="auto"/>
                  </w:divBdr>
                  <w:divsChild>
                    <w:div w:id="68969409">
                      <w:marLeft w:val="0"/>
                      <w:marRight w:val="0"/>
                      <w:marTop w:val="0"/>
                      <w:marBottom w:val="0"/>
                      <w:divBdr>
                        <w:top w:val="none" w:sz="0" w:space="0" w:color="auto"/>
                        <w:left w:val="none" w:sz="0" w:space="0" w:color="auto"/>
                        <w:bottom w:val="none" w:sz="0" w:space="0" w:color="auto"/>
                        <w:right w:val="none" w:sz="0" w:space="0" w:color="auto"/>
                      </w:divBdr>
                    </w:div>
                    <w:div w:id="1594389912">
                      <w:marLeft w:val="0"/>
                      <w:marRight w:val="0"/>
                      <w:marTop w:val="0"/>
                      <w:marBottom w:val="0"/>
                      <w:divBdr>
                        <w:top w:val="none" w:sz="0" w:space="0" w:color="auto"/>
                        <w:left w:val="none" w:sz="0" w:space="0" w:color="auto"/>
                        <w:bottom w:val="none" w:sz="0" w:space="0" w:color="auto"/>
                        <w:right w:val="none" w:sz="0" w:space="0" w:color="auto"/>
                      </w:divBdr>
                    </w:div>
                  </w:divsChild>
                </w:div>
                <w:div w:id="409540496">
                  <w:marLeft w:val="0"/>
                  <w:marRight w:val="0"/>
                  <w:marTop w:val="0"/>
                  <w:marBottom w:val="0"/>
                  <w:divBdr>
                    <w:top w:val="none" w:sz="0" w:space="0" w:color="auto"/>
                    <w:left w:val="none" w:sz="0" w:space="0" w:color="auto"/>
                    <w:bottom w:val="none" w:sz="0" w:space="0" w:color="auto"/>
                    <w:right w:val="none" w:sz="0" w:space="0" w:color="auto"/>
                  </w:divBdr>
                  <w:divsChild>
                    <w:div w:id="44717990">
                      <w:marLeft w:val="0"/>
                      <w:marRight w:val="0"/>
                      <w:marTop w:val="0"/>
                      <w:marBottom w:val="0"/>
                      <w:divBdr>
                        <w:top w:val="none" w:sz="0" w:space="0" w:color="auto"/>
                        <w:left w:val="none" w:sz="0" w:space="0" w:color="auto"/>
                        <w:bottom w:val="none" w:sz="0" w:space="0" w:color="auto"/>
                        <w:right w:val="none" w:sz="0" w:space="0" w:color="auto"/>
                      </w:divBdr>
                    </w:div>
                  </w:divsChild>
                </w:div>
                <w:div w:id="429786744">
                  <w:marLeft w:val="0"/>
                  <w:marRight w:val="0"/>
                  <w:marTop w:val="0"/>
                  <w:marBottom w:val="0"/>
                  <w:divBdr>
                    <w:top w:val="none" w:sz="0" w:space="0" w:color="auto"/>
                    <w:left w:val="none" w:sz="0" w:space="0" w:color="auto"/>
                    <w:bottom w:val="none" w:sz="0" w:space="0" w:color="auto"/>
                    <w:right w:val="none" w:sz="0" w:space="0" w:color="auto"/>
                  </w:divBdr>
                  <w:divsChild>
                    <w:div w:id="526138006">
                      <w:marLeft w:val="0"/>
                      <w:marRight w:val="0"/>
                      <w:marTop w:val="0"/>
                      <w:marBottom w:val="0"/>
                      <w:divBdr>
                        <w:top w:val="none" w:sz="0" w:space="0" w:color="auto"/>
                        <w:left w:val="none" w:sz="0" w:space="0" w:color="auto"/>
                        <w:bottom w:val="none" w:sz="0" w:space="0" w:color="auto"/>
                        <w:right w:val="none" w:sz="0" w:space="0" w:color="auto"/>
                      </w:divBdr>
                    </w:div>
                  </w:divsChild>
                </w:div>
                <w:div w:id="514348346">
                  <w:marLeft w:val="0"/>
                  <w:marRight w:val="0"/>
                  <w:marTop w:val="0"/>
                  <w:marBottom w:val="0"/>
                  <w:divBdr>
                    <w:top w:val="none" w:sz="0" w:space="0" w:color="auto"/>
                    <w:left w:val="none" w:sz="0" w:space="0" w:color="auto"/>
                    <w:bottom w:val="none" w:sz="0" w:space="0" w:color="auto"/>
                    <w:right w:val="none" w:sz="0" w:space="0" w:color="auto"/>
                  </w:divBdr>
                  <w:divsChild>
                    <w:div w:id="1087380890">
                      <w:marLeft w:val="0"/>
                      <w:marRight w:val="0"/>
                      <w:marTop w:val="0"/>
                      <w:marBottom w:val="0"/>
                      <w:divBdr>
                        <w:top w:val="none" w:sz="0" w:space="0" w:color="auto"/>
                        <w:left w:val="none" w:sz="0" w:space="0" w:color="auto"/>
                        <w:bottom w:val="none" w:sz="0" w:space="0" w:color="auto"/>
                        <w:right w:val="none" w:sz="0" w:space="0" w:color="auto"/>
                      </w:divBdr>
                    </w:div>
                    <w:div w:id="1499075904">
                      <w:marLeft w:val="0"/>
                      <w:marRight w:val="0"/>
                      <w:marTop w:val="0"/>
                      <w:marBottom w:val="0"/>
                      <w:divBdr>
                        <w:top w:val="none" w:sz="0" w:space="0" w:color="auto"/>
                        <w:left w:val="none" w:sz="0" w:space="0" w:color="auto"/>
                        <w:bottom w:val="none" w:sz="0" w:space="0" w:color="auto"/>
                        <w:right w:val="none" w:sz="0" w:space="0" w:color="auto"/>
                      </w:divBdr>
                    </w:div>
                  </w:divsChild>
                </w:div>
                <w:div w:id="519050349">
                  <w:marLeft w:val="0"/>
                  <w:marRight w:val="0"/>
                  <w:marTop w:val="0"/>
                  <w:marBottom w:val="0"/>
                  <w:divBdr>
                    <w:top w:val="none" w:sz="0" w:space="0" w:color="auto"/>
                    <w:left w:val="none" w:sz="0" w:space="0" w:color="auto"/>
                    <w:bottom w:val="none" w:sz="0" w:space="0" w:color="auto"/>
                    <w:right w:val="none" w:sz="0" w:space="0" w:color="auto"/>
                  </w:divBdr>
                  <w:divsChild>
                    <w:div w:id="1800562886">
                      <w:marLeft w:val="0"/>
                      <w:marRight w:val="0"/>
                      <w:marTop w:val="0"/>
                      <w:marBottom w:val="0"/>
                      <w:divBdr>
                        <w:top w:val="none" w:sz="0" w:space="0" w:color="auto"/>
                        <w:left w:val="none" w:sz="0" w:space="0" w:color="auto"/>
                        <w:bottom w:val="none" w:sz="0" w:space="0" w:color="auto"/>
                        <w:right w:val="none" w:sz="0" w:space="0" w:color="auto"/>
                      </w:divBdr>
                    </w:div>
                  </w:divsChild>
                </w:div>
                <w:div w:id="539169003">
                  <w:marLeft w:val="0"/>
                  <w:marRight w:val="0"/>
                  <w:marTop w:val="0"/>
                  <w:marBottom w:val="0"/>
                  <w:divBdr>
                    <w:top w:val="none" w:sz="0" w:space="0" w:color="auto"/>
                    <w:left w:val="none" w:sz="0" w:space="0" w:color="auto"/>
                    <w:bottom w:val="none" w:sz="0" w:space="0" w:color="auto"/>
                    <w:right w:val="none" w:sz="0" w:space="0" w:color="auto"/>
                  </w:divBdr>
                  <w:divsChild>
                    <w:div w:id="585922579">
                      <w:marLeft w:val="0"/>
                      <w:marRight w:val="0"/>
                      <w:marTop w:val="0"/>
                      <w:marBottom w:val="0"/>
                      <w:divBdr>
                        <w:top w:val="none" w:sz="0" w:space="0" w:color="auto"/>
                        <w:left w:val="none" w:sz="0" w:space="0" w:color="auto"/>
                        <w:bottom w:val="none" w:sz="0" w:space="0" w:color="auto"/>
                        <w:right w:val="none" w:sz="0" w:space="0" w:color="auto"/>
                      </w:divBdr>
                    </w:div>
                  </w:divsChild>
                </w:div>
                <w:div w:id="556161900">
                  <w:marLeft w:val="0"/>
                  <w:marRight w:val="0"/>
                  <w:marTop w:val="0"/>
                  <w:marBottom w:val="0"/>
                  <w:divBdr>
                    <w:top w:val="none" w:sz="0" w:space="0" w:color="auto"/>
                    <w:left w:val="none" w:sz="0" w:space="0" w:color="auto"/>
                    <w:bottom w:val="none" w:sz="0" w:space="0" w:color="auto"/>
                    <w:right w:val="none" w:sz="0" w:space="0" w:color="auto"/>
                  </w:divBdr>
                  <w:divsChild>
                    <w:div w:id="31276220">
                      <w:marLeft w:val="0"/>
                      <w:marRight w:val="0"/>
                      <w:marTop w:val="0"/>
                      <w:marBottom w:val="0"/>
                      <w:divBdr>
                        <w:top w:val="none" w:sz="0" w:space="0" w:color="auto"/>
                        <w:left w:val="none" w:sz="0" w:space="0" w:color="auto"/>
                        <w:bottom w:val="none" w:sz="0" w:space="0" w:color="auto"/>
                        <w:right w:val="none" w:sz="0" w:space="0" w:color="auto"/>
                      </w:divBdr>
                    </w:div>
                  </w:divsChild>
                </w:div>
                <w:div w:id="560483592">
                  <w:marLeft w:val="0"/>
                  <w:marRight w:val="0"/>
                  <w:marTop w:val="0"/>
                  <w:marBottom w:val="0"/>
                  <w:divBdr>
                    <w:top w:val="none" w:sz="0" w:space="0" w:color="auto"/>
                    <w:left w:val="none" w:sz="0" w:space="0" w:color="auto"/>
                    <w:bottom w:val="none" w:sz="0" w:space="0" w:color="auto"/>
                    <w:right w:val="none" w:sz="0" w:space="0" w:color="auto"/>
                  </w:divBdr>
                  <w:divsChild>
                    <w:div w:id="1810829084">
                      <w:marLeft w:val="0"/>
                      <w:marRight w:val="0"/>
                      <w:marTop w:val="0"/>
                      <w:marBottom w:val="0"/>
                      <w:divBdr>
                        <w:top w:val="none" w:sz="0" w:space="0" w:color="auto"/>
                        <w:left w:val="none" w:sz="0" w:space="0" w:color="auto"/>
                        <w:bottom w:val="none" w:sz="0" w:space="0" w:color="auto"/>
                        <w:right w:val="none" w:sz="0" w:space="0" w:color="auto"/>
                      </w:divBdr>
                    </w:div>
                  </w:divsChild>
                </w:div>
                <w:div w:id="567114709">
                  <w:marLeft w:val="0"/>
                  <w:marRight w:val="0"/>
                  <w:marTop w:val="0"/>
                  <w:marBottom w:val="0"/>
                  <w:divBdr>
                    <w:top w:val="none" w:sz="0" w:space="0" w:color="auto"/>
                    <w:left w:val="none" w:sz="0" w:space="0" w:color="auto"/>
                    <w:bottom w:val="none" w:sz="0" w:space="0" w:color="auto"/>
                    <w:right w:val="none" w:sz="0" w:space="0" w:color="auto"/>
                  </w:divBdr>
                  <w:divsChild>
                    <w:div w:id="1719166343">
                      <w:marLeft w:val="0"/>
                      <w:marRight w:val="0"/>
                      <w:marTop w:val="0"/>
                      <w:marBottom w:val="0"/>
                      <w:divBdr>
                        <w:top w:val="none" w:sz="0" w:space="0" w:color="auto"/>
                        <w:left w:val="none" w:sz="0" w:space="0" w:color="auto"/>
                        <w:bottom w:val="none" w:sz="0" w:space="0" w:color="auto"/>
                        <w:right w:val="none" w:sz="0" w:space="0" w:color="auto"/>
                      </w:divBdr>
                    </w:div>
                  </w:divsChild>
                </w:div>
                <w:div w:id="570044776">
                  <w:marLeft w:val="0"/>
                  <w:marRight w:val="0"/>
                  <w:marTop w:val="0"/>
                  <w:marBottom w:val="0"/>
                  <w:divBdr>
                    <w:top w:val="none" w:sz="0" w:space="0" w:color="auto"/>
                    <w:left w:val="none" w:sz="0" w:space="0" w:color="auto"/>
                    <w:bottom w:val="none" w:sz="0" w:space="0" w:color="auto"/>
                    <w:right w:val="none" w:sz="0" w:space="0" w:color="auto"/>
                  </w:divBdr>
                  <w:divsChild>
                    <w:div w:id="1343118817">
                      <w:marLeft w:val="0"/>
                      <w:marRight w:val="0"/>
                      <w:marTop w:val="0"/>
                      <w:marBottom w:val="0"/>
                      <w:divBdr>
                        <w:top w:val="none" w:sz="0" w:space="0" w:color="auto"/>
                        <w:left w:val="none" w:sz="0" w:space="0" w:color="auto"/>
                        <w:bottom w:val="none" w:sz="0" w:space="0" w:color="auto"/>
                        <w:right w:val="none" w:sz="0" w:space="0" w:color="auto"/>
                      </w:divBdr>
                    </w:div>
                  </w:divsChild>
                </w:div>
                <w:div w:id="587543881">
                  <w:marLeft w:val="0"/>
                  <w:marRight w:val="0"/>
                  <w:marTop w:val="0"/>
                  <w:marBottom w:val="0"/>
                  <w:divBdr>
                    <w:top w:val="none" w:sz="0" w:space="0" w:color="auto"/>
                    <w:left w:val="none" w:sz="0" w:space="0" w:color="auto"/>
                    <w:bottom w:val="none" w:sz="0" w:space="0" w:color="auto"/>
                    <w:right w:val="none" w:sz="0" w:space="0" w:color="auto"/>
                  </w:divBdr>
                  <w:divsChild>
                    <w:div w:id="1866096768">
                      <w:marLeft w:val="0"/>
                      <w:marRight w:val="0"/>
                      <w:marTop w:val="0"/>
                      <w:marBottom w:val="0"/>
                      <w:divBdr>
                        <w:top w:val="none" w:sz="0" w:space="0" w:color="auto"/>
                        <w:left w:val="none" w:sz="0" w:space="0" w:color="auto"/>
                        <w:bottom w:val="none" w:sz="0" w:space="0" w:color="auto"/>
                        <w:right w:val="none" w:sz="0" w:space="0" w:color="auto"/>
                      </w:divBdr>
                    </w:div>
                    <w:div w:id="1875998901">
                      <w:marLeft w:val="0"/>
                      <w:marRight w:val="0"/>
                      <w:marTop w:val="0"/>
                      <w:marBottom w:val="0"/>
                      <w:divBdr>
                        <w:top w:val="none" w:sz="0" w:space="0" w:color="auto"/>
                        <w:left w:val="none" w:sz="0" w:space="0" w:color="auto"/>
                        <w:bottom w:val="none" w:sz="0" w:space="0" w:color="auto"/>
                        <w:right w:val="none" w:sz="0" w:space="0" w:color="auto"/>
                      </w:divBdr>
                    </w:div>
                  </w:divsChild>
                </w:div>
                <w:div w:id="598415936">
                  <w:marLeft w:val="0"/>
                  <w:marRight w:val="0"/>
                  <w:marTop w:val="0"/>
                  <w:marBottom w:val="0"/>
                  <w:divBdr>
                    <w:top w:val="none" w:sz="0" w:space="0" w:color="auto"/>
                    <w:left w:val="none" w:sz="0" w:space="0" w:color="auto"/>
                    <w:bottom w:val="none" w:sz="0" w:space="0" w:color="auto"/>
                    <w:right w:val="none" w:sz="0" w:space="0" w:color="auto"/>
                  </w:divBdr>
                  <w:divsChild>
                    <w:div w:id="967974658">
                      <w:marLeft w:val="0"/>
                      <w:marRight w:val="0"/>
                      <w:marTop w:val="0"/>
                      <w:marBottom w:val="0"/>
                      <w:divBdr>
                        <w:top w:val="none" w:sz="0" w:space="0" w:color="auto"/>
                        <w:left w:val="none" w:sz="0" w:space="0" w:color="auto"/>
                        <w:bottom w:val="none" w:sz="0" w:space="0" w:color="auto"/>
                        <w:right w:val="none" w:sz="0" w:space="0" w:color="auto"/>
                      </w:divBdr>
                    </w:div>
                  </w:divsChild>
                </w:div>
                <w:div w:id="678046111">
                  <w:marLeft w:val="0"/>
                  <w:marRight w:val="0"/>
                  <w:marTop w:val="0"/>
                  <w:marBottom w:val="0"/>
                  <w:divBdr>
                    <w:top w:val="none" w:sz="0" w:space="0" w:color="auto"/>
                    <w:left w:val="none" w:sz="0" w:space="0" w:color="auto"/>
                    <w:bottom w:val="none" w:sz="0" w:space="0" w:color="auto"/>
                    <w:right w:val="none" w:sz="0" w:space="0" w:color="auto"/>
                  </w:divBdr>
                  <w:divsChild>
                    <w:div w:id="1130514772">
                      <w:marLeft w:val="0"/>
                      <w:marRight w:val="0"/>
                      <w:marTop w:val="0"/>
                      <w:marBottom w:val="0"/>
                      <w:divBdr>
                        <w:top w:val="none" w:sz="0" w:space="0" w:color="auto"/>
                        <w:left w:val="none" w:sz="0" w:space="0" w:color="auto"/>
                        <w:bottom w:val="none" w:sz="0" w:space="0" w:color="auto"/>
                        <w:right w:val="none" w:sz="0" w:space="0" w:color="auto"/>
                      </w:divBdr>
                    </w:div>
                  </w:divsChild>
                </w:div>
                <w:div w:id="713189752">
                  <w:marLeft w:val="0"/>
                  <w:marRight w:val="0"/>
                  <w:marTop w:val="0"/>
                  <w:marBottom w:val="0"/>
                  <w:divBdr>
                    <w:top w:val="none" w:sz="0" w:space="0" w:color="auto"/>
                    <w:left w:val="none" w:sz="0" w:space="0" w:color="auto"/>
                    <w:bottom w:val="none" w:sz="0" w:space="0" w:color="auto"/>
                    <w:right w:val="none" w:sz="0" w:space="0" w:color="auto"/>
                  </w:divBdr>
                  <w:divsChild>
                    <w:div w:id="1907953779">
                      <w:marLeft w:val="0"/>
                      <w:marRight w:val="0"/>
                      <w:marTop w:val="0"/>
                      <w:marBottom w:val="0"/>
                      <w:divBdr>
                        <w:top w:val="none" w:sz="0" w:space="0" w:color="auto"/>
                        <w:left w:val="none" w:sz="0" w:space="0" w:color="auto"/>
                        <w:bottom w:val="none" w:sz="0" w:space="0" w:color="auto"/>
                        <w:right w:val="none" w:sz="0" w:space="0" w:color="auto"/>
                      </w:divBdr>
                    </w:div>
                  </w:divsChild>
                </w:div>
                <w:div w:id="729235396">
                  <w:marLeft w:val="0"/>
                  <w:marRight w:val="0"/>
                  <w:marTop w:val="0"/>
                  <w:marBottom w:val="0"/>
                  <w:divBdr>
                    <w:top w:val="none" w:sz="0" w:space="0" w:color="auto"/>
                    <w:left w:val="none" w:sz="0" w:space="0" w:color="auto"/>
                    <w:bottom w:val="none" w:sz="0" w:space="0" w:color="auto"/>
                    <w:right w:val="none" w:sz="0" w:space="0" w:color="auto"/>
                  </w:divBdr>
                  <w:divsChild>
                    <w:div w:id="2115981796">
                      <w:marLeft w:val="0"/>
                      <w:marRight w:val="0"/>
                      <w:marTop w:val="0"/>
                      <w:marBottom w:val="0"/>
                      <w:divBdr>
                        <w:top w:val="none" w:sz="0" w:space="0" w:color="auto"/>
                        <w:left w:val="none" w:sz="0" w:space="0" w:color="auto"/>
                        <w:bottom w:val="none" w:sz="0" w:space="0" w:color="auto"/>
                        <w:right w:val="none" w:sz="0" w:space="0" w:color="auto"/>
                      </w:divBdr>
                    </w:div>
                  </w:divsChild>
                </w:div>
                <w:div w:id="752623445">
                  <w:marLeft w:val="0"/>
                  <w:marRight w:val="0"/>
                  <w:marTop w:val="0"/>
                  <w:marBottom w:val="0"/>
                  <w:divBdr>
                    <w:top w:val="none" w:sz="0" w:space="0" w:color="auto"/>
                    <w:left w:val="none" w:sz="0" w:space="0" w:color="auto"/>
                    <w:bottom w:val="none" w:sz="0" w:space="0" w:color="auto"/>
                    <w:right w:val="none" w:sz="0" w:space="0" w:color="auto"/>
                  </w:divBdr>
                  <w:divsChild>
                    <w:div w:id="1449088381">
                      <w:marLeft w:val="0"/>
                      <w:marRight w:val="0"/>
                      <w:marTop w:val="0"/>
                      <w:marBottom w:val="0"/>
                      <w:divBdr>
                        <w:top w:val="none" w:sz="0" w:space="0" w:color="auto"/>
                        <w:left w:val="none" w:sz="0" w:space="0" w:color="auto"/>
                        <w:bottom w:val="none" w:sz="0" w:space="0" w:color="auto"/>
                        <w:right w:val="none" w:sz="0" w:space="0" w:color="auto"/>
                      </w:divBdr>
                    </w:div>
                    <w:div w:id="1566795435">
                      <w:marLeft w:val="0"/>
                      <w:marRight w:val="0"/>
                      <w:marTop w:val="0"/>
                      <w:marBottom w:val="0"/>
                      <w:divBdr>
                        <w:top w:val="none" w:sz="0" w:space="0" w:color="auto"/>
                        <w:left w:val="none" w:sz="0" w:space="0" w:color="auto"/>
                        <w:bottom w:val="none" w:sz="0" w:space="0" w:color="auto"/>
                        <w:right w:val="none" w:sz="0" w:space="0" w:color="auto"/>
                      </w:divBdr>
                    </w:div>
                  </w:divsChild>
                </w:div>
                <w:div w:id="753553626">
                  <w:marLeft w:val="0"/>
                  <w:marRight w:val="0"/>
                  <w:marTop w:val="0"/>
                  <w:marBottom w:val="0"/>
                  <w:divBdr>
                    <w:top w:val="none" w:sz="0" w:space="0" w:color="auto"/>
                    <w:left w:val="none" w:sz="0" w:space="0" w:color="auto"/>
                    <w:bottom w:val="none" w:sz="0" w:space="0" w:color="auto"/>
                    <w:right w:val="none" w:sz="0" w:space="0" w:color="auto"/>
                  </w:divBdr>
                  <w:divsChild>
                    <w:div w:id="80958187">
                      <w:marLeft w:val="0"/>
                      <w:marRight w:val="0"/>
                      <w:marTop w:val="0"/>
                      <w:marBottom w:val="0"/>
                      <w:divBdr>
                        <w:top w:val="none" w:sz="0" w:space="0" w:color="auto"/>
                        <w:left w:val="none" w:sz="0" w:space="0" w:color="auto"/>
                        <w:bottom w:val="none" w:sz="0" w:space="0" w:color="auto"/>
                        <w:right w:val="none" w:sz="0" w:space="0" w:color="auto"/>
                      </w:divBdr>
                    </w:div>
                  </w:divsChild>
                </w:div>
                <w:div w:id="755591331">
                  <w:marLeft w:val="0"/>
                  <w:marRight w:val="0"/>
                  <w:marTop w:val="0"/>
                  <w:marBottom w:val="0"/>
                  <w:divBdr>
                    <w:top w:val="none" w:sz="0" w:space="0" w:color="auto"/>
                    <w:left w:val="none" w:sz="0" w:space="0" w:color="auto"/>
                    <w:bottom w:val="none" w:sz="0" w:space="0" w:color="auto"/>
                    <w:right w:val="none" w:sz="0" w:space="0" w:color="auto"/>
                  </w:divBdr>
                  <w:divsChild>
                    <w:div w:id="869102622">
                      <w:marLeft w:val="0"/>
                      <w:marRight w:val="0"/>
                      <w:marTop w:val="0"/>
                      <w:marBottom w:val="0"/>
                      <w:divBdr>
                        <w:top w:val="none" w:sz="0" w:space="0" w:color="auto"/>
                        <w:left w:val="none" w:sz="0" w:space="0" w:color="auto"/>
                        <w:bottom w:val="none" w:sz="0" w:space="0" w:color="auto"/>
                        <w:right w:val="none" w:sz="0" w:space="0" w:color="auto"/>
                      </w:divBdr>
                    </w:div>
                    <w:div w:id="1077748289">
                      <w:marLeft w:val="0"/>
                      <w:marRight w:val="0"/>
                      <w:marTop w:val="0"/>
                      <w:marBottom w:val="0"/>
                      <w:divBdr>
                        <w:top w:val="none" w:sz="0" w:space="0" w:color="auto"/>
                        <w:left w:val="none" w:sz="0" w:space="0" w:color="auto"/>
                        <w:bottom w:val="none" w:sz="0" w:space="0" w:color="auto"/>
                        <w:right w:val="none" w:sz="0" w:space="0" w:color="auto"/>
                      </w:divBdr>
                    </w:div>
                  </w:divsChild>
                </w:div>
                <w:div w:id="768231648">
                  <w:marLeft w:val="0"/>
                  <w:marRight w:val="0"/>
                  <w:marTop w:val="0"/>
                  <w:marBottom w:val="0"/>
                  <w:divBdr>
                    <w:top w:val="none" w:sz="0" w:space="0" w:color="auto"/>
                    <w:left w:val="none" w:sz="0" w:space="0" w:color="auto"/>
                    <w:bottom w:val="none" w:sz="0" w:space="0" w:color="auto"/>
                    <w:right w:val="none" w:sz="0" w:space="0" w:color="auto"/>
                  </w:divBdr>
                  <w:divsChild>
                    <w:div w:id="552738179">
                      <w:marLeft w:val="0"/>
                      <w:marRight w:val="0"/>
                      <w:marTop w:val="0"/>
                      <w:marBottom w:val="0"/>
                      <w:divBdr>
                        <w:top w:val="none" w:sz="0" w:space="0" w:color="auto"/>
                        <w:left w:val="none" w:sz="0" w:space="0" w:color="auto"/>
                        <w:bottom w:val="none" w:sz="0" w:space="0" w:color="auto"/>
                        <w:right w:val="none" w:sz="0" w:space="0" w:color="auto"/>
                      </w:divBdr>
                    </w:div>
                  </w:divsChild>
                </w:div>
                <w:div w:id="777287333">
                  <w:marLeft w:val="0"/>
                  <w:marRight w:val="0"/>
                  <w:marTop w:val="0"/>
                  <w:marBottom w:val="0"/>
                  <w:divBdr>
                    <w:top w:val="none" w:sz="0" w:space="0" w:color="auto"/>
                    <w:left w:val="none" w:sz="0" w:space="0" w:color="auto"/>
                    <w:bottom w:val="none" w:sz="0" w:space="0" w:color="auto"/>
                    <w:right w:val="none" w:sz="0" w:space="0" w:color="auto"/>
                  </w:divBdr>
                  <w:divsChild>
                    <w:div w:id="12609755">
                      <w:marLeft w:val="0"/>
                      <w:marRight w:val="0"/>
                      <w:marTop w:val="0"/>
                      <w:marBottom w:val="0"/>
                      <w:divBdr>
                        <w:top w:val="none" w:sz="0" w:space="0" w:color="auto"/>
                        <w:left w:val="none" w:sz="0" w:space="0" w:color="auto"/>
                        <w:bottom w:val="none" w:sz="0" w:space="0" w:color="auto"/>
                        <w:right w:val="none" w:sz="0" w:space="0" w:color="auto"/>
                      </w:divBdr>
                    </w:div>
                  </w:divsChild>
                </w:div>
                <w:div w:id="799033846">
                  <w:marLeft w:val="0"/>
                  <w:marRight w:val="0"/>
                  <w:marTop w:val="0"/>
                  <w:marBottom w:val="0"/>
                  <w:divBdr>
                    <w:top w:val="none" w:sz="0" w:space="0" w:color="auto"/>
                    <w:left w:val="none" w:sz="0" w:space="0" w:color="auto"/>
                    <w:bottom w:val="none" w:sz="0" w:space="0" w:color="auto"/>
                    <w:right w:val="none" w:sz="0" w:space="0" w:color="auto"/>
                  </w:divBdr>
                  <w:divsChild>
                    <w:div w:id="1777091530">
                      <w:marLeft w:val="0"/>
                      <w:marRight w:val="0"/>
                      <w:marTop w:val="0"/>
                      <w:marBottom w:val="0"/>
                      <w:divBdr>
                        <w:top w:val="none" w:sz="0" w:space="0" w:color="auto"/>
                        <w:left w:val="none" w:sz="0" w:space="0" w:color="auto"/>
                        <w:bottom w:val="none" w:sz="0" w:space="0" w:color="auto"/>
                        <w:right w:val="none" w:sz="0" w:space="0" w:color="auto"/>
                      </w:divBdr>
                    </w:div>
                  </w:divsChild>
                </w:div>
                <w:div w:id="845828451">
                  <w:marLeft w:val="0"/>
                  <w:marRight w:val="0"/>
                  <w:marTop w:val="0"/>
                  <w:marBottom w:val="0"/>
                  <w:divBdr>
                    <w:top w:val="none" w:sz="0" w:space="0" w:color="auto"/>
                    <w:left w:val="none" w:sz="0" w:space="0" w:color="auto"/>
                    <w:bottom w:val="none" w:sz="0" w:space="0" w:color="auto"/>
                    <w:right w:val="none" w:sz="0" w:space="0" w:color="auto"/>
                  </w:divBdr>
                  <w:divsChild>
                    <w:div w:id="692074825">
                      <w:marLeft w:val="0"/>
                      <w:marRight w:val="0"/>
                      <w:marTop w:val="0"/>
                      <w:marBottom w:val="0"/>
                      <w:divBdr>
                        <w:top w:val="none" w:sz="0" w:space="0" w:color="auto"/>
                        <w:left w:val="none" w:sz="0" w:space="0" w:color="auto"/>
                        <w:bottom w:val="none" w:sz="0" w:space="0" w:color="auto"/>
                        <w:right w:val="none" w:sz="0" w:space="0" w:color="auto"/>
                      </w:divBdr>
                    </w:div>
                  </w:divsChild>
                </w:div>
                <w:div w:id="849760246">
                  <w:marLeft w:val="0"/>
                  <w:marRight w:val="0"/>
                  <w:marTop w:val="0"/>
                  <w:marBottom w:val="0"/>
                  <w:divBdr>
                    <w:top w:val="none" w:sz="0" w:space="0" w:color="auto"/>
                    <w:left w:val="none" w:sz="0" w:space="0" w:color="auto"/>
                    <w:bottom w:val="none" w:sz="0" w:space="0" w:color="auto"/>
                    <w:right w:val="none" w:sz="0" w:space="0" w:color="auto"/>
                  </w:divBdr>
                  <w:divsChild>
                    <w:div w:id="448478550">
                      <w:marLeft w:val="0"/>
                      <w:marRight w:val="0"/>
                      <w:marTop w:val="0"/>
                      <w:marBottom w:val="0"/>
                      <w:divBdr>
                        <w:top w:val="none" w:sz="0" w:space="0" w:color="auto"/>
                        <w:left w:val="none" w:sz="0" w:space="0" w:color="auto"/>
                        <w:bottom w:val="none" w:sz="0" w:space="0" w:color="auto"/>
                        <w:right w:val="none" w:sz="0" w:space="0" w:color="auto"/>
                      </w:divBdr>
                    </w:div>
                    <w:div w:id="1614366962">
                      <w:marLeft w:val="0"/>
                      <w:marRight w:val="0"/>
                      <w:marTop w:val="0"/>
                      <w:marBottom w:val="0"/>
                      <w:divBdr>
                        <w:top w:val="none" w:sz="0" w:space="0" w:color="auto"/>
                        <w:left w:val="none" w:sz="0" w:space="0" w:color="auto"/>
                        <w:bottom w:val="none" w:sz="0" w:space="0" w:color="auto"/>
                        <w:right w:val="none" w:sz="0" w:space="0" w:color="auto"/>
                      </w:divBdr>
                    </w:div>
                  </w:divsChild>
                </w:div>
                <w:div w:id="895820768">
                  <w:marLeft w:val="0"/>
                  <w:marRight w:val="0"/>
                  <w:marTop w:val="0"/>
                  <w:marBottom w:val="0"/>
                  <w:divBdr>
                    <w:top w:val="none" w:sz="0" w:space="0" w:color="auto"/>
                    <w:left w:val="none" w:sz="0" w:space="0" w:color="auto"/>
                    <w:bottom w:val="none" w:sz="0" w:space="0" w:color="auto"/>
                    <w:right w:val="none" w:sz="0" w:space="0" w:color="auto"/>
                  </w:divBdr>
                  <w:divsChild>
                    <w:div w:id="1838105324">
                      <w:marLeft w:val="0"/>
                      <w:marRight w:val="0"/>
                      <w:marTop w:val="0"/>
                      <w:marBottom w:val="0"/>
                      <w:divBdr>
                        <w:top w:val="none" w:sz="0" w:space="0" w:color="auto"/>
                        <w:left w:val="none" w:sz="0" w:space="0" w:color="auto"/>
                        <w:bottom w:val="none" w:sz="0" w:space="0" w:color="auto"/>
                        <w:right w:val="none" w:sz="0" w:space="0" w:color="auto"/>
                      </w:divBdr>
                    </w:div>
                    <w:div w:id="1978607533">
                      <w:marLeft w:val="0"/>
                      <w:marRight w:val="0"/>
                      <w:marTop w:val="0"/>
                      <w:marBottom w:val="0"/>
                      <w:divBdr>
                        <w:top w:val="none" w:sz="0" w:space="0" w:color="auto"/>
                        <w:left w:val="none" w:sz="0" w:space="0" w:color="auto"/>
                        <w:bottom w:val="none" w:sz="0" w:space="0" w:color="auto"/>
                        <w:right w:val="none" w:sz="0" w:space="0" w:color="auto"/>
                      </w:divBdr>
                    </w:div>
                  </w:divsChild>
                </w:div>
                <w:div w:id="920875075">
                  <w:marLeft w:val="0"/>
                  <w:marRight w:val="0"/>
                  <w:marTop w:val="0"/>
                  <w:marBottom w:val="0"/>
                  <w:divBdr>
                    <w:top w:val="none" w:sz="0" w:space="0" w:color="auto"/>
                    <w:left w:val="none" w:sz="0" w:space="0" w:color="auto"/>
                    <w:bottom w:val="none" w:sz="0" w:space="0" w:color="auto"/>
                    <w:right w:val="none" w:sz="0" w:space="0" w:color="auto"/>
                  </w:divBdr>
                  <w:divsChild>
                    <w:div w:id="1567649284">
                      <w:marLeft w:val="0"/>
                      <w:marRight w:val="0"/>
                      <w:marTop w:val="0"/>
                      <w:marBottom w:val="0"/>
                      <w:divBdr>
                        <w:top w:val="none" w:sz="0" w:space="0" w:color="auto"/>
                        <w:left w:val="none" w:sz="0" w:space="0" w:color="auto"/>
                        <w:bottom w:val="none" w:sz="0" w:space="0" w:color="auto"/>
                        <w:right w:val="none" w:sz="0" w:space="0" w:color="auto"/>
                      </w:divBdr>
                    </w:div>
                  </w:divsChild>
                </w:div>
                <w:div w:id="962690270">
                  <w:marLeft w:val="0"/>
                  <w:marRight w:val="0"/>
                  <w:marTop w:val="0"/>
                  <w:marBottom w:val="0"/>
                  <w:divBdr>
                    <w:top w:val="none" w:sz="0" w:space="0" w:color="auto"/>
                    <w:left w:val="none" w:sz="0" w:space="0" w:color="auto"/>
                    <w:bottom w:val="none" w:sz="0" w:space="0" w:color="auto"/>
                    <w:right w:val="none" w:sz="0" w:space="0" w:color="auto"/>
                  </w:divBdr>
                  <w:divsChild>
                    <w:div w:id="2016688717">
                      <w:marLeft w:val="0"/>
                      <w:marRight w:val="0"/>
                      <w:marTop w:val="0"/>
                      <w:marBottom w:val="0"/>
                      <w:divBdr>
                        <w:top w:val="none" w:sz="0" w:space="0" w:color="auto"/>
                        <w:left w:val="none" w:sz="0" w:space="0" w:color="auto"/>
                        <w:bottom w:val="none" w:sz="0" w:space="0" w:color="auto"/>
                        <w:right w:val="none" w:sz="0" w:space="0" w:color="auto"/>
                      </w:divBdr>
                    </w:div>
                  </w:divsChild>
                </w:div>
                <w:div w:id="964775353">
                  <w:marLeft w:val="0"/>
                  <w:marRight w:val="0"/>
                  <w:marTop w:val="0"/>
                  <w:marBottom w:val="0"/>
                  <w:divBdr>
                    <w:top w:val="none" w:sz="0" w:space="0" w:color="auto"/>
                    <w:left w:val="none" w:sz="0" w:space="0" w:color="auto"/>
                    <w:bottom w:val="none" w:sz="0" w:space="0" w:color="auto"/>
                    <w:right w:val="none" w:sz="0" w:space="0" w:color="auto"/>
                  </w:divBdr>
                  <w:divsChild>
                    <w:div w:id="1419869047">
                      <w:marLeft w:val="0"/>
                      <w:marRight w:val="0"/>
                      <w:marTop w:val="0"/>
                      <w:marBottom w:val="0"/>
                      <w:divBdr>
                        <w:top w:val="none" w:sz="0" w:space="0" w:color="auto"/>
                        <w:left w:val="none" w:sz="0" w:space="0" w:color="auto"/>
                        <w:bottom w:val="none" w:sz="0" w:space="0" w:color="auto"/>
                        <w:right w:val="none" w:sz="0" w:space="0" w:color="auto"/>
                      </w:divBdr>
                    </w:div>
                  </w:divsChild>
                </w:div>
                <w:div w:id="985016978">
                  <w:marLeft w:val="0"/>
                  <w:marRight w:val="0"/>
                  <w:marTop w:val="0"/>
                  <w:marBottom w:val="0"/>
                  <w:divBdr>
                    <w:top w:val="none" w:sz="0" w:space="0" w:color="auto"/>
                    <w:left w:val="none" w:sz="0" w:space="0" w:color="auto"/>
                    <w:bottom w:val="none" w:sz="0" w:space="0" w:color="auto"/>
                    <w:right w:val="none" w:sz="0" w:space="0" w:color="auto"/>
                  </w:divBdr>
                  <w:divsChild>
                    <w:div w:id="1288975582">
                      <w:marLeft w:val="0"/>
                      <w:marRight w:val="0"/>
                      <w:marTop w:val="0"/>
                      <w:marBottom w:val="0"/>
                      <w:divBdr>
                        <w:top w:val="none" w:sz="0" w:space="0" w:color="auto"/>
                        <w:left w:val="none" w:sz="0" w:space="0" w:color="auto"/>
                        <w:bottom w:val="none" w:sz="0" w:space="0" w:color="auto"/>
                        <w:right w:val="none" w:sz="0" w:space="0" w:color="auto"/>
                      </w:divBdr>
                    </w:div>
                  </w:divsChild>
                </w:div>
                <w:div w:id="1043678545">
                  <w:marLeft w:val="0"/>
                  <w:marRight w:val="0"/>
                  <w:marTop w:val="0"/>
                  <w:marBottom w:val="0"/>
                  <w:divBdr>
                    <w:top w:val="none" w:sz="0" w:space="0" w:color="auto"/>
                    <w:left w:val="none" w:sz="0" w:space="0" w:color="auto"/>
                    <w:bottom w:val="none" w:sz="0" w:space="0" w:color="auto"/>
                    <w:right w:val="none" w:sz="0" w:space="0" w:color="auto"/>
                  </w:divBdr>
                  <w:divsChild>
                    <w:div w:id="1447121373">
                      <w:marLeft w:val="0"/>
                      <w:marRight w:val="0"/>
                      <w:marTop w:val="0"/>
                      <w:marBottom w:val="0"/>
                      <w:divBdr>
                        <w:top w:val="none" w:sz="0" w:space="0" w:color="auto"/>
                        <w:left w:val="none" w:sz="0" w:space="0" w:color="auto"/>
                        <w:bottom w:val="none" w:sz="0" w:space="0" w:color="auto"/>
                        <w:right w:val="none" w:sz="0" w:space="0" w:color="auto"/>
                      </w:divBdr>
                    </w:div>
                  </w:divsChild>
                </w:div>
                <w:div w:id="1069957941">
                  <w:marLeft w:val="0"/>
                  <w:marRight w:val="0"/>
                  <w:marTop w:val="0"/>
                  <w:marBottom w:val="0"/>
                  <w:divBdr>
                    <w:top w:val="none" w:sz="0" w:space="0" w:color="auto"/>
                    <w:left w:val="none" w:sz="0" w:space="0" w:color="auto"/>
                    <w:bottom w:val="none" w:sz="0" w:space="0" w:color="auto"/>
                    <w:right w:val="none" w:sz="0" w:space="0" w:color="auto"/>
                  </w:divBdr>
                  <w:divsChild>
                    <w:div w:id="630794231">
                      <w:marLeft w:val="0"/>
                      <w:marRight w:val="0"/>
                      <w:marTop w:val="0"/>
                      <w:marBottom w:val="0"/>
                      <w:divBdr>
                        <w:top w:val="none" w:sz="0" w:space="0" w:color="auto"/>
                        <w:left w:val="none" w:sz="0" w:space="0" w:color="auto"/>
                        <w:bottom w:val="none" w:sz="0" w:space="0" w:color="auto"/>
                        <w:right w:val="none" w:sz="0" w:space="0" w:color="auto"/>
                      </w:divBdr>
                    </w:div>
                  </w:divsChild>
                </w:div>
                <w:div w:id="1160805955">
                  <w:marLeft w:val="0"/>
                  <w:marRight w:val="0"/>
                  <w:marTop w:val="0"/>
                  <w:marBottom w:val="0"/>
                  <w:divBdr>
                    <w:top w:val="none" w:sz="0" w:space="0" w:color="auto"/>
                    <w:left w:val="none" w:sz="0" w:space="0" w:color="auto"/>
                    <w:bottom w:val="none" w:sz="0" w:space="0" w:color="auto"/>
                    <w:right w:val="none" w:sz="0" w:space="0" w:color="auto"/>
                  </w:divBdr>
                  <w:divsChild>
                    <w:div w:id="1098722259">
                      <w:marLeft w:val="0"/>
                      <w:marRight w:val="0"/>
                      <w:marTop w:val="0"/>
                      <w:marBottom w:val="0"/>
                      <w:divBdr>
                        <w:top w:val="none" w:sz="0" w:space="0" w:color="auto"/>
                        <w:left w:val="none" w:sz="0" w:space="0" w:color="auto"/>
                        <w:bottom w:val="none" w:sz="0" w:space="0" w:color="auto"/>
                        <w:right w:val="none" w:sz="0" w:space="0" w:color="auto"/>
                      </w:divBdr>
                    </w:div>
                  </w:divsChild>
                </w:div>
                <w:div w:id="1197965164">
                  <w:marLeft w:val="0"/>
                  <w:marRight w:val="0"/>
                  <w:marTop w:val="0"/>
                  <w:marBottom w:val="0"/>
                  <w:divBdr>
                    <w:top w:val="none" w:sz="0" w:space="0" w:color="auto"/>
                    <w:left w:val="none" w:sz="0" w:space="0" w:color="auto"/>
                    <w:bottom w:val="none" w:sz="0" w:space="0" w:color="auto"/>
                    <w:right w:val="none" w:sz="0" w:space="0" w:color="auto"/>
                  </w:divBdr>
                  <w:divsChild>
                    <w:div w:id="1873805637">
                      <w:marLeft w:val="0"/>
                      <w:marRight w:val="0"/>
                      <w:marTop w:val="0"/>
                      <w:marBottom w:val="0"/>
                      <w:divBdr>
                        <w:top w:val="none" w:sz="0" w:space="0" w:color="auto"/>
                        <w:left w:val="none" w:sz="0" w:space="0" w:color="auto"/>
                        <w:bottom w:val="none" w:sz="0" w:space="0" w:color="auto"/>
                        <w:right w:val="none" w:sz="0" w:space="0" w:color="auto"/>
                      </w:divBdr>
                    </w:div>
                  </w:divsChild>
                </w:div>
                <w:div w:id="1198659496">
                  <w:marLeft w:val="0"/>
                  <w:marRight w:val="0"/>
                  <w:marTop w:val="0"/>
                  <w:marBottom w:val="0"/>
                  <w:divBdr>
                    <w:top w:val="none" w:sz="0" w:space="0" w:color="auto"/>
                    <w:left w:val="none" w:sz="0" w:space="0" w:color="auto"/>
                    <w:bottom w:val="none" w:sz="0" w:space="0" w:color="auto"/>
                    <w:right w:val="none" w:sz="0" w:space="0" w:color="auto"/>
                  </w:divBdr>
                  <w:divsChild>
                    <w:div w:id="803622109">
                      <w:marLeft w:val="0"/>
                      <w:marRight w:val="0"/>
                      <w:marTop w:val="0"/>
                      <w:marBottom w:val="0"/>
                      <w:divBdr>
                        <w:top w:val="none" w:sz="0" w:space="0" w:color="auto"/>
                        <w:left w:val="none" w:sz="0" w:space="0" w:color="auto"/>
                        <w:bottom w:val="none" w:sz="0" w:space="0" w:color="auto"/>
                        <w:right w:val="none" w:sz="0" w:space="0" w:color="auto"/>
                      </w:divBdr>
                    </w:div>
                    <w:div w:id="1101222732">
                      <w:marLeft w:val="0"/>
                      <w:marRight w:val="0"/>
                      <w:marTop w:val="0"/>
                      <w:marBottom w:val="0"/>
                      <w:divBdr>
                        <w:top w:val="none" w:sz="0" w:space="0" w:color="auto"/>
                        <w:left w:val="none" w:sz="0" w:space="0" w:color="auto"/>
                        <w:bottom w:val="none" w:sz="0" w:space="0" w:color="auto"/>
                        <w:right w:val="none" w:sz="0" w:space="0" w:color="auto"/>
                      </w:divBdr>
                    </w:div>
                  </w:divsChild>
                </w:div>
                <w:div w:id="1310552130">
                  <w:marLeft w:val="0"/>
                  <w:marRight w:val="0"/>
                  <w:marTop w:val="0"/>
                  <w:marBottom w:val="0"/>
                  <w:divBdr>
                    <w:top w:val="none" w:sz="0" w:space="0" w:color="auto"/>
                    <w:left w:val="none" w:sz="0" w:space="0" w:color="auto"/>
                    <w:bottom w:val="none" w:sz="0" w:space="0" w:color="auto"/>
                    <w:right w:val="none" w:sz="0" w:space="0" w:color="auto"/>
                  </w:divBdr>
                  <w:divsChild>
                    <w:div w:id="461114598">
                      <w:marLeft w:val="0"/>
                      <w:marRight w:val="0"/>
                      <w:marTop w:val="0"/>
                      <w:marBottom w:val="0"/>
                      <w:divBdr>
                        <w:top w:val="none" w:sz="0" w:space="0" w:color="auto"/>
                        <w:left w:val="none" w:sz="0" w:space="0" w:color="auto"/>
                        <w:bottom w:val="none" w:sz="0" w:space="0" w:color="auto"/>
                        <w:right w:val="none" w:sz="0" w:space="0" w:color="auto"/>
                      </w:divBdr>
                    </w:div>
                  </w:divsChild>
                </w:div>
                <w:div w:id="1334263115">
                  <w:marLeft w:val="0"/>
                  <w:marRight w:val="0"/>
                  <w:marTop w:val="0"/>
                  <w:marBottom w:val="0"/>
                  <w:divBdr>
                    <w:top w:val="none" w:sz="0" w:space="0" w:color="auto"/>
                    <w:left w:val="none" w:sz="0" w:space="0" w:color="auto"/>
                    <w:bottom w:val="none" w:sz="0" w:space="0" w:color="auto"/>
                    <w:right w:val="none" w:sz="0" w:space="0" w:color="auto"/>
                  </w:divBdr>
                  <w:divsChild>
                    <w:div w:id="2079790537">
                      <w:marLeft w:val="0"/>
                      <w:marRight w:val="0"/>
                      <w:marTop w:val="0"/>
                      <w:marBottom w:val="0"/>
                      <w:divBdr>
                        <w:top w:val="none" w:sz="0" w:space="0" w:color="auto"/>
                        <w:left w:val="none" w:sz="0" w:space="0" w:color="auto"/>
                        <w:bottom w:val="none" w:sz="0" w:space="0" w:color="auto"/>
                        <w:right w:val="none" w:sz="0" w:space="0" w:color="auto"/>
                      </w:divBdr>
                    </w:div>
                  </w:divsChild>
                </w:div>
                <w:div w:id="1364556567">
                  <w:marLeft w:val="0"/>
                  <w:marRight w:val="0"/>
                  <w:marTop w:val="0"/>
                  <w:marBottom w:val="0"/>
                  <w:divBdr>
                    <w:top w:val="none" w:sz="0" w:space="0" w:color="auto"/>
                    <w:left w:val="none" w:sz="0" w:space="0" w:color="auto"/>
                    <w:bottom w:val="none" w:sz="0" w:space="0" w:color="auto"/>
                    <w:right w:val="none" w:sz="0" w:space="0" w:color="auto"/>
                  </w:divBdr>
                  <w:divsChild>
                    <w:div w:id="998994143">
                      <w:marLeft w:val="0"/>
                      <w:marRight w:val="0"/>
                      <w:marTop w:val="0"/>
                      <w:marBottom w:val="0"/>
                      <w:divBdr>
                        <w:top w:val="none" w:sz="0" w:space="0" w:color="auto"/>
                        <w:left w:val="none" w:sz="0" w:space="0" w:color="auto"/>
                        <w:bottom w:val="none" w:sz="0" w:space="0" w:color="auto"/>
                        <w:right w:val="none" w:sz="0" w:space="0" w:color="auto"/>
                      </w:divBdr>
                    </w:div>
                    <w:div w:id="1216355649">
                      <w:marLeft w:val="0"/>
                      <w:marRight w:val="0"/>
                      <w:marTop w:val="0"/>
                      <w:marBottom w:val="0"/>
                      <w:divBdr>
                        <w:top w:val="none" w:sz="0" w:space="0" w:color="auto"/>
                        <w:left w:val="none" w:sz="0" w:space="0" w:color="auto"/>
                        <w:bottom w:val="none" w:sz="0" w:space="0" w:color="auto"/>
                        <w:right w:val="none" w:sz="0" w:space="0" w:color="auto"/>
                      </w:divBdr>
                    </w:div>
                  </w:divsChild>
                </w:div>
                <w:div w:id="1433819222">
                  <w:marLeft w:val="0"/>
                  <w:marRight w:val="0"/>
                  <w:marTop w:val="0"/>
                  <w:marBottom w:val="0"/>
                  <w:divBdr>
                    <w:top w:val="none" w:sz="0" w:space="0" w:color="auto"/>
                    <w:left w:val="none" w:sz="0" w:space="0" w:color="auto"/>
                    <w:bottom w:val="none" w:sz="0" w:space="0" w:color="auto"/>
                    <w:right w:val="none" w:sz="0" w:space="0" w:color="auto"/>
                  </w:divBdr>
                  <w:divsChild>
                    <w:div w:id="601491952">
                      <w:marLeft w:val="0"/>
                      <w:marRight w:val="0"/>
                      <w:marTop w:val="0"/>
                      <w:marBottom w:val="0"/>
                      <w:divBdr>
                        <w:top w:val="none" w:sz="0" w:space="0" w:color="auto"/>
                        <w:left w:val="none" w:sz="0" w:space="0" w:color="auto"/>
                        <w:bottom w:val="none" w:sz="0" w:space="0" w:color="auto"/>
                        <w:right w:val="none" w:sz="0" w:space="0" w:color="auto"/>
                      </w:divBdr>
                    </w:div>
                  </w:divsChild>
                </w:div>
                <w:div w:id="1446465311">
                  <w:marLeft w:val="0"/>
                  <w:marRight w:val="0"/>
                  <w:marTop w:val="0"/>
                  <w:marBottom w:val="0"/>
                  <w:divBdr>
                    <w:top w:val="none" w:sz="0" w:space="0" w:color="auto"/>
                    <w:left w:val="none" w:sz="0" w:space="0" w:color="auto"/>
                    <w:bottom w:val="none" w:sz="0" w:space="0" w:color="auto"/>
                    <w:right w:val="none" w:sz="0" w:space="0" w:color="auto"/>
                  </w:divBdr>
                  <w:divsChild>
                    <w:div w:id="350957694">
                      <w:marLeft w:val="0"/>
                      <w:marRight w:val="0"/>
                      <w:marTop w:val="0"/>
                      <w:marBottom w:val="0"/>
                      <w:divBdr>
                        <w:top w:val="none" w:sz="0" w:space="0" w:color="auto"/>
                        <w:left w:val="none" w:sz="0" w:space="0" w:color="auto"/>
                        <w:bottom w:val="none" w:sz="0" w:space="0" w:color="auto"/>
                        <w:right w:val="none" w:sz="0" w:space="0" w:color="auto"/>
                      </w:divBdr>
                    </w:div>
                  </w:divsChild>
                </w:div>
                <w:div w:id="1471747905">
                  <w:marLeft w:val="0"/>
                  <w:marRight w:val="0"/>
                  <w:marTop w:val="0"/>
                  <w:marBottom w:val="0"/>
                  <w:divBdr>
                    <w:top w:val="none" w:sz="0" w:space="0" w:color="auto"/>
                    <w:left w:val="none" w:sz="0" w:space="0" w:color="auto"/>
                    <w:bottom w:val="none" w:sz="0" w:space="0" w:color="auto"/>
                    <w:right w:val="none" w:sz="0" w:space="0" w:color="auto"/>
                  </w:divBdr>
                  <w:divsChild>
                    <w:div w:id="1293905363">
                      <w:marLeft w:val="0"/>
                      <w:marRight w:val="0"/>
                      <w:marTop w:val="0"/>
                      <w:marBottom w:val="0"/>
                      <w:divBdr>
                        <w:top w:val="none" w:sz="0" w:space="0" w:color="auto"/>
                        <w:left w:val="none" w:sz="0" w:space="0" w:color="auto"/>
                        <w:bottom w:val="none" w:sz="0" w:space="0" w:color="auto"/>
                        <w:right w:val="none" w:sz="0" w:space="0" w:color="auto"/>
                      </w:divBdr>
                    </w:div>
                    <w:div w:id="1903321327">
                      <w:marLeft w:val="0"/>
                      <w:marRight w:val="0"/>
                      <w:marTop w:val="0"/>
                      <w:marBottom w:val="0"/>
                      <w:divBdr>
                        <w:top w:val="none" w:sz="0" w:space="0" w:color="auto"/>
                        <w:left w:val="none" w:sz="0" w:space="0" w:color="auto"/>
                        <w:bottom w:val="none" w:sz="0" w:space="0" w:color="auto"/>
                        <w:right w:val="none" w:sz="0" w:space="0" w:color="auto"/>
                      </w:divBdr>
                    </w:div>
                  </w:divsChild>
                </w:div>
                <w:div w:id="1554273470">
                  <w:marLeft w:val="0"/>
                  <w:marRight w:val="0"/>
                  <w:marTop w:val="0"/>
                  <w:marBottom w:val="0"/>
                  <w:divBdr>
                    <w:top w:val="none" w:sz="0" w:space="0" w:color="auto"/>
                    <w:left w:val="none" w:sz="0" w:space="0" w:color="auto"/>
                    <w:bottom w:val="none" w:sz="0" w:space="0" w:color="auto"/>
                    <w:right w:val="none" w:sz="0" w:space="0" w:color="auto"/>
                  </w:divBdr>
                  <w:divsChild>
                    <w:div w:id="1851523598">
                      <w:marLeft w:val="0"/>
                      <w:marRight w:val="0"/>
                      <w:marTop w:val="0"/>
                      <w:marBottom w:val="0"/>
                      <w:divBdr>
                        <w:top w:val="none" w:sz="0" w:space="0" w:color="auto"/>
                        <w:left w:val="none" w:sz="0" w:space="0" w:color="auto"/>
                        <w:bottom w:val="none" w:sz="0" w:space="0" w:color="auto"/>
                        <w:right w:val="none" w:sz="0" w:space="0" w:color="auto"/>
                      </w:divBdr>
                    </w:div>
                  </w:divsChild>
                </w:div>
                <w:div w:id="1558587266">
                  <w:marLeft w:val="0"/>
                  <w:marRight w:val="0"/>
                  <w:marTop w:val="0"/>
                  <w:marBottom w:val="0"/>
                  <w:divBdr>
                    <w:top w:val="none" w:sz="0" w:space="0" w:color="auto"/>
                    <w:left w:val="none" w:sz="0" w:space="0" w:color="auto"/>
                    <w:bottom w:val="none" w:sz="0" w:space="0" w:color="auto"/>
                    <w:right w:val="none" w:sz="0" w:space="0" w:color="auto"/>
                  </w:divBdr>
                  <w:divsChild>
                    <w:div w:id="2000229627">
                      <w:marLeft w:val="0"/>
                      <w:marRight w:val="0"/>
                      <w:marTop w:val="0"/>
                      <w:marBottom w:val="0"/>
                      <w:divBdr>
                        <w:top w:val="none" w:sz="0" w:space="0" w:color="auto"/>
                        <w:left w:val="none" w:sz="0" w:space="0" w:color="auto"/>
                        <w:bottom w:val="none" w:sz="0" w:space="0" w:color="auto"/>
                        <w:right w:val="none" w:sz="0" w:space="0" w:color="auto"/>
                      </w:divBdr>
                    </w:div>
                    <w:div w:id="2063404857">
                      <w:marLeft w:val="0"/>
                      <w:marRight w:val="0"/>
                      <w:marTop w:val="0"/>
                      <w:marBottom w:val="0"/>
                      <w:divBdr>
                        <w:top w:val="none" w:sz="0" w:space="0" w:color="auto"/>
                        <w:left w:val="none" w:sz="0" w:space="0" w:color="auto"/>
                        <w:bottom w:val="none" w:sz="0" w:space="0" w:color="auto"/>
                        <w:right w:val="none" w:sz="0" w:space="0" w:color="auto"/>
                      </w:divBdr>
                    </w:div>
                  </w:divsChild>
                </w:div>
                <w:div w:id="1561019952">
                  <w:marLeft w:val="0"/>
                  <w:marRight w:val="0"/>
                  <w:marTop w:val="0"/>
                  <w:marBottom w:val="0"/>
                  <w:divBdr>
                    <w:top w:val="none" w:sz="0" w:space="0" w:color="auto"/>
                    <w:left w:val="none" w:sz="0" w:space="0" w:color="auto"/>
                    <w:bottom w:val="none" w:sz="0" w:space="0" w:color="auto"/>
                    <w:right w:val="none" w:sz="0" w:space="0" w:color="auto"/>
                  </w:divBdr>
                  <w:divsChild>
                    <w:div w:id="522599858">
                      <w:marLeft w:val="0"/>
                      <w:marRight w:val="0"/>
                      <w:marTop w:val="0"/>
                      <w:marBottom w:val="0"/>
                      <w:divBdr>
                        <w:top w:val="none" w:sz="0" w:space="0" w:color="auto"/>
                        <w:left w:val="none" w:sz="0" w:space="0" w:color="auto"/>
                        <w:bottom w:val="none" w:sz="0" w:space="0" w:color="auto"/>
                        <w:right w:val="none" w:sz="0" w:space="0" w:color="auto"/>
                      </w:divBdr>
                    </w:div>
                  </w:divsChild>
                </w:div>
                <w:div w:id="1568998939">
                  <w:marLeft w:val="0"/>
                  <w:marRight w:val="0"/>
                  <w:marTop w:val="0"/>
                  <w:marBottom w:val="0"/>
                  <w:divBdr>
                    <w:top w:val="none" w:sz="0" w:space="0" w:color="auto"/>
                    <w:left w:val="none" w:sz="0" w:space="0" w:color="auto"/>
                    <w:bottom w:val="none" w:sz="0" w:space="0" w:color="auto"/>
                    <w:right w:val="none" w:sz="0" w:space="0" w:color="auto"/>
                  </w:divBdr>
                  <w:divsChild>
                    <w:div w:id="1563904955">
                      <w:marLeft w:val="0"/>
                      <w:marRight w:val="0"/>
                      <w:marTop w:val="0"/>
                      <w:marBottom w:val="0"/>
                      <w:divBdr>
                        <w:top w:val="none" w:sz="0" w:space="0" w:color="auto"/>
                        <w:left w:val="none" w:sz="0" w:space="0" w:color="auto"/>
                        <w:bottom w:val="none" w:sz="0" w:space="0" w:color="auto"/>
                        <w:right w:val="none" w:sz="0" w:space="0" w:color="auto"/>
                      </w:divBdr>
                    </w:div>
                    <w:div w:id="2074236069">
                      <w:marLeft w:val="0"/>
                      <w:marRight w:val="0"/>
                      <w:marTop w:val="0"/>
                      <w:marBottom w:val="0"/>
                      <w:divBdr>
                        <w:top w:val="none" w:sz="0" w:space="0" w:color="auto"/>
                        <w:left w:val="none" w:sz="0" w:space="0" w:color="auto"/>
                        <w:bottom w:val="none" w:sz="0" w:space="0" w:color="auto"/>
                        <w:right w:val="none" w:sz="0" w:space="0" w:color="auto"/>
                      </w:divBdr>
                    </w:div>
                  </w:divsChild>
                </w:div>
                <w:div w:id="1570841752">
                  <w:marLeft w:val="0"/>
                  <w:marRight w:val="0"/>
                  <w:marTop w:val="0"/>
                  <w:marBottom w:val="0"/>
                  <w:divBdr>
                    <w:top w:val="none" w:sz="0" w:space="0" w:color="auto"/>
                    <w:left w:val="none" w:sz="0" w:space="0" w:color="auto"/>
                    <w:bottom w:val="none" w:sz="0" w:space="0" w:color="auto"/>
                    <w:right w:val="none" w:sz="0" w:space="0" w:color="auto"/>
                  </w:divBdr>
                  <w:divsChild>
                    <w:div w:id="1959335479">
                      <w:marLeft w:val="0"/>
                      <w:marRight w:val="0"/>
                      <w:marTop w:val="0"/>
                      <w:marBottom w:val="0"/>
                      <w:divBdr>
                        <w:top w:val="none" w:sz="0" w:space="0" w:color="auto"/>
                        <w:left w:val="none" w:sz="0" w:space="0" w:color="auto"/>
                        <w:bottom w:val="none" w:sz="0" w:space="0" w:color="auto"/>
                        <w:right w:val="none" w:sz="0" w:space="0" w:color="auto"/>
                      </w:divBdr>
                    </w:div>
                  </w:divsChild>
                </w:div>
                <w:div w:id="1583030108">
                  <w:marLeft w:val="0"/>
                  <w:marRight w:val="0"/>
                  <w:marTop w:val="0"/>
                  <w:marBottom w:val="0"/>
                  <w:divBdr>
                    <w:top w:val="none" w:sz="0" w:space="0" w:color="auto"/>
                    <w:left w:val="none" w:sz="0" w:space="0" w:color="auto"/>
                    <w:bottom w:val="none" w:sz="0" w:space="0" w:color="auto"/>
                    <w:right w:val="none" w:sz="0" w:space="0" w:color="auto"/>
                  </w:divBdr>
                  <w:divsChild>
                    <w:div w:id="1531381372">
                      <w:marLeft w:val="0"/>
                      <w:marRight w:val="0"/>
                      <w:marTop w:val="0"/>
                      <w:marBottom w:val="0"/>
                      <w:divBdr>
                        <w:top w:val="none" w:sz="0" w:space="0" w:color="auto"/>
                        <w:left w:val="none" w:sz="0" w:space="0" w:color="auto"/>
                        <w:bottom w:val="none" w:sz="0" w:space="0" w:color="auto"/>
                        <w:right w:val="none" w:sz="0" w:space="0" w:color="auto"/>
                      </w:divBdr>
                    </w:div>
                    <w:div w:id="1541438191">
                      <w:marLeft w:val="0"/>
                      <w:marRight w:val="0"/>
                      <w:marTop w:val="0"/>
                      <w:marBottom w:val="0"/>
                      <w:divBdr>
                        <w:top w:val="none" w:sz="0" w:space="0" w:color="auto"/>
                        <w:left w:val="none" w:sz="0" w:space="0" w:color="auto"/>
                        <w:bottom w:val="none" w:sz="0" w:space="0" w:color="auto"/>
                        <w:right w:val="none" w:sz="0" w:space="0" w:color="auto"/>
                      </w:divBdr>
                    </w:div>
                  </w:divsChild>
                </w:div>
                <w:div w:id="1591623443">
                  <w:marLeft w:val="0"/>
                  <w:marRight w:val="0"/>
                  <w:marTop w:val="0"/>
                  <w:marBottom w:val="0"/>
                  <w:divBdr>
                    <w:top w:val="none" w:sz="0" w:space="0" w:color="auto"/>
                    <w:left w:val="none" w:sz="0" w:space="0" w:color="auto"/>
                    <w:bottom w:val="none" w:sz="0" w:space="0" w:color="auto"/>
                    <w:right w:val="none" w:sz="0" w:space="0" w:color="auto"/>
                  </w:divBdr>
                  <w:divsChild>
                    <w:div w:id="906647847">
                      <w:marLeft w:val="0"/>
                      <w:marRight w:val="0"/>
                      <w:marTop w:val="0"/>
                      <w:marBottom w:val="0"/>
                      <w:divBdr>
                        <w:top w:val="none" w:sz="0" w:space="0" w:color="auto"/>
                        <w:left w:val="none" w:sz="0" w:space="0" w:color="auto"/>
                        <w:bottom w:val="none" w:sz="0" w:space="0" w:color="auto"/>
                        <w:right w:val="none" w:sz="0" w:space="0" w:color="auto"/>
                      </w:divBdr>
                    </w:div>
                  </w:divsChild>
                </w:div>
                <w:div w:id="1663854312">
                  <w:marLeft w:val="0"/>
                  <w:marRight w:val="0"/>
                  <w:marTop w:val="0"/>
                  <w:marBottom w:val="0"/>
                  <w:divBdr>
                    <w:top w:val="none" w:sz="0" w:space="0" w:color="auto"/>
                    <w:left w:val="none" w:sz="0" w:space="0" w:color="auto"/>
                    <w:bottom w:val="none" w:sz="0" w:space="0" w:color="auto"/>
                    <w:right w:val="none" w:sz="0" w:space="0" w:color="auto"/>
                  </w:divBdr>
                  <w:divsChild>
                    <w:div w:id="175969214">
                      <w:marLeft w:val="0"/>
                      <w:marRight w:val="0"/>
                      <w:marTop w:val="0"/>
                      <w:marBottom w:val="0"/>
                      <w:divBdr>
                        <w:top w:val="none" w:sz="0" w:space="0" w:color="auto"/>
                        <w:left w:val="none" w:sz="0" w:space="0" w:color="auto"/>
                        <w:bottom w:val="none" w:sz="0" w:space="0" w:color="auto"/>
                        <w:right w:val="none" w:sz="0" w:space="0" w:color="auto"/>
                      </w:divBdr>
                    </w:div>
                  </w:divsChild>
                </w:div>
                <w:div w:id="1708485469">
                  <w:marLeft w:val="0"/>
                  <w:marRight w:val="0"/>
                  <w:marTop w:val="0"/>
                  <w:marBottom w:val="0"/>
                  <w:divBdr>
                    <w:top w:val="none" w:sz="0" w:space="0" w:color="auto"/>
                    <w:left w:val="none" w:sz="0" w:space="0" w:color="auto"/>
                    <w:bottom w:val="none" w:sz="0" w:space="0" w:color="auto"/>
                    <w:right w:val="none" w:sz="0" w:space="0" w:color="auto"/>
                  </w:divBdr>
                  <w:divsChild>
                    <w:div w:id="1166868953">
                      <w:marLeft w:val="0"/>
                      <w:marRight w:val="0"/>
                      <w:marTop w:val="0"/>
                      <w:marBottom w:val="0"/>
                      <w:divBdr>
                        <w:top w:val="none" w:sz="0" w:space="0" w:color="auto"/>
                        <w:left w:val="none" w:sz="0" w:space="0" w:color="auto"/>
                        <w:bottom w:val="none" w:sz="0" w:space="0" w:color="auto"/>
                        <w:right w:val="none" w:sz="0" w:space="0" w:color="auto"/>
                      </w:divBdr>
                    </w:div>
                  </w:divsChild>
                </w:div>
                <w:div w:id="1730493541">
                  <w:marLeft w:val="0"/>
                  <w:marRight w:val="0"/>
                  <w:marTop w:val="0"/>
                  <w:marBottom w:val="0"/>
                  <w:divBdr>
                    <w:top w:val="none" w:sz="0" w:space="0" w:color="auto"/>
                    <w:left w:val="none" w:sz="0" w:space="0" w:color="auto"/>
                    <w:bottom w:val="none" w:sz="0" w:space="0" w:color="auto"/>
                    <w:right w:val="none" w:sz="0" w:space="0" w:color="auto"/>
                  </w:divBdr>
                  <w:divsChild>
                    <w:div w:id="645740724">
                      <w:marLeft w:val="0"/>
                      <w:marRight w:val="0"/>
                      <w:marTop w:val="0"/>
                      <w:marBottom w:val="0"/>
                      <w:divBdr>
                        <w:top w:val="none" w:sz="0" w:space="0" w:color="auto"/>
                        <w:left w:val="none" w:sz="0" w:space="0" w:color="auto"/>
                        <w:bottom w:val="none" w:sz="0" w:space="0" w:color="auto"/>
                        <w:right w:val="none" w:sz="0" w:space="0" w:color="auto"/>
                      </w:divBdr>
                    </w:div>
                  </w:divsChild>
                </w:div>
                <w:div w:id="1748846916">
                  <w:marLeft w:val="0"/>
                  <w:marRight w:val="0"/>
                  <w:marTop w:val="0"/>
                  <w:marBottom w:val="0"/>
                  <w:divBdr>
                    <w:top w:val="none" w:sz="0" w:space="0" w:color="auto"/>
                    <w:left w:val="none" w:sz="0" w:space="0" w:color="auto"/>
                    <w:bottom w:val="none" w:sz="0" w:space="0" w:color="auto"/>
                    <w:right w:val="none" w:sz="0" w:space="0" w:color="auto"/>
                  </w:divBdr>
                  <w:divsChild>
                    <w:div w:id="1705983537">
                      <w:marLeft w:val="0"/>
                      <w:marRight w:val="0"/>
                      <w:marTop w:val="0"/>
                      <w:marBottom w:val="0"/>
                      <w:divBdr>
                        <w:top w:val="none" w:sz="0" w:space="0" w:color="auto"/>
                        <w:left w:val="none" w:sz="0" w:space="0" w:color="auto"/>
                        <w:bottom w:val="none" w:sz="0" w:space="0" w:color="auto"/>
                        <w:right w:val="none" w:sz="0" w:space="0" w:color="auto"/>
                      </w:divBdr>
                    </w:div>
                  </w:divsChild>
                </w:div>
                <w:div w:id="1760326457">
                  <w:marLeft w:val="0"/>
                  <w:marRight w:val="0"/>
                  <w:marTop w:val="0"/>
                  <w:marBottom w:val="0"/>
                  <w:divBdr>
                    <w:top w:val="none" w:sz="0" w:space="0" w:color="auto"/>
                    <w:left w:val="none" w:sz="0" w:space="0" w:color="auto"/>
                    <w:bottom w:val="none" w:sz="0" w:space="0" w:color="auto"/>
                    <w:right w:val="none" w:sz="0" w:space="0" w:color="auto"/>
                  </w:divBdr>
                  <w:divsChild>
                    <w:div w:id="1330937434">
                      <w:marLeft w:val="0"/>
                      <w:marRight w:val="0"/>
                      <w:marTop w:val="0"/>
                      <w:marBottom w:val="0"/>
                      <w:divBdr>
                        <w:top w:val="none" w:sz="0" w:space="0" w:color="auto"/>
                        <w:left w:val="none" w:sz="0" w:space="0" w:color="auto"/>
                        <w:bottom w:val="none" w:sz="0" w:space="0" w:color="auto"/>
                        <w:right w:val="none" w:sz="0" w:space="0" w:color="auto"/>
                      </w:divBdr>
                    </w:div>
                  </w:divsChild>
                </w:div>
                <w:div w:id="1793094786">
                  <w:marLeft w:val="0"/>
                  <w:marRight w:val="0"/>
                  <w:marTop w:val="0"/>
                  <w:marBottom w:val="0"/>
                  <w:divBdr>
                    <w:top w:val="none" w:sz="0" w:space="0" w:color="auto"/>
                    <w:left w:val="none" w:sz="0" w:space="0" w:color="auto"/>
                    <w:bottom w:val="none" w:sz="0" w:space="0" w:color="auto"/>
                    <w:right w:val="none" w:sz="0" w:space="0" w:color="auto"/>
                  </w:divBdr>
                  <w:divsChild>
                    <w:div w:id="794448203">
                      <w:marLeft w:val="0"/>
                      <w:marRight w:val="0"/>
                      <w:marTop w:val="0"/>
                      <w:marBottom w:val="0"/>
                      <w:divBdr>
                        <w:top w:val="none" w:sz="0" w:space="0" w:color="auto"/>
                        <w:left w:val="none" w:sz="0" w:space="0" w:color="auto"/>
                        <w:bottom w:val="none" w:sz="0" w:space="0" w:color="auto"/>
                        <w:right w:val="none" w:sz="0" w:space="0" w:color="auto"/>
                      </w:divBdr>
                    </w:div>
                    <w:div w:id="1436905406">
                      <w:marLeft w:val="0"/>
                      <w:marRight w:val="0"/>
                      <w:marTop w:val="0"/>
                      <w:marBottom w:val="0"/>
                      <w:divBdr>
                        <w:top w:val="none" w:sz="0" w:space="0" w:color="auto"/>
                        <w:left w:val="none" w:sz="0" w:space="0" w:color="auto"/>
                        <w:bottom w:val="none" w:sz="0" w:space="0" w:color="auto"/>
                        <w:right w:val="none" w:sz="0" w:space="0" w:color="auto"/>
                      </w:divBdr>
                    </w:div>
                  </w:divsChild>
                </w:div>
                <w:div w:id="1948852038">
                  <w:marLeft w:val="0"/>
                  <w:marRight w:val="0"/>
                  <w:marTop w:val="0"/>
                  <w:marBottom w:val="0"/>
                  <w:divBdr>
                    <w:top w:val="none" w:sz="0" w:space="0" w:color="auto"/>
                    <w:left w:val="none" w:sz="0" w:space="0" w:color="auto"/>
                    <w:bottom w:val="none" w:sz="0" w:space="0" w:color="auto"/>
                    <w:right w:val="none" w:sz="0" w:space="0" w:color="auto"/>
                  </w:divBdr>
                  <w:divsChild>
                    <w:div w:id="1881431186">
                      <w:marLeft w:val="0"/>
                      <w:marRight w:val="0"/>
                      <w:marTop w:val="0"/>
                      <w:marBottom w:val="0"/>
                      <w:divBdr>
                        <w:top w:val="none" w:sz="0" w:space="0" w:color="auto"/>
                        <w:left w:val="none" w:sz="0" w:space="0" w:color="auto"/>
                        <w:bottom w:val="none" w:sz="0" w:space="0" w:color="auto"/>
                        <w:right w:val="none" w:sz="0" w:space="0" w:color="auto"/>
                      </w:divBdr>
                    </w:div>
                  </w:divsChild>
                </w:div>
                <w:div w:id="1979802655">
                  <w:marLeft w:val="0"/>
                  <w:marRight w:val="0"/>
                  <w:marTop w:val="0"/>
                  <w:marBottom w:val="0"/>
                  <w:divBdr>
                    <w:top w:val="none" w:sz="0" w:space="0" w:color="auto"/>
                    <w:left w:val="none" w:sz="0" w:space="0" w:color="auto"/>
                    <w:bottom w:val="none" w:sz="0" w:space="0" w:color="auto"/>
                    <w:right w:val="none" w:sz="0" w:space="0" w:color="auto"/>
                  </w:divBdr>
                  <w:divsChild>
                    <w:div w:id="1812670436">
                      <w:marLeft w:val="0"/>
                      <w:marRight w:val="0"/>
                      <w:marTop w:val="0"/>
                      <w:marBottom w:val="0"/>
                      <w:divBdr>
                        <w:top w:val="none" w:sz="0" w:space="0" w:color="auto"/>
                        <w:left w:val="none" w:sz="0" w:space="0" w:color="auto"/>
                        <w:bottom w:val="none" w:sz="0" w:space="0" w:color="auto"/>
                        <w:right w:val="none" w:sz="0" w:space="0" w:color="auto"/>
                      </w:divBdr>
                    </w:div>
                  </w:divsChild>
                </w:div>
                <w:div w:id="2045447940">
                  <w:marLeft w:val="0"/>
                  <w:marRight w:val="0"/>
                  <w:marTop w:val="0"/>
                  <w:marBottom w:val="0"/>
                  <w:divBdr>
                    <w:top w:val="none" w:sz="0" w:space="0" w:color="auto"/>
                    <w:left w:val="none" w:sz="0" w:space="0" w:color="auto"/>
                    <w:bottom w:val="none" w:sz="0" w:space="0" w:color="auto"/>
                    <w:right w:val="none" w:sz="0" w:space="0" w:color="auto"/>
                  </w:divBdr>
                  <w:divsChild>
                    <w:div w:id="660472985">
                      <w:marLeft w:val="0"/>
                      <w:marRight w:val="0"/>
                      <w:marTop w:val="0"/>
                      <w:marBottom w:val="0"/>
                      <w:divBdr>
                        <w:top w:val="none" w:sz="0" w:space="0" w:color="auto"/>
                        <w:left w:val="none" w:sz="0" w:space="0" w:color="auto"/>
                        <w:bottom w:val="none" w:sz="0" w:space="0" w:color="auto"/>
                        <w:right w:val="none" w:sz="0" w:space="0" w:color="auto"/>
                      </w:divBdr>
                    </w:div>
                  </w:divsChild>
                </w:div>
                <w:div w:id="2054303951">
                  <w:marLeft w:val="0"/>
                  <w:marRight w:val="0"/>
                  <w:marTop w:val="0"/>
                  <w:marBottom w:val="0"/>
                  <w:divBdr>
                    <w:top w:val="none" w:sz="0" w:space="0" w:color="auto"/>
                    <w:left w:val="none" w:sz="0" w:space="0" w:color="auto"/>
                    <w:bottom w:val="none" w:sz="0" w:space="0" w:color="auto"/>
                    <w:right w:val="none" w:sz="0" w:space="0" w:color="auto"/>
                  </w:divBdr>
                  <w:divsChild>
                    <w:div w:id="162766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834224">
          <w:marLeft w:val="0"/>
          <w:marRight w:val="0"/>
          <w:marTop w:val="0"/>
          <w:marBottom w:val="0"/>
          <w:divBdr>
            <w:top w:val="none" w:sz="0" w:space="0" w:color="auto"/>
            <w:left w:val="none" w:sz="0" w:space="0" w:color="auto"/>
            <w:bottom w:val="none" w:sz="0" w:space="0" w:color="auto"/>
            <w:right w:val="none" w:sz="0" w:space="0" w:color="auto"/>
          </w:divBdr>
        </w:div>
        <w:div w:id="1343581426">
          <w:marLeft w:val="0"/>
          <w:marRight w:val="0"/>
          <w:marTop w:val="0"/>
          <w:marBottom w:val="0"/>
          <w:divBdr>
            <w:top w:val="none" w:sz="0" w:space="0" w:color="auto"/>
            <w:left w:val="none" w:sz="0" w:space="0" w:color="auto"/>
            <w:bottom w:val="none" w:sz="0" w:space="0" w:color="auto"/>
            <w:right w:val="none" w:sz="0" w:space="0" w:color="auto"/>
          </w:divBdr>
        </w:div>
        <w:div w:id="1377389991">
          <w:marLeft w:val="0"/>
          <w:marRight w:val="0"/>
          <w:marTop w:val="0"/>
          <w:marBottom w:val="0"/>
          <w:divBdr>
            <w:top w:val="none" w:sz="0" w:space="0" w:color="auto"/>
            <w:left w:val="none" w:sz="0" w:space="0" w:color="auto"/>
            <w:bottom w:val="none" w:sz="0" w:space="0" w:color="auto"/>
            <w:right w:val="none" w:sz="0" w:space="0" w:color="auto"/>
          </w:divBdr>
        </w:div>
        <w:div w:id="1385255105">
          <w:marLeft w:val="0"/>
          <w:marRight w:val="0"/>
          <w:marTop w:val="0"/>
          <w:marBottom w:val="0"/>
          <w:divBdr>
            <w:top w:val="none" w:sz="0" w:space="0" w:color="auto"/>
            <w:left w:val="none" w:sz="0" w:space="0" w:color="auto"/>
            <w:bottom w:val="none" w:sz="0" w:space="0" w:color="auto"/>
            <w:right w:val="none" w:sz="0" w:space="0" w:color="auto"/>
          </w:divBdr>
        </w:div>
        <w:div w:id="1511987760">
          <w:marLeft w:val="0"/>
          <w:marRight w:val="0"/>
          <w:marTop w:val="0"/>
          <w:marBottom w:val="0"/>
          <w:divBdr>
            <w:top w:val="none" w:sz="0" w:space="0" w:color="auto"/>
            <w:left w:val="none" w:sz="0" w:space="0" w:color="auto"/>
            <w:bottom w:val="none" w:sz="0" w:space="0" w:color="auto"/>
            <w:right w:val="none" w:sz="0" w:space="0" w:color="auto"/>
          </w:divBdr>
        </w:div>
        <w:div w:id="1543203094">
          <w:marLeft w:val="0"/>
          <w:marRight w:val="0"/>
          <w:marTop w:val="0"/>
          <w:marBottom w:val="0"/>
          <w:divBdr>
            <w:top w:val="none" w:sz="0" w:space="0" w:color="auto"/>
            <w:left w:val="none" w:sz="0" w:space="0" w:color="auto"/>
            <w:bottom w:val="none" w:sz="0" w:space="0" w:color="auto"/>
            <w:right w:val="none" w:sz="0" w:space="0" w:color="auto"/>
          </w:divBdr>
        </w:div>
        <w:div w:id="1555849780">
          <w:marLeft w:val="0"/>
          <w:marRight w:val="0"/>
          <w:marTop w:val="0"/>
          <w:marBottom w:val="0"/>
          <w:divBdr>
            <w:top w:val="none" w:sz="0" w:space="0" w:color="auto"/>
            <w:left w:val="none" w:sz="0" w:space="0" w:color="auto"/>
            <w:bottom w:val="none" w:sz="0" w:space="0" w:color="auto"/>
            <w:right w:val="none" w:sz="0" w:space="0" w:color="auto"/>
          </w:divBdr>
        </w:div>
        <w:div w:id="1667243229">
          <w:marLeft w:val="0"/>
          <w:marRight w:val="0"/>
          <w:marTop w:val="0"/>
          <w:marBottom w:val="0"/>
          <w:divBdr>
            <w:top w:val="none" w:sz="0" w:space="0" w:color="auto"/>
            <w:left w:val="none" w:sz="0" w:space="0" w:color="auto"/>
            <w:bottom w:val="none" w:sz="0" w:space="0" w:color="auto"/>
            <w:right w:val="none" w:sz="0" w:space="0" w:color="auto"/>
          </w:divBdr>
        </w:div>
        <w:div w:id="1684042621">
          <w:marLeft w:val="0"/>
          <w:marRight w:val="0"/>
          <w:marTop w:val="0"/>
          <w:marBottom w:val="0"/>
          <w:divBdr>
            <w:top w:val="none" w:sz="0" w:space="0" w:color="auto"/>
            <w:left w:val="none" w:sz="0" w:space="0" w:color="auto"/>
            <w:bottom w:val="none" w:sz="0" w:space="0" w:color="auto"/>
            <w:right w:val="none" w:sz="0" w:space="0" w:color="auto"/>
          </w:divBdr>
        </w:div>
        <w:div w:id="1755856564">
          <w:marLeft w:val="0"/>
          <w:marRight w:val="0"/>
          <w:marTop w:val="0"/>
          <w:marBottom w:val="0"/>
          <w:divBdr>
            <w:top w:val="none" w:sz="0" w:space="0" w:color="auto"/>
            <w:left w:val="none" w:sz="0" w:space="0" w:color="auto"/>
            <w:bottom w:val="none" w:sz="0" w:space="0" w:color="auto"/>
            <w:right w:val="none" w:sz="0" w:space="0" w:color="auto"/>
          </w:divBdr>
        </w:div>
        <w:div w:id="1763065838">
          <w:marLeft w:val="0"/>
          <w:marRight w:val="0"/>
          <w:marTop w:val="0"/>
          <w:marBottom w:val="0"/>
          <w:divBdr>
            <w:top w:val="none" w:sz="0" w:space="0" w:color="auto"/>
            <w:left w:val="none" w:sz="0" w:space="0" w:color="auto"/>
            <w:bottom w:val="none" w:sz="0" w:space="0" w:color="auto"/>
            <w:right w:val="none" w:sz="0" w:space="0" w:color="auto"/>
          </w:divBdr>
        </w:div>
        <w:div w:id="1788692008">
          <w:marLeft w:val="0"/>
          <w:marRight w:val="0"/>
          <w:marTop w:val="0"/>
          <w:marBottom w:val="0"/>
          <w:divBdr>
            <w:top w:val="none" w:sz="0" w:space="0" w:color="auto"/>
            <w:left w:val="none" w:sz="0" w:space="0" w:color="auto"/>
            <w:bottom w:val="none" w:sz="0" w:space="0" w:color="auto"/>
            <w:right w:val="none" w:sz="0" w:space="0" w:color="auto"/>
          </w:divBdr>
          <w:divsChild>
            <w:div w:id="2904335">
              <w:marLeft w:val="0"/>
              <w:marRight w:val="0"/>
              <w:marTop w:val="0"/>
              <w:marBottom w:val="0"/>
              <w:divBdr>
                <w:top w:val="none" w:sz="0" w:space="0" w:color="auto"/>
                <w:left w:val="none" w:sz="0" w:space="0" w:color="auto"/>
                <w:bottom w:val="none" w:sz="0" w:space="0" w:color="auto"/>
                <w:right w:val="none" w:sz="0" w:space="0" w:color="auto"/>
              </w:divBdr>
            </w:div>
            <w:div w:id="30691588">
              <w:marLeft w:val="0"/>
              <w:marRight w:val="0"/>
              <w:marTop w:val="0"/>
              <w:marBottom w:val="0"/>
              <w:divBdr>
                <w:top w:val="none" w:sz="0" w:space="0" w:color="auto"/>
                <w:left w:val="none" w:sz="0" w:space="0" w:color="auto"/>
                <w:bottom w:val="none" w:sz="0" w:space="0" w:color="auto"/>
                <w:right w:val="none" w:sz="0" w:space="0" w:color="auto"/>
              </w:divBdr>
            </w:div>
            <w:div w:id="260726775">
              <w:marLeft w:val="0"/>
              <w:marRight w:val="0"/>
              <w:marTop w:val="0"/>
              <w:marBottom w:val="0"/>
              <w:divBdr>
                <w:top w:val="none" w:sz="0" w:space="0" w:color="auto"/>
                <w:left w:val="none" w:sz="0" w:space="0" w:color="auto"/>
                <w:bottom w:val="none" w:sz="0" w:space="0" w:color="auto"/>
                <w:right w:val="none" w:sz="0" w:space="0" w:color="auto"/>
              </w:divBdr>
            </w:div>
            <w:div w:id="737943173">
              <w:marLeft w:val="0"/>
              <w:marRight w:val="0"/>
              <w:marTop w:val="0"/>
              <w:marBottom w:val="0"/>
              <w:divBdr>
                <w:top w:val="none" w:sz="0" w:space="0" w:color="auto"/>
                <w:left w:val="none" w:sz="0" w:space="0" w:color="auto"/>
                <w:bottom w:val="none" w:sz="0" w:space="0" w:color="auto"/>
                <w:right w:val="none" w:sz="0" w:space="0" w:color="auto"/>
              </w:divBdr>
            </w:div>
            <w:div w:id="1191459177">
              <w:marLeft w:val="0"/>
              <w:marRight w:val="0"/>
              <w:marTop w:val="0"/>
              <w:marBottom w:val="0"/>
              <w:divBdr>
                <w:top w:val="none" w:sz="0" w:space="0" w:color="auto"/>
                <w:left w:val="none" w:sz="0" w:space="0" w:color="auto"/>
                <w:bottom w:val="none" w:sz="0" w:space="0" w:color="auto"/>
                <w:right w:val="none" w:sz="0" w:space="0" w:color="auto"/>
              </w:divBdr>
            </w:div>
          </w:divsChild>
        </w:div>
        <w:div w:id="1814717606">
          <w:marLeft w:val="0"/>
          <w:marRight w:val="0"/>
          <w:marTop w:val="0"/>
          <w:marBottom w:val="0"/>
          <w:divBdr>
            <w:top w:val="none" w:sz="0" w:space="0" w:color="auto"/>
            <w:left w:val="none" w:sz="0" w:space="0" w:color="auto"/>
            <w:bottom w:val="none" w:sz="0" w:space="0" w:color="auto"/>
            <w:right w:val="none" w:sz="0" w:space="0" w:color="auto"/>
          </w:divBdr>
        </w:div>
        <w:div w:id="1838418154">
          <w:marLeft w:val="0"/>
          <w:marRight w:val="0"/>
          <w:marTop w:val="0"/>
          <w:marBottom w:val="0"/>
          <w:divBdr>
            <w:top w:val="none" w:sz="0" w:space="0" w:color="auto"/>
            <w:left w:val="none" w:sz="0" w:space="0" w:color="auto"/>
            <w:bottom w:val="none" w:sz="0" w:space="0" w:color="auto"/>
            <w:right w:val="none" w:sz="0" w:space="0" w:color="auto"/>
          </w:divBdr>
          <w:divsChild>
            <w:div w:id="153881540">
              <w:marLeft w:val="0"/>
              <w:marRight w:val="0"/>
              <w:marTop w:val="0"/>
              <w:marBottom w:val="0"/>
              <w:divBdr>
                <w:top w:val="none" w:sz="0" w:space="0" w:color="auto"/>
                <w:left w:val="none" w:sz="0" w:space="0" w:color="auto"/>
                <w:bottom w:val="none" w:sz="0" w:space="0" w:color="auto"/>
                <w:right w:val="none" w:sz="0" w:space="0" w:color="auto"/>
              </w:divBdr>
            </w:div>
            <w:div w:id="401487154">
              <w:marLeft w:val="0"/>
              <w:marRight w:val="0"/>
              <w:marTop w:val="0"/>
              <w:marBottom w:val="0"/>
              <w:divBdr>
                <w:top w:val="none" w:sz="0" w:space="0" w:color="auto"/>
                <w:left w:val="none" w:sz="0" w:space="0" w:color="auto"/>
                <w:bottom w:val="none" w:sz="0" w:space="0" w:color="auto"/>
                <w:right w:val="none" w:sz="0" w:space="0" w:color="auto"/>
              </w:divBdr>
            </w:div>
            <w:div w:id="901403301">
              <w:marLeft w:val="0"/>
              <w:marRight w:val="0"/>
              <w:marTop w:val="0"/>
              <w:marBottom w:val="0"/>
              <w:divBdr>
                <w:top w:val="none" w:sz="0" w:space="0" w:color="auto"/>
                <w:left w:val="none" w:sz="0" w:space="0" w:color="auto"/>
                <w:bottom w:val="none" w:sz="0" w:space="0" w:color="auto"/>
                <w:right w:val="none" w:sz="0" w:space="0" w:color="auto"/>
              </w:divBdr>
            </w:div>
            <w:div w:id="1520582298">
              <w:marLeft w:val="0"/>
              <w:marRight w:val="0"/>
              <w:marTop w:val="0"/>
              <w:marBottom w:val="0"/>
              <w:divBdr>
                <w:top w:val="none" w:sz="0" w:space="0" w:color="auto"/>
                <w:left w:val="none" w:sz="0" w:space="0" w:color="auto"/>
                <w:bottom w:val="none" w:sz="0" w:space="0" w:color="auto"/>
                <w:right w:val="none" w:sz="0" w:space="0" w:color="auto"/>
              </w:divBdr>
            </w:div>
            <w:div w:id="1534028440">
              <w:marLeft w:val="0"/>
              <w:marRight w:val="0"/>
              <w:marTop w:val="0"/>
              <w:marBottom w:val="0"/>
              <w:divBdr>
                <w:top w:val="none" w:sz="0" w:space="0" w:color="auto"/>
                <w:left w:val="none" w:sz="0" w:space="0" w:color="auto"/>
                <w:bottom w:val="none" w:sz="0" w:space="0" w:color="auto"/>
                <w:right w:val="none" w:sz="0" w:space="0" w:color="auto"/>
              </w:divBdr>
            </w:div>
          </w:divsChild>
        </w:div>
        <w:div w:id="1852137226">
          <w:marLeft w:val="0"/>
          <w:marRight w:val="0"/>
          <w:marTop w:val="0"/>
          <w:marBottom w:val="0"/>
          <w:divBdr>
            <w:top w:val="none" w:sz="0" w:space="0" w:color="auto"/>
            <w:left w:val="none" w:sz="0" w:space="0" w:color="auto"/>
            <w:bottom w:val="none" w:sz="0" w:space="0" w:color="auto"/>
            <w:right w:val="none" w:sz="0" w:space="0" w:color="auto"/>
          </w:divBdr>
        </w:div>
        <w:div w:id="1895778308">
          <w:marLeft w:val="0"/>
          <w:marRight w:val="0"/>
          <w:marTop w:val="0"/>
          <w:marBottom w:val="0"/>
          <w:divBdr>
            <w:top w:val="none" w:sz="0" w:space="0" w:color="auto"/>
            <w:left w:val="none" w:sz="0" w:space="0" w:color="auto"/>
            <w:bottom w:val="none" w:sz="0" w:space="0" w:color="auto"/>
            <w:right w:val="none" w:sz="0" w:space="0" w:color="auto"/>
          </w:divBdr>
        </w:div>
        <w:div w:id="1910655595">
          <w:marLeft w:val="0"/>
          <w:marRight w:val="0"/>
          <w:marTop w:val="0"/>
          <w:marBottom w:val="0"/>
          <w:divBdr>
            <w:top w:val="none" w:sz="0" w:space="0" w:color="auto"/>
            <w:left w:val="none" w:sz="0" w:space="0" w:color="auto"/>
            <w:bottom w:val="none" w:sz="0" w:space="0" w:color="auto"/>
            <w:right w:val="none" w:sz="0" w:space="0" w:color="auto"/>
          </w:divBdr>
          <w:divsChild>
            <w:div w:id="1678073922">
              <w:marLeft w:val="0"/>
              <w:marRight w:val="0"/>
              <w:marTop w:val="0"/>
              <w:marBottom w:val="0"/>
              <w:divBdr>
                <w:top w:val="none" w:sz="0" w:space="0" w:color="auto"/>
                <w:left w:val="none" w:sz="0" w:space="0" w:color="auto"/>
                <w:bottom w:val="none" w:sz="0" w:space="0" w:color="auto"/>
                <w:right w:val="none" w:sz="0" w:space="0" w:color="auto"/>
              </w:divBdr>
            </w:div>
          </w:divsChild>
        </w:div>
        <w:div w:id="1913999846">
          <w:marLeft w:val="0"/>
          <w:marRight w:val="0"/>
          <w:marTop w:val="0"/>
          <w:marBottom w:val="0"/>
          <w:divBdr>
            <w:top w:val="none" w:sz="0" w:space="0" w:color="auto"/>
            <w:left w:val="none" w:sz="0" w:space="0" w:color="auto"/>
            <w:bottom w:val="none" w:sz="0" w:space="0" w:color="auto"/>
            <w:right w:val="none" w:sz="0" w:space="0" w:color="auto"/>
          </w:divBdr>
          <w:divsChild>
            <w:div w:id="155264113">
              <w:marLeft w:val="0"/>
              <w:marRight w:val="0"/>
              <w:marTop w:val="0"/>
              <w:marBottom w:val="0"/>
              <w:divBdr>
                <w:top w:val="none" w:sz="0" w:space="0" w:color="auto"/>
                <w:left w:val="none" w:sz="0" w:space="0" w:color="auto"/>
                <w:bottom w:val="none" w:sz="0" w:space="0" w:color="auto"/>
                <w:right w:val="none" w:sz="0" w:space="0" w:color="auto"/>
              </w:divBdr>
            </w:div>
            <w:div w:id="265893404">
              <w:marLeft w:val="0"/>
              <w:marRight w:val="0"/>
              <w:marTop w:val="0"/>
              <w:marBottom w:val="0"/>
              <w:divBdr>
                <w:top w:val="none" w:sz="0" w:space="0" w:color="auto"/>
                <w:left w:val="none" w:sz="0" w:space="0" w:color="auto"/>
                <w:bottom w:val="none" w:sz="0" w:space="0" w:color="auto"/>
                <w:right w:val="none" w:sz="0" w:space="0" w:color="auto"/>
              </w:divBdr>
            </w:div>
            <w:div w:id="1057825604">
              <w:marLeft w:val="0"/>
              <w:marRight w:val="0"/>
              <w:marTop w:val="0"/>
              <w:marBottom w:val="0"/>
              <w:divBdr>
                <w:top w:val="none" w:sz="0" w:space="0" w:color="auto"/>
                <w:left w:val="none" w:sz="0" w:space="0" w:color="auto"/>
                <w:bottom w:val="none" w:sz="0" w:space="0" w:color="auto"/>
                <w:right w:val="none" w:sz="0" w:space="0" w:color="auto"/>
              </w:divBdr>
            </w:div>
            <w:div w:id="1509825691">
              <w:marLeft w:val="0"/>
              <w:marRight w:val="0"/>
              <w:marTop w:val="0"/>
              <w:marBottom w:val="0"/>
              <w:divBdr>
                <w:top w:val="none" w:sz="0" w:space="0" w:color="auto"/>
                <w:left w:val="none" w:sz="0" w:space="0" w:color="auto"/>
                <w:bottom w:val="none" w:sz="0" w:space="0" w:color="auto"/>
                <w:right w:val="none" w:sz="0" w:space="0" w:color="auto"/>
              </w:divBdr>
            </w:div>
            <w:div w:id="2113281940">
              <w:marLeft w:val="0"/>
              <w:marRight w:val="0"/>
              <w:marTop w:val="0"/>
              <w:marBottom w:val="0"/>
              <w:divBdr>
                <w:top w:val="none" w:sz="0" w:space="0" w:color="auto"/>
                <w:left w:val="none" w:sz="0" w:space="0" w:color="auto"/>
                <w:bottom w:val="none" w:sz="0" w:space="0" w:color="auto"/>
                <w:right w:val="none" w:sz="0" w:space="0" w:color="auto"/>
              </w:divBdr>
            </w:div>
          </w:divsChild>
        </w:div>
        <w:div w:id="2104304355">
          <w:marLeft w:val="0"/>
          <w:marRight w:val="0"/>
          <w:marTop w:val="0"/>
          <w:marBottom w:val="0"/>
          <w:divBdr>
            <w:top w:val="none" w:sz="0" w:space="0" w:color="auto"/>
            <w:left w:val="none" w:sz="0" w:space="0" w:color="auto"/>
            <w:bottom w:val="none" w:sz="0" w:space="0" w:color="auto"/>
            <w:right w:val="none" w:sz="0" w:space="0" w:color="auto"/>
          </w:divBdr>
        </w:div>
        <w:div w:id="2117168679">
          <w:marLeft w:val="0"/>
          <w:marRight w:val="0"/>
          <w:marTop w:val="0"/>
          <w:marBottom w:val="0"/>
          <w:divBdr>
            <w:top w:val="none" w:sz="0" w:space="0" w:color="auto"/>
            <w:left w:val="none" w:sz="0" w:space="0" w:color="auto"/>
            <w:bottom w:val="none" w:sz="0" w:space="0" w:color="auto"/>
            <w:right w:val="none" w:sz="0" w:space="0" w:color="auto"/>
          </w:divBdr>
        </w:div>
      </w:divsChild>
    </w:div>
    <w:div w:id="2077361719">
      <w:bodyDiv w:val="1"/>
      <w:marLeft w:val="0"/>
      <w:marRight w:val="0"/>
      <w:marTop w:val="0"/>
      <w:marBottom w:val="0"/>
      <w:divBdr>
        <w:top w:val="none" w:sz="0" w:space="0" w:color="auto"/>
        <w:left w:val="none" w:sz="0" w:space="0" w:color="auto"/>
        <w:bottom w:val="none" w:sz="0" w:space="0" w:color="auto"/>
        <w:right w:val="none" w:sz="0" w:space="0" w:color="auto"/>
      </w:divBdr>
      <w:divsChild>
        <w:div w:id="25984980">
          <w:marLeft w:val="0"/>
          <w:marRight w:val="0"/>
          <w:marTop w:val="0"/>
          <w:marBottom w:val="0"/>
          <w:divBdr>
            <w:top w:val="none" w:sz="0" w:space="0" w:color="auto"/>
            <w:left w:val="none" w:sz="0" w:space="0" w:color="auto"/>
            <w:bottom w:val="none" w:sz="0" w:space="0" w:color="auto"/>
            <w:right w:val="none" w:sz="0" w:space="0" w:color="auto"/>
          </w:divBdr>
        </w:div>
        <w:div w:id="60105549">
          <w:marLeft w:val="0"/>
          <w:marRight w:val="0"/>
          <w:marTop w:val="0"/>
          <w:marBottom w:val="0"/>
          <w:divBdr>
            <w:top w:val="none" w:sz="0" w:space="0" w:color="auto"/>
            <w:left w:val="none" w:sz="0" w:space="0" w:color="auto"/>
            <w:bottom w:val="none" w:sz="0" w:space="0" w:color="auto"/>
            <w:right w:val="none" w:sz="0" w:space="0" w:color="auto"/>
          </w:divBdr>
        </w:div>
        <w:div w:id="66729660">
          <w:marLeft w:val="0"/>
          <w:marRight w:val="0"/>
          <w:marTop w:val="0"/>
          <w:marBottom w:val="0"/>
          <w:divBdr>
            <w:top w:val="none" w:sz="0" w:space="0" w:color="auto"/>
            <w:left w:val="none" w:sz="0" w:space="0" w:color="auto"/>
            <w:bottom w:val="none" w:sz="0" w:space="0" w:color="auto"/>
            <w:right w:val="none" w:sz="0" w:space="0" w:color="auto"/>
          </w:divBdr>
        </w:div>
        <w:div w:id="185875772">
          <w:marLeft w:val="0"/>
          <w:marRight w:val="0"/>
          <w:marTop w:val="0"/>
          <w:marBottom w:val="0"/>
          <w:divBdr>
            <w:top w:val="none" w:sz="0" w:space="0" w:color="auto"/>
            <w:left w:val="none" w:sz="0" w:space="0" w:color="auto"/>
            <w:bottom w:val="none" w:sz="0" w:space="0" w:color="auto"/>
            <w:right w:val="none" w:sz="0" w:space="0" w:color="auto"/>
          </w:divBdr>
        </w:div>
        <w:div w:id="214196413">
          <w:marLeft w:val="0"/>
          <w:marRight w:val="0"/>
          <w:marTop w:val="0"/>
          <w:marBottom w:val="0"/>
          <w:divBdr>
            <w:top w:val="none" w:sz="0" w:space="0" w:color="auto"/>
            <w:left w:val="none" w:sz="0" w:space="0" w:color="auto"/>
            <w:bottom w:val="none" w:sz="0" w:space="0" w:color="auto"/>
            <w:right w:val="none" w:sz="0" w:space="0" w:color="auto"/>
          </w:divBdr>
        </w:div>
        <w:div w:id="392700753">
          <w:marLeft w:val="0"/>
          <w:marRight w:val="0"/>
          <w:marTop w:val="0"/>
          <w:marBottom w:val="0"/>
          <w:divBdr>
            <w:top w:val="none" w:sz="0" w:space="0" w:color="auto"/>
            <w:left w:val="none" w:sz="0" w:space="0" w:color="auto"/>
            <w:bottom w:val="none" w:sz="0" w:space="0" w:color="auto"/>
            <w:right w:val="none" w:sz="0" w:space="0" w:color="auto"/>
          </w:divBdr>
        </w:div>
        <w:div w:id="452790789">
          <w:marLeft w:val="0"/>
          <w:marRight w:val="0"/>
          <w:marTop w:val="0"/>
          <w:marBottom w:val="0"/>
          <w:divBdr>
            <w:top w:val="none" w:sz="0" w:space="0" w:color="auto"/>
            <w:left w:val="none" w:sz="0" w:space="0" w:color="auto"/>
            <w:bottom w:val="none" w:sz="0" w:space="0" w:color="auto"/>
            <w:right w:val="none" w:sz="0" w:space="0" w:color="auto"/>
          </w:divBdr>
        </w:div>
        <w:div w:id="538052637">
          <w:marLeft w:val="0"/>
          <w:marRight w:val="0"/>
          <w:marTop w:val="0"/>
          <w:marBottom w:val="0"/>
          <w:divBdr>
            <w:top w:val="none" w:sz="0" w:space="0" w:color="auto"/>
            <w:left w:val="none" w:sz="0" w:space="0" w:color="auto"/>
            <w:bottom w:val="none" w:sz="0" w:space="0" w:color="auto"/>
            <w:right w:val="none" w:sz="0" w:space="0" w:color="auto"/>
          </w:divBdr>
        </w:div>
        <w:div w:id="563948563">
          <w:marLeft w:val="0"/>
          <w:marRight w:val="0"/>
          <w:marTop w:val="0"/>
          <w:marBottom w:val="0"/>
          <w:divBdr>
            <w:top w:val="none" w:sz="0" w:space="0" w:color="auto"/>
            <w:left w:val="none" w:sz="0" w:space="0" w:color="auto"/>
            <w:bottom w:val="none" w:sz="0" w:space="0" w:color="auto"/>
            <w:right w:val="none" w:sz="0" w:space="0" w:color="auto"/>
          </w:divBdr>
        </w:div>
        <w:div w:id="591742979">
          <w:marLeft w:val="0"/>
          <w:marRight w:val="0"/>
          <w:marTop w:val="0"/>
          <w:marBottom w:val="0"/>
          <w:divBdr>
            <w:top w:val="none" w:sz="0" w:space="0" w:color="auto"/>
            <w:left w:val="none" w:sz="0" w:space="0" w:color="auto"/>
            <w:bottom w:val="none" w:sz="0" w:space="0" w:color="auto"/>
            <w:right w:val="none" w:sz="0" w:space="0" w:color="auto"/>
          </w:divBdr>
        </w:div>
        <w:div w:id="624774653">
          <w:marLeft w:val="0"/>
          <w:marRight w:val="0"/>
          <w:marTop w:val="0"/>
          <w:marBottom w:val="0"/>
          <w:divBdr>
            <w:top w:val="none" w:sz="0" w:space="0" w:color="auto"/>
            <w:left w:val="none" w:sz="0" w:space="0" w:color="auto"/>
            <w:bottom w:val="none" w:sz="0" w:space="0" w:color="auto"/>
            <w:right w:val="none" w:sz="0" w:space="0" w:color="auto"/>
          </w:divBdr>
          <w:divsChild>
            <w:div w:id="374741253">
              <w:marLeft w:val="0"/>
              <w:marRight w:val="0"/>
              <w:marTop w:val="0"/>
              <w:marBottom w:val="0"/>
              <w:divBdr>
                <w:top w:val="none" w:sz="0" w:space="0" w:color="auto"/>
                <w:left w:val="none" w:sz="0" w:space="0" w:color="auto"/>
                <w:bottom w:val="none" w:sz="0" w:space="0" w:color="auto"/>
                <w:right w:val="none" w:sz="0" w:space="0" w:color="auto"/>
              </w:divBdr>
            </w:div>
            <w:div w:id="1064640561">
              <w:marLeft w:val="0"/>
              <w:marRight w:val="0"/>
              <w:marTop w:val="0"/>
              <w:marBottom w:val="0"/>
              <w:divBdr>
                <w:top w:val="none" w:sz="0" w:space="0" w:color="auto"/>
                <w:left w:val="none" w:sz="0" w:space="0" w:color="auto"/>
                <w:bottom w:val="none" w:sz="0" w:space="0" w:color="auto"/>
                <w:right w:val="none" w:sz="0" w:space="0" w:color="auto"/>
              </w:divBdr>
            </w:div>
            <w:div w:id="1463384671">
              <w:marLeft w:val="0"/>
              <w:marRight w:val="0"/>
              <w:marTop w:val="0"/>
              <w:marBottom w:val="0"/>
              <w:divBdr>
                <w:top w:val="none" w:sz="0" w:space="0" w:color="auto"/>
                <w:left w:val="none" w:sz="0" w:space="0" w:color="auto"/>
                <w:bottom w:val="none" w:sz="0" w:space="0" w:color="auto"/>
                <w:right w:val="none" w:sz="0" w:space="0" w:color="auto"/>
              </w:divBdr>
            </w:div>
            <w:div w:id="1700660925">
              <w:marLeft w:val="0"/>
              <w:marRight w:val="0"/>
              <w:marTop w:val="0"/>
              <w:marBottom w:val="0"/>
              <w:divBdr>
                <w:top w:val="none" w:sz="0" w:space="0" w:color="auto"/>
                <w:left w:val="none" w:sz="0" w:space="0" w:color="auto"/>
                <w:bottom w:val="none" w:sz="0" w:space="0" w:color="auto"/>
                <w:right w:val="none" w:sz="0" w:space="0" w:color="auto"/>
              </w:divBdr>
            </w:div>
            <w:div w:id="2120832414">
              <w:marLeft w:val="0"/>
              <w:marRight w:val="0"/>
              <w:marTop w:val="0"/>
              <w:marBottom w:val="0"/>
              <w:divBdr>
                <w:top w:val="none" w:sz="0" w:space="0" w:color="auto"/>
                <w:left w:val="none" w:sz="0" w:space="0" w:color="auto"/>
                <w:bottom w:val="none" w:sz="0" w:space="0" w:color="auto"/>
                <w:right w:val="none" w:sz="0" w:space="0" w:color="auto"/>
              </w:divBdr>
            </w:div>
          </w:divsChild>
        </w:div>
        <w:div w:id="625746209">
          <w:marLeft w:val="0"/>
          <w:marRight w:val="0"/>
          <w:marTop w:val="0"/>
          <w:marBottom w:val="0"/>
          <w:divBdr>
            <w:top w:val="none" w:sz="0" w:space="0" w:color="auto"/>
            <w:left w:val="none" w:sz="0" w:space="0" w:color="auto"/>
            <w:bottom w:val="none" w:sz="0" w:space="0" w:color="auto"/>
            <w:right w:val="none" w:sz="0" w:space="0" w:color="auto"/>
          </w:divBdr>
        </w:div>
        <w:div w:id="626936544">
          <w:marLeft w:val="0"/>
          <w:marRight w:val="0"/>
          <w:marTop w:val="0"/>
          <w:marBottom w:val="0"/>
          <w:divBdr>
            <w:top w:val="none" w:sz="0" w:space="0" w:color="auto"/>
            <w:left w:val="none" w:sz="0" w:space="0" w:color="auto"/>
            <w:bottom w:val="none" w:sz="0" w:space="0" w:color="auto"/>
            <w:right w:val="none" w:sz="0" w:space="0" w:color="auto"/>
          </w:divBdr>
        </w:div>
        <w:div w:id="945894054">
          <w:marLeft w:val="0"/>
          <w:marRight w:val="0"/>
          <w:marTop w:val="0"/>
          <w:marBottom w:val="0"/>
          <w:divBdr>
            <w:top w:val="none" w:sz="0" w:space="0" w:color="auto"/>
            <w:left w:val="none" w:sz="0" w:space="0" w:color="auto"/>
            <w:bottom w:val="none" w:sz="0" w:space="0" w:color="auto"/>
            <w:right w:val="none" w:sz="0" w:space="0" w:color="auto"/>
          </w:divBdr>
          <w:divsChild>
            <w:div w:id="1475367200">
              <w:marLeft w:val="0"/>
              <w:marRight w:val="0"/>
              <w:marTop w:val="0"/>
              <w:marBottom w:val="0"/>
              <w:divBdr>
                <w:top w:val="none" w:sz="0" w:space="0" w:color="auto"/>
                <w:left w:val="none" w:sz="0" w:space="0" w:color="auto"/>
                <w:bottom w:val="none" w:sz="0" w:space="0" w:color="auto"/>
                <w:right w:val="none" w:sz="0" w:space="0" w:color="auto"/>
              </w:divBdr>
            </w:div>
            <w:div w:id="1581451635">
              <w:marLeft w:val="0"/>
              <w:marRight w:val="0"/>
              <w:marTop w:val="0"/>
              <w:marBottom w:val="0"/>
              <w:divBdr>
                <w:top w:val="none" w:sz="0" w:space="0" w:color="auto"/>
                <w:left w:val="none" w:sz="0" w:space="0" w:color="auto"/>
                <w:bottom w:val="none" w:sz="0" w:space="0" w:color="auto"/>
                <w:right w:val="none" w:sz="0" w:space="0" w:color="auto"/>
              </w:divBdr>
            </w:div>
            <w:div w:id="1778521465">
              <w:marLeft w:val="0"/>
              <w:marRight w:val="0"/>
              <w:marTop w:val="0"/>
              <w:marBottom w:val="0"/>
              <w:divBdr>
                <w:top w:val="none" w:sz="0" w:space="0" w:color="auto"/>
                <w:left w:val="none" w:sz="0" w:space="0" w:color="auto"/>
                <w:bottom w:val="none" w:sz="0" w:space="0" w:color="auto"/>
                <w:right w:val="none" w:sz="0" w:space="0" w:color="auto"/>
              </w:divBdr>
            </w:div>
            <w:div w:id="2107848388">
              <w:marLeft w:val="0"/>
              <w:marRight w:val="0"/>
              <w:marTop w:val="0"/>
              <w:marBottom w:val="0"/>
              <w:divBdr>
                <w:top w:val="none" w:sz="0" w:space="0" w:color="auto"/>
                <w:left w:val="none" w:sz="0" w:space="0" w:color="auto"/>
                <w:bottom w:val="none" w:sz="0" w:space="0" w:color="auto"/>
                <w:right w:val="none" w:sz="0" w:space="0" w:color="auto"/>
              </w:divBdr>
            </w:div>
            <w:div w:id="2135562346">
              <w:marLeft w:val="0"/>
              <w:marRight w:val="0"/>
              <w:marTop w:val="0"/>
              <w:marBottom w:val="0"/>
              <w:divBdr>
                <w:top w:val="none" w:sz="0" w:space="0" w:color="auto"/>
                <w:left w:val="none" w:sz="0" w:space="0" w:color="auto"/>
                <w:bottom w:val="none" w:sz="0" w:space="0" w:color="auto"/>
                <w:right w:val="none" w:sz="0" w:space="0" w:color="auto"/>
              </w:divBdr>
            </w:div>
          </w:divsChild>
        </w:div>
        <w:div w:id="1063866246">
          <w:marLeft w:val="0"/>
          <w:marRight w:val="0"/>
          <w:marTop w:val="0"/>
          <w:marBottom w:val="0"/>
          <w:divBdr>
            <w:top w:val="none" w:sz="0" w:space="0" w:color="auto"/>
            <w:left w:val="none" w:sz="0" w:space="0" w:color="auto"/>
            <w:bottom w:val="none" w:sz="0" w:space="0" w:color="auto"/>
            <w:right w:val="none" w:sz="0" w:space="0" w:color="auto"/>
          </w:divBdr>
        </w:div>
        <w:div w:id="1182355667">
          <w:marLeft w:val="0"/>
          <w:marRight w:val="0"/>
          <w:marTop w:val="0"/>
          <w:marBottom w:val="0"/>
          <w:divBdr>
            <w:top w:val="none" w:sz="0" w:space="0" w:color="auto"/>
            <w:left w:val="none" w:sz="0" w:space="0" w:color="auto"/>
            <w:bottom w:val="none" w:sz="0" w:space="0" w:color="auto"/>
            <w:right w:val="none" w:sz="0" w:space="0" w:color="auto"/>
          </w:divBdr>
        </w:div>
        <w:div w:id="1210149321">
          <w:marLeft w:val="0"/>
          <w:marRight w:val="0"/>
          <w:marTop w:val="0"/>
          <w:marBottom w:val="0"/>
          <w:divBdr>
            <w:top w:val="none" w:sz="0" w:space="0" w:color="auto"/>
            <w:left w:val="none" w:sz="0" w:space="0" w:color="auto"/>
            <w:bottom w:val="none" w:sz="0" w:space="0" w:color="auto"/>
            <w:right w:val="none" w:sz="0" w:space="0" w:color="auto"/>
          </w:divBdr>
          <w:divsChild>
            <w:div w:id="338780118">
              <w:marLeft w:val="0"/>
              <w:marRight w:val="0"/>
              <w:marTop w:val="0"/>
              <w:marBottom w:val="0"/>
              <w:divBdr>
                <w:top w:val="none" w:sz="0" w:space="0" w:color="auto"/>
                <w:left w:val="none" w:sz="0" w:space="0" w:color="auto"/>
                <w:bottom w:val="none" w:sz="0" w:space="0" w:color="auto"/>
                <w:right w:val="none" w:sz="0" w:space="0" w:color="auto"/>
              </w:divBdr>
            </w:div>
            <w:div w:id="898903810">
              <w:marLeft w:val="0"/>
              <w:marRight w:val="0"/>
              <w:marTop w:val="0"/>
              <w:marBottom w:val="0"/>
              <w:divBdr>
                <w:top w:val="none" w:sz="0" w:space="0" w:color="auto"/>
                <w:left w:val="none" w:sz="0" w:space="0" w:color="auto"/>
                <w:bottom w:val="none" w:sz="0" w:space="0" w:color="auto"/>
                <w:right w:val="none" w:sz="0" w:space="0" w:color="auto"/>
              </w:divBdr>
            </w:div>
            <w:div w:id="1364865085">
              <w:marLeft w:val="0"/>
              <w:marRight w:val="0"/>
              <w:marTop w:val="0"/>
              <w:marBottom w:val="0"/>
              <w:divBdr>
                <w:top w:val="none" w:sz="0" w:space="0" w:color="auto"/>
                <w:left w:val="none" w:sz="0" w:space="0" w:color="auto"/>
                <w:bottom w:val="none" w:sz="0" w:space="0" w:color="auto"/>
                <w:right w:val="none" w:sz="0" w:space="0" w:color="auto"/>
              </w:divBdr>
            </w:div>
            <w:div w:id="1781299570">
              <w:marLeft w:val="0"/>
              <w:marRight w:val="0"/>
              <w:marTop w:val="0"/>
              <w:marBottom w:val="0"/>
              <w:divBdr>
                <w:top w:val="none" w:sz="0" w:space="0" w:color="auto"/>
                <w:left w:val="none" w:sz="0" w:space="0" w:color="auto"/>
                <w:bottom w:val="none" w:sz="0" w:space="0" w:color="auto"/>
                <w:right w:val="none" w:sz="0" w:space="0" w:color="auto"/>
              </w:divBdr>
            </w:div>
            <w:div w:id="2003462227">
              <w:marLeft w:val="0"/>
              <w:marRight w:val="0"/>
              <w:marTop w:val="0"/>
              <w:marBottom w:val="0"/>
              <w:divBdr>
                <w:top w:val="none" w:sz="0" w:space="0" w:color="auto"/>
                <w:left w:val="none" w:sz="0" w:space="0" w:color="auto"/>
                <w:bottom w:val="none" w:sz="0" w:space="0" w:color="auto"/>
                <w:right w:val="none" w:sz="0" w:space="0" w:color="auto"/>
              </w:divBdr>
            </w:div>
          </w:divsChild>
        </w:div>
        <w:div w:id="1220050441">
          <w:marLeft w:val="0"/>
          <w:marRight w:val="0"/>
          <w:marTop w:val="0"/>
          <w:marBottom w:val="0"/>
          <w:divBdr>
            <w:top w:val="none" w:sz="0" w:space="0" w:color="auto"/>
            <w:left w:val="none" w:sz="0" w:space="0" w:color="auto"/>
            <w:bottom w:val="none" w:sz="0" w:space="0" w:color="auto"/>
            <w:right w:val="none" w:sz="0" w:space="0" w:color="auto"/>
          </w:divBdr>
        </w:div>
        <w:div w:id="1350571282">
          <w:marLeft w:val="0"/>
          <w:marRight w:val="0"/>
          <w:marTop w:val="0"/>
          <w:marBottom w:val="0"/>
          <w:divBdr>
            <w:top w:val="none" w:sz="0" w:space="0" w:color="auto"/>
            <w:left w:val="none" w:sz="0" w:space="0" w:color="auto"/>
            <w:bottom w:val="none" w:sz="0" w:space="0" w:color="auto"/>
            <w:right w:val="none" w:sz="0" w:space="0" w:color="auto"/>
          </w:divBdr>
        </w:div>
        <w:div w:id="1419711838">
          <w:marLeft w:val="0"/>
          <w:marRight w:val="0"/>
          <w:marTop w:val="0"/>
          <w:marBottom w:val="0"/>
          <w:divBdr>
            <w:top w:val="none" w:sz="0" w:space="0" w:color="auto"/>
            <w:left w:val="none" w:sz="0" w:space="0" w:color="auto"/>
            <w:bottom w:val="none" w:sz="0" w:space="0" w:color="auto"/>
            <w:right w:val="none" w:sz="0" w:space="0" w:color="auto"/>
          </w:divBdr>
        </w:div>
        <w:div w:id="1423528011">
          <w:marLeft w:val="0"/>
          <w:marRight w:val="0"/>
          <w:marTop w:val="0"/>
          <w:marBottom w:val="0"/>
          <w:divBdr>
            <w:top w:val="none" w:sz="0" w:space="0" w:color="auto"/>
            <w:left w:val="none" w:sz="0" w:space="0" w:color="auto"/>
            <w:bottom w:val="none" w:sz="0" w:space="0" w:color="auto"/>
            <w:right w:val="none" w:sz="0" w:space="0" w:color="auto"/>
          </w:divBdr>
        </w:div>
        <w:div w:id="1425490689">
          <w:marLeft w:val="0"/>
          <w:marRight w:val="0"/>
          <w:marTop w:val="0"/>
          <w:marBottom w:val="0"/>
          <w:divBdr>
            <w:top w:val="none" w:sz="0" w:space="0" w:color="auto"/>
            <w:left w:val="none" w:sz="0" w:space="0" w:color="auto"/>
            <w:bottom w:val="none" w:sz="0" w:space="0" w:color="auto"/>
            <w:right w:val="none" w:sz="0" w:space="0" w:color="auto"/>
          </w:divBdr>
        </w:div>
        <w:div w:id="1449619978">
          <w:marLeft w:val="0"/>
          <w:marRight w:val="0"/>
          <w:marTop w:val="0"/>
          <w:marBottom w:val="0"/>
          <w:divBdr>
            <w:top w:val="none" w:sz="0" w:space="0" w:color="auto"/>
            <w:left w:val="none" w:sz="0" w:space="0" w:color="auto"/>
            <w:bottom w:val="none" w:sz="0" w:space="0" w:color="auto"/>
            <w:right w:val="none" w:sz="0" w:space="0" w:color="auto"/>
          </w:divBdr>
          <w:divsChild>
            <w:div w:id="320548667">
              <w:marLeft w:val="0"/>
              <w:marRight w:val="0"/>
              <w:marTop w:val="0"/>
              <w:marBottom w:val="0"/>
              <w:divBdr>
                <w:top w:val="none" w:sz="0" w:space="0" w:color="auto"/>
                <w:left w:val="none" w:sz="0" w:space="0" w:color="auto"/>
                <w:bottom w:val="none" w:sz="0" w:space="0" w:color="auto"/>
                <w:right w:val="none" w:sz="0" w:space="0" w:color="auto"/>
              </w:divBdr>
            </w:div>
            <w:div w:id="367991286">
              <w:marLeft w:val="0"/>
              <w:marRight w:val="0"/>
              <w:marTop w:val="0"/>
              <w:marBottom w:val="0"/>
              <w:divBdr>
                <w:top w:val="none" w:sz="0" w:space="0" w:color="auto"/>
                <w:left w:val="none" w:sz="0" w:space="0" w:color="auto"/>
                <w:bottom w:val="none" w:sz="0" w:space="0" w:color="auto"/>
                <w:right w:val="none" w:sz="0" w:space="0" w:color="auto"/>
              </w:divBdr>
            </w:div>
            <w:div w:id="1725568501">
              <w:marLeft w:val="0"/>
              <w:marRight w:val="0"/>
              <w:marTop w:val="0"/>
              <w:marBottom w:val="0"/>
              <w:divBdr>
                <w:top w:val="none" w:sz="0" w:space="0" w:color="auto"/>
                <w:left w:val="none" w:sz="0" w:space="0" w:color="auto"/>
                <w:bottom w:val="none" w:sz="0" w:space="0" w:color="auto"/>
                <w:right w:val="none" w:sz="0" w:space="0" w:color="auto"/>
              </w:divBdr>
            </w:div>
            <w:div w:id="1874146735">
              <w:marLeft w:val="0"/>
              <w:marRight w:val="0"/>
              <w:marTop w:val="0"/>
              <w:marBottom w:val="0"/>
              <w:divBdr>
                <w:top w:val="none" w:sz="0" w:space="0" w:color="auto"/>
                <w:left w:val="none" w:sz="0" w:space="0" w:color="auto"/>
                <w:bottom w:val="none" w:sz="0" w:space="0" w:color="auto"/>
                <w:right w:val="none" w:sz="0" w:space="0" w:color="auto"/>
              </w:divBdr>
            </w:div>
            <w:div w:id="1885482475">
              <w:marLeft w:val="0"/>
              <w:marRight w:val="0"/>
              <w:marTop w:val="0"/>
              <w:marBottom w:val="0"/>
              <w:divBdr>
                <w:top w:val="none" w:sz="0" w:space="0" w:color="auto"/>
                <w:left w:val="none" w:sz="0" w:space="0" w:color="auto"/>
                <w:bottom w:val="none" w:sz="0" w:space="0" w:color="auto"/>
                <w:right w:val="none" w:sz="0" w:space="0" w:color="auto"/>
              </w:divBdr>
            </w:div>
          </w:divsChild>
        </w:div>
        <w:div w:id="1456829275">
          <w:marLeft w:val="0"/>
          <w:marRight w:val="0"/>
          <w:marTop w:val="0"/>
          <w:marBottom w:val="0"/>
          <w:divBdr>
            <w:top w:val="none" w:sz="0" w:space="0" w:color="auto"/>
            <w:left w:val="none" w:sz="0" w:space="0" w:color="auto"/>
            <w:bottom w:val="none" w:sz="0" w:space="0" w:color="auto"/>
            <w:right w:val="none" w:sz="0" w:space="0" w:color="auto"/>
          </w:divBdr>
        </w:div>
        <w:div w:id="1481842578">
          <w:marLeft w:val="0"/>
          <w:marRight w:val="0"/>
          <w:marTop w:val="0"/>
          <w:marBottom w:val="0"/>
          <w:divBdr>
            <w:top w:val="none" w:sz="0" w:space="0" w:color="auto"/>
            <w:left w:val="none" w:sz="0" w:space="0" w:color="auto"/>
            <w:bottom w:val="none" w:sz="0" w:space="0" w:color="auto"/>
            <w:right w:val="none" w:sz="0" w:space="0" w:color="auto"/>
          </w:divBdr>
          <w:divsChild>
            <w:div w:id="538054370">
              <w:marLeft w:val="0"/>
              <w:marRight w:val="0"/>
              <w:marTop w:val="0"/>
              <w:marBottom w:val="0"/>
              <w:divBdr>
                <w:top w:val="none" w:sz="0" w:space="0" w:color="auto"/>
                <w:left w:val="none" w:sz="0" w:space="0" w:color="auto"/>
                <w:bottom w:val="none" w:sz="0" w:space="0" w:color="auto"/>
                <w:right w:val="none" w:sz="0" w:space="0" w:color="auto"/>
              </w:divBdr>
            </w:div>
            <w:div w:id="862980139">
              <w:marLeft w:val="0"/>
              <w:marRight w:val="0"/>
              <w:marTop w:val="0"/>
              <w:marBottom w:val="0"/>
              <w:divBdr>
                <w:top w:val="none" w:sz="0" w:space="0" w:color="auto"/>
                <w:left w:val="none" w:sz="0" w:space="0" w:color="auto"/>
                <w:bottom w:val="none" w:sz="0" w:space="0" w:color="auto"/>
                <w:right w:val="none" w:sz="0" w:space="0" w:color="auto"/>
              </w:divBdr>
            </w:div>
            <w:div w:id="1516963815">
              <w:marLeft w:val="0"/>
              <w:marRight w:val="0"/>
              <w:marTop w:val="0"/>
              <w:marBottom w:val="0"/>
              <w:divBdr>
                <w:top w:val="none" w:sz="0" w:space="0" w:color="auto"/>
                <w:left w:val="none" w:sz="0" w:space="0" w:color="auto"/>
                <w:bottom w:val="none" w:sz="0" w:space="0" w:color="auto"/>
                <w:right w:val="none" w:sz="0" w:space="0" w:color="auto"/>
              </w:divBdr>
            </w:div>
            <w:div w:id="1531383577">
              <w:marLeft w:val="0"/>
              <w:marRight w:val="0"/>
              <w:marTop w:val="0"/>
              <w:marBottom w:val="0"/>
              <w:divBdr>
                <w:top w:val="none" w:sz="0" w:space="0" w:color="auto"/>
                <w:left w:val="none" w:sz="0" w:space="0" w:color="auto"/>
                <w:bottom w:val="none" w:sz="0" w:space="0" w:color="auto"/>
                <w:right w:val="none" w:sz="0" w:space="0" w:color="auto"/>
              </w:divBdr>
            </w:div>
          </w:divsChild>
        </w:div>
        <w:div w:id="1526290810">
          <w:marLeft w:val="0"/>
          <w:marRight w:val="0"/>
          <w:marTop w:val="0"/>
          <w:marBottom w:val="0"/>
          <w:divBdr>
            <w:top w:val="none" w:sz="0" w:space="0" w:color="auto"/>
            <w:left w:val="none" w:sz="0" w:space="0" w:color="auto"/>
            <w:bottom w:val="none" w:sz="0" w:space="0" w:color="auto"/>
            <w:right w:val="none" w:sz="0" w:space="0" w:color="auto"/>
          </w:divBdr>
        </w:div>
        <w:div w:id="1532182786">
          <w:marLeft w:val="0"/>
          <w:marRight w:val="0"/>
          <w:marTop w:val="0"/>
          <w:marBottom w:val="0"/>
          <w:divBdr>
            <w:top w:val="none" w:sz="0" w:space="0" w:color="auto"/>
            <w:left w:val="none" w:sz="0" w:space="0" w:color="auto"/>
            <w:bottom w:val="none" w:sz="0" w:space="0" w:color="auto"/>
            <w:right w:val="none" w:sz="0" w:space="0" w:color="auto"/>
          </w:divBdr>
        </w:div>
        <w:div w:id="1539587797">
          <w:marLeft w:val="0"/>
          <w:marRight w:val="0"/>
          <w:marTop w:val="0"/>
          <w:marBottom w:val="0"/>
          <w:divBdr>
            <w:top w:val="none" w:sz="0" w:space="0" w:color="auto"/>
            <w:left w:val="none" w:sz="0" w:space="0" w:color="auto"/>
            <w:bottom w:val="none" w:sz="0" w:space="0" w:color="auto"/>
            <w:right w:val="none" w:sz="0" w:space="0" w:color="auto"/>
          </w:divBdr>
        </w:div>
        <w:div w:id="1664090697">
          <w:marLeft w:val="0"/>
          <w:marRight w:val="0"/>
          <w:marTop w:val="0"/>
          <w:marBottom w:val="0"/>
          <w:divBdr>
            <w:top w:val="none" w:sz="0" w:space="0" w:color="auto"/>
            <w:left w:val="none" w:sz="0" w:space="0" w:color="auto"/>
            <w:bottom w:val="none" w:sz="0" w:space="0" w:color="auto"/>
            <w:right w:val="none" w:sz="0" w:space="0" w:color="auto"/>
          </w:divBdr>
        </w:div>
        <w:div w:id="1824616972">
          <w:marLeft w:val="0"/>
          <w:marRight w:val="0"/>
          <w:marTop w:val="0"/>
          <w:marBottom w:val="0"/>
          <w:divBdr>
            <w:top w:val="none" w:sz="0" w:space="0" w:color="auto"/>
            <w:left w:val="none" w:sz="0" w:space="0" w:color="auto"/>
            <w:bottom w:val="none" w:sz="0" w:space="0" w:color="auto"/>
            <w:right w:val="none" w:sz="0" w:space="0" w:color="auto"/>
          </w:divBdr>
        </w:div>
        <w:div w:id="1840271098">
          <w:marLeft w:val="0"/>
          <w:marRight w:val="0"/>
          <w:marTop w:val="0"/>
          <w:marBottom w:val="0"/>
          <w:divBdr>
            <w:top w:val="none" w:sz="0" w:space="0" w:color="auto"/>
            <w:left w:val="none" w:sz="0" w:space="0" w:color="auto"/>
            <w:bottom w:val="none" w:sz="0" w:space="0" w:color="auto"/>
            <w:right w:val="none" w:sz="0" w:space="0" w:color="auto"/>
          </w:divBdr>
        </w:div>
        <w:div w:id="1963226805">
          <w:marLeft w:val="0"/>
          <w:marRight w:val="0"/>
          <w:marTop w:val="0"/>
          <w:marBottom w:val="0"/>
          <w:divBdr>
            <w:top w:val="none" w:sz="0" w:space="0" w:color="auto"/>
            <w:left w:val="none" w:sz="0" w:space="0" w:color="auto"/>
            <w:bottom w:val="none" w:sz="0" w:space="0" w:color="auto"/>
            <w:right w:val="none" w:sz="0" w:space="0" w:color="auto"/>
          </w:divBdr>
        </w:div>
      </w:divsChild>
    </w:div>
    <w:div w:id="2099010869">
      <w:bodyDiv w:val="1"/>
      <w:marLeft w:val="0"/>
      <w:marRight w:val="0"/>
      <w:marTop w:val="0"/>
      <w:marBottom w:val="0"/>
      <w:divBdr>
        <w:top w:val="none" w:sz="0" w:space="0" w:color="auto"/>
        <w:left w:val="none" w:sz="0" w:space="0" w:color="auto"/>
        <w:bottom w:val="none" w:sz="0" w:space="0" w:color="auto"/>
        <w:right w:val="none" w:sz="0" w:space="0" w:color="auto"/>
      </w:divBdr>
    </w:div>
    <w:div w:id="2101829184">
      <w:bodyDiv w:val="1"/>
      <w:marLeft w:val="0"/>
      <w:marRight w:val="0"/>
      <w:marTop w:val="0"/>
      <w:marBottom w:val="0"/>
      <w:divBdr>
        <w:top w:val="none" w:sz="0" w:space="0" w:color="auto"/>
        <w:left w:val="none" w:sz="0" w:space="0" w:color="auto"/>
        <w:bottom w:val="none" w:sz="0" w:space="0" w:color="auto"/>
        <w:right w:val="none" w:sz="0" w:space="0" w:color="auto"/>
      </w:divBdr>
      <w:divsChild>
        <w:div w:id="28188622">
          <w:marLeft w:val="0"/>
          <w:marRight w:val="0"/>
          <w:marTop w:val="0"/>
          <w:marBottom w:val="0"/>
          <w:divBdr>
            <w:top w:val="none" w:sz="0" w:space="0" w:color="auto"/>
            <w:left w:val="none" w:sz="0" w:space="0" w:color="auto"/>
            <w:bottom w:val="none" w:sz="0" w:space="0" w:color="auto"/>
            <w:right w:val="none" w:sz="0" w:space="0" w:color="auto"/>
          </w:divBdr>
        </w:div>
        <w:div w:id="560404815">
          <w:marLeft w:val="0"/>
          <w:marRight w:val="0"/>
          <w:marTop w:val="0"/>
          <w:marBottom w:val="0"/>
          <w:divBdr>
            <w:top w:val="none" w:sz="0" w:space="0" w:color="auto"/>
            <w:left w:val="none" w:sz="0" w:space="0" w:color="auto"/>
            <w:bottom w:val="none" w:sz="0" w:space="0" w:color="auto"/>
            <w:right w:val="none" w:sz="0" w:space="0" w:color="auto"/>
          </w:divBdr>
        </w:div>
        <w:div w:id="1214273422">
          <w:marLeft w:val="0"/>
          <w:marRight w:val="0"/>
          <w:marTop w:val="0"/>
          <w:marBottom w:val="0"/>
          <w:divBdr>
            <w:top w:val="none" w:sz="0" w:space="0" w:color="auto"/>
            <w:left w:val="none" w:sz="0" w:space="0" w:color="auto"/>
            <w:bottom w:val="none" w:sz="0" w:space="0" w:color="auto"/>
            <w:right w:val="none" w:sz="0" w:space="0" w:color="auto"/>
          </w:divBdr>
        </w:div>
      </w:divsChild>
    </w:div>
    <w:div w:id="2120904143">
      <w:bodyDiv w:val="1"/>
      <w:marLeft w:val="0"/>
      <w:marRight w:val="0"/>
      <w:marTop w:val="0"/>
      <w:marBottom w:val="0"/>
      <w:divBdr>
        <w:top w:val="none" w:sz="0" w:space="0" w:color="auto"/>
        <w:left w:val="none" w:sz="0" w:space="0" w:color="auto"/>
        <w:bottom w:val="none" w:sz="0" w:space="0" w:color="auto"/>
        <w:right w:val="none" w:sz="0" w:space="0" w:color="auto"/>
      </w:divBdr>
      <w:divsChild>
        <w:div w:id="971443618">
          <w:marLeft w:val="0"/>
          <w:marRight w:val="0"/>
          <w:marTop w:val="0"/>
          <w:marBottom w:val="0"/>
          <w:divBdr>
            <w:top w:val="none" w:sz="0" w:space="0" w:color="auto"/>
            <w:left w:val="none" w:sz="0" w:space="0" w:color="auto"/>
            <w:bottom w:val="none" w:sz="0" w:space="0" w:color="auto"/>
            <w:right w:val="none" w:sz="0" w:space="0" w:color="auto"/>
          </w:divBdr>
        </w:div>
      </w:divsChild>
    </w:div>
    <w:div w:id="212267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documenttasks/documenttasks1.xml><?xml version="1.0" encoding="utf-8"?>
<t:Tasks xmlns:t="http://schemas.microsoft.com/office/tasks/2019/documenttasks" xmlns:oel="http://schemas.microsoft.com/office/2019/extlst">
  <t:Task id="{F51446A0-21F6-49A8-8FA4-2BEEAC1AFC65}">
    <t:Anchor>
      <t:Comment id="1207334282"/>
    </t:Anchor>
    <t:History>
      <t:Event id="{28D245D6-69AE-4ECB-A81C-CC33094E08A0}" time="2024-02-29T20:04:14.969Z">
        <t:Attribution userId="S::huang.miaoling@dol.gov::2906321e-c829-4c02-b636-2938a784f03c" userProvider="AD" userName="Huang, MiaoLing - OSHA"/>
        <t:Anchor>
          <t:Comment id="2079804451"/>
        </t:Anchor>
        <t:Create/>
      </t:Event>
      <t:Event id="{B287794A-2144-4539-AD3F-315A4004C24C}" time="2024-02-29T20:04:14.969Z">
        <t:Attribution userId="S::huang.miaoling@dol.gov::2906321e-c829-4c02-b636-2938a784f03c" userProvider="AD" userName="Huang, MiaoLing - OSHA"/>
        <t:Anchor>
          <t:Comment id="2079804451"/>
        </t:Anchor>
        <t:Assign userId="S::Delicana.Loren@dol.gov::64aaa5b7-3d57-4b92-aec9-9dc9354c7f53" userProvider="AD" userName="Delicana, Loren - OSHA"/>
      </t:Event>
      <t:Event id="{B1BB626E-6CC1-48B7-9D82-F21CF182DE56}" time="2024-02-29T20:04:14.969Z">
        <t:Attribution userId="S::huang.miaoling@dol.gov::2906321e-c829-4c02-b636-2938a784f03c" userProvider="AD" userName="Huang, MiaoLing - OSHA"/>
        <t:Anchor>
          <t:Comment id="2079804451"/>
        </t:Anchor>
        <t:SetTitle title="@Delicana, Loren - OSHA We are waiting for Arizona to complete the correction actions. Thanks."/>
      </t:Event>
      <t:Event id="{D2ED0B26-F591-4875-9826-66A2BDE8D45D}" time="2024-02-29T22:37:38.899Z">
        <t:Attribution userId="S::Delicana.Loren@dol.gov::64aaa5b7-3d57-4b92-aec9-9dc9354c7f53" userProvider="AD" userName="Delicana, Loren - OSH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A7D50-96D1-4CEC-ADDB-A86B3DEE6795}">
  <ds:schemaRefs>
    <ds:schemaRef ds:uri="http://schemas.microsoft.com/sharepoint/v3/contenttype/forms"/>
  </ds:schemaRefs>
</ds:datastoreItem>
</file>

<file path=customXml/itemProps2.xml><?xml version="1.0" encoding="utf-8"?>
<ds:datastoreItem xmlns:ds="http://schemas.openxmlformats.org/officeDocument/2006/customXml" ds:itemID="{510C59BB-ED7F-46A4-9BB2-F0DC3650C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8A4F1-724D-449E-86D8-30B07BA9CDCE}">
  <ds:schemaRefs>
    <ds:schemaRef ds:uri="http://schemas.microsoft.com/office/2006/metadata/properties"/>
    <ds:schemaRef ds:uri="http://schemas.microsoft.com/office/infopath/2007/PartnerControls"/>
    <ds:schemaRef ds:uri="0c15f527-c7ed-4337-9c3b-d3541cbb08fe"/>
  </ds:schemaRefs>
</ds:datastoreItem>
</file>

<file path=customXml/itemProps4.xml><?xml version="1.0" encoding="utf-8"?>
<ds:datastoreItem xmlns:ds="http://schemas.openxmlformats.org/officeDocument/2006/customXml" ds:itemID="{8E2B7F1A-8875-4707-ADCD-8E0769393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9718</Words>
  <Characters>54131</Characters>
  <Application>Microsoft Office Word</Application>
  <DocSecurity>0</DocSecurity>
  <Lines>1804</Lines>
  <Paragraphs>862</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62987</CharactersWithSpaces>
  <SharedDoc>false</SharedDoc>
  <HLinks>
    <vt:vector size="312" baseType="variant">
      <vt:variant>
        <vt:i4>5570588</vt:i4>
      </vt:variant>
      <vt:variant>
        <vt:i4>216</vt:i4>
      </vt:variant>
      <vt:variant>
        <vt:i4>0</vt:i4>
      </vt:variant>
      <vt:variant>
        <vt:i4>5</vt:i4>
      </vt:variant>
      <vt:variant>
        <vt:lpwstr/>
      </vt:variant>
      <vt:variant>
        <vt:lpwstr>Measure16</vt:lpwstr>
      </vt:variant>
      <vt:variant>
        <vt:i4>5570588</vt:i4>
      </vt:variant>
      <vt:variant>
        <vt:i4>213</vt:i4>
      </vt:variant>
      <vt:variant>
        <vt:i4>0</vt:i4>
      </vt:variant>
      <vt:variant>
        <vt:i4>5</vt:i4>
      </vt:variant>
      <vt:variant>
        <vt:lpwstr/>
      </vt:variant>
      <vt:variant>
        <vt:lpwstr>Measure15</vt:lpwstr>
      </vt:variant>
      <vt:variant>
        <vt:i4>5570588</vt:i4>
      </vt:variant>
      <vt:variant>
        <vt:i4>210</vt:i4>
      </vt:variant>
      <vt:variant>
        <vt:i4>0</vt:i4>
      </vt:variant>
      <vt:variant>
        <vt:i4>5</vt:i4>
      </vt:variant>
      <vt:variant>
        <vt:lpwstr/>
      </vt:variant>
      <vt:variant>
        <vt:lpwstr>Measure14</vt:lpwstr>
      </vt:variant>
      <vt:variant>
        <vt:i4>5570588</vt:i4>
      </vt:variant>
      <vt:variant>
        <vt:i4>207</vt:i4>
      </vt:variant>
      <vt:variant>
        <vt:i4>0</vt:i4>
      </vt:variant>
      <vt:variant>
        <vt:i4>5</vt:i4>
      </vt:variant>
      <vt:variant>
        <vt:lpwstr/>
      </vt:variant>
      <vt:variant>
        <vt:lpwstr>Measure13</vt:lpwstr>
      </vt:variant>
      <vt:variant>
        <vt:i4>5570588</vt:i4>
      </vt:variant>
      <vt:variant>
        <vt:i4>204</vt:i4>
      </vt:variant>
      <vt:variant>
        <vt:i4>0</vt:i4>
      </vt:variant>
      <vt:variant>
        <vt:i4>5</vt:i4>
      </vt:variant>
      <vt:variant>
        <vt:lpwstr/>
      </vt:variant>
      <vt:variant>
        <vt:lpwstr>Measure11</vt:lpwstr>
      </vt:variant>
      <vt:variant>
        <vt:i4>5570588</vt:i4>
      </vt:variant>
      <vt:variant>
        <vt:i4>201</vt:i4>
      </vt:variant>
      <vt:variant>
        <vt:i4>0</vt:i4>
      </vt:variant>
      <vt:variant>
        <vt:i4>5</vt:i4>
      </vt:variant>
      <vt:variant>
        <vt:lpwstr/>
      </vt:variant>
      <vt:variant>
        <vt:lpwstr>Measure11</vt:lpwstr>
      </vt:variant>
      <vt:variant>
        <vt:i4>5570588</vt:i4>
      </vt:variant>
      <vt:variant>
        <vt:i4>198</vt:i4>
      </vt:variant>
      <vt:variant>
        <vt:i4>0</vt:i4>
      </vt:variant>
      <vt:variant>
        <vt:i4>5</vt:i4>
      </vt:variant>
      <vt:variant>
        <vt:lpwstr/>
      </vt:variant>
      <vt:variant>
        <vt:lpwstr>Measure10</vt:lpwstr>
      </vt:variant>
      <vt:variant>
        <vt:i4>6094876</vt:i4>
      </vt:variant>
      <vt:variant>
        <vt:i4>195</vt:i4>
      </vt:variant>
      <vt:variant>
        <vt:i4>0</vt:i4>
      </vt:variant>
      <vt:variant>
        <vt:i4>5</vt:i4>
      </vt:variant>
      <vt:variant>
        <vt:lpwstr/>
      </vt:variant>
      <vt:variant>
        <vt:lpwstr>Measure9</vt:lpwstr>
      </vt:variant>
      <vt:variant>
        <vt:i4>6094876</vt:i4>
      </vt:variant>
      <vt:variant>
        <vt:i4>192</vt:i4>
      </vt:variant>
      <vt:variant>
        <vt:i4>0</vt:i4>
      </vt:variant>
      <vt:variant>
        <vt:i4>5</vt:i4>
      </vt:variant>
      <vt:variant>
        <vt:lpwstr/>
      </vt:variant>
      <vt:variant>
        <vt:lpwstr>Measure9</vt:lpwstr>
      </vt:variant>
      <vt:variant>
        <vt:i4>6094876</vt:i4>
      </vt:variant>
      <vt:variant>
        <vt:i4>189</vt:i4>
      </vt:variant>
      <vt:variant>
        <vt:i4>0</vt:i4>
      </vt:variant>
      <vt:variant>
        <vt:i4>5</vt:i4>
      </vt:variant>
      <vt:variant>
        <vt:lpwstr/>
      </vt:variant>
      <vt:variant>
        <vt:lpwstr>Measure9</vt:lpwstr>
      </vt:variant>
      <vt:variant>
        <vt:i4>6094876</vt:i4>
      </vt:variant>
      <vt:variant>
        <vt:i4>186</vt:i4>
      </vt:variant>
      <vt:variant>
        <vt:i4>0</vt:i4>
      </vt:variant>
      <vt:variant>
        <vt:i4>5</vt:i4>
      </vt:variant>
      <vt:variant>
        <vt:lpwstr/>
      </vt:variant>
      <vt:variant>
        <vt:lpwstr>Measure9</vt:lpwstr>
      </vt:variant>
      <vt:variant>
        <vt:i4>6029340</vt:i4>
      </vt:variant>
      <vt:variant>
        <vt:i4>183</vt:i4>
      </vt:variant>
      <vt:variant>
        <vt:i4>0</vt:i4>
      </vt:variant>
      <vt:variant>
        <vt:i4>5</vt:i4>
      </vt:variant>
      <vt:variant>
        <vt:lpwstr/>
      </vt:variant>
      <vt:variant>
        <vt:lpwstr>Measure8</vt:lpwstr>
      </vt:variant>
      <vt:variant>
        <vt:i4>6815782</vt:i4>
      </vt:variant>
      <vt:variant>
        <vt:i4>180</vt:i4>
      </vt:variant>
      <vt:variant>
        <vt:i4>0</vt:i4>
      </vt:variant>
      <vt:variant>
        <vt:i4>5</vt:i4>
      </vt:variant>
      <vt:variant>
        <vt:lpwstr/>
      </vt:variant>
      <vt:variant>
        <vt:lpwstr>SAMM8d</vt:lpwstr>
      </vt:variant>
      <vt:variant>
        <vt:i4>7274534</vt:i4>
      </vt:variant>
      <vt:variant>
        <vt:i4>177</vt:i4>
      </vt:variant>
      <vt:variant>
        <vt:i4>0</vt:i4>
      </vt:variant>
      <vt:variant>
        <vt:i4>5</vt:i4>
      </vt:variant>
      <vt:variant>
        <vt:lpwstr/>
      </vt:variant>
      <vt:variant>
        <vt:lpwstr>SAMM8c</vt:lpwstr>
      </vt:variant>
      <vt:variant>
        <vt:i4>6029340</vt:i4>
      </vt:variant>
      <vt:variant>
        <vt:i4>174</vt:i4>
      </vt:variant>
      <vt:variant>
        <vt:i4>0</vt:i4>
      </vt:variant>
      <vt:variant>
        <vt:i4>5</vt:i4>
      </vt:variant>
      <vt:variant>
        <vt:lpwstr/>
      </vt:variant>
      <vt:variant>
        <vt:lpwstr>Measure8</vt:lpwstr>
      </vt:variant>
      <vt:variant>
        <vt:i4>6029340</vt:i4>
      </vt:variant>
      <vt:variant>
        <vt:i4>171</vt:i4>
      </vt:variant>
      <vt:variant>
        <vt:i4>0</vt:i4>
      </vt:variant>
      <vt:variant>
        <vt:i4>5</vt:i4>
      </vt:variant>
      <vt:variant>
        <vt:lpwstr/>
      </vt:variant>
      <vt:variant>
        <vt:lpwstr>Measure8</vt:lpwstr>
      </vt:variant>
      <vt:variant>
        <vt:i4>5439516</vt:i4>
      </vt:variant>
      <vt:variant>
        <vt:i4>168</vt:i4>
      </vt:variant>
      <vt:variant>
        <vt:i4>0</vt:i4>
      </vt:variant>
      <vt:variant>
        <vt:i4>5</vt:i4>
      </vt:variant>
      <vt:variant>
        <vt:lpwstr/>
      </vt:variant>
      <vt:variant>
        <vt:lpwstr>Measure7</vt:lpwstr>
      </vt:variant>
      <vt:variant>
        <vt:i4>5439516</vt:i4>
      </vt:variant>
      <vt:variant>
        <vt:i4>165</vt:i4>
      </vt:variant>
      <vt:variant>
        <vt:i4>0</vt:i4>
      </vt:variant>
      <vt:variant>
        <vt:i4>5</vt:i4>
      </vt:variant>
      <vt:variant>
        <vt:lpwstr/>
      </vt:variant>
      <vt:variant>
        <vt:lpwstr>Measure7</vt:lpwstr>
      </vt:variant>
      <vt:variant>
        <vt:i4>5308444</vt:i4>
      </vt:variant>
      <vt:variant>
        <vt:i4>162</vt:i4>
      </vt:variant>
      <vt:variant>
        <vt:i4>0</vt:i4>
      </vt:variant>
      <vt:variant>
        <vt:i4>5</vt:i4>
      </vt:variant>
      <vt:variant>
        <vt:lpwstr/>
      </vt:variant>
      <vt:variant>
        <vt:lpwstr>Measure5</vt:lpwstr>
      </vt:variant>
      <vt:variant>
        <vt:i4>5308444</vt:i4>
      </vt:variant>
      <vt:variant>
        <vt:i4>159</vt:i4>
      </vt:variant>
      <vt:variant>
        <vt:i4>0</vt:i4>
      </vt:variant>
      <vt:variant>
        <vt:i4>5</vt:i4>
      </vt:variant>
      <vt:variant>
        <vt:lpwstr/>
      </vt:variant>
      <vt:variant>
        <vt:lpwstr>Measure5</vt:lpwstr>
      </vt:variant>
      <vt:variant>
        <vt:i4>5242908</vt:i4>
      </vt:variant>
      <vt:variant>
        <vt:i4>156</vt:i4>
      </vt:variant>
      <vt:variant>
        <vt:i4>0</vt:i4>
      </vt:variant>
      <vt:variant>
        <vt:i4>5</vt:i4>
      </vt:variant>
      <vt:variant>
        <vt:lpwstr/>
      </vt:variant>
      <vt:variant>
        <vt:lpwstr>Measure4</vt:lpwstr>
      </vt:variant>
      <vt:variant>
        <vt:i4>5701660</vt:i4>
      </vt:variant>
      <vt:variant>
        <vt:i4>153</vt:i4>
      </vt:variant>
      <vt:variant>
        <vt:i4>0</vt:i4>
      </vt:variant>
      <vt:variant>
        <vt:i4>5</vt:i4>
      </vt:variant>
      <vt:variant>
        <vt:lpwstr/>
      </vt:variant>
      <vt:variant>
        <vt:lpwstr>Measure3</vt:lpwstr>
      </vt:variant>
      <vt:variant>
        <vt:i4>5636124</vt:i4>
      </vt:variant>
      <vt:variant>
        <vt:i4>150</vt:i4>
      </vt:variant>
      <vt:variant>
        <vt:i4>0</vt:i4>
      </vt:variant>
      <vt:variant>
        <vt:i4>5</vt:i4>
      </vt:variant>
      <vt:variant>
        <vt:lpwstr/>
      </vt:variant>
      <vt:variant>
        <vt:lpwstr>Measure2</vt:lpwstr>
      </vt:variant>
      <vt:variant>
        <vt:i4>5636124</vt:i4>
      </vt:variant>
      <vt:variant>
        <vt:i4>147</vt:i4>
      </vt:variant>
      <vt:variant>
        <vt:i4>0</vt:i4>
      </vt:variant>
      <vt:variant>
        <vt:i4>5</vt:i4>
      </vt:variant>
      <vt:variant>
        <vt:lpwstr/>
      </vt:variant>
      <vt:variant>
        <vt:lpwstr>Measure2</vt:lpwstr>
      </vt:variant>
      <vt:variant>
        <vt:i4>5636124</vt:i4>
      </vt:variant>
      <vt:variant>
        <vt:i4>144</vt:i4>
      </vt:variant>
      <vt:variant>
        <vt:i4>0</vt:i4>
      </vt:variant>
      <vt:variant>
        <vt:i4>5</vt:i4>
      </vt:variant>
      <vt:variant>
        <vt:lpwstr/>
      </vt:variant>
      <vt:variant>
        <vt:lpwstr>Measure2</vt:lpwstr>
      </vt:variant>
      <vt:variant>
        <vt:i4>5636124</vt:i4>
      </vt:variant>
      <vt:variant>
        <vt:i4>141</vt:i4>
      </vt:variant>
      <vt:variant>
        <vt:i4>0</vt:i4>
      </vt:variant>
      <vt:variant>
        <vt:i4>5</vt:i4>
      </vt:variant>
      <vt:variant>
        <vt:lpwstr/>
      </vt:variant>
      <vt:variant>
        <vt:lpwstr>Measure2</vt:lpwstr>
      </vt:variant>
      <vt:variant>
        <vt:i4>5570588</vt:i4>
      </vt:variant>
      <vt:variant>
        <vt:i4>138</vt:i4>
      </vt:variant>
      <vt:variant>
        <vt:i4>0</vt:i4>
      </vt:variant>
      <vt:variant>
        <vt:i4>5</vt:i4>
      </vt:variant>
      <vt:variant>
        <vt:lpwstr/>
      </vt:variant>
      <vt:variant>
        <vt:lpwstr>Measure1</vt:lpwstr>
      </vt:variant>
      <vt:variant>
        <vt:i4>5570588</vt:i4>
      </vt:variant>
      <vt:variant>
        <vt:i4>135</vt:i4>
      </vt:variant>
      <vt:variant>
        <vt:i4>0</vt:i4>
      </vt:variant>
      <vt:variant>
        <vt:i4>5</vt:i4>
      </vt:variant>
      <vt:variant>
        <vt:lpwstr/>
      </vt:variant>
      <vt:variant>
        <vt:lpwstr>Measure1</vt:lpwstr>
      </vt:variant>
      <vt:variant>
        <vt:i4>5570588</vt:i4>
      </vt:variant>
      <vt:variant>
        <vt:i4>132</vt:i4>
      </vt:variant>
      <vt:variant>
        <vt:i4>0</vt:i4>
      </vt:variant>
      <vt:variant>
        <vt:i4>5</vt:i4>
      </vt:variant>
      <vt:variant>
        <vt:lpwstr/>
      </vt:variant>
      <vt:variant>
        <vt:lpwstr>Measure1</vt:lpwstr>
      </vt:variant>
      <vt:variant>
        <vt:i4>5570588</vt:i4>
      </vt:variant>
      <vt:variant>
        <vt:i4>129</vt:i4>
      </vt:variant>
      <vt:variant>
        <vt:i4>0</vt:i4>
      </vt:variant>
      <vt:variant>
        <vt:i4>5</vt:i4>
      </vt:variant>
      <vt:variant>
        <vt:lpwstr/>
      </vt:variant>
      <vt:variant>
        <vt:lpwstr>Measure1</vt:lpwstr>
      </vt:variant>
      <vt:variant>
        <vt:i4>1441845</vt:i4>
      </vt:variant>
      <vt:variant>
        <vt:i4>122</vt:i4>
      </vt:variant>
      <vt:variant>
        <vt:i4>0</vt:i4>
      </vt:variant>
      <vt:variant>
        <vt:i4>5</vt:i4>
      </vt:variant>
      <vt:variant>
        <vt:lpwstr/>
      </vt:variant>
      <vt:variant>
        <vt:lpwstr>_Toc225327070</vt:lpwstr>
      </vt:variant>
      <vt:variant>
        <vt:i4>1507381</vt:i4>
      </vt:variant>
      <vt:variant>
        <vt:i4>116</vt:i4>
      </vt:variant>
      <vt:variant>
        <vt:i4>0</vt:i4>
      </vt:variant>
      <vt:variant>
        <vt:i4>5</vt:i4>
      </vt:variant>
      <vt:variant>
        <vt:lpwstr/>
      </vt:variant>
      <vt:variant>
        <vt:lpwstr>_Toc225327069</vt:lpwstr>
      </vt:variant>
      <vt:variant>
        <vt:i4>1507381</vt:i4>
      </vt:variant>
      <vt:variant>
        <vt:i4>110</vt:i4>
      </vt:variant>
      <vt:variant>
        <vt:i4>0</vt:i4>
      </vt:variant>
      <vt:variant>
        <vt:i4>5</vt:i4>
      </vt:variant>
      <vt:variant>
        <vt:lpwstr/>
      </vt:variant>
      <vt:variant>
        <vt:lpwstr>_Toc225327068</vt:lpwstr>
      </vt:variant>
      <vt:variant>
        <vt:i4>1507381</vt:i4>
      </vt:variant>
      <vt:variant>
        <vt:i4>104</vt:i4>
      </vt:variant>
      <vt:variant>
        <vt:i4>0</vt:i4>
      </vt:variant>
      <vt:variant>
        <vt:i4>5</vt:i4>
      </vt:variant>
      <vt:variant>
        <vt:lpwstr/>
      </vt:variant>
      <vt:variant>
        <vt:lpwstr>_Toc225327067</vt:lpwstr>
      </vt:variant>
      <vt:variant>
        <vt:i4>1507381</vt:i4>
      </vt:variant>
      <vt:variant>
        <vt:i4>98</vt:i4>
      </vt:variant>
      <vt:variant>
        <vt:i4>0</vt:i4>
      </vt:variant>
      <vt:variant>
        <vt:i4>5</vt:i4>
      </vt:variant>
      <vt:variant>
        <vt:lpwstr/>
      </vt:variant>
      <vt:variant>
        <vt:lpwstr>_Toc225327066</vt:lpwstr>
      </vt:variant>
      <vt:variant>
        <vt:i4>1507381</vt:i4>
      </vt:variant>
      <vt:variant>
        <vt:i4>92</vt:i4>
      </vt:variant>
      <vt:variant>
        <vt:i4>0</vt:i4>
      </vt:variant>
      <vt:variant>
        <vt:i4>5</vt:i4>
      </vt:variant>
      <vt:variant>
        <vt:lpwstr/>
      </vt:variant>
      <vt:variant>
        <vt:lpwstr>_Toc225327065</vt:lpwstr>
      </vt:variant>
      <vt:variant>
        <vt:i4>1507381</vt:i4>
      </vt:variant>
      <vt:variant>
        <vt:i4>86</vt:i4>
      </vt:variant>
      <vt:variant>
        <vt:i4>0</vt:i4>
      </vt:variant>
      <vt:variant>
        <vt:i4>5</vt:i4>
      </vt:variant>
      <vt:variant>
        <vt:lpwstr/>
      </vt:variant>
      <vt:variant>
        <vt:lpwstr>_Toc225327064</vt:lpwstr>
      </vt:variant>
      <vt:variant>
        <vt:i4>1507381</vt:i4>
      </vt:variant>
      <vt:variant>
        <vt:i4>80</vt:i4>
      </vt:variant>
      <vt:variant>
        <vt:i4>0</vt:i4>
      </vt:variant>
      <vt:variant>
        <vt:i4>5</vt:i4>
      </vt:variant>
      <vt:variant>
        <vt:lpwstr/>
      </vt:variant>
      <vt:variant>
        <vt:lpwstr>_Toc225327063</vt:lpwstr>
      </vt:variant>
      <vt:variant>
        <vt:i4>1507381</vt:i4>
      </vt:variant>
      <vt:variant>
        <vt:i4>74</vt:i4>
      </vt:variant>
      <vt:variant>
        <vt:i4>0</vt:i4>
      </vt:variant>
      <vt:variant>
        <vt:i4>5</vt:i4>
      </vt:variant>
      <vt:variant>
        <vt:lpwstr/>
      </vt:variant>
      <vt:variant>
        <vt:lpwstr>_Toc225327062</vt:lpwstr>
      </vt:variant>
      <vt:variant>
        <vt:i4>1507381</vt:i4>
      </vt:variant>
      <vt:variant>
        <vt:i4>68</vt:i4>
      </vt:variant>
      <vt:variant>
        <vt:i4>0</vt:i4>
      </vt:variant>
      <vt:variant>
        <vt:i4>5</vt:i4>
      </vt:variant>
      <vt:variant>
        <vt:lpwstr/>
      </vt:variant>
      <vt:variant>
        <vt:lpwstr>_Toc225327061</vt:lpwstr>
      </vt:variant>
      <vt:variant>
        <vt:i4>1507381</vt:i4>
      </vt:variant>
      <vt:variant>
        <vt:i4>62</vt:i4>
      </vt:variant>
      <vt:variant>
        <vt:i4>0</vt:i4>
      </vt:variant>
      <vt:variant>
        <vt:i4>5</vt:i4>
      </vt:variant>
      <vt:variant>
        <vt:lpwstr/>
      </vt:variant>
      <vt:variant>
        <vt:lpwstr>_Toc225327060</vt:lpwstr>
      </vt:variant>
      <vt:variant>
        <vt:i4>1310773</vt:i4>
      </vt:variant>
      <vt:variant>
        <vt:i4>56</vt:i4>
      </vt:variant>
      <vt:variant>
        <vt:i4>0</vt:i4>
      </vt:variant>
      <vt:variant>
        <vt:i4>5</vt:i4>
      </vt:variant>
      <vt:variant>
        <vt:lpwstr/>
      </vt:variant>
      <vt:variant>
        <vt:lpwstr>_Toc225327059</vt:lpwstr>
      </vt:variant>
      <vt:variant>
        <vt:i4>1310773</vt:i4>
      </vt:variant>
      <vt:variant>
        <vt:i4>50</vt:i4>
      </vt:variant>
      <vt:variant>
        <vt:i4>0</vt:i4>
      </vt:variant>
      <vt:variant>
        <vt:i4>5</vt:i4>
      </vt:variant>
      <vt:variant>
        <vt:lpwstr/>
      </vt:variant>
      <vt:variant>
        <vt:lpwstr>_Toc225327058</vt:lpwstr>
      </vt:variant>
      <vt:variant>
        <vt:i4>1310773</vt:i4>
      </vt:variant>
      <vt:variant>
        <vt:i4>44</vt:i4>
      </vt:variant>
      <vt:variant>
        <vt:i4>0</vt:i4>
      </vt:variant>
      <vt:variant>
        <vt:i4>5</vt:i4>
      </vt:variant>
      <vt:variant>
        <vt:lpwstr/>
      </vt:variant>
      <vt:variant>
        <vt:lpwstr>_Toc225327057</vt:lpwstr>
      </vt:variant>
      <vt:variant>
        <vt:i4>1310773</vt:i4>
      </vt:variant>
      <vt:variant>
        <vt:i4>38</vt:i4>
      </vt:variant>
      <vt:variant>
        <vt:i4>0</vt:i4>
      </vt:variant>
      <vt:variant>
        <vt:i4>5</vt:i4>
      </vt:variant>
      <vt:variant>
        <vt:lpwstr/>
      </vt:variant>
      <vt:variant>
        <vt:lpwstr>_Toc225327056</vt:lpwstr>
      </vt:variant>
      <vt:variant>
        <vt:i4>1310773</vt:i4>
      </vt:variant>
      <vt:variant>
        <vt:i4>32</vt:i4>
      </vt:variant>
      <vt:variant>
        <vt:i4>0</vt:i4>
      </vt:variant>
      <vt:variant>
        <vt:i4>5</vt:i4>
      </vt:variant>
      <vt:variant>
        <vt:lpwstr/>
      </vt:variant>
      <vt:variant>
        <vt:lpwstr>_Toc225327055</vt:lpwstr>
      </vt:variant>
      <vt:variant>
        <vt:i4>1310773</vt:i4>
      </vt:variant>
      <vt:variant>
        <vt:i4>26</vt:i4>
      </vt:variant>
      <vt:variant>
        <vt:i4>0</vt:i4>
      </vt:variant>
      <vt:variant>
        <vt:i4>5</vt:i4>
      </vt:variant>
      <vt:variant>
        <vt:lpwstr/>
      </vt:variant>
      <vt:variant>
        <vt:lpwstr>_Toc225327054</vt:lpwstr>
      </vt:variant>
      <vt:variant>
        <vt:i4>1310773</vt:i4>
      </vt:variant>
      <vt:variant>
        <vt:i4>20</vt:i4>
      </vt:variant>
      <vt:variant>
        <vt:i4>0</vt:i4>
      </vt:variant>
      <vt:variant>
        <vt:i4>5</vt:i4>
      </vt:variant>
      <vt:variant>
        <vt:lpwstr/>
      </vt:variant>
      <vt:variant>
        <vt:lpwstr>_Toc225327053</vt:lpwstr>
      </vt:variant>
      <vt:variant>
        <vt:i4>1310773</vt:i4>
      </vt:variant>
      <vt:variant>
        <vt:i4>14</vt:i4>
      </vt:variant>
      <vt:variant>
        <vt:i4>0</vt:i4>
      </vt:variant>
      <vt:variant>
        <vt:i4>5</vt:i4>
      </vt:variant>
      <vt:variant>
        <vt:lpwstr/>
      </vt:variant>
      <vt:variant>
        <vt:lpwstr>_Toc225327052</vt:lpwstr>
      </vt:variant>
      <vt:variant>
        <vt:i4>1310773</vt:i4>
      </vt:variant>
      <vt:variant>
        <vt:i4>8</vt:i4>
      </vt:variant>
      <vt:variant>
        <vt:i4>0</vt:i4>
      </vt:variant>
      <vt:variant>
        <vt:i4>5</vt:i4>
      </vt:variant>
      <vt:variant>
        <vt:lpwstr/>
      </vt:variant>
      <vt:variant>
        <vt:lpwstr>_Toc225327051</vt:lpwstr>
      </vt:variant>
      <vt:variant>
        <vt:i4>1310773</vt:i4>
      </vt:variant>
      <vt:variant>
        <vt:i4>2</vt:i4>
      </vt:variant>
      <vt:variant>
        <vt:i4>0</vt:i4>
      </vt:variant>
      <vt:variant>
        <vt:i4>5</vt:i4>
      </vt:variant>
      <vt:variant>
        <vt:lpwstr/>
      </vt:variant>
      <vt:variant>
        <vt:lpwstr>_Toc225327050</vt:lpwstr>
      </vt:variant>
      <vt:variant>
        <vt:i4>4653178</vt:i4>
      </vt:variant>
      <vt:variant>
        <vt:i4>0</vt:i4>
      </vt:variant>
      <vt:variant>
        <vt:i4>0</vt:i4>
      </vt:variant>
      <vt:variant>
        <vt:i4>5</vt:i4>
      </vt:variant>
      <vt:variant>
        <vt:lpwstr>mailto:Himes.Ryan.J@dol.gov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Delicana, Loren - OSHA</dc:creator>
  <cp:keywords/>
  <cp:lastModifiedBy>Gibbs, Danielle - OSHA</cp:lastModifiedBy>
  <cp:revision>4</cp:revision>
  <cp:lastPrinted>2019-10-03T16:35:00Z</cp:lastPrinted>
  <dcterms:created xsi:type="dcterms:W3CDTF">2026-06-17T21:29:00Z</dcterms:created>
  <dcterms:modified xsi:type="dcterms:W3CDTF">2026-07-09T01:10:00Z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0x0101004F00E495FDC05346A392541EA9DB2049</vt:lpwstr>
  </property>
  <property fmtid="{D5CDD505-2E9C-101B-9397-08002B2CF9AE}" pid="3" name="MediaServiceImageTags">
    <vt:lpwstr/>
  </property>
  <property fmtid="{D5CDD505-2E9C-101B-9397-08002B2CF9AE}" pid="4" name="docLang">
    <vt:lpwstr>en</vt:lpwstr>
  </property>
</Properties>
</file>