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23E7" w14:textId="77777777" w:rsidR="005A77DB" w:rsidRPr="005A77DB" w:rsidRDefault="005A77DB" w:rsidP="004F2502">
      <w:pPr>
        <w:keepNext/>
        <w:outlineLvl w:val="1"/>
        <w:rPr>
          <w:b/>
          <w:sz w:val="36"/>
          <w:szCs w:val="20"/>
          <w:lang w:val="x-none" w:eastAsia="x-none"/>
        </w:rPr>
      </w:pPr>
    </w:p>
    <w:p w14:paraId="4EFAAAF4" w14:textId="77777777" w:rsidR="005A77DB" w:rsidRPr="005A77DB" w:rsidRDefault="005A77DB" w:rsidP="005A77DB">
      <w:pPr>
        <w:widowControl w:val="0"/>
        <w:autoSpaceDE w:val="0"/>
        <w:autoSpaceDN w:val="0"/>
        <w:adjustRightInd w:val="0"/>
        <w:rPr>
          <w:rFonts w:ascii="Tahoma" w:hAnsi="Tahoma" w:cs="Tahoma"/>
        </w:rPr>
      </w:pPr>
    </w:p>
    <w:p w14:paraId="017D3DB8" w14:textId="77777777" w:rsidR="005A77DB" w:rsidRPr="005A77DB" w:rsidRDefault="00997553" w:rsidP="005A77DB">
      <w:pPr>
        <w:widowControl w:val="0"/>
        <w:autoSpaceDE w:val="0"/>
        <w:autoSpaceDN w:val="0"/>
        <w:adjustRightInd w:val="0"/>
        <w:jc w:val="center"/>
        <w:rPr>
          <w:rFonts w:ascii="Tahoma" w:hAnsi="Tahoma" w:cs="Tahoma"/>
        </w:rPr>
      </w:pPr>
      <w:r>
        <w:rPr>
          <w:noProof/>
        </w:rPr>
        <w:drawing>
          <wp:anchor distT="0" distB="0" distL="114300" distR="114300" simplePos="0" relativeHeight="251659264" behindDoc="1" locked="0" layoutInCell="1" allowOverlap="1" wp14:anchorId="42F03AB9" wp14:editId="1509ACFB">
            <wp:simplePos x="0" y="0"/>
            <wp:positionH relativeFrom="column">
              <wp:posOffset>2459355</wp:posOffset>
            </wp:positionH>
            <wp:positionV relativeFrom="paragraph">
              <wp:posOffset>10160</wp:posOffset>
            </wp:positionV>
            <wp:extent cx="1323975" cy="1333500"/>
            <wp:effectExtent l="0" t="0" r="9525" b="0"/>
            <wp:wrapNone/>
            <wp:docPr id="2" name="Picture 2" descr="K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5E9C" w14:textId="77777777" w:rsidR="005A77DB" w:rsidRPr="005A77DB" w:rsidRDefault="005A77DB" w:rsidP="005A77DB">
      <w:pPr>
        <w:widowControl w:val="0"/>
        <w:autoSpaceDE w:val="0"/>
        <w:autoSpaceDN w:val="0"/>
        <w:adjustRightInd w:val="0"/>
        <w:rPr>
          <w:rFonts w:ascii="Tahoma" w:hAnsi="Tahoma" w:cs="Tahoma"/>
        </w:rPr>
      </w:pPr>
    </w:p>
    <w:p w14:paraId="14FB6B4E" w14:textId="77777777" w:rsidR="005A77DB" w:rsidRPr="005A77DB" w:rsidRDefault="005A77DB" w:rsidP="005A77DB">
      <w:pPr>
        <w:widowControl w:val="0"/>
        <w:autoSpaceDE w:val="0"/>
        <w:autoSpaceDN w:val="0"/>
        <w:adjustRightInd w:val="0"/>
        <w:rPr>
          <w:rFonts w:ascii="Tahoma" w:hAnsi="Tahoma" w:cs="Tahoma"/>
        </w:rPr>
      </w:pPr>
    </w:p>
    <w:p w14:paraId="0C504C1B" w14:textId="77777777" w:rsidR="005A77DB" w:rsidRPr="005A77DB" w:rsidRDefault="005A77DB" w:rsidP="005A77DB">
      <w:pPr>
        <w:widowControl w:val="0"/>
        <w:autoSpaceDE w:val="0"/>
        <w:autoSpaceDN w:val="0"/>
        <w:adjustRightInd w:val="0"/>
        <w:rPr>
          <w:rFonts w:ascii="Tahoma" w:hAnsi="Tahoma" w:cs="Tahoma"/>
        </w:rPr>
      </w:pPr>
    </w:p>
    <w:p w14:paraId="7F846732" w14:textId="77777777" w:rsidR="005A77DB" w:rsidRPr="005A77DB" w:rsidRDefault="005A77DB" w:rsidP="005A77DB">
      <w:pPr>
        <w:widowControl w:val="0"/>
        <w:autoSpaceDE w:val="0"/>
        <w:autoSpaceDN w:val="0"/>
        <w:adjustRightInd w:val="0"/>
        <w:rPr>
          <w:rFonts w:ascii="Tahoma" w:hAnsi="Tahoma" w:cs="Tahoma"/>
        </w:rPr>
      </w:pPr>
    </w:p>
    <w:p w14:paraId="1577DCA2" w14:textId="77777777" w:rsidR="005A77DB" w:rsidRPr="005A77DB" w:rsidRDefault="005A77DB" w:rsidP="005A77DB">
      <w:pPr>
        <w:widowControl w:val="0"/>
        <w:autoSpaceDE w:val="0"/>
        <w:autoSpaceDN w:val="0"/>
        <w:adjustRightInd w:val="0"/>
        <w:jc w:val="center"/>
        <w:rPr>
          <w:rFonts w:ascii="Tahoma" w:hAnsi="Tahoma" w:cs="Tahoma"/>
        </w:rPr>
      </w:pPr>
    </w:p>
    <w:p w14:paraId="3257E2E2" w14:textId="77777777" w:rsidR="005A77DB" w:rsidRPr="005A77DB" w:rsidRDefault="005A77DB" w:rsidP="005A77DB">
      <w:pPr>
        <w:widowControl w:val="0"/>
        <w:autoSpaceDE w:val="0"/>
        <w:autoSpaceDN w:val="0"/>
        <w:adjustRightInd w:val="0"/>
        <w:jc w:val="center"/>
        <w:rPr>
          <w:sz w:val="56"/>
          <w:szCs w:val="56"/>
        </w:rPr>
      </w:pPr>
    </w:p>
    <w:p w14:paraId="70A7BC22" w14:textId="77777777" w:rsidR="005A77DB" w:rsidRDefault="005A77DB" w:rsidP="005A77DB">
      <w:pPr>
        <w:widowControl w:val="0"/>
        <w:autoSpaceDE w:val="0"/>
        <w:autoSpaceDN w:val="0"/>
        <w:adjustRightInd w:val="0"/>
        <w:jc w:val="center"/>
        <w:rPr>
          <w:sz w:val="56"/>
          <w:szCs w:val="56"/>
        </w:rPr>
      </w:pPr>
    </w:p>
    <w:p w14:paraId="38FD0FCF" w14:textId="77777777" w:rsidR="00BE0494" w:rsidRPr="005A77DB" w:rsidRDefault="00BE0494" w:rsidP="005A77DB">
      <w:pPr>
        <w:widowControl w:val="0"/>
        <w:autoSpaceDE w:val="0"/>
        <w:autoSpaceDN w:val="0"/>
        <w:adjustRightInd w:val="0"/>
        <w:jc w:val="center"/>
        <w:rPr>
          <w:sz w:val="56"/>
          <w:szCs w:val="56"/>
        </w:rPr>
      </w:pPr>
    </w:p>
    <w:p w14:paraId="6DE961DB" w14:textId="0B00825D" w:rsidR="005A77DB" w:rsidRPr="005A77DB" w:rsidRDefault="005A77DB" w:rsidP="005A77DB">
      <w:pPr>
        <w:widowControl w:val="0"/>
        <w:autoSpaceDE w:val="0"/>
        <w:autoSpaceDN w:val="0"/>
        <w:adjustRightInd w:val="0"/>
        <w:jc w:val="center"/>
        <w:rPr>
          <w:sz w:val="56"/>
          <w:szCs w:val="56"/>
        </w:rPr>
      </w:pPr>
      <w:r w:rsidRPr="005A77DB">
        <w:rPr>
          <w:sz w:val="56"/>
          <w:szCs w:val="56"/>
        </w:rPr>
        <w:t xml:space="preserve">Kentucky </w:t>
      </w:r>
      <w:r w:rsidR="0065631A">
        <w:rPr>
          <w:sz w:val="56"/>
          <w:szCs w:val="56"/>
        </w:rPr>
        <w:t xml:space="preserve">Education and </w:t>
      </w:r>
      <w:r w:rsidRPr="005A77DB">
        <w:rPr>
          <w:sz w:val="56"/>
          <w:szCs w:val="56"/>
        </w:rPr>
        <w:t>Labor Cabinet</w:t>
      </w:r>
    </w:p>
    <w:p w14:paraId="2D5BF1FD" w14:textId="77777777" w:rsidR="005A77DB" w:rsidRPr="005A77DB" w:rsidRDefault="005A77DB" w:rsidP="005A77DB">
      <w:pPr>
        <w:widowControl w:val="0"/>
        <w:autoSpaceDE w:val="0"/>
        <w:autoSpaceDN w:val="0"/>
        <w:adjustRightInd w:val="0"/>
        <w:jc w:val="center"/>
        <w:rPr>
          <w:sz w:val="48"/>
          <w:szCs w:val="48"/>
        </w:rPr>
      </w:pPr>
      <w:r w:rsidRPr="005A77DB">
        <w:rPr>
          <w:sz w:val="48"/>
          <w:szCs w:val="48"/>
        </w:rPr>
        <w:t>Occupational Safety and Health Program</w:t>
      </w:r>
    </w:p>
    <w:p w14:paraId="52E324D6" w14:textId="77777777" w:rsidR="005A77DB" w:rsidRPr="005A77DB" w:rsidRDefault="005A77DB" w:rsidP="005A77DB">
      <w:pPr>
        <w:keepNext/>
        <w:jc w:val="center"/>
        <w:outlineLvl w:val="1"/>
        <w:rPr>
          <w:b/>
          <w:sz w:val="28"/>
          <w:szCs w:val="28"/>
          <w:lang w:val="x-none" w:eastAsia="x-none"/>
        </w:rPr>
      </w:pPr>
    </w:p>
    <w:p w14:paraId="6F08F96F" w14:textId="77777777" w:rsidR="005A77DB" w:rsidRPr="005A77DB" w:rsidRDefault="005A77DB" w:rsidP="005A77DB">
      <w:pPr>
        <w:keepNext/>
        <w:jc w:val="center"/>
        <w:outlineLvl w:val="1"/>
        <w:rPr>
          <w:b/>
          <w:sz w:val="28"/>
          <w:szCs w:val="28"/>
          <w:lang w:val="x-none" w:eastAsia="x-none"/>
        </w:rPr>
      </w:pPr>
    </w:p>
    <w:p w14:paraId="46561368" w14:textId="77777777" w:rsidR="005A77DB" w:rsidRPr="007E744B" w:rsidRDefault="005A77DB" w:rsidP="005A77DB">
      <w:pPr>
        <w:widowControl w:val="0"/>
        <w:autoSpaceDE w:val="0"/>
        <w:autoSpaceDN w:val="0"/>
        <w:adjustRightInd w:val="0"/>
        <w:jc w:val="center"/>
        <w:outlineLvl w:val="0"/>
        <w:rPr>
          <w:sz w:val="28"/>
          <w:szCs w:val="28"/>
        </w:rPr>
      </w:pPr>
      <w:r w:rsidRPr="007E744B">
        <w:rPr>
          <w:sz w:val="28"/>
          <w:szCs w:val="28"/>
        </w:rPr>
        <w:t xml:space="preserve">RESPONSE </w:t>
      </w:r>
    </w:p>
    <w:p w14:paraId="6F334ED3" w14:textId="77777777" w:rsidR="005A77DB" w:rsidRPr="007E744B" w:rsidRDefault="005A77DB" w:rsidP="005A77DB">
      <w:pPr>
        <w:widowControl w:val="0"/>
        <w:autoSpaceDE w:val="0"/>
        <w:autoSpaceDN w:val="0"/>
        <w:adjustRightInd w:val="0"/>
        <w:jc w:val="center"/>
        <w:outlineLvl w:val="0"/>
        <w:rPr>
          <w:sz w:val="28"/>
          <w:szCs w:val="28"/>
        </w:rPr>
      </w:pPr>
    </w:p>
    <w:p w14:paraId="1E63F0E3" w14:textId="77777777" w:rsidR="005A77DB" w:rsidRPr="007E744B" w:rsidRDefault="005A77DB" w:rsidP="005A77DB">
      <w:pPr>
        <w:widowControl w:val="0"/>
        <w:autoSpaceDE w:val="0"/>
        <w:autoSpaceDN w:val="0"/>
        <w:adjustRightInd w:val="0"/>
        <w:jc w:val="center"/>
        <w:outlineLvl w:val="0"/>
        <w:rPr>
          <w:sz w:val="28"/>
          <w:szCs w:val="28"/>
        </w:rPr>
      </w:pPr>
      <w:r w:rsidRPr="007E744B">
        <w:rPr>
          <w:sz w:val="28"/>
          <w:szCs w:val="28"/>
        </w:rPr>
        <w:t xml:space="preserve">to </w:t>
      </w:r>
    </w:p>
    <w:p w14:paraId="7B1CEE3B" w14:textId="77777777" w:rsidR="005A77DB" w:rsidRPr="007E744B" w:rsidRDefault="005A77DB" w:rsidP="005A77DB">
      <w:pPr>
        <w:widowControl w:val="0"/>
        <w:autoSpaceDE w:val="0"/>
        <w:autoSpaceDN w:val="0"/>
        <w:adjustRightInd w:val="0"/>
        <w:jc w:val="center"/>
        <w:outlineLvl w:val="0"/>
        <w:rPr>
          <w:sz w:val="28"/>
          <w:szCs w:val="28"/>
        </w:rPr>
      </w:pPr>
    </w:p>
    <w:p w14:paraId="1FEC4F5D" w14:textId="07595187" w:rsidR="005A77DB" w:rsidRPr="007E744B" w:rsidRDefault="007E744B" w:rsidP="005A77DB">
      <w:pPr>
        <w:widowControl w:val="0"/>
        <w:autoSpaceDE w:val="0"/>
        <w:autoSpaceDN w:val="0"/>
        <w:adjustRightInd w:val="0"/>
        <w:jc w:val="center"/>
        <w:outlineLvl w:val="0"/>
        <w:rPr>
          <w:sz w:val="28"/>
          <w:szCs w:val="28"/>
        </w:rPr>
      </w:pPr>
      <w:r w:rsidRPr="007E744B">
        <w:rPr>
          <w:sz w:val="28"/>
          <w:szCs w:val="28"/>
        </w:rPr>
        <w:t xml:space="preserve">FOLLOW-UP </w:t>
      </w:r>
      <w:r w:rsidR="005A77DB" w:rsidRPr="007E744B">
        <w:rPr>
          <w:sz w:val="28"/>
          <w:szCs w:val="28"/>
        </w:rPr>
        <w:t>FEDERAL ANNUAL MONITORING EVALUATION</w:t>
      </w:r>
      <w:r w:rsidR="009C5AB3" w:rsidRPr="007E744B">
        <w:rPr>
          <w:sz w:val="28"/>
          <w:szCs w:val="28"/>
        </w:rPr>
        <w:t xml:space="preserve"> REPORT</w:t>
      </w:r>
    </w:p>
    <w:p w14:paraId="47AD5510" w14:textId="77777777" w:rsidR="005A77DB" w:rsidRPr="007E744B" w:rsidRDefault="005A77DB" w:rsidP="005A77DB">
      <w:pPr>
        <w:widowControl w:val="0"/>
        <w:autoSpaceDE w:val="0"/>
        <w:autoSpaceDN w:val="0"/>
        <w:adjustRightInd w:val="0"/>
        <w:jc w:val="center"/>
        <w:rPr>
          <w:sz w:val="28"/>
          <w:szCs w:val="28"/>
        </w:rPr>
      </w:pPr>
    </w:p>
    <w:p w14:paraId="5FA51C14" w14:textId="77777777" w:rsidR="005A77DB" w:rsidRPr="007E744B" w:rsidRDefault="00B60CBA" w:rsidP="005A77DB">
      <w:pPr>
        <w:widowControl w:val="0"/>
        <w:autoSpaceDE w:val="0"/>
        <w:autoSpaceDN w:val="0"/>
        <w:adjustRightInd w:val="0"/>
        <w:jc w:val="center"/>
        <w:rPr>
          <w:sz w:val="28"/>
          <w:szCs w:val="28"/>
        </w:rPr>
      </w:pPr>
      <w:r w:rsidRPr="007E744B">
        <w:rPr>
          <w:sz w:val="28"/>
          <w:szCs w:val="28"/>
        </w:rPr>
        <w:t>f</w:t>
      </w:r>
      <w:r w:rsidR="005A77DB" w:rsidRPr="007E744B">
        <w:rPr>
          <w:sz w:val="28"/>
          <w:szCs w:val="28"/>
        </w:rPr>
        <w:t>or</w:t>
      </w:r>
    </w:p>
    <w:p w14:paraId="5C33203A" w14:textId="77777777" w:rsidR="00B60CBA" w:rsidRPr="007E744B" w:rsidRDefault="00B60CBA" w:rsidP="005A77DB">
      <w:pPr>
        <w:widowControl w:val="0"/>
        <w:autoSpaceDE w:val="0"/>
        <w:autoSpaceDN w:val="0"/>
        <w:adjustRightInd w:val="0"/>
        <w:jc w:val="center"/>
        <w:rPr>
          <w:sz w:val="28"/>
          <w:szCs w:val="28"/>
        </w:rPr>
      </w:pPr>
    </w:p>
    <w:p w14:paraId="30683FAA" w14:textId="7ED67689" w:rsidR="005A77DB" w:rsidRPr="00FA2D35" w:rsidRDefault="003F47EE" w:rsidP="00B60CBA">
      <w:pPr>
        <w:widowControl w:val="0"/>
        <w:autoSpaceDE w:val="0"/>
        <w:autoSpaceDN w:val="0"/>
        <w:adjustRightInd w:val="0"/>
        <w:jc w:val="center"/>
        <w:rPr>
          <w:sz w:val="32"/>
          <w:szCs w:val="32"/>
        </w:rPr>
      </w:pPr>
      <w:r w:rsidRPr="007E744B">
        <w:rPr>
          <w:sz w:val="28"/>
          <w:szCs w:val="28"/>
        </w:rPr>
        <w:t>FEDERAL FISCAL YEAR 202</w:t>
      </w:r>
      <w:r w:rsidR="007E744B" w:rsidRPr="007E744B">
        <w:rPr>
          <w:sz w:val="28"/>
          <w:szCs w:val="28"/>
        </w:rPr>
        <w:t>4</w:t>
      </w:r>
    </w:p>
    <w:p w14:paraId="2A5F3A7F" w14:textId="77777777" w:rsidR="005A77DB" w:rsidRPr="005A77DB" w:rsidRDefault="005A77DB" w:rsidP="005A77DB">
      <w:pPr>
        <w:widowControl w:val="0"/>
        <w:autoSpaceDE w:val="0"/>
        <w:autoSpaceDN w:val="0"/>
        <w:adjustRightInd w:val="0"/>
        <w:jc w:val="center"/>
        <w:rPr>
          <w:sz w:val="36"/>
          <w:szCs w:val="36"/>
        </w:rPr>
      </w:pPr>
    </w:p>
    <w:p w14:paraId="2253D688" w14:textId="6306B3BB" w:rsidR="005A77DB" w:rsidRDefault="005A77DB" w:rsidP="002E1078">
      <w:pPr>
        <w:widowControl w:val="0"/>
        <w:autoSpaceDE w:val="0"/>
        <w:autoSpaceDN w:val="0"/>
        <w:adjustRightInd w:val="0"/>
        <w:jc w:val="center"/>
        <w:rPr>
          <w:sz w:val="28"/>
          <w:szCs w:val="28"/>
        </w:rPr>
      </w:pPr>
    </w:p>
    <w:p w14:paraId="0C2CA48E" w14:textId="77777777" w:rsidR="00622AAC" w:rsidRPr="005A77DB" w:rsidRDefault="00622AAC" w:rsidP="002E1078">
      <w:pPr>
        <w:widowControl w:val="0"/>
        <w:autoSpaceDE w:val="0"/>
        <w:autoSpaceDN w:val="0"/>
        <w:adjustRightInd w:val="0"/>
        <w:jc w:val="center"/>
        <w:rPr>
          <w:sz w:val="28"/>
          <w:szCs w:val="28"/>
        </w:rPr>
      </w:pPr>
    </w:p>
    <w:p w14:paraId="0559E252" w14:textId="1329FE61" w:rsidR="005A77DB" w:rsidRDefault="002E1078" w:rsidP="005A77DB">
      <w:pPr>
        <w:spacing w:after="200" w:line="276" w:lineRule="auto"/>
        <w:rPr>
          <w:b/>
        </w:rPr>
      </w:pPr>
      <w:r>
        <w:rPr>
          <w:noProof/>
        </w:rPr>
        <w:drawing>
          <wp:anchor distT="0" distB="0" distL="114300" distR="114300" simplePos="0" relativeHeight="251660288" behindDoc="0" locked="0" layoutInCell="1" allowOverlap="1" wp14:anchorId="0C0A658D" wp14:editId="74A42ABE">
            <wp:simplePos x="0" y="0"/>
            <wp:positionH relativeFrom="column">
              <wp:posOffset>1771650</wp:posOffset>
            </wp:positionH>
            <wp:positionV relativeFrom="paragraph">
              <wp:posOffset>315595</wp:posOffset>
            </wp:positionV>
            <wp:extent cx="2298700" cy="12001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7DB" w:rsidRPr="005A77DB">
        <w:rPr>
          <w:b/>
        </w:rPr>
        <w:br w:type="page"/>
      </w:r>
    </w:p>
    <w:p w14:paraId="644C1F21" w14:textId="73699B9A" w:rsidR="00D10AA0" w:rsidRPr="00D10AA0" w:rsidRDefault="00D10AA0" w:rsidP="00E960C2">
      <w:pPr>
        <w:pStyle w:val="NoSpacing"/>
        <w:rPr>
          <w:b/>
        </w:rPr>
      </w:pPr>
      <w:r w:rsidRPr="00D10AA0">
        <w:rPr>
          <w:b/>
        </w:rPr>
        <w:lastRenderedPageBreak/>
        <w:t xml:space="preserve">I. </w:t>
      </w:r>
      <w:r w:rsidR="00180B85">
        <w:rPr>
          <w:b/>
        </w:rPr>
        <w:t>COMMENT</w:t>
      </w:r>
      <w:r w:rsidRPr="00D10AA0">
        <w:rPr>
          <w:b/>
        </w:rPr>
        <w:t xml:space="preserve"> REGARDING </w:t>
      </w:r>
      <w:r w:rsidR="00F077A9">
        <w:rPr>
          <w:b/>
        </w:rPr>
        <w:t xml:space="preserve">FOLLOW-UP </w:t>
      </w:r>
      <w:r w:rsidRPr="00D10AA0">
        <w:rPr>
          <w:b/>
        </w:rPr>
        <w:t>FAME REPORT</w:t>
      </w:r>
    </w:p>
    <w:p w14:paraId="57532FCB" w14:textId="77777777" w:rsidR="00D10AA0" w:rsidRDefault="00D10AA0" w:rsidP="0013647B">
      <w:pPr>
        <w:pStyle w:val="NoSpacing"/>
      </w:pPr>
    </w:p>
    <w:p w14:paraId="3D86FF88" w14:textId="302070EF" w:rsidR="007E744B" w:rsidRDefault="00F077A9" w:rsidP="0013544E">
      <w:pPr>
        <w:rPr>
          <w:bCs/>
        </w:rPr>
      </w:pPr>
      <w:r>
        <w:rPr>
          <w:bCs/>
        </w:rPr>
        <w:t xml:space="preserve">The </w:t>
      </w:r>
      <w:r w:rsidR="0013544E" w:rsidRPr="00600149">
        <w:rPr>
          <w:bCs/>
        </w:rPr>
        <w:t>O</w:t>
      </w:r>
      <w:r w:rsidR="004127AC">
        <w:rPr>
          <w:bCs/>
        </w:rPr>
        <w:t xml:space="preserve">ccupational </w:t>
      </w:r>
      <w:r w:rsidR="0013544E" w:rsidRPr="00600149">
        <w:rPr>
          <w:bCs/>
        </w:rPr>
        <w:t>S</w:t>
      </w:r>
      <w:r w:rsidR="004127AC">
        <w:rPr>
          <w:bCs/>
        </w:rPr>
        <w:t xml:space="preserve">afety and </w:t>
      </w:r>
      <w:r w:rsidR="0013544E" w:rsidRPr="00600149">
        <w:rPr>
          <w:bCs/>
        </w:rPr>
        <w:t>H</w:t>
      </w:r>
      <w:r w:rsidR="004127AC">
        <w:rPr>
          <w:bCs/>
        </w:rPr>
        <w:t xml:space="preserve">ealth </w:t>
      </w:r>
      <w:r w:rsidR="0013544E" w:rsidRPr="00600149">
        <w:rPr>
          <w:bCs/>
        </w:rPr>
        <w:t>A</w:t>
      </w:r>
      <w:r w:rsidR="004127AC">
        <w:rPr>
          <w:bCs/>
        </w:rPr>
        <w:t>dministration (“OSHA”)</w:t>
      </w:r>
      <w:r w:rsidR="0013544E" w:rsidRPr="00600149">
        <w:rPr>
          <w:bCs/>
        </w:rPr>
        <w:t xml:space="preserve"> </w:t>
      </w:r>
      <w:r w:rsidR="007E744B">
        <w:rPr>
          <w:bCs/>
        </w:rPr>
        <w:t>has a two (2) year cycle for the F</w:t>
      </w:r>
      <w:r w:rsidR="00C87675">
        <w:rPr>
          <w:bCs/>
        </w:rPr>
        <w:t xml:space="preserve">ederal </w:t>
      </w:r>
      <w:r w:rsidR="007E744B">
        <w:rPr>
          <w:bCs/>
        </w:rPr>
        <w:t>A</w:t>
      </w:r>
      <w:r w:rsidR="00C87675">
        <w:rPr>
          <w:bCs/>
        </w:rPr>
        <w:t xml:space="preserve">nnual </w:t>
      </w:r>
      <w:r w:rsidR="007E744B">
        <w:rPr>
          <w:bCs/>
        </w:rPr>
        <w:t>M</w:t>
      </w:r>
      <w:r w:rsidR="00C87675">
        <w:rPr>
          <w:bCs/>
        </w:rPr>
        <w:t xml:space="preserve">onitoring </w:t>
      </w:r>
      <w:r w:rsidR="007E744B">
        <w:rPr>
          <w:bCs/>
        </w:rPr>
        <w:t>E</w:t>
      </w:r>
      <w:r w:rsidR="00C87675">
        <w:rPr>
          <w:bCs/>
        </w:rPr>
        <w:t>valuation (FAME)</w:t>
      </w:r>
      <w:r w:rsidR="007E744B">
        <w:rPr>
          <w:bCs/>
        </w:rPr>
        <w:t xml:space="preserve"> process.  FFY 2024 was a follow-up year</w:t>
      </w:r>
      <w:r>
        <w:rPr>
          <w:bCs/>
        </w:rPr>
        <w:t>;</w:t>
      </w:r>
      <w:r w:rsidR="007E744B">
        <w:rPr>
          <w:bCs/>
        </w:rPr>
        <w:t xml:space="preserve"> therefore</w:t>
      </w:r>
      <w:r>
        <w:rPr>
          <w:bCs/>
        </w:rPr>
        <w:t>,</w:t>
      </w:r>
      <w:r w:rsidR="007E744B">
        <w:rPr>
          <w:bCs/>
        </w:rPr>
        <w:t xml:space="preserve"> OSHA did not </w:t>
      </w:r>
      <w:r w:rsidR="00DF2AA1">
        <w:rPr>
          <w:bCs/>
        </w:rPr>
        <w:t xml:space="preserve">review </w:t>
      </w:r>
      <w:r w:rsidR="0065170F">
        <w:rPr>
          <w:bCs/>
        </w:rPr>
        <w:t xml:space="preserve">any </w:t>
      </w:r>
      <w:r w:rsidR="00DF2AA1">
        <w:rPr>
          <w:bCs/>
        </w:rPr>
        <w:t xml:space="preserve">Kentucky </w:t>
      </w:r>
      <w:r w:rsidR="007E744B">
        <w:rPr>
          <w:bCs/>
        </w:rPr>
        <w:t>casefile</w:t>
      </w:r>
      <w:r w:rsidR="00DF2AA1">
        <w:rPr>
          <w:bCs/>
        </w:rPr>
        <w:t>s</w:t>
      </w:r>
      <w:r w:rsidR="007E744B">
        <w:rPr>
          <w:bCs/>
        </w:rPr>
        <w:t>.</w:t>
      </w:r>
    </w:p>
    <w:p w14:paraId="1F2628D2" w14:textId="77777777" w:rsidR="007E744B" w:rsidRDefault="007E744B" w:rsidP="0013544E">
      <w:pPr>
        <w:rPr>
          <w:bCs/>
        </w:rPr>
      </w:pPr>
    </w:p>
    <w:p w14:paraId="1D122824" w14:textId="31054005" w:rsidR="007E744B" w:rsidRDefault="0013544E" w:rsidP="0013544E">
      <w:pPr>
        <w:pStyle w:val="NoSpacing"/>
      </w:pPr>
      <w:r w:rsidRPr="00E8773C">
        <w:t xml:space="preserve">OSHA’s </w:t>
      </w:r>
      <w:r>
        <w:t>FFY</w:t>
      </w:r>
      <w:r w:rsidRPr="00E8773C">
        <w:t xml:space="preserve"> 20</w:t>
      </w:r>
      <w:r>
        <w:t>2</w:t>
      </w:r>
      <w:r w:rsidR="007E744B">
        <w:t>4</w:t>
      </w:r>
      <w:r w:rsidRPr="00E8773C">
        <w:t xml:space="preserve"> </w:t>
      </w:r>
      <w:r w:rsidR="007E744B">
        <w:t xml:space="preserve">Follow-up </w:t>
      </w:r>
      <w:r w:rsidRPr="00E8773C">
        <w:t xml:space="preserve">FAME </w:t>
      </w:r>
      <w:r>
        <w:t>Report acknowledge</w:t>
      </w:r>
      <w:r w:rsidR="00DF2AA1">
        <w:t>s</w:t>
      </w:r>
      <w:r>
        <w:t xml:space="preserve"> Kentucky </w:t>
      </w:r>
      <w:r w:rsidR="007E744B">
        <w:t xml:space="preserve">had many successful initiatives in FFY 2024 to lower work-related injuries and illnesses in the Commonwealth.  OSHA </w:t>
      </w:r>
      <w:r w:rsidR="0065170F">
        <w:t>recognized</w:t>
      </w:r>
      <w:r w:rsidR="007E744B">
        <w:t xml:space="preserve"> Kentucky continually worked to make progress on findings and observation from the FFY </w:t>
      </w:r>
      <w:r w:rsidR="006D01EE">
        <w:t>2023 comprehensive FAME</w:t>
      </w:r>
      <w:r w:rsidR="0065170F">
        <w:t xml:space="preserve"> Report</w:t>
      </w:r>
      <w:r w:rsidR="006D01EE">
        <w:t>.  The FFY 2024 Follow-up FAME Report contains</w:t>
      </w:r>
      <w:r w:rsidR="0065170F">
        <w:t xml:space="preserve"> three (3) findings (</w:t>
      </w:r>
      <w:r w:rsidR="00F077A9">
        <w:t>t</w:t>
      </w:r>
      <w:r w:rsidR="006D01EE">
        <w:t>wo (2) continued</w:t>
      </w:r>
      <w:r w:rsidR="00F077A9">
        <w:t xml:space="preserve"> and one (1) new</w:t>
      </w:r>
      <w:r w:rsidR="0065170F">
        <w:t>)</w:t>
      </w:r>
      <w:r w:rsidR="00F077A9">
        <w:t xml:space="preserve"> and no observations.  OSHA states no findings were completed</w:t>
      </w:r>
      <w:r w:rsidR="0065170F">
        <w:t xml:space="preserve">; however, Kentucky notes that in fact, one (1) finding was in fact partly completed and is discussed below.  OSHA also states </w:t>
      </w:r>
      <w:r w:rsidR="00F077A9">
        <w:t xml:space="preserve">one (1) observation was closed, one (1) observation was converted to a finding, and no new issues were identified.  </w:t>
      </w:r>
    </w:p>
    <w:p w14:paraId="36EB0CC5" w14:textId="77777777" w:rsidR="007E744B" w:rsidRDefault="007E744B" w:rsidP="0013544E">
      <w:pPr>
        <w:pStyle w:val="NoSpacing"/>
      </w:pPr>
    </w:p>
    <w:p w14:paraId="4247FEF5" w14:textId="1241D7A5" w:rsidR="00F64F9F" w:rsidRDefault="00D10AA0" w:rsidP="0013647B">
      <w:pPr>
        <w:pStyle w:val="NoSpacing"/>
      </w:pPr>
      <w:r w:rsidRPr="009410CC">
        <w:rPr>
          <w:b/>
        </w:rPr>
        <w:t>II.</w:t>
      </w:r>
      <w:r w:rsidRPr="00BA40B3">
        <w:rPr>
          <w:b/>
        </w:rPr>
        <w:t xml:space="preserve"> </w:t>
      </w:r>
      <w:r>
        <w:rPr>
          <w:b/>
        </w:rPr>
        <w:t>OSHA</w:t>
      </w:r>
      <w:r w:rsidRPr="0049523F">
        <w:rPr>
          <w:b/>
        </w:rPr>
        <w:t xml:space="preserve"> </w:t>
      </w:r>
      <w:r>
        <w:rPr>
          <w:b/>
        </w:rPr>
        <w:t>FINDIN</w:t>
      </w:r>
      <w:r w:rsidRPr="004265FA">
        <w:rPr>
          <w:b/>
        </w:rPr>
        <w:t xml:space="preserve">GS, </w:t>
      </w:r>
      <w:r w:rsidR="004B37CB">
        <w:rPr>
          <w:b/>
        </w:rPr>
        <w:t xml:space="preserve">OBSERVATIONS, </w:t>
      </w:r>
      <w:r w:rsidRPr="004265FA">
        <w:rPr>
          <w:b/>
        </w:rPr>
        <w:t>an</w:t>
      </w:r>
      <w:r w:rsidRPr="0049523F">
        <w:rPr>
          <w:b/>
        </w:rPr>
        <w:t xml:space="preserve">d </w:t>
      </w:r>
      <w:r>
        <w:rPr>
          <w:b/>
        </w:rPr>
        <w:t>KENTUCKY RESPONSES</w:t>
      </w:r>
    </w:p>
    <w:p w14:paraId="5F0CE022" w14:textId="77777777" w:rsidR="00F64F9F" w:rsidRDefault="00F64F9F" w:rsidP="0013647B">
      <w:pPr>
        <w:pStyle w:val="NoSpacing"/>
      </w:pPr>
    </w:p>
    <w:p w14:paraId="0BFF5E1C" w14:textId="08EFE4B3" w:rsidR="0013647B" w:rsidRDefault="00D10AA0" w:rsidP="001A049F">
      <w:pPr>
        <w:rPr>
          <w:rFonts w:cstheme="minorBidi"/>
          <w:b/>
        </w:rPr>
      </w:pPr>
      <w:r w:rsidRPr="00543679">
        <w:rPr>
          <w:rFonts w:cstheme="minorBidi"/>
          <w:b/>
        </w:rPr>
        <w:t xml:space="preserve">OSHA </w:t>
      </w:r>
      <w:r w:rsidR="0013647B" w:rsidRPr="00543679">
        <w:rPr>
          <w:rFonts w:cstheme="minorBidi"/>
          <w:b/>
        </w:rPr>
        <w:t>Finding FY 20</w:t>
      </w:r>
      <w:r w:rsidR="005C7E46">
        <w:rPr>
          <w:rFonts w:cstheme="minorBidi"/>
          <w:b/>
        </w:rPr>
        <w:t>2</w:t>
      </w:r>
      <w:r w:rsidR="00F077A9">
        <w:rPr>
          <w:rFonts w:cstheme="minorBidi"/>
          <w:b/>
        </w:rPr>
        <w:t>4</w:t>
      </w:r>
      <w:r w:rsidR="0013647B" w:rsidRPr="00543679">
        <w:rPr>
          <w:rFonts w:cstheme="minorBidi"/>
          <w:b/>
        </w:rPr>
        <w:t>-</w:t>
      </w:r>
      <w:r w:rsidR="00E4036E">
        <w:rPr>
          <w:rFonts w:cstheme="minorBidi"/>
          <w:b/>
        </w:rPr>
        <w:t>0</w:t>
      </w:r>
      <w:r w:rsidR="001A049F" w:rsidRPr="00543679">
        <w:rPr>
          <w:rFonts w:cstheme="minorBidi"/>
          <w:b/>
        </w:rPr>
        <w:t>1</w:t>
      </w:r>
      <w:r w:rsidR="0013647B" w:rsidRPr="00C56D59">
        <w:rPr>
          <w:rFonts w:cstheme="minorBidi"/>
          <w:b/>
        </w:rPr>
        <w:t xml:space="preserve"> </w:t>
      </w:r>
    </w:p>
    <w:p w14:paraId="667927B1" w14:textId="77777777" w:rsidR="005126E4" w:rsidRPr="005126E4" w:rsidRDefault="00E4036E" w:rsidP="005126E4">
      <w:pPr>
        <w:pStyle w:val="BodyText"/>
        <w:ind w:right="581"/>
        <w:rPr>
          <w:iCs/>
        </w:rPr>
      </w:pPr>
      <w:r>
        <w:t>“</w:t>
      </w:r>
      <w:r w:rsidRPr="00E4036E">
        <w:t>In FY 202</w:t>
      </w:r>
      <w:r w:rsidR="00F077A9">
        <w:t>4</w:t>
      </w:r>
      <w:r w:rsidRPr="00E4036E">
        <w:t xml:space="preserve">, </w:t>
      </w:r>
      <w:r w:rsidR="005126E4" w:rsidRPr="005126E4">
        <w:rPr>
          <w:iCs/>
        </w:rPr>
        <w:t xml:space="preserve">the average lapse time for safety inspections (SAMM 11a) was 76.56 days, which was above the FRL of 67.23 days.  </w:t>
      </w:r>
    </w:p>
    <w:p w14:paraId="50F4A3DE" w14:textId="77777777" w:rsidR="005126E4" w:rsidRPr="005126E4" w:rsidRDefault="005126E4" w:rsidP="005126E4">
      <w:pPr>
        <w:pStyle w:val="BodyText"/>
        <w:ind w:right="581"/>
        <w:rPr>
          <w:iCs/>
        </w:rPr>
      </w:pPr>
    </w:p>
    <w:p w14:paraId="5D7D443E" w14:textId="4B612B1B" w:rsidR="005126E4" w:rsidRDefault="005126E4" w:rsidP="005126E4">
      <w:pPr>
        <w:pStyle w:val="BodyText"/>
        <w:ind w:right="581"/>
        <w:rPr>
          <w:iCs/>
        </w:rPr>
      </w:pPr>
      <w:r>
        <w:rPr>
          <w:b/>
          <w:bCs/>
          <w:iCs/>
        </w:rPr>
        <w:t xml:space="preserve">OSHA </w:t>
      </w:r>
      <w:r w:rsidRPr="005126E4">
        <w:rPr>
          <w:b/>
          <w:bCs/>
          <w:iCs/>
        </w:rPr>
        <w:t>Recommendation</w:t>
      </w:r>
    </w:p>
    <w:p w14:paraId="543F4B12" w14:textId="20314249" w:rsidR="005126E4" w:rsidRDefault="005126E4" w:rsidP="005126E4">
      <w:pPr>
        <w:pStyle w:val="BodyText"/>
        <w:ind w:right="581"/>
        <w:rPr>
          <w:iCs/>
        </w:rPr>
      </w:pPr>
      <w:r>
        <w:rPr>
          <w:iCs/>
        </w:rPr>
        <w:t>“</w:t>
      </w:r>
      <w:r w:rsidRPr="005126E4">
        <w:rPr>
          <w:iCs/>
        </w:rPr>
        <w:t>KY OSH has researched the outliers and implemented an action plan to reduce the average lapse time for safety inspections.  It will take time for this measure to decrease under the new action plan.  OSHA will evaluate how the action plan is working during quarterly meetings with KY OSH and discuss new recommendations as appropriate.</w:t>
      </w:r>
      <w:r>
        <w:rPr>
          <w:iCs/>
        </w:rPr>
        <w:t>”</w:t>
      </w:r>
    </w:p>
    <w:p w14:paraId="5A532F6D" w14:textId="77777777" w:rsidR="005126E4" w:rsidRDefault="005126E4" w:rsidP="005126E4">
      <w:pPr>
        <w:pStyle w:val="BodyText"/>
        <w:ind w:right="581"/>
        <w:rPr>
          <w:iCs/>
        </w:rPr>
      </w:pPr>
    </w:p>
    <w:p w14:paraId="2ECE9EB5" w14:textId="3E033BDF" w:rsidR="005126E4" w:rsidRDefault="005126E4" w:rsidP="005126E4">
      <w:pPr>
        <w:pStyle w:val="BodyText"/>
        <w:ind w:right="581"/>
        <w:rPr>
          <w:b/>
          <w:bCs/>
          <w:iCs/>
        </w:rPr>
      </w:pPr>
      <w:r w:rsidRPr="005126E4">
        <w:rPr>
          <w:b/>
          <w:bCs/>
          <w:iCs/>
        </w:rPr>
        <w:t>State Response</w:t>
      </w:r>
    </w:p>
    <w:p w14:paraId="0E48CEA8" w14:textId="5E6D880C" w:rsidR="006771CB" w:rsidRPr="006771CB" w:rsidRDefault="006771CB" w:rsidP="005126E4">
      <w:pPr>
        <w:pStyle w:val="BodyText"/>
        <w:ind w:right="581"/>
        <w:rPr>
          <w:iCs/>
        </w:rPr>
      </w:pPr>
      <w:r w:rsidRPr="006771CB">
        <w:rPr>
          <w:iCs/>
        </w:rPr>
        <w:t xml:space="preserve">OSHA acknowledges on </w:t>
      </w:r>
      <w:r>
        <w:rPr>
          <w:iCs/>
        </w:rPr>
        <w:t>page six (6) of the Follow-up FAME Report that Kentucky reduced the lapse time for health inspection to within the further review level, “thus health la</w:t>
      </w:r>
      <w:r w:rsidR="00DF2AA1">
        <w:rPr>
          <w:iCs/>
        </w:rPr>
        <w:t>p</w:t>
      </w:r>
      <w:r>
        <w:rPr>
          <w:iCs/>
        </w:rPr>
        <w:t xml:space="preserve">se time was removed from this finding.”  OSHA’s assertion that no findings were completed for FFY 2024 is not </w:t>
      </w:r>
      <w:r w:rsidR="003479CF">
        <w:rPr>
          <w:iCs/>
        </w:rPr>
        <w:t xml:space="preserve">wholly </w:t>
      </w:r>
      <w:r>
        <w:rPr>
          <w:iCs/>
        </w:rPr>
        <w:t>accurate</w:t>
      </w:r>
      <w:r w:rsidR="00DF2AA1">
        <w:rPr>
          <w:iCs/>
        </w:rPr>
        <w:t xml:space="preserve"> in light of the removal of health inspection lapse time from OSHA’s finding</w:t>
      </w:r>
      <w:r>
        <w:rPr>
          <w:iCs/>
        </w:rPr>
        <w:t xml:space="preserve">.  </w:t>
      </w:r>
    </w:p>
    <w:p w14:paraId="70D9279D" w14:textId="77777777" w:rsidR="005126E4" w:rsidRDefault="005126E4" w:rsidP="005126E4">
      <w:pPr>
        <w:pStyle w:val="BodyText"/>
        <w:ind w:right="581"/>
        <w:rPr>
          <w:iCs/>
        </w:rPr>
      </w:pPr>
    </w:p>
    <w:p w14:paraId="498646A4" w14:textId="2EEAD6C5" w:rsidR="006771CB" w:rsidRDefault="0065170F" w:rsidP="006771CB">
      <w:pPr>
        <w:tabs>
          <w:tab w:val="left" w:pos="720"/>
          <w:tab w:val="left" w:pos="1170"/>
          <w:tab w:val="left" w:pos="1350"/>
        </w:tabs>
        <w:contextualSpacing/>
        <w:rPr>
          <w:bCs/>
        </w:rPr>
      </w:pPr>
      <w:r>
        <w:rPr>
          <w:bCs/>
        </w:rPr>
        <w:t>I</w:t>
      </w:r>
      <w:r w:rsidR="006771CB" w:rsidRPr="00045B57">
        <w:t>mproved lapse time is one (1) of Kentucky’s top goals</w:t>
      </w:r>
      <w:r w:rsidR="006771CB">
        <w:t xml:space="preserve"> and </w:t>
      </w:r>
      <w:r w:rsidR="00DF2AA1">
        <w:t xml:space="preserve">as noted above, </w:t>
      </w:r>
      <w:r w:rsidR="006771CB">
        <w:t>was achieved in the health branch</w:t>
      </w:r>
      <w:r w:rsidR="006771CB" w:rsidRPr="00045B57">
        <w:t>.</w:t>
      </w:r>
      <w:r w:rsidR="006771CB">
        <w:t xml:space="preserve">  Kentucky previously </w:t>
      </w:r>
      <w:r w:rsidR="006771CB">
        <w:rPr>
          <w:bCs/>
        </w:rPr>
        <w:t xml:space="preserve">acknowledged </w:t>
      </w:r>
      <w:r w:rsidR="00DF2AA1">
        <w:rPr>
          <w:bCs/>
        </w:rPr>
        <w:t xml:space="preserve">to OSHA </w:t>
      </w:r>
      <w:r w:rsidR="006771CB">
        <w:rPr>
          <w:bCs/>
        </w:rPr>
        <w:t xml:space="preserve">that decreased enforcement staffing had a direct, negative impact on lapse time and </w:t>
      </w:r>
      <w:r w:rsidR="00384C8F">
        <w:rPr>
          <w:bCs/>
        </w:rPr>
        <w:t xml:space="preserve">the trend </w:t>
      </w:r>
      <w:r w:rsidR="006771CB">
        <w:rPr>
          <w:bCs/>
        </w:rPr>
        <w:t xml:space="preserve">would most likely continue until newly hired compliance officers were </w:t>
      </w:r>
      <w:r w:rsidR="00384C8F">
        <w:rPr>
          <w:bCs/>
        </w:rPr>
        <w:t>trained to conduct independent inspections</w:t>
      </w:r>
      <w:r w:rsidR="006771CB">
        <w:rPr>
          <w:bCs/>
        </w:rPr>
        <w:t xml:space="preserve">.    </w:t>
      </w:r>
    </w:p>
    <w:p w14:paraId="3F50DB91" w14:textId="77777777" w:rsidR="006771CB" w:rsidRDefault="006771CB" w:rsidP="006771CB">
      <w:pPr>
        <w:tabs>
          <w:tab w:val="left" w:pos="720"/>
          <w:tab w:val="left" w:pos="1170"/>
          <w:tab w:val="left" w:pos="1350"/>
        </w:tabs>
        <w:contextualSpacing/>
        <w:rPr>
          <w:bCs/>
        </w:rPr>
      </w:pPr>
    </w:p>
    <w:p w14:paraId="04EEEEFB" w14:textId="319C6042" w:rsidR="00C87675" w:rsidRDefault="006771CB" w:rsidP="006771CB">
      <w:pPr>
        <w:tabs>
          <w:tab w:val="left" w:pos="720"/>
          <w:tab w:val="left" w:pos="1170"/>
          <w:tab w:val="left" w:pos="1350"/>
        </w:tabs>
        <w:contextualSpacing/>
        <w:rPr>
          <w:bCs/>
        </w:rPr>
      </w:pPr>
      <w:r>
        <w:rPr>
          <w:bCs/>
        </w:rPr>
        <w:t xml:space="preserve">OSHA is aware that Kentucky developed and implemented a process to reduce average lapse time for safety inspections.  </w:t>
      </w:r>
      <w:r w:rsidR="003D5406">
        <w:rPr>
          <w:bCs/>
        </w:rPr>
        <w:t>Unfortunately, t</w:t>
      </w:r>
      <w:r>
        <w:rPr>
          <w:bCs/>
        </w:rPr>
        <w:t xml:space="preserve">he reduction </w:t>
      </w:r>
      <w:r w:rsidR="00DF2AA1">
        <w:rPr>
          <w:bCs/>
        </w:rPr>
        <w:t>was n</w:t>
      </w:r>
      <w:r>
        <w:rPr>
          <w:bCs/>
        </w:rPr>
        <w:t xml:space="preserve">ot </w:t>
      </w:r>
      <w:r w:rsidR="00384C8F">
        <w:rPr>
          <w:bCs/>
        </w:rPr>
        <w:t xml:space="preserve">fully </w:t>
      </w:r>
      <w:r>
        <w:rPr>
          <w:bCs/>
        </w:rPr>
        <w:t xml:space="preserve">achieved </w:t>
      </w:r>
      <w:r w:rsidR="00DF2AA1">
        <w:rPr>
          <w:bCs/>
        </w:rPr>
        <w:t xml:space="preserve">in the safety branch </w:t>
      </w:r>
      <w:r>
        <w:rPr>
          <w:bCs/>
        </w:rPr>
        <w:t xml:space="preserve">due to the </w:t>
      </w:r>
      <w:r w:rsidR="00DF2AA1">
        <w:rPr>
          <w:bCs/>
        </w:rPr>
        <w:t>tremendous</w:t>
      </w:r>
      <w:r>
        <w:rPr>
          <w:bCs/>
        </w:rPr>
        <w:t xml:space="preserve"> increase in complaints received coupled with </w:t>
      </w:r>
      <w:r w:rsidR="00DF2AA1">
        <w:rPr>
          <w:bCs/>
        </w:rPr>
        <w:t xml:space="preserve">decreased </w:t>
      </w:r>
      <w:r>
        <w:rPr>
          <w:bCs/>
        </w:rPr>
        <w:t>staffing.</w:t>
      </w:r>
      <w:r w:rsidR="00C87675">
        <w:rPr>
          <w:bCs/>
        </w:rPr>
        <w:t xml:space="preserve">  Nonetheless, Kentucky will continue emphasis to reduce lapse time.</w:t>
      </w:r>
    </w:p>
    <w:p w14:paraId="11C12CCB" w14:textId="66C5568F" w:rsidR="006771CB" w:rsidRDefault="006771CB" w:rsidP="006771CB">
      <w:pPr>
        <w:tabs>
          <w:tab w:val="left" w:pos="720"/>
          <w:tab w:val="left" w:pos="1170"/>
          <w:tab w:val="left" w:pos="1350"/>
        </w:tabs>
        <w:contextualSpacing/>
        <w:rPr>
          <w:b/>
        </w:rPr>
      </w:pPr>
    </w:p>
    <w:p w14:paraId="7D3D31FF" w14:textId="77777777" w:rsidR="005126E4" w:rsidRDefault="005126E4" w:rsidP="005126E4">
      <w:pPr>
        <w:pStyle w:val="BodyText"/>
        <w:ind w:right="581"/>
        <w:rPr>
          <w:b/>
          <w:bCs/>
          <w:iCs/>
        </w:rPr>
      </w:pPr>
      <w:r>
        <w:rPr>
          <w:b/>
          <w:bCs/>
          <w:iCs/>
        </w:rPr>
        <w:t xml:space="preserve">OSHA </w:t>
      </w:r>
      <w:r w:rsidRPr="005126E4">
        <w:rPr>
          <w:b/>
          <w:bCs/>
          <w:iCs/>
        </w:rPr>
        <w:t>Finding FY 2024-02</w:t>
      </w:r>
    </w:p>
    <w:p w14:paraId="16B37638" w14:textId="7EB15EDA" w:rsidR="005126E4" w:rsidRPr="005126E4" w:rsidRDefault="005126E4" w:rsidP="005126E4">
      <w:pPr>
        <w:pStyle w:val="BodyText"/>
        <w:ind w:right="581"/>
        <w:rPr>
          <w:iCs/>
        </w:rPr>
      </w:pPr>
      <w:r>
        <w:rPr>
          <w:b/>
          <w:bCs/>
          <w:iCs/>
        </w:rPr>
        <w:t>“</w:t>
      </w:r>
      <w:r w:rsidRPr="005126E4">
        <w:rPr>
          <w:iCs/>
        </w:rPr>
        <w:t xml:space="preserve">The Kentucky State Plan has been unable to implement OSHA’s initial FY 2016 Federal </w:t>
      </w:r>
      <w:r w:rsidRPr="005126E4">
        <w:rPr>
          <w:iCs/>
        </w:rPr>
        <w:lastRenderedPageBreak/>
        <w:t>Civil Penalties Inflation Adjustment Act Annual Adjustments, through 2024.  Legislative action is required to amend the statute.</w:t>
      </w:r>
      <w:r>
        <w:rPr>
          <w:iCs/>
        </w:rPr>
        <w:t>”</w:t>
      </w:r>
      <w:r w:rsidRPr="005126E4">
        <w:rPr>
          <w:b/>
          <w:bCs/>
          <w:iCs/>
        </w:rPr>
        <w:t xml:space="preserve"> </w:t>
      </w:r>
    </w:p>
    <w:p w14:paraId="7DCB02DB" w14:textId="77777777" w:rsidR="005126E4" w:rsidRPr="005126E4" w:rsidRDefault="005126E4" w:rsidP="005126E4">
      <w:pPr>
        <w:pStyle w:val="BodyText"/>
        <w:ind w:right="581"/>
        <w:rPr>
          <w:iCs/>
        </w:rPr>
      </w:pPr>
    </w:p>
    <w:p w14:paraId="18853BED" w14:textId="77777777" w:rsidR="005126E4" w:rsidRDefault="005126E4" w:rsidP="005126E4">
      <w:pPr>
        <w:pStyle w:val="BodyText"/>
        <w:ind w:right="581"/>
        <w:rPr>
          <w:b/>
          <w:bCs/>
          <w:iCs/>
        </w:rPr>
      </w:pPr>
      <w:r>
        <w:rPr>
          <w:b/>
          <w:bCs/>
          <w:iCs/>
        </w:rPr>
        <w:t xml:space="preserve">OSHA </w:t>
      </w:r>
      <w:r w:rsidRPr="005126E4">
        <w:rPr>
          <w:b/>
          <w:bCs/>
          <w:iCs/>
        </w:rPr>
        <w:t>Recommendation</w:t>
      </w:r>
    </w:p>
    <w:p w14:paraId="70397475" w14:textId="14AA0AD8" w:rsidR="005126E4" w:rsidRPr="005126E4" w:rsidRDefault="005126E4" w:rsidP="005126E4">
      <w:pPr>
        <w:pStyle w:val="BodyText"/>
        <w:ind w:right="581"/>
        <w:rPr>
          <w:iCs/>
        </w:rPr>
      </w:pPr>
      <w:r>
        <w:rPr>
          <w:b/>
          <w:bCs/>
          <w:iCs/>
        </w:rPr>
        <w:t>“</w:t>
      </w:r>
      <w:r w:rsidRPr="005126E4">
        <w:rPr>
          <w:iCs/>
        </w:rPr>
        <w:t xml:space="preserve">KY OSH should continue working with their </w:t>
      </w:r>
      <w:proofErr w:type="gramStart"/>
      <w:r w:rsidRPr="005126E4">
        <w:rPr>
          <w:iCs/>
        </w:rPr>
        <w:t>State</w:t>
      </w:r>
      <w:proofErr w:type="gramEnd"/>
      <w:r w:rsidRPr="005126E4">
        <w:rPr>
          <w:iCs/>
        </w:rPr>
        <w:t xml:space="preserve"> authorities to complete the legislative changes necessary to adopt the annual inflationary adjustments.</w:t>
      </w:r>
      <w:r>
        <w:rPr>
          <w:iCs/>
        </w:rPr>
        <w:t>”</w:t>
      </w:r>
      <w:r w:rsidRPr="005126E4">
        <w:rPr>
          <w:iCs/>
        </w:rPr>
        <w:t xml:space="preserve">   </w:t>
      </w:r>
    </w:p>
    <w:p w14:paraId="673591BB" w14:textId="77777777" w:rsidR="005126E4" w:rsidRDefault="005126E4" w:rsidP="005126E4">
      <w:pPr>
        <w:pStyle w:val="BodyText"/>
        <w:ind w:right="581"/>
        <w:rPr>
          <w:iCs/>
        </w:rPr>
      </w:pPr>
    </w:p>
    <w:p w14:paraId="2BB119D3" w14:textId="0AE4A5C4" w:rsidR="005126E4" w:rsidRPr="005126E4" w:rsidRDefault="005126E4" w:rsidP="005126E4">
      <w:pPr>
        <w:pStyle w:val="BodyText"/>
        <w:ind w:right="581"/>
        <w:rPr>
          <w:b/>
          <w:bCs/>
          <w:iCs/>
        </w:rPr>
      </w:pPr>
      <w:r w:rsidRPr="005126E4">
        <w:rPr>
          <w:b/>
          <w:bCs/>
          <w:iCs/>
        </w:rPr>
        <w:t>State Response</w:t>
      </w:r>
    </w:p>
    <w:p w14:paraId="11C94685" w14:textId="0D710B11" w:rsidR="005126E4" w:rsidRDefault="00654089" w:rsidP="005126E4">
      <w:pPr>
        <w:tabs>
          <w:tab w:val="left" w:pos="720"/>
          <w:tab w:val="left" w:pos="1170"/>
          <w:tab w:val="left" w:pos="1350"/>
        </w:tabs>
        <w:contextualSpacing/>
        <w:rPr>
          <w:bCs/>
        </w:rPr>
      </w:pPr>
      <w:r>
        <w:rPr>
          <w:bCs/>
        </w:rPr>
        <w:t>As OSHA states in the finding, “Legislative action is required to amend the statute.”</w:t>
      </w:r>
      <w:r w:rsidR="006169D0">
        <w:rPr>
          <w:bCs/>
        </w:rPr>
        <w:t xml:space="preserve">  </w:t>
      </w:r>
      <w:r w:rsidR="005126E4">
        <w:rPr>
          <w:bCs/>
        </w:rPr>
        <w:t xml:space="preserve">OSHA is aware that Kentucky worked with state authorities and legislation was proposed in the </w:t>
      </w:r>
      <w:r w:rsidR="00C87675">
        <w:rPr>
          <w:bCs/>
        </w:rPr>
        <w:t xml:space="preserve">2024 </w:t>
      </w:r>
      <w:r w:rsidR="005126E4">
        <w:rPr>
          <w:bCs/>
        </w:rPr>
        <w:t xml:space="preserve">General Session to increase and annually adjust Kentucky’s </w:t>
      </w:r>
      <w:r w:rsidR="002A38FA">
        <w:rPr>
          <w:bCs/>
        </w:rPr>
        <w:t>occupational safety and health (</w:t>
      </w:r>
      <w:r w:rsidR="0096022B">
        <w:rPr>
          <w:bCs/>
        </w:rPr>
        <w:t>OSH</w:t>
      </w:r>
      <w:r w:rsidR="002A38FA">
        <w:rPr>
          <w:bCs/>
        </w:rPr>
        <w:t>)</w:t>
      </w:r>
      <w:r w:rsidR="005126E4">
        <w:rPr>
          <w:bCs/>
        </w:rPr>
        <w:t xml:space="preserve"> penalties.  The legislation did not pass.  OSHA was </w:t>
      </w:r>
      <w:r w:rsidR="00C87675">
        <w:rPr>
          <w:bCs/>
        </w:rPr>
        <w:t xml:space="preserve">regularly </w:t>
      </w:r>
      <w:r w:rsidR="005126E4">
        <w:rPr>
          <w:bCs/>
        </w:rPr>
        <w:t xml:space="preserve">informed and briefed during the process. </w:t>
      </w:r>
    </w:p>
    <w:p w14:paraId="71A30F7D" w14:textId="77777777" w:rsidR="005126E4" w:rsidRDefault="005126E4" w:rsidP="005126E4">
      <w:pPr>
        <w:tabs>
          <w:tab w:val="left" w:pos="720"/>
          <w:tab w:val="left" w:pos="1170"/>
          <w:tab w:val="left" w:pos="1350"/>
        </w:tabs>
        <w:contextualSpacing/>
        <w:rPr>
          <w:bCs/>
        </w:rPr>
      </w:pPr>
    </w:p>
    <w:p w14:paraId="179630F0" w14:textId="77777777" w:rsidR="005126E4" w:rsidRDefault="005126E4" w:rsidP="005126E4">
      <w:pPr>
        <w:pStyle w:val="NoSpacing"/>
        <w:rPr>
          <w:bCs/>
        </w:rPr>
      </w:pPr>
      <w:r w:rsidRPr="00FA1C6D">
        <w:rPr>
          <w:bCs/>
        </w:rPr>
        <w:t xml:space="preserve">Chapter 7, </w:t>
      </w:r>
      <w:r>
        <w:rPr>
          <w:bCs/>
        </w:rPr>
        <w:t>“</w:t>
      </w:r>
      <w:r w:rsidRPr="00FA1C6D">
        <w:rPr>
          <w:bCs/>
        </w:rPr>
        <w:t>Federal Annual Monitoring Evaluation and Annual Reports</w:t>
      </w:r>
      <w:r>
        <w:rPr>
          <w:bCs/>
        </w:rPr>
        <w:t>”</w:t>
      </w:r>
      <w:r w:rsidRPr="00FA1C6D">
        <w:rPr>
          <w:bCs/>
        </w:rPr>
        <w:t>,</w:t>
      </w:r>
      <w:r>
        <w:rPr>
          <w:bCs/>
        </w:rPr>
        <w:t xml:space="preserve"> Section II. Annual Reports., B. FAME Report., 5. FAME Report Findings, Recommendations, and Observations, </w:t>
      </w:r>
      <w:r w:rsidRPr="00FA1C6D">
        <w:rPr>
          <w:bCs/>
        </w:rPr>
        <w:t xml:space="preserve">of OSHA’s </w:t>
      </w:r>
      <w:r w:rsidRPr="00FD7DE5">
        <w:rPr>
          <w:bCs/>
          <w:i/>
          <w:iCs/>
        </w:rPr>
        <w:t>State Plan Policies and Procedures Manual</w:t>
      </w:r>
      <w:r w:rsidRPr="00FA1C6D">
        <w:rPr>
          <w:bCs/>
        </w:rPr>
        <w:t xml:space="preserve"> (SPPPM), page s</w:t>
      </w:r>
      <w:r>
        <w:rPr>
          <w:bCs/>
        </w:rPr>
        <w:t>eventy</w:t>
      </w:r>
      <w:r w:rsidRPr="00FA1C6D">
        <w:rPr>
          <w:bCs/>
        </w:rPr>
        <w:t>-</w:t>
      </w:r>
      <w:r>
        <w:rPr>
          <w:bCs/>
        </w:rPr>
        <w:t>four</w:t>
      </w:r>
      <w:r w:rsidRPr="00FA1C6D">
        <w:rPr>
          <w:bCs/>
        </w:rPr>
        <w:t xml:space="preserve"> (</w:t>
      </w:r>
      <w:r>
        <w:rPr>
          <w:bCs/>
        </w:rPr>
        <w:t>74</w:t>
      </w:r>
      <w:r w:rsidRPr="00FA1C6D">
        <w:rPr>
          <w:bCs/>
        </w:rPr>
        <w:t>),</w:t>
      </w:r>
      <w:r>
        <w:rPr>
          <w:bCs/>
        </w:rPr>
        <w:t xml:space="preserve"> </w:t>
      </w:r>
      <w:r w:rsidRPr="00FA1C6D">
        <w:rPr>
          <w:bCs/>
        </w:rPr>
        <w:t>states:</w:t>
      </w:r>
    </w:p>
    <w:p w14:paraId="77E02AD8" w14:textId="77777777" w:rsidR="005126E4" w:rsidRDefault="005126E4" w:rsidP="005126E4">
      <w:pPr>
        <w:tabs>
          <w:tab w:val="left" w:pos="720"/>
          <w:tab w:val="left" w:pos="1170"/>
          <w:tab w:val="left" w:pos="1350"/>
        </w:tabs>
        <w:contextualSpacing/>
        <w:rPr>
          <w:bCs/>
        </w:rPr>
      </w:pPr>
    </w:p>
    <w:p w14:paraId="6DD8A17E" w14:textId="77777777" w:rsidR="005126E4" w:rsidRDefault="005126E4" w:rsidP="005126E4">
      <w:pPr>
        <w:tabs>
          <w:tab w:val="left" w:pos="720"/>
          <w:tab w:val="left" w:pos="1170"/>
          <w:tab w:val="left" w:pos="1350"/>
        </w:tabs>
        <w:ind w:left="720"/>
        <w:contextualSpacing/>
        <w:rPr>
          <w:bCs/>
        </w:rPr>
      </w:pPr>
      <w:r>
        <w:rPr>
          <w:bCs/>
        </w:rPr>
        <w:t>“</w:t>
      </w:r>
      <w:r w:rsidRPr="00B30A27">
        <w:rPr>
          <w:bCs/>
        </w:rPr>
        <w:t>Report</w:t>
      </w:r>
      <w:r>
        <w:rPr>
          <w:bCs/>
        </w:rPr>
        <w:t xml:space="preserve"> </w:t>
      </w:r>
      <w:r w:rsidRPr="00B30A27">
        <w:rPr>
          <w:bCs/>
        </w:rPr>
        <w:t>findings shall be limited to those issues that warrant corrective action by</w:t>
      </w:r>
      <w:r>
        <w:rPr>
          <w:bCs/>
        </w:rPr>
        <w:t xml:space="preserve"> </w:t>
      </w:r>
      <w:r w:rsidRPr="00B30A27">
        <w:rPr>
          <w:bCs/>
        </w:rPr>
        <w:t>the State Plan to ensure it is ALAE.</w:t>
      </w:r>
      <w:r>
        <w:rPr>
          <w:bCs/>
        </w:rPr>
        <w:t>”</w:t>
      </w:r>
    </w:p>
    <w:p w14:paraId="2AB856E3" w14:textId="77777777" w:rsidR="005126E4" w:rsidRDefault="005126E4" w:rsidP="005126E4">
      <w:pPr>
        <w:tabs>
          <w:tab w:val="left" w:pos="720"/>
          <w:tab w:val="left" w:pos="1170"/>
          <w:tab w:val="left" w:pos="1350"/>
        </w:tabs>
        <w:contextualSpacing/>
        <w:rPr>
          <w:bCs/>
        </w:rPr>
      </w:pPr>
    </w:p>
    <w:p w14:paraId="7CE9FC88" w14:textId="4F31F0B5" w:rsidR="005126E4" w:rsidRDefault="005126E4" w:rsidP="005126E4">
      <w:pPr>
        <w:tabs>
          <w:tab w:val="left" w:pos="720"/>
          <w:tab w:val="left" w:pos="1170"/>
          <w:tab w:val="left" w:pos="1350"/>
        </w:tabs>
        <w:contextualSpacing/>
        <w:rPr>
          <w:bCs/>
        </w:rPr>
      </w:pPr>
      <w:r>
        <w:rPr>
          <w:bCs/>
        </w:rPr>
        <w:t xml:space="preserve">Note: </w:t>
      </w:r>
      <w:bookmarkStart w:id="0" w:name="_Hlk202344988"/>
      <w:r>
        <w:rPr>
          <w:bCs/>
        </w:rPr>
        <w:t>ALAE is at least as effective</w:t>
      </w:r>
      <w:r w:rsidR="0065170F">
        <w:rPr>
          <w:bCs/>
        </w:rPr>
        <w:t>; meaning</w:t>
      </w:r>
      <w:r>
        <w:rPr>
          <w:bCs/>
        </w:rPr>
        <w:t>, at least as effective as OSHA.</w:t>
      </w:r>
    </w:p>
    <w:p w14:paraId="3789E4D8" w14:textId="77777777" w:rsidR="005126E4" w:rsidRDefault="005126E4" w:rsidP="005126E4">
      <w:pPr>
        <w:tabs>
          <w:tab w:val="left" w:pos="720"/>
          <w:tab w:val="left" w:pos="1170"/>
          <w:tab w:val="left" w:pos="1350"/>
        </w:tabs>
        <w:contextualSpacing/>
        <w:rPr>
          <w:bCs/>
        </w:rPr>
      </w:pPr>
    </w:p>
    <w:bookmarkEnd w:id="0"/>
    <w:p w14:paraId="2FC0EBB5" w14:textId="06FF502B" w:rsidR="005126E4" w:rsidRDefault="0096022B" w:rsidP="005126E4">
      <w:pPr>
        <w:tabs>
          <w:tab w:val="left" w:pos="1260"/>
          <w:tab w:val="left" w:pos="1350"/>
        </w:tabs>
        <w:contextualSpacing/>
        <w:rPr>
          <w:rFonts w:eastAsia="Calibri"/>
          <w:b/>
          <w:bCs/>
        </w:rPr>
      </w:pPr>
      <w:r>
        <w:t xml:space="preserve">Pursuant to Chapter 7 of the SPPM, Kentucky notes that </w:t>
      </w:r>
      <w:r w:rsidR="005126E4" w:rsidRPr="000E4ACE">
        <w:t>OSHA has n</w:t>
      </w:r>
      <w:r w:rsidR="00C87675">
        <w:t>either</w:t>
      </w:r>
      <w:r w:rsidR="005126E4" w:rsidRPr="000E4ACE">
        <w:t xml:space="preserve"> demonstrated </w:t>
      </w:r>
      <w:r w:rsidR="00C87675">
        <w:t>n</w:t>
      </w:r>
      <w:r w:rsidR="005126E4" w:rsidRPr="000E4ACE">
        <w:t xml:space="preserve">or articulated how Kentucky’s </w:t>
      </w:r>
      <w:r>
        <w:t xml:space="preserve">current </w:t>
      </w:r>
      <w:r w:rsidR="005126E4">
        <w:t>penalt</w:t>
      </w:r>
      <w:r>
        <w:t>ies are</w:t>
      </w:r>
      <w:r w:rsidR="005126E4">
        <w:t xml:space="preserve"> not at least as effective</w:t>
      </w:r>
      <w:r>
        <w:t xml:space="preserve"> as OSHA’s penalties.  T</w:t>
      </w:r>
      <w:r w:rsidR="005126E4">
        <w:t xml:space="preserve">herefore, Kentucky rejects </w:t>
      </w:r>
      <w:r w:rsidR="00E11A97">
        <w:t>F</w:t>
      </w:r>
      <w:r w:rsidR="005126E4">
        <w:t>inding</w:t>
      </w:r>
      <w:r w:rsidR="00E11A97">
        <w:t xml:space="preserve"> FY 2024-02</w:t>
      </w:r>
      <w:r w:rsidR="005126E4">
        <w:t xml:space="preserve">.  </w:t>
      </w:r>
      <w:r>
        <w:t>Nonetheless</w:t>
      </w:r>
      <w:r w:rsidR="005126E4">
        <w:t xml:space="preserve">, </w:t>
      </w:r>
      <w:r w:rsidR="005126E4" w:rsidRPr="0068559A">
        <w:rPr>
          <w:bCs/>
        </w:rPr>
        <w:t xml:space="preserve">Kentucky will continue </w:t>
      </w:r>
      <w:r w:rsidR="005126E4">
        <w:rPr>
          <w:bCs/>
        </w:rPr>
        <w:t xml:space="preserve">to </w:t>
      </w:r>
      <w:r w:rsidR="005126E4" w:rsidRPr="0068559A">
        <w:rPr>
          <w:bCs/>
        </w:rPr>
        <w:t xml:space="preserve">work </w:t>
      </w:r>
      <w:r w:rsidR="005126E4">
        <w:rPr>
          <w:bCs/>
        </w:rPr>
        <w:t xml:space="preserve">with state authorities </w:t>
      </w:r>
      <w:r w:rsidR="005126E4" w:rsidRPr="0068559A">
        <w:rPr>
          <w:bCs/>
        </w:rPr>
        <w:t>to amend Kentucky’s</w:t>
      </w:r>
      <w:r>
        <w:rPr>
          <w:bCs/>
        </w:rPr>
        <w:t xml:space="preserve"> OSH </w:t>
      </w:r>
      <w:r w:rsidR="005126E4" w:rsidRPr="0068559A">
        <w:rPr>
          <w:bCs/>
        </w:rPr>
        <w:t>penalties</w:t>
      </w:r>
      <w:r w:rsidR="005126E4">
        <w:rPr>
          <w:bCs/>
        </w:rPr>
        <w:t>.  OSHA was informed such during</w:t>
      </w:r>
      <w:r w:rsidR="007D440C">
        <w:rPr>
          <w:bCs/>
        </w:rPr>
        <w:t>,</w:t>
      </w:r>
      <w:r w:rsidR="002A38FA">
        <w:rPr>
          <w:bCs/>
        </w:rPr>
        <w:t xml:space="preserve"> and subsequent</w:t>
      </w:r>
      <w:r w:rsidR="007D440C">
        <w:rPr>
          <w:bCs/>
        </w:rPr>
        <w:t>,</w:t>
      </w:r>
      <w:r w:rsidR="005126E4">
        <w:rPr>
          <w:bCs/>
        </w:rPr>
        <w:t xml:space="preserve"> the FFY 202</w:t>
      </w:r>
      <w:r>
        <w:rPr>
          <w:bCs/>
        </w:rPr>
        <w:t>4 Follow-up</w:t>
      </w:r>
      <w:r w:rsidR="005126E4">
        <w:rPr>
          <w:bCs/>
        </w:rPr>
        <w:t xml:space="preserve"> FAME</w:t>
      </w:r>
      <w:r w:rsidR="002A38FA">
        <w:rPr>
          <w:bCs/>
        </w:rPr>
        <w:t xml:space="preserve"> review period</w:t>
      </w:r>
      <w:r w:rsidR="005126E4" w:rsidRPr="0068559A">
        <w:rPr>
          <w:bCs/>
        </w:rPr>
        <w:t>.</w:t>
      </w:r>
    </w:p>
    <w:p w14:paraId="479ED7B2" w14:textId="77777777" w:rsidR="005126E4" w:rsidRDefault="005126E4" w:rsidP="005126E4">
      <w:pPr>
        <w:pStyle w:val="BodyText"/>
        <w:ind w:right="581"/>
        <w:rPr>
          <w:iCs/>
        </w:rPr>
      </w:pPr>
    </w:p>
    <w:p w14:paraId="267CA640" w14:textId="174E3644" w:rsidR="005126E4" w:rsidRDefault="005126E4" w:rsidP="005126E4">
      <w:pPr>
        <w:pStyle w:val="BodyText"/>
        <w:ind w:right="581"/>
        <w:rPr>
          <w:b/>
          <w:bCs/>
          <w:iCs/>
        </w:rPr>
      </w:pPr>
      <w:r>
        <w:rPr>
          <w:b/>
          <w:bCs/>
          <w:iCs/>
        </w:rPr>
        <w:t xml:space="preserve">OSHA </w:t>
      </w:r>
      <w:r w:rsidRPr="005126E4">
        <w:rPr>
          <w:b/>
          <w:bCs/>
          <w:iCs/>
        </w:rPr>
        <w:t>Finding FY 2024-03</w:t>
      </w:r>
    </w:p>
    <w:p w14:paraId="0D249C10" w14:textId="4333D438" w:rsidR="005126E4" w:rsidRPr="005126E4" w:rsidRDefault="005126E4" w:rsidP="005126E4">
      <w:pPr>
        <w:pStyle w:val="BodyText"/>
        <w:ind w:right="581"/>
        <w:rPr>
          <w:iCs/>
        </w:rPr>
      </w:pPr>
      <w:r>
        <w:rPr>
          <w:iCs/>
        </w:rPr>
        <w:t>“</w:t>
      </w:r>
      <w:r w:rsidRPr="005126E4">
        <w:rPr>
          <w:iCs/>
        </w:rPr>
        <w:t>In FY 2024, the percent in-compliance rate for health inspections (SAMM 9b) was 68.12%, which was above the FRL of 53.01%.</w:t>
      </w:r>
      <w:r w:rsidR="00B0213E">
        <w:rPr>
          <w:iCs/>
        </w:rPr>
        <w:t xml:space="preserve">  </w:t>
      </w:r>
      <w:r w:rsidR="00B0213E" w:rsidRPr="00B0213E">
        <w:rPr>
          <w:iCs/>
        </w:rPr>
        <w:t>This was an observation for the past five years and was converted into a finding for FY 2024.</w:t>
      </w:r>
      <w:r>
        <w:rPr>
          <w:iCs/>
        </w:rPr>
        <w:t>”</w:t>
      </w:r>
      <w:r w:rsidRPr="005126E4">
        <w:rPr>
          <w:iCs/>
        </w:rPr>
        <w:t xml:space="preserve"> </w:t>
      </w:r>
    </w:p>
    <w:p w14:paraId="5083BF38" w14:textId="77777777" w:rsidR="005126E4" w:rsidRPr="005126E4" w:rsidRDefault="005126E4" w:rsidP="005126E4">
      <w:pPr>
        <w:pStyle w:val="BodyText"/>
        <w:ind w:right="581"/>
        <w:rPr>
          <w:iCs/>
        </w:rPr>
      </w:pPr>
    </w:p>
    <w:p w14:paraId="64AB3394" w14:textId="77777777" w:rsidR="005126E4" w:rsidRDefault="005126E4" w:rsidP="005126E4">
      <w:pPr>
        <w:pStyle w:val="BodyText"/>
        <w:ind w:right="581"/>
        <w:rPr>
          <w:b/>
          <w:bCs/>
          <w:iCs/>
        </w:rPr>
      </w:pPr>
      <w:r>
        <w:rPr>
          <w:b/>
          <w:bCs/>
          <w:iCs/>
        </w:rPr>
        <w:t xml:space="preserve">OSHA </w:t>
      </w:r>
      <w:r w:rsidRPr="005126E4">
        <w:rPr>
          <w:b/>
          <w:bCs/>
          <w:iCs/>
        </w:rPr>
        <w:t>Recommendation</w:t>
      </w:r>
    </w:p>
    <w:p w14:paraId="694BA407" w14:textId="0FD50B8E" w:rsidR="005126E4" w:rsidRPr="005126E4" w:rsidRDefault="005126E4" w:rsidP="005126E4">
      <w:pPr>
        <w:pStyle w:val="BodyText"/>
        <w:ind w:right="581"/>
        <w:rPr>
          <w:iCs/>
        </w:rPr>
      </w:pPr>
      <w:r w:rsidRPr="005126E4">
        <w:rPr>
          <w:iCs/>
        </w:rPr>
        <w:t xml:space="preserve">KY OSH has researched the outliers and developed an action plan to reduce in-compliance rates for health inspections. </w:t>
      </w:r>
      <w:r w:rsidR="002A38FA">
        <w:rPr>
          <w:iCs/>
        </w:rPr>
        <w:t xml:space="preserve"> </w:t>
      </w:r>
      <w:r w:rsidRPr="005126E4">
        <w:rPr>
          <w:iCs/>
        </w:rPr>
        <w:t xml:space="preserve">OSHA will evaluate how the action plan is working during quarterly meetings with KY OSH and discuss new recommendations as appropriate. </w:t>
      </w:r>
    </w:p>
    <w:p w14:paraId="4B98028C" w14:textId="15E094D6" w:rsidR="005126E4" w:rsidRDefault="005126E4" w:rsidP="00EC67D5">
      <w:pPr>
        <w:pStyle w:val="BodyText"/>
        <w:ind w:right="581"/>
      </w:pPr>
    </w:p>
    <w:p w14:paraId="10805AE3" w14:textId="7D1C9608" w:rsidR="005126E4" w:rsidRPr="005126E4" w:rsidRDefault="005126E4" w:rsidP="00EC67D5">
      <w:pPr>
        <w:pStyle w:val="BodyText"/>
        <w:ind w:right="581"/>
        <w:rPr>
          <w:b/>
          <w:bCs/>
        </w:rPr>
      </w:pPr>
      <w:r w:rsidRPr="005126E4">
        <w:rPr>
          <w:b/>
          <w:bCs/>
        </w:rPr>
        <w:t>State Response</w:t>
      </w:r>
    </w:p>
    <w:p w14:paraId="742E3EDA" w14:textId="1EC81B85" w:rsidR="00E11A97" w:rsidRDefault="006169D0" w:rsidP="00F5467B">
      <w:pPr>
        <w:tabs>
          <w:tab w:val="left" w:pos="720"/>
        </w:tabs>
      </w:pPr>
      <w:r>
        <w:t xml:space="preserve">Pursuant to Chapter 7 of the SPPM, </w:t>
      </w:r>
      <w:r w:rsidR="000E4ACE" w:rsidRPr="000E4ACE">
        <w:t>OSHA has n</w:t>
      </w:r>
      <w:r w:rsidR="00350F88">
        <w:t>either</w:t>
      </w:r>
      <w:r w:rsidR="000E4ACE" w:rsidRPr="000E4ACE">
        <w:t xml:space="preserve"> demonstrated </w:t>
      </w:r>
      <w:r w:rsidR="00350F88">
        <w:t>n</w:t>
      </w:r>
      <w:r w:rsidR="000E4ACE" w:rsidRPr="000E4ACE">
        <w:t xml:space="preserve">or articulated how Kentucky’s </w:t>
      </w:r>
      <w:r w:rsidR="00AA7805">
        <w:t xml:space="preserve">health inspection </w:t>
      </w:r>
      <w:r w:rsidR="000E4ACE" w:rsidRPr="000E4ACE">
        <w:t xml:space="preserve">in-compliance rate </w:t>
      </w:r>
      <w:r w:rsidR="00E11A97">
        <w:t xml:space="preserve">is not as effective as OSHA.  </w:t>
      </w:r>
      <w:bookmarkStart w:id="1" w:name="_Hlk170052593"/>
      <w:r w:rsidR="00094405">
        <w:t xml:space="preserve">OSHA provides no basis for the </w:t>
      </w:r>
      <w:r>
        <w:t xml:space="preserve">finding other than </w:t>
      </w:r>
      <w:r w:rsidR="00AA7805">
        <w:t>it “</w:t>
      </w:r>
      <w:r w:rsidR="00AA7805" w:rsidRPr="00B0213E">
        <w:rPr>
          <w:iCs/>
        </w:rPr>
        <w:t>was an observation for the past five years and was converted into a finding for FY 2024</w:t>
      </w:r>
      <w:r w:rsidR="00AA7805">
        <w:t>.”  Kentucky asserts it was likely an observation and not a finding for the past five (5) years because OSHA could not</w:t>
      </w:r>
      <w:r w:rsidR="00C87675">
        <w:t xml:space="preserve"> </w:t>
      </w:r>
      <w:r w:rsidR="00AA7805">
        <w:t xml:space="preserve">establish the in-compliance rate negatively impacted the effectiveness of the state plan.  </w:t>
      </w:r>
      <w:r w:rsidR="00DF2AA1">
        <w:t xml:space="preserve">Kentucky rejects </w:t>
      </w:r>
      <w:r w:rsidR="00E11A97">
        <w:t>F</w:t>
      </w:r>
      <w:r w:rsidR="00DF2AA1">
        <w:t>inding</w:t>
      </w:r>
      <w:r w:rsidR="00E11A97">
        <w:t xml:space="preserve"> FY 2024-03</w:t>
      </w:r>
      <w:r w:rsidR="00DF2AA1">
        <w:t>.</w:t>
      </w:r>
      <w:bookmarkEnd w:id="1"/>
    </w:p>
    <w:sectPr w:rsidR="00E11A97" w:rsidSect="00180D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7C05" w14:textId="77777777" w:rsidR="003533DC" w:rsidRDefault="003533DC" w:rsidP="00C27176">
      <w:r>
        <w:separator/>
      </w:r>
    </w:p>
  </w:endnote>
  <w:endnote w:type="continuationSeparator" w:id="0">
    <w:p w14:paraId="0FD2563F" w14:textId="77777777" w:rsidR="003533DC" w:rsidRDefault="003533DC" w:rsidP="00C2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415" w14:textId="77777777" w:rsidR="009410CC" w:rsidRDefault="0094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21978"/>
      <w:docPartObj>
        <w:docPartGallery w:val="Page Numbers (Bottom of Page)"/>
        <w:docPartUnique/>
      </w:docPartObj>
    </w:sdtPr>
    <w:sdtEndPr>
      <w:rPr>
        <w:noProof/>
      </w:rPr>
    </w:sdtEndPr>
    <w:sdtContent>
      <w:p w14:paraId="1E9FE590" w14:textId="77777777" w:rsidR="002A4818" w:rsidRDefault="002A4818">
        <w:pPr>
          <w:pStyle w:val="Footer"/>
          <w:jc w:val="center"/>
        </w:pPr>
        <w:r>
          <w:fldChar w:fldCharType="begin"/>
        </w:r>
        <w:r>
          <w:instrText xml:space="preserve"> PAGE   \* MERGEFORMAT </w:instrText>
        </w:r>
        <w:r>
          <w:fldChar w:fldCharType="separate"/>
        </w:r>
        <w:r w:rsidR="002D0079">
          <w:rPr>
            <w:noProof/>
          </w:rPr>
          <w:t>2</w:t>
        </w:r>
        <w:r>
          <w:rPr>
            <w:noProof/>
          </w:rPr>
          <w:fldChar w:fldCharType="end"/>
        </w:r>
      </w:p>
    </w:sdtContent>
  </w:sdt>
  <w:p w14:paraId="77367B2F" w14:textId="77777777" w:rsidR="00C27176" w:rsidRDefault="00C2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FF92" w14:textId="77777777" w:rsidR="009410CC" w:rsidRDefault="0094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6347" w14:textId="77777777" w:rsidR="003533DC" w:rsidRDefault="003533DC" w:rsidP="00C27176">
      <w:r>
        <w:separator/>
      </w:r>
    </w:p>
  </w:footnote>
  <w:footnote w:type="continuationSeparator" w:id="0">
    <w:p w14:paraId="42011F71" w14:textId="77777777" w:rsidR="003533DC" w:rsidRDefault="003533DC" w:rsidP="00C2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C02" w14:textId="63513583" w:rsidR="00F1789E" w:rsidRDefault="00F1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6405" w14:textId="3D7EC160" w:rsidR="00F1789E" w:rsidRDefault="00F1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221" w14:textId="0C66EAFA" w:rsidR="00F1789E" w:rsidRDefault="00F17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42B"/>
    <w:multiLevelType w:val="hybridMultilevel"/>
    <w:tmpl w:val="C466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9022F"/>
    <w:multiLevelType w:val="hybridMultilevel"/>
    <w:tmpl w:val="8368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0974466">
    <w:abstractNumId w:val="0"/>
  </w:num>
  <w:num w:numId="2" w16cid:durableId="150342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EA"/>
    <w:rsid w:val="00002E56"/>
    <w:rsid w:val="000048C3"/>
    <w:rsid w:val="000064FB"/>
    <w:rsid w:val="00007D5A"/>
    <w:rsid w:val="00011892"/>
    <w:rsid w:val="0001281F"/>
    <w:rsid w:val="00015494"/>
    <w:rsid w:val="000314F1"/>
    <w:rsid w:val="000350A0"/>
    <w:rsid w:val="00036A59"/>
    <w:rsid w:val="00040EA4"/>
    <w:rsid w:val="00045B57"/>
    <w:rsid w:val="00045F23"/>
    <w:rsid w:val="00050A95"/>
    <w:rsid w:val="00050EC8"/>
    <w:rsid w:val="00052E60"/>
    <w:rsid w:val="00057C36"/>
    <w:rsid w:val="00063850"/>
    <w:rsid w:val="000710DF"/>
    <w:rsid w:val="000723A1"/>
    <w:rsid w:val="0007342F"/>
    <w:rsid w:val="00073FE6"/>
    <w:rsid w:val="000758E1"/>
    <w:rsid w:val="00075C9B"/>
    <w:rsid w:val="000771A9"/>
    <w:rsid w:val="0008187C"/>
    <w:rsid w:val="00086BFD"/>
    <w:rsid w:val="00090DC6"/>
    <w:rsid w:val="00090F0C"/>
    <w:rsid w:val="00092ABF"/>
    <w:rsid w:val="00094405"/>
    <w:rsid w:val="00096723"/>
    <w:rsid w:val="000A23C4"/>
    <w:rsid w:val="000A3C5F"/>
    <w:rsid w:val="000A47A8"/>
    <w:rsid w:val="000B3643"/>
    <w:rsid w:val="000B4B12"/>
    <w:rsid w:val="000B684D"/>
    <w:rsid w:val="000C3822"/>
    <w:rsid w:val="000C51F6"/>
    <w:rsid w:val="000D36E7"/>
    <w:rsid w:val="000D5D2B"/>
    <w:rsid w:val="000E1549"/>
    <w:rsid w:val="000E242D"/>
    <w:rsid w:val="000E2550"/>
    <w:rsid w:val="000E3BF2"/>
    <w:rsid w:val="000E4ACE"/>
    <w:rsid w:val="000E634C"/>
    <w:rsid w:val="000E6D9B"/>
    <w:rsid w:val="000E7207"/>
    <w:rsid w:val="000F091A"/>
    <w:rsid w:val="000F1BC9"/>
    <w:rsid w:val="000F366B"/>
    <w:rsid w:val="000F47D2"/>
    <w:rsid w:val="000F6EC7"/>
    <w:rsid w:val="0010327B"/>
    <w:rsid w:val="001044D2"/>
    <w:rsid w:val="00106748"/>
    <w:rsid w:val="00106BD2"/>
    <w:rsid w:val="001133A7"/>
    <w:rsid w:val="001225B4"/>
    <w:rsid w:val="00124EC7"/>
    <w:rsid w:val="0013544E"/>
    <w:rsid w:val="0013647B"/>
    <w:rsid w:val="0013692A"/>
    <w:rsid w:val="00136B8E"/>
    <w:rsid w:val="00136E04"/>
    <w:rsid w:val="00141558"/>
    <w:rsid w:val="00145D08"/>
    <w:rsid w:val="001512FA"/>
    <w:rsid w:val="001631D2"/>
    <w:rsid w:val="00164DD4"/>
    <w:rsid w:val="0016596D"/>
    <w:rsid w:val="00166AF6"/>
    <w:rsid w:val="00167938"/>
    <w:rsid w:val="001704F5"/>
    <w:rsid w:val="0017113F"/>
    <w:rsid w:val="00173F4C"/>
    <w:rsid w:val="00174D0C"/>
    <w:rsid w:val="001772E2"/>
    <w:rsid w:val="0018063E"/>
    <w:rsid w:val="00180B85"/>
    <w:rsid w:val="00180D40"/>
    <w:rsid w:val="00180D73"/>
    <w:rsid w:val="00182472"/>
    <w:rsid w:val="001909A8"/>
    <w:rsid w:val="001914D3"/>
    <w:rsid w:val="0019602F"/>
    <w:rsid w:val="0019728C"/>
    <w:rsid w:val="001A049F"/>
    <w:rsid w:val="001A0DED"/>
    <w:rsid w:val="001A6C46"/>
    <w:rsid w:val="001B03B0"/>
    <w:rsid w:val="001B1E7F"/>
    <w:rsid w:val="001B5FCE"/>
    <w:rsid w:val="001B67D7"/>
    <w:rsid w:val="001C0C16"/>
    <w:rsid w:val="001C0CAA"/>
    <w:rsid w:val="001C170B"/>
    <w:rsid w:val="001C1A5B"/>
    <w:rsid w:val="001C1F22"/>
    <w:rsid w:val="001C5B84"/>
    <w:rsid w:val="001D286B"/>
    <w:rsid w:val="001D31FC"/>
    <w:rsid w:val="001E227E"/>
    <w:rsid w:val="001F1286"/>
    <w:rsid w:val="001F20BD"/>
    <w:rsid w:val="001F2A63"/>
    <w:rsid w:val="001F33D8"/>
    <w:rsid w:val="001F3AE3"/>
    <w:rsid w:val="001F6FCE"/>
    <w:rsid w:val="00205B00"/>
    <w:rsid w:val="00213711"/>
    <w:rsid w:val="002175E3"/>
    <w:rsid w:val="00217878"/>
    <w:rsid w:val="00221965"/>
    <w:rsid w:val="00222C3C"/>
    <w:rsid w:val="002239DE"/>
    <w:rsid w:val="00231F04"/>
    <w:rsid w:val="00232ED5"/>
    <w:rsid w:val="00235241"/>
    <w:rsid w:val="00237F44"/>
    <w:rsid w:val="00242E08"/>
    <w:rsid w:val="00243DE3"/>
    <w:rsid w:val="002448B7"/>
    <w:rsid w:val="00244C26"/>
    <w:rsid w:val="002464EC"/>
    <w:rsid w:val="002502E1"/>
    <w:rsid w:val="00252AB5"/>
    <w:rsid w:val="00255BD9"/>
    <w:rsid w:val="00264840"/>
    <w:rsid w:val="0027085C"/>
    <w:rsid w:val="00270F96"/>
    <w:rsid w:val="002775BC"/>
    <w:rsid w:val="00283574"/>
    <w:rsid w:val="00284F78"/>
    <w:rsid w:val="00286B18"/>
    <w:rsid w:val="00287D22"/>
    <w:rsid w:val="00292DFB"/>
    <w:rsid w:val="00294B95"/>
    <w:rsid w:val="00296803"/>
    <w:rsid w:val="002A310D"/>
    <w:rsid w:val="002A38FA"/>
    <w:rsid w:val="002A3A00"/>
    <w:rsid w:val="002A44EB"/>
    <w:rsid w:val="002A4818"/>
    <w:rsid w:val="002B1D18"/>
    <w:rsid w:val="002B4B50"/>
    <w:rsid w:val="002C06DF"/>
    <w:rsid w:val="002C30FB"/>
    <w:rsid w:val="002C74F9"/>
    <w:rsid w:val="002D0079"/>
    <w:rsid w:val="002D0CD7"/>
    <w:rsid w:val="002D4425"/>
    <w:rsid w:val="002E1078"/>
    <w:rsid w:val="002E23D7"/>
    <w:rsid w:val="002E2624"/>
    <w:rsid w:val="002E41CD"/>
    <w:rsid w:val="002E5403"/>
    <w:rsid w:val="002F0721"/>
    <w:rsid w:val="002F3AA5"/>
    <w:rsid w:val="002F45FD"/>
    <w:rsid w:val="00303570"/>
    <w:rsid w:val="0030425E"/>
    <w:rsid w:val="003155DB"/>
    <w:rsid w:val="00317DF1"/>
    <w:rsid w:val="0032147D"/>
    <w:rsid w:val="003241D2"/>
    <w:rsid w:val="003270CD"/>
    <w:rsid w:val="0033074E"/>
    <w:rsid w:val="00335248"/>
    <w:rsid w:val="00335AE9"/>
    <w:rsid w:val="003426BA"/>
    <w:rsid w:val="00345B90"/>
    <w:rsid w:val="00345C01"/>
    <w:rsid w:val="00345E3E"/>
    <w:rsid w:val="00345E56"/>
    <w:rsid w:val="0034608B"/>
    <w:rsid w:val="00346B38"/>
    <w:rsid w:val="003479CF"/>
    <w:rsid w:val="00350F88"/>
    <w:rsid w:val="00351C61"/>
    <w:rsid w:val="00352E94"/>
    <w:rsid w:val="003533DC"/>
    <w:rsid w:val="0035634D"/>
    <w:rsid w:val="00357474"/>
    <w:rsid w:val="00371B49"/>
    <w:rsid w:val="003769CC"/>
    <w:rsid w:val="0037791C"/>
    <w:rsid w:val="00384BF1"/>
    <w:rsid w:val="00384C8F"/>
    <w:rsid w:val="00391132"/>
    <w:rsid w:val="00392B7C"/>
    <w:rsid w:val="003970F8"/>
    <w:rsid w:val="003979D3"/>
    <w:rsid w:val="003A00B3"/>
    <w:rsid w:val="003A232F"/>
    <w:rsid w:val="003A48CA"/>
    <w:rsid w:val="003B2299"/>
    <w:rsid w:val="003B26A8"/>
    <w:rsid w:val="003B4CE0"/>
    <w:rsid w:val="003B76A5"/>
    <w:rsid w:val="003B7719"/>
    <w:rsid w:val="003C2A09"/>
    <w:rsid w:val="003C7250"/>
    <w:rsid w:val="003D0346"/>
    <w:rsid w:val="003D5406"/>
    <w:rsid w:val="003E13C5"/>
    <w:rsid w:val="003E198A"/>
    <w:rsid w:val="003E1B8C"/>
    <w:rsid w:val="003F166F"/>
    <w:rsid w:val="003F1B39"/>
    <w:rsid w:val="003F47EE"/>
    <w:rsid w:val="003F670E"/>
    <w:rsid w:val="00404143"/>
    <w:rsid w:val="0041134B"/>
    <w:rsid w:val="004127AC"/>
    <w:rsid w:val="00413034"/>
    <w:rsid w:val="00413052"/>
    <w:rsid w:val="004130AD"/>
    <w:rsid w:val="00415CD1"/>
    <w:rsid w:val="0041724B"/>
    <w:rsid w:val="00420AF8"/>
    <w:rsid w:val="00421268"/>
    <w:rsid w:val="004265FA"/>
    <w:rsid w:val="0042711E"/>
    <w:rsid w:val="004319CE"/>
    <w:rsid w:val="00434560"/>
    <w:rsid w:val="0043604D"/>
    <w:rsid w:val="00437131"/>
    <w:rsid w:val="00442EBE"/>
    <w:rsid w:val="004461FA"/>
    <w:rsid w:val="00446FD8"/>
    <w:rsid w:val="0044753D"/>
    <w:rsid w:val="00450542"/>
    <w:rsid w:val="0045790D"/>
    <w:rsid w:val="00462F09"/>
    <w:rsid w:val="00464CEA"/>
    <w:rsid w:val="00464F5E"/>
    <w:rsid w:val="00466864"/>
    <w:rsid w:val="004710E8"/>
    <w:rsid w:val="0047234E"/>
    <w:rsid w:val="00473F52"/>
    <w:rsid w:val="0047706E"/>
    <w:rsid w:val="004777CF"/>
    <w:rsid w:val="004836AC"/>
    <w:rsid w:val="004851C0"/>
    <w:rsid w:val="00490F73"/>
    <w:rsid w:val="00497E20"/>
    <w:rsid w:val="004A1736"/>
    <w:rsid w:val="004A22B1"/>
    <w:rsid w:val="004A34F1"/>
    <w:rsid w:val="004A3624"/>
    <w:rsid w:val="004A3A25"/>
    <w:rsid w:val="004A5F9F"/>
    <w:rsid w:val="004A61F9"/>
    <w:rsid w:val="004B0A22"/>
    <w:rsid w:val="004B0C30"/>
    <w:rsid w:val="004B2ABB"/>
    <w:rsid w:val="004B37CB"/>
    <w:rsid w:val="004B50AA"/>
    <w:rsid w:val="004B5157"/>
    <w:rsid w:val="004B53C1"/>
    <w:rsid w:val="004C183B"/>
    <w:rsid w:val="004D0AAC"/>
    <w:rsid w:val="004D3251"/>
    <w:rsid w:val="004D64D1"/>
    <w:rsid w:val="004D7E1D"/>
    <w:rsid w:val="004D7E50"/>
    <w:rsid w:val="004E4DF4"/>
    <w:rsid w:val="004E4F07"/>
    <w:rsid w:val="004E50DC"/>
    <w:rsid w:val="004F2502"/>
    <w:rsid w:val="00500B42"/>
    <w:rsid w:val="00506622"/>
    <w:rsid w:val="00506752"/>
    <w:rsid w:val="00510DF2"/>
    <w:rsid w:val="00512220"/>
    <w:rsid w:val="005126E4"/>
    <w:rsid w:val="0051419C"/>
    <w:rsid w:val="00514B53"/>
    <w:rsid w:val="00515AB9"/>
    <w:rsid w:val="00516B48"/>
    <w:rsid w:val="00521210"/>
    <w:rsid w:val="00530227"/>
    <w:rsid w:val="00531BD1"/>
    <w:rsid w:val="00542764"/>
    <w:rsid w:val="00543679"/>
    <w:rsid w:val="005507CA"/>
    <w:rsid w:val="00551BD1"/>
    <w:rsid w:val="00554627"/>
    <w:rsid w:val="005548C5"/>
    <w:rsid w:val="00554FA5"/>
    <w:rsid w:val="005566D5"/>
    <w:rsid w:val="00560777"/>
    <w:rsid w:val="005630BB"/>
    <w:rsid w:val="00563D63"/>
    <w:rsid w:val="005645F2"/>
    <w:rsid w:val="00564F95"/>
    <w:rsid w:val="00565939"/>
    <w:rsid w:val="00567710"/>
    <w:rsid w:val="00571A48"/>
    <w:rsid w:val="00574D0D"/>
    <w:rsid w:val="00575D1C"/>
    <w:rsid w:val="0057627E"/>
    <w:rsid w:val="00581F8A"/>
    <w:rsid w:val="0058276F"/>
    <w:rsid w:val="00583575"/>
    <w:rsid w:val="005846BA"/>
    <w:rsid w:val="00587CE3"/>
    <w:rsid w:val="00587E6D"/>
    <w:rsid w:val="005907A5"/>
    <w:rsid w:val="00590D60"/>
    <w:rsid w:val="00593771"/>
    <w:rsid w:val="00595074"/>
    <w:rsid w:val="00596B65"/>
    <w:rsid w:val="005A0AE9"/>
    <w:rsid w:val="005A1404"/>
    <w:rsid w:val="005A171F"/>
    <w:rsid w:val="005A4708"/>
    <w:rsid w:val="005A47DA"/>
    <w:rsid w:val="005A77DB"/>
    <w:rsid w:val="005B39F9"/>
    <w:rsid w:val="005B6224"/>
    <w:rsid w:val="005C2F4E"/>
    <w:rsid w:val="005C60F3"/>
    <w:rsid w:val="005C7E46"/>
    <w:rsid w:val="005D04AB"/>
    <w:rsid w:val="005D39AD"/>
    <w:rsid w:val="005D3AE6"/>
    <w:rsid w:val="005D64A2"/>
    <w:rsid w:val="005E534F"/>
    <w:rsid w:val="005F2E53"/>
    <w:rsid w:val="005F4EFF"/>
    <w:rsid w:val="00602246"/>
    <w:rsid w:val="00602805"/>
    <w:rsid w:val="006077F5"/>
    <w:rsid w:val="00613222"/>
    <w:rsid w:val="00614525"/>
    <w:rsid w:val="006169D0"/>
    <w:rsid w:val="00621ECF"/>
    <w:rsid w:val="00622AAC"/>
    <w:rsid w:val="006246BF"/>
    <w:rsid w:val="00631A4B"/>
    <w:rsid w:val="0063520A"/>
    <w:rsid w:val="00637E85"/>
    <w:rsid w:val="00641549"/>
    <w:rsid w:val="0065170F"/>
    <w:rsid w:val="00654089"/>
    <w:rsid w:val="0065631A"/>
    <w:rsid w:val="00660582"/>
    <w:rsid w:val="00663E30"/>
    <w:rsid w:val="00667A4B"/>
    <w:rsid w:val="006701B0"/>
    <w:rsid w:val="00672E6B"/>
    <w:rsid w:val="00676BBF"/>
    <w:rsid w:val="006771CB"/>
    <w:rsid w:val="0067736A"/>
    <w:rsid w:val="00681EAC"/>
    <w:rsid w:val="00681F53"/>
    <w:rsid w:val="00683C7E"/>
    <w:rsid w:val="0068559A"/>
    <w:rsid w:val="006A22AC"/>
    <w:rsid w:val="006A320E"/>
    <w:rsid w:val="006A590A"/>
    <w:rsid w:val="006B2793"/>
    <w:rsid w:val="006B3DCD"/>
    <w:rsid w:val="006B5FFF"/>
    <w:rsid w:val="006B6104"/>
    <w:rsid w:val="006B6A86"/>
    <w:rsid w:val="006B6E80"/>
    <w:rsid w:val="006B7CFD"/>
    <w:rsid w:val="006C0CDA"/>
    <w:rsid w:val="006C16ED"/>
    <w:rsid w:val="006C46F7"/>
    <w:rsid w:val="006C4DEA"/>
    <w:rsid w:val="006C78DD"/>
    <w:rsid w:val="006D01EE"/>
    <w:rsid w:val="006D0338"/>
    <w:rsid w:val="006D0C35"/>
    <w:rsid w:val="006E1050"/>
    <w:rsid w:val="006E1DAB"/>
    <w:rsid w:val="006E235B"/>
    <w:rsid w:val="006E288F"/>
    <w:rsid w:val="006E47F1"/>
    <w:rsid w:val="00700742"/>
    <w:rsid w:val="00702244"/>
    <w:rsid w:val="00702F62"/>
    <w:rsid w:val="00706F03"/>
    <w:rsid w:val="007117B4"/>
    <w:rsid w:val="00714F11"/>
    <w:rsid w:val="00716445"/>
    <w:rsid w:val="00716990"/>
    <w:rsid w:val="007234D7"/>
    <w:rsid w:val="00725371"/>
    <w:rsid w:val="00731834"/>
    <w:rsid w:val="0073481C"/>
    <w:rsid w:val="00736A99"/>
    <w:rsid w:val="00742426"/>
    <w:rsid w:val="00747855"/>
    <w:rsid w:val="0075106C"/>
    <w:rsid w:val="007518D6"/>
    <w:rsid w:val="007542CA"/>
    <w:rsid w:val="00754CE3"/>
    <w:rsid w:val="00755F2F"/>
    <w:rsid w:val="00760039"/>
    <w:rsid w:val="007602CB"/>
    <w:rsid w:val="0076525B"/>
    <w:rsid w:val="007750D3"/>
    <w:rsid w:val="007761F8"/>
    <w:rsid w:val="007800A4"/>
    <w:rsid w:val="00786F16"/>
    <w:rsid w:val="00787D6F"/>
    <w:rsid w:val="007975C5"/>
    <w:rsid w:val="007A0344"/>
    <w:rsid w:val="007A0574"/>
    <w:rsid w:val="007A2BBA"/>
    <w:rsid w:val="007B281E"/>
    <w:rsid w:val="007B3D94"/>
    <w:rsid w:val="007B6B8F"/>
    <w:rsid w:val="007C096C"/>
    <w:rsid w:val="007C28AA"/>
    <w:rsid w:val="007C61C1"/>
    <w:rsid w:val="007C7D70"/>
    <w:rsid w:val="007D27A9"/>
    <w:rsid w:val="007D440C"/>
    <w:rsid w:val="007D5761"/>
    <w:rsid w:val="007D715C"/>
    <w:rsid w:val="007E20A2"/>
    <w:rsid w:val="007E21C1"/>
    <w:rsid w:val="007E43EA"/>
    <w:rsid w:val="007E4912"/>
    <w:rsid w:val="007E72FE"/>
    <w:rsid w:val="007E744B"/>
    <w:rsid w:val="007F408C"/>
    <w:rsid w:val="007F5948"/>
    <w:rsid w:val="00800D8E"/>
    <w:rsid w:val="008044FD"/>
    <w:rsid w:val="008055FE"/>
    <w:rsid w:val="00805A84"/>
    <w:rsid w:val="00806E90"/>
    <w:rsid w:val="00814EBA"/>
    <w:rsid w:val="008156B9"/>
    <w:rsid w:val="00817C76"/>
    <w:rsid w:val="008208A5"/>
    <w:rsid w:val="00823DFE"/>
    <w:rsid w:val="00826CAE"/>
    <w:rsid w:val="00826D27"/>
    <w:rsid w:val="0083123C"/>
    <w:rsid w:val="00833783"/>
    <w:rsid w:val="00833BCB"/>
    <w:rsid w:val="008374B2"/>
    <w:rsid w:val="0084250E"/>
    <w:rsid w:val="00845038"/>
    <w:rsid w:val="00846217"/>
    <w:rsid w:val="0085286D"/>
    <w:rsid w:val="00853A8E"/>
    <w:rsid w:val="00862541"/>
    <w:rsid w:val="0086315D"/>
    <w:rsid w:val="00863BE3"/>
    <w:rsid w:val="00865268"/>
    <w:rsid w:val="00872C5C"/>
    <w:rsid w:val="00873561"/>
    <w:rsid w:val="00873CA5"/>
    <w:rsid w:val="00876843"/>
    <w:rsid w:val="00880F97"/>
    <w:rsid w:val="00882F1D"/>
    <w:rsid w:val="00890690"/>
    <w:rsid w:val="00891F0E"/>
    <w:rsid w:val="0089466B"/>
    <w:rsid w:val="00896183"/>
    <w:rsid w:val="00896986"/>
    <w:rsid w:val="00896B22"/>
    <w:rsid w:val="008A6978"/>
    <w:rsid w:val="008B57BE"/>
    <w:rsid w:val="008B60D0"/>
    <w:rsid w:val="008B6FE0"/>
    <w:rsid w:val="008B7DE0"/>
    <w:rsid w:val="008C6145"/>
    <w:rsid w:val="008C6E05"/>
    <w:rsid w:val="008E20C7"/>
    <w:rsid w:val="008E63BE"/>
    <w:rsid w:val="00913729"/>
    <w:rsid w:val="009149C6"/>
    <w:rsid w:val="00920FDC"/>
    <w:rsid w:val="009238E0"/>
    <w:rsid w:val="00933171"/>
    <w:rsid w:val="009340A4"/>
    <w:rsid w:val="00940153"/>
    <w:rsid w:val="009410CC"/>
    <w:rsid w:val="009419D3"/>
    <w:rsid w:val="00950424"/>
    <w:rsid w:val="00950B55"/>
    <w:rsid w:val="00954004"/>
    <w:rsid w:val="00955235"/>
    <w:rsid w:val="0096022B"/>
    <w:rsid w:val="009630F8"/>
    <w:rsid w:val="00965FF1"/>
    <w:rsid w:val="00977D83"/>
    <w:rsid w:val="009804C0"/>
    <w:rsid w:val="00980EF7"/>
    <w:rsid w:val="00981293"/>
    <w:rsid w:val="0098195E"/>
    <w:rsid w:val="009831CD"/>
    <w:rsid w:val="0099071A"/>
    <w:rsid w:val="0099226F"/>
    <w:rsid w:val="009934A8"/>
    <w:rsid w:val="00993B2E"/>
    <w:rsid w:val="00996FC3"/>
    <w:rsid w:val="00997553"/>
    <w:rsid w:val="009A7D16"/>
    <w:rsid w:val="009B1E8B"/>
    <w:rsid w:val="009B3CC5"/>
    <w:rsid w:val="009C036E"/>
    <w:rsid w:val="009C0D34"/>
    <w:rsid w:val="009C333C"/>
    <w:rsid w:val="009C5AB3"/>
    <w:rsid w:val="009C7808"/>
    <w:rsid w:val="009D2096"/>
    <w:rsid w:val="009D32C8"/>
    <w:rsid w:val="009D3BAE"/>
    <w:rsid w:val="009E2F53"/>
    <w:rsid w:val="009F0869"/>
    <w:rsid w:val="009F4D1B"/>
    <w:rsid w:val="009F6C22"/>
    <w:rsid w:val="00A02A86"/>
    <w:rsid w:val="00A03389"/>
    <w:rsid w:val="00A0454A"/>
    <w:rsid w:val="00A14306"/>
    <w:rsid w:val="00A200B5"/>
    <w:rsid w:val="00A20F0E"/>
    <w:rsid w:val="00A25A50"/>
    <w:rsid w:val="00A316F1"/>
    <w:rsid w:val="00A31A85"/>
    <w:rsid w:val="00A33EBF"/>
    <w:rsid w:val="00A40550"/>
    <w:rsid w:val="00A42EC4"/>
    <w:rsid w:val="00A42F05"/>
    <w:rsid w:val="00A4377E"/>
    <w:rsid w:val="00A45679"/>
    <w:rsid w:val="00A47E76"/>
    <w:rsid w:val="00A47FD0"/>
    <w:rsid w:val="00A565B6"/>
    <w:rsid w:val="00A65034"/>
    <w:rsid w:val="00A65598"/>
    <w:rsid w:val="00A7158C"/>
    <w:rsid w:val="00A716C8"/>
    <w:rsid w:val="00A72A06"/>
    <w:rsid w:val="00AA608B"/>
    <w:rsid w:val="00AA7599"/>
    <w:rsid w:val="00AA7805"/>
    <w:rsid w:val="00AA7974"/>
    <w:rsid w:val="00AB6323"/>
    <w:rsid w:val="00AB6EA5"/>
    <w:rsid w:val="00AC14B4"/>
    <w:rsid w:val="00AC3EB2"/>
    <w:rsid w:val="00AC6F7E"/>
    <w:rsid w:val="00AC72E4"/>
    <w:rsid w:val="00AD1096"/>
    <w:rsid w:val="00AD5B24"/>
    <w:rsid w:val="00AE4975"/>
    <w:rsid w:val="00AE58B5"/>
    <w:rsid w:val="00AE623D"/>
    <w:rsid w:val="00AE6529"/>
    <w:rsid w:val="00AF2DE1"/>
    <w:rsid w:val="00AF63AE"/>
    <w:rsid w:val="00AF7039"/>
    <w:rsid w:val="00AF74A2"/>
    <w:rsid w:val="00B0213E"/>
    <w:rsid w:val="00B032A3"/>
    <w:rsid w:val="00B11206"/>
    <w:rsid w:val="00B11CCF"/>
    <w:rsid w:val="00B1378F"/>
    <w:rsid w:val="00B14A79"/>
    <w:rsid w:val="00B17642"/>
    <w:rsid w:val="00B20A74"/>
    <w:rsid w:val="00B21605"/>
    <w:rsid w:val="00B25B68"/>
    <w:rsid w:val="00B275F5"/>
    <w:rsid w:val="00B30A27"/>
    <w:rsid w:val="00B45837"/>
    <w:rsid w:val="00B5001A"/>
    <w:rsid w:val="00B514D6"/>
    <w:rsid w:val="00B53C8F"/>
    <w:rsid w:val="00B60CBA"/>
    <w:rsid w:val="00B62EB3"/>
    <w:rsid w:val="00B666B9"/>
    <w:rsid w:val="00B70B13"/>
    <w:rsid w:val="00B719A8"/>
    <w:rsid w:val="00B76C6B"/>
    <w:rsid w:val="00B77D9B"/>
    <w:rsid w:val="00B84A1E"/>
    <w:rsid w:val="00B9199C"/>
    <w:rsid w:val="00B954AF"/>
    <w:rsid w:val="00BA7980"/>
    <w:rsid w:val="00BB01F2"/>
    <w:rsid w:val="00BB0555"/>
    <w:rsid w:val="00BB6BE0"/>
    <w:rsid w:val="00BC1146"/>
    <w:rsid w:val="00BC2B7D"/>
    <w:rsid w:val="00BC7EDE"/>
    <w:rsid w:val="00BD2B2F"/>
    <w:rsid w:val="00BD2B43"/>
    <w:rsid w:val="00BD4996"/>
    <w:rsid w:val="00BD5BF3"/>
    <w:rsid w:val="00BD61BF"/>
    <w:rsid w:val="00BD68FB"/>
    <w:rsid w:val="00BE0494"/>
    <w:rsid w:val="00BE2144"/>
    <w:rsid w:val="00BE32B2"/>
    <w:rsid w:val="00BE41F6"/>
    <w:rsid w:val="00BE6134"/>
    <w:rsid w:val="00BE6E5B"/>
    <w:rsid w:val="00BF0600"/>
    <w:rsid w:val="00BF07F4"/>
    <w:rsid w:val="00BF402C"/>
    <w:rsid w:val="00BF6F1F"/>
    <w:rsid w:val="00C0303B"/>
    <w:rsid w:val="00C07879"/>
    <w:rsid w:val="00C12BDE"/>
    <w:rsid w:val="00C170F5"/>
    <w:rsid w:val="00C1734A"/>
    <w:rsid w:val="00C20856"/>
    <w:rsid w:val="00C27176"/>
    <w:rsid w:val="00C31BAD"/>
    <w:rsid w:val="00C339EA"/>
    <w:rsid w:val="00C35AA0"/>
    <w:rsid w:val="00C36305"/>
    <w:rsid w:val="00C41461"/>
    <w:rsid w:val="00C42832"/>
    <w:rsid w:val="00C42984"/>
    <w:rsid w:val="00C46902"/>
    <w:rsid w:val="00C56D59"/>
    <w:rsid w:val="00C60D13"/>
    <w:rsid w:val="00C6204E"/>
    <w:rsid w:val="00C6262C"/>
    <w:rsid w:val="00C63E97"/>
    <w:rsid w:val="00C67553"/>
    <w:rsid w:val="00C76A49"/>
    <w:rsid w:val="00C76FC6"/>
    <w:rsid w:val="00C87675"/>
    <w:rsid w:val="00C92CA9"/>
    <w:rsid w:val="00C9683F"/>
    <w:rsid w:val="00C975BD"/>
    <w:rsid w:val="00CA443E"/>
    <w:rsid w:val="00CB020D"/>
    <w:rsid w:val="00CC2E4E"/>
    <w:rsid w:val="00CC4765"/>
    <w:rsid w:val="00CC5C14"/>
    <w:rsid w:val="00CD2B53"/>
    <w:rsid w:val="00CD2D55"/>
    <w:rsid w:val="00CD3700"/>
    <w:rsid w:val="00CD4A84"/>
    <w:rsid w:val="00CD6E42"/>
    <w:rsid w:val="00CD7952"/>
    <w:rsid w:val="00CE00BC"/>
    <w:rsid w:val="00CE3F52"/>
    <w:rsid w:val="00CE773E"/>
    <w:rsid w:val="00CF7B83"/>
    <w:rsid w:val="00D025A8"/>
    <w:rsid w:val="00D04FB5"/>
    <w:rsid w:val="00D07E25"/>
    <w:rsid w:val="00D10AA0"/>
    <w:rsid w:val="00D1452A"/>
    <w:rsid w:val="00D15D64"/>
    <w:rsid w:val="00D20D48"/>
    <w:rsid w:val="00D21ECB"/>
    <w:rsid w:val="00D2380D"/>
    <w:rsid w:val="00D24E56"/>
    <w:rsid w:val="00D31431"/>
    <w:rsid w:val="00D35573"/>
    <w:rsid w:val="00D36A90"/>
    <w:rsid w:val="00D43555"/>
    <w:rsid w:val="00D47466"/>
    <w:rsid w:val="00D47631"/>
    <w:rsid w:val="00D5424C"/>
    <w:rsid w:val="00D54774"/>
    <w:rsid w:val="00D55E95"/>
    <w:rsid w:val="00D60205"/>
    <w:rsid w:val="00D60E55"/>
    <w:rsid w:val="00D61CC1"/>
    <w:rsid w:val="00D62D4D"/>
    <w:rsid w:val="00D75557"/>
    <w:rsid w:val="00D77006"/>
    <w:rsid w:val="00D82138"/>
    <w:rsid w:val="00D846B8"/>
    <w:rsid w:val="00D856CB"/>
    <w:rsid w:val="00D87390"/>
    <w:rsid w:val="00D90FA1"/>
    <w:rsid w:val="00DA0E23"/>
    <w:rsid w:val="00DA1C01"/>
    <w:rsid w:val="00DA5731"/>
    <w:rsid w:val="00DB7B7E"/>
    <w:rsid w:val="00DC6C99"/>
    <w:rsid w:val="00DD118D"/>
    <w:rsid w:val="00DD22E3"/>
    <w:rsid w:val="00DD2E94"/>
    <w:rsid w:val="00DD6434"/>
    <w:rsid w:val="00DE06FC"/>
    <w:rsid w:val="00DE12CC"/>
    <w:rsid w:val="00DE4D51"/>
    <w:rsid w:val="00DF1BDD"/>
    <w:rsid w:val="00DF2AA1"/>
    <w:rsid w:val="00DF2ED9"/>
    <w:rsid w:val="00DF52D7"/>
    <w:rsid w:val="00DF648F"/>
    <w:rsid w:val="00E019CA"/>
    <w:rsid w:val="00E04076"/>
    <w:rsid w:val="00E06A18"/>
    <w:rsid w:val="00E07649"/>
    <w:rsid w:val="00E1124E"/>
    <w:rsid w:val="00E1193B"/>
    <w:rsid w:val="00E11A97"/>
    <w:rsid w:val="00E13F96"/>
    <w:rsid w:val="00E14843"/>
    <w:rsid w:val="00E14D6B"/>
    <w:rsid w:val="00E15E4D"/>
    <w:rsid w:val="00E16A5B"/>
    <w:rsid w:val="00E176D6"/>
    <w:rsid w:val="00E17D2A"/>
    <w:rsid w:val="00E20AE6"/>
    <w:rsid w:val="00E20CA0"/>
    <w:rsid w:val="00E249BB"/>
    <w:rsid w:val="00E31CF6"/>
    <w:rsid w:val="00E37B87"/>
    <w:rsid w:val="00E4036E"/>
    <w:rsid w:val="00E411AC"/>
    <w:rsid w:val="00E507D2"/>
    <w:rsid w:val="00E511B2"/>
    <w:rsid w:val="00E5236E"/>
    <w:rsid w:val="00E52D5A"/>
    <w:rsid w:val="00E52F57"/>
    <w:rsid w:val="00E532F9"/>
    <w:rsid w:val="00E63C22"/>
    <w:rsid w:val="00E6568A"/>
    <w:rsid w:val="00E706A6"/>
    <w:rsid w:val="00E716FC"/>
    <w:rsid w:val="00E73860"/>
    <w:rsid w:val="00E73B88"/>
    <w:rsid w:val="00E81E32"/>
    <w:rsid w:val="00E82439"/>
    <w:rsid w:val="00E8773C"/>
    <w:rsid w:val="00E925E0"/>
    <w:rsid w:val="00E960C2"/>
    <w:rsid w:val="00EA01A1"/>
    <w:rsid w:val="00EA144F"/>
    <w:rsid w:val="00EA48A7"/>
    <w:rsid w:val="00EA599A"/>
    <w:rsid w:val="00EA6133"/>
    <w:rsid w:val="00EB00F7"/>
    <w:rsid w:val="00EB0B7C"/>
    <w:rsid w:val="00EB202A"/>
    <w:rsid w:val="00EB327A"/>
    <w:rsid w:val="00EB4791"/>
    <w:rsid w:val="00EB6D1E"/>
    <w:rsid w:val="00EB7CDF"/>
    <w:rsid w:val="00EC364C"/>
    <w:rsid w:val="00EC3A4C"/>
    <w:rsid w:val="00EC67D5"/>
    <w:rsid w:val="00ED0F18"/>
    <w:rsid w:val="00ED5A94"/>
    <w:rsid w:val="00EE1CFB"/>
    <w:rsid w:val="00EE2C3B"/>
    <w:rsid w:val="00EE4944"/>
    <w:rsid w:val="00EE4E81"/>
    <w:rsid w:val="00F000C7"/>
    <w:rsid w:val="00F00E95"/>
    <w:rsid w:val="00F067F7"/>
    <w:rsid w:val="00F077A9"/>
    <w:rsid w:val="00F1058F"/>
    <w:rsid w:val="00F1789E"/>
    <w:rsid w:val="00F20788"/>
    <w:rsid w:val="00F22FBB"/>
    <w:rsid w:val="00F31A3A"/>
    <w:rsid w:val="00F41C78"/>
    <w:rsid w:val="00F43697"/>
    <w:rsid w:val="00F51AE8"/>
    <w:rsid w:val="00F51C9C"/>
    <w:rsid w:val="00F5262D"/>
    <w:rsid w:val="00F5467B"/>
    <w:rsid w:val="00F561BD"/>
    <w:rsid w:val="00F57397"/>
    <w:rsid w:val="00F624AC"/>
    <w:rsid w:val="00F64F9F"/>
    <w:rsid w:val="00F74DE6"/>
    <w:rsid w:val="00F74EFA"/>
    <w:rsid w:val="00F81D96"/>
    <w:rsid w:val="00F8230E"/>
    <w:rsid w:val="00F84B13"/>
    <w:rsid w:val="00F94FFC"/>
    <w:rsid w:val="00FA1C6D"/>
    <w:rsid w:val="00FA2D35"/>
    <w:rsid w:val="00FA5617"/>
    <w:rsid w:val="00FA60F4"/>
    <w:rsid w:val="00FB3CC1"/>
    <w:rsid w:val="00FB5966"/>
    <w:rsid w:val="00FC130E"/>
    <w:rsid w:val="00FC3776"/>
    <w:rsid w:val="00FC4EEC"/>
    <w:rsid w:val="00FD4426"/>
    <w:rsid w:val="00FD7DE5"/>
    <w:rsid w:val="00FE5BC0"/>
    <w:rsid w:val="00FE69EC"/>
    <w:rsid w:val="00FF0694"/>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C3A"/>
  <w15:docId w15:val="{E9855850-1E0D-45F7-8CBB-C0DDF12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A7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6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154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9EA"/>
    <w:pPr>
      <w:ind w:left="720"/>
      <w:contextualSpacing/>
    </w:pPr>
  </w:style>
  <w:style w:type="paragraph" w:customStyle="1" w:styleId="block1">
    <w:name w:val="block1"/>
    <w:basedOn w:val="Normal"/>
    <w:rsid w:val="00C339EA"/>
    <w:pPr>
      <w:spacing w:before="100" w:beforeAutospacing="1" w:after="100" w:afterAutospacing="1"/>
    </w:pPr>
    <w:rPr>
      <w:sz w:val="19"/>
      <w:szCs w:val="19"/>
    </w:rPr>
  </w:style>
  <w:style w:type="paragraph" w:styleId="NoSpacing">
    <w:name w:val="No Spacing"/>
    <w:uiPriority w:val="1"/>
    <w:qFormat/>
    <w:rsid w:val="00C339E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74E"/>
    <w:rPr>
      <w:rFonts w:ascii="Tahoma" w:hAnsi="Tahoma" w:cs="Tahoma"/>
      <w:sz w:val="16"/>
      <w:szCs w:val="16"/>
    </w:rPr>
  </w:style>
  <w:style w:type="character" w:customStyle="1" w:styleId="BalloonTextChar">
    <w:name w:val="Balloon Text Char"/>
    <w:basedOn w:val="DefaultParagraphFont"/>
    <w:link w:val="BalloonText"/>
    <w:uiPriority w:val="99"/>
    <w:semiHidden/>
    <w:rsid w:val="0033074E"/>
    <w:rPr>
      <w:rFonts w:ascii="Tahoma" w:eastAsia="Times New Roman" w:hAnsi="Tahoma" w:cs="Tahoma"/>
      <w:sz w:val="16"/>
      <w:szCs w:val="16"/>
    </w:rPr>
  </w:style>
  <w:style w:type="paragraph" w:customStyle="1" w:styleId="Default">
    <w:name w:val="Default"/>
    <w:rsid w:val="00965F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7176"/>
    <w:pPr>
      <w:tabs>
        <w:tab w:val="center" w:pos="4680"/>
        <w:tab w:val="right" w:pos="9360"/>
      </w:tabs>
    </w:pPr>
  </w:style>
  <w:style w:type="character" w:customStyle="1" w:styleId="HeaderChar">
    <w:name w:val="Header Char"/>
    <w:basedOn w:val="DefaultParagraphFont"/>
    <w:link w:val="Header"/>
    <w:uiPriority w:val="99"/>
    <w:rsid w:val="00C271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176"/>
    <w:pPr>
      <w:tabs>
        <w:tab w:val="center" w:pos="4680"/>
        <w:tab w:val="right" w:pos="9360"/>
      </w:tabs>
    </w:pPr>
  </w:style>
  <w:style w:type="character" w:customStyle="1" w:styleId="FooterChar">
    <w:name w:val="Footer Char"/>
    <w:basedOn w:val="DefaultParagraphFont"/>
    <w:link w:val="Footer"/>
    <w:uiPriority w:val="99"/>
    <w:rsid w:val="00C2717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A77D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019CA"/>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6596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16596D"/>
    <w:pPr>
      <w:widowControl w:val="0"/>
      <w:autoSpaceDE w:val="0"/>
      <w:autoSpaceDN w:val="0"/>
    </w:pPr>
  </w:style>
  <w:style w:type="character" w:customStyle="1" w:styleId="BodyTextChar">
    <w:name w:val="Body Text Char"/>
    <w:basedOn w:val="DefaultParagraphFont"/>
    <w:link w:val="BodyText"/>
    <w:uiPriority w:val="1"/>
    <w:rsid w:val="001659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649"/>
    <w:rPr>
      <w:color w:val="0000FF" w:themeColor="hyperlink"/>
      <w:u w:val="single"/>
    </w:rPr>
  </w:style>
  <w:style w:type="character" w:customStyle="1" w:styleId="Heading4Char">
    <w:name w:val="Heading 4 Char"/>
    <w:basedOn w:val="DefaultParagraphFont"/>
    <w:link w:val="Heading4"/>
    <w:uiPriority w:val="9"/>
    <w:semiHidden/>
    <w:rsid w:val="0001549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7441">
      <w:bodyDiv w:val="1"/>
      <w:marLeft w:val="0"/>
      <w:marRight w:val="0"/>
      <w:marTop w:val="0"/>
      <w:marBottom w:val="0"/>
      <w:divBdr>
        <w:top w:val="none" w:sz="0" w:space="0" w:color="auto"/>
        <w:left w:val="none" w:sz="0" w:space="0" w:color="auto"/>
        <w:bottom w:val="none" w:sz="0" w:space="0" w:color="auto"/>
        <w:right w:val="none" w:sz="0" w:space="0" w:color="auto"/>
      </w:divBdr>
    </w:div>
    <w:div w:id="497774005">
      <w:bodyDiv w:val="1"/>
      <w:marLeft w:val="0"/>
      <w:marRight w:val="0"/>
      <w:marTop w:val="0"/>
      <w:marBottom w:val="0"/>
      <w:divBdr>
        <w:top w:val="none" w:sz="0" w:space="0" w:color="auto"/>
        <w:left w:val="none" w:sz="0" w:space="0" w:color="auto"/>
        <w:bottom w:val="none" w:sz="0" w:space="0" w:color="auto"/>
        <w:right w:val="none" w:sz="0" w:space="0" w:color="auto"/>
      </w:divBdr>
    </w:div>
    <w:div w:id="508905428">
      <w:bodyDiv w:val="1"/>
      <w:marLeft w:val="0"/>
      <w:marRight w:val="0"/>
      <w:marTop w:val="0"/>
      <w:marBottom w:val="0"/>
      <w:divBdr>
        <w:top w:val="none" w:sz="0" w:space="0" w:color="auto"/>
        <w:left w:val="none" w:sz="0" w:space="0" w:color="auto"/>
        <w:bottom w:val="none" w:sz="0" w:space="0" w:color="auto"/>
        <w:right w:val="none" w:sz="0" w:space="0" w:color="auto"/>
      </w:divBdr>
    </w:div>
    <w:div w:id="526527176">
      <w:bodyDiv w:val="1"/>
      <w:marLeft w:val="0"/>
      <w:marRight w:val="0"/>
      <w:marTop w:val="0"/>
      <w:marBottom w:val="0"/>
      <w:divBdr>
        <w:top w:val="none" w:sz="0" w:space="0" w:color="auto"/>
        <w:left w:val="none" w:sz="0" w:space="0" w:color="auto"/>
        <w:bottom w:val="none" w:sz="0" w:space="0" w:color="auto"/>
        <w:right w:val="none" w:sz="0" w:space="0" w:color="auto"/>
      </w:divBdr>
    </w:div>
    <w:div w:id="1036387569">
      <w:bodyDiv w:val="1"/>
      <w:marLeft w:val="0"/>
      <w:marRight w:val="0"/>
      <w:marTop w:val="0"/>
      <w:marBottom w:val="0"/>
      <w:divBdr>
        <w:top w:val="none" w:sz="0" w:space="0" w:color="auto"/>
        <w:left w:val="none" w:sz="0" w:space="0" w:color="auto"/>
        <w:bottom w:val="none" w:sz="0" w:space="0" w:color="auto"/>
        <w:right w:val="none" w:sz="0" w:space="0" w:color="auto"/>
      </w:divBdr>
    </w:div>
    <w:div w:id="1152452643">
      <w:bodyDiv w:val="1"/>
      <w:marLeft w:val="0"/>
      <w:marRight w:val="0"/>
      <w:marTop w:val="0"/>
      <w:marBottom w:val="0"/>
      <w:divBdr>
        <w:top w:val="none" w:sz="0" w:space="0" w:color="auto"/>
        <w:left w:val="none" w:sz="0" w:space="0" w:color="auto"/>
        <w:bottom w:val="none" w:sz="0" w:space="0" w:color="auto"/>
        <w:right w:val="none" w:sz="0" w:space="0" w:color="auto"/>
      </w:divBdr>
    </w:div>
    <w:div w:id="1192769622">
      <w:bodyDiv w:val="1"/>
      <w:marLeft w:val="0"/>
      <w:marRight w:val="0"/>
      <w:marTop w:val="0"/>
      <w:marBottom w:val="0"/>
      <w:divBdr>
        <w:top w:val="none" w:sz="0" w:space="0" w:color="auto"/>
        <w:left w:val="none" w:sz="0" w:space="0" w:color="auto"/>
        <w:bottom w:val="none" w:sz="0" w:space="0" w:color="auto"/>
        <w:right w:val="none" w:sz="0" w:space="0" w:color="auto"/>
      </w:divBdr>
    </w:div>
    <w:div w:id="1257521289">
      <w:bodyDiv w:val="1"/>
      <w:marLeft w:val="0"/>
      <w:marRight w:val="0"/>
      <w:marTop w:val="0"/>
      <w:marBottom w:val="0"/>
      <w:divBdr>
        <w:top w:val="none" w:sz="0" w:space="0" w:color="auto"/>
        <w:left w:val="none" w:sz="0" w:space="0" w:color="auto"/>
        <w:bottom w:val="none" w:sz="0" w:space="0" w:color="auto"/>
        <w:right w:val="none" w:sz="0" w:space="0" w:color="auto"/>
      </w:divBdr>
    </w:div>
    <w:div w:id="1383288962">
      <w:bodyDiv w:val="1"/>
      <w:marLeft w:val="0"/>
      <w:marRight w:val="0"/>
      <w:marTop w:val="0"/>
      <w:marBottom w:val="0"/>
      <w:divBdr>
        <w:top w:val="none" w:sz="0" w:space="0" w:color="auto"/>
        <w:left w:val="none" w:sz="0" w:space="0" w:color="auto"/>
        <w:bottom w:val="none" w:sz="0" w:space="0" w:color="auto"/>
        <w:right w:val="none" w:sz="0" w:space="0" w:color="auto"/>
      </w:divBdr>
    </w:div>
    <w:div w:id="1627395277">
      <w:bodyDiv w:val="1"/>
      <w:marLeft w:val="0"/>
      <w:marRight w:val="0"/>
      <w:marTop w:val="0"/>
      <w:marBottom w:val="0"/>
      <w:divBdr>
        <w:top w:val="none" w:sz="0" w:space="0" w:color="auto"/>
        <w:left w:val="none" w:sz="0" w:space="0" w:color="auto"/>
        <w:bottom w:val="none" w:sz="0" w:space="0" w:color="auto"/>
        <w:right w:val="none" w:sz="0" w:space="0" w:color="auto"/>
      </w:divBdr>
    </w:div>
    <w:div w:id="1827352664">
      <w:bodyDiv w:val="1"/>
      <w:marLeft w:val="0"/>
      <w:marRight w:val="0"/>
      <w:marTop w:val="0"/>
      <w:marBottom w:val="0"/>
      <w:divBdr>
        <w:top w:val="none" w:sz="0" w:space="0" w:color="auto"/>
        <w:left w:val="none" w:sz="0" w:space="0" w:color="auto"/>
        <w:bottom w:val="none" w:sz="0" w:space="0" w:color="auto"/>
        <w:right w:val="none" w:sz="0" w:space="0" w:color="auto"/>
      </w:divBdr>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25E1-B0AA-4D55-9017-CCA62539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Stribling, Chuck (LABOR)</dc:creator>
  <cp:lastModifiedBy>Stribling, Chuck (ELC)</cp:lastModifiedBy>
  <cp:revision>9</cp:revision>
  <cp:lastPrinted>2024-06-24T19:22:00Z</cp:lastPrinted>
  <dcterms:created xsi:type="dcterms:W3CDTF">2025-07-01T19:13:00Z</dcterms:created>
  <dcterms:modified xsi:type="dcterms:W3CDTF">2025-07-02T18:08:00Z</dcterms:modified>
</cp:coreProperties>
</file>