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5AAA2" w14:textId="77777777" w:rsidR="006948E6" w:rsidRPr="006948E6" w:rsidRDefault="006948E6" w:rsidP="00B75B0D">
      <w:pPr>
        <w:keepNext/>
        <w:keepLines/>
        <w:spacing w:before="480" w:line="276" w:lineRule="auto"/>
        <w:outlineLvl w:val="0"/>
        <w:rPr>
          <w:rFonts w:ascii="Calibri" w:eastAsia="Times New Roman" w:hAnsi="Calibri" w:cs="Times New Roman"/>
          <w:b/>
          <w:bCs/>
          <w:iCs/>
          <w:kern w:val="0"/>
          <w:sz w:val="28"/>
          <w:szCs w:val="28"/>
          <w14:ligatures w14:val="none"/>
        </w:rPr>
      </w:pPr>
      <w:bookmarkStart w:id="0" w:name="_Toc118900169"/>
      <w:bookmarkStart w:id="1" w:name="_Toc118905008"/>
      <w:r w:rsidRPr="006948E6">
        <w:rPr>
          <w:rFonts w:ascii="Calibri" w:eastAsia="Times New Roman" w:hAnsi="Calibri" w:cs="Times New Roman"/>
          <w:b/>
          <w:bCs/>
          <w:iCs/>
          <w:kern w:val="0"/>
          <w:sz w:val="28"/>
          <w:szCs w:val="28"/>
          <w14:ligatures w14:val="none"/>
        </w:rPr>
        <w:t>FY 2024 Follow-up Federal Annual Monitoring Evaluation (FAME) Report</w:t>
      </w:r>
      <w:bookmarkEnd w:id="0"/>
      <w:bookmarkEnd w:id="1"/>
    </w:p>
    <w:p w14:paraId="644FF0B3" w14:textId="77777777" w:rsidR="006948E6" w:rsidRPr="006948E6" w:rsidRDefault="006948E6" w:rsidP="00986BE7">
      <w:pPr>
        <w:jc w:val="center"/>
        <w:rPr>
          <w:rFonts w:ascii="Calibri" w:eastAsia="Times New Roman" w:hAnsi="Calibri" w:cs="Calibri"/>
          <w:bCs/>
          <w:iCs/>
          <w:kern w:val="0"/>
          <w:sz w:val="24"/>
          <w:szCs w:val="24"/>
          <w14:ligatures w14:val="none"/>
        </w:rPr>
      </w:pPr>
    </w:p>
    <w:p w14:paraId="69D1F9F0" w14:textId="031502B7" w:rsidR="006948E6" w:rsidRPr="006948E6" w:rsidRDefault="006948E6" w:rsidP="00DE666D">
      <w:pPr>
        <w:jc w:val="center"/>
        <w:rPr>
          <w:rFonts w:ascii="Calibri" w:eastAsia="Times New Roman" w:hAnsi="Calibri" w:cs="Calibri"/>
          <w:iCs/>
          <w:kern w:val="0"/>
          <w:sz w:val="24"/>
          <w:szCs w:val="24"/>
          <w14:ligatures w14:val="none"/>
        </w:rPr>
      </w:pPr>
    </w:p>
    <w:p w14:paraId="376E5025" w14:textId="77777777" w:rsidR="006948E6" w:rsidRPr="006948E6" w:rsidRDefault="006948E6" w:rsidP="00986BE7">
      <w:pPr>
        <w:jc w:val="center"/>
        <w:rPr>
          <w:rFonts w:ascii="Calibri" w:eastAsia="Times New Roman" w:hAnsi="Calibri" w:cs="Calibri"/>
          <w:b/>
          <w:iCs/>
          <w:kern w:val="0"/>
          <w:sz w:val="24"/>
          <w:szCs w:val="24"/>
          <w14:ligatures w14:val="none"/>
        </w:rPr>
      </w:pPr>
    </w:p>
    <w:p w14:paraId="1E055AC2" w14:textId="77777777" w:rsidR="006948E6" w:rsidRPr="006948E6" w:rsidRDefault="006948E6" w:rsidP="00B75B0D">
      <w:pPr>
        <w:rPr>
          <w:rFonts w:ascii="Calibri" w:eastAsia="Times New Roman" w:hAnsi="Calibri" w:cs="Calibri"/>
          <w:b/>
          <w:iCs/>
          <w:kern w:val="0"/>
          <w:sz w:val="24"/>
          <w:szCs w:val="24"/>
          <w14:ligatures w14:val="none"/>
        </w:rPr>
      </w:pPr>
      <w:r w:rsidRPr="006948E6">
        <w:rPr>
          <w:rFonts w:ascii="Calibri" w:eastAsia="Times New Roman" w:hAnsi="Calibri" w:cs="Calibri"/>
          <w:b/>
          <w:iCs/>
          <w:kern w:val="0"/>
          <w:sz w:val="24"/>
          <w:szCs w:val="24"/>
          <w14:ligatures w14:val="none"/>
        </w:rPr>
        <w:t>Virginia Occupational Safety and Health (VOSH) Program</w:t>
      </w:r>
    </w:p>
    <w:p w14:paraId="4E778A9C" w14:textId="77777777" w:rsidR="006948E6" w:rsidRPr="006948E6" w:rsidRDefault="006948E6" w:rsidP="00986BE7">
      <w:pPr>
        <w:jc w:val="center"/>
        <w:rPr>
          <w:rFonts w:ascii="Calibri" w:eastAsia="Times New Roman" w:hAnsi="Calibri" w:cs="Calibri"/>
          <w:bCs/>
          <w:iCs/>
          <w:kern w:val="0"/>
          <w:sz w:val="24"/>
          <w:szCs w:val="24"/>
          <w14:ligatures w14:val="none"/>
        </w:rPr>
      </w:pPr>
    </w:p>
    <w:p w14:paraId="5B0D5D1C" w14:textId="77777777" w:rsidR="006948E6" w:rsidRPr="006948E6" w:rsidRDefault="006948E6" w:rsidP="00986BE7">
      <w:pPr>
        <w:jc w:val="center"/>
        <w:rPr>
          <w:rFonts w:ascii="Calibri" w:eastAsia="Times New Roman" w:hAnsi="Calibri" w:cs="Calibri"/>
          <w:bCs/>
          <w:iCs/>
          <w:kern w:val="0"/>
          <w:sz w:val="24"/>
          <w:szCs w:val="24"/>
          <w14:ligatures w14:val="none"/>
        </w:rPr>
      </w:pPr>
    </w:p>
    <w:p w14:paraId="2AB9DE3B" w14:textId="77777777" w:rsidR="006948E6" w:rsidRPr="006948E6" w:rsidRDefault="006948E6" w:rsidP="00B75B0D">
      <w:pPr>
        <w:rPr>
          <w:rFonts w:ascii="Calibri" w:eastAsia="Times New Roman" w:hAnsi="Calibri" w:cs="Calibri"/>
          <w:bCs/>
          <w:iCs/>
          <w:kern w:val="0"/>
          <w:sz w:val="24"/>
          <w:szCs w:val="24"/>
          <w14:ligatures w14:val="none"/>
        </w:rPr>
      </w:pPr>
      <w:r w:rsidRPr="006948E6">
        <w:rPr>
          <w:rFonts w:ascii="Calibri" w:eastAsia="Times New Roman" w:hAnsi="Calibri" w:cs="Calibri"/>
          <w:bCs/>
          <w:iCs/>
          <w:noProof/>
          <w:color w:val="0070C0"/>
          <w:kern w:val="0"/>
          <w:sz w:val="24"/>
          <w:szCs w:val="24"/>
          <w14:ligatures w14:val="none"/>
        </w:rPr>
        <w:drawing>
          <wp:inline distT="0" distB="0" distL="0" distR="0" wp14:anchorId="72B9BE38" wp14:editId="5AC34E39">
            <wp:extent cx="2804160" cy="1633855"/>
            <wp:effectExtent l="0" t="0" r="0" b="4445"/>
            <wp:docPr id="1" name="Picture 1" descr="Virginia Department of Labor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rginia Department of Labor Embl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4160" cy="1633855"/>
                    </a:xfrm>
                    <a:prstGeom prst="rect">
                      <a:avLst/>
                    </a:prstGeom>
                    <a:noFill/>
                  </pic:spPr>
                </pic:pic>
              </a:graphicData>
            </a:graphic>
          </wp:inline>
        </w:drawing>
      </w:r>
    </w:p>
    <w:p w14:paraId="378F35DB" w14:textId="77777777" w:rsidR="006948E6" w:rsidRPr="006948E6" w:rsidRDefault="006948E6" w:rsidP="00986BE7">
      <w:pPr>
        <w:jc w:val="center"/>
        <w:rPr>
          <w:rFonts w:ascii="Calibri" w:eastAsia="Times New Roman" w:hAnsi="Calibri" w:cs="Calibri"/>
          <w:b/>
          <w:iCs/>
          <w:kern w:val="0"/>
          <w:sz w:val="24"/>
          <w:szCs w:val="24"/>
          <w14:ligatures w14:val="none"/>
        </w:rPr>
      </w:pPr>
    </w:p>
    <w:p w14:paraId="0C11E3C9" w14:textId="77777777" w:rsidR="006948E6" w:rsidRPr="006948E6" w:rsidRDefault="006948E6" w:rsidP="00B75B0D">
      <w:pPr>
        <w:tabs>
          <w:tab w:val="left" w:pos="720"/>
          <w:tab w:val="left" w:pos="1440"/>
          <w:tab w:val="left" w:pos="2160"/>
        </w:tabs>
        <w:rPr>
          <w:rFonts w:ascii="Calibri" w:eastAsia="Times New Roman" w:hAnsi="Calibri" w:cs="Calibri"/>
          <w:iCs/>
          <w:kern w:val="0"/>
          <w:sz w:val="24"/>
          <w:szCs w:val="24"/>
          <w14:ligatures w14:val="none"/>
        </w:rPr>
      </w:pPr>
      <w:r w:rsidRPr="006948E6">
        <w:rPr>
          <w:rFonts w:ascii="Calibri" w:eastAsia="Batang" w:hAnsi="Calibri" w:cs="Calibri"/>
          <w:b/>
          <w:iCs/>
          <w:kern w:val="0"/>
          <w:sz w:val="28"/>
          <w:szCs w:val="28"/>
          <w14:ligatures w14:val="none"/>
        </w:rPr>
        <w:t>Evaluation Period: October 1, 2023 – September 30, 2024</w:t>
      </w:r>
    </w:p>
    <w:p w14:paraId="255C459A" w14:textId="77777777" w:rsidR="006948E6" w:rsidRPr="006948E6" w:rsidRDefault="006948E6" w:rsidP="00986BE7">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eastAsia="Times New Roman" w:hAnsi="Calibri" w:cs="Calibri"/>
          <w:iCs/>
          <w:kern w:val="0"/>
          <w:sz w:val="24"/>
          <w:szCs w:val="24"/>
          <w14:ligatures w14:val="none"/>
        </w:rPr>
      </w:pPr>
    </w:p>
    <w:p w14:paraId="5FE6E588" w14:textId="77777777" w:rsidR="006948E6" w:rsidRPr="006948E6" w:rsidRDefault="006948E6" w:rsidP="00986BE7">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eastAsia="Times New Roman" w:hAnsi="Calibri" w:cs="Calibri"/>
          <w:iCs/>
          <w:kern w:val="0"/>
          <w:sz w:val="24"/>
          <w:szCs w:val="24"/>
          <w14:ligatures w14:val="none"/>
        </w:rPr>
      </w:pPr>
    </w:p>
    <w:p w14:paraId="38008246" w14:textId="77777777" w:rsidR="006948E6" w:rsidRPr="006948E6" w:rsidRDefault="006948E6" w:rsidP="00986BE7">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eastAsia="Times New Roman" w:hAnsi="Calibri" w:cs="Calibri"/>
          <w:b/>
          <w:iCs/>
          <w:kern w:val="0"/>
          <w:sz w:val="24"/>
          <w:szCs w:val="24"/>
          <w14:ligatures w14:val="none"/>
        </w:rPr>
      </w:pPr>
    </w:p>
    <w:p w14:paraId="0692988A" w14:textId="77777777" w:rsidR="006948E6" w:rsidRPr="006948E6" w:rsidRDefault="006948E6" w:rsidP="00B75B0D">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Batang" w:hAnsi="Calibri" w:cs="Calibri"/>
          <w:b/>
          <w:iCs/>
          <w:kern w:val="0"/>
          <w:sz w:val="24"/>
          <w:szCs w:val="24"/>
          <w14:ligatures w14:val="none"/>
        </w:rPr>
      </w:pPr>
      <w:r w:rsidRPr="006948E6">
        <w:rPr>
          <w:rFonts w:ascii="Calibri" w:eastAsia="Batang" w:hAnsi="Calibri" w:cs="Calibri"/>
          <w:b/>
          <w:iCs/>
          <w:kern w:val="0"/>
          <w:sz w:val="24"/>
          <w:szCs w:val="24"/>
          <w14:ligatures w14:val="none"/>
        </w:rPr>
        <w:t>Initial Approval Date:  September 28, 1976</w:t>
      </w:r>
    </w:p>
    <w:p w14:paraId="40F2A932" w14:textId="77777777" w:rsidR="006948E6" w:rsidRPr="006948E6" w:rsidRDefault="006948E6" w:rsidP="00B75B0D">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Batang" w:hAnsi="Calibri" w:cs="Calibri"/>
          <w:b/>
          <w:iCs/>
          <w:kern w:val="0"/>
          <w:sz w:val="24"/>
          <w:szCs w:val="24"/>
          <w14:ligatures w14:val="none"/>
        </w:rPr>
      </w:pPr>
      <w:r w:rsidRPr="006948E6">
        <w:rPr>
          <w:rFonts w:ascii="Calibri" w:eastAsia="Batang" w:hAnsi="Calibri" w:cs="Calibri"/>
          <w:b/>
          <w:iCs/>
          <w:kern w:val="0"/>
          <w:sz w:val="24"/>
          <w:szCs w:val="24"/>
          <w14:ligatures w14:val="none"/>
        </w:rPr>
        <w:t>Program Certification Date: August 21, 1984</w:t>
      </w:r>
    </w:p>
    <w:p w14:paraId="3851AC72" w14:textId="5815D35D" w:rsidR="006948E6" w:rsidRPr="006948E6" w:rsidRDefault="006948E6" w:rsidP="00B75B0D">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center" w:pos="4770"/>
        </w:tabs>
        <w:rPr>
          <w:rFonts w:ascii="Calibri" w:eastAsia="Times New Roman" w:hAnsi="Calibri" w:cs="Calibri"/>
          <w:b/>
          <w:iCs/>
          <w:kern w:val="0"/>
          <w:sz w:val="24"/>
          <w:szCs w:val="24"/>
          <w14:ligatures w14:val="none"/>
        </w:rPr>
      </w:pPr>
      <w:r w:rsidRPr="006948E6">
        <w:rPr>
          <w:rFonts w:ascii="Calibri" w:eastAsia="Batang" w:hAnsi="Calibri" w:cs="Calibri"/>
          <w:b/>
          <w:iCs/>
          <w:kern w:val="0"/>
          <w:sz w:val="24"/>
          <w:szCs w:val="24"/>
          <w14:ligatures w14:val="none"/>
        </w:rPr>
        <w:t>Final Approval Date: November 30, 1988</w:t>
      </w:r>
    </w:p>
    <w:p w14:paraId="30515D9E" w14:textId="77777777" w:rsidR="006948E6" w:rsidRPr="006948E6" w:rsidRDefault="006948E6" w:rsidP="00986BE7">
      <w:pPr>
        <w:jc w:val="center"/>
        <w:rPr>
          <w:rFonts w:ascii="Calibri" w:eastAsia="Times New Roman" w:hAnsi="Calibri" w:cs="Calibri"/>
          <w:b/>
          <w:bCs/>
          <w:iCs/>
          <w:kern w:val="0"/>
          <w:sz w:val="24"/>
          <w:szCs w:val="24"/>
          <w14:ligatures w14:val="none"/>
        </w:rPr>
      </w:pPr>
    </w:p>
    <w:p w14:paraId="3C8145D3" w14:textId="77777777" w:rsidR="006948E6" w:rsidRPr="006948E6" w:rsidRDefault="006948E6" w:rsidP="00DE666D">
      <w:pPr>
        <w:jc w:val="center"/>
        <w:rPr>
          <w:rFonts w:ascii="Calibri" w:eastAsia="Times New Roman" w:hAnsi="Calibri" w:cs="Calibri"/>
          <w:b/>
          <w:iCs/>
          <w:kern w:val="0"/>
          <w:sz w:val="24"/>
          <w:szCs w:val="24"/>
          <w14:ligatures w14:val="none"/>
        </w:rPr>
      </w:pPr>
    </w:p>
    <w:p w14:paraId="466077CF" w14:textId="77777777" w:rsidR="006948E6" w:rsidRPr="006948E6" w:rsidRDefault="006948E6" w:rsidP="00986BE7">
      <w:pPr>
        <w:tabs>
          <w:tab w:val="right" w:pos="9720"/>
        </w:tabs>
        <w:jc w:val="center"/>
        <w:rPr>
          <w:rFonts w:ascii="Calibri" w:eastAsia="Times New Roman" w:hAnsi="Calibri" w:cs="Calibri"/>
          <w:b/>
          <w:bCs/>
          <w:iCs/>
          <w:kern w:val="0"/>
          <w:sz w:val="24"/>
          <w:szCs w:val="24"/>
          <w14:ligatures w14:val="none"/>
        </w:rPr>
      </w:pPr>
    </w:p>
    <w:p w14:paraId="7DE116F6" w14:textId="77777777" w:rsidR="006948E6" w:rsidRPr="006948E6" w:rsidRDefault="006948E6" w:rsidP="00986BE7">
      <w:pPr>
        <w:tabs>
          <w:tab w:val="right" w:pos="9720"/>
        </w:tabs>
        <w:jc w:val="center"/>
        <w:rPr>
          <w:rFonts w:ascii="Calibri" w:eastAsia="Times New Roman" w:hAnsi="Calibri" w:cs="Calibri"/>
          <w:b/>
          <w:bCs/>
          <w:iCs/>
          <w:kern w:val="0"/>
          <w:sz w:val="24"/>
          <w:szCs w:val="24"/>
          <w14:ligatures w14:val="none"/>
        </w:rPr>
      </w:pPr>
    </w:p>
    <w:p w14:paraId="3F3AE89B" w14:textId="77777777" w:rsidR="006948E6" w:rsidRPr="006948E6" w:rsidRDefault="006948E6" w:rsidP="00986BE7">
      <w:pPr>
        <w:jc w:val="center"/>
        <w:rPr>
          <w:rFonts w:ascii="Calibri" w:eastAsia="Times New Roman" w:hAnsi="Calibri" w:cs="Calibri"/>
          <w:bCs/>
          <w:iCs/>
          <w:kern w:val="0"/>
          <w:sz w:val="24"/>
          <w:szCs w:val="24"/>
          <w14:ligatures w14:val="none"/>
        </w:rPr>
      </w:pPr>
    </w:p>
    <w:p w14:paraId="51FA6B48" w14:textId="77777777" w:rsidR="006948E6" w:rsidRPr="006948E6" w:rsidRDefault="006948E6" w:rsidP="00B75B0D">
      <w:pPr>
        <w:rPr>
          <w:rFonts w:ascii="Calibri" w:eastAsia="Times New Roman" w:hAnsi="Calibri" w:cs="Calibri"/>
          <w:b/>
          <w:iCs/>
          <w:kern w:val="0"/>
          <w:sz w:val="24"/>
          <w:szCs w:val="24"/>
          <w14:ligatures w14:val="none"/>
        </w:rPr>
      </w:pPr>
      <w:r w:rsidRPr="006948E6">
        <w:rPr>
          <w:rFonts w:ascii="Calibri" w:eastAsia="Times New Roman" w:hAnsi="Calibri" w:cs="Calibri"/>
          <w:b/>
          <w:iCs/>
          <w:kern w:val="0"/>
          <w:sz w:val="24"/>
          <w:szCs w:val="24"/>
          <w14:ligatures w14:val="none"/>
        </w:rPr>
        <w:t>Prepared by:</w:t>
      </w:r>
    </w:p>
    <w:p w14:paraId="0EF2955B" w14:textId="585A690F" w:rsidR="006948E6" w:rsidRPr="006948E6" w:rsidRDefault="006948E6" w:rsidP="00B75B0D">
      <w:pPr>
        <w:rPr>
          <w:rFonts w:ascii="Calibri" w:eastAsia="Times New Roman" w:hAnsi="Calibri" w:cs="Calibri"/>
          <w:b/>
          <w:iCs/>
          <w:kern w:val="0"/>
          <w:sz w:val="24"/>
          <w:szCs w:val="24"/>
          <w14:ligatures w14:val="none"/>
        </w:rPr>
      </w:pPr>
      <w:r w:rsidRPr="006948E6">
        <w:rPr>
          <w:rFonts w:ascii="Calibri" w:eastAsia="Times New Roman" w:hAnsi="Calibri" w:cs="Calibri"/>
          <w:b/>
          <w:iCs/>
          <w:kern w:val="0"/>
          <w:sz w:val="24"/>
          <w:szCs w:val="24"/>
          <w14:ligatures w14:val="none"/>
        </w:rPr>
        <w:t>U. S. Department of Labor</w:t>
      </w:r>
    </w:p>
    <w:p w14:paraId="0B5882A1" w14:textId="77777777" w:rsidR="006948E6" w:rsidRPr="006948E6" w:rsidRDefault="006948E6" w:rsidP="00B75B0D">
      <w:pPr>
        <w:rPr>
          <w:rFonts w:ascii="Calibri" w:eastAsia="Times New Roman" w:hAnsi="Calibri" w:cs="Calibri"/>
          <w:b/>
          <w:iCs/>
          <w:kern w:val="0"/>
          <w:sz w:val="24"/>
          <w:szCs w:val="24"/>
          <w14:ligatures w14:val="none"/>
        </w:rPr>
      </w:pPr>
      <w:r w:rsidRPr="006948E6">
        <w:rPr>
          <w:rFonts w:ascii="Calibri" w:eastAsia="Times New Roman" w:hAnsi="Calibri" w:cs="Calibri"/>
          <w:b/>
          <w:iCs/>
          <w:kern w:val="0"/>
          <w:sz w:val="24"/>
          <w:szCs w:val="24"/>
          <w14:ligatures w14:val="none"/>
        </w:rPr>
        <w:t>Occupational Safety and Health Administration</w:t>
      </w:r>
    </w:p>
    <w:p w14:paraId="5D98014D" w14:textId="77777777" w:rsidR="006948E6" w:rsidRPr="006948E6" w:rsidRDefault="006948E6" w:rsidP="00B75B0D">
      <w:pPr>
        <w:rPr>
          <w:rFonts w:ascii="Calibri" w:eastAsia="Times New Roman" w:hAnsi="Calibri" w:cs="Calibri"/>
          <w:b/>
          <w:iCs/>
          <w:kern w:val="0"/>
          <w:sz w:val="24"/>
          <w:szCs w:val="24"/>
          <w14:ligatures w14:val="none"/>
        </w:rPr>
      </w:pPr>
      <w:r w:rsidRPr="006948E6">
        <w:rPr>
          <w:rFonts w:ascii="Calibri" w:eastAsia="Times New Roman" w:hAnsi="Calibri" w:cs="Calibri"/>
          <w:b/>
          <w:iCs/>
          <w:kern w:val="0"/>
          <w:sz w:val="24"/>
          <w:szCs w:val="24"/>
          <w14:ligatures w14:val="none"/>
        </w:rPr>
        <w:t>Philadelphia Region</w:t>
      </w:r>
    </w:p>
    <w:p w14:paraId="2B76C443" w14:textId="77777777" w:rsidR="006948E6" w:rsidRPr="006948E6" w:rsidRDefault="006948E6" w:rsidP="00B75B0D">
      <w:pPr>
        <w:rPr>
          <w:rFonts w:ascii="Calibri" w:eastAsia="Times New Roman" w:hAnsi="Calibri" w:cs="Calibri"/>
          <w:b/>
          <w:iCs/>
          <w:kern w:val="0"/>
          <w:sz w:val="24"/>
          <w:szCs w:val="24"/>
          <w14:ligatures w14:val="none"/>
        </w:rPr>
      </w:pPr>
      <w:r w:rsidRPr="006948E6">
        <w:rPr>
          <w:rFonts w:ascii="Calibri" w:eastAsia="Times New Roman" w:hAnsi="Calibri" w:cs="Calibri"/>
          <w:b/>
          <w:iCs/>
          <w:kern w:val="0"/>
          <w:sz w:val="24"/>
          <w:szCs w:val="24"/>
          <w14:ligatures w14:val="none"/>
        </w:rPr>
        <w:t>Philadelphia, Pennsylvania</w:t>
      </w:r>
    </w:p>
    <w:p w14:paraId="0653F74A" w14:textId="77777777" w:rsidR="006948E6" w:rsidRPr="006948E6" w:rsidRDefault="006948E6" w:rsidP="006948E6">
      <w:pPr>
        <w:jc w:val="center"/>
        <w:rPr>
          <w:rFonts w:ascii="Calibri" w:eastAsia="Times New Roman" w:hAnsi="Calibri" w:cs="Calibri"/>
          <w:b/>
          <w:iCs/>
          <w:kern w:val="0"/>
          <w:sz w:val="24"/>
          <w:szCs w:val="24"/>
          <w14:ligatures w14:val="none"/>
        </w:rPr>
      </w:pPr>
    </w:p>
    <w:p w14:paraId="5E428728" w14:textId="77777777" w:rsidR="006948E6" w:rsidRPr="006948E6" w:rsidRDefault="006948E6" w:rsidP="006948E6">
      <w:pPr>
        <w:jc w:val="center"/>
        <w:rPr>
          <w:rFonts w:ascii="Calibri" w:eastAsia="Times New Roman" w:hAnsi="Calibri" w:cs="Calibri"/>
          <w:b/>
          <w:iCs/>
          <w:kern w:val="0"/>
          <w:sz w:val="24"/>
          <w:szCs w:val="24"/>
          <w14:ligatures w14:val="none"/>
        </w:rPr>
      </w:pPr>
    </w:p>
    <w:p w14:paraId="3947E8FE" w14:textId="77777777" w:rsidR="006948E6" w:rsidRPr="006948E6" w:rsidRDefault="006948E6" w:rsidP="006948E6">
      <w:pPr>
        <w:jc w:val="center"/>
        <w:rPr>
          <w:rFonts w:ascii="Calibri" w:eastAsia="Times New Roman" w:hAnsi="Calibri" w:cs="Calibri"/>
          <w:b/>
          <w:iCs/>
          <w:kern w:val="0"/>
          <w:sz w:val="40"/>
          <w:szCs w:val="40"/>
          <w14:ligatures w14:val="none"/>
        </w:rPr>
      </w:pPr>
      <w:r w:rsidRPr="006948E6">
        <w:rPr>
          <w:rFonts w:ascii="Calibri" w:eastAsia="Times New Roman" w:hAnsi="Calibri" w:cs="Calibri"/>
          <w:iCs/>
          <w:noProof/>
          <w:kern w:val="0"/>
          <w:sz w:val="24"/>
          <w:szCs w:val="24"/>
          <w14:ligatures w14:val="none"/>
        </w:rPr>
        <w:drawing>
          <wp:inline distT="0" distB="0" distL="0" distR="0" wp14:anchorId="119CBF7F" wp14:editId="456B15FF">
            <wp:extent cx="1600200" cy="1009650"/>
            <wp:effectExtent l="0" t="0" r="0" b="0"/>
            <wp:docPr id="4" name="Picture 4"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_col_s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r w:rsidRPr="006948E6">
        <w:rPr>
          <w:rFonts w:ascii="Calibri" w:eastAsia="Times New Roman" w:hAnsi="Calibri" w:cs="Calibri"/>
          <w:b/>
          <w:iCs/>
          <w:kern w:val="0"/>
          <w:sz w:val="40"/>
          <w:szCs w:val="40"/>
          <w14:ligatures w14:val="none"/>
        </w:rPr>
        <w:br w:type="page"/>
      </w:r>
    </w:p>
    <w:p w14:paraId="16C21B7D" w14:textId="77777777" w:rsidR="006948E6" w:rsidRPr="006948E6" w:rsidRDefault="006948E6" w:rsidP="006948E6">
      <w:pPr>
        <w:rPr>
          <w:rFonts w:ascii="Calibri" w:eastAsia="Times New Roman" w:hAnsi="Calibri" w:cs="Calibri"/>
          <w:b/>
          <w:iCs/>
          <w:kern w:val="0"/>
          <w:sz w:val="28"/>
          <w:szCs w:val="28"/>
          <w14:ligatures w14:val="none"/>
        </w:rPr>
      </w:pPr>
      <w:r w:rsidRPr="006948E6">
        <w:rPr>
          <w:rFonts w:ascii="Calibri" w:eastAsia="Times New Roman" w:hAnsi="Calibri" w:cs="Calibri"/>
          <w:b/>
          <w:iCs/>
          <w:kern w:val="0"/>
          <w:sz w:val="28"/>
          <w:szCs w:val="28"/>
          <w14:ligatures w14:val="none"/>
        </w:rPr>
        <w:lastRenderedPageBreak/>
        <w:t>Table of Contents</w:t>
      </w:r>
    </w:p>
    <w:p w14:paraId="2FA53B44" w14:textId="12308071" w:rsidR="006948E6" w:rsidRPr="006948E6" w:rsidRDefault="006948E6" w:rsidP="006948E6">
      <w:pPr>
        <w:widowControl w:val="0"/>
        <w:tabs>
          <w:tab w:val="left" w:pos="480"/>
          <w:tab w:val="right" w:leader="dot" w:pos="9530"/>
        </w:tabs>
        <w:autoSpaceDE w:val="0"/>
        <w:autoSpaceDN w:val="0"/>
        <w:adjustRightInd w:val="0"/>
        <w:spacing w:before="240"/>
        <w:rPr>
          <w:rFonts w:ascii="Calibri" w:eastAsia="MS Mincho" w:hAnsi="Calibri" w:cs="Times New Roman"/>
          <w:b/>
          <w:iCs/>
          <w:noProof/>
          <w:kern w:val="0"/>
          <w14:ligatures w14:val="none"/>
        </w:rPr>
      </w:pPr>
      <w:r w:rsidRPr="006948E6">
        <w:rPr>
          <w:rFonts w:ascii="Calibri" w:eastAsia="Times New Roman" w:hAnsi="Calibri" w:cs="Calibri"/>
          <w:bCs/>
          <w:iCs/>
          <w:kern w:val="0"/>
          <w:sz w:val="28"/>
          <w:szCs w:val="20"/>
          <w14:ligatures w14:val="none"/>
        </w:rPr>
        <w:fldChar w:fldCharType="begin"/>
      </w:r>
      <w:r w:rsidRPr="006948E6">
        <w:rPr>
          <w:rFonts w:ascii="Calibri" w:eastAsia="Times New Roman" w:hAnsi="Calibri" w:cs="Calibri"/>
          <w:bCs/>
          <w:iCs/>
          <w:kern w:val="0"/>
          <w:sz w:val="28"/>
          <w:szCs w:val="20"/>
          <w14:ligatures w14:val="none"/>
        </w:rPr>
        <w:instrText xml:space="preserve"> TOC \o "2-3" \h \z \u \t "Level 1,1" </w:instrText>
      </w:r>
      <w:r w:rsidRPr="006948E6">
        <w:rPr>
          <w:rFonts w:ascii="Calibri" w:eastAsia="Times New Roman" w:hAnsi="Calibri" w:cs="Calibri"/>
          <w:bCs/>
          <w:iCs/>
          <w:kern w:val="0"/>
          <w:sz w:val="28"/>
          <w:szCs w:val="20"/>
          <w14:ligatures w14:val="none"/>
        </w:rPr>
        <w:fldChar w:fldCharType="separate"/>
      </w:r>
      <w:hyperlink w:anchor="_Toc119418663" w:history="1">
        <w:r w:rsidRPr="006948E6">
          <w:rPr>
            <w:rFonts w:ascii="Calibri" w:eastAsia="Times New Roman" w:hAnsi="Calibri" w:cs="Times New Roman"/>
            <w:bCs/>
            <w:iCs/>
            <w:noProof/>
            <w:kern w:val="0"/>
            <w:sz w:val="28"/>
            <w:szCs w:val="20"/>
            <w14:ligatures w14:val="none"/>
          </w:rPr>
          <w:t>I.</w:t>
        </w:r>
        <w:r w:rsidRPr="006948E6">
          <w:rPr>
            <w:rFonts w:ascii="Calibri" w:eastAsia="MS Mincho" w:hAnsi="Calibri" w:cs="Times New Roman"/>
            <w:b/>
            <w:iCs/>
            <w:noProof/>
            <w:kern w:val="0"/>
            <w14:ligatures w14:val="none"/>
          </w:rPr>
          <w:tab/>
        </w:r>
        <w:r w:rsidRPr="006948E6">
          <w:rPr>
            <w:rFonts w:ascii="Calibri" w:eastAsia="Times New Roman" w:hAnsi="Calibri" w:cs="Times New Roman"/>
            <w:bCs/>
            <w:iCs/>
            <w:noProof/>
            <w:kern w:val="0"/>
            <w:sz w:val="28"/>
            <w:szCs w:val="20"/>
            <w14:ligatures w14:val="none"/>
          </w:rPr>
          <w:t>Executive Summary</w:t>
        </w:r>
        <w:r w:rsidRPr="006948E6">
          <w:rPr>
            <w:rFonts w:ascii="Calibri" w:eastAsia="Times New Roman" w:hAnsi="Calibri" w:cs="Calibri"/>
            <w:bCs/>
            <w:iCs/>
            <w:noProof/>
            <w:webHidden/>
            <w:kern w:val="0"/>
            <w:sz w:val="28"/>
            <w:szCs w:val="20"/>
            <w14:ligatures w14:val="none"/>
          </w:rPr>
          <w:tab/>
        </w:r>
        <w:r w:rsidRPr="006948E6">
          <w:rPr>
            <w:rFonts w:ascii="Calibri" w:eastAsia="Times New Roman" w:hAnsi="Calibri" w:cs="Calibri"/>
            <w:bCs/>
            <w:iCs/>
            <w:noProof/>
            <w:webHidden/>
            <w:kern w:val="0"/>
            <w:sz w:val="28"/>
            <w:szCs w:val="20"/>
            <w14:ligatures w14:val="none"/>
          </w:rPr>
          <w:fldChar w:fldCharType="begin"/>
        </w:r>
        <w:r w:rsidRPr="006948E6">
          <w:rPr>
            <w:rFonts w:ascii="Calibri" w:eastAsia="Times New Roman" w:hAnsi="Calibri" w:cs="Calibri"/>
            <w:bCs/>
            <w:iCs/>
            <w:noProof/>
            <w:webHidden/>
            <w:kern w:val="0"/>
            <w:sz w:val="28"/>
            <w:szCs w:val="20"/>
            <w14:ligatures w14:val="none"/>
          </w:rPr>
          <w:instrText xml:space="preserve"> PAGEREF _Toc119418663 \h </w:instrText>
        </w:r>
        <w:r w:rsidRPr="006948E6">
          <w:rPr>
            <w:rFonts w:ascii="Calibri" w:eastAsia="Times New Roman" w:hAnsi="Calibri" w:cs="Calibri"/>
            <w:bCs/>
            <w:iCs/>
            <w:noProof/>
            <w:webHidden/>
            <w:kern w:val="0"/>
            <w:sz w:val="28"/>
            <w:szCs w:val="20"/>
            <w14:ligatures w14:val="none"/>
          </w:rPr>
        </w:r>
        <w:r w:rsidRPr="006948E6">
          <w:rPr>
            <w:rFonts w:ascii="Calibri" w:eastAsia="Times New Roman" w:hAnsi="Calibri" w:cs="Calibri"/>
            <w:bCs/>
            <w:iCs/>
            <w:noProof/>
            <w:webHidden/>
            <w:kern w:val="0"/>
            <w:sz w:val="28"/>
            <w:szCs w:val="20"/>
            <w14:ligatures w14:val="none"/>
          </w:rPr>
          <w:fldChar w:fldCharType="separate"/>
        </w:r>
        <w:r w:rsidR="00EC3C7F">
          <w:rPr>
            <w:rFonts w:ascii="Calibri" w:eastAsia="Times New Roman" w:hAnsi="Calibri" w:cs="Calibri"/>
            <w:bCs/>
            <w:iCs/>
            <w:noProof/>
            <w:webHidden/>
            <w:kern w:val="0"/>
            <w:sz w:val="28"/>
            <w:szCs w:val="20"/>
            <w14:ligatures w14:val="none"/>
          </w:rPr>
          <w:t>3</w:t>
        </w:r>
        <w:r w:rsidRPr="006948E6">
          <w:rPr>
            <w:rFonts w:ascii="Calibri" w:eastAsia="Times New Roman" w:hAnsi="Calibri" w:cs="Calibri"/>
            <w:bCs/>
            <w:iCs/>
            <w:noProof/>
            <w:webHidden/>
            <w:kern w:val="0"/>
            <w:sz w:val="28"/>
            <w:szCs w:val="20"/>
            <w14:ligatures w14:val="none"/>
          </w:rPr>
          <w:fldChar w:fldCharType="end"/>
        </w:r>
      </w:hyperlink>
    </w:p>
    <w:p w14:paraId="70DF63A9" w14:textId="1E7A7AB2" w:rsidR="006948E6" w:rsidRPr="006948E6" w:rsidRDefault="006948E6" w:rsidP="006948E6">
      <w:pPr>
        <w:widowControl w:val="0"/>
        <w:tabs>
          <w:tab w:val="left" w:pos="480"/>
          <w:tab w:val="right" w:leader="dot" w:pos="9530"/>
        </w:tabs>
        <w:autoSpaceDE w:val="0"/>
        <w:autoSpaceDN w:val="0"/>
        <w:adjustRightInd w:val="0"/>
        <w:spacing w:before="240"/>
        <w:rPr>
          <w:rFonts w:ascii="Calibri" w:eastAsia="MS Mincho" w:hAnsi="Calibri" w:cs="Times New Roman"/>
          <w:b/>
          <w:iCs/>
          <w:noProof/>
          <w:kern w:val="0"/>
          <w14:ligatures w14:val="none"/>
        </w:rPr>
      </w:pPr>
      <w:hyperlink w:anchor="_Toc119418664" w:history="1">
        <w:r w:rsidRPr="006948E6">
          <w:rPr>
            <w:rFonts w:ascii="Calibri" w:eastAsia="Times New Roman" w:hAnsi="Calibri" w:cs="Times New Roman"/>
            <w:bCs/>
            <w:iCs/>
            <w:noProof/>
            <w:kern w:val="0"/>
            <w:sz w:val="28"/>
            <w:szCs w:val="20"/>
            <w14:ligatures w14:val="none"/>
          </w:rPr>
          <w:t>II.</w:t>
        </w:r>
        <w:r w:rsidRPr="006948E6">
          <w:rPr>
            <w:rFonts w:ascii="Calibri" w:eastAsia="MS Mincho" w:hAnsi="Calibri" w:cs="Times New Roman"/>
            <w:b/>
            <w:iCs/>
            <w:noProof/>
            <w:kern w:val="0"/>
            <w14:ligatures w14:val="none"/>
          </w:rPr>
          <w:tab/>
        </w:r>
        <w:r w:rsidRPr="006948E6">
          <w:rPr>
            <w:rFonts w:ascii="Calibri" w:eastAsia="Times New Roman" w:hAnsi="Calibri" w:cs="Times New Roman"/>
            <w:bCs/>
            <w:iCs/>
            <w:noProof/>
            <w:kern w:val="0"/>
            <w:sz w:val="28"/>
            <w:szCs w:val="20"/>
            <w14:ligatures w14:val="none"/>
          </w:rPr>
          <w:t>State Plan Background</w:t>
        </w:r>
        <w:r w:rsidRPr="006948E6">
          <w:rPr>
            <w:rFonts w:ascii="Calibri" w:eastAsia="Times New Roman" w:hAnsi="Calibri" w:cs="Calibri"/>
            <w:bCs/>
            <w:iCs/>
            <w:noProof/>
            <w:webHidden/>
            <w:kern w:val="0"/>
            <w:sz w:val="28"/>
            <w:szCs w:val="20"/>
            <w14:ligatures w14:val="none"/>
          </w:rPr>
          <w:tab/>
        </w:r>
        <w:r w:rsidRPr="006948E6">
          <w:rPr>
            <w:rFonts w:ascii="Calibri" w:eastAsia="Times New Roman" w:hAnsi="Calibri" w:cs="Calibri"/>
            <w:bCs/>
            <w:iCs/>
            <w:noProof/>
            <w:webHidden/>
            <w:kern w:val="0"/>
            <w:sz w:val="28"/>
            <w:szCs w:val="20"/>
            <w14:ligatures w14:val="none"/>
          </w:rPr>
          <w:fldChar w:fldCharType="begin"/>
        </w:r>
        <w:r w:rsidRPr="006948E6">
          <w:rPr>
            <w:rFonts w:ascii="Calibri" w:eastAsia="Times New Roman" w:hAnsi="Calibri" w:cs="Calibri"/>
            <w:bCs/>
            <w:iCs/>
            <w:noProof/>
            <w:webHidden/>
            <w:kern w:val="0"/>
            <w:sz w:val="28"/>
            <w:szCs w:val="20"/>
            <w14:ligatures w14:val="none"/>
          </w:rPr>
          <w:instrText xml:space="preserve"> PAGEREF _Toc119418664 \h </w:instrText>
        </w:r>
        <w:r w:rsidRPr="006948E6">
          <w:rPr>
            <w:rFonts w:ascii="Calibri" w:eastAsia="Times New Roman" w:hAnsi="Calibri" w:cs="Calibri"/>
            <w:bCs/>
            <w:iCs/>
            <w:noProof/>
            <w:webHidden/>
            <w:kern w:val="0"/>
            <w:sz w:val="28"/>
            <w:szCs w:val="20"/>
            <w14:ligatures w14:val="none"/>
          </w:rPr>
        </w:r>
        <w:r w:rsidRPr="006948E6">
          <w:rPr>
            <w:rFonts w:ascii="Calibri" w:eastAsia="Times New Roman" w:hAnsi="Calibri" w:cs="Calibri"/>
            <w:bCs/>
            <w:iCs/>
            <w:noProof/>
            <w:webHidden/>
            <w:kern w:val="0"/>
            <w:sz w:val="28"/>
            <w:szCs w:val="20"/>
            <w14:ligatures w14:val="none"/>
          </w:rPr>
          <w:fldChar w:fldCharType="separate"/>
        </w:r>
        <w:r w:rsidR="00EC3C7F">
          <w:rPr>
            <w:rFonts w:ascii="Calibri" w:eastAsia="Times New Roman" w:hAnsi="Calibri" w:cs="Calibri"/>
            <w:bCs/>
            <w:iCs/>
            <w:noProof/>
            <w:webHidden/>
            <w:kern w:val="0"/>
            <w:sz w:val="28"/>
            <w:szCs w:val="20"/>
            <w14:ligatures w14:val="none"/>
          </w:rPr>
          <w:t>4</w:t>
        </w:r>
        <w:r w:rsidRPr="006948E6">
          <w:rPr>
            <w:rFonts w:ascii="Calibri" w:eastAsia="Times New Roman" w:hAnsi="Calibri" w:cs="Calibri"/>
            <w:bCs/>
            <w:iCs/>
            <w:noProof/>
            <w:webHidden/>
            <w:kern w:val="0"/>
            <w:sz w:val="28"/>
            <w:szCs w:val="20"/>
            <w14:ligatures w14:val="none"/>
          </w:rPr>
          <w:fldChar w:fldCharType="end"/>
        </w:r>
      </w:hyperlink>
    </w:p>
    <w:p w14:paraId="44FF40EE" w14:textId="312C5D21" w:rsidR="006948E6" w:rsidRPr="006948E6" w:rsidRDefault="006948E6" w:rsidP="006948E6">
      <w:pPr>
        <w:widowControl w:val="0"/>
        <w:tabs>
          <w:tab w:val="left" w:pos="480"/>
          <w:tab w:val="right" w:leader="dot" w:pos="9530"/>
        </w:tabs>
        <w:autoSpaceDE w:val="0"/>
        <w:autoSpaceDN w:val="0"/>
        <w:adjustRightInd w:val="0"/>
        <w:spacing w:before="240"/>
        <w:rPr>
          <w:rFonts w:ascii="Calibri" w:eastAsia="MS Mincho" w:hAnsi="Calibri" w:cs="Times New Roman"/>
          <w:b/>
          <w:iCs/>
          <w:noProof/>
          <w:kern w:val="0"/>
          <w14:ligatures w14:val="none"/>
        </w:rPr>
      </w:pPr>
      <w:hyperlink w:anchor="_Toc119418665" w:history="1">
        <w:r w:rsidRPr="006948E6">
          <w:rPr>
            <w:rFonts w:ascii="Calibri" w:eastAsia="Times New Roman" w:hAnsi="Calibri" w:cs="Times New Roman"/>
            <w:bCs/>
            <w:iCs/>
            <w:noProof/>
            <w:kern w:val="0"/>
            <w:sz w:val="28"/>
            <w:szCs w:val="20"/>
            <w14:ligatures w14:val="none"/>
          </w:rPr>
          <w:t>III.</w:t>
        </w:r>
        <w:r w:rsidRPr="006948E6">
          <w:rPr>
            <w:rFonts w:ascii="Calibri" w:eastAsia="MS Mincho" w:hAnsi="Calibri" w:cs="Times New Roman"/>
            <w:b/>
            <w:iCs/>
            <w:noProof/>
            <w:kern w:val="0"/>
            <w14:ligatures w14:val="none"/>
          </w:rPr>
          <w:tab/>
        </w:r>
        <w:r w:rsidRPr="006948E6">
          <w:rPr>
            <w:rFonts w:ascii="Calibri" w:eastAsia="Times New Roman" w:hAnsi="Calibri" w:cs="Times New Roman"/>
            <w:bCs/>
            <w:iCs/>
            <w:noProof/>
            <w:kern w:val="0"/>
            <w:sz w:val="28"/>
            <w:szCs w:val="20"/>
            <w14:ligatures w14:val="none"/>
          </w:rPr>
          <w:t>Assessment of State Plan Progress and Performance</w:t>
        </w:r>
        <w:r w:rsidRPr="006948E6">
          <w:rPr>
            <w:rFonts w:ascii="Calibri" w:eastAsia="Times New Roman" w:hAnsi="Calibri" w:cs="Calibri"/>
            <w:bCs/>
            <w:iCs/>
            <w:noProof/>
            <w:webHidden/>
            <w:kern w:val="0"/>
            <w:sz w:val="28"/>
            <w:szCs w:val="20"/>
            <w14:ligatures w14:val="none"/>
          </w:rPr>
          <w:tab/>
        </w:r>
        <w:r w:rsidRPr="006948E6">
          <w:rPr>
            <w:rFonts w:ascii="Calibri" w:eastAsia="Times New Roman" w:hAnsi="Calibri" w:cs="Calibri"/>
            <w:bCs/>
            <w:iCs/>
            <w:noProof/>
            <w:webHidden/>
            <w:kern w:val="0"/>
            <w:sz w:val="28"/>
            <w:szCs w:val="20"/>
            <w14:ligatures w14:val="none"/>
          </w:rPr>
          <w:fldChar w:fldCharType="begin"/>
        </w:r>
        <w:r w:rsidRPr="006948E6">
          <w:rPr>
            <w:rFonts w:ascii="Calibri" w:eastAsia="Times New Roman" w:hAnsi="Calibri" w:cs="Calibri"/>
            <w:bCs/>
            <w:iCs/>
            <w:noProof/>
            <w:webHidden/>
            <w:kern w:val="0"/>
            <w:sz w:val="28"/>
            <w:szCs w:val="20"/>
            <w14:ligatures w14:val="none"/>
          </w:rPr>
          <w:instrText xml:space="preserve"> PAGEREF _Toc119418665 \h </w:instrText>
        </w:r>
        <w:r w:rsidRPr="006948E6">
          <w:rPr>
            <w:rFonts w:ascii="Calibri" w:eastAsia="Times New Roman" w:hAnsi="Calibri" w:cs="Calibri"/>
            <w:bCs/>
            <w:iCs/>
            <w:noProof/>
            <w:webHidden/>
            <w:kern w:val="0"/>
            <w:sz w:val="28"/>
            <w:szCs w:val="20"/>
            <w14:ligatures w14:val="none"/>
          </w:rPr>
        </w:r>
        <w:r w:rsidRPr="006948E6">
          <w:rPr>
            <w:rFonts w:ascii="Calibri" w:eastAsia="Times New Roman" w:hAnsi="Calibri" w:cs="Calibri"/>
            <w:bCs/>
            <w:iCs/>
            <w:noProof/>
            <w:webHidden/>
            <w:kern w:val="0"/>
            <w:sz w:val="28"/>
            <w:szCs w:val="20"/>
            <w14:ligatures w14:val="none"/>
          </w:rPr>
          <w:fldChar w:fldCharType="separate"/>
        </w:r>
        <w:r w:rsidR="00EC3C7F">
          <w:rPr>
            <w:rFonts w:ascii="Calibri" w:eastAsia="Times New Roman" w:hAnsi="Calibri" w:cs="Calibri"/>
            <w:bCs/>
            <w:iCs/>
            <w:noProof/>
            <w:webHidden/>
            <w:kern w:val="0"/>
            <w:sz w:val="28"/>
            <w:szCs w:val="20"/>
            <w14:ligatures w14:val="none"/>
          </w:rPr>
          <w:t>6</w:t>
        </w:r>
        <w:r w:rsidRPr="006948E6">
          <w:rPr>
            <w:rFonts w:ascii="Calibri" w:eastAsia="Times New Roman" w:hAnsi="Calibri" w:cs="Calibri"/>
            <w:bCs/>
            <w:iCs/>
            <w:noProof/>
            <w:webHidden/>
            <w:kern w:val="0"/>
            <w:sz w:val="28"/>
            <w:szCs w:val="20"/>
            <w14:ligatures w14:val="none"/>
          </w:rPr>
          <w:fldChar w:fldCharType="end"/>
        </w:r>
      </w:hyperlink>
    </w:p>
    <w:p w14:paraId="0F6AD217" w14:textId="54269BFB" w:rsidR="006948E6" w:rsidRPr="00AB0689" w:rsidRDefault="006948E6" w:rsidP="006948E6">
      <w:pPr>
        <w:widowControl w:val="0"/>
        <w:tabs>
          <w:tab w:val="left" w:pos="720"/>
          <w:tab w:val="right" w:leader="dot" w:pos="9530"/>
        </w:tabs>
        <w:autoSpaceDE w:val="0"/>
        <w:autoSpaceDN w:val="0"/>
        <w:adjustRightInd w:val="0"/>
        <w:ind w:left="240"/>
        <w:rPr>
          <w:rFonts w:ascii="Calibri" w:eastAsia="MS Mincho" w:hAnsi="Calibri" w:cs="Calibri"/>
          <w:iCs/>
          <w:noProof/>
          <w:kern w:val="0"/>
          <w:sz w:val="24"/>
          <w:szCs w:val="24"/>
          <w14:ligatures w14:val="none"/>
        </w:rPr>
      </w:pPr>
      <w:hyperlink w:anchor="_Toc119418666" w:history="1">
        <w:r w:rsidRPr="00AB0689">
          <w:rPr>
            <w:rFonts w:ascii="Calibri" w:eastAsia="Times New Roman" w:hAnsi="Calibri" w:cs="Calibri"/>
            <w:iCs/>
            <w:noProof/>
            <w:kern w:val="0"/>
            <w:sz w:val="24"/>
            <w:szCs w:val="24"/>
            <w14:ligatures w14:val="none"/>
          </w:rPr>
          <w:t>A.</w:t>
        </w:r>
        <w:r w:rsidRPr="00AB0689">
          <w:rPr>
            <w:rFonts w:ascii="Calibri" w:eastAsia="MS Mincho" w:hAnsi="Calibri" w:cs="Calibri"/>
            <w:iCs/>
            <w:noProof/>
            <w:kern w:val="0"/>
            <w:sz w:val="24"/>
            <w:szCs w:val="24"/>
            <w14:ligatures w14:val="none"/>
          </w:rPr>
          <w:tab/>
        </w:r>
        <w:r w:rsidRPr="00AB0689">
          <w:rPr>
            <w:rFonts w:ascii="Calibri" w:eastAsia="Times New Roman" w:hAnsi="Calibri" w:cs="Calibri"/>
            <w:iCs/>
            <w:noProof/>
            <w:kern w:val="0"/>
            <w:sz w:val="24"/>
            <w:szCs w:val="24"/>
            <w14:ligatures w14:val="none"/>
          </w:rPr>
          <w:t>Data and Methodology</w:t>
        </w:r>
        <w:r w:rsidRPr="00AB0689">
          <w:rPr>
            <w:rFonts w:ascii="Calibri" w:eastAsia="Times New Roman" w:hAnsi="Calibri" w:cs="Calibri"/>
            <w:iCs/>
            <w:noProof/>
            <w:webHidden/>
            <w:kern w:val="0"/>
            <w:sz w:val="24"/>
            <w:szCs w:val="24"/>
            <w14:ligatures w14:val="none"/>
          </w:rPr>
          <w:tab/>
        </w:r>
        <w:r w:rsidRPr="00AB0689">
          <w:rPr>
            <w:rFonts w:ascii="Calibri" w:eastAsia="Times New Roman" w:hAnsi="Calibri" w:cs="Calibri"/>
            <w:iCs/>
            <w:noProof/>
            <w:webHidden/>
            <w:kern w:val="0"/>
            <w:sz w:val="24"/>
            <w:szCs w:val="24"/>
            <w14:ligatures w14:val="none"/>
          </w:rPr>
          <w:fldChar w:fldCharType="begin"/>
        </w:r>
        <w:r w:rsidRPr="00AB0689">
          <w:rPr>
            <w:rFonts w:ascii="Calibri" w:eastAsia="Times New Roman" w:hAnsi="Calibri" w:cs="Calibri"/>
            <w:iCs/>
            <w:noProof/>
            <w:webHidden/>
            <w:kern w:val="0"/>
            <w:sz w:val="24"/>
            <w:szCs w:val="24"/>
            <w14:ligatures w14:val="none"/>
          </w:rPr>
          <w:instrText xml:space="preserve"> PAGEREF _Toc119418666 \h </w:instrText>
        </w:r>
        <w:r w:rsidRPr="00AB0689">
          <w:rPr>
            <w:rFonts w:ascii="Calibri" w:eastAsia="Times New Roman" w:hAnsi="Calibri" w:cs="Calibri"/>
            <w:iCs/>
            <w:noProof/>
            <w:webHidden/>
            <w:kern w:val="0"/>
            <w:sz w:val="24"/>
            <w:szCs w:val="24"/>
            <w14:ligatures w14:val="none"/>
          </w:rPr>
        </w:r>
        <w:r w:rsidRPr="00AB0689">
          <w:rPr>
            <w:rFonts w:ascii="Calibri" w:eastAsia="Times New Roman" w:hAnsi="Calibri" w:cs="Calibri"/>
            <w:iCs/>
            <w:noProof/>
            <w:webHidden/>
            <w:kern w:val="0"/>
            <w:sz w:val="24"/>
            <w:szCs w:val="24"/>
            <w14:ligatures w14:val="none"/>
          </w:rPr>
          <w:fldChar w:fldCharType="separate"/>
        </w:r>
        <w:r w:rsidR="00EC3C7F">
          <w:rPr>
            <w:rFonts w:ascii="Calibri" w:eastAsia="Times New Roman" w:hAnsi="Calibri" w:cs="Calibri"/>
            <w:iCs/>
            <w:noProof/>
            <w:webHidden/>
            <w:kern w:val="0"/>
            <w:sz w:val="24"/>
            <w:szCs w:val="24"/>
            <w14:ligatures w14:val="none"/>
          </w:rPr>
          <w:t>6</w:t>
        </w:r>
        <w:r w:rsidRPr="00AB0689">
          <w:rPr>
            <w:rFonts w:ascii="Calibri" w:eastAsia="Times New Roman" w:hAnsi="Calibri" w:cs="Calibri"/>
            <w:iCs/>
            <w:noProof/>
            <w:webHidden/>
            <w:kern w:val="0"/>
            <w:sz w:val="24"/>
            <w:szCs w:val="24"/>
            <w14:ligatures w14:val="none"/>
          </w:rPr>
          <w:fldChar w:fldCharType="end"/>
        </w:r>
      </w:hyperlink>
    </w:p>
    <w:p w14:paraId="100A77DA" w14:textId="4992C2A3" w:rsidR="006948E6" w:rsidRPr="00AB0689" w:rsidRDefault="006948E6" w:rsidP="006948E6">
      <w:pPr>
        <w:widowControl w:val="0"/>
        <w:tabs>
          <w:tab w:val="left" w:pos="720"/>
          <w:tab w:val="right" w:leader="dot" w:pos="9530"/>
        </w:tabs>
        <w:autoSpaceDE w:val="0"/>
        <w:autoSpaceDN w:val="0"/>
        <w:adjustRightInd w:val="0"/>
        <w:ind w:left="240"/>
        <w:rPr>
          <w:rFonts w:ascii="Calibri" w:eastAsia="MS Mincho" w:hAnsi="Calibri" w:cs="Calibri"/>
          <w:iCs/>
          <w:noProof/>
          <w:kern w:val="0"/>
          <w:sz w:val="24"/>
          <w:szCs w:val="24"/>
          <w14:ligatures w14:val="none"/>
        </w:rPr>
      </w:pPr>
      <w:hyperlink w:anchor="_Toc119418667" w:history="1">
        <w:r w:rsidRPr="00AB0689">
          <w:rPr>
            <w:rFonts w:ascii="Calibri" w:eastAsia="Times New Roman" w:hAnsi="Calibri" w:cs="Calibri"/>
            <w:iCs/>
            <w:noProof/>
            <w:kern w:val="0"/>
            <w:sz w:val="24"/>
            <w:szCs w:val="24"/>
            <w14:ligatures w14:val="none"/>
          </w:rPr>
          <w:t>B.</w:t>
        </w:r>
        <w:r w:rsidRPr="00AB0689">
          <w:rPr>
            <w:rFonts w:ascii="Calibri" w:eastAsia="MS Mincho" w:hAnsi="Calibri" w:cs="Calibri"/>
            <w:iCs/>
            <w:noProof/>
            <w:kern w:val="0"/>
            <w:sz w:val="24"/>
            <w:szCs w:val="24"/>
            <w14:ligatures w14:val="none"/>
          </w:rPr>
          <w:tab/>
        </w:r>
        <w:r w:rsidRPr="00AB0689">
          <w:rPr>
            <w:rFonts w:ascii="Calibri" w:eastAsia="Times New Roman" w:hAnsi="Calibri" w:cs="Calibri"/>
            <w:iCs/>
            <w:noProof/>
            <w:kern w:val="0"/>
            <w:sz w:val="24"/>
            <w:szCs w:val="24"/>
            <w14:ligatures w14:val="none"/>
          </w:rPr>
          <w:t>Findings and Observations</w:t>
        </w:r>
        <w:r w:rsidRPr="00AB0689">
          <w:rPr>
            <w:rFonts w:ascii="Calibri" w:eastAsia="Times New Roman" w:hAnsi="Calibri" w:cs="Calibri"/>
            <w:iCs/>
            <w:noProof/>
            <w:webHidden/>
            <w:kern w:val="0"/>
            <w:sz w:val="24"/>
            <w:szCs w:val="24"/>
            <w14:ligatures w14:val="none"/>
          </w:rPr>
          <w:tab/>
        </w:r>
      </w:hyperlink>
      <w:r w:rsidR="00466604">
        <w:t>7</w:t>
      </w:r>
    </w:p>
    <w:p w14:paraId="7CA4A236" w14:textId="114F1EE1" w:rsidR="006948E6" w:rsidRPr="00AB0689" w:rsidRDefault="006948E6" w:rsidP="006948E6">
      <w:pPr>
        <w:widowControl w:val="0"/>
        <w:tabs>
          <w:tab w:val="left" w:pos="720"/>
          <w:tab w:val="right" w:leader="dot" w:pos="9530"/>
        </w:tabs>
        <w:autoSpaceDE w:val="0"/>
        <w:autoSpaceDN w:val="0"/>
        <w:adjustRightInd w:val="0"/>
        <w:ind w:left="240"/>
        <w:rPr>
          <w:rFonts w:ascii="Calibri" w:eastAsia="MS Mincho" w:hAnsi="Calibri" w:cs="Calibri"/>
          <w:iCs/>
          <w:noProof/>
          <w:kern w:val="0"/>
          <w:sz w:val="24"/>
          <w:szCs w:val="24"/>
          <w14:ligatures w14:val="none"/>
        </w:rPr>
      </w:pPr>
      <w:hyperlink w:anchor="_Toc119418668" w:history="1">
        <w:r w:rsidRPr="00AB0689">
          <w:rPr>
            <w:rFonts w:ascii="Calibri" w:eastAsia="Times New Roman" w:hAnsi="Calibri" w:cs="Calibri"/>
            <w:iCs/>
            <w:noProof/>
            <w:kern w:val="0"/>
            <w:sz w:val="24"/>
            <w:szCs w:val="24"/>
            <w14:ligatures w14:val="none"/>
          </w:rPr>
          <w:t>C.</w:t>
        </w:r>
        <w:r w:rsidRPr="00AB0689">
          <w:rPr>
            <w:rFonts w:ascii="Calibri" w:eastAsia="MS Mincho" w:hAnsi="Calibri" w:cs="Calibri"/>
            <w:iCs/>
            <w:noProof/>
            <w:kern w:val="0"/>
            <w:sz w:val="24"/>
            <w:szCs w:val="24"/>
            <w14:ligatures w14:val="none"/>
          </w:rPr>
          <w:tab/>
        </w:r>
        <w:r w:rsidRPr="00AB0689">
          <w:rPr>
            <w:rFonts w:ascii="Calibri" w:eastAsia="Times New Roman" w:hAnsi="Calibri" w:cs="Calibri"/>
            <w:iCs/>
            <w:noProof/>
            <w:kern w:val="0"/>
            <w:sz w:val="24"/>
            <w:szCs w:val="24"/>
            <w14:ligatures w14:val="none"/>
          </w:rPr>
          <w:t>State Activity Mandated Measures (SAMM) Highlights</w:t>
        </w:r>
        <w:r w:rsidRPr="00AB0689">
          <w:rPr>
            <w:rFonts w:ascii="Calibri" w:eastAsia="Times New Roman" w:hAnsi="Calibri" w:cs="Calibri"/>
            <w:iCs/>
            <w:noProof/>
            <w:webHidden/>
            <w:kern w:val="0"/>
            <w:sz w:val="24"/>
            <w:szCs w:val="24"/>
            <w14:ligatures w14:val="none"/>
          </w:rPr>
          <w:tab/>
        </w:r>
        <w:r w:rsidR="0049039B">
          <w:rPr>
            <w:rFonts w:ascii="Calibri" w:eastAsia="Times New Roman" w:hAnsi="Calibri" w:cs="Calibri"/>
            <w:iCs/>
            <w:noProof/>
            <w:webHidden/>
            <w:kern w:val="0"/>
            <w:sz w:val="24"/>
            <w:szCs w:val="24"/>
            <w14:ligatures w14:val="none"/>
          </w:rPr>
          <w:t>9</w:t>
        </w:r>
      </w:hyperlink>
    </w:p>
    <w:p w14:paraId="52EFDE6A" w14:textId="221EBFF6" w:rsidR="006948E6" w:rsidRPr="00D82E13" w:rsidRDefault="006948E6" w:rsidP="006948E6">
      <w:pPr>
        <w:widowControl w:val="0"/>
        <w:tabs>
          <w:tab w:val="right" w:leader="dot" w:pos="9530"/>
        </w:tabs>
        <w:autoSpaceDE w:val="0"/>
        <w:autoSpaceDN w:val="0"/>
        <w:adjustRightInd w:val="0"/>
        <w:ind w:left="240"/>
        <w:rPr>
          <w:rFonts w:ascii="Calibri" w:eastAsia="MS Mincho" w:hAnsi="Calibri" w:cs="Calibri"/>
          <w:iCs/>
          <w:noProof/>
          <w:kern w:val="0"/>
          <w:sz w:val="28"/>
          <w:szCs w:val="28"/>
          <w14:ligatures w14:val="none"/>
        </w:rPr>
      </w:pPr>
      <w:hyperlink w:anchor="_Toc119418669" w:history="1">
        <w:r w:rsidRPr="00D82E13">
          <w:rPr>
            <w:rFonts w:ascii="Calibri" w:eastAsia="Times New Roman" w:hAnsi="Calibri" w:cs="Calibri"/>
            <w:iCs/>
            <w:noProof/>
            <w:kern w:val="0"/>
            <w:sz w:val="28"/>
            <w:szCs w:val="28"/>
            <w14:ligatures w14:val="none"/>
          </w:rPr>
          <w:t>Appendix A – New and Continued Findings and Recommendations</w:t>
        </w:r>
        <w:r w:rsidRPr="00D82E13">
          <w:rPr>
            <w:rFonts w:ascii="Calibri" w:eastAsia="Times New Roman" w:hAnsi="Calibri" w:cs="Calibri"/>
            <w:iCs/>
            <w:noProof/>
            <w:webHidden/>
            <w:kern w:val="0"/>
            <w:sz w:val="28"/>
            <w:szCs w:val="28"/>
            <w14:ligatures w14:val="none"/>
          </w:rPr>
          <w:tab/>
        </w:r>
        <w:r w:rsidRPr="00D82E13">
          <w:rPr>
            <w:rFonts w:ascii="Calibri" w:eastAsia="Times New Roman" w:hAnsi="Calibri" w:cs="Calibri"/>
            <w:iCs/>
            <w:noProof/>
            <w:webHidden/>
            <w:kern w:val="0"/>
            <w:sz w:val="28"/>
            <w:szCs w:val="28"/>
            <w14:ligatures w14:val="none"/>
          </w:rPr>
          <w:fldChar w:fldCharType="begin"/>
        </w:r>
        <w:r w:rsidRPr="00D82E13">
          <w:rPr>
            <w:rFonts w:ascii="Calibri" w:eastAsia="Times New Roman" w:hAnsi="Calibri" w:cs="Calibri"/>
            <w:iCs/>
            <w:noProof/>
            <w:webHidden/>
            <w:kern w:val="0"/>
            <w:sz w:val="28"/>
            <w:szCs w:val="28"/>
            <w14:ligatures w14:val="none"/>
          </w:rPr>
          <w:instrText xml:space="preserve"> PAGEREF _Toc119418669 \h </w:instrText>
        </w:r>
        <w:r w:rsidRPr="00D82E13">
          <w:rPr>
            <w:rFonts w:ascii="Calibri" w:eastAsia="Times New Roman" w:hAnsi="Calibri" w:cs="Calibri"/>
            <w:iCs/>
            <w:noProof/>
            <w:webHidden/>
            <w:kern w:val="0"/>
            <w:sz w:val="28"/>
            <w:szCs w:val="28"/>
            <w14:ligatures w14:val="none"/>
          </w:rPr>
        </w:r>
        <w:r w:rsidRPr="00D82E13">
          <w:rPr>
            <w:rFonts w:ascii="Calibri" w:eastAsia="Times New Roman" w:hAnsi="Calibri" w:cs="Calibri"/>
            <w:iCs/>
            <w:noProof/>
            <w:webHidden/>
            <w:kern w:val="0"/>
            <w:sz w:val="28"/>
            <w:szCs w:val="28"/>
            <w14:ligatures w14:val="none"/>
          </w:rPr>
          <w:fldChar w:fldCharType="separate"/>
        </w:r>
        <w:r w:rsidR="00EC3C7F" w:rsidRPr="00D82E13">
          <w:rPr>
            <w:rFonts w:ascii="Calibri" w:eastAsia="Times New Roman" w:hAnsi="Calibri" w:cs="Calibri"/>
            <w:iCs/>
            <w:noProof/>
            <w:webHidden/>
            <w:kern w:val="0"/>
            <w:sz w:val="28"/>
            <w:szCs w:val="28"/>
            <w14:ligatures w14:val="none"/>
          </w:rPr>
          <w:t>11</w:t>
        </w:r>
        <w:r w:rsidRPr="00D82E13">
          <w:rPr>
            <w:rFonts w:ascii="Calibri" w:eastAsia="Times New Roman" w:hAnsi="Calibri" w:cs="Calibri"/>
            <w:iCs/>
            <w:noProof/>
            <w:webHidden/>
            <w:kern w:val="0"/>
            <w:sz w:val="28"/>
            <w:szCs w:val="28"/>
            <w14:ligatures w14:val="none"/>
          </w:rPr>
          <w:fldChar w:fldCharType="end"/>
        </w:r>
      </w:hyperlink>
    </w:p>
    <w:p w14:paraId="57345875" w14:textId="10B70CA6" w:rsidR="006948E6" w:rsidRPr="00D82E13" w:rsidRDefault="006948E6" w:rsidP="006948E6">
      <w:pPr>
        <w:widowControl w:val="0"/>
        <w:tabs>
          <w:tab w:val="right" w:leader="dot" w:pos="9530"/>
        </w:tabs>
        <w:autoSpaceDE w:val="0"/>
        <w:autoSpaceDN w:val="0"/>
        <w:adjustRightInd w:val="0"/>
        <w:ind w:left="240"/>
        <w:rPr>
          <w:rFonts w:ascii="Calibri" w:eastAsia="MS Mincho" w:hAnsi="Calibri" w:cs="Calibri"/>
          <w:iCs/>
          <w:noProof/>
          <w:kern w:val="0"/>
          <w:sz w:val="28"/>
          <w:szCs w:val="28"/>
          <w14:ligatures w14:val="none"/>
        </w:rPr>
      </w:pPr>
      <w:hyperlink w:anchor="_Toc119418670" w:history="1">
        <w:r w:rsidRPr="00D82E13">
          <w:rPr>
            <w:rFonts w:ascii="Calibri" w:eastAsia="Times New Roman" w:hAnsi="Calibri" w:cs="Calibri"/>
            <w:iCs/>
            <w:noProof/>
            <w:kern w:val="0"/>
            <w:sz w:val="28"/>
            <w:szCs w:val="28"/>
            <w14:ligatures w14:val="none"/>
          </w:rPr>
          <w:t>Appendix B – Observations Subject to Continued Monitoring</w:t>
        </w:r>
        <w:r w:rsidRPr="00D82E13">
          <w:rPr>
            <w:rFonts w:ascii="Calibri" w:eastAsia="Times New Roman" w:hAnsi="Calibri" w:cs="Calibri"/>
            <w:iCs/>
            <w:noProof/>
            <w:webHidden/>
            <w:kern w:val="0"/>
            <w:sz w:val="28"/>
            <w:szCs w:val="28"/>
            <w14:ligatures w14:val="none"/>
          </w:rPr>
          <w:tab/>
        </w:r>
        <w:r w:rsidRPr="00D82E13">
          <w:rPr>
            <w:rFonts w:ascii="Calibri" w:eastAsia="Times New Roman" w:hAnsi="Calibri" w:cs="Calibri"/>
            <w:iCs/>
            <w:noProof/>
            <w:webHidden/>
            <w:kern w:val="0"/>
            <w:sz w:val="28"/>
            <w:szCs w:val="28"/>
            <w14:ligatures w14:val="none"/>
          </w:rPr>
          <w:fldChar w:fldCharType="begin"/>
        </w:r>
        <w:r w:rsidRPr="00D82E13">
          <w:rPr>
            <w:rFonts w:ascii="Calibri" w:eastAsia="Times New Roman" w:hAnsi="Calibri" w:cs="Calibri"/>
            <w:iCs/>
            <w:noProof/>
            <w:webHidden/>
            <w:kern w:val="0"/>
            <w:sz w:val="28"/>
            <w:szCs w:val="28"/>
            <w14:ligatures w14:val="none"/>
          </w:rPr>
          <w:instrText xml:space="preserve"> PAGEREF _Toc119418670 \h </w:instrText>
        </w:r>
        <w:r w:rsidRPr="00D82E13">
          <w:rPr>
            <w:rFonts w:ascii="Calibri" w:eastAsia="Times New Roman" w:hAnsi="Calibri" w:cs="Calibri"/>
            <w:iCs/>
            <w:noProof/>
            <w:webHidden/>
            <w:kern w:val="0"/>
            <w:sz w:val="28"/>
            <w:szCs w:val="28"/>
            <w14:ligatures w14:val="none"/>
          </w:rPr>
        </w:r>
        <w:r w:rsidRPr="00D82E13">
          <w:rPr>
            <w:rFonts w:ascii="Calibri" w:eastAsia="Times New Roman" w:hAnsi="Calibri" w:cs="Calibri"/>
            <w:iCs/>
            <w:noProof/>
            <w:webHidden/>
            <w:kern w:val="0"/>
            <w:sz w:val="28"/>
            <w:szCs w:val="28"/>
            <w14:ligatures w14:val="none"/>
          </w:rPr>
          <w:fldChar w:fldCharType="separate"/>
        </w:r>
        <w:r w:rsidR="00EC3C7F" w:rsidRPr="00D82E13">
          <w:rPr>
            <w:rFonts w:ascii="Calibri" w:eastAsia="Times New Roman" w:hAnsi="Calibri" w:cs="Calibri"/>
            <w:iCs/>
            <w:noProof/>
            <w:webHidden/>
            <w:kern w:val="0"/>
            <w:sz w:val="28"/>
            <w:szCs w:val="28"/>
            <w14:ligatures w14:val="none"/>
          </w:rPr>
          <w:t>12</w:t>
        </w:r>
        <w:r w:rsidRPr="00D82E13">
          <w:rPr>
            <w:rFonts w:ascii="Calibri" w:eastAsia="Times New Roman" w:hAnsi="Calibri" w:cs="Calibri"/>
            <w:iCs/>
            <w:noProof/>
            <w:webHidden/>
            <w:kern w:val="0"/>
            <w:sz w:val="28"/>
            <w:szCs w:val="28"/>
            <w14:ligatures w14:val="none"/>
          </w:rPr>
          <w:fldChar w:fldCharType="end"/>
        </w:r>
      </w:hyperlink>
    </w:p>
    <w:p w14:paraId="0E325314" w14:textId="596CEC55" w:rsidR="006948E6" w:rsidRPr="00D82E13" w:rsidRDefault="006948E6" w:rsidP="006948E6">
      <w:pPr>
        <w:widowControl w:val="0"/>
        <w:tabs>
          <w:tab w:val="right" w:leader="dot" w:pos="9530"/>
        </w:tabs>
        <w:autoSpaceDE w:val="0"/>
        <w:autoSpaceDN w:val="0"/>
        <w:adjustRightInd w:val="0"/>
        <w:ind w:left="240"/>
        <w:rPr>
          <w:rFonts w:ascii="Calibri" w:eastAsia="MS Mincho" w:hAnsi="Calibri" w:cs="Calibri"/>
          <w:iCs/>
          <w:noProof/>
          <w:kern w:val="0"/>
          <w:sz w:val="28"/>
          <w:szCs w:val="28"/>
          <w14:ligatures w14:val="none"/>
        </w:rPr>
      </w:pPr>
      <w:hyperlink w:anchor="_Toc119418671" w:history="1">
        <w:r w:rsidRPr="00D82E13">
          <w:rPr>
            <w:rFonts w:ascii="Calibri" w:eastAsia="Times New Roman" w:hAnsi="Calibri" w:cs="Calibri"/>
            <w:iCs/>
            <w:noProof/>
            <w:kern w:val="0"/>
            <w:sz w:val="28"/>
            <w:szCs w:val="28"/>
            <w14:ligatures w14:val="none"/>
          </w:rPr>
          <w:t>Appendix C - Status of FY 2023 Findings and Recommendations</w:t>
        </w:r>
        <w:r w:rsidRPr="00D82E13">
          <w:rPr>
            <w:rFonts w:ascii="Calibri" w:eastAsia="Times New Roman" w:hAnsi="Calibri" w:cs="Calibri"/>
            <w:iCs/>
            <w:noProof/>
            <w:webHidden/>
            <w:kern w:val="0"/>
            <w:sz w:val="28"/>
            <w:szCs w:val="28"/>
            <w14:ligatures w14:val="none"/>
          </w:rPr>
          <w:tab/>
        </w:r>
        <w:r w:rsidRPr="00D82E13">
          <w:rPr>
            <w:rFonts w:ascii="Calibri" w:eastAsia="Times New Roman" w:hAnsi="Calibri" w:cs="Calibri"/>
            <w:iCs/>
            <w:noProof/>
            <w:webHidden/>
            <w:kern w:val="0"/>
            <w:sz w:val="28"/>
            <w:szCs w:val="28"/>
            <w14:ligatures w14:val="none"/>
          </w:rPr>
          <w:fldChar w:fldCharType="begin"/>
        </w:r>
        <w:r w:rsidRPr="00D82E13">
          <w:rPr>
            <w:rFonts w:ascii="Calibri" w:eastAsia="Times New Roman" w:hAnsi="Calibri" w:cs="Calibri"/>
            <w:iCs/>
            <w:noProof/>
            <w:webHidden/>
            <w:kern w:val="0"/>
            <w:sz w:val="28"/>
            <w:szCs w:val="28"/>
            <w14:ligatures w14:val="none"/>
          </w:rPr>
          <w:instrText xml:space="preserve"> PAGEREF _Toc119418671 \h </w:instrText>
        </w:r>
        <w:r w:rsidRPr="00D82E13">
          <w:rPr>
            <w:rFonts w:ascii="Calibri" w:eastAsia="Times New Roman" w:hAnsi="Calibri" w:cs="Calibri"/>
            <w:iCs/>
            <w:noProof/>
            <w:webHidden/>
            <w:kern w:val="0"/>
            <w:sz w:val="28"/>
            <w:szCs w:val="28"/>
            <w14:ligatures w14:val="none"/>
          </w:rPr>
        </w:r>
        <w:r w:rsidRPr="00D82E13">
          <w:rPr>
            <w:rFonts w:ascii="Calibri" w:eastAsia="Times New Roman" w:hAnsi="Calibri" w:cs="Calibri"/>
            <w:iCs/>
            <w:noProof/>
            <w:webHidden/>
            <w:kern w:val="0"/>
            <w:sz w:val="28"/>
            <w:szCs w:val="28"/>
            <w14:ligatures w14:val="none"/>
          </w:rPr>
          <w:fldChar w:fldCharType="separate"/>
        </w:r>
        <w:r w:rsidR="00EC3C7F" w:rsidRPr="00D82E13">
          <w:rPr>
            <w:rFonts w:ascii="Calibri" w:eastAsia="Times New Roman" w:hAnsi="Calibri" w:cs="Calibri"/>
            <w:iCs/>
            <w:noProof/>
            <w:webHidden/>
            <w:kern w:val="0"/>
            <w:sz w:val="28"/>
            <w:szCs w:val="28"/>
            <w14:ligatures w14:val="none"/>
          </w:rPr>
          <w:t>13</w:t>
        </w:r>
        <w:r w:rsidRPr="00D82E13">
          <w:rPr>
            <w:rFonts w:ascii="Calibri" w:eastAsia="Times New Roman" w:hAnsi="Calibri" w:cs="Calibri"/>
            <w:iCs/>
            <w:noProof/>
            <w:webHidden/>
            <w:kern w:val="0"/>
            <w:sz w:val="28"/>
            <w:szCs w:val="28"/>
            <w14:ligatures w14:val="none"/>
          </w:rPr>
          <w:fldChar w:fldCharType="end"/>
        </w:r>
      </w:hyperlink>
    </w:p>
    <w:p w14:paraId="3BA9E030" w14:textId="42B36347" w:rsidR="006948E6" w:rsidRPr="00D82E13" w:rsidRDefault="006948E6" w:rsidP="006948E6">
      <w:pPr>
        <w:widowControl w:val="0"/>
        <w:tabs>
          <w:tab w:val="right" w:leader="dot" w:pos="9530"/>
        </w:tabs>
        <w:autoSpaceDE w:val="0"/>
        <w:autoSpaceDN w:val="0"/>
        <w:adjustRightInd w:val="0"/>
        <w:ind w:left="240"/>
        <w:rPr>
          <w:rFonts w:ascii="Calibri" w:eastAsia="MS Mincho" w:hAnsi="Calibri" w:cs="Calibri"/>
          <w:iCs/>
          <w:noProof/>
          <w:kern w:val="0"/>
          <w:sz w:val="28"/>
          <w:szCs w:val="28"/>
          <w14:ligatures w14:val="none"/>
        </w:rPr>
      </w:pPr>
      <w:hyperlink w:anchor="_Toc119418672" w:history="1">
        <w:r w:rsidRPr="00D82E13">
          <w:rPr>
            <w:rFonts w:ascii="Calibri" w:eastAsia="Times New Roman" w:hAnsi="Calibri" w:cs="Calibri"/>
            <w:iCs/>
            <w:noProof/>
            <w:kern w:val="0"/>
            <w:sz w:val="28"/>
            <w:szCs w:val="28"/>
            <w14:ligatures w14:val="none"/>
          </w:rPr>
          <w:t>Appendix D – FY 2024 State Activity Mandated Measures (SAMM) Report</w:t>
        </w:r>
        <w:r w:rsidRPr="00D82E13">
          <w:rPr>
            <w:rFonts w:ascii="Calibri" w:eastAsia="Times New Roman" w:hAnsi="Calibri" w:cs="Calibri"/>
            <w:iCs/>
            <w:noProof/>
            <w:webHidden/>
            <w:kern w:val="0"/>
            <w:sz w:val="28"/>
            <w:szCs w:val="28"/>
            <w14:ligatures w14:val="none"/>
          </w:rPr>
          <w:tab/>
        </w:r>
        <w:r w:rsidRPr="00D82E13">
          <w:rPr>
            <w:rFonts w:ascii="Calibri" w:eastAsia="Times New Roman" w:hAnsi="Calibri" w:cs="Calibri"/>
            <w:iCs/>
            <w:noProof/>
            <w:webHidden/>
            <w:kern w:val="0"/>
            <w:sz w:val="28"/>
            <w:szCs w:val="28"/>
            <w14:ligatures w14:val="none"/>
          </w:rPr>
          <w:fldChar w:fldCharType="begin"/>
        </w:r>
        <w:r w:rsidRPr="00D82E13">
          <w:rPr>
            <w:rFonts w:ascii="Calibri" w:eastAsia="Times New Roman" w:hAnsi="Calibri" w:cs="Calibri"/>
            <w:iCs/>
            <w:noProof/>
            <w:webHidden/>
            <w:kern w:val="0"/>
            <w:sz w:val="28"/>
            <w:szCs w:val="28"/>
            <w14:ligatures w14:val="none"/>
          </w:rPr>
          <w:instrText xml:space="preserve"> PAGEREF _Toc119418672 \h </w:instrText>
        </w:r>
        <w:r w:rsidRPr="00D82E13">
          <w:rPr>
            <w:rFonts w:ascii="Calibri" w:eastAsia="Times New Roman" w:hAnsi="Calibri" w:cs="Calibri"/>
            <w:iCs/>
            <w:noProof/>
            <w:webHidden/>
            <w:kern w:val="0"/>
            <w:sz w:val="28"/>
            <w:szCs w:val="28"/>
            <w14:ligatures w14:val="none"/>
          </w:rPr>
        </w:r>
        <w:r w:rsidRPr="00D82E13">
          <w:rPr>
            <w:rFonts w:ascii="Calibri" w:eastAsia="Times New Roman" w:hAnsi="Calibri" w:cs="Calibri"/>
            <w:iCs/>
            <w:noProof/>
            <w:webHidden/>
            <w:kern w:val="0"/>
            <w:sz w:val="28"/>
            <w:szCs w:val="28"/>
            <w14:ligatures w14:val="none"/>
          </w:rPr>
          <w:fldChar w:fldCharType="separate"/>
        </w:r>
        <w:r w:rsidR="00EC3C7F" w:rsidRPr="00D82E13">
          <w:rPr>
            <w:rFonts w:ascii="Calibri" w:eastAsia="Times New Roman" w:hAnsi="Calibri" w:cs="Calibri"/>
            <w:iCs/>
            <w:noProof/>
            <w:webHidden/>
            <w:kern w:val="0"/>
            <w:sz w:val="28"/>
            <w:szCs w:val="28"/>
            <w14:ligatures w14:val="none"/>
          </w:rPr>
          <w:t>14</w:t>
        </w:r>
        <w:r w:rsidRPr="00D82E13">
          <w:rPr>
            <w:rFonts w:ascii="Calibri" w:eastAsia="Times New Roman" w:hAnsi="Calibri" w:cs="Calibri"/>
            <w:iCs/>
            <w:noProof/>
            <w:webHidden/>
            <w:kern w:val="0"/>
            <w:sz w:val="28"/>
            <w:szCs w:val="28"/>
            <w14:ligatures w14:val="none"/>
          </w:rPr>
          <w:fldChar w:fldCharType="end"/>
        </w:r>
      </w:hyperlink>
    </w:p>
    <w:p w14:paraId="7F0A5492" w14:textId="77777777" w:rsidR="006948E6" w:rsidRPr="006948E6" w:rsidRDefault="006948E6" w:rsidP="006948E6">
      <w:pPr>
        <w:widowControl w:val="0"/>
        <w:autoSpaceDE w:val="0"/>
        <w:autoSpaceDN w:val="0"/>
        <w:adjustRightInd w:val="0"/>
        <w:rPr>
          <w:rFonts w:ascii="Calibri" w:eastAsia="Times New Roman" w:hAnsi="Calibri" w:cs="Times New Roman"/>
          <w:iCs/>
          <w:kern w:val="0"/>
          <w:sz w:val="24"/>
          <w:szCs w:val="24"/>
          <w14:ligatures w14:val="none"/>
        </w:rPr>
      </w:pPr>
      <w:r w:rsidRPr="006948E6">
        <w:rPr>
          <w:rFonts w:ascii="Calibri" w:eastAsia="Times New Roman" w:hAnsi="Calibri" w:cs="Times New Roman"/>
          <w:iCs/>
          <w:kern w:val="0"/>
          <w:sz w:val="24"/>
          <w:szCs w:val="24"/>
          <w14:ligatures w14:val="none"/>
        </w:rPr>
        <w:fldChar w:fldCharType="end"/>
      </w:r>
      <w:r w:rsidRPr="006948E6">
        <w:rPr>
          <w:rFonts w:ascii="Calibri" w:eastAsia="Times New Roman" w:hAnsi="Calibri" w:cs="Times New Roman"/>
          <w:iCs/>
          <w:kern w:val="0"/>
          <w:sz w:val="24"/>
          <w:szCs w:val="24"/>
          <w14:ligatures w14:val="none"/>
        </w:rPr>
        <w:br w:type="page"/>
      </w:r>
    </w:p>
    <w:p w14:paraId="4A5B5BA6" w14:textId="7CEC141E" w:rsidR="006948E6" w:rsidRPr="0087265E" w:rsidRDefault="006948E6" w:rsidP="0087265E">
      <w:pPr>
        <w:pStyle w:val="ListParagraph"/>
        <w:keepNext/>
        <w:keepLines/>
        <w:widowControl w:val="0"/>
        <w:numPr>
          <w:ilvl w:val="0"/>
          <w:numId w:val="3"/>
        </w:numPr>
        <w:autoSpaceDE w:val="0"/>
        <w:autoSpaceDN w:val="0"/>
        <w:adjustRightInd w:val="0"/>
        <w:spacing w:before="120"/>
        <w:ind w:left="360" w:hanging="360"/>
        <w:outlineLvl w:val="1"/>
        <w:rPr>
          <w:rFonts w:ascii="Calibri" w:eastAsia="Times New Roman" w:hAnsi="Calibri" w:cs="Calibri"/>
          <w:b/>
          <w:bCs/>
          <w:iCs/>
          <w:kern w:val="0"/>
          <w:sz w:val="32"/>
          <w:szCs w:val="32"/>
          <w14:ligatures w14:val="none"/>
        </w:rPr>
      </w:pPr>
      <w:bookmarkStart w:id="2" w:name="_Toc338764303"/>
      <w:bookmarkStart w:id="3" w:name="_Toc118900170"/>
      <w:bookmarkStart w:id="4" w:name="_Toc118905009"/>
      <w:bookmarkStart w:id="5" w:name="_Toc119418663"/>
      <w:r w:rsidRPr="0087265E">
        <w:rPr>
          <w:rFonts w:ascii="Calibri" w:eastAsia="Times New Roman" w:hAnsi="Calibri" w:cs="Calibri"/>
          <w:b/>
          <w:bCs/>
          <w:iCs/>
          <w:kern w:val="0"/>
          <w:sz w:val="32"/>
          <w:szCs w:val="32"/>
          <w14:ligatures w14:val="none"/>
        </w:rPr>
        <w:lastRenderedPageBreak/>
        <w:t>Executive Summary</w:t>
      </w:r>
      <w:bookmarkEnd w:id="2"/>
      <w:bookmarkEnd w:id="3"/>
      <w:bookmarkEnd w:id="4"/>
      <w:bookmarkEnd w:id="5"/>
    </w:p>
    <w:p w14:paraId="2DD7DDD3" w14:textId="77777777" w:rsidR="006948E6" w:rsidRPr="006948E6" w:rsidRDefault="006948E6" w:rsidP="006948E6">
      <w:pPr>
        <w:rPr>
          <w:rFonts w:ascii="Calibri" w:eastAsia="Times New Roman" w:hAnsi="Calibri" w:cs="Calibri"/>
          <w:b/>
          <w:iCs/>
          <w:kern w:val="0"/>
          <w:sz w:val="24"/>
          <w:szCs w:val="24"/>
          <w14:ligatures w14:val="none"/>
        </w:rPr>
      </w:pPr>
    </w:p>
    <w:p w14:paraId="4D65BE6B" w14:textId="432CF0AB" w:rsidR="006948E6" w:rsidRPr="006948E6" w:rsidRDefault="006948E6" w:rsidP="006948E6">
      <w:pPr>
        <w:widowControl w:val="0"/>
        <w:autoSpaceDE w:val="0"/>
        <w:autoSpaceDN w:val="0"/>
        <w:adjustRightInd w:val="0"/>
        <w:rPr>
          <w:rFonts w:ascii="Calibri" w:eastAsia="Times New Roman" w:hAnsi="Calibri" w:cs="Calibri"/>
          <w:iCs/>
          <w:kern w:val="0"/>
          <w:sz w:val="24"/>
          <w:szCs w:val="24"/>
          <w14:ligatures w14:val="none"/>
        </w:rPr>
      </w:pPr>
      <w:r w:rsidRPr="006948E6">
        <w:rPr>
          <w:rFonts w:ascii="Calibri" w:eastAsia="Times New Roman" w:hAnsi="Calibri" w:cs="Calibri"/>
          <w:iCs/>
          <w:kern w:val="0"/>
          <w:sz w:val="24"/>
          <w:szCs w:val="24"/>
          <w14:ligatures w14:val="none"/>
        </w:rPr>
        <w:t>The primary purpose of this report is to assess the State Plan’s progress in Fiscal Year (FY) 2024, in resolving outstanding findings from the previous FY 2023</w:t>
      </w:r>
      <w:r w:rsidRPr="006948E6">
        <w:rPr>
          <w:rFonts w:ascii="Calibri" w:eastAsia="Times New Roman" w:hAnsi="Calibri" w:cs="Calibri"/>
          <w:iCs/>
          <w:color w:val="0070C0"/>
          <w:kern w:val="0"/>
          <w:sz w:val="24"/>
          <w:szCs w:val="24"/>
          <w14:ligatures w14:val="none"/>
        </w:rPr>
        <w:t xml:space="preserve"> </w:t>
      </w:r>
      <w:r w:rsidRPr="006948E6">
        <w:rPr>
          <w:rFonts w:ascii="Calibri" w:eastAsia="Times New Roman" w:hAnsi="Calibri" w:cs="Calibri"/>
          <w:iCs/>
          <w:kern w:val="0"/>
          <w:sz w:val="24"/>
          <w:szCs w:val="24"/>
          <w14:ligatures w14:val="none"/>
        </w:rPr>
        <w:t xml:space="preserve">Comprehensive Federal Annual Monitoring Evaluation (FAME) Report.  VOSH continues to effectively accomplish its mission of protecting over four million Virginians from workplace safety and health hazards by covering over </w:t>
      </w:r>
      <w:r w:rsidR="00E24391">
        <w:rPr>
          <w:rFonts w:ascii="Calibri" w:eastAsia="Times New Roman" w:hAnsi="Calibri" w:cs="Calibri"/>
          <w:iCs/>
          <w:kern w:val="0"/>
          <w:sz w:val="24"/>
          <w:szCs w:val="24"/>
          <w14:ligatures w14:val="none"/>
        </w:rPr>
        <w:t xml:space="preserve">306,650 </w:t>
      </w:r>
      <w:r w:rsidRPr="006948E6">
        <w:rPr>
          <w:rFonts w:ascii="Calibri" w:eastAsia="Times New Roman" w:hAnsi="Calibri" w:cs="Calibri"/>
          <w:iCs/>
          <w:kern w:val="0"/>
          <w:sz w:val="24"/>
          <w:szCs w:val="24"/>
          <w14:ligatures w14:val="none"/>
        </w:rPr>
        <w:t xml:space="preserve">employers.  The U.S. Bureau of Labor Statistics 2023 data </w:t>
      </w:r>
      <w:r w:rsidR="00986BE7" w:rsidRPr="006948E6">
        <w:rPr>
          <w:rFonts w:ascii="Calibri" w:eastAsia="Times New Roman" w:hAnsi="Calibri" w:cs="Calibri"/>
          <w:iCs/>
          <w:kern w:val="0"/>
          <w:sz w:val="24"/>
          <w:szCs w:val="24"/>
          <w14:ligatures w14:val="none"/>
        </w:rPr>
        <w:t>reflect</w:t>
      </w:r>
      <w:r w:rsidRPr="006948E6">
        <w:rPr>
          <w:rFonts w:ascii="Calibri" w:eastAsia="Times New Roman" w:hAnsi="Calibri" w:cs="Calibri"/>
          <w:iCs/>
          <w:kern w:val="0"/>
          <w:sz w:val="24"/>
          <w:szCs w:val="24"/>
          <w14:ligatures w14:val="none"/>
        </w:rPr>
        <w:t xml:space="preserve"> an overall Total Recordable Case Rate (TRCR) of non-fatal occupational injuries and illnesses of 2.3 for Virginia (15% lower than the national TRCR). </w:t>
      </w:r>
      <w:r w:rsidR="004A04B9">
        <w:rPr>
          <w:rFonts w:ascii="Calibri" w:eastAsia="Times New Roman" w:hAnsi="Calibri" w:cs="Calibri"/>
          <w:iCs/>
          <w:kern w:val="0"/>
          <w:sz w:val="24"/>
          <w:szCs w:val="24"/>
          <w14:ligatures w14:val="none"/>
        </w:rPr>
        <w:t xml:space="preserve"> </w:t>
      </w:r>
      <w:r w:rsidRPr="006948E6">
        <w:rPr>
          <w:rFonts w:ascii="Calibri" w:eastAsia="Times New Roman" w:hAnsi="Calibri" w:cs="Calibri"/>
          <w:iCs/>
          <w:kern w:val="0"/>
          <w:sz w:val="24"/>
          <w:szCs w:val="24"/>
          <w14:ligatures w14:val="none"/>
        </w:rPr>
        <w:t>Virginia’s TRCRs in private industry, construction, and government also remain below the national average</w:t>
      </w:r>
      <w:r w:rsidR="00EE54AB">
        <w:rPr>
          <w:rFonts w:ascii="Calibri" w:eastAsia="Times New Roman" w:hAnsi="Calibri" w:cs="Calibri"/>
          <w:iCs/>
          <w:kern w:val="0"/>
          <w:sz w:val="24"/>
          <w:szCs w:val="24"/>
          <w14:ligatures w14:val="none"/>
        </w:rPr>
        <w:t>.</w:t>
      </w:r>
    </w:p>
    <w:p w14:paraId="5346F5BF" w14:textId="77777777" w:rsidR="006948E6" w:rsidRPr="006948E6" w:rsidRDefault="006948E6" w:rsidP="006948E6">
      <w:pPr>
        <w:widowControl w:val="0"/>
        <w:autoSpaceDE w:val="0"/>
        <w:autoSpaceDN w:val="0"/>
        <w:adjustRightInd w:val="0"/>
        <w:rPr>
          <w:rFonts w:ascii="Calibri" w:eastAsia="Times New Roman" w:hAnsi="Calibri" w:cs="Calibri"/>
          <w:iCs/>
          <w:kern w:val="0"/>
          <w:sz w:val="24"/>
          <w:szCs w:val="24"/>
          <w14:ligatures w14:val="none"/>
        </w:rPr>
      </w:pPr>
    </w:p>
    <w:p w14:paraId="644E8949" w14:textId="2BC9A5F9" w:rsidR="006948E6" w:rsidRPr="006948E6" w:rsidRDefault="006948E6" w:rsidP="006948E6">
      <w:pPr>
        <w:widowControl w:val="0"/>
        <w:autoSpaceDE w:val="0"/>
        <w:autoSpaceDN w:val="0"/>
        <w:adjustRightInd w:val="0"/>
        <w:rPr>
          <w:rFonts w:ascii="Calibri" w:eastAsia="Times New Roman" w:hAnsi="Calibri" w:cs="Calibri"/>
          <w:iCs/>
          <w:kern w:val="0"/>
          <w:sz w:val="24"/>
          <w:szCs w:val="24"/>
          <w14:ligatures w14:val="none"/>
        </w:rPr>
      </w:pPr>
      <w:r w:rsidRPr="006948E6">
        <w:rPr>
          <w:rFonts w:ascii="Calibri" w:eastAsia="Times New Roman" w:hAnsi="Calibri" w:cs="Calibri"/>
          <w:iCs/>
          <w:kern w:val="0"/>
          <w:sz w:val="24"/>
          <w:szCs w:val="24"/>
          <w14:ligatures w14:val="none"/>
        </w:rPr>
        <w:t xml:space="preserve">VOSH continued to respond to occupational concerns in the Commonwealth of Virginia by </w:t>
      </w:r>
      <w:r w:rsidRPr="00636475">
        <w:rPr>
          <w:rFonts w:ascii="Calibri" w:eastAsia="Times New Roman" w:hAnsi="Calibri" w:cs="Calibri"/>
          <w:iCs/>
          <w:kern w:val="0"/>
          <w:sz w:val="24"/>
          <w:szCs w:val="24"/>
          <w14:ligatures w14:val="none"/>
        </w:rPr>
        <w:t>inspecting or investigating at least 72% of all the complaints</w:t>
      </w:r>
      <w:r w:rsidRPr="006948E6">
        <w:rPr>
          <w:rFonts w:ascii="Calibri" w:eastAsia="Times New Roman" w:hAnsi="Calibri" w:cs="Calibri"/>
          <w:iCs/>
          <w:kern w:val="0"/>
          <w:sz w:val="24"/>
          <w:szCs w:val="24"/>
          <w14:ligatures w14:val="none"/>
        </w:rPr>
        <w:t xml:space="preserve"> received in FY 2024.  VOSH refers complaints </w:t>
      </w:r>
      <w:r w:rsidR="00EE54AB">
        <w:rPr>
          <w:rFonts w:ascii="Calibri" w:eastAsia="Times New Roman" w:hAnsi="Calibri" w:cs="Calibri"/>
          <w:iCs/>
          <w:kern w:val="0"/>
          <w:sz w:val="24"/>
          <w:szCs w:val="24"/>
          <w14:ligatures w14:val="none"/>
        </w:rPr>
        <w:t xml:space="preserve">that are outside </w:t>
      </w:r>
      <w:r w:rsidRPr="006948E6">
        <w:rPr>
          <w:rFonts w:ascii="Calibri" w:eastAsia="Times New Roman" w:hAnsi="Calibri" w:cs="Calibri"/>
          <w:iCs/>
          <w:kern w:val="0"/>
          <w:sz w:val="24"/>
          <w:szCs w:val="24"/>
          <w14:ligatures w14:val="none"/>
        </w:rPr>
        <w:t>of its coverage or jurisdiction to other regulatory or law enforcement agencies as appropriate.  VOSH also remained steadfast in its commitment to conduct inspections in high-hazard industries by conducting 875 programmed inspections in FY 2024.</w:t>
      </w:r>
    </w:p>
    <w:p w14:paraId="33F59AC0" w14:textId="77777777" w:rsidR="006948E6" w:rsidRPr="006948E6" w:rsidRDefault="006948E6" w:rsidP="006948E6">
      <w:pPr>
        <w:widowControl w:val="0"/>
        <w:autoSpaceDE w:val="0"/>
        <w:autoSpaceDN w:val="0"/>
        <w:adjustRightInd w:val="0"/>
        <w:rPr>
          <w:rFonts w:ascii="Calibri" w:eastAsia="Times New Roman" w:hAnsi="Calibri" w:cs="Calibri"/>
          <w:iCs/>
          <w:kern w:val="0"/>
          <w:sz w:val="24"/>
          <w:szCs w:val="24"/>
          <w14:ligatures w14:val="none"/>
        </w:rPr>
      </w:pPr>
    </w:p>
    <w:p w14:paraId="61A79916" w14:textId="38EF78C7" w:rsidR="002E4A1A" w:rsidRPr="00986BE7" w:rsidRDefault="006948E6" w:rsidP="002E4A1A">
      <w:pPr>
        <w:textAlignment w:val="baseline"/>
        <w:rPr>
          <w:rStyle w:val="normaltextrun"/>
          <w:rFonts w:ascii="Calibri" w:hAnsi="Calibri" w:cs="Calibri"/>
          <w:color w:val="000000"/>
          <w:sz w:val="24"/>
          <w:szCs w:val="24"/>
          <w:shd w:val="clear" w:color="auto" w:fill="FFFFFF"/>
        </w:rPr>
      </w:pPr>
      <w:r w:rsidRPr="006948E6">
        <w:rPr>
          <w:rFonts w:ascii="Calibri" w:eastAsia="Times New Roman" w:hAnsi="Calibri" w:cs="Calibri"/>
          <w:iCs/>
          <w:kern w:val="0"/>
          <w:sz w:val="24"/>
          <w:szCs w:val="24"/>
          <w14:ligatures w14:val="none"/>
        </w:rPr>
        <w:t xml:space="preserve">VOSH continues to have significant enforcement presence.  VOSH conducted 2,008 inspections in private and state and local government (SLG) workplaces during FY 2024 – 318 more inspections than was conducted in FY 2023.  This number also signifies the first time VOSH completed over 2,000 inspections in almost two decades and a 46% increase in the number of inspections over the past </w:t>
      </w:r>
      <w:r w:rsidR="0075774F">
        <w:rPr>
          <w:rFonts w:ascii="Calibri" w:eastAsia="Times New Roman" w:hAnsi="Calibri" w:cs="Calibri"/>
          <w:iCs/>
          <w:kern w:val="0"/>
          <w:sz w:val="24"/>
          <w:szCs w:val="24"/>
          <w14:ligatures w14:val="none"/>
        </w:rPr>
        <w:t>two</w:t>
      </w:r>
      <w:r w:rsidRPr="006948E6">
        <w:rPr>
          <w:rFonts w:ascii="Calibri" w:eastAsia="Times New Roman" w:hAnsi="Calibri" w:cs="Calibri"/>
          <w:iCs/>
          <w:kern w:val="0"/>
          <w:sz w:val="24"/>
          <w:szCs w:val="24"/>
          <w14:ligatures w14:val="none"/>
        </w:rPr>
        <w:t xml:space="preserve"> federal fiscal years. These inspections resulted in VOSH issuing 4,204 violations – an increase of 1,404 violations from FY 2023.  VOSH investigates all work-related fatalities within its jurisdiction and coverage limitations.  </w:t>
      </w:r>
    </w:p>
    <w:p w14:paraId="006444A4" w14:textId="77777777" w:rsidR="004A04B9" w:rsidRDefault="004A04B9" w:rsidP="006948E6">
      <w:pPr>
        <w:widowControl w:val="0"/>
        <w:autoSpaceDE w:val="0"/>
        <w:autoSpaceDN w:val="0"/>
        <w:adjustRightInd w:val="0"/>
        <w:rPr>
          <w:rFonts w:ascii="Calibri" w:eastAsia="Times New Roman" w:hAnsi="Calibri" w:cs="Calibri"/>
          <w:iCs/>
          <w:kern w:val="0"/>
          <w:sz w:val="24"/>
          <w:szCs w:val="24"/>
          <w14:ligatures w14:val="none"/>
        </w:rPr>
      </w:pPr>
    </w:p>
    <w:p w14:paraId="201C874B" w14:textId="3F50B050" w:rsidR="006948E6" w:rsidRPr="006948E6" w:rsidRDefault="006948E6" w:rsidP="006948E6">
      <w:pPr>
        <w:widowControl w:val="0"/>
        <w:autoSpaceDE w:val="0"/>
        <w:autoSpaceDN w:val="0"/>
        <w:adjustRightInd w:val="0"/>
        <w:rPr>
          <w:rFonts w:ascii="Calibri" w:eastAsia="Times New Roman" w:hAnsi="Calibri" w:cs="Calibri"/>
          <w:iCs/>
          <w:kern w:val="0"/>
          <w:sz w:val="24"/>
          <w:szCs w:val="24"/>
          <w14:ligatures w14:val="none"/>
        </w:rPr>
      </w:pPr>
      <w:r w:rsidRPr="006948E6">
        <w:rPr>
          <w:rFonts w:ascii="Calibri" w:eastAsia="Times New Roman" w:hAnsi="Calibri" w:cs="Calibri"/>
          <w:iCs/>
          <w:kern w:val="0"/>
          <w:sz w:val="24"/>
          <w:szCs w:val="24"/>
          <w14:ligatures w14:val="none"/>
        </w:rPr>
        <w:t xml:space="preserve">Throughout the year, VOSH made progress to address the previous two </w:t>
      </w:r>
      <w:r w:rsidR="005F07AF">
        <w:rPr>
          <w:rFonts w:ascii="Calibri" w:eastAsia="Times New Roman" w:hAnsi="Calibri" w:cs="Calibri"/>
          <w:iCs/>
          <w:kern w:val="0"/>
          <w:sz w:val="24"/>
          <w:szCs w:val="24"/>
          <w14:ligatures w14:val="none"/>
        </w:rPr>
        <w:t xml:space="preserve">FAME </w:t>
      </w:r>
      <w:r w:rsidRPr="006948E6">
        <w:rPr>
          <w:rFonts w:ascii="Calibri" w:eastAsia="Times New Roman" w:hAnsi="Calibri" w:cs="Calibri"/>
          <w:iCs/>
          <w:kern w:val="0"/>
          <w:sz w:val="24"/>
          <w:szCs w:val="24"/>
          <w14:ligatures w14:val="none"/>
        </w:rPr>
        <w:t xml:space="preserve">findings and three observations from the FY 2023 Comprehensive FAME Report. VOSH adopted all FY 2024 federal program changes </w:t>
      </w:r>
      <w:r w:rsidR="00E27599">
        <w:rPr>
          <w:rFonts w:ascii="Calibri" w:eastAsia="Times New Roman" w:hAnsi="Calibri" w:cs="Calibri"/>
          <w:iCs/>
          <w:kern w:val="0"/>
          <w:sz w:val="24"/>
          <w:szCs w:val="24"/>
          <w14:ligatures w14:val="none"/>
        </w:rPr>
        <w:t xml:space="preserve">(FPCs) </w:t>
      </w:r>
      <w:r w:rsidRPr="006948E6">
        <w:rPr>
          <w:rFonts w:ascii="Calibri" w:eastAsia="Times New Roman" w:hAnsi="Calibri" w:cs="Calibri"/>
          <w:iCs/>
          <w:kern w:val="0"/>
          <w:sz w:val="24"/>
          <w:szCs w:val="24"/>
          <w14:ligatures w14:val="none"/>
        </w:rPr>
        <w:t>within the required time frames</w:t>
      </w:r>
      <w:r w:rsidR="00E27599">
        <w:rPr>
          <w:rFonts w:ascii="Calibri" w:eastAsia="Times New Roman" w:hAnsi="Calibri" w:cs="Calibri"/>
          <w:iCs/>
          <w:kern w:val="0"/>
          <w:sz w:val="24"/>
          <w:szCs w:val="24"/>
          <w14:ligatures w14:val="none"/>
        </w:rPr>
        <w:t>;</w:t>
      </w:r>
      <w:r w:rsidRPr="006948E6">
        <w:rPr>
          <w:rFonts w:ascii="Calibri" w:eastAsia="Times New Roman" w:hAnsi="Calibri" w:cs="Calibri"/>
          <w:iCs/>
          <w:kern w:val="0"/>
          <w:sz w:val="24"/>
          <w:szCs w:val="24"/>
          <w14:ligatures w14:val="none"/>
        </w:rPr>
        <w:t xml:space="preserve"> </w:t>
      </w:r>
      <w:r w:rsidR="00225EC2">
        <w:rPr>
          <w:rFonts w:ascii="Calibri" w:eastAsia="Times New Roman" w:hAnsi="Calibri" w:cs="Calibri"/>
          <w:iCs/>
          <w:kern w:val="0"/>
          <w:sz w:val="24"/>
          <w:szCs w:val="24"/>
          <w14:ligatures w14:val="none"/>
        </w:rPr>
        <w:t>however</w:t>
      </w:r>
      <w:r w:rsidR="00C561B8">
        <w:rPr>
          <w:rFonts w:ascii="Calibri" w:eastAsia="Times New Roman" w:hAnsi="Calibri" w:cs="Calibri"/>
          <w:iCs/>
          <w:kern w:val="0"/>
          <w:sz w:val="24"/>
          <w:szCs w:val="24"/>
          <w14:ligatures w14:val="none"/>
        </w:rPr>
        <w:t>,</w:t>
      </w:r>
      <w:r w:rsidR="00225EC2">
        <w:rPr>
          <w:rFonts w:ascii="Calibri" w:eastAsia="Times New Roman" w:hAnsi="Calibri" w:cs="Calibri"/>
          <w:iCs/>
          <w:kern w:val="0"/>
          <w:sz w:val="24"/>
          <w:szCs w:val="24"/>
          <w14:ligatures w14:val="none"/>
        </w:rPr>
        <w:t xml:space="preserve"> </w:t>
      </w:r>
      <w:r w:rsidR="002C2691">
        <w:rPr>
          <w:rFonts w:ascii="Calibri" w:eastAsia="Times New Roman" w:hAnsi="Calibri" w:cs="Calibri"/>
          <w:iCs/>
          <w:kern w:val="0"/>
          <w:sz w:val="24"/>
          <w:szCs w:val="24"/>
          <w14:ligatures w14:val="none"/>
        </w:rPr>
        <w:t>there remain several outstanding FPCs identified during the FY 2023 FAME</w:t>
      </w:r>
      <w:r w:rsidRPr="006948E6">
        <w:rPr>
          <w:rFonts w:ascii="Calibri" w:eastAsia="Times New Roman" w:hAnsi="Calibri" w:cs="Calibri"/>
          <w:iCs/>
          <w:kern w:val="0"/>
          <w:sz w:val="24"/>
          <w:szCs w:val="24"/>
          <w14:ligatures w14:val="none"/>
        </w:rPr>
        <w:t>. VOSH communicated to OSHA the corrective steps for the remaining finding and observations, however</w:t>
      </w:r>
      <w:r w:rsidR="00C561B8">
        <w:rPr>
          <w:rFonts w:ascii="Calibri" w:eastAsia="Times New Roman" w:hAnsi="Calibri" w:cs="Calibri"/>
          <w:iCs/>
          <w:kern w:val="0"/>
          <w:sz w:val="24"/>
          <w:szCs w:val="24"/>
          <w14:ligatures w14:val="none"/>
        </w:rPr>
        <w:t>,</w:t>
      </w:r>
      <w:r w:rsidRPr="006948E6">
        <w:rPr>
          <w:rFonts w:ascii="Calibri" w:eastAsia="Times New Roman" w:hAnsi="Calibri" w:cs="Calibri"/>
          <w:iCs/>
          <w:kern w:val="0"/>
          <w:sz w:val="24"/>
          <w:szCs w:val="24"/>
          <w14:ligatures w14:val="none"/>
        </w:rPr>
        <w:t xml:space="preserve"> case file reviews are required to evaluate and verify their status which will be conducted during the FY 2025 comprehensive FAME on-site case file review. </w:t>
      </w:r>
    </w:p>
    <w:p w14:paraId="017F1CC5" w14:textId="77777777" w:rsidR="006948E6" w:rsidRPr="006948E6" w:rsidRDefault="006948E6" w:rsidP="006948E6">
      <w:pPr>
        <w:widowControl w:val="0"/>
        <w:autoSpaceDE w:val="0"/>
        <w:autoSpaceDN w:val="0"/>
        <w:adjustRightInd w:val="0"/>
        <w:rPr>
          <w:rFonts w:ascii="Calibri" w:eastAsia="Times New Roman" w:hAnsi="Calibri" w:cs="Calibri"/>
          <w:iCs/>
          <w:kern w:val="0"/>
          <w:sz w:val="24"/>
          <w:szCs w:val="24"/>
          <w14:ligatures w14:val="none"/>
        </w:rPr>
      </w:pPr>
    </w:p>
    <w:p w14:paraId="25B32FEA" w14:textId="69509BAE" w:rsidR="006948E6" w:rsidRDefault="006948E6" w:rsidP="006948E6">
      <w:pPr>
        <w:widowControl w:val="0"/>
        <w:autoSpaceDE w:val="0"/>
        <w:autoSpaceDN w:val="0"/>
        <w:adjustRightInd w:val="0"/>
        <w:rPr>
          <w:rFonts w:ascii="Calibri" w:eastAsia="Times New Roman" w:hAnsi="Calibri" w:cs="Calibri"/>
          <w:iCs/>
          <w:kern w:val="0"/>
          <w:sz w:val="24"/>
          <w:szCs w:val="24"/>
          <w14:ligatures w14:val="none"/>
        </w:rPr>
      </w:pPr>
      <w:r w:rsidRPr="006948E6">
        <w:rPr>
          <w:rFonts w:ascii="Calibri" w:eastAsia="Times New Roman" w:hAnsi="Calibri" w:cs="Calibri"/>
          <w:iCs/>
          <w:kern w:val="0"/>
          <w:sz w:val="24"/>
          <w:szCs w:val="24"/>
          <w14:ligatures w14:val="none"/>
        </w:rPr>
        <w:t>VOSH is responsive to OSHA</w:t>
      </w:r>
      <w:r w:rsidR="00E27599">
        <w:rPr>
          <w:rFonts w:ascii="Calibri" w:eastAsia="Times New Roman" w:hAnsi="Calibri" w:cs="Calibri"/>
          <w:iCs/>
          <w:kern w:val="0"/>
          <w:sz w:val="24"/>
          <w:szCs w:val="24"/>
          <w14:ligatures w14:val="none"/>
        </w:rPr>
        <w:t>’s</w:t>
      </w:r>
      <w:r w:rsidRPr="006948E6">
        <w:rPr>
          <w:rFonts w:ascii="Calibri" w:eastAsia="Times New Roman" w:hAnsi="Calibri" w:cs="Calibri"/>
          <w:iCs/>
          <w:kern w:val="0"/>
          <w:sz w:val="24"/>
          <w:szCs w:val="24"/>
          <w14:ligatures w14:val="none"/>
        </w:rPr>
        <w:t xml:space="preserve"> requests and works collaboratively to achieve the mission of protecting the nation’s workers.  VOSH shares initiatives and seeks to work in concert with OSHA when possible</w:t>
      </w:r>
      <w:r w:rsidR="00332372">
        <w:rPr>
          <w:rFonts w:ascii="Calibri" w:eastAsia="Times New Roman" w:hAnsi="Calibri" w:cs="Calibri"/>
          <w:iCs/>
          <w:kern w:val="0"/>
          <w:sz w:val="24"/>
          <w:szCs w:val="24"/>
          <w14:ligatures w14:val="none"/>
        </w:rPr>
        <w:t>.  During the FY 2024 performance period, VOSH made progress to address its two findings from the FY</w:t>
      </w:r>
      <w:r w:rsidR="00C561B8">
        <w:rPr>
          <w:rFonts w:ascii="Calibri" w:eastAsia="Times New Roman" w:hAnsi="Calibri" w:cs="Calibri"/>
          <w:iCs/>
          <w:kern w:val="0"/>
          <w:sz w:val="24"/>
          <w:szCs w:val="24"/>
          <w14:ligatures w14:val="none"/>
        </w:rPr>
        <w:t xml:space="preserve"> 20</w:t>
      </w:r>
      <w:r w:rsidR="00332372">
        <w:rPr>
          <w:rFonts w:ascii="Calibri" w:eastAsia="Times New Roman" w:hAnsi="Calibri" w:cs="Calibri"/>
          <w:iCs/>
          <w:kern w:val="0"/>
          <w:sz w:val="24"/>
          <w:szCs w:val="24"/>
          <w14:ligatures w14:val="none"/>
        </w:rPr>
        <w:t xml:space="preserve">23 comprehensive FAME and submitted a corrective action plan to the Philadelphia Region.  </w:t>
      </w:r>
      <w:r w:rsidR="00C561B8">
        <w:rPr>
          <w:rFonts w:ascii="Calibri" w:eastAsia="Times New Roman" w:hAnsi="Calibri" w:cs="Calibri"/>
          <w:iCs/>
          <w:kern w:val="0"/>
          <w:sz w:val="24"/>
          <w:szCs w:val="24"/>
          <w14:ligatures w14:val="none"/>
        </w:rPr>
        <w:t>A</w:t>
      </w:r>
      <w:r w:rsidR="00332372">
        <w:rPr>
          <w:rFonts w:ascii="Calibri" w:eastAsia="Times New Roman" w:hAnsi="Calibri" w:cs="Calibri"/>
          <w:iCs/>
          <w:kern w:val="0"/>
          <w:sz w:val="24"/>
          <w:szCs w:val="24"/>
          <w14:ligatures w14:val="none"/>
        </w:rPr>
        <w:t xml:space="preserve"> comprehensive on-site case file review is necessary to verify that the findings have been adequately corrected, therefore, all findings remain open.  Additionally, the three observations will continue pending a case file review in FY 2025.  No new findings or observations were identified. </w:t>
      </w:r>
    </w:p>
    <w:p w14:paraId="2D0B01AC" w14:textId="77777777" w:rsidR="006B3D2F" w:rsidRPr="006948E6" w:rsidRDefault="006B3D2F" w:rsidP="006948E6">
      <w:pPr>
        <w:widowControl w:val="0"/>
        <w:autoSpaceDE w:val="0"/>
        <w:autoSpaceDN w:val="0"/>
        <w:adjustRightInd w:val="0"/>
        <w:rPr>
          <w:rFonts w:ascii="Calibri" w:eastAsia="Times New Roman" w:hAnsi="Calibri" w:cs="Calibri"/>
          <w:iCs/>
          <w:kern w:val="0"/>
          <w:sz w:val="24"/>
          <w:szCs w:val="24"/>
          <w14:ligatures w14:val="none"/>
        </w:rPr>
      </w:pPr>
    </w:p>
    <w:p w14:paraId="6641E321" w14:textId="6381BC09" w:rsidR="006948E6" w:rsidRPr="0087265E" w:rsidRDefault="006948E6" w:rsidP="0087265E">
      <w:pPr>
        <w:pStyle w:val="ListParagraph"/>
        <w:keepNext/>
        <w:keepLines/>
        <w:widowControl w:val="0"/>
        <w:numPr>
          <w:ilvl w:val="0"/>
          <w:numId w:val="3"/>
        </w:numPr>
        <w:autoSpaceDE w:val="0"/>
        <w:autoSpaceDN w:val="0"/>
        <w:adjustRightInd w:val="0"/>
        <w:spacing w:before="120"/>
        <w:ind w:left="540" w:hanging="540"/>
        <w:outlineLvl w:val="1"/>
        <w:rPr>
          <w:rFonts w:ascii="Calibri" w:eastAsia="Times New Roman" w:hAnsi="Calibri" w:cs="Calibri"/>
          <w:b/>
          <w:bCs/>
          <w:iCs/>
          <w:kern w:val="0"/>
          <w:sz w:val="32"/>
          <w:szCs w:val="32"/>
          <w14:ligatures w14:val="none"/>
        </w:rPr>
      </w:pPr>
      <w:bookmarkStart w:id="6" w:name="_Toc118900171"/>
      <w:bookmarkStart w:id="7" w:name="_Toc118905010"/>
      <w:bookmarkStart w:id="8" w:name="_Toc119418664"/>
      <w:r w:rsidRPr="0087265E">
        <w:rPr>
          <w:rFonts w:ascii="Calibri" w:eastAsia="Times New Roman" w:hAnsi="Calibri" w:cs="Calibri"/>
          <w:b/>
          <w:bCs/>
          <w:iCs/>
          <w:kern w:val="0"/>
          <w:sz w:val="32"/>
          <w:szCs w:val="32"/>
          <w14:ligatures w14:val="none"/>
        </w:rPr>
        <w:lastRenderedPageBreak/>
        <w:t>State Plan Background</w:t>
      </w:r>
      <w:bookmarkEnd w:id="6"/>
      <w:bookmarkEnd w:id="7"/>
      <w:bookmarkEnd w:id="8"/>
    </w:p>
    <w:p w14:paraId="08B34F9B" w14:textId="77777777" w:rsidR="006948E6" w:rsidRPr="006948E6" w:rsidRDefault="006948E6" w:rsidP="006948E6">
      <w:pPr>
        <w:rPr>
          <w:rFonts w:ascii="Calibri" w:eastAsia="Times New Roman" w:hAnsi="Calibri" w:cs="Calibri"/>
          <w:iCs/>
          <w:kern w:val="0"/>
          <w:sz w:val="24"/>
          <w:szCs w:val="24"/>
          <w14:ligatures w14:val="none"/>
        </w:rPr>
      </w:pPr>
    </w:p>
    <w:p w14:paraId="6201AA99" w14:textId="2162D8EB" w:rsidR="006948E6" w:rsidRPr="006948E6" w:rsidRDefault="006948E6" w:rsidP="006948E6">
      <w:pPr>
        <w:contextualSpacing/>
        <w:rPr>
          <w:rFonts w:ascii="Calibri" w:eastAsia="Times New Roman" w:hAnsi="Calibri" w:cs="Calibri"/>
          <w:bCs/>
          <w:iCs/>
          <w:kern w:val="0"/>
          <w:sz w:val="24"/>
          <w:szCs w:val="24"/>
          <w14:ligatures w14:val="none"/>
        </w:rPr>
      </w:pPr>
      <w:r w:rsidRPr="006948E6">
        <w:rPr>
          <w:rFonts w:ascii="Calibri" w:eastAsia="Times New Roman" w:hAnsi="Calibri" w:cs="Calibri"/>
          <w:bCs/>
          <w:iCs/>
          <w:kern w:val="0"/>
          <w:sz w:val="24"/>
          <w:szCs w:val="24"/>
          <w14:ligatures w14:val="none"/>
        </w:rPr>
        <w:t>Virginia operates a State Plan occupational safety and health program</w:t>
      </w:r>
      <w:r w:rsidR="00E25AE2">
        <w:rPr>
          <w:rFonts w:ascii="Calibri" w:eastAsia="Times New Roman" w:hAnsi="Calibri" w:cs="Calibri"/>
          <w:bCs/>
          <w:iCs/>
          <w:kern w:val="0"/>
          <w:sz w:val="24"/>
          <w:szCs w:val="24"/>
          <w14:ligatures w14:val="none"/>
        </w:rPr>
        <w:t xml:space="preserve"> authorized</w:t>
      </w:r>
      <w:r w:rsidRPr="006948E6">
        <w:rPr>
          <w:rFonts w:ascii="Calibri" w:eastAsia="Times New Roman" w:hAnsi="Calibri" w:cs="Calibri"/>
          <w:bCs/>
          <w:iCs/>
          <w:kern w:val="0"/>
          <w:sz w:val="24"/>
          <w:szCs w:val="24"/>
          <w14:ligatures w14:val="none"/>
        </w:rPr>
        <w:t xml:space="preserve"> under Section 18 of the Occupational Safety and Health (OSH) Act of 1970.  The Virginia Department of Labor and Industry (DOLI) administers the VOSH Program.  VOSH operates within DOLI and is headquartered in Richmond, Virginia with field offices located in Abingdon, Lynchburg, Manassas, Norfolk, Richmond, Roanoke, and Verona.</w:t>
      </w:r>
    </w:p>
    <w:p w14:paraId="74FA9FBF" w14:textId="77777777" w:rsidR="006948E6" w:rsidRPr="006948E6" w:rsidRDefault="006948E6" w:rsidP="006948E6">
      <w:pPr>
        <w:contextualSpacing/>
        <w:rPr>
          <w:rFonts w:ascii="Calibri" w:eastAsia="Times New Roman" w:hAnsi="Calibri" w:cs="Calibri"/>
          <w:b/>
          <w:iCs/>
          <w:kern w:val="0"/>
          <w:sz w:val="24"/>
          <w:szCs w:val="24"/>
          <w14:ligatures w14:val="none"/>
        </w:rPr>
      </w:pPr>
    </w:p>
    <w:p w14:paraId="4DCF5F5E" w14:textId="7CEADE80" w:rsidR="006948E6" w:rsidRPr="006948E6" w:rsidRDefault="006948E6" w:rsidP="006948E6">
      <w:pPr>
        <w:contextualSpacing/>
        <w:rPr>
          <w:rFonts w:ascii="Calibri" w:eastAsia="Times New Roman" w:hAnsi="Calibri" w:cs="Calibri"/>
          <w:b/>
          <w:iCs/>
          <w:kern w:val="0"/>
          <w:sz w:val="24"/>
          <w:szCs w:val="24"/>
          <w14:ligatures w14:val="none"/>
        </w:rPr>
      </w:pPr>
      <w:r w:rsidRPr="006948E6">
        <w:rPr>
          <w:rFonts w:ascii="Calibri" w:eastAsia="Times New Roman" w:hAnsi="Calibri" w:cs="Calibri"/>
          <w:iCs/>
          <w:kern w:val="0"/>
          <w:sz w:val="24"/>
          <w:szCs w:val="24"/>
          <w14:ligatures w14:val="none"/>
        </w:rPr>
        <w:t xml:space="preserve">In FY 2024, VOSH operated under Gary Pan, Commissioner of DOLI. Charles Stiff served as DOLI’s Deputy Commissioner. Ronald Graham served as VOSH’s health director and Jeffrey Cabral served as the safety director during FY 2024. Jennifer Rose continued her role within VOSH as the Director of Cooperative Programs which includes consultation and Voluntary Protection Programs (VPP). Diane Duell currently oversees the Division of Legal Support (DLS) which includes whistleblower oversight.  The agency directors for safety, health, whistleblower, cooperative programs, and legal services are under the direction of the </w:t>
      </w:r>
      <w:r w:rsidR="00E25AE2">
        <w:rPr>
          <w:rFonts w:ascii="Calibri" w:eastAsia="Times New Roman" w:hAnsi="Calibri" w:cs="Calibri"/>
          <w:iCs/>
          <w:kern w:val="0"/>
          <w:sz w:val="24"/>
          <w:szCs w:val="24"/>
          <w14:ligatures w14:val="none"/>
        </w:rPr>
        <w:t>A</w:t>
      </w:r>
      <w:r w:rsidRPr="006948E6">
        <w:rPr>
          <w:rFonts w:ascii="Calibri" w:eastAsia="Times New Roman" w:hAnsi="Calibri" w:cs="Calibri"/>
          <w:iCs/>
          <w:kern w:val="0"/>
          <w:sz w:val="24"/>
          <w:szCs w:val="24"/>
          <w14:ligatures w14:val="none"/>
        </w:rPr>
        <w:t xml:space="preserve">ssistant </w:t>
      </w:r>
      <w:r w:rsidR="00E25AE2">
        <w:rPr>
          <w:rFonts w:ascii="Calibri" w:eastAsia="Times New Roman" w:hAnsi="Calibri" w:cs="Calibri"/>
          <w:iCs/>
          <w:kern w:val="0"/>
          <w:sz w:val="24"/>
          <w:szCs w:val="24"/>
          <w14:ligatures w14:val="none"/>
        </w:rPr>
        <w:t>C</w:t>
      </w:r>
      <w:r w:rsidRPr="006948E6">
        <w:rPr>
          <w:rFonts w:ascii="Calibri" w:eastAsia="Times New Roman" w:hAnsi="Calibri" w:cs="Calibri"/>
          <w:iCs/>
          <w:kern w:val="0"/>
          <w:sz w:val="24"/>
          <w:szCs w:val="24"/>
          <w14:ligatures w14:val="none"/>
        </w:rPr>
        <w:t xml:space="preserve">ommissioner who, in turn, reports to the </w:t>
      </w:r>
      <w:r w:rsidR="00E25AE2">
        <w:rPr>
          <w:rFonts w:ascii="Calibri" w:eastAsia="Times New Roman" w:hAnsi="Calibri" w:cs="Calibri"/>
          <w:iCs/>
          <w:kern w:val="0"/>
          <w:sz w:val="24"/>
          <w:szCs w:val="24"/>
          <w14:ligatures w14:val="none"/>
        </w:rPr>
        <w:t>C</w:t>
      </w:r>
      <w:r w:rsidRPr="006948E6">
        <w:rPr>
          <w:rFonts w:ascii="Calibri" w:eastAsia="Times New Roman" w:hAnsi="Calibri" w:cs="Calibri"/>
          <w:iCs/>
          <w:kern w:val="0"/>
          <w:sz w:val="24"/>
          <w:szCs w:val="24"/>
          <w14:ligatures w14:val="none"/>
        </w:rPr>
        <w:t xml:space="preserve">ommissioner. Additionally, Princy Doss serves as the Director of Policy and Planning under the direction of Senior Fellow, Jay Withrow who reports directly to the </w:t>
      </w:r>
      <w:r w:rsidR="00E25AE2">
        <w:rPr>
          <w:rFonts w:ascii="Calibri" w:eastAsia="Times New Roman" w:hAnsi="Calibri" w:cs="Calibri"/>
          <w:iCs/>
          <w:kern w:val="0"/>
          <w:sz w:val="24"/>
          <w:szCs w:val="24"/>
          <w14:ligatures w14:val="none"/>
        </w:rPr>
        <w:t>D</w:t>
      </w:r>
      <w:r w:rsidRPr="006948E6">
        <w:rPr>
          <w:rFonts w:ascii="Calibri" w:eastAsia="Times New Roman" w:hAnsi="Calibri" w:cs="Calibri"/>
          <w:iCs/>
          <w:kern w:val="0"/>
          <w:sz w:val="24"/>
          <w:szCs w:val="24"/>
          <w14:ligatures w14:val="none"/>
        </w:rPr>
        <w:t xml:space="preserve">eputy </w:t>
      </w:r>
      <w:r w:rsidR="00E25AE2">
        <w:rPr>
          <w:rFonts w:ascii="Calibri" w:eastAsia="Times New Roman" w:hAnsi="Calibri" w:cs="Calibri"/>
          <w:iCs/>
          <w:kern w:val="0"/>
          <w:sz w:val="24"/>
          <w:szCs w:val="24"/>
          <w14:ligatures w14:val="none"/>
        </w:rPr>
        <w:t>C</w:t>
      </w:r>
      <w:r w:rsidRPr="006948E6">
        <w:rPr>
          <w:rFonts w:ascii="Calibri" w:eastAsia="Times New Roman" w:hAnsi="Calibri" w:cs="Calibri"/>
          <w:iCs/>
          <w:kern w:val="0"/>
          <w:sz w:val="24"/>
          <w:szCs w:val="24"/>
          <w14:ligatures w14:val="none"/>
        </w:rPr>
        <w:t xml:space="preserve">ommissioner.     </w:t>
      </w:r>
    </w:p>
    <w:p w14:paraId="278A7217" w14:textId="77777777" w:rsidR="006948E6" w:rsidRPr="006948E6" w:rsidRDefault="006948E6" w:rsidP="006948E6">
      <w:pPr>
        <w:contextualSpacing/>
        <w:rPr>
          <w:rFonts w:ascii="Calibri" w:eastAsia="Times New Roman" w:hAnsi="Calibri" w:cs="Calibri"/>
          <w:b/>
          <w:iCs/>
          <w:kern w:val="0"/>
          <w:sz w:val="24"/>
          <w:szCs w:val="24"/>
          <w14:ligatures w14:val="none"/>
        </w:rPr>
      </w:pPr>
    </w:p>
    <w:p w14:paraId="49FA4C46" w14:textId="5471554D" w:rsidR="00534B23" w:rsidRDefault="006948E6" w:rsidP="00D87431">
      <w:pPr>
        <w:contextualSpacing/>
        <w:rPr>
          <w:rFonts w:ascii="Calibri" w:eastAsia="Times New Roman" w:hAnsi="Calibri" w:cs="Calibri"/>
          <w:bCs/>
          <w:iCs/>
          <w:kern w:val="0"/>
          <w:sz w:val="24"/>
          <w:szCs w:val="24"/>
          <w14:ligatures w14:val="none"/>
        </w:rPr>
      </w:pPr>
      <w:r w:rsidRPr="006948E6">
        <w:rPr>
          <w:rFonts w:ascii="Calibri" w:eastAsia="Times New Roman" w:hAnsi="Calibri" w:cs="Calibri"/>
          <w:bCs/>
          <w:iCs/>
          <w:kern w:val="0"/>
          <w:sz w:val="24"/>
          <w:szCs w:val="24"/>
          <w14:ligatures w14:val="none"/>
        </w:rPr>
        <w:t>VOSH consists of two major units: compliance and cooperative programs, including consultation and training services.  The compliance unit inspects workplaces; issues citations and penalties for violations of established occupational standards; and responds to fatalities, incidents, and worker complaints about workplace safety and health hazards.  VOSH also conducts randomly scheduled inspections of high</w:t>
      </w:r>
      <w:r w:rsidR="00713B50">
        <w:rPr>
          <w:rFonts w:ascii="Calibri" w:eastAsia="Times New Roman" w:hAnsi="Calibri" w:cs="Calibri"/>
          <w:bCs/>
          <w:iCs/>
          <w:kern w:val="0"/>
          <w:sz w:val="24"/>
          <w:szCs w:val="24"/>
          <w14:ligatures w14:val="none"/>
        </w:rPr>
        <w:t>-</w:t>
      </w:r>
      <w:r w:rsidRPr="006948E6">
        <w:rPr>
          <w:rFonts w:ascii="Calibri" w:eastAsia="Times New Roman" w:hAnsi="Calibri" w:cs="Calibri"/>
          <w:bCs/>
          <w:iCs/>
          <w:kern w:val="0"/>
          <w:sz w:val="24"/>
          <w:szCs w:val="24"/>
          <w14:ligatures w14:val="none"/>
        </w:rPr>
        <w:t xml:space="preserve">hazard industries.  In addition to enforcement efforts, VOSH provides compliance assistance through targeted outreach, education, and training to emphasize increased awareness on the part of both employers and workers of the importance of a robust safety and health culture. </w:t>
      </w:r>
    </w:p>
    <w:p w14:paraId="287B88DA" w14:textId="77777777" w:rsidR="00534B23" w:rsidRDefault="00534B23" w:rsidP="00D87431">
      <w:pPr>
        <w:contextualSpacing/>
        <w:rPr>
          <w:rFonts w:ascii="Calibri" w:eastAsia="Times New Roman" w:hAnsi="Calibri" w:cs="Calibri"/>
          <w:bCs/>
          <w:iCs/>
          <w:kern w:val="0"/>
          <w:sz w:val="24"/>
          <w:szCs w:val="24"/>
          <w14:ligatures w14:val="none"/>
        </w:rPr>
      </w:pPr>
    </w:p>
    <w:p w14:paraId="1A95C72A" w14:textId="1EC10C62" w:rsidR="00D87431" w:rsidRPr="006948E6" w:rsidRDefault="00670157" w:rsidP="006948E6">
      <w:pPr>
        <w:contextualSpacing/>
        <w:rPr>
          <w:rFonts w:ascii="Calibri" w:eastAsia="Times New Roman" w:hAnsi="Calibri" w:cs="Calibri"/>
          <w:bCs/>
          <w:iCs/>
          <w:kern w:val="0"/>
          <w:sz w:val="24"/>
          <w:szCs w:val="24"/>
          <w14:ligatures w14:val="none"/>
        </w:rPr>
      </w:pPr>
      <w:r>
        <w:rPr>
          <w:rFonts w:ascii="Calibri" w:eastAsia="Times New Roman" w:hAnsi="Calibri" w:cs="Calibri"/>
          <w:bCs/>
          <w:iCs/>
          <w:kern w:val="0"/>
          <w:sz w:val="24"/>
          <w:szCs w:val="24"/>
          <w14:ligatures w14:val="none"/>
        </w:rPr>
        <w:t xml:space="preserve">In 2024, </w:t>
      </w:r>
      <w:r w:rsidR="00D87431">
        <w:rPr>
          <w:rFonts w:ascii="Calibri" w:eastAsia="Times New Roman" w:hAnsi="Calibri" w:cs="Calibri"/>
          <w:bCs/>
          <w:iCs/>
          <w:kern w:val="0"/>
          <w:sz w:val="24"/>
          <w:szCs w:val="24"/>
          <w14:ligatures w14:val="none"/>
        </w:rPr>
        <w:t xml:space="preserve">VOSH launched a pilot </w:t>
      </w:r>
      <w:r w:rsidR="001D1DE8">
        <w:rPr>
          <w:rFonts w:ascii="Calibri" w:eastAsia="Times New Roman" w:hAnsi="Calibri" w:cs="Calibri"/>
          <w:bCs/>
          <w:iCs/>
          <w:kern w:val="0"/>
          <w:sz w:val="24"/>
          <w:szCs w:val="24"/>
          <w14:ligatures w14:val="none"/>
        </w:rPr>
        <w:t xml:space="preserve">program </w:t>
      </w:r>
      <w:r w:rsidR="00D87431">
        <w:rPr>
          <w:rFonts w:ascii="Calibri" w:eastAsia="Times New Roman" w:hAnsi="Calibri" w:cs="Calibri"/>
          <w:bCs/>
          <w:iCs/>
          <w:kern w:val="0"/>
          <w:sz w:val="24"/>
          <w:szCs w:val="24"/>
          <w14:ligatures w14:val="none"/>
        </w:rPr>
        <w:t xml:space="preserve">called the VOSH Institute of Learning and Outreach (VILO). </w:t>
      </w:r>
      <w:r>
        <w:rPr>
          <w:rFonts w:ascii="Calibri" w:eastAsia="Times New Roman" w:hAnsi="Calibri" w:cs="Calibri"/>
          <w:bCs/>
          <w:iCs/>
          <w:kern w:val="0"/>
          <w:sz w:val="24"/>
          <w:szCs w:val="24"/>
          <w14:ligatures w14:val="none"/>
        </w:rPr>
        <w:t xml:space="preserve">This pilot program supports </w:t>
      </w:r>
      <w:r w:rsidR="00D87431" w:rsidRPr="00D87431">
        <w:rPr>
          <w:rFonts w:ascii="Calibri" w:eastAsia="Times New Roman" w:hAnsi="Calibri" w:cs="Calibri"/>
          <w:bCs/>
          <w:iCs/>
          <w:kern w:val="0"/>
          <w:sz w:val="24"/>
          <w:szCs w:val="24"/>
          <w14:ligatures w14:val="none"/>
        </w:rPr>
        <w:t xml:space="preserve">Virginia’s </w:t>
      </w:r>
      <w:r w:rsidR="00294A73">
        <w:rPr>
          <w:rFonts w:ascii="Calibri" w:eastAsia="Times New Roman" w:hAnsi="Calibri" w:cs="Calibri"/>
          <w:bCs/>
          <w:iCs/>
          <w:kern w:val="0"/>
          <w:sz w:val="24"/>
          <w:szCs w:val="24"/>
          <w14:ligatures w14:val="none"/>
        </w:rPr>
        <w:t>c</w:t>
      </w:r>
      <w:r w:rsidR="00D87431" w:rsidRPr="00D87431">
        <w:rPr>
          <w:rFonts w:ascii="Calibri" w:eastAsia="Times New Roman" w:hAnsi="Calibri" w:cs="Calibri"/>
          <w:bCs/>
          <w:iCs/>
          <w:kern w:val="0"/>
          <w:sz w:val="24"/>
          <w:szCs w:val="24"/>
          <w14:ligatures w14:val="none"/>
        </w:rPr>
        <w:t xml:space="preserve">enter for </w:t>
      </w:r>
      <w:r w:rsidR="00294A73">
        <w:rPr>
          <w:rFonts w:ascii="Calibri" w:eastAsia="Times New Roman" w:hAnsi="Calibri" w:cs="Calibri"/>
          <w:bCs/>
          <w:iCs/>
          <w:kern w:val="0"/>
          <w:sz w:val="24"/>
          <w:szCs w:val="24"/>
          <w14:ligatures w14:val="none"/>
        </w:rPr>
        <w:t>e</w:t>
      </w:r>
      <w:r w:rsidR="00D87431" w:rsidRPr="00D87431">
        <w:rPr>
          <w:rFonts w:ascii="Calibri" w:eastAsia="Times New Roman" w:hAnsi="Calibri" w:cs="Calibri"/>
          <w:bCs/>
          <w:iCs/>
          <w:kern w:val="0"/>
          <w:sz w:val="24"/>
          <w:szCs w:val="24"/>
          <w14:ligatures w14:val="none"/>
        </w:rPr>
        <w:t xml:space="preserve">xcellence in the </w:t>
      </w:r>
      <w:r w:rsidR="00294A73">
        <w:rPr>
          <w:rFonts w:ascii="Calibri" w:eastAsia="Times New Roman" w:hAnsi="Calibri" w:cs="Calibri"/>
          <w:bCs/>
          <w:iCs/>
          <w:kern w:val="0"/>
          <w:sz w:val="24"/>
          <w:szCs w:val="24"/>
          <w14:ligatures w14:val="none"/>
        </w:rPr>
        <w:t>d</w:t>
      </w:r>
      <w:r w:rsidR="00D87431" w:rsidRPr="00D87431">
        <w:rPr>
          <w:rFonts w:ascii="Calibri" w:eastAsia="Times New Roman" w:hAnsi="Calibri" w:cs="Calibri"/>
          <w:bCs/>
          <w:iCs/>
          <w:kern w:val="0"/>
          <w:sz w:val="24"/>
          <w:szCs w:val="24"/>
          <w14:ligatures w14:val="none"/>
        </w:rPr>
        <w:t>evelopment of an Injury and Illness Free Career Culture.</w:t>
      </w:r>
      <w:r>
        <w:rPr>
          <w:rFonts w:ascii="Calibri" w:eastAsia="Times New Roman" w:hAnsi="Calibri" w:cs="Calibri"/>
          <w:bCs/>
          <w:iCs/>
          <w:kern w:val="0"/>
          <w:sz w:val="24"/>
          <w:szCs w:val="24"/>
          <w14:ligatures w14:val="none"/>
        </w:rPr>
        <w:t xml:space="preserve"> </w:t>
      </w:r>
      <w:r w:rsidR="00D87431" w:rsidRPr="00D87431">
        <w:rPr>
          <w:rFonts w:ascii="Calibri" w:eastAsia="Times New Roman" w:hAnsi="Calibri" w:cs="Calibri"/>
          <w:bCs/>
          <w:iCs/>
          <w:kern w:val="0"/>
          <w:sz w:val="24"/>
          <w:szCs w:val="24"/>
          <w14:ligatures w14:val="none"/>
        </w:rPr>
        <w:t xml:space="preserve">VILO has permanent dedicated state-of-the-art classroom space at the Virginia Public Safety Training Center (VPSTC) in Hanover, Virginia. </w:t>
      </w:r>
      <w:r w:rsidR="00E25AE2">
        <w:rPr>
          <w:rFonts w:ascii="Calibri" w:eastAsia="Times New Roman" w:hAnsi="Calibri" w:cs="Calibri"/>
          <w:bCs/>
          <w:iCs/>
          <w:kern w:val="0"/>
          <w:sz w:val="24"/>
          <w:szCs w:val="24"/>
          <w14:ligatures w14:val="none"/>
        </w:rPr>
        <w:t>VOSH</w:t>
      </w:r>
      <w:r w:rsidR="00E25AE2" w:rsidRPr="00D87431">
        <w:rPr>
          <w:rFonts w:ascii="Calibri" w:eastAsia="Times New Roman" w:hAnsi="Calibri" w:cs="Calibri"/>
          <w:bCs/>
          <w:iCs/>
          <w:kern w:val="0"/>
          <w:sz w:val="24"/>
          <w:szCs w:val="24"/>
          <w14:ligatures w14:val="none"/>
        </w:rPr>
        <w:t xml:space="preserve"> </w:t>
      </w:r>
      <w:r w:rsidR="00D87431" w:rsidRPr="00D87431">
        <w:rPr>
          <w:rFonts w:ascii="Calibri" w:eastAsia="Times New Roman" w:hAnsi="Calibri" w:cs="Calibri"/>
          <w:bCs/>
          <w:iCs/>
          <w:kern w:val="0"/>
          <w:sz w:val="24"/>
          <w:szCs w:val="24"/>
          <w14:ligatures w14:val="none"/>
        </w:rPr>
        <w:t xml:space="preserve">presence at VPSTC establishes DOLI as a premier public safety state agency partner and enables </w:t>
      </w:r>
      <w:r w:rsidR="00E25AE2">
        <w:rPr>
          <w:rFonts w:ascii="Calibri" w:eastAsia="Times New Roman" w:hAnsi="Calibri" w:cs="Calibri"/>
          <w:bCs/>
          <w:iCs/>
          <w:kern w:val="0"/>
          <w:sz w:val="24"/>
          <w:szCs w:val="24"/>
          <w14:ligatures w14:val="none"/>
        </w:rPr>
        <w:t>VOSH</w:t>
      </w:r>
      <w:r w:rsidR="00E25AE2" w:rsidRPr="00D87431">
        <w:rPr>
          <w:rFonts w:ascii="Calibri" w:eastAsia="Times New Roman" w:hAnsi="Calibri" w:cs="Calibri"/>
          <w:bCs/>
          <w:iCs/>
          <w:kern w:val="0"/>
          <w:sz w:val="24"/>
          <w:szCs w:val="24"/>
          <w14:ligatures w14:val="none"/>
        </w:rPr>
        <w:t xml:space="preserve"> </w:t>
      </w:r>
      <w:r w:rsidR="00D87431" w:rsidRPr="00D87431">
        <w:rPr>
          <w:rFonts w:ascii="Calibri" w:eastAsia="Times New Roman" w:hAnsi="Calibri" w:cs="Calibri"/>
          <w:bCs/>
          <w:iCs/>
          <w:kern w:val="0"/>
          <w:sz w:val="24"/>
          <w:szCs w:val="24"/>
          <w14:ligatures w14:val="none"/>
        </w:rPr>
        <w:t>to share resources, ideas, expertise, and best practices in a collaborative way.</w:t>
      </w:r>
      <w:r>
        <w:rPr>
          <w:rFonts w:ascii="Calibri" w:eastAsia="Times New Roman" w:hAnsi="Calibri" w:cs="Calibri"/>
          <w:bCs/>
          <w:iCs/>
          <w:kern w:val="0"/>
          <w:sz w:val="24"/>
          <w:szCs w:val="24"/>
          <w14:ligatures w14:val="none"/>
        </w:rPr>
        <w:t xml:space="preserve"> </w:t>
      </w:r>
      <w:r w:rsidR="00671A98">
        <w:rPr>
          <w:rFonts w:ascii="Calibri" w:eastAsia="Times New Roman" w:hAnsi="Calibri" w:cs="Calibri"/>
          <w:bCs/>
          <w:iCs/>
          <w:kern w:val="0"/>
          <w:sz w:val="24"/>
          <w:szCs w:val="24"/>
          <w14:ligatures w14:val="none"/>
        </w:rPr>
        <w:t xml:space="preserve"> </w:t>
      </w:r>
      <w:r w:rsidR="00D87431" w:rsidRPr="00D87431">
        <w:rPr>
          <w:rFonts w:ascii="Calibri" w:eastAsia="Times New Roman" w:hAnsi="Calibri" w:cs="Calibri"/>
          <w:bCs/>
          <w:iCs/>
          <w:kern w:val="0"/>
          <w:sz w:val="24"/>
          <w:szCs w:val="24"/>
          <w14:ligatures w14:val="none"/>
        </w:rPr>
        <w:t>In addition to this location, VILO also delivers virtual and face</w:t>
      </w:r>
      <w:r w:rsidR="00671A98">
        <w:rPr>
          <w:rFonts w:ascii="Calibri" w:eastAsia="Times New Roman" w:hAnsi="Calibri" w:cs="Calibri"/>
          <w:bCs/>
          <w:iCs/>
          <w:kern w:val="0"/>
          <w:sz w:val="24"/>
          <w:szCs w:val="24"/>
          <w14:ligatures w14:val="none"/>
        </w:rPr>
        <w:t>-</w:t>
      </w:r>
      <w:r w:rsidR="00D87431" w:rsidRPr="00D87431">
        <w:rPr>
          <w:rFonts w:ascii="Calibri" w:eastAsia="Times New Roman" w:hAnsi="Calibri" w:cs="Calibri"/>
          <w:bCs/>
          <w:iCs/>
          <w:kern w:val="0"/>
          <w:sz w:val="24"/>
          <w:szCs w:val="24"/>
          <w14:ligatures w14:val="none"/>
        </w:rPr>
        <w:t>to</w:t>
      </w:r>
      <w:r w:rsidR="00671A98">
        <w:rPr>
          <w:rFonts w:ascii="Calibri" w:eastAsia="Times New Roman" w:hAnsi="Calibri" w:cs="Calibri"/>
          <w:bCs/>
          <w:iCs/>
          <w:kern w:val="0"/>
          <w:sz w:val="24"/>
          <w:szCs w:val="24"/>
          <w14:ligatures w14:val="none"/>
        </w:rPr>
        <w:t>-</w:t>
      </w:r>
      <w:r w:rsidR="00D87431" w:rsidRPr="00D87431">
        <w:rPr>
          <w:rFonts w:ascii="Calibri" w:eastAsia="Times New Roman" w:hAnsi="Calibri" w:cs="Calibri"/>
          <w:bCs/>
          <w:iCs/>
          <w:kern w:val="0"/>
          <w:sz w:val="24"/>
          <w:szCs w:val="24"/>
          <w14:ligatures w14:val="none"/>
        </w:rPr>
        <w:t xml:space="preserve">face training experiences in a variety of locations throughout the Commonwealth. </w:t>
      </w:r>
    </w:p>
    <w:p w14:paraId="28E3A7D5" w14:textId="77777777" w:rsidR="006948E6" w:rsidRPr="006948E6" w:rsidRDefault="006948E6" w:rsidP="006948E6">
      <w:pPr>
        <w:contextualSpacing/>
        <w:rPr>
          <w:rFonts w:ascii="Calibri" w:eastAsia="Times New Roman" w:hAnsi="Calibri" w:cs="Calibri"/>
          <w:bCs/>
          <w:iCs/>
          <w:kern w:val="0"/>
          <w:sz w:val="24"/>
          <w:szCs w:val="24"/>
          <w14:ligatures w14:val="none"/>
        </w:rPr>
      </w:pPr>
    </w:p>
    <w:p w14:paraId="606DBCCB" w14:textId="6A4BC91D" w:rsidR="004524DB" w:rsidRDefault="004524DB" w:rsidP="006948E6">
      <w:pPr>
        <w:contextualSpacing/>
        <w:rPr>
          <w:rFonts w:ascii="Calibri" w:eastAsia="Times New Roman" w:hAnsi="Calibri" w:cs="Calibri"/>
          <w:bCs/>
          <w:iCs/>
          <w:kern w:val="0"/>
          <w:sz w:val="24"/>
          <w:szCs w:val="24"/>
          <w14:ligatures w14:val="none"/>
        </w:rPr>
      </w:pPr>
      <w:r w:rsidRPr="004524DB">
        <w:rPr>
          <w:rFonts w:ascii="Calibri" w:eastAsia="Times New Roman" w:hAnsi="Calibri" w:cs="Calibri"/>
          <w:bCs/>
          <w:iCs/>
          <w:kern w:val="0"/>
          <w:sz w:val="24"/>
          <w:szCs w:val="24"/>
          <w14:ligatures w14:val="none"/>
        </w:rPr>
        <w:t>The program investigated 31 work-related fatalities in FY 2024.  To address the rise in workforce fatalities, VOSH launched a new emphasis initiative aimed at preventing workforce fatalities across Virginia. The initiative is designed to increase awareness and drive more focus on the top contributory hazards that yield workforce fatalities.</w:t>
      </w:r>
      <w:r w:rsidR="00C35911">
        <w:rPr>
          <w:rFonts w:ascii="Calibri" w:eastAsia="Times New Roman" w:hAnsi="Calibri" w:cs="Calibri"/>
          <w:bCs/>
          <w:iCs/>
          <w:kern w:val="0"/>
          <w:sz w:val="24"/>
          <w:szCs w:val="24"/>
          <w14:ligatures w14:val="none"/>
        </w:rPr>
        <w:t xml:space="preserve">  The table below provides more information about the 31 work-related fatalities in 2024 that VOSH investigated:</w:t>
      </w:r>
    </w:p>
    <w:p w14:paraId="5BFB8916" w14:textId="24D32707" w:rsidR="006B3D2F" w:rsidRDefault="00C35911" w:rsidP="006948E6">
      <w:pPr>
        <w:contextualSpacing/>
        <w:rPr>
          <w:rFonts w:ascii="Calibri" w:eastAsia="Times New Roman" w:hAnsi="Calibri" w:cs="Calibri"/>
          <w:bCs/>
          <w:iCs/>
          <w:kern w:val="0"/>
          <w:sz w:val="24"/>
          <w:szCs w:val="24"/>
          <w14:ligatures w14:val="none"/>
        </w:rPr>
      </w:pPr>
      <w:r>
        <w:rPr>
          <w:rFonts w:ascii="Calibri" w:eastAsia="Times New Roman" w:hAnsi="Calibri" w:cs="Calibri"/>
          <w:bCs/>
          <w:iCs/>
          <w:noProof/>
          <w:kern w:val="0"/>
          <w:sz w:val="24"/>
          <w:szCs w:val="24"/>
          <w14:ligatures w14:val="none"/>
        </w:rPr>
        <w:lastRenderedPageBreak/>
        <w:drawing>
          <wp:inline distT="0" distB="0" distL="0" distR="0" wp14:anchorId="538CF249" wp14:editId="294F8D5A">
            <wp:extent cx="6253825" cy="723900"/>
            <wp:effectExtent l="0" t="0" r="0" b="0"/>
            <wp:docPr id="112299259" name="Picture 1" descr="Table describing the Virginia State Plan's new enforce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99259" name="Picture 1" descr="Table describing the Virginia State Plan's new enforcement initia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6904" cy="728887"/>
                    </a:xfrm>
                    <a:prstGeom prst="rect">
                      <a:avLst/>
                    </a:prstGeom>
                    <a:noFill/>
                  </pic:spPr>
                </pic:pic>
              </a:graphicData>
            </a:graphic>
          </wp:inline>
        </w:drawing>
      </w:r>
    </w:p>
    <w:p w14:paraId="3672E22E" w14:textId="60417E9A" w:rsidR="004524DB" w:rsidRDefault="004524DB" w:rsidP="006948E6">
      <w:pPr>
        <w:contextualSpacing/>
        <w:rPr>
          <w:rFonts w:ascii="Calibri" w:eastAsia="Times New Roman" w:hAnsi="Calibri" w:cs="Calibri"/>
          <w:bCs/>
          <w:iCs/>
          <w:kern w:val="0"/>
          <w:sz w:val="24"/>
          <w:szCs w:val="24"/>
          <w14:ligatures w14:val="none"/>
        </w:rPr>
      </w:pPr>
    </w:p>
    <w:p w14:paraId="40AA601C" w14:textId="32CECE33" w:rsidR="006948E6" w:rsidRPr="006948E6" w:rsidRDefault="006948E6" w:rsidP="006948E6">
      <w:pPr>
        <w:contextualSpacing/>
        <w:rPr>
          <w:rFonts w:ascii="Calibri" w:eastAsia="Times New Roman" w:hAnsi="Calibri" w:cs="Calibri"/>
          <w:bCs/>
          <w:iCs/>
          <w:kern w:val="0"/>
          <w:sz w:val="24"/>
          <w:szCs w:val="24"/>
          <w14:ligatures w14:val="none"/>
        </w:rPr>
      </w:pPr>
      <w:r w:rsidRPr="006948E6">
        <w:rPr>
          <w:rFonts w:ascii="Calibri" w:eastAsia="Times New Roman" w:hAnsi="Calibri" w:cs="Calibri"/>
          <w:bCs/>
          <w:iCs/>
          <w:kern w:val="0"/>
          <w:sz w:val="24"/>
          <w:szCs w:val="24"/>
          <w14:ligatures w14:val="none"/>
        </w:rPr>
        <w:t xml:space="preserve">VOSH operates a private sector on-site consultation project under Section 21(d) and an SLG consultation project under Section 23(g) of the OSH Act.  The consultation services unit assists Virginia’s SLG employers and private employers to voluntarily comply with applicable requirements without issuing citations and penalties.  The VOSH consultation program provides free on-site surveys and technical assistance to Virginia businesses, especially small businesses in high-hazard industries and to SLG employers.  VOSH also provides free educational and training programs for employers and workers to assist them in achieving voluntary compliance. </w:t>
      </w:r>
    </w:p>
    <w:p w14:paraId="6335E1D2" w14:textId="77777777" w:rsidR="006948E6" w:rsidRPr="006948E6" w:rsidRDefault="006948E6" w:rsidP="006948E6">
      <w:pPr>
        <w:contextualSpacing/>
        <w:rPr>
          <w:rFonts w:ascii="Calibri" w:eastAsia="Times New Roman" w:hAnsi="Calibri" w:cs="Calibri"/>
          <w:bCs/>
          <w:iCs/>
          <w:kern w:val="0"/>
          <w:sz w:val="24"/>
          <w:szCs w:val="24"/>
          <w14:ligatures w14:val="none"/>
        </w:rPr>
      </w:pPr>
    </w:p>
    <w:p w14:paraId="2525125A" w14:textId="77777777" w:rsidR="006948E6" w:rsidRPr="006948E6" w:rsidRDefault="006948E6" w:rsidP="006948E6">
      <w:pPr>
        <w:contextualSpacing/>
        <w:rPr>
          <w:rFonts w:ascii="Calibri" w:eastAsia="Times New Roman" w:hAnsi="Calibri" w:cs="Calibri"/>
          <w:bCs/>
          <w:iCs/>
          <w:kern w:val="0"/>
          <w:sz w:val="24"/>
          <w:szCs w:val="24"/>
          <w14:ligatures w14:val="none"/>
        </w:rPr>
      </w:pPr>
      <w:r w:rsidRPr="006948E6">
        <w:rPr>
          <w:rFonts w:ascii="Calibri" w:eastAsia="Times New Roman" w:hAnsi="Calibri" w:cs="Calibri"/>
          <w:bCs/>
          <w:iCs/>
          <w:kern w:val="0"/>
          <w:sz w:val="24"/>
          <w:szCs w:val="24"/>
          <w14:ligatures w14:val="none"/>
        </w:rPr>
        <w:t>VOSH’s Cooperative Programs Division continues to offer six voluntary programs to promote and recognize exceptional workplace safety and health efforts.  They include:</w:t>
      </w:r>
    </w:p>
    <w:p w14:paraId="1A3DD11A" w14:textId="77777777" w:rsidR="006948E6" w:rsidRPr="006948E6" w:rsidRDefault="006948E6" w:rsidP="006948E6">
      <w:pPr>
        <w:contextualSpacing/>
        <w:rPr>
          <w:rFonts w:ascii="Calibri" w:eastAsia="Times New Roman" w:hAnsi="Calibri" w:cs="Calibri"/>
          <w:bCs/>
          <w:iCs/>
          <w:kern w:val="0"/>
          <w:sz w:val="24"/>
          <w:szCs w:val="24"/>
          <w14:ligatures w14:val="none"/>
        </w:rPr>
      </w:pPr>
    </w:p>
    <w:p w14:paraId="508B9415" w14:textId="77777777" w:rsidR="006948E6" w:rsidRPr="00986BE7" w:rsidRDefault="006948E6" w:rsidP="006948E6">
      <w:pPr>
        <w:widowControl w:val="0"/>
        <w:numPr>
          <w:ilvl w:val="0"/>
          <w:numId w:val="2"/>
        </w:numPr>
        <w:autoSpaceDE w:val="0"/>
        <w:autoSpaceDN w:val="0"/>
        <w:adjustRightInd w:val="0"/>
        <w:spacing w:after="200" w:line="276" w:lineRule="auto"/>
        <w:contextualSpacing/>
        <w:rPr>
          <w:rFonts w:ascii="Calibri" w:eastAsia="Times New Roman" w:hAnsi="Calibri" w:cs="Calibri"/>
          <w:bCs/>
          <w:iCs/>
          <w:kern w:val="0"/>
          <w:sz w:val="24"/>
          <w:szCs w:val="24"/>
          <w14:ligatures w14:val="none"/>
        </w:rPr>
      </w:pPr>
      <w:r w:rsidRPr="00986BE7">
        <w:rPr>
          <w:rFonts w:ascii="Calibri" w:eastAsia="Times New Roman" w:hAnsi="Calibri" w:cs="Calibri"/>
          <w:bCs/>
          <w:iCs/>
          <w:kern w:val="0"/>
          <w:sz w:val="24"/>
          <w:szCs w:val="24"/>
          <w14:ligatures w14:val="none"/>
        </w:rPr>
        <w:t>Virginia Safety and Health Achievement Recognition Program (SHARP</w:t>
      </w:r>
      <w:proofErr w:type="gramStart"/>
      <w:r w:rsidRPr="00986BE7">
        <w:rPr>
          <w:rFonts w:ascii="Calibri" w:eastAsia="Times New Roman" w:hAnsi="Calibri" w:cs="Calibri"/>
          <w:bCs/>
          <w:iCs/>
          <w:kern w:val="0"/>
          <w:sz w:val="24"/>
          <w:szCs w:val="24"/>
          <w14:ligatures w14:val="none"/>
        </w:rPr>
        <w:t>);</w:t>
      </w:r>
      <w:proofErr w:type="gramEnd"/>
    </w:p>
    <w:p w14:paraId="15BCC7F7" w14:textId="77777777" w:rsidR="006948E6" w:rsidRPr="00986BE7" w:rsidRDefault="006948E6" w:rsidP="006948E6">
      <w:pPr>
        <w:widowControl w:val="0"/>
        <w:numPr>
          <w:ilvl w:val="0"/>
          <w:numId w:val="2"/>
        </w:numPr>
        <w:autoSpaceDE w:val="0"/>
        <w:autoSpaceDN w:val="0"/>
        <w:adjustRightInd w:val="0"/>
        <w:spacing w:after="200" w:line="276" w:lineRule="auto"/>
        <w:contextualSpacing/>
        <w:rPr>
          <w:rFonts w:ascii="Calibri" w:eastAsia="Times New Roman" w:hAnsi="Calibri" w:cs="Calibri"/>
          <w:bCs/>
          <w:iCs/>
          <w:kern w:val="0"/>
          <w:sz w:val="24"/>
          <w:szCs w:val="24"/>
          <w14:ligatures w14:val="none"/>
        </w:rPr>
      </w:pPr>
      <w:r w:rsidRPr="00986BE7">
        <w:rPr>
          <w:rFonts w:ascii="Calibri" w:eastAsia="Times New Roman" w:hAnsi="Calibri" w:cs="Calibri"/>
          <w:bCs/>
          <w:iCs/>
          <w:kern w:val="0"/>
          <w:sz w:val="24"/>
          <w:szCs w:val="24"/>
          <w14:ligatures w14:val="none"/>
        </w:rPr>
        <w:t xml:space="preserve">Virginia </w:t>
      </w:r>
      <w:proofErr w:type="gramStart"/>
      <w:r w:rsidRPr="00986BE7">
        <w:rPr>
          <w:rFonts w:ascii="Calibri" w:eastAsia="Times New Roman" w:hAnsi="Calibri" w:cs="Calibri"/>
          <w:bCs/>
          <w:iCs/>
          <w:kern w:val="0"/>
          <w:sz w:val="24"/>
          <w:szCs w:val="24"/>
          <w14:ligatures w14:val="none"/>
        </w:rPr>
        <w:t>STAR;</w:t>
      </w:r>
      <w:proofErr w:type="gramEnd"/>
    </w:p>
    <w:p w14:paraId="06501C83" w14:textId="30E5970F" w:rsidR="006948E6" w:rsidRPr="00986BE7" w:rsidRDefault="006948E6" w:rsidP="006948E6">
      <w:pPr>
        <w:widowControl w:val="0"/>
        <w:numPr>
          <w:ilvl w:val="0"/>
          <w:numId w:val="2"/>
        </w:numPr>
        <w:autoSpaceDE w:val="0"/>
        <w:autoSpaceDN w:val="0"/>
        <w:adjustRightInd w:val="0"/>
        <w:spacing w:after="200" w:line="276" w:lineRule="auto"/>
        <w:contextualSpacing/>
        <w:rPr>
          <w:rFonts w:ascii="Calibri" w:eastAsia="Times New Roman" w:hAnsi="Calibri" w:cs="Calibri"/>
          <w:bCs/>
          <w:iCs/>
          <w:kern w:val="0"/>
          <w:sz w:val="24"/>
          <w:szCs w:val="24"/>
          <w14:ligatures w14:val="none"/>
        </w:rPr>
      </w:pPr>
      <w:r w:rsidRPr="00986BE7">
        <w:rPr>
          <w:rFonts w:ascii="Calibri" w:eastAsia="Times New Roman" w:hAnsi="Calibri" w:cs="Calibri"/>
          <w:bCs/>
          <w:iCs/>
          <w:kern w:val="0"/>
          <w:sz w:val="24"/>
          <w:szCs w:val="24"/>
          <w14:ligatures w14:val="none"/>
        </w:rPr>
        <w:t xml:space="preserve">Virginia </w:t>
      </w:r>
      <w:r w:rsidR="00E25AE2" w:rsidRPr="003B2B18">
        <w:rPr>
          <w:rFonts w:ascii="Calibri" w:eastAsia="Times New Roman" w:hAnsi="Calibri" w:cs="Calibri"/>
          <w:bCs/>
          <w:iCs/>
          <w:kern w:val="0"/>
          <w:sz w:val="24"/>
          <w:szCs w:val="24"/>
          <w14:ligatures w14:val="none"/>
        </w:rPr>
        <w:t>Building Excellence in Safety, Health, and Training</w:t>
      </w:r>
      <w:r w:rsidR="00E25AE2" w:rsidRPr="00E25AE2">
        <w:rPr>
          <w:rFonts w:ascii="Calibri" w:eastAsia="Times New Roman" w:hAnsi="Calibri" w:cs="Calibri"/>
          <w:bCs/>
          <w:iCs/>
          <w:kern w:val="0"/>
          <w:sz w:val="24"/>
          <w:szCs w:val="24"/>
          <w14:ligatures w14:val="none"/>
        </w:rPr>
        <w:t xml:space="preserve"> </w:t>
      </w:r>
      <w:r w:rsidRPr="00986BE7">
        <w:rPr>
          <w:rFonts w:ascii="Calibri" w:eastAsia="Times New Roman" w:hAnsi="Calibri" w:cs="Calibri"/>
          <w:bCs/>
          <w:iCs/>
          <w:kern w:val="0"/>
          <w:sz w:val="24"/>
          <w:szCs w:val="24"/>
          <w14:ligatures w14:val="none"/>
        </w:rPr>
        <w:t>(</w:t>
      </w:r>
      <w:r w:rsidR="00E25AE2" w:rsidRPr="00762C9C">
        <w:rPr>
          <w:rFonts w:ascii="Calibri" w:eastAsia="Times New Roman" w:hAnsi="Calibri" w:cs="Calibri"/>
          <w:bCs/>
          <w:iCs/>
          <w:kern w:val="0"/>
          <w:sz w:val="24"/>
          <w:szCs w:val="24"/>
          <w14:ligatures w14:val="none"/>
        </w:rPr>
        <w:t>BEST</w:t>
      </w:r>
      <w:proofErr w:type="gramStart"/>
      <w:r w:rsidRPr="00986BE7">
        <w:rPr>
          <w:rFonts w:ascii="Calibri" w:eastAsia="Times New Roman" w:hAnsi="Calibri" w:cs="Calibri"/>
          <w:bCs/>
          <w:iCs/>
          <w:kern w:val="0"/>
          <w:sz w:val="24"/>
          <w:szCs w:val="24"/>
          <w14:ligatures w14:val="none"/>
        </w:rPr>
        <w:t>);</w:t>
      </w:r>
      <w:proofErr w:type="gramEnd"/>
    </w:p>
    <w:p w14:paraId="4A626F88" w14:textId="77777777" w:rsidR="006948E6" w:rsidRPr="00986BE7" w:rsidRDefault="006948E6" w:rsidP="006948E6">
      <w:pPr>
        <w:widowControl w:val="0"/>
        <w:numPr>
          <w:ilvl w:val="0"/>
          <w:numId w:val="2"/>
        </w:numPr>
        <w:autoSpaceDE w:val="0"/>
        <w:autoSpaceDN w:val="0"/>
        <w:adjustRightInd w:val="0"/>
        <w:spacing w:after="200" w:line="276" w:lineRule="auto"/>
        <w:contextualSpacing/>
        <w:rPr>
          <w:rFonts w:ascii="Calibri" w:eastAsia="Times New Roman" w:hAnsi="Calibri" w:cs="Calibri"/>
          <w:bCs/>
          <w:iCs/>
          <w:kern w:val="0"/>
          <w:sz w:val="24"/>
          <w:szCs w:val="24"/>
          <w14:ligatures w14:val="none"/>
        </w:rPr>
      </w:pPr>
      <w:r w:rsidRPr="00986BE7">
        <w:rPr>
          <w:rFonts w:ascii="Calibri" w:eastAsia="Times New Roman" w:hAnsi="Calibri" w:cs="Calibri"/>
          <w:bCs/>
          <w:iCs/>
          <w:kern w:val="0"/>
          <w:sz w:val="24"/>
          <w:szCs w:val="24"/>
          <w14:ligatures w14:val="none"/>
        </w:rPr>
        <w:t xml:space="preserve">Virginia CHALLENGE </w:t>
      </w:r>
      <w:proofErr w:type="gramStart"/>
      <w:r w:rsidRPr="00986BE7">
        <w:rPr>
          <w:rFonts w:ascii="Calibri" w:eastAsia="Times New Roman" w:hAnsi="Calibri" w:cs="Calibri"/>
          <w:bCs/>
          <w:iCs/>
          <w:kern w:val="0"/>
          <w:sz w:val="24"/>
          <w:szCs w:val="24"/>
          <w14:ligatures w14:val="none"/>
        </w:rPr>
        <w:t>Program;</w:t>
      </w:r>
      <w:proofErr w:type="gramEnd"/>
    </w:p>
    <w:p w14:paraId="3D5D991C" w14:textId="77777777" w:rsidR="006948E6" w:rsidRPr="00986BE7" w:rsidRDefault="006948E6" w:rsidP="006948E6">
      <w:pPr>
        <w:widowControl w:val="0"/>
        <w:numPr>
          <w:ilvl w:val="0"/>
          <w:numId w:val="2"/>
        </w:numPr>
        <w:autoSpaceDE w:val="0"/>
        <w:autoSpaceDN w:val="0"/>
        <w:adjustRightInd w:val="0"/>
        <w:spacing w:after="200" w:line="276" w:lineRule="auto"/>
        <w:contextualSpacing/>
        <w:rPr>
          <w:rFonts w:ascii="Calibri" w:eastAsia="Times New Roman" w:hAnsi="Calibri" w:cs="Calibri"/>
          <w:bCs/>
          <w:iCs/>
          <w:kern w:val="0"/>
          <w:sz w:val="24"/>
          <w:szCs w:val="24"/>
          <w14:ligatures w14:val="none"/>
        </w:rPr>
      </w:pPr>
      <w:r w:rsidRPr="00986BE7">
        <w:rPr>
          <w:rFonts w:ascii="Calibri" w:eastAsia="Times New Roman" w:hAnsi="Calibri" w:cs="Calibri"/>
          <w:bCs/>
          <w:iCs/>
          <w:kern w:val="0"/>
          <w:sz w:val="24"/>
          <w:szCs w:val="24"/>
          <w14:ligatures w14:val="none"/>
        </w:rPr>
        <w:t>Virginia Department of Corrections (VADOC) CHALLENGE; and</w:t>
      </w:r>
    </w:p>
    <w:p w14:paraId="4AC7A5CE" w14:textId="017DFC13" w:rsidR="006948E6" w:rsidRPr="00986BE7" w:rsidRDefault="006948E6" w:rsidP="006948E6">
      <w:pPr>
        <w:widowControl w:val="0"/>
        <w:numPr>
          <w:ilvl w:val="0"/>
          <w:numId w:val="2"/>
        </w:numPr>
        <w:autoSpaceDE w:val="0"/>
        <w:autoSpaceDN w:val="0"/>
        <w:adjustRightInd w:val="0"/>
        <w:spacing w:after="200" w:line="276" w:lineRule="auto"/>
        <w:contextualSpacing/>
        <w:rPr>
          <w:rFonts w:ascii="Calibri" w:eastAsia="Times New Roman" w:hAnsi="Calibri" w:cs="Calibri"/>
          <w:bCs/>
          <w:iCs/>
          <w:kern w:val="0"/>
          <w:sz w:val="24"/>
          <w:szCs w:val="24"/>
          <w14:ligatures w14:val="none"/>
        </w:rPr>
      </w:pPr>
      <w:r w:rsidRPr="00986BE7">
        <w:rPr>
          <w:rFonts w:ascii="Calibri" w:eastAsia="Times New Roman" w:hAnsi="Calibri" w:cs="Calibri"/>
          <w:bCs/>
          <w:iCs/>
          <w:kern w:val="0"/>
          <w:sz w:val="24"/>
          <w:szCs w:val="24"/>
          <w14:ligatures w14:val="none"/>
        </w:rPr>
        <w:t xml:space="preserve">Virginia </w:t>
      </w:r>
      <w:r w:rsidR="00E25AE2" w:rsidRPr="00996C74">
        <w:rPr>
          <w:rFonts w:ascii="Calibri" w:eastAsia="Times New Roman" w:hAnsi="Calibri" w:cs="Calibri"/>
          <w:bCs/>
          <w:iCs/>
          <w:kern w:val="0"/>
          <w:sz w:val="24"/>
          <w:szCs w:val="24"/>
          <w14:ligatures w14:val="none"/>
        </w:rPr>
        <w:t>Building Safety and Health Excellence in Construction through Mentorship and Training</w:t>
      </w:r>
      <w:r w:rsidR="00E25AE2" w:rsidRPr="00E25AE2">
        <w:rPr>
          <w:rFonts w:ascii="Calibri" w:eastAsia="Times New Roman" w:hAnsi="Calibri" w:cs="Calibri"/>
          <w:bCs/>
          <w:iCs/>
          <w:kern w:val="0"/>
          <w:sz w:val="24"/>
          <w:szCs w:val="24"/>
          <w14:ligatures w14:val="none"/>
        </w:rPr>
        <w:t xml:space="preserve"> </w:t>
      </w:r>
      <w:r w:rsidRPr="00986BE7">
        <w:rPr>
          <w:rFonts w:ascii="Calibri" w:eastAsia="Times New Roman" w:hAnsi="Calibri" w:cs="Calibri"/>
          <w:bCs/>
          <w:iCs/>
          <w:kern w:val="0"/>
          <w:sz w:val="24"/>
          <w:szCs w:val="24"/>
          <w14:ligatures w14:val="none"/>
        </w:rPr>
        <w:t>(</w:t>
      </w:r>
      <w:r w:rsidR="00E25AE2" w:rsidRPr="00B4541D">
        <w:rPr>
          <w:rFonts w:ascii="Calibri" w:eastAsia="Times New Roman" w:hAnsi="Calibri" w:cs="Calibri"/>
          <w:bCs/>
          <w:iCs/>
          <w:kern w:val="0"/>
          <w:sz w:val="24"/>
          <w:szCs w:val="24"/>
          <w14:ligatures w14:val="none"/>
        </w:rPr>
        <w:t>BUILT</w:t>
      </w:r>
      <w:r w:rsidRPr="00986BE7">
        <w:rPr>
          <w:rFonts w:ascii="Calibri" w:eastAsia="Times New Roman" w:hAnsi="Calibri" w:cs="Calibri"/>
          <w:bCs/>
          <w:iCs/>
          <w:kern w:val="0"/>
          <w:sz w:val="24"/>
          <w:szCs w:val="24"/>
          <w14:ligatures w14:val="none"/>
        </w:rPr>
        <w:t>).</w:t>
      </w:r>
    </w:p>
    <w:p w14:paraId="6830B97C" w14:textId="77777777" w:rsidR="006948E6" w:rsidRPr="006948E6" w:rsidRDefault="006948E6" w:rsidP="006948E6">
      <w:pPr>
        <w:contextualSpacing/>
        <w:rPr>
          <w:rFonts w:ascii="Calibri" w:eastAsia="Times New Roman" w:hAnsi="Calibri" w:cs="Calibri"/>
          <w:bCs/>
          <w:iCs/>
          <w:kern w:val="0"/>
          <w:sz w:val="24"/>
          <w:szCs w:val="24"/>
          <w14:ligatures w14:val="none"/>
        </w:rPr>
      </w:pPr>
    </w:p>
    <w:p w14:paraId="3048A83C" w14:textId="1B65AAC5" w:rsidR="006948E6" w:rsidRPr="006948E6" w:rsidRDefault="006948E6" w:rsidP="006948E6">
      <w:pPr>
        <w:contextualSpacing/>
        <w:rPr>
          <w:rFonts w:ascii="Calibri" w:eastAsia="Times New Roman" w:hAnsi="Calibri" w:cs="Calibri"/>
          <w:bCs/>
          <w:iCs/>
          <w:kern w:val="0"/>
          <w:sz w:val="24"/>
          <w:szCs w:val="24"/>
          <w14:ligatures w14:val="none"/>
        </w:rPr>
      </w:pPr>
      <w:r w:rsidRPr="006948E6">
        <w:rPr>
          <w:rFonts w:ascii="Calibri" w:eastAsia="Times New Roman" w:hAnsi="Calibri" w:cs="Calibri"/>
          <w:bCs/>
          <w:iCs/>
          <w:kern w:val="0"/>
          <w:sz w:val="24"/>
          <w:szCs w:val="24"/>
          <w14:ligatures w14:val="none"/>
        </w:rPr>
        <w:t>VOSH’s compliance role is to enforce safety and health laws, standards, and regulations (“standards”) for general industry, construction, agricultur</w:t>
      </w:r>
      <w:r w:rsidR="00E25AE2">
        <w:rPr>
          <w:rFonts w:ascii="Calibri" w:eastAsia="Times New Roman" w:hAnsi="Calibri" w:cs="Calibri"/>
          <w:bCs/>
          <w:iCs/>
          <w:kern w:val="0"/>
          <w:sz w:val="24"/>
          <w:szCs w:val="24"/>
          <w14:ligatures w14:val="none"/>
        </w:rPr>
        <w:t>e</w:t>
      </w:r>
      <w:r w:rsidRPr="006948E6">
        <w:rPr>
          <w:rFonts w:ascii="Calibri" w:eastAsia="Times New Roman" w:hAnsi="Calibri" w:cs="Calibri"/>
          <w:bCs/>
          <w:iCs/>
          <w:kern w:val="0"/>
          <w:sz w:val="24"/>
          <w:szCs w:val="24"/>
          <w14:ligatures w14:val="none"/>
        </w:rPr>
        <w:t xml:space="preserve">, and SLG maritime employers.  All standards adopted by the Safety and Health Codes Board apply to all employers who have workers working within the jurisdiction of the Commonwealth of Virginia.  VOSH covers both SLG employers and workers as well as private sector employers and workers in Virginia, except for federal workers, the United States Postal Service, private sector maritime, employment at worksites located within federal military facilities and other federal enclaves where the state has ceded coverage to the federal government, and onboard aircraft in operation. </w:t>
      </w:r>
    </w:p>
    <w:p w14:paraId="6E6AC5A2" w14:textId="77777777" w:rsidR="006948E6" w:rsidRPr="006948E6" w:rsidRDefault="006948E6" w:rsidP="006948E6">
      <w:pPr>
        <w:contextualSpacing/>
        <w:rPr>
          <w:rFonts w:ascii="Calibri" w:eastAsia="Times New Roman" w:hAnsi="Calibri" w:cs="Calibri"/>
          <w:bCs/>
          <w:iCs/>
          <w:kern w:val="0"/>
          <w:sz w:val="24"/>
          <w:szCs w:val="24"/>
          <w14:ligatures w14:val="none"/>
        </w:rPr>
      </w:pPr>
    </w:p>
    <w:p w14:paraId="112CCEC4" w14:textId="77777777" w:rsidR="006948E6" w:rsidRPr="006948E6" w:rsidRDefault="006948E6" w:rsidP="006948E6">
      <w:pPr>
        <w:contextualSpacing/>
        <w:rPr>
          <w:rFonts w:ascii="Calibri" w:eastAsia="Times New Roman" w:hAnsi="Calibri" w:cs="Calibri"/>
          <w:bCs/>
          <w:iCs/>
          <w:kern w:val="0"/>
          <w:sz w:val="24"/>
          <w:szCs w:val="24"/>
          <w14:ligatures w14:val="none"/>
        </w:rPr>
      </w:pPr>
      <w:r w:rsidRPr="006948E6">
        <w:rPr>
          <w:rFonts w:ascii="Calibri" w:eastAsia="Times New Roman" w:hAnsi="Calibri" w:cs="Calibri"/>
          <w:bCs/>
          <w:iCs/>
          <w:kern w:val="0"/>
          <w:sz w:val="24"/>
          <w:szCs w:val="24"/>
          <w14:ligatures w14:val="none"/>
        </w:rPr>
        <w:t>The VOSH Program mirrors the federal program as closely as possible while recognizing the autonomy and unique characteristics of the Commonwealth.  The majority of VOSH standards are identical to federal OSHA standards.  However, VOSH has enacted unique regulations covering overhead high voltage line safety; fall protection in steel erection; reverse signal operation of vehicles, machinery, tool and equipment in general industry, construction, maritime (SLG only), and agriculture; tree trimming; and confined space hazards in telecommunication industries.  In these instances, either OSHA does not have a comparable standard addressing the specific hazard or condition, or if it does, the federal standard differs substantially.</w:t>
      </w:r>
    </w:p>
    <w:p w14:paraId="7F04F2DE" w14:textId="77777777" w:rsidR="006948E6" w:rsidRPr="006948E6" w:rsidRDefault="006948E6" w:rsidP="006948E6">
      <w:pPr>
        <w:contextualSpacing/>
        <w:rPr>
          <w:rFonts w:ascii="Calibri" w:eastAsia="Times New Roman" w:hAnsi="Calibri" w:cs="Calibri"/>
          <w:bCs/>
          <w:iCs/>
          <w:kern w:val="0"/>
          <w:sz w:val="24"/>
          <w:szCs w:val="24"/>
          <w14:ligatures w14:val="none"/>
        </w:rPr>
      </w:pPr>
    </w:p>
    <w:p w14:paraId="7BE61B4B" w14:textId="77777777" w:rsidR="006948E6" w:rsidRPr="006948E6" w:rsidRDefault="006948E6" w:rsidP="006948E6">
      <w:pPr>
        <w:contextualSpacing/>
        <w:rPr>
          <w:rFonts w:ascii="Calibri" w:eastAsia="Times New Roman" w:hAnsi="Calibri" w:cs="Calibri"/>
          <w:bCs/>
          <w:iCs/>
          <w:kern w:val="0"/>
          <w:sz w:val="24"/>
          <w:szCs w:val="24"/>
          <w14:ligatures w14:val="none"/>
        </w:rPr>
      </w:pPr>
      <w:r w:rsidRPr="006948E6">
        <w:rPr>
          <w:rFonts w:ascii="Calibri" w:eastAsia="Times New Roman" w:hAnsi="Calibri" w:cs="Calibri"/>
          <w:bCs/>
          <w:iCs/>
          <w:kern w:val="0"/>
          <w:sz w:val="24"/>
          <w:szCs w:val="24"/>
          <w14:ligatures w14:val="none"/>
        </w:rPr>
        <w:lastRenderedPageBreak/>
        <w:t xml:space="preserve">VOSH’s Administrative Regulations Manual (ARM), 16 VAC 25-60-270, et seq., sets forth rules defining the applicability of occupational safety and health standards in Virginia.  VOSH enforces the Virginia Department of Transportation (VDOT) Work Area Protection Manual in lieu of the federal manual on Uniform Traffic Control Devices (MUTCD) referenced in 29 CFR 1926.200 and 1926.202.  Virginia has codified in regulation the Multi-Employer Worksite Policy and Multi-Employer Misconduct Defense but provides that the defense does not apply to supervisory personnel having control of the worksite. </w:t>
      </w:r>
    </w:p>
    <w:p w14:paraId="45B1F4C5" w14:textId="77777777" w:rsidR="006948E6" w:rsidRPr="006948E6" w:rsidRDefault="006948E6" w:rsidP="006948E6">
      <w:pPr>
        <w:contextualSpacing/>
        <w:rPr>
          <w:rFonts w:ascii="Calibri" w:eastAsia="Times New Roman" w:hAnsi="Calibri" w:cs="Calibri"/>
          <w:bCs/>
          <w:iCs/>
          <w:kern w:val="0"/>
          <w:sz w:val="24"/>
          <w:szCs w:val="24"/>
          <w14:ligatures w14:val="none"/>
        </w:rPr>
      </w:pPr>
    </w:p>
    <w:p w14:paraId="57081264" w14:textId="6F04D375" w:rsidR="006948E6" w:rsidRDefault="006948E6" w:rsidP="006948E6">
      <w:pPr>
        <w:contextualSpacing/>
        <w:rPr>
          <w:rFonts w:ascii="Calibri" w:eastAsia="Times New Roman" w:hAnsi="Calibri" w:cs="Calibri"/>
          <w:bCs/>
          <w:iCs/>
          <w:kern w:val="0"/>
          <w:sz w:val="24"/>
          <w:szCs w:val="24"/>
          <w14:ligatures w14:val="none"/>
        </w:rPr>
      </w:pPr>
      <w:r w:rsidRPr="006948E6">
        <w:rPr>
          <w:rFonts w:ascii="Calibri" w:eastAsia="Times New Roman" w:hAnsi="Calibri" w:cs="Calibri"/>
          <w:bCs/>
          <w:iCs/>
          <w:kern w:val="0"/>
          <w:sz w:val="24"/>
          <w:szCs w:val="24"/>
          <w14:ligatures w14:val="none"/>
        </w:rPr>
        <w:t>VOSH has taken major steps toward recruiting and retaining CSHOs through an agency-initiated classification and compensation study. VOSH actively and effectively recruits safety and health compliance staff to fill vacancies as demonstrated by the increase in staffing.  Based on its FY 2025 grant application, VOSH filled 79% of safety compliance officer benchmarks (an increase from 66% in FY 2023)</w:t>
      </w:r>
      <w:r w:rsidR="005F07AF">
        <w:rPr>
          <w:rFonts w:ascii="Calibri" w:eastAsia="Times New Roman" w:hAnsi="Calibri" w:cs="Calibri"/>
          <w:bCs/>
          <w:iCs/>
          <w:kern w:val="0"/>
          <w:sz w:val="24"/>
          <w:szCs w:val="24"/>
          <w14:ligatures w14:val="none"/>
        </w:rPr>
        <w:t>,</w:t>
      </w:r>
      <w:r w:rsidRPr="006948E6">
        <w:rPr>
          <w:rFonts w:ascii="Calibri" w:eastAsia="Times New Roman" w:hAnsi="Calibri" w:cs="Calibri"/>
          <w:bCs/>
          <w:iCs/>
          <w:kern w:val="0"/>
          <w:sz w:val="24"/>
          <w:szCs w:val="24"/>
          <w14:ligatures w14:val="none"/>
        </w:rPr>
        <w:t xml:space="preserve"> and 83% </w:t>
      </w:r>
      <w:r w:rsidR="005F07AF">
        <w:rPr>
          <w:rFonts w:ascii="Calibri" w:eastAsia="Times New Roman" w:hAnsi="Calibri" w:cs="Calibri"/>
          <w:bCs/>
          <w:iCs/>
          <w:kern w:val="0"/>
          <w:sz w:val="24"/>
          <w:szCs w:val="24"/>
          <w14:ligatures w14:val="none"/>
        </w:rPr>
        <w:t xml:space="preserve">of </w:t>
      </w:r>
      <w:r w:rsidRPr="006948E6">
        <w:rPr>
          <w:rFonts w:ascii="Calibri" w:eastAsia="Times New Roman" w:hAnsi="Calibri" w:cs="Calibri"/>
          <w:bCs/>
          <w:iCs/>
          <w:kern w:val="0"/>
          <w:sz w:val="24"/>
          <w:szCs w:val="24"/>
          <w14:ligatures w14:val="none"/>
        </w:rPr>
        <w:t xml:space="preserve">its health compliance officer benchmarks (an increase from 72% in FY 2023). VOSH reported 11 first line supervisors, two whistleblower positions, and two compliance assistance specialists on board as of July 1, 2024. </w:t>
      </w:r>
      <w:r w:rsidR="005F07AF">
        <w:rPr>
          <w:rFonts w:ascii="Calibri" w:eastAsia="Times New Roman" w:hAnsi="Calibri" w:cs="Calibri"/>
          <w:bCs/>
          <w:iCs/>
          <w:kern w:val="0"/>
          <w:sz w:val="24"/>
          <w:szCs w:val="24"/>
          <w14:ligatures w14:val="none"/>
        </w:rPr>
        <w:t xml:space="preserve"> </w:t>
      </w:r>
      <w:r w:rsidRPr="006948E6">
        <w:rPr>
          <w:rFonts w:ascii="Calibri" w:eastAsia="Times New Roman" w:hAnsi="Calibri" w:cs="Calibri"/>
          <w:bCs/>
          <w:iCs/>
          <w:kern w:val="0"/>
          <w:sz w:val="24"/>
          <w:szCs w:val="24"/>
          <w14:ligatures w14:val="none"/>
        </w:rPr>
        <w:t xml:space="preserve">Overall, VOSH was staffed with nearly 78 FTE during FY 2024. </w:t>
      </w:r>
    </w:p>
    <w:p w14:paraId="4499D3BD" w14:textId="77777777" w:rsidR="000C16D3" w:rsidRDefault="000C16D3" w:rsidP="006948E6">
      <w:pPr>
        <w:contextualSpacing/>
        <w:rPr>
          <w:rFonts w:ascii="Calibri" w:eastAsia="Times New Roman" w:hAnsi="Calibri" w:cs="Calibri"/>
          <w:bCs/>
          <w:iCs/>
          <w:kern w:val="0"/>
          <w:sz w:val="24"/>
          <w:szCs w:val="24"/>
          <w14:ligatures w14:val="none"/>
        </w:rPr>
      </w:pPr>
    </w:p>
    <w:p w14:paraId="63CD78D7" w14:textId="3CFC3135" w:rsidR="000C16D3" w:rsidRPr="006948E6" w:rsidRDefault="000C16D3" w:rsidP="006948E6">
      <w:pPr>
        <w:contextualSpacing/>
        <w:rPr>
          <w:rFonts w:ascii="Calibri" w:eastAsia="Times New Roman" w:hAnsi="Calibri" w:cs="Calibri"/>
          <w:bCs/>
          <w:iCs/>
          <w:kern w:val="0"/>
          <w:sz w:val="24"/>
          <w:szCs w:val="24"/>
          <w14:ligatures w14:val="none"/>
        </w:rPr>
      </w:pPr>
      <w:r>
        <w:rPr>
          <w:rFonts w:ascii="Calibri" w:eastAsia="Times New Roman" w:hAnsi="Calibri" w:cs="Calibri"/>
          <w:bCs/>
          <w:iCs/>
          <w:kern w:val="0"/>
          <w:sz w:val="24"/>
          <w:szCs w:val="24"/>
          <w14:ligatures w14:val="none"/>
        </w:rPr>
        <w:t xml:space="preserve">VOSH overmatched </w:t>
      </w:r>
      <w:r w:rsidR="00DF1F4F">
        <w:rPr>
          <w:rFonts w:ascii="Calibri" w:eastAsia="Times New Roman" w:hAnsi="Calibri" w:cs="Calibri"/>
          <w:bCs/>
          <w:iCs/>
          <w:kern w:val="0"/>
          <w:sz w:val="24"/>
          <w:szCs w:val="24"/>
          <w14:ligatures w14:val="none"/>
        </w:rPr>
        <w:t>the $4,911,500 federal award by $1,212,000 contributing to 55% of its funding at a state level in FY 2024.</w:t>
      </w:r>
    </w:p>
    <w:p w14:paraId="0E553543" w14:textId="77777777" w:rsidR="006948E6" w:rsidRDefault="006948E6" w:rsidP="002E4A1A">
      <w:pPr>
        <w:keepNext/>
        <w:keepLines/>
        <w:widowControl w:val="0"/>
        <w:autoSpaceDE w:val="0"/>
        <w:autoSpaceDN w:val="0"/>
        <w:adjustRightInd w:val="0"/>
        <w:spacing w:before="240"/>
        <w:outlineLvl w:val="2"/>
        <w:rPr>
          <w:rFonts w:ascii="Calibri" w:eastAsia="Times New Roman" w:hAnsi="Calibri" w:cs="Calibri"/>
          <w:b/>
          <w:bCs/>
          <w:iCs/>
          <w:kern w:val="0"/>
          <w:sz w:val="24"/>
          <w:szCs w:val="24"/>
          <w14:ligatures w14:val="none"/>
        </w:rPr>
      </w:pPr>
      <w:r w:rsidRPr="0087265E">
        <w:rPr>
          <w:rFonts w:ascii="Calibri" w:eastAsia="Times New Roman" w:hAnsi="Calibri" w:cs="Calibri"/>
          <w:b/>
          <w:bCs/>
          <w:iCs/>
          <w:kern w:val="0"/>
          <w:sz w:val="24"/>
          <w:szCs w:val="24"/>
          <w14:ligatures w14:val="none"/>
        </w:rPr>
        <w:t>New Issues</w:t>
      </w:r>
    </w:p>
    <w:p w14:paraId="79D3AF2D" w14:textId="0CBA4946" w:rsidR="002E4A1A" w:rsidRPr="00EE54AB" w:rsidRDefault="002E4A1A" w:rsidP="0087265E">
      <w:pPr>
        <w:keepNext/>
        <w:keepLines/>
        <w:widowControl w:val="0"/>
        <w:autoSpaceDE w:val="0"/>
        <w:autoSpaceDN w:val="0"/>
        <w:adjustRightInd w:val="0"/>
        <w:spacing w:before="240"/>
        <w:outlineLvl w:val="2"/>
        <w:rPr>
          <w:rFonts w:ascii="Calibri" w:eastAsia="Times New Roman" w:hAnsi="Calibri" w:cs="Calibri"/>
          <w:iCs/>
          <w:kern w:val="0"/>
          <w:sz w:val="24"/>
          <w:szCs w:val="24"/>
          <w14:ligatures w14:val="none"/>
        </w:rPr>
      </w:pPr>
      <w:r w:rsidRPr="00EE54AB">
        <w:rPr>
          <w:rFonts w:ascii="Calibri" w:eastAsia="Times New Roman" w:hAnsi="Calibri" w:cs="Calibri"/>
          <w:iCs/>
          <w:kern w:val="0"/>
          <w:sz w:val="24"/>
          <w:szCs w:val="24"/>
          <w14:ligatures w14:val="none"/>
        </w:rPr>
        <w:t>None.</w:t>
      </w:r>
    </w:p>
    <w:p w14:paraId="3A4AD62F" w14:textId="77777777" w:rsidR="009D1DDE" w:rsidRDefault="009D1DDE" w:rsidP="006948E6">
      <w:pPr>
        <w:widowControl w:val="0"/>
        <w:autoSpaceDE w:val="0"/>
        <w:autoSpaceDN w:val="0"/>
        <w:adjustRightInd w:val="0"/>
        <w:contextualSpacing/>
        <w:rPr>
          <w:rFonts w:ascii="Calibri" w:eastAsia="Times New Roman" w:hAnsi="Calibri" w:cs="Calibri"/>
          <w:iCs/>
          <w:kern w:val="0"/>
          <w:sz w:val="24"/>
          <w:szCs w:val="24"/>
          <w14:ligatures w14:val="none"/>
        </w:rPr>
      </w:pPr>
    </w:p>
    <w:p w14:paraId="4E186C06" w14:textId="77777777" w:rsidR="00EE54AB" w:rsidRDefault="00EE54AB" w:rsidP="006948E6">
      <w:pPr>
        <w:widowControl w:val="0"/>
        <w:autoSpaceDE w:val="0"/>
        <w:autoSpaceDN w:val="0"/>
        <w:adjustRightInd w:val="0"/>
        <w:contextualSpacing/>
        <w:rPr>
          <w:rFonts w:ascii="Calibri" w:eastAsia="Times New Roman" w:hAnsi="Calibri" w:cs="Calibri"/>
          <w:iCs/>
          <w:kern w:val="0"/>
          <w:sz w:val="24"/>
          <w:szCs w:val="24"/>
          <w14:ligatures w14:val="none"/>
        </w:rPr>
      </w:pPr>
    </w:p>
    <w:p w14:paraId="564629BD" w14:textId="2DB60C01" w:rsidR="006948E6" w:rsidRPr="0087265E" w:rsidRDefault="006948E6" w:rsidP="0087265E">
      <w:pPr>
        <w:pStyle w:val="ListParagraph"/>
        <w:keepNext/>
        <w:keepLines/>
        <w:widowControl w:val="0"/>
        <w:numPr>
          <w:ilvl w:val="0"/>
          <w:numId w:val="3"/>
        </w:numPr>
        <w:autoSpaceDE w:val="0"/>
        <w:autoSpaceDN w:val="0"/>
        <w:adjustRightInd w:val="0"/>
        <w:spacing w:before="120"/>
        <w:ind w:left="540" w:hanging="540"/>
        <w:outlineLvl w:val="1"/>
        <w:rPr>
          <w:rFonts w:ascii="Calibri" w:eastAsia="Times New Roman" w:hAnsi="Calibri" w:cs="Calibri"/>
          <w:b/>
          <w:bCs/>
          <w:iCs/>
          <w:kern w:val="0"/>
          <w:sz w:val="32"/>
          <w:szCs w:val="32"/>
          <w14:ligatures w14:val="none"/>
        </w:rPr>
      </w:pPr>
      <w:bookmarkStart w:id="9" w:name="_Toc118900172"/>
      <w:bookmarkStart w:id="10" w:name="_Toc118905011"/>
      <w:bookmarkStart w:id="11" w:name="_Toc119418665"/>
      <w:r w:rsidRPr="0087265E">
        <w:rPr>
          <w:rFonts w:ascii="Calibri" w:eastAsia="Times New Roman" w:hAnsi="Calibri" w:cs="Calibri"/>
          <w:b/>
          <w:bCs/>
          <w:iCs/>
          <w:kern w:val="0"/>
          <w:sz w:val="32"/>
          <w:szCs w:val="32"/>
          <w14:ligatures w14:val="none"/>
        </w:rPr>
        <w:t>Assessment of State Plan Progress and Performance</w:t>
      </w:r>
      <w:bookmarkEnd w:id="9"/>
      <w:bookmarkEnd w:id="10"/>
      <w:bookmarkEnd w:id="11"/>
    </w:p>
    <w:p w14:paraId="5CBC23B5" w14:textId="77777777" w:rsidR="006948E6" w:rsidRPr="006948E6" w:rsidRDefault="006948E6" w:rsidP="006948E6">
      <w:pPr>
        <w:rPr>
          <w:rFonts w:ascii="Calibri" w:eastAsia="Times New Roman" w:hAnsi="Calibri" w:cs="Calibri"/>
          <w:iCs/>
          <w:kern w:val="0"/>
          <w:sz w:val="24"/>
          <w:szCs w:val="24"/>
          <w14:ligatures w14:val="none"/>
        </w:rPr>
      </w:pPr>
    </w:p>
    <w:p w14:paraId="38B2ADBF" w14:textId="63C28EFD" w:rsidR="006948E6" w:rsidRPr="0087265E" w:rsidRDefault="006948E6" w:rsidP="0087265E">
      <w:pPr>
        <w:pStyle w:val="ListParagraph"/>
        <w:keepNext/>
        <w:keepLines/>
        <w:widowControl w:val="0"/>
        <w:numPr>
          <w:ilvl w:val="0"/>
          <w:numId w:val="4"/>
        </w:numPr>
        <w:autoSpaceDE w:val="0"/>
        <w:autoSpaceDN w:val="0"/>
        <w:adjustRightInd w:val="0"/>
        <w:spacing w:before="120"/>
        <w:outlineLvl w:val="2"/>
        <w:rPr>
          <w:rFonts w:ascii="Calibri" w:eastAsia="Times New Roman" w:hAnsi="Calibri" w:cs="Calibri"/>
          <w:b/>
          <w:bCs/>
          <w:iCs/>
          <w:kern w:val="0"/>
          <w:sz w:val="24"/>
          <w:szCs w:val="24"/>
          <w14:ligatures w14:val="none"/>
        </w:rPr>
      </w:pPr>
      <w:bookmarkStart w:id="12" w:name="_Toc118900173"/>
      <w:bookmarkStart w:id="13" w:name="_Toc118905012"/>
      <w:bookmarkStart w:id="14" w:name="_Toc119418666"/>
      <w:r w:rsidRPr="0087265E">
        <w:rPr>
          <w:rFonts w:ascii="Calibri" w:eastAsia="Times New Roman" w:hAnsi="Calibri" w:cs="Calibri"/>
          <w:b/>
          <w:bCs/>
          <w:iCs/>
          <w:kern w:val="0"/>
          <w:sz w:val="24"/>
          <w:szCs w:val="24"/>
          <w14:ligatures w14:val="none"/>
        </w:rPr>
        <w:t>Data and Methodology</w:t>
      </w:r>
      <w:bookmarkEnd w:id="12"/>
      <w:bookmarkEnd w:id="13"/>
      <w:bookmarkEnd w:id="14"/>
    </w:p>
    <w:p w14:paraId="39C04DCE" w14:textId="77777777" w:rsidR="006948E6" w:rsidRPr="006948E6" w:rsidRDefault="006948E6" w:rsidP="006948E6">
      <w:pPr>
        <w:ind w:left="1440"/>
        <w:rPr>
          <w:rFonts w:ascii="Calibri" w:eastAsia="Times New Roman" w:hAnsi="Calibri" w:cs="Calibri"/>
          <w:bCs/>
          <w:iCs/>
          <w:kern w:val="0"/>
          <w:sz w:val="24"/>
          <w:szCs w:val="24"/>
          <w14:ligatures w14:val="none"/>
        </w:rPr>
      </w:pPr>
    </w:p>
    <w:p w14:paraId="2175B460" w14:textId="77777777" w:rsidR="006948E6" w:rsidRPr="006948E6" w:rsidRDefault="006948E6" w:rsidP="006948E6">
      <w:pPr>
        <w:rPr>
          <w:rFonts w:ascii="Calibri" w:eastAsia="Times New Roman" w:hAnsi="Calibri" w:cs="Calibri"/>
          <w:bCs/>
          <w:iCs/>
          <w:kern w:val="0"/>
          <w:sz w:val="24"/>
          <w:szCs w:val="24"/>
          <w14:ligatures w14:val="none"/>
        </w:rPr>
      </w:pPr>
      <w:r w:rsidRPr="006948E6">
        <w:rPr>
          <w:rFonts w:ascii="Calibri" w:eastAsia="Times New Roman" w:hAnsi="Calibri" w:cs="Calibri"/>
          <w:bCs/>
          <w:iCs/>
          <w:kern w:val="0"/>
          <w:sz w:val="24"/>
          <w:szCs w:val="24"/>
          <w14:ligatures w14:val="none"/>
        </w:rPr>
        <w:t>OSHA has established a two-year cycle for the FAME process.  This is the follow-up year, and as such, OSHA did not perform an on-site case file review associated with a comprehensive FAME.  This strategy allows the State Plan to focus on correcting deficiencies identified in the most recent comprehensive FAME.  The analyses and conclusions described in this report are based on information obtained from a variety of monitoring sources, including:</w:t>
      </w:r>
    </w:p>
    <w:p w14:paraId="3B9586DD" w14:textId="77777777" w:rsidR="006948E6" w:rsidRPr="006948E6" w:rsidRDefault="006948E6" w:rsidP="006948E6">
      <w:pPr>
        <w:rPr>
          <w:rFonts w:ascii="Calibri" w:eastAsia="Times New Roman" w:hAnsi="Calibri" w:cs="Calibri"/>
          <w:bCs/>
          <w:iCs/>
          <w:kern w:val="0"/>
          <w:sz w:val="24"/>
          <w:szCs w:val="24"/>
          <w14:ligatures w14:val="none"/>
        </w:rPr>
      </w:pPr>
    </w:p>
    <w:p w14:paraId="7263AAC4" w14:textId="77777777" w:rsidR="006948E6" w:rsidRPr="006948E6" w:rsidRDefault="006948E6" w:rsidP="006948E6">
      <w:pPr>
        <w:widowControl w:val="0"/>
        <w:numPr>
          <w:ilvl w:val="0"/>
          <w:numId w:val="1"/>
        </w:numPr>
        <w:autoSpaceDE w:val="0"/>
        <w:autoSpaceDN w:val="0"/>
        <w:adjustRightInd w:val="0"/>
        <w:contextualSpacing/>
        <w:rPr>
          <w:rFonts w:ascii="Calibri" w:eastAsia="Times New Roman" w:hAnsi="Calibri" w:cs="Calibri"/>
          <w:bCs/>
          <w:iCs/>
          <w:kern w:val="0"/>
          <w14:ligatures w14:val="none"/>
        </w:rPr>
      </w:pPr>
      <w:r w:rsidRPr="006948E6">
        <w:rPr>
          <w:rFonts w:ascii="Calibri" w:eastAsia="Times New Roman" w:hAnsi="Calibri" w:cs="Calibri"/>
          <w:bCs/>
          <w:iCs/>
          <w:kern w:val="0"/>
          <w:sz w:val="24"/>
          <w:szCs w:val="24"/>
          <w14:ligatures w14:val="none"/>
        </w:rPr>
        <w:t xml:space="preserve">State Activity Mandated Measures (SAMM) Report </w:t>
      </w:r>
    </w:p>
    <w:p w14:paraId="749B2347" w14:textId="77777777" w:rsidR="006948E6" w:rsidRPr="006948E6" w:rsidRDefault="006948E6" w:rsidP="006948E6">
      <w:pPr>
        <w:widowControl w:val="0"/>
        <w:numPr>
          <w:ilvl w:val="0"/>
          <w:numId w:val="1"/>
        </w:numPr>
        <w:autoSpaceDE w:val="0"/>
        <w:autoSpaceDN w:val="0"/>
        <w:adjustRightInd w:val="0"/>
        <w:contextualSpacing/>
        <w:rPr>
          <w:rFonts w:ascii="Calibri" w:eastAsia="Times New Roman" w:hAnsi="Calibri" w:cs="Calibri"/>
          <w:bCs/>
          <w:iCs/>
          <w:kern w:val="0"/>
          <w14:ligatures w14:val="none"/>
        </w:rPr>
      </w:pPr>
      <w:r w:rsidRPr="006948E6">
        <w:rPr>
          <w:rFonts w:ascii="Calibri" w:eastAsia="Times New Roman" w:hAnsi="Calibri" w:cs="Calibri"/>
          <w:bCs/>
          <w:iCs/>
          <w:kern w:val="0"/>
          <w:sz w:val="24"/>
          <w:szCs w:val="24"/>
          <w14:ligatures w14:val="none"/>
        </w:rPr>
        <w:t>State Information Report (SIR)</w:t>
      </w:r>
    </w:p>
    <w:p w14:paraId="7EA54137" w14:textId="77777777" w:rsidR="006948E6" w:rsidRPr="006948E6" w:rsidRDefault="006948E6" w:rsidP="006948E6">
      <w:pPr>
        <w:widowControl w:val="0"/>
        <w:numPr>
          <w:ilvl w:val="0"/>
          <w:numId w:val="1"/>
        </w:numPr>
        <w:autoSpaceDE w:val="0"/>
        <w:autoSpaceDN w:val="0"/>
        <w:adjustRightInd w:val="0"/>
        <w:contextualSpacing/>
        <w:rPr>
          <w:rFonts w:ascii="Calibri" w:eastAsia="Times New Roman" w:hAnsi="Calibri" w:cs="Calibri"/>
          <w:bCs/>
          <w:iCs/>
          <w:kern w:val="0"/>
          <w14:ligatures w14:val="none"/>
        </w:rPr>
      </w:pPr>
      <w:r w:rsidRPr="006948E6">
        <w:rPr>
          <w:rFonts w:ascii="Calibri" w:eastAsia="Times New Roman" w:hAnsi="Calibri" w:cs="Calibri"/>
          <w:bCs/>
          <w:iCs/>
          <w:kern w:val="0"/>
          <w:sz w:val="24"/>
          <w:szCs w:val="24"/>
          <w14:ligatures w14:val="none"/>
        </w:rPr>
        <w:t>Mandated Activities Report for Consultation (MARC)</w:t>
      </w:r>
    </w:p>
    <w:p w14:paraId="24C3E6E0" w14:textId="77777777" w:rsidR="006948E6" w:rsidRPr="006948E6" w:rsidRDefault="006948E6" w:rsidP="006948E6">
      <w:pPr>
        <w:widowControl w:val="0"/>
        <w:numPr>
          <w:ilvl w:val="0"/>
          <w:numId w:val="1"/>
        </w:numPr>
        <w:autoSpaceDE w:val="0"/>
        <w:autoSpaceDN w:val="0"/>
        <w:adjustRightInd w:val="0"/>
        <w:contextualSpacing/>
        <w:rPr>
          <w:rFonts w:ascii="Calibri" w:eastAsia="Times New Roman" w:hAnsi="Calibri" w:cs="Calibri"/>
          <w:bCs/>
          <w:iCs/>
          <w:kern w:val="0"/>
          <w14:ligatures w14:val="none"/>
        </w:rPr>
      </w:pPr>
      <w:r w:rsidRPr="006948E6">
        <w:rPr>
          <w:rFonts w:ascii="Calibri" w:eastAsia="Times New Roman" w:hAnsi="Calibri" w:cs="Calibri"/>
          <w:bCs/>
          <w:iCs/>
          <w:kern w:val="0"/>
          <w:sz w:val="24"/>
          <w:szCs w:val="24"/>
          <w14:ligatures w14:val="none"/>
        </w:rPr>
        <w:t>State OSHA Annual Report (SOAR)</w:t>
      </w:r>
    </w:p>
    <w:p w14:paraId="0A7CD7A6" w14:textId="77777777" w:rsidR="006948E6" w:rsidRPr="006948E6" w:rsidRDefault="006948E6" w:rsidP="006948E6">
      <w:pPr>
        <w:widowControl w:val="0"/>
        <w:numPr>
          <w:ilvl w:val="0"/>
          <w:numId w:val="1"/>
        </w:numPr>
        <w:autoSpaceDE w:val="0"/>
        <w:autoSpaceDN w:val="0"/>
        <w:adjustRightInd w:val="0"/>
        <w:contextualSpacing/>
        <w:rPr>
          <w:rFonts w:ascii="Calibri" w:eastAsia="Times New Roman" w:hAnsi="Calibri" w:cs="Calibri"/>
          <w:bCs/>
          <w:iCs/>
          <w:kern w:val="0"/>
          <w14:ligatures w14:val="none"/>
        </w:rPr>
      </w:pPr>
      <w:r w:rsidRPr="006948E6">
        <w:rPr>
          <w:rFonts w:ascii="Calibri" w:eastAsia="Times New Roman" w:hAnsi="Calibri" w:cs="Calibri"/>
          <w:bCs/>
          <w:iCs/>
          <w:kern w:val="0"/>
          <w:sz w:val="24"/>
          <w:szCs w:val="24"/>
          <w14:ligatures w14:val="none"/>
        </w:rPr>
        <w:t>State Plan Annual Performance Plan (APP)</w:t>
      </w:r>
    </w:p>
    <w:p w14:paraId="7269BE96" w14:textId="77777777" w:rsidR="006948E6" w:rsidRPr="006948E6" w:rsidRDefault="006948E6" w:rsidP="006948E6">
      <w:pPr>
        <w:widowControl w:val="0"/>
        <w:numPr>
          <w:ilvl w:val="0"/>
          <w:numId w:val="1"/>
        </w:numPr>
        <w:autoSpaceDE w:val="0"/>
        <w:autoSpaceDN w:val="0"/>
        <w:adjustRightInd w:val="0"/>
        <w:contextualSpacing/>
        <w:rPr>
          <w:rFonts w:ascii="Calibri" w:eastAsia="Times New Roman" w:hAnsi="Calibri" w:cs="Calibri"/>
          <w:bCs/>
          <w:iCs/>
          <w:kern w:val="0"/>
          <w14:ligatures w14:val="none"/>
        </w:rPr>
      </w:pPr>
      <w:r w:rsidRPr="006948E6">
        <w:rPr>
          <w:rFonts w:ascii="Calibri" w:eastAsia="Times New Roman" w:hAnsi="Calibri" w:cs="Calibri"/>
          <w:bCs/>
          <w:iCs/>
          <w:kern w:val="0"/>
          <w:sz w:val="24"/>
          <w:szCs w:val="24"/>
          <w14:ligatures w14:val="none"/>
        </w:rPr>
        <w:t xml:space="preserve">State Plan Grant Application </w:t>
      </w:r>
    </w:p>
    <w:p w14:paraId="5DC1850A" w14:textId="77777777" w:rsidR="006948E6" w:rsidRPr="006948E6" w:rsidRDefault="006948E6" w:rsidP="006948E6">
      <w:pPr>
        <w:widowControl w:val="0"/>
        <w:numPr>
          <w:ilvl w:val="0"/>
          <w:numId w:val="1"/>
        </w:numPr>
        <w:autoSpaceDE w:val="0"/>
        <w:autoSpaceDN w:val="0"/>
        <w:adjustRightInd w:val="0"/>
        <w:contextualSpacing/>
        <w:rPr>
          <w:rFonts w:ascii="Calibri" w:eastAsia="Times New Roman" w:hAnsi="Calibri" w:cs="Calibri"/>
          <w:bCs/>
          <w:iCs/>
          <w:kern w:val="0"/>
          <w14:ligatures w14:val="none"/>
        </w:rPr>
      </w:pPr>
      <w:r w:rsidRPr="006948E6">
        <w:rPr>
          <w:rFonts w:ascii="Calibri" w:eastAsia="Times New Roman" w:hAnsi="Calibri" w:cs="Calibri"/>
          <w:bCs/>
          <w:iCs/>
          <w:kern w:val="0"/>
          <w:sz w:val="24"/>
          <w:szCs w:val="24"/>
          <w14:ligatures w14:val="none"/>
        </w:rPr>
        <w:t>Quarterly monitoring meetings between OSHA and the State Plan</w:t>
      </w:r>
    </w:p>
    <w:p w14:paraId="6419B6E8" w14:textId="77777777" w:rsidR="006948E6" w:rsidRPr="006948E6" w:rsidRDefault="006948E6" w:rsidP="006948E6">
      <w:pPr>
        <w:rPr>
          <w:rFonts w:ascii="Calibri" w:eastAsia="Times New Roman" w:hAnsi="Calibri" w:cs="Calibri"/>
          <w:bCs/>
          <w:iCs/>
          <w:kern w:val="0"/>
          <w:sz w:val="24"/>
          <w:szCs w:val="24"/>
          <w14:ligatures w14:val="none"/>
        </w:rPr>
      </w:pPr>
    </w:p>
    <w:p w14:paraId="498AE029" w14:textId="0C4E19FF" w:rsidR="006948E6" w:rsidRPr="0087265E" w:rsidRDefault="006948E6" w:rsidP="0087265E">
      <w:pPr>
        <w:pStyle w:val="ListParagraph"/>
        <w:keepNext/>
        <w:keepLines/>
        <w:widowControl w:val="0"/>
        <w:numPr>
          <w:ilvl w:val="0"/>
          <w:numId w:val="4"/>
        </w:numPr>
        <w:autoSpaceDE w:val="0"/>
        <w:autoSpaceDN w:val="0"/>
        <w:adjustRightInd w:val="0"/>
        <w:spacing w:before="120"/>
        <w:outlineLvl w:val="2"/>
        <w:rPr>
          <w:rFonts w:ascii="Calibri" w:eastAsia="Times New Roman" w:hAnsi="Calibri" w:cs="Calibri"/>
          <w:b/>
          <w:bCs/>
          <w:iCs/>
          <w:kern w:val="0"/>
          <w:sz w:val="24"/>
          <w:szCs w:val="24"/>
          <w14:ligatures w14:val="none"/>
        </w:rPr>
      </w:pPr>
      <w:bookmarkStart w:id="15" w:name="_Toc118900174"/>
      <w:bookmarkStart w:id="16" w:name="_Toc118905013"/>
      <w:bookmarkStart w:id="17" w:name="_Toc119418667"/>
      <w:r w:rsidRPr="0087265E">
        <w:rPr>
          <w:rFonts w:ascii="Calibri" w:eastAsia="Times New Roman" w:hAnsi="Calibri" w:cs="Calibri"/>
          <w:b/>
          <w:bCs/>
          <w:iCs/>
          <w:kern w:val="0"/>
          <w:sz w:val="24"/>
          <w:szCs w:val="24"/>
          <w14:ligatures w14:val="none"/>
        </w:rPr>
        <w:lastRenderedPageBreak/>
        <w:t>Findings and Observations</w:t>
      </w:r>
      <w:bookmarkEnd w:id="15"/>
      <w:bookmarkEnd w:id="16"/>
      <w:bookmarkEnd w:id="17"/>
    </w:p>
    <w:p w14:paraId="6FC664BA" w14:textId="77777777" w:rsidR="006948E6" w:rsidRPr="006948E6" w:rsidRDefault="006948E6" w:rsidP="00986BE7">
      <w:pPr>
        <w:keepNext/>
        <w:rPr>
          <w:rFonts w:ascii="Calibri" w:eastAsia="Times New Roman" w:hAnsi="Calibri" w:cs="Calibri"/>
          <w:iCs/>
          <w:kern w:val="0"/>
          <w:sz w:val="24"/>
          <w:szCs w:val="24"/>
          <w:highlight w:val="cyan"/>
          <w14:ligatures w14:val="none"/>
        </w:rPr>
      </w:pPr>
    </w:p>
    <w:p w14:paraId="291319A0" w14:textId="77777777" w:rsidR="006948E6" w:rsidRPr="006948E6" w:rsidRDefault="006948E6" w:rsidP="006948E6">
      <w:pPr>
        <w:keepNext/>
        <w:keepLines/>
        <w:widowControl w:val="0"/>
        <w:autoSpaceDE w:val="0"/>
        <w:autoSpaceDN w:val="0"/>
        <w:adjustRightInd w:val="0"/>
        <w:spacing w:before="40"/>
        <w:outlineLvl w:val="3"/>
        <w:rPr>
          <w:rFonts w:ascii="Calibri" w:eastAsia="MS Gothic" w:hAnsi="Calibri" w:cs="Times New Roman"/>
          <w:iCs/>
          <w:kern w:val="0"/>
          <w:sz w:val="24"/>
          <w:szCs w:val="24"/>
          <w:highlight w:val="yellow"/>
          <w14:ligatures w14:val="none"/>
        </w:rPr>
      </w:pPr>
      <w:bookmarkStart w:id="18" w:name="_Toc118900175"/>
      <w:bookmarkStart w:id="19" w:name="_Toc118905014"/>
      <w:r w:rsidRPr="006948E6">
        <w:rPr>
          <w:rFonts w:ascii="Calibri" w:eastAsia="MS Gothic" w:hAnsi="Calibri" w:cs="Times New Roman"/>
          <w:b/>
          <w:iCs/>
          <w:kern w:val="0"/>
          <w:sz w:val="24"/>
          <w:szCs w:val="24"/>
          <w14:ligatures w14:val="none"/>
        </w:rPr>
        <w:t>Findings (Status of Previous and New Items)</w:t>
      </w:r>
      <w:bookmarkEnd w:id="18"/>
      <w:bookmarkEnd w:id="19"/>
    </w:p>
    <w:p w14:paraId="5CCAD1E2" w14:textId="77777777" w:rsidR="006948E6" w:rsidRPr="006948E6" w:rsidRDefault="006948E6" w:rsidP="006948E6">
      <w:pPr>
        <w:rPr>
          <w:rFonts w:ascii="Calibri" w:eastAsia="Times New Roman" w:hAnsi="Calibri" w:cs="Calibri"/>
          <w:iCs/>
          <w:kern w:val="0"/>
          <w:sz w:val="24"/>
          <w:szCs w:val="24"/>
          <w:highlight w:val="yellow"/>
          <w:u w:val="single"/>
          <w14:ligatures w14:val="none"/>
        </w:rPr>
      </w:pPr>
    </w:p>
    <w:p w14:paraId="6BE2C53B" w14:textId="44225826" w:rsidR="006948E6" w:rsidRPr="006948E6" w:rsidRDefault="000E0ECC" w:rsidP="006948E6">
      <w:pPr>
        <w:rPr>
          <w:rFonts w:ascii="Calibri" w:eastAsia="Times New Roman" w:hAnsi="Calibri" w:cs="Calibri"/>
          <w:iCs/>
          <w:kern w:val="0"/>
          <w:sz w:val="24"/>
          <w:szCs w:val="24"/>
          <w14:ligatures w14:val="none"/>
        </w:rPr>
      </w:pPr>
      <w:r>
        <w:rPr>
          <w:rFonts w:ascii="Calibri" w:eastAsia="Times New Roman" w:hAnsi="Calibri" w:cs="Calibri"/>
          <w:iCs/>
          <w:kern w:val="0"/>
          <w:sz w:val="24"/>
          <w:szCs w:val="24"/>
          <w14:ligatures w14:val="none"/>
        </w:rPr>
        <w:t xml:space="preserve">VOSH made progress to address the previous two findings and three observations from the FY 2023 Comprehensive FAME Report.  </w:t>
      </w:r>
      <w:r w:rsidR="006948E6" w:rsidRPr="006948E6">
        <w:rPr>
          <w:rFonts w:ascii="Calibri" w:eastAsia="Times New Roman" w:hAnsi="Calibri" w:cs="Calibri"/>
          <w:iCs/>
          <w:kern w:val="0"/>
          <w:sz w:val="24"/>
          <w:szCs w:val="24"/>
          <w14:ligatures w14:val="none"/>
        </w:rPr>
        <w:t xml:space="preserve">This follow-up FAME report contains </w:t>
      </w:r>
      <w:r w:rsidR="00835DF6">
        <w:rPr>
          <w:rFonts w:ascii="Calibri" w:eastAsia="Times New Roman" w:hAnsi="Calibri" w:cs="Calibri"/>
          <w:iCs/>
          <w:kern w:val="0"/>
          <w:sz w:val="24"/>
          <w:szCs w:val="24"/>
          <w14:ligatures w14:val="none"/>
        </w:rPr>
        <w:t>two</w:t>
      </w:r>
      <w:r w:rsidR="006948E6" w:rsidRPr="006948E6">
        <w:rPr>
          <w:rFonts w:ascii="Calibri" w:eastAsia="Times New Roman" w:hAnsi="Calibri" w:cs="Calibri"/>
          <w:iCs/>
          <w:kern w:val="0"/>
          <w:sz w:val="24"/>
          <w:szCs w:val="24"/>
          <w14:ligatures w14:val="none"/>
        </w:rPr>
        <w:t xml:space="preserve"> </w:t>
      </w:r>
      <w:r w:rsidR="00A21E8C">
        <w:rPr>
          <w:rFonts w:ascii="Calibri" w:eastAsia="Times New Roman" w:hAnsi="Calibri" w:cs="Calibri"/>
          <w:iCs/>
          <w:kern w:val="0"/>
          <w:sz w:val="24"/>
          <w:szCs w:val="24"/>
          <w14:ligatures w14:val="none"/>
        </w:rPr>
        <w:t xml:space="preserve">continued </w:t>
      </w:r>
      <w:r w:rsidR="00986BE7" w:rsidRPr="006948E6">
        <w:rPr>
          <w:rFonts w:ascii="Calibri" w:eastAsia="Times New Roman" w:hAnsi="Calibri" w:cs="Calibri"/>
          <w:iCs/>
          <w:kern w:val="0"/>
          <w:sz w:val="24"/>
          <w:szCs w:val="24"/>
          <w14:ligatures w14:val="none"/>
        </w:rPr>
        <w:t>finding</w:t>
      </w:r>
      <w:r w:rsidR="00986BE7">
        <w:rPr>
          <w:rFonts w:ascii="Calibri" w:eastAsia="Times New Roman" w:hAnsi="Calibri" w:cs="Calibri"/>
          <w:iCs/>
          <w:kern w:val="0"/>
          <w:sz w:val="24"/>
          <w:szCs w:val="24"/>
          <w14:ligatures w14:val="none"/>
        </w:rPr>
        <w:t>s</w:t>
      </w:r>
      <w:r w:rsidR="00986BE7" w:rsidRPr="006948E6">
        <w:rPr>
          <w:rFonts w:ascii="Calibri" w:eastAsia="Times New Roman" w:hAnsi="Calibri" w:cs="Calibri"/>
          <w:iCs/>
          <w:kern w:val="0"/>
          <w:sz w:val="24"/>
          <w:szCs w:val="24"/>
          <w14:ligatures w14:val="none"/>
        </w:rPr>
        <w:t xml:space="preserve"> and</w:t>
      </w:r>
      <w:r w:rsidR="006948E6" w:rsidRPr="006948E6">
        <w:rPr>
          <w:rFonts w:ascii="Calibri" w:eastAsia="Times New Roman" w:hAnsi="Calibri" w:cs="Calibri"/>
          <w:iCs/>
          <w:kern w:val="0"/>
          <w:sz w:val="24"/>
          <w:szCs w:val="24"/>
          <w14:ligatures w14:val="none"/>
        </w:rPr>
        <w:t xml:space="preserve"> three</w:t>
      </w:r>
      <w:r w:rsidR="00A21E8C">
        <w:rPr>
          <w:rFonts w:ascii="Calibri" w:eastAsia="Times New Roman" w:hAnsi="Calibri" w:cs="Calibri"/>
          <w:iCs/>
          <w:kern w:val="0"/>
          <w:sz w:val="24"/>
          <w:szCs w:val="24"/>
          <w14:ligatures w14:val="none"/>
        </w:rPr>
        <w:t xml:space="preserve"> continued</w:t>
      </w:r>
      <w:r w:rsidR="006948E6" w:rsidRPr="006948E6">
        <w:rPr>
          <w:rFonts w:ascii="Calibri" w:eastAsia="Times New Roman" w:hAnsi="Calibri" w:cs="Calibri"/>
          <w:iCs/>
          <w:kern w:val="0"/>
          <w:sz w:val="24"/>
          <w:szCs w:val="24"/>
          <w14:ligatures w14:val="none"/>
        </w:rPr>
        <w:t xml:space="preserve"> observations.  </w:t>
      </w:r>
      <w:r w:rsidR="00835DF6">
        <w:rPr>
          <w:rFonts w:ascii="Calibri" w:eastAsia="Times New Roman" w:hAnsi="Calibri" w:cs="Calibri"/>
          <w:iCs/>
          <w:kern w:val="0"/>
          <w:sz w:val="24"/>
          <w:szCs w:val="24"/>
          <w14:ligatures w14:val="none"/>
        </w:rPr>
        <w:t>V</w:t>
      </w:r>
      <w:r>
        <w:rPr>
          <w:rFonts w:ascii="Calibri" w:eastAsia="Times New Roman" w:hAnsi="Calibri" w:cs="Calibri"/>
          <w:iCs/>
          <w:kern w:val="0"/>
          <w:sz w:val="24"/>
          <w:szCs w:val="24"/>
          <w14:ligatures w14:val="none"/>
        </w:rPr>
        <w:t>OSH provided a corrective action plan, however the findings were not completed because a case file review is necessary to verify corrective action were taken</w:t>
      </w:r>
      <w:r w:rsidR="00302B71">
        <w:rPr>
          <w:rFonts w:ascii="Calibri" w:eastAsia="Times New Roman" w:hAnsi="Calibri" w:cs="Calibri"/>
          <w:iCs/>
          <w:kern w:val="0"/>
          <w:sz w:val="24"/>
          <w:szCs w:val="24"/>
          <w14:ligatures w14:val="none"/>
        </w:rPr>
        <w:t xml:space="preserve">.  </w:t>
      </w:r>
      <w:r w:rsidR="006948E6" w:rsidRPr="006948E6">
        <w:rPr>
          <w:rFonts w:ascii="Calibri" w:eastAsia="Times New Roman" w:hAnsi="Calibri" w:cs="Calibri"/>
          <w:iCs/>
          <w:kern w:val="0"/>
          <w:sz w:val="24"/>
          <w:szCs w:val="24"/>
          <w14:ligatures w14:val="none"/>
        </w:rPr>
        <w:t>Appendix A describes the continued finding</w:t>
      </w:r>
      <w:r w:rsidR="00835DF6">
        <w:rPr>
          <w:rFonts w:ascii="Calibri" w:eastAsia="Times New Roman" w:hAnsi="Calibri" w:cs="Calibri"/>
          <w:iCs/>
          <w:kern w:val="0"/>
          <w:sz w:val="24"/>
          <w:szCs w:val="24"/>
          <w14:ligatures w14:val="none"/>
        </w:rPr>
        <w:t>s</w:t>
      </w:r>
      <w:r w:rsidR="006948E6" w:rsidRPr="006948E6">
        <w:rPr>
          <w:rFonts w:ascii="Calibri" w:eastAsia="Times New Roman" w:hAnsi="Calibri" w:cs="Calibri"/>
          <w:iCs/>
          <w:kern w:val="0"/>
          <w:sz w:val="24"/>
          <w:szCs w:val="24"/>
          <w14:ligatures w14:val="none"/>
        </w:rPr>
        <w:t xml:space="preserve"> and recommendation</w:t>
      </w:r>
      <w:r w:rsidR="00835DF6">
        <w:rPr>
          <w:rFonts w:ascii="Calibri" w:eastAsia="Times New Roman" w:hAnsi="Calibri" w:cs="Calibri"/>
          <w:iCs/>
          <w:kern w:val="0"/>
          <w:sz w:val="24"/>
          <w:szCs w:val="24"/>
          <w14:ligatures w14:val="none"/>
        </w:rPr>
        <w:t>s</w:t>
      </w:r>
      <w:r w:rsidR="006948E6" w:rsidRPr="006948E6">
        <w:rPr>
          <w:rFonts w:ascii="Calibri" w:eastAsia="Times New Roman" w:hAnsi="Calibri" w:cs="Calibri"/>
          <w:iCs/>
          <w:kern w:val="0"/>
          <w:sz w:val="24"/>
          <w:szCs w:val="24"/>
          <w14:ligatures w14:val="none"/>
        </w:rPr>
        <w:t>.</w:t>
      </w:r>
      <w:r w:rsidR="006948E6" w:rsidRPr="006948E6">
        <w:rPr>
          <w:rFonts w:ascii="Calibri" w:eastAsia="Times New Roman" w:hAnsi="Calibri" w:cs="Calibri"/>
          <w:iCs/>
          <w:color w:val="0070C0"/>
          <w:kern w:val="0"/>
          <w:sz w:val="24"/>
          <w:szCs w:val="24"/>
          <w14:ligatures w14:val="none"/>
        </w:rPr>
        <w:t xml:space="preserve">  </w:t>
      </w:r>
      <w:r w:rsidR="006948E6" w:rsidRPr="006948E6">
        <w:rPr>
          <w:rFonts w:ascii="Calibri" w:eastAsia="Times New Roman" w:hAnsi="Calibri" w:cs="Calibri"/>
          <w:iCs/>
          <w:kern w:val="0"/>
          <w:sz w:val="24"/>
          <w:szCs w:val="24"/>
          <w14:ligatures w14:val="none"/>
        </w:rPr>
        <w:t>Appendix B describes observations subject to continued monitoring and the related federal monitoring plan.</w:t>
      </w:r>
      <w:r w:rsidR="006948E6" w:rsidRPr="006948E6">
        <w:rPr>
          <w:rFonts w:ascii="Calibri" w:eastAsia="Times New Roman" w:hAnsi="Calibri" w:cs="Calibri"/>
          <w:iCs/>
          <w:color w:val="0070C0"/>
          <w:kern w:val="0"/>
          <w:sz w:val="24"/>
          <w:szCs w:val="24"/>
          <w14:ligatures w14:val="none"/>
        </w:rPr>
        <w:t xml:space="preserve">  </w:t>
      </w:r>
      <w:r w:rsidR="006948E6" w:rsidRPr="006948E6">
        <w:rPr>
          <w:rFonts w:ascii="Calibri" w:eastAsia="Times New Roman" w:hAnsi="Calibri" w:cs="Calibri"/>
          <w:iCs/>
          <w:kern w:val="0"/>
          <w:sz w:val="24"/>
          <w:szCs w:val="24"/>
          <w14:ligatures w14:val="none"/>
        </w:rPr>
        <w:t>Appendix C describes the status of each FY 2023 finding and recommendation in detail.</w:t>
      </w:r>
    </w:p>
    <w:p w14:paraId="75B56B7B" w14:textId="77777777" w:rsidR="006948E6" w:rsidRPr="006948E6" w:rsidRDefault="006948E6" w:rsidP="006948E6">
      <w:pPr>
        <w:rPr>
          <w:rFonts w:ascii="Calibri" w:eastAsia="Times New Roman" w:hAnsi="Calibri" w:cs="Calibri"/>
          <w:iCs/>
          <w:kern w:val="0"/>
          <w:sz w:val="24"/>
          <w:szCs w:val="24"/>
          <w:highlight w:val="yellow"/>
          <w14:ligatures w14:val="none"/>
        </w:rPr>
      </w:pPr>
    </w:p>
    <w:p w14:paraId="4BE9420C" w14:textId="1F3944B5" w:rsidR="006948E6" w:rsidRPr="006948E6" w:rsidRDefault="006948E6" w:rsidP="00986BE7">
      <w:pPr>
        <w:keepNext/>
        <w:keepLines/>
        <w:widowControl w:val="0"/>
        <w:autoSpaceDE w:val="0"/>
        <w:autoSpaceDN w:val="0"/>
        <w:adjustRightInd w:val="0"/>
        <w:spacing w:before="40"/>
        <w:outlineLvl w:val="3"/>
        <w:rPr>
          <w:rFonts w:ascii="Calibri" w:eastAsia="Times New Roman" w:hAnsi="Calibri" w:cs="Calibri"/>
          <w:b/>
          <w:bCs/>
          <w:iCs/>
          <w:kern w:val="0"/>
          <w:sz w:val="24"/>
          <w:szCs w:val="24"/>
          <w14:ligatures w14:val="none"/>
        </w:rPr>
      </w:pPr>
      <w:r w:rsidRPr="00986BE7">
        <w:rPr>
          <w:rFonts w:ascii="Calibri" w:eastAsia="MS Gothic" w:hAnsi="Calibri" w:cs="Times New Roman"/>
          <w:b/>
          <w:iCs/>
          <w:kern w:val="0"/>
          <w:sz w:val="24"/>
          <w:szCs w:val="24"/>
          <w14:ligatures w14:val="none"/>
        </w:rPr>
        <w:t>Completed</w:t>
      </w:r>
      <w:r w:rsidRPr="006948E6">
        <w:rPr>
          <w:rFonts w:ascii="Calibri" w:eastAsia="Times New Roman" w:hAnsi="Calibri" w:cs="Calibri"/>
          <w:b/>
          <w:bCs/>
          <w:iCs/>
          <w:kern w:val="0"/>
          <w:sz w:val="24"/>
          <w:szCs w:val="24"/>
          <w14:ligatures w14:val="none"/>
        </w:rPr>
        <w:t xml:space="preserve"> Finding</w:t>
      </w:r>
      <w:r w:rsidR="00EF2BFC">
        <w:rPr>
          <w:rFonts w:ascii="Calibri" w:eastAsia="Times New Roman" w:hAnsi="Calibri" w:cs="Calibri"/>
          <w:b/>
          <w:bCs/>
          <w:iCs/>
          <w:kern w:val="0"/>
          <w:sz w:val="24"/>
          <w:szCs w:val="24"/>
          <w14:ligatures w14:val="none"/>
        </w:rPr>
        <w:t>s</w:t>
      </w:r>
    </w:p>
    <w:p w14:paraId="4E97A3A5" w14:textId="77777777" w:rsidR="006948E6" w:rsidRPr="006948E6" w:rsidRDefault="006948E6" w:rsidP="006948E6">
      <w:pPr>
        <w:rPr>
          <w:rFonts w:ascii="Calibri" w:eastAsia="Times New Roman" w:hAnsi="Calibri" w:cs="Calibri"/>
          <w:iCs/>
          <w:kern w:val="0"/>
          <w:sz w:val="24"/>
          <w:szCs w:val="24"/>
          <w:highlight w:val="yellow"/>
          <w:u w:val="single"/>
          <w14:ligatures w14:val="none"/>
        </w:rPr>
      </w:pPr>
    </w:p>
    <w:p w14:paraId="25AFFF87" w14:textId="270ED443" w:rsidR="00835DF6" w:rsidRPr="00E24391" w:rsidRDefault="00835DF6" w:rsidP="006948E6">
      <w:pPr>
        <w:rPr>
          <w:rFonts w:ascii="Calibri" w:eastAsia="Times New Roman" w:hAnsi="Calibri" w:cs="Calibri"/>
          <w:bCs/>
          <w:iCs/>
          <w:kern w:val="0"/>
          <w:sz w:val="24"/>
          <w:szCs w:val="24"/>
          <w14:ligatures w14:val="none"/>
        </w:rPr>
      </w:pPr>
      <w:bookmarkStart w:id="20" w:name="_Hlk192064091"/>
      <w:r>
        <w:rPr>
          <w:rFonts w:ascii="Calibri" w:eastAsia="Times New Roman" w:hAnsi="Calibri" w:cs="Calibri"/>
          <w:bCs/>
          <w:iCs/>
          <w:kern w:val="0"/>
          <w:sz w:val="24"/>
          <w:szCs w:val="24"/>
          <w14:ligatures w14:val="none"/>
        </w:rPr>
        <w:t>There were no completed findings in FY 2024.</w:t>
      </w:r>
    </w:p>
    <w:p w14:paraId="222CCB1A" w14:textId="77777777" w:rsidR="00835DF6" w:rsidRDefault="00835DF6" w:rsidP="006948E6">
      <w:pPr>
        <w:rPr>
          <w:rFonts w:ascii="Calibri" w:eastAsia="Times New Roman" w:hAnsi="Calibri" w:cs="Calibri"/>
          <w:b/>
          <w:iCs/>
          <w:kern w:val="0"/>
          <w:sz w:val="24"/>
          <w:szCs w:val="24"/>
          <w14:ligatures w14:val="none"/>
        </w:rPr>
      </w:pPr>
    </w:p>
    <w:bookmarkEnd w:id="20"/>
    <w:p w14:paraId="0704A456" w14:textId="695F71E5" w:rsidR="006948E6" w:rsidRPr="006948E6" w:rsidRDefault="006948E6" w:rsidP="00986BE7">
      <w:pPr>
        <w:keepNext/>
        <w:keepLines/>
        <w:widowControl w:val="0"/>
        <w:autoSpaceDE w:val="0"/>
        <w:autoSpaceDN w:val="0"/>
        <w:adjustRightInd w:val="0"/>
        <w:spacing w:before="40"/>
        <w:outlineLvl w:val="3"/>
        <w:rPr>
          <w:rFonts w:ascii="Calibri" w:eastAsia="Times New Roman" w:hAnsi="Calibri" w:cs="Calibri"/>
          <w:b/>
          <w:bCs/>
          <w:iCs/>
          <w:kern w:val="0"/>
          <w:sz w:val="24"/>
          <w:szCs w:val="24"/>
          <w14:ligatures w14:val="none"/>
        </w:rPr>
      </w:pPr>
      <w:r w:rsidRPr="00986BE7">
        <w:rPr>
          <w:rFonts w:ascii="Calibri" w:eastAsia="MS Gothic" w:hAnsi="Calibri" w:cs="Times New Roman"/>
          <w:b/>
          <w:bCs/>
          <w:iCs/>
          <w:kern w:val="0"/>
          <w:sz w:val="24"/>
          <w:szCs w:val="24"/>
          <w14:ligatures w14:val="none"/>
        </w:rPr>
        <w:t>Continued</w:t>
      </w:r>
      <w:r w:rsidRPr="006948E6">
        <w:rPr>
          <w:rFonts w:ascii="Calibri" w:eastAsia="Times New Roman" w:hAnsi="Calibri" w:cs="Calibri"/>
          <w:b/>
          <w:bCs/>
          <w:iCs/>
          <w:kern w:val="0"/>
          <w:sz w:val="24"/>
          <w:szCs w:val="24"/>
          <w14:ligatures w14:val="none"/>
        </w:rPr>
        <w:t xml:space="preserve"> Finding</w:t>
      </w:r>
      <w:r w:rsidR="00D02B8D">
        <w:rPr>
          <w:rFonts w:ascii="Calibri" w:eastAsia="Times New Roman" w:hAnsi="Calibri" w:cs="Calibri"/>
          <w:b/>
          <w:bCs/>
          <w:iCs/>
          <w:kern w:val="0"/>
          <w:sz w:val="24"/>
          <w:szCs w:val="24"/>
          <w14:ligatures w14:val="none"/>
        </w:rPr>
        <w:t>s</w:t>
      </w:r>
    </w:p>
    <w:p w14:paraId="5821210D" w14:textId="77777777" w:rsidR="006948E6" w:rsidRPr="006948E6" w:rsidRDefault="006948E6" w:rsidP="006948E6">
      <w:pPr>
        <w:tabs>
          <w:tab w:val="center" w:pos="270"/>
          <w:tab w:val="left" w:pos="360"/>
        </w:tabs>
        <w:rPr>
          <w:rFonts w:ascii="Calibri" w:eastAsia="Calibri" w:hAnsi="Calibri" w:cs="Calibri"/>
          <w:b/>
          <w:iCs/>
          <w:kern w:val="0"/>
          <w:sz w:val="24"/>
          <w:szCs w:val="24"/>
          <w14:ligatures w14:val="none"/>
        </w:rPr>
      </w:pPr>
    </w:p>
    <w:p w14:paraId="2A4AEA39" w14:textId="7BA5D781" w:rsidR="00835DF6" w:rsidRDefault="00D02B8D" w:rsidP="006948E6">
      <w:pPr>
        <w:tabs>
          <w:tab w:val="center" w:pos="270"/>
          <w:tab w:val="left" w:pos="360"/>
        </w:tabs>
        <w:rPr>
          <w:rFonts w:ascii="Calibri" w:eastAsia="Calibri" w:hAnsi="Calibri" w:cs="Calibri"/>
          <w:bCs/>
          <w:iCs/>
          <w:kern w:val="0"/>
          <w:sz w:val="24"/>
          <w:szCs w:val="24"/>
          <w14:ligatures w14:val="none"/>
        </w:rPr>
      </w:pPr>
      <w:bookmarkStart w:id="21" w:name="_Hlk192064141"/>
      <w:r w:rsidRPr="00E24391">
        <w:rPr>
          <w:rFonts w:ascii="Calibri" w:eastAsia="Calibri" w:hAnsi="Calibri" w:cs="Calibri"/>
          <w:b/>
          <w:iCs/>
          <w:kern w:val="0"/>
          <w:sz w:val="24"/>
          <w:szCs w:val="24"/>
          <w14:ligatures w14:val="none"/>
        </w:rPr>
        <w:t>Finding FY 2023-01:</w:t>
      </w:r>
      <w:r>
        <w:rPr>
          <w:rFonts w:ascii="Calibri" w:eastAsia="Calibri" w:hAnsi="Calibri" w:cs="Calibri"/>
          <w:bCs/>
          <w:iCs/>
          <w:kern w:val="0"/>
          <w:sz w:val="24"/>
          <w:szCs w:val="24"/>
          <w14:ligatures w14:val="none"/>
        </w:rPr>
        <w:t xml:space="preserve"> </w:t>
      </w:r>
      <w:r w:rsidRPr="0087265E">
        <w:rPr>
          <w:rFonts w:ascii="Calibri" w:eastAsia="Calibri" w:hAnsi="Calibri" w:cs="Calibri"/>
          <w:b/>
          <w:iCs/>
          <w:kern w:val="0"/>
          <w:sz w:val="24"/>
          <w:szCs w:val="24"/>
          <w14:ligatures w14:val="none"/>
        </w:rPr>
        <w:t>Federal Program Changes (FPCs).</w:t>
      </w:r>
      <w:r>
        <w:rPr>
          <w:rFonts w:ascii="Calibri" w:eastAsia="Calibri" w:hAnsi="Calibri" w:cs="Calibri"/>
          <w:bCs/>
          <w:iCs/>
          <w:kern w:val="0"/>
          <w:sz w:val="24"/>
          <w:szCs w:val="24"/>
          <w14:ligatures w14:val="none"/>
        </w:rPr>
        <w:t xml:space="preserve">  VOSH did not adopt FPCs within the required timeframes.</w:t>
      </w:r>
    </w:p>
    <w:p w14:paraId="392C5E90" w14:textId="77777777" w:rsidR="00D02B8D" w:rsidRDefault="00D02B8D" w:rsidP="006948E6">
      <w:pPr>
        <w:tabs>
          <w:tab w:val="center" w:pos="270"/>
          <w:tab w:val="left" w:pos="360"/>
        </w:tabs>
        <w:rPr>
          <w:rFonts w:ascii="Calibri" w:eastAsia="Calibri" w:hAnsi="Calibri" w:cs="Calibri"/>
          <w:bCs/>
          <w:iCs/>
          <w:kern w:val="0"/>
          <w:sz w:val="24"/>
          <w:szCs w:val="24"/>
          <w14:ligatures w14:val="none"/>
        </w:rPr>
      </w:pPr>
    </w:p>
    <w:p w14:paraId="07E0BC9F" w14:textId="0190E5AD" w:rsidR="00D31DBC" w:rsidRPr="00E24391" w:rsidRDefault="00D02B8D" w:rsidP="006948E6">
      <w:pPr>
        <w:tabs>
          <w:tab w:val="center" w:pos="270"/>
          <w:tab w:val="left" w:pos="360"/>
        </w:tabs>
        <w:rPr>
          <w:rFonts w:ascii="Calibri" w:eastAsia="Calibri" w:hAnsi="Calibri" w:cs="Calibri"/>
          <w:bCs/>
          <w:iCs/>
          <w:kern w:val="0"/>
          <w:sz w:val="24"/>
          <w:szCs w:val="24"/>
          <w14:ligatures w14:val="none"/>
        </w:rPr>
      </w:pPr>
      <w:r>
        <w:rPr>
          <w:rFonts w:ascii="Calibri" w:eastAsia="Calibri" w:hAnsi="Calibri" w:cs="Calibri"/>
          <w:b/>
          <w:iCs/>
          <w:kern w:val="0"/>
          <w:sz w:val="24"/>
          <w:szCs w:val="24"/>
          <w14:ligatures w14:val="none"/>
        </w:rPr>
        <w:t>Status:</w:t>
      </w:r>
      <w:r w:rsidR="001569E0">
        <w:rPr>
          <w:rFonts w:ascii="Calibri" w:eastAsia="Calibri" w:hAnsi="Calibri" w:cs="Calibri"/>
          <w:b/>
          <w:iCs/>
          <w:kern w:val="0"/>
          <w:sz w:val="24"/>
          <w:szCs w:val="24"/>
          <w14:ligatures w14:val="none"/>
        </w:rPr>
        <w:t xml:space="preserve">  </w:t>
      </w:r>
      <w:r w:rsidR="001569E0">
        <w:rPr>
          <w:rFonts w:ascii="Calibri" w:eastAsia="Calibri" w:hAnsi="Calibri" w:cs="Calibri"/>
          <w:bCs/>
          <w:iCs/>
          <w:kern w:val="0"/>
          <w:sz w:val="24"/>
          <w:szCs w:val="24"/>
          <w14:ligatures w14:val="none"/>
        </w:rPr>
        <w:t xml:space="preserve">VOSH </w:t>
      </w:r>
      <w:r w:rsidR="007F1935">
        <w:rPr>
          <w:rFonts w:ascii="Calibri" w:eastAsia="Calibri" w:hAnsi="Calibri" w:cs="Calibri"/>
          <w:bCs/>
          <w:iCs/>
          <w:kern w:val="0"/>
          <w:sz w:val="24"/>
          <w:szCs w:val="24"/>
          <w14:ligatures w14:val="none"/>
        </w:rPr>
        <w:t xml:space="preserve">has since adopted the required </w:t>
      </w:r>
      <w:r w:rsidR="00700A35">
        <w:rPr>
          <w:rFonts w:ascii="Calibri" w:eastAsia="Calibri" w:hAnsi="Calibri" w:cs="Calibri"/>
          <w:bCs/>
          <w:iCs/>
          <w:kern w:val="0"/>
          <w:sz w:val="24"/>
          <w:szCs w:val="24"/>
          <w14:ligatures w14:val="none"/>
        </w:rPr>
        <w:t>NEPs on Trenching and Excavation</w:t>
      </w:r>
      <w:r w:rsidR="007F1935">
        <w:rPr>
          <w:rFonts w:ascii="Calibri" w:eastAsia="Calibri" w:hAnsi="Calibri" w:cs="Calibri"/>
          <w:bCs/>
          <w:iCs/>
          <w:kern w:val="0"/>
          <w:sz w:val="24"/>
          <w:szCs w:val="24"/>
          <w14:ligatures w14:val="none"/>
        </w:rPr>
        <w:t xml:space="preserve">, </w:t>
      </w:r>
      <w:r w:rsidR="001E6F3D">
        <w:rPr>
          <w:rFonts w:ascii="Calibri" w:eastAsia="Calibri" w:hAnsi="Calibri" w:cs="Calibri"/>
          <w:bCs/>
          <w:iCs/>
          <w:kern w:val="0"/>
          <w:sz w:val="24"/>
          <w:szCs w:val="24"/>
          <w14:ligatures w14:val="none"/>
        </w:rPr>
        <w:t xml:space="preserve">Compliance Directive for the Excavation Standard, </w:t>
      </w:r>
      <w:r w:rsidR="007F1935">
        <w:rPr>
          <w:rFonts w:ascii="Calibri" w:eastAsia="Calibri" w:hAnsi="Calibri" w:cs="Calibri"/>
          <w:bCs/>
          <w:iCs/>
          <w:kern w:val="0"/>
          <w:sz w:val="24"/>
          <w:szCs w:val="24"/>
          <w14:ligatures w14:val="none"/>
        </w:rPr>
        <w:t>Amputations in Manufacturing, and Warehousing and Distribution Center Operations</w:t>
      </w:r>
      <w:r w:rsidR="00700A35">
        <w:rPr>
          <w:rFonts w:ascii="Calibri" w:eastAsia="Calibri" w:hAnsi="Calibri" w:cs="Calibri"/>
          <w:bCs/>
          <w:iCs/>
          <w:kern w:val="0"/>
          <w:sz w:val="24"/>
          <w:szCs w:val="24"/>
          <w14:ligatures w14:val="none"/>
        </w:rPr>
        <w:t xml:space="preserve"> identified as outstanding items in the FY 23 FAME</w:t>
      </w:r>
      <w:r w:rsidR="007F1935">
        <w:rPr>
          <w:rFonts w:ascii="Calibri" w:eastAsia="Calibri" w:hAnsi="Calibri" w:cs="Calibri"/>
          <w:bCs/>
          <w:iCs/>
          <w:kern w:val="0"/>
          <w:sz w:val="24"/>
          <w:szCs w:val="24"/>
          <w14:ligatures w14:val="none"/>
        </w:rPr>
        <w:t xml:space="preserve">. </w:t>
      </w:r>
      <w:r w:rsidR="00D31DBC">
        <w:rPr>
          <w:rFonts w:ascii="Calibri" w:eastAsia="Calibri" w:hAnsi="Calibri" w:cs="Calibri"/>
          <w:bCs/>
          <w:iCs/>
          <w:kern w:val="0"/>
          <w:sz w:val="24"/>
          <w:szCs w:val="24"/>
          <w14:ligatures w14:val="none"/>
        </w:rPr>
        <w:t xml:space="preserve">The following FPCs remain outstanding: Field Operations Manual, OSHA Whistleblower Investigations Manual, </w:t>
      </w:r>
      <w:r w:rsidR="001E6F3D">
        <w:rPr>
          <w:rFonts w:ascii="Calibri" w:eastAsia="Calibri" w:hAnsi="Calibri" w:cs="Calibri"/>
          <w:bCs/>
          <w:iCs/>
          <w:kern w:val="0"/>
          <w:sz w:val="24"/>
          <w:szCs w:val="24"/>
          <w14:ligatures w14:val="none"/>
        </w:rPr>
        <w:t xml:space="preserve">and </w:t>
      </w:r>
      <w:r w:rsidR="00D31DBC">
        <w:rPr>
          <w:rFonts w:ascii="Calibri" w:eastAsia="Calibri" w:hAnsi="Calibri" w:cs="Calibri"/>
          <w:bCs/>
          <w:iCs/>
          <w:kern w:val="0"/>
          <w:sz w:val="24"/>
          <w:szCs w:val="24"/>
          <w14:ligatures w14:val="none"/>
        </w:rPr>
        <w:t>Severe Violator Enforcement Program</w:t>
      </w:r>
      <w:r w:rsidR="00C1533F">
        <w:rPr>
          <w:rFonts w:ascii="Calibri" w:eastAsia="Calibri" w:hAnsi="Calibri" w:cs="Calibri"/>
          <w:bCs/>
          <w:iCs/>
          <w:kern w:val="0"/>
          <w:sz w:val="24"/>
          <w:szCs w:val="24"/>
          <w14:ligatures w14:val="none"/>
        </w:rPr>
        <w:t>.  This finding remains open.</w:t>
      </w:r>
    </w:p>
    <w:p w14:paraId="11B14917" w14:textId="77777777" w:rsidR="00835DF6" w:rsidRDefault="00835DF6" w:rsidP="006948E6">
      <w:pPr>
        <w:tabs>
          <w:tab w:val="center" w:pos="270"/>
          <w:tab w:val="left" w:pos="360"/>
        </w:tabs>
        <w:rPr>
          <w:rFonts w:ascii="Calibri" w:eastAsia="Calibri" w:hAnsi="Calibri" w:cs="Calibri"/>
          <w:b/>
          <w:iCs/>
          <w:kern w:val="0"/>
          <w:sz w:val="24"/>
          <w:szCs w:val="24"/>
          <w14:ligatures w14:val="none"/>
        </w:rPr>
      </w:pPr>
    </w:p>
    <w:p w14:paraId="09FDD734" w14:textId="24496DAB" w:rsidR="006948E6" w:rsidRPr="006948E6" w:rsidRDefault="006948E6" w:rsidP="006948E6">
      <w:pPr>
        <w:tabs>
          <w:tab w:val="center" w:pos="270"/>
          <w:tab w:val="left" w:pos="360"/>
        </w:tabs>
        <w:rPr>
          <w:rFonts w:ascii="Calibri" w:eastAsia="Calibri" w:hAnsi="Calibri" w:cs="Calibri"/>
          <w:bCs/>
          <w:iCs/>
          <w:kern w:val="0"/>
          <w:sz w:val="24"/>
          <w:szCs w:val="24"/>
          <w14:ligatures w14:val="none"/>
        </w:rPr>
      </w:pPr>
      <w:r w:rsidRPr="006948E6">
        <w:rPr>
          <w:rFonts w:ascii="Calibri" w:eastAsia="Calibri" w:hAnsi="Calibri" w:cs="Calibri"/>
          <w:b/>
          <w:iCs/>
          <w:kern w:val="0"/>
          <w:sz w:val="24"/>
          <w:szCs w:val="24"/>
          <w14:ligatures w14:val="none"/>
        </w:rPr>
        <w:t xml:space="preserve">Finding FY 2023-02: </w:t>
      </w:r>
      <w:bookmarkEnd w:id="21"/>
      <w:r w:rsidRPr="0087265E">
        <w:rPr>
          <w:rFonts w:ascii="Calibri" w:eastAsia="Calibri" w:hAnsi="Calibri" w:cs="Calibri"/>
          <w:b/>
          <w:iCs/>
          <w:kern w:val="0"/>
          <w:sz w:val="24"/>
          <w:szCs w:val="24"/>
          <w14:ligatures w14:val="none"/>
        </w:rPr>
        <w:t>Employee Representative Documentation</w:t>
      </w:r>
      <w:r w:rsidRPr="006948E6">
        <w:rPr>
          <w:rFonts w:ascii="Calibri" w:eastAsia="Calibri" w:hAnsi="Calibri" w:cs="Calibri"/>
          <w:bCs/>
          <w:iCs/>
          <w:kern w:val="0"/>
          <w:sz w:val="24"/>
          <w:szCs w:val="24"/>
          <w14:ligatures w14:val="none"/>
        </w:rPr>
        <w:t xml:space="preserve"> </w:t>
      </w:r>
    </w:p>
    <w:p w14:paraId="6A359372" w14:textId="51FF38AF" w:rsidR="006948E6" w:rsidRPr="006948E6" w:rsidRDefault="006948E6" w:rsidP="006948E6">
      <w:pPr>
        <w:tabs>
          <w:tab w:val="center" w:pos="270"/>
          <w:tab w:val="left" w:pos="360"/>
        </w:tabs>
        <w:rPr>
          <w:rFonts w:ascii="Calibri" w:eastAsia="Calibri" w:hAnsi="Calibri" w:cs="Calibri"/>
          <w:bCs/>
          <w:iCs/>
          <w:kern w:val="0"/>
          <w:sz w:val="24"/>
          <w:szCs w:val="24"/>
          <w14:ligatures w14:val="none"/>
        </w:rPr>
      </w:pPr>
      <w:r w:rsidRPr="006948E6">
        <w:rPr>
          <w:rFonts w:ascii="Calibri" w:eastAsia="Calibri" w:hAnsi="Calibri" w:cs="Calibri"/>
          <w:bCs/>
          <w:iCs/>
          <w:kern w:val="0"/>
          <w:sz w:val="24"/>
          <w:szCs w:val="24"/>
          <w14:ligatures w14:val="none"/>
        </w:rPr>
        <w:t xml:space="preserve">In three of the three (100%) sites with union representation, the case file did not document if the collective bargaining </w:t>
      </w:r>
      <w:r w:rsidR="00965CC1">
        <w:rPr>
          <w:rFonts w:ascii="Calibri" w:eastAsia="Calibri" w:hAnsi="Calibri" w:cs="Calibri"/>
          <w:bCs/>
          <w:iCs/>
          <w:kern w:val="0"/>
          <w:sz w:val="24"/>
          <w:szCs w:val="24"/>
          <w14:ligatures w14:val="none"/>
        </w:rPr>
        <w:t>representative</w:t>
      </w:r>
      <w:r w:rsidRPr="006948E6">
        <w:rPr>
          <w:rFonts w:ascii="Calibri" w:eastAsia="Calibri" w:hAnsi="Calibri" w:cs="Calibri"/>
          <w:bCs/>
          <w:iCs/>
          <w:kern w:val="0"/>
          <w:sz w:val="24"/>
          <w:szCs w:val="24"/>
          <w14:ligatures w14:val="none"/>
        </w:rPr>
        <w:t xml:space="preserve"> was provided with a copy</w:t>
      </w:r>
      <w:r w:rsidR="00EE54AB">
        <w:rPr>
          <w:rFonts w:ascii="Calibri" w:eastAsia="Calibri" w:hAnsi="Calibri" w:cs="Calibri"/>
          <w:bCs/>
          <w:iCs/>
          <w:kern w:val="0"/>
          <w:sz w:val="24"/>
          <w:szCs w:val="24"/>
          <w14:ligatures w14:val="none"/>
        </w:rPr>
        <w:t xml:space="preserve"> of</w:t>
      </w:r>
      <w:r w:rsidRPr="006948E6">
        <w:rPr>
          <w:rFonts w:ascii="Calibri" w:eastAsia="Calibri" w:hAnsi="Calibri" w:cs="Calibri"/>
          <w:bCs/>
          <w:iCs/>
          <w:kern w:val="0"/>
          <w:sz w:val="24"/>
          <w:szCs w:val="24"/>
          <w14:ligatures w14:val="none"/>
        </w:rPr>
        <w:t xml:space="preserve"> the citations. </w:t>
      </w:r>
    </w:p>
    <w:p w14:paraId="2466670A" w14:textId="77777777" w:rsidR="006948E6" w:rsidRPr="006948E6" w:rsidRDefault="006948E6" w:rsidP="006948E6">
      <w:pPr>
        <w:tabs>
          <w:tab w:val="center" w:pos="270"/>
          <w:tab w:val="left" w:pos="360"/>
        </w:tabs>
        <w:rPr>
          <w:rFonts w:ascii="Calibri" w:eastAsia="Calibri" w:hAnsi="Calibri" w:cs="Calibri"/>
          <w:iCs/>
          <w:kern w:val="0"/>
          <w:sz w:val="24"/>
          <w:szCs w:val="24"/>
          <w14:ligatures w14:val="none"/>
        </w:rPr>
      </w:pPr>
    </w:p>
    <w:p w14:paraId="078BB052" w14:textId="4B61DB3C" w:rsidR="006948E6" w:rsidRPr="006948E6" w:rsidRDefault="006948E6" w:rsidP="006948E6">
      <w:pPr>
        <w:rPr>
          <w:rFonts w:ascii="Calibri" w:eastAsia="Calibri" w:hAnsi="Calibri" w:cs="Calibri"/>
          <w:iCs/>
          <w:kern w:val="0"/>
          <w:sz w:val="24"/>
          <w:szCs w:val="24"/>
          <w14:ligatures w14:val="none"/>
        </w:rPr>
      </w:pPr>
      <w:bookmarkStart w:id="22" w:name="_Hlk192064153"/>
      <w:r w:rsidRPr="006948E6">
        <w:rPr>
          <w:rFonts w:ascii="Calibri" w:eastAsia="Calibri" w:hAnsi="Calibri" w:cs="Calibri"/>
          <w:b/>
          <w:iCs/>
          <w:kern w:val="0"/>
          <w:sz w:val="24"/>
          <w:szCs w:val="24"/>
          <w14:ligatures w14:val="none"/>
        </w:rPr>
        <w:t>Status</w:t>
      </w:r>
      <w:r w:rsidR="00EE54AB" w:rsidRPr="006948E6">
        <w:rPr>
          <w:rFonts w:ascii="Calibri" w:eastAsia="Calibri" w:hAnsi="Calibri" w:cs="Calibri"/>
          <w:b/>
          <w:iCs/>
          <w:kern w:val="0"/>
          <w:sz w:val="24"/>
          <w:szCs w:val="24"/>
          <w14:ligatures w14:val="none"/>
        </w:rPr>
        <w:t>:</w:t>
      </w:r>
      <w:r w:rsidR="00EE54AB" w:rsidRPr="006948E6">
        <w:rPr>
          <w:rFonts w:ascii="Calibri" w:eastAsia="Calibri" w:hAnsi="Calibri" w:cs="Calibri"/>
          <w:iCs/>
          <w:kern w:val="0"/>
          <w:sz w:val="24"/>
          <w:szCs w:val="24"/>
          <w14:ligatures w14:val="none"/>
        </w:rPr>
        <w:t xml:space="preserve"> VOSH</w:t>
      </w:r>
      <w:r w:rsidRPr="006948E6">
        <w:rPr>
          <w:rFonts w:ascii="Calibri" w:eastAsia="Calibri" w:hAnsi="Calibri" w:cs="Calibri"/>
          <w:iCs/>
          <w:kern w:val="0"/>
          <w:sz w:val="24"/>
          <w:szCs w:val="24"/>
          <w14:ligatures w14:val="none"/>
        </w:rPr>
        <w:t xml:space="preserve"> retrained CSHOs to ensure proper procedures are followed, including asking if employees are represented by a union and updating citation delivery sheets to indicate and track when union letters and citations are sent. A case file review is necessary to gather the facts needed to evaluate progress on this finding. This finding will be a focus of next year’s on-site case file review during the FY 2025 comprehensive FAME and remains open.</w:t>
      </w:r>
    </w:p>
    <w:bookmarkEnd w:id="22"/>
    <w:p w14:paraId="14F7EA6C" w14:textId="77777777" w:rsidR="006948E6" w:rsidRPr="006948E6" w:rsidRDefault="006948E6" w:rsidP="006948E6">
      <w:pPr>
        <w:rPr>
          <w:rFonts w:ascii="Calibri" w:eastAsia="Times New Roman" w:hAnsi="Calibri" w:cs="Calibri"/>
          <w:b/>
          <w:iCs/>
          <w:color w:val="0070C0"/>
          <w:kern w:val="0"/>
          <w:sz w:val="24"/>
          <w:szCs w:val="24"/>
          <w14:ligatures w14:val="none"/>
        </w:rPr>
      </w:pPr>
    </w:p>
    <w:p w14:paraId="05E8E04B" w14:textId="77777777" w:rsidR="006948E6" w:rsidRPr="006948E6" w:rsidRDefault="006948E6" w:rsidP="00986BE7">
      <w:pPr>
        <w:keepNext/>
        <w:keepLines/>
        <w:widowControl w:val="0"/>
        <w:autoSpaceDE w:val="0"/>
        <w:autoSpaceDN w:val="0"/>
        <w:adjustRightInd w:val="0"/>
        <w:spacing w:before="40"/>
        <w:outlineLvl w:val="3"/>
        <w:rPr>
          <w:rFonts w:ascii="Calibri" w:eastAsia="Times New Roman" w:hAnsi="Calibri" w:cs="Times New Roman"/>
          <w:b/>
          <w:bCs/>
          <w:iCs/>
          <w:kern w:val="0"/>
          <w:sz w:val="24"/>
          <w:szCs w:val="24"/>
          <w14:ligatures w14:val="none"/>
        </w:rPr>
      </w:pPr>
      <w:r w:rsidRPr="00986BE7">
        <w:rPr>
          <w:rFonts w:ascii="Calibri" w:eastAsia="MS Gothic" w:hAnsi="Calibri" w:cs="Times New Roman"/>
          <w:b/>
          <w:bCs/>
          <w:iCs/>
          <w:kern w:val="0"/>
          <w:sz w:val="24"/>
          <w:szCs w:val="24"/>
          <w14:ligatures w14:val="none"/>
        </w:rPr>
        <w:t>New</w:t>
      </w:r>
      <w:r w:rsidRPr="006948E6">
        <w:rPr>
          <w:rFonts w:ascii="Calibri" w:eastAsia="Times New Roman" w:hAnsi="Calibri" w:cs="Times New Roman"/>
          <w:b/>
          <w:bCs/>
          <w:iCs/>
          <w:kern w:val="0"/>
          <w:sz w:val="24"/>
          <w:szCs w:val="24"/>
          <w14:ligatures w14:val="none"/>
        </w:rPr>
        <w:t xml:space="preserve"> FY 2024 Findings</w:t>
      </w:r>
    </w:p>
    <w:p w14:paraId="51F1536B" w14:textId="77777777" w:rsidR="006948E6" w:rsidRPr="006948E6" w:rsidRDefault="006948E6" w:rsidP="006948E6">
      <w:pPr>
        <w:widowControl w:val="0"/>
        <w:autoSpaceDE w:val="0"/>
        <w:autoSpaceDN w:val="0"/>
        <w:adjustRightInd w:val="0"/>
        <w:rPr>
          <w:rFonts w:ascii="Calibri" w:eastAsia="Times New Roman" w:hAnsi="Calibri" w:cs="Times New Roman"/>
          <w:b/>
          <w:bCs/>
          <w:iCs/>
          <w:kern w:val="0"/>
          <w:sz w:val="24"/>
          <w:szCs w:val="24"/>
          <w14:ligatures w14:val="none"/>
        </w:rPr>
      </w:pPr>
    </w:p>
    <w:p w14:paraId="321A1639" w14:textId="77777777" w:rsidR="006948E6" w:rsidRPr="006948E6" w:rsidRDefault="006948E6" w:rsidP="006948E6">
      <w:pPr>
        <w:widowControl w:val="0"/>
        <w:autoSpaceDE w:val="0"/>
        <w:autoSpaceDN w:val="0"/>
        <w:adjustRightInd w:val="0"/>
        <w:rPr>
          <w:rFonts w:ascii="Calibri" w:eastAsia="Times New Roman" w:hAnsi="Calibri" w:cs="Times New Roman"/>
          <w:iCs/>
          <w:kern w:val="0"/>
          <w:sz w:val="24"/>
          <w:szCs w:val="24"/>
          <w14:ligatures w14:val="none"/>
        </w:rPr>
      </w:pPr>
      <w:bookmarkStart w:id="23" w:name="_Hlk192148616"/>
      <w:r w:rsidRPr="006948E6">
        <w:rPr>
          <w:rFonts w:ascii="Calibri" w:eastAsia="Times New Roman" w:hAnsi="Calibri" w:cs="Times New Roman"/>
          <w:iCs/>
          <w:kern w:val="0"/>
          <w:sz w:val="24"/>
          <w:szCs w:val="24"/>
          <w14:ligatures w14:val="none"/>
        </w:rPr>
        <w:t>There were no new findings identified in FY 2024.</w:t>
      </w:r>
    </w:p>
    <w:bookmarkEnd w:id="23"/>
    <w:p w14:paraId="2DD36731" w14:textId="77777777" w:rsidR="006948E6" w:rsidRPr="006948E6" w:rsidRDefault="006948E6" w:rsidP="006948E6">
      <w:pPr>
        <w:rPr>
          <w:rFonts w:ascii="Calibri" w:eastAsia="Times New Roman" w:hAnsi="Calibri" w:cs="Calibri"/>
          <w:iCs/>
          <w:kern w:val="0"/>
          <w:sz w:val="24"/>
          <w:szCs w:val="24"/>
          <w:u w:val="single"/>
          <w14:ligatures w14:val="none"/>
        </w:rPr>
      </w:pPr>
    </w:p>
    <w:p w14:paraId="222A9E84" w14:textId="77777777" w:rsidR="006948E6" w:rsidRPr="006948E6" w:rsidRDefault="006948E6" w:rsidP="006948E6">
      <w:pPr>
        <w:keepNext/>
        <w:keepLines/>
        <w:widowControl w:val="0"/>
        <w:autoSpaceDE w:val="0"/>
        <w:autoSpaceDN w:val="0"/>
        <w:adjustRightInd w:val="0"/>
        <w:spacing w:before="40"/>
        <w:outlineLvl w:val="3"/>
        <w:rPr>
          <w:rFonts w:ascii="Calibri" w:eastAsia="MS Gothic" w:hAnsi="Calibri" w:cs="Times New Roman"/>
          <w:iCs/>
          <w:kern w:val="0"/>
          <w:sz w:val="24"/>
          <w:szCs w:val="24"/>
          <w14:ligatures w14:val="none"/>
        </w:rPr>
      </w:pPr>
      <w:bookmarkStart w:id="24" w:name="_Toc118900176"/>
      <w:bookmarkStart w:id="25" w:name="_Toc118905015"/>
      <w:r w:rsidRPr="00A21E8C">
        <w:rPr>
          <w:rFonts w:ascii="Calibri" w:eastAsia="MS Gothic" w:hAnsi="Calibri" w:cs="Times New Roman"/>
          <w:b/>
          <w:bCs/>
          <w:iCs/>
          <w:kern w:val="0"/>
          <w:sz w:val="24"/>
          <w:szCs w:val="24"/>
          <w14:ligatures w14:val="none"/>
        </w:rPr>
        <w:lastRenderedPageBreak/>
        <w:t>Observations</w:t>
      </w:r>
      <w:bookmarkEnd w:id="24"/>
      <w:bookmarkEnd w:id="25"/>
    </w:p>
    <w:p w14:paraId="580FEE04" w14:textId="77777777" w:rsidR="006948E6" w:rsidRPr="006948E6" w:rsidRDefault="006948E6" w:rsidP="00986BE7">
      <w:pPr>
        <w:keepNext/>
        <w:rPr>
          <w:rFonts w:ascii="Calibri" w:eastAsia="Times New Roman" w:hAnsi="Calibri" w:cs="Calibri"/>
          <w:bCs/>
          <w:iCs/>
          <w:kern w:val="0"/>
          <w:sz w:val="24"/>
          <w:szCs w:val="24"/>
          <w:highlight w:val="yellow"/>
          <w:u w:val="single"/>
          <w14:ligatures w14:val="none"/>
        </w:rPr>
      </w:pPr>
    </w:p>
    <w:p w14:paraId="762AF4E7" w14:textId="77777777" w:rsidR="006948E6" w:rsidRPr="006948E6" w:rsidRDefault="006948E6" w:rsidP="00986BE7">
      <w:pPr>
        <w:keepNext/>
        <w:keepLines/>
        <w:widowControl w:val="0"/>
        <w:autoSpaceDE w:val="0"/>
        <w:autoSpaceDN w:val="0"/>
        <w:adjustRightInd w:val="0"/>
        <w:spacing w:before="40"/>
        <w:outlineLvl w:val="3"/>
        <w:rPr>
          <w:rFonts w:ascii="Calibri" w:eastAsia="Times New Roman" w:hAnsi="Calibri" w:cs="Calibri"/>
          <w:b/>
          <w:bCs/>
          <w:iCs/>
          <w:kern w:val="0"/>
          <w:sz w:val="24"/>
          <w:szCs w:val="24"/>
          <w14:ligatures w14:val="none"/>
        </w:rPr>
      </w:pPr>
      <w:r w:rsidRPr="00986BE7">
        <w:rPr>
          <w:rFonts w:ascii="Calibri" w:eastAsia="MS Gothic" w:hAnsi="Calibri" w:cs="Times New Roman"/>
          <w:b/>
          <w:bCs/>
          <w:iCs/>
          <w:kern w:val="0"/>
          <w:sz w:val="24"/>
          <w:szCs w:val="24"/>
          <w14:ligatures w14:val="none"/>
        </w:rPr>
        <w:t>Closed</w:t>
      </w:r>
      <w:r w:rsidRPr="006948E6">
        <w:rPr>
          <w:rFonts w:ascii="Calibri" w:eastAsia="Times New Roman" w:hAnsi="Calibri" w:cs="Calibri"/>
          <w:b/>
          <w:bCs/>
          <w:iCs/>
          <w:kern w:val="0"/>
          <w:sz w:val="24"/>
          <w:szCs w:val="24"/>
          <w14:ligatures w14:val="none"/>
        </w:rPr>
        <w:t xml:space="preserve"> FY 2023 Observations</w:t>
      </w:r>
    </w:p>
    <w:p w14:paraId="69023FDF" w14:textId="77777777" w:rsidR="006948E6" w:rsidRPr="006948E6" w:rsidRDefault="006948E6" w:rsidP="006948E6">
      <w:pPr>
        <w:rPr>
          <w:rFonts w:ascii="Calibri" w:eastAsia="Times New Roman" w:hAnsi="Calibri" w:cs="Calibri"/>
          <w:bCs/>
          <w:iCs/>
          <w:color w:val="0070C0"/>
          <w:kern w:val="0"/>
          <w:sz w:val="24"/>
          <w:szCs w:val="24"/>
          <w:u w:val="single"/>
          <w14:ligatures w14:val="none"/>
        </w:rPr>
      </w:pPr>
    </w:p>
    <w:p w14:paraId="165934E4" w14:textId="77777777" w:rsidR="006948E6" w:rsidRPr="006948E6" w:rsidRDefault="006948E6" w:rsidP="006948E6">
      <w:pPr>
        <w:rPr>
          <w:rFonts w:ascii="Calibri" w:eastAsia="Times New Roman" w:hAnsi="Calibri" w:cs="Calibri"/>
          <w:bCs/>
          <w:iCs/>
          <w:kern w:val="0"/>
          <w:sz w:val="24"/>
          <w:szCs w:val="24"/>
          <w14:ligatures w14:val="none"/>
        </w:rPr>
      </w:pPr>
      <w:r w:rsidRPr="006948E6">
        <w:rPr>
          <w:rFonts w:ascii="Calibri" w:eastAsia="Times New Roman" w:hAnsi="Calibri" w:cs="Calibri"/>
          <w:bCs/>
          <w:iCs/>
          <w:kern w:val="0"/>
          <w:sz w:val="24"/>
          <w:szCs w:val="24"/>
          <w14:ligatures w14:val="none"/>
        </w:rPr>
        <w:t>There were no closed observations in FY 2024.</w:t>
      </w:r>
    </w:p>
    <w:p w14:paraId="774ED15D" w14:textId="77777777" w:rsidR="006948E6" w:rsidRPr="006948E6" w:rsidRDefault="006948E6" w:rsidP="006948E6">
      <w:pPr>
        <w:rPr>
          <w:rFonts w:ascii="Calibri" w:eastAsia="Times New Roman" w:hAnsi="Calibri" w:cs="Calibri"/>
          <w:bCs/>
          <w:iCs/>
          <w:kern w:val="0"/>
          <w:sz w:val="24"/>
          <w:szCs w:val="24"/>
          <w14:ligatures w14:val="none"/>
        </w:rPr>
      </w:pPr>
    </w:p>
    <w:p w14:paraId="25C2C204" w14:textId="77777777" w:rsidR="006948E6" w:rsidRPr="006948E6" w:rsidRDefault="006948E6" w:rsidP="00986BE7">
      <w:pPr>
        <w:keepNext/>
        <w:keepLines/>
        <w:widowControl w:val="0"/>
        <w:autoSpaceDE w:val="0"/>
        <w:autoSpaceDN w:val="0"/>
        <w:adjustRightInd w:val="0"/>
        <w:spacing w:before="40"/>
        <w:outlineLvl w:val="3"/>
        <w:rPr>
          <w:rFonts w:ascii="Calibri" w:eastAsia="Times New Roman" w:hAnsi="Calibri" w:cs="Calibri"/>
          <w:b/>
          <w:iCs/>
          <w:kern w:val="0"/>
          <w:sz w:val="24"/>
          <w:szCs w:val="24"/>
          <w14:ligatures w14:val="none"/>
        </w:rPr>
      </w:pPr>
      <w:r w:rsidRPr="00986BE7">
        <w:rPr>
          <w:rFonts w:ascii="Calibri" w:eastAsia="MS Gothic" w:hAnsi="Calibri" w:cs="Times New Roman"/>
          <w:b/>
          <w:bCs/>
          <w:iCs/>
          <w:kern w:val="0"/>
          <w:sz w:val="24"/>
          <w:szCs w:val="24"/>
          <w14:ligatures w14:val="none"/>
        </w:rPr>
        <w:t>Continued</w:t>
      </w:r>
      <w:r w:rsidRPr="006948E6">
        <w:rPr>
          <w:rFonts w:ascii="Calibri" w:eastAsia="Times New Roman" w:hAnsi="Calibri" w:cs="Calibri"/>
          <w:b/>
          <w:iCs/>
          <w:kern w:val="0"/>
          <w:sz w:val="24"/>
          <w:szCs w:val="24"/>
          <w14:ligatures w14:val="none"/>
        </w:rPr>
        <w:t xml:space="preserve"> FY 2023 Observations</w:t>
      </w:r>
    </w:p>
    <w:p w14:paraId="3B99D637" w14:textId="77777777" w:rsidR="006948E6" w:rsidRPr="006948E6" w:rsidRDefault="006948E6" w:rsidP="006948E6">
      <w:pPr>
        <w:rPr>
          <w:rFonts w:ascii="Calibri" w:eastAsia="Times New Roman" w:hAnsi="Calibri" w:cs="Calibri"/>
          <w:b/>
          <w:bCs/>
          <w:iCs/>
          <w:kern w:val="0"/>
          <w:sz w:val="24"/>
          <w:szCs w:val="24"/>
          <w:highlight w:val="yellow"/>
          <w14:ligatures w14:val="none"/>
        </w:rPr>
      </w:pPr>
    </w:p>
    <w:p w14:paraId="17BBCFC1" w14:textId="6B40DCDC" w:rsidR="006948E6" w:rsidRPr="006948E6" w:rsidRDefault="006948E6" w:rsidP="006948E6">
      <w:pPr>
        <w:tabs>
          <w:tab w:val="left" w:pos="1890"/>
          <w:tab w:val="left" w:pos="2430"/>
        </w:tabs>
        <w:contextualSpacing/>
        <w:rPr>
          <w:rFonts w:ascii="Calibri" w:eastAsia="Times New Roman" w:hAnsi="Calibri" w:cs="Calibri"/>
          <w:iCs/>
          <w:kern w:val="0"/>
          <w:sz w:val="24"/>
          <w:szCs w:val="24"/>
          <w14:ligatures w14:val="none"/>
        </w:rPr>
      </w:pPr>
      <w:bookmarkStart w:id="26" w:name="_Hlk192064918"/>
      <w:r w:rsidRPr="006948E6">
        <w:rPr>
          <w:rFonts w:ascii="Calibri" w:eastAsia="Times New Roman" w:hAnsi="Calibri" w:cs="Calibri"/>
          <w:b/>
          <w:iCs/>
          <w:kern w:val="0"/>
          <w:sz w:val="24"/>
          <w:szCs w:val="24"/>
          <w14:ligatures w14:val="none"/>
        </w:rPr>
        <w:t>Observation FY 2023-OB-01</w:t>
      </w:r>
      <w:r w:rsidR="00EE54AB" w:rsidRPr="006948E6">
        <w:rPr>
          <w:rFonts w:ascii="Calibri" w:eastAsia="Times New Roman" w:hAnsi="Calibri" w:cs="Calibri"/>
          <w:b/>
          <w:iCs/>
          <w:kern w:val="0"/>
          <w:sz w:val="24"/>
          <w:szCs w:val="24"/>
          <w14:ligatures w14:val="none"/>
        </w:rPr>
        <w:t xml:space="preserve">: </w:t>
      </w:r>
      <w:r w:rsidR="00EE54AB" w:rsidRPr="002622AA">
        <w:rPr>
          <w:rFonts w:ascii="Calibri" w:eastAsia="Times New Roman" w:hAnsi="Calibri" w:cs="Calibri"/>
          <w:b/>
          <w:iCs/>
          <w:kern w:val="0"/>
          <w:sz w:val="24"/>
          <w:szCs w:val="24"/>
          <w14:ligatures w14:val="none"/>
        </w:rPr>
        <w:t>UPA</w:t>
      </w:r>
      <w:r w:rsidRPr="00E84F1F">
        <w:rPr>
          <w:rFonts w:ascii="Calibri" w:eastAsia="Times New Roman" w:hAnsi="Calibri" w:cs="Calibri"/>
          <w:b/>
          <w:iCs/>
          <w:kern w:val="0"/>
          <w:sz w:val="24"/>
          <w:szCs w:val="24"/>
          <w14:ligatures w14:val="none"/>
        </w:rPr>
        <w:t xml:space="preserve"> Coding</w:t>
      </w:r>
      <w:r w:rsidRPr="006948E6">
        <w:rPr>
          <w:rFonts w:ascii="Calibri" w:eastAsia="Times New Roman" w:hAnsi="Calibri" w:cs="Calibri"/>
          <w:iCs/>
          <w:kern w:val="0"/>
          <w:sz w:val="24"/>
          <w:szCs w:val="24"/>
          <w14:ligatures w14:val="none"/>
        </w:rPr>
        <w:t xml:space="preserve"> </w:t>
      </w:r>
    </w:p>
    <w:p w14:paraId="1B1DD570" w14:textId="77777777" w:rsidR="006948E6" w:rsidRPr="006948E6" w:rsidRDefault="006948E6" w:rsidP="006948E6">
      <w:pPr>
        <w:tabs>
          <w:tab w:val="left" w:pos="1890"/>
          <w:tab w:val="left" w:pos="2430"/>
        </w:tabs>
        <w:contextualSpacing/>
        <w:rPr>
          <w:rFonts w:ascii="Calibri" w:eastAsia="Times New Roman" w:hAnsi="Calibri" w:cs="Calibri"/>
          <w:b/>
          <w:iCs/>
          <w:kern w:val="0"/>
          <w:sz w:val="24"/>
          <w:szCs w:val="24"/>
          <w14:ligatures w14:val="none"/>
        </w:rPr>
      </w:pPr>
      <w:r w:rsidRPr="006948E6">
        <w:rPr>
          <w:rFonts w:ascii="Calibri" w:eastAsia="Times New Roman" w:hAnsi="Calibri" w:cs="Calibri"/>
          <w:iCs/>
          <w:kern w:val="0"/>
          <w:sz w:val="24"/>
          <w:szCs w:val="24"/>
          <w14:ligatures w14:val="none"/>
        </w:rPr>
        <w:t>In four of the 50 (8%) programmed inspections reviewed, it was determined that the inspections were not initiated in response to a complaint or referral and were not coded as UPA.</w:t>
      </w:r>
    </w:p>
    <w:bookmarkEnd w:id="26"/>
    <w:p w14:paraId="6291F79C" w14:textId="77777777" w:rsidR="006948E6" w:rsidRPr="006948E6" w:rsidRDefault="006948E6" w:rsidP="006948E6">
      <w:pPr>
        <w:tabs>
          <w:tab w:val="left" w:pos="1890"/>
          <w:tab w:val="left" w:pos="2430"/>
        </w:tabs>
        <w:contextualSpacing/>
        <w:rPr>
          <w:rFonts w:ascii="Calibri" w:eastAsia="Times New Roman" w:hAnsi="Calibri" w:cs="Calibri"/>
          <w:b/>
          <w:iCs/>
          <w:kern w:val="0"/>
          <w:sz w:val="24"/>
          <w:szCs w:val="24"/>
          <w:highlight w:val="yellow"/>
          <w:u w:val="single"/>
          <w14:ligatures w14:val="none"/>
        </w:rPr>
      </w:pPr>
    </w:p>
    <w:p w14:paraId="14D51848" w14:textId="2B5B5783" w:rsidR="006948E6" w:rsidRPr="006948E6" w:rsidRDefault="006948E6" w:rsidP="006948E6">
      <w:pPr>
        <w:tabs>
          <w:tab w:val="left" w:pos="1890"/>
          <w:tab w:val="left" w:pos="2430"/>
        </w:tabs>
        <w:contextualSpacing/>
        <w:rPr>
          <w:rFonts w:ascii="Calibri" w:eastAsia="Times New Roman" w:hAnsi="Calibri" w:cs="Calibri"/>
          <w:b/>
          <w:iCs/>
          <w:kern w:val="0"/>
          <w:sz w:val="24"/>
          <w:szCs w:val="24"/>
          <w14:ligatures w14:val="none"/>
        </w:rPr>
      </w:pPr>
      <w:bookmarkStart w:id="27" w:name="_Hlk192064955"/>
      <w:r w:rsidRPr="006948E6">
        <w:rPr>
          <w:rFonts w:ascii="Calibri" w:eastAsia="Times New Roman" w:hAnsi="Calibri" w:cs="Calibri"/>
          <w:b/>
          <w:iCs/>
          <w:kern w:val="0"/>
          <w:sz w:val="24"/>
          <w:szCs w:val="24"/>
          <w14:ligatures w14:val="none"/>
        </w:rPr>
        <w:t xml:space="preserve">Status:  </w:t>
      </w:r>
      <w:r w:rsidRPr="006948E6">
        <w:rPr>
          <w:rFonts w:ascii="Calibri" w:eastAsia="Times New Roman" w:hAnsi="Calibri" w:cs="Calibri"/>
          <w:iCs/>
          <w:kern w:val="0"/>
          <w:sz w:val="24"/>
          <w:szCs w:val="24"/>
          <w14:ligatures w14:val="none"/>
        </w:rPr>
        <w:t xml:space="preserve">A review of Serious Event Reports and complaints is needed to determine how often complaints and referral related inspections are coded as programmed and if coding inconsistencies have any impact to the VOSH Program.  </w:t>
      </w:r>
      <w:bookmarkStart w:id="28" w:name="_Hlk192148484"/>
      <w:r w:rsidRPr="006948E6">
        <w:rPr>
          <w:rFonts w:ascii="Calibri" w:eastAsia="Times New Roman" w:hAnsi="Calibri" w:cs="Calibri"/>
          <w:iCs/>
          <w:kern w:val="0"/>
          <w:sz w:val="24"/>
          <w:szCs w:val="24"/>
          <w14:ligatures w14:val="none"/>
        </w:rPr>
        <w:t xml:space="preserve">A case file review is necessary to gather the facts needed to evaluate performance in relation to this observation.  This observation will be a focus of the FY 2025 comprehensive FAME.  This observation </w:t>
      </w:r>
      <w:r w:rsidR="002E4A1A">
        <w:rPr>
          <w:rFonts w:ascii="Calibri" w:eastAsia="Times New Roman" w:hAnsi="Calibri" w:cs="Calibri"/>
          <w:iCs/>
          <w:kern w:val="0"/>
          <w:sz w:val="24"/>
          <w:szCs w:val="24"/>
          <w14:ligatures w14:val="none"/>
        </w:rPr>
        <w:t>is</w:t>
      </w:r>
      <w:r w:rsidRPr="006948E6">
        <w:rPr>
          <w:rFonts w:ascii="Calibri" w:eastAsia="Times New Roman" w:hAnsi="Calibri" w:cs="Calibri"/>
          <w:iCs/>
          <w:kern w:val="0"/>
          <w:sz w:val="24"/>
          <w:szCs w:val="24"/>
          <w14:ligatures w14:val="none"/>
        </w:rPr>
        <w:t xml:space="preserve"> continued.</w:t>
      </w:r>
    </w:p>
    <w:bookmarkEnd w:id="27"/>
    <w:bookmarkEnd w:id="28"/>
    <w:p w14:paraId="4E113841" w14:textId="77777777" w:rsidR="006948E6" w:rsidRPr="006948E6" w:rsidRDefault="006948E6" w:rsidP="006948E6">
      <w:pPr>
        <w:rPr>
          <w:rFonts w:ascii="Calibri" w:eastAsia="Times New Roman" w:hAnsi="Calibri" w:cs="Calibri"/>
          <w:bCs/>
          <w:iCs/>
          <w:kern w:val="0"/>
          <w:sz w:val="24"/>
          <w:szCs w:val="24"/>
          <w14:ligatures w14:val="none"/>
        </w:rPr>
      </w:pPr>
    </w:p>
    <w:p w14:paraId="05A7F500" w14:textId="13F48683" w:rsidR="006948E6" w:rsidRPr="006948E6" w:rsidRDefault="006948E6" w:rsidP="006948E6">
      <w:pPr>
        <w:tabs>
          <w:tab w:val="left" w:pos="1890"/>
          <w:tab w:val="left" w:pos="2430"/>
        </w:tabs>
        <w:contextualSpacing/>
        <w:rPr>
          <w:rFonts w:ascii="Calibri" w:eastAsia="Times New Roman" w:hAnsi="Calibri" w:cs="Calibri"/>
          <w:bCs/>
          <w:iCs/>
          <w:kern w:val="0"/>
          <w:sz w:val="24"/>
          <w:szCs w:val="24"/>
          <w14:ligatures w14:val="none"/>
        </w:rPr>
      </w:pPr>
      <w:bookmarkStart w:id="29" w:name="_Hlk192065028"/>
      <w:r w:rsidRPr="006948E6">
        <w:rPr>
          <w:rFonts w:ascii="Calibri" w:eastAsia="Times New Roman" w:hAnsi="Calibri" w:cs="Calibri"/>
          <w:b/>
          <w:iCs/>
          <w:kern w:val="0"/>
          <w:sz w:val="24"/>
          <w:szCs w:val="24"/>
          <w14:ligatures w14:val="none"/>
        </w:rPr>
        <w:t xml:space="preserve">Observation FY 2023-OB-02: </w:t>
      </w:r>
      <w:r w:rsidRPr="00E84F1F">
        <w:rPr>
          <w:rFonts w:ascii="Calibri" w:eastAsia="Times New Roman" w:hAnsi="Calibri" w:cs="Calibri"/>
          <w:b/>
          <w:iCs/>
          <w:kern w:val="0"/>
          <w:sz w:val="24"/>
          <w:szCs w:val="24"/>
          <w14:ligatures w14:val="none"/>
        </w:rPr>
        <w:t>Prima Facie Case File Documentation</w:t>
      </w:r>
    </w:p>
    <w:bookmarkEnd w:id="29"/>
    <w:p w14:paraId="176EBD3F" w14:textId="196DF5B0" w:rsidR="006948E6" w:rsidRPr="006948E6" w:rsidRDefault="006948E6" w:rsidP="006948E6">
      <w:pPr>
        <w:tabs>
          <w:tab w:val="left" w:pos="1890"/>
          <w:tab w:val="left" w:pos="2430"/>
        </w:tabs>
        <w:contextualSpacing/>
        <w:rPr>
          <w:rFonts w:ascii="Calibri" w:eastAsia="Times New Roman" w:hAnsi="Calibri" w:cs="Calibri"/>
          <w:iCs/>
          <w:kern w:val="0"/>
          <w:sz w:val="24"/>
          <w:szCs w:val="24"/>
          <w14:ligatures w14:val="none"/>
        </w:rPr>
      </w:pPr>
      <w:r w:rsidRPr="006948E6">
        <w:rPr>
          <w:rFonts w:ascii="Calibri" w:eastAsia="Times New Roman" w:hAnsi="Calibri" w:cs="Calibri"/>
          <w:iCs/>
          <w:kern w:val="0"/>
          <w:sz w:val="24"/>
          <w:szCs w:val="24"/>
          <w14:ligatures w14:val="none"/>
        </w:rPr>
        <w:t>In two of seven (29%) fatality cases with violations, a hazard worksheet identifying the prima facie elements was not completed.</w:t>
      </w:r>
    </w:p>
    <w:p w14:paraId="0E5ECEDD" w14:textId="77777777" w:rsidR="006948E6" w:rsidRPr="006948E6" w:rsidRDefault="006948E6" w:rsidP="006948E6">
      <w:pPr>
        <w:tabs>
          <w:tab w:val="left" w:pos="1890"/>
          <w:tab w:val="left" w:pos="2430"/>
        </w:tabs>
        <w:contextualSpacing/>
        <w:rPr>
          <w:rFonts w:ascii="Calibri" w:eastAsia="Times New Roman" w:hAnsi="Calibri" w:cs="Calibri"/>
          <w:b/>
          <w:iCs/>
          <w:kern w:val="0"/>
          <w:sz w:val="24"/>
          <w:szCs w:val="24"/>
          <w:highlight w:val="yellow"/>
          <w:u w:val="single"/>
          <w14:ligatures w14:val="none"/>
        </w:rPr>
      </w:pPr>
    </w:p>
    <w:p w14:paraId="6632B7DE" w14:textId="41828F15" w:rsidR="006948E6" w:rsidRPr="006948E6" w:rsidRDefault="006948E6" w:rsidP="006948E6">
      <w:pPr>
        <w:rPr>
          <w:rFonts w:ascii="Calibri" w:eastAsia="Times New Roman" w:hAnsi="Calibri" w:cs="Calibri"/>
          <w:b/>
          <w:iCs/>
          <w:kern w:val="0"/>
          <w:sz w:val="24"/>
          <w:szCs w:val="24"/>
          <w14:ligatures w14:val="none"/>
        </w:rPr>
      </w:pPr>
      <w:bookmarkStart w:id="30" w:name="_Hlk192065048"/>
      <w:r w:rsidRPr="006948E6">
        <w:rPr>
          <w:rFonts w:ascii="Calibri" w:eastAsia="Times New Roman" w:hAnsi="Calibri" w:cs="Calibri"/>
          <w:b/>
          <w:iCs/>
          <w:kern w:val="0"/>
          <w:sz w:val="24"/>
          <w:szCs w:val="24"/>
          <w14:ligatures w14:val="none"/>
        </w:rPr>
        <w:t xml:space="preserve">Status: </w:t>
      </w:r>
      <w:r w:rsidRPr="006948E6">
        <w:rPr>
          <w:rFonts w:ascii="Calibri" w:eastAsia="Times New Roman" w:hAnsi="Calibri" w:cs="Calibri"/>
          <w:iCs/>
          <w:kern w:val="0"/>
          <w:sz w:val="24"/>
          <w:szCs w:val="24"/>
          <w14:ligatures w14:val="none"/>
        </w:rPr>
        <w:t xml:space="preserve">A review of fatality cases issued with violations is needed to determine if VOSH is consistently identifying the prima facie elements in the hazard worksheets. </w:t>
      </w:r>
      <w:r w:rsidRPr="006948E6">
        <w:rPr>
          <w:rFonts w:ascii="Calibri" w:eastAsia="Times New Roman" w:hAnsi="Calibri" w:cs="Calibri"/>
          <w:b/>
          <w:iCs/>
          <w:kern w:val="0"/>
          <w:sz w:val="24"/>
          <w:szCs w:val="24"/>
          <w14:ligatures w14:val="none"/>
        </w:rPr>
        <w:t xml:space="preserve"> </w:t>
      </w:r>
      <w:bookmarkEnd w:id="30"/>
      <w:r w:rsidRPr="006948E6">
        <w:rPr>
          <w:rFonts w:ascii="Calibri" w:eastAsia="Times New Roman" w:hAnsi="Calibri" w:cs="Calibri"/>
          <w:iCs/>
          <w:kern w:val="0"/>
          <w:sz w:val="24"/>
          <w:szCs w:val="24"/>
          <w14:ligatures w14:val="none"/>
        </w:rPr>
        <w:t xml:space="preserve">A case file review is necessary to gather the facts needed to evaluate performance in relation to this observation. This observation will be a focus of the FY 2025 comprehensive FAME.  This observation </w:t>
      </w:r>
      <w:r w:rsidR="002E4A1A">
        <w:rPr>
          <w:rFonts w:ascii="Calibri" w:eastAsia="Times New Roman" w:hAnsi="Calibri" w:cs="Calibri"/>
          <w:iCs/>
          <w:kern w:val="0"/>
          <w:sz w:val="24"/>
          <w:szCs w:val="24"/>
          <w14:ligatures w14:val="none"/>
        </w:rPr>
        <w:t>is</w:t>
      </w:r>
      <w:r w:rsidRPr="006948E6">
        <w:rPr>
          <w:rFonts w:ascii="Calibri" w:eastAsia="Times New Roman" w:hAnsi="Calibri" w:cs="Calibri"/>
          <w:iCs/>
          <w:kern w:val="0"/>
          <w:sz w:val="24"/>
          <w:szCs w:val="24"/>
          <w14:ligatures w14:val="none"/>
        </w:rPr>
        <w:t xml:space="preserve"> continued.</w:t>
      </w:r>
    </w:p>
    <w:p w14:paraId="42C4B9B5" w14:textId="77777777" w:rsidR="006948E6" w:rsidRPr="006948E6" w:rsidRDefault="006948E6" w:rsidP="006948E6">
      <w:pPr>
        <w:rPr>
          <w:rFonts w:ascii="Calibri" w:eastAsia="Times New Roman" w:hAnsi="Calibri" w:cs="Calibri"/>
          <w:b/>
          <w:iCs/>
          <w:kern w:val="0"/>
          <w:sz w:val="24"/>
          <w:szCs w:val="24"/>
          <w:highlight w:val="yellow"/>
          <w:u w:val="single"/>
          <w14:ligatures w14:val="none"/>
        </w:rPr>
      </w:pPr>
    </w:p>
    <w:p w14:paraId="10152A7A" w14:textId="70BAEFD9" w:rsidR="006948E6" w:rsidRPr="00E84F1F" w:rsidRDefault="006948E6" w:rsidP="006948E6">
      <w:pPr>
        <w:rPr>
          <w:rFonts w:ascii="Calibri" w:eastAsia="Times New Roman" w:hAnsi="Calibri" w:cs="Calibri"/>
          <w:b/>
          <w:bCs/>
          <w:iCs/>
          <w:kern w:val="0"/>
          <w:sz w:val="24"/>
          <w:szCs w:val="24"/>
          <w14:ligatures w14:val="none"/>
        </w:rPr>
      </w:pPr>
      <w:r w:rsidRPr="006948E6">
        <w:rPr>
          <w:rFonts w:ascii="Calibri" w:eastAsia="Times New Roman" w:hAnsi="Calibri" w:cs="Calibri"/>
          <w:b/>
          <w:bCs/>
          <w:iCs/>
          <w:kern w:val="0"/>
          <w:sz w:val="24"/>
          <w:szCs w:val="24"/>
          <w14:ligatures w14:val="none"/>
        </w:rPr>
        <w:t xml:space="preserve">Observation FY 2023-OB-03: </w:t>
      </w:r>
      <w:r w:rsidRPr="00E84F1F">
        <w:rPr>
          <w:rFonts w:ascii="Calibri" w:eastAsia="Times New Roman" w:hAnsi="Calibri" w:cs="Calibri"/>
          <w:b/>
          <w:bCs/>
          <w:iCs/>
          <w:kern w:val="0"/>
          <w:sz w:val="24"/>
          <w:szCs w:val="24"/>
          <w14:ligatures w14:val="none"/>
        </w:rPr>
        <w:t>Whistleblower Complaint Screening</w:t>
      </w:r>
    </w:p>
    <w:p w14:paraId="170B3602" w14:textId="149F0A2E" w:rsidR="006948E6" w:rsidRPr="006948E6" w:rsidRDefault="006948E6" w:rsidP="006948E6">
      <w:pPr>
        <w:rPr>
          <w:rFonts w:ascii="Calibri" w:eastAsia="Times New Roman" w:hAnsi="Calibri" w:cs="Calibri"/>
          <w:iCs/>
          <w:kern w:val="0"/>
          <w:sz w:val="24"/>
          <w:szCs w:val="24"/>
          <w14:ligatures w14:val="none"/>
        </w:rPr>
      </w:pPr>
      <w:r w:rsidRPr="006948E6">
        <w:rPr>
          <w:rFonts w:ascii="Calibri" w:eastAsia="Times New Roman" w:hAnsi="Calibri" w:cs="Calibri"/>
          <w:iCs/>
          <w:kern w:val="0"/>
          <w:sz w:val="24"/>
          <w:szCs w:val="24"/>
          <w14:ligatures w14:val="none"/>
        </w:rPr>
        <w:t xml:space="preserve">VOSH </w:t>
      </w:r>
      <w:r w:rsidR="00A21E8C" w:rsidRPr="006948E6">
        <w:rPr>
          <w:rFonts w:ascii="Calibri" w:eastAsia="Times New Roman" w:hAnsi="Calibri" w:cs="Calibri"/>
          <w:iCs/>
          <w:kern w:val="0"/>
          <w:sz w:val="24"/>
          <w:szCs w:val="24"/>
          <w14:ligatures w14:val="none"/>
        </w:rPr>
        <w:t xml:space="preserve">administratively </w:t>
      </w:r>
      <w:r w:rsidRPr="006948E6">
        <w:rPr>
          <w:rFonts w:ascii="Calibri" w:eastAsia="Times New Roman" w:hAnsi="Calibri" w:cs="Calibri"/>
          <w:iCs/>
          <w:kern w:val="0"/>
          <w:sz w:val="24"/>
          <w:szCs w:val="24"/>
          <w14:ligatures w14:val="none"/>
        </w:rPr>
        <w:t>closed nine of 30 (30</w:t>
      </w:r>
      <w:r w:rsidR="00986BE7" w:rsidRPr="006948E6">
        <w:rPr>
          <w:rFonts w:ascii="Calibri" w:eastAsia="Times New Roman" w:hAnsi="Calibri" w:cs="Calibri"/>
          <w:iCs/>
          <w:kern w:val="0"/>
          <w:sz w:val="24"/>
          <w:szCs w:val="24"/>
          <w14:ligatures w14:val="none"/>
        </w:rPr>
        <w:t>%) whistleblower</w:t>
      </w:r>
      <w:r w:rsidRPr="006948E6">
        <w:rPr>
          <w:rFonts w:ascii="Calibri" w:eastAsia="Times New Roman" w:hAnsi="Calibri" w:cs="Calibri"/>
          <w:iCs/>
          <w:kern w:val="0"/>
          <w:sz w:val="24"/>
          <w:szCs w:val="24"/>
          <w14:ligatures w14:val="none"/>
        </w:rPr>
        <w:t xml:space="preserve"> cases for lack of cooperation for not completing the required questionnaire and providing evidence within 10 days. </w:t>
      </w:r>
    </w:p>
    <w:p w14:paraId="24239A3C" w14:textId="77777777" w:rsidR="006948E6" w:rsidRPr="006948E6" w:rsidRDefault="006948E6" w:rsidP="006948E6">
      <w:pPr>
        <w:rPr>
          <w:rFonts w:ascii="Calibri" w:eastAsia="Times New Roman" w:hAnsi="Calibri" w:cs="Calibri"/>
          <w:b/>
          <w:bCs/>
          <w:iCs/>
          <w:kern w:val="0"/>
          <w:sz w:val="24"/>
          <w:szCs w:val="24"/>
          <w14:ligatures w14:val="none"/>
        </w:rPr>
      </w:pPr>
    </w:p>
    <w:p w14:paraId="04E0A96C" w14:textId="4E905A0F" w:rsidR="006948E6" w:rsidRPr="006948E6" w:rsidRDefault="006948E6" w:rsidP="006948E6">
      <w:pPr>
        <w:rPr>
          <w:rFonts w:ascii="Calibri" w:eastAsia="Times New Roman" w:hAnsi="Calibri" w:cs="Calibri"/>
          <w:b/>
          <w:iCs/>
          <w:kern w:val="0"/>
          <w:sz w:val="24"/>
          <w:szCs w:val="24"/>
          <w14:ligatures w14:val="none"/>
        </w:rPr>
      </w:pPr>
      <w:r w:rsidRPr="006948E6">
        <w:rPr>
          <w:rFonts w:ascii="Calibri" w:eastAsia="Times New Roman" w:hAnsi="Calibri" w:cs="Calibri"/>
          <w:b/>
          <w:bCs/>
          <w:iCs/>
          <w:kern w:val="0"/>
          <w:sz w:val="24"/>
          <w:szCs w:val="24"/>
          <w14:ligatures w14:val="none"/>
        </w:rPr>
        <w:t xml:space="preserve">Status: </w:t>
      </w:r>
      <w:r w:rsidRPr="006948E6">
        <w:rPr>
          <w:rFonts w:ascii="Calibri" w:eastAsia="Times New Roman" w:hAnsi="Calibri" w:cs="Calibri"/>
          <w:iCs/>
          <w:kern w:val="0"/>
          <w:sz w:val="24"/>
          <w:szCs w:val="24"/>
          <w14:ligatures w14:val="none"/>
        </w:rPr>
        <w:t xml:space="preserve">OSHA will discuss the importance of conducting verbal screening interviews and continue to evaluate the effect of using only a screening form and continue to evaluate administratively closed files.  A case file review is necessary to gather the facts needed to evaluate performance in relation to this observation.  This observation will be a focus of the FY 2025 comprehensive FAME.  This observation </w:t>
      </w:r>
      <w:r w:rsidR="002E4A1A">
        <w:rPr>
          <w:rFonts w:ascii="Calibri" w:eastAsia="Times New Roman" w:hAnsi="Calibri" w:cs="Calibri"/>
          <w:iCs/>
          <w:kern w:val="0"/>
          <w:sz w:val="24"/>
          <w:szCs w:val="24"/>
          <w14:ligatures w14:val="none"/>
        </w:rPr>
        <w:t xml:space="preserve">is </w:t>
      </w:r>
      <w:r w:rsidRPr="006948E6">
        <w:rPr>
          <w:rFonts w:ascii="Calibri" w:eastAsia="Times New Roman" w:hAnsi="Calibri" w:cs="Calibri"/>
          <w:iCs/>
          <w:kern w:val="0"/>
          <w:sz w:val="24"/>
          <w:szCs w:val="24"/>
          <w14:ligatures w14:val="none"/>
        </w:rPr>
        <w:t>continued.</w:t>
      </w:r>
    </w:p>
    <w:p w14:paraId="39D03B7F" w14:textId="77777777" w:rsidR="006948E6" w:rsidRPr="006948E6" w:rsidRDefault="006948E6" w:rsidP="006948E6">
      <w:pPr>
        <w:rPr>
          <w:rFonts w:ascii="Calibri" w:eastAsia="Times New Roman" w:hAnsi="Calibri" w:cs="Calibri"/>
          <w:iCs/>
          <w:kern w:val="0"/>
          <w:sz w:val="24"/>
          <w:szCs w:val="24"/>
          <w14:ligatures w14:val="none"/>
        </w:rPr>
      </w:pPr>
    </w:p>
    <w:p w14:paraId="048757E0" w14:textId="77777777" w:rsidR="006948E6" w:rsidRPr="006948E6" w:rsidRDefault="006948E6" w:rsidP="006948E6">
      <w:pPr>
        <w:rPr>
          <w:rFonts w:ascii="Calibri" w:eastAsia="Times New Roman" w:hAnsi="Calibri" w:cs="Calibri"/>
          <w:b/>
          <w:bCs/>
          <w:iCs/>
          <w:kern w:val="0"/>
          <w:sz w:val="24"/>
          <w:szCs w:val="24"/>
          <w14:ligatures w14:val="none"/>
        </w:rPr>
      </w:pPr>
      <w:r w:rsidRPr="006948E6">
        <w:rPr>
          <w:rFonts w:ascii="Calibri" w:eastAsia="Times New Roman" w:hAnsi="Calibri" w:cs="Calibri"/>
          <w:b/>
          <w:bCs/>
          <w:iCs/>
          <w:kern w:val="0"/>
          <w:sz w:val="24"/>
          <w:szCs w:val="24"/>
          <w14:ligatures w14:val="none"/>
        </w:rPr>
        <w:t>New FY 2024 Observations</w:t>
      </w:r>
    </w:p>
    <w:p w14:paraId="5742CC98" w14:textId="77777777" w:rsidR="006948E6" w:rsidRPr="006948E6" w:rsidRDefault="006948E6" w:rsidP="006948E6">
      <w:pPr>
        <w:rPr>
          <w:rFonts w:ascii="Calibri" w:eastAsia="Times New Roman" w:hAnsi="Calibri" w:cs="Calibri"/>
          <w:iCs/>
          <w:kern w:val="0"/>
          <w:sz w:val="24"/>
          <w:szCs w:val="24"/>
          <w:highlight w:val="yellow"/>
          <w:u w:val="single"/>
          <w14:ligatures w14:val="none"/>
        </w:rPr>
      </w:pPr>
    </w:p>
    <w:p w14:paraId="38AFC11B" w14:textId="77777777" w:rsidR="006948E6" w:rsidRPr="006948E6" w:rsidRDefault="006948E6" w:rsidP="006948E6">
      <w:pPr>
        <w:widowControl w:val="0"/>
        <w:autoSpaceDE w:val="0"/>
        <w:autoSpaceDN w:val="0"/>
        <w:adjustRightInd w:val="0"/>
        <w:rPr>
          <w:rFonts w:ascii="Calibri" w:eastAsia="Times New Roman" w:hAnsi="Calibri" w:cs="Times New Roman"/>
          <w:iCs/>
          <w:kern w:val="0"/>
          <w:sz w:val="24"/>
          <w:szCs w:val="24"/>
          <w14:ligatures w14:val="none"/>
        </w:rPr>
      </w:pPr>
      <w:r w:rsidRPr="006948E6">
        <w:rPr>
          <w:rFonts w:ascii="Calibri" w:eastAsia="Times New Roman" w:hAnsi="Calibri" w:cs="Times New Roman"/>
          <w:iCs/>
          <w:kern w:val="0"/>
          <w:sz w:val="24"/>
          <w:szCs w:val="24"/>
          <w14:ligatures w14:val="none"/>
        </w:rPr>
        <w:t>There were no new observations identified in FY 2024.</w:t>
      </w:r>
    </w:p>
    <w:p w14:paraId="498FF323" w14:textId="77777777" w:rsidR="006948E6" w:rsidRDefault="006948E6" w:rsidP="006948E6">
      <w:pPr>
        <w:rPr>
          <w:rFonts w:ascii="Calibri" w:eastAsia="Times New Roman" w:hAnsi="Calibri" w:cs="Calibri"/>
          <w:iCs/>
          <w:kern w:val="0"/>
          <w:sz w:val="24"/>
          <w:szCs w:val="24"/>
          <w:highlight w:val="yellow"/>
          <w:u w:val="single"/>
          <w14:ligatures w14:val="none"/>
        </w:rPr>
      </w:pPr>
    </w:p>
    <w:p w14:paraId="74CC174B" w14:textId="77777777" w:rsidR="0049039B" w:rsidRPr="006948E6" w:rsidRDefault="0049039B" w:rsidP="006948E6">
      <w:pPr>
        <w:rPr>
          <w:rFonts w:ascii="Calibri" w:eastAsia="Times New Roman" w:hAnsi="Calibri" w:cs="Calibri"/>
          <w:iCs/>
          <w:kern w:val="0"/>
          <w:sz w:val="24"/>
          <w:szCs w:val="24"/>
          <w:highlight w:val="yellow"/>
          <w:u w:val="single"/>
          <w14:ligatures w14:val="none"/>
        </w:rPr>
      </w:pPr>
    </w:p>
    <w:p w14:paraId="326F66C0" w14:textId="3F237831" w:rsidR="006948E6" w:rsidRPr="0087265E" w:rsidRDefault="006948E6" w:rsidP="0087265E">
      <w:pPr>
        <w:pStyle w:val="ListParagraph"/>
        <w:keepNext/>
        <w:keepLines/>
        <w:widowControl w:val="0"/>
        <w:numPr>
          <w:ilvl w:val="0"/>
          <w:numId w:val="4"/>
        </w:numPr>
        <w:autoSpaceDE w:val="0"/>
        <w:autoSpaceDN w:val="0"/>
        <w:adjustRightInd w:val="0"/>
        <w:spacing w:before="120"/>
        <w:ind w:left="90" w:firstLine="180"/>
        <w:outlineLvl w:val="2"/>
        <w:rPr>
          <w:rFonts w:ascii="Calibri" w:eastAsia="Times New Roman" w:hAnsi="Calibri" w:cs="Calibri"/>
          <w:b/>
          <w:bCs/>
          <w:iCs/>
          <w:kern w:val="0"/>
          <w:sz w:val="28"/>
          <w:szCs w:val="28"/>
          <w14:ligatures w14:val="none"/>
        </w:rPr>
      </w:pPr>
      <w:bookmarkStart w:id="31" w:name="_Toc118900177"/>
      <w:bookmarkStart w:id="32" w:name="_Toc118905016"/>
      <w:bookmarkStart w:id="33" w:name="_Toc119418668"/>
      <w:r w:rsidRPr="0087265E">
        <w:rPr>
          <w:rFonts w:ascii="Calibri" w:eastAsia="Times New Roman" w:hAnsi="Calibri" w:cs="Calibri"/>
          <w:b/>
          <w:bCs/>
          <w:iCs/>
          <w:kern w:val="0"/>
          <w:sz w:val="28"/>
          <w:szCs w:val="28"/>
          <w14:ligatures w14:val="none"/>
        </w:rPr>
        <w:lastRenderedPageBreak/>
        <w:t>State Activity Mandated Measures (SAMM) Highlights</w:t>
      </w:r>
      <w:bookmarkEnd w:id="31"/>
      <w:bookmarkEnd w:id="32"/>
      <w:bookmarkEnd w:id="33"/>
    </w:p>
    <w:p w14:paraId="76C58FD7" w14:textId="77777777" w:rsidR="006948E6" w:rsidRPr="006948E6" w:rsidRDefault="006948E6" w:rsidP="006948E6">
      <w:pPr>
        <w:ind w:left="720"/>
        <w:contextualSpacing/>
        <w:rPr>
          <w:rFonts w:ascii="Calibri" w:eastAsia="Times New Roman" w:hAnsi="Calibri" w:cs="Calibri"/>
          <w:iCs/>
          <w:kern w:val="0"/>
          <w:sz w:val="28"/>
          <w:szCs w:val="28"/>
          <w14:ligatures w14:val="none"/>
        </w:rPr>
      </w:pPr>
    </w:p>
    <w:p w14:paraId="142C1EDF" w14:textId="77777777" w:rsidR="006948E6" w:rsidRPr="006948E6" w:rsidRDefault="006948E6" w:rsidP="006948E6">
      <w:pPr>
        <w:autoSpaceDN w:val="0"/>
        <w:rPr>
          <w:rFonts w:ascii="Calibri" w:eastAsia="Times New Roman" w:hAnsi="Calibri" w:cs="Calibri"/>
          <w:iCs/>
          <w:kern w:val="0"/>
          <w:sz w:val="24"/>
          <w:szCs w:val="24"/>
          <w14:ligatures w14:val="none"/>
        </w:rPr>
      </w:pPr>
      <w:r w:rsidRPr="006948E6">
        <w:rPr>
          <w:rFonts w:ascii="Calibri" w:eastAsia="Times New Roman" w:hAnsi="Calibri" w:cs="Calibri"/>
          <w:iCs/>
          <w:kern w:val="0"/>
          <w:sz w:val="24"/>
          <w:szCs w:val="24"/>
          <w14:ligatures w14:val="none"/>
        </w:rPr>
        <w:t xml:space="preserve">Each SAMM has an agreed upon FRL which can be either a single number, or a range of numbers above and below the national average.  State Plan SAMM data that falls outside the FRL triggers a closer look at the underlying performance of the mandatory activity.  Appendix D presents the State Plan’s FY 2024 State Activity Mandated Measures (SAMM) Report and includes the FRLs for each measure. </w:t>
      </w:r>
    </w:p>
    <w:p w14:paraId="7BA91CE9" w14:textId="77777777" w:rsidR="006948E6" w:rsidRPr="006948E6" w:rsidRDefault="006948E6" w:rsidP="006948E6">
      <w:pPr>
        <w:autoSpaceDN w:val="0"/>
        <w:rPr>
          <w:rFonts w:ascii="Calibri" w:eastAsia="Times New Roman" w:hAnsi="Calibri" w:cs="Calibri"/>
          <w:iCs/>
          <w:kern w:val="0"/>
          <w:sz w:val="24"/>
          <w:szCs w:val="24"/>
          <w14:ligatures w14:val="none"/>
        </w:rPr>
      </w:pPr>
    </w:p>
    <w:p w14:paraId="21C716ED" w14:textId="66C3ECAD" w:rsidR="006948E6" w:rsidRPr="006948E6" w:rsidRDefault="006948E6" w:rsidP="006948E6">
      <w:pPr>
        <w:autoSpaceDN w:val="0"/>
        <w:rPr>
          <w:rFonts w:ascii="Calibri" w:eastAsia="Times New Roman" w:hAnsi="Calibri" w:cs="Calibri"/>
          <w:iCs/>
          <w:kern w:val="0"/>
          <w:sz w:val="24"/>
          <w:szCs w:val="24"/>
          <w14:ligatures w14:val="none"/>
        </w:rPr>
      </w:pPr>
      <w:bookmarkStart w:id="34" w:name="_Hlk192831448"/>
      <w:r w:rsidRPr="006948E6">
        <w:rPr>
          <w:rFonts w:ascii="Calibri" w:eastAsia="Times New Roman" w:hAnsi="Calibri" w:cs="Calibri"/>
          <w:iCs/>
          <w:kern w:val="0"/>
          <w:sz w:val="24"/>
          <w:szCs w:val="24"/>
          <w14:ligatures w14:val="none"/>
        </w:rPr>
        <w:t xml:space="preserve">The </w:t>
      </w:r>
      <w:r w:rsidR="00EE54AB">
        <w:rPr>
          <w:rFonts w:ascii="Calibri" w:eastAsia="Times New Roman" w:hAnsi="Calibri" w:cs="Calibri"/>
          <w:iCs/>
          <w:kern w:val="0"/>
          <w:sz w:val="24"/>
          <w:szCs w:val="24"/>
          <w14:ligatures w14:val="none"/>
        </w:rPr>
        <w:t>w</w:t>
      </w:r>
      <w:r w:rsidRPr="006948E6">
        <w:rPr>
          <w:rFonts w:ascii="Calibri" w:eastAsia="Times New Roman" w:hAnsi="Calibri" w:cs="Calibri"/>
          <w:iCs/>
          <w:kern w:val="0"/>
          <w:sz w:val="24"/>
          <w:szCs w:val="24"/>
          <w14:ligatures w14:val="none"/>
        </w:rPr>
        <w:t>histleblower</w:t>
      </w:r>
      <w:r w:rsidR="00353F4D">
        <w:rPr>
          <w:rFonts w:ascii="Calibri" w:eastAsia="Times New Roman" w:hAnsi="Calibri" w:cs="Calibri"/>
          <w:iCs/>
          <w:kern w:val="0"/>
          <w:sz w:val="24"/>
          <w:szCs w:val="24"/>
          <w14:ligatures w14:val="none"/>
        </w:rPr>
        <w:t>-</w:t>
      </w:r>
      <w:r w:rsidRPr="006948E6">
        <w:rPr>
          <w:rFonts w:ascii="Calibri" w:eastAsia="Times New Roman" w:hAnsi="Calibri" w:cs="Calibri"/>
          <w:iCs/>
          <w:kern w:val="0"/>
          <w:sz w:val="24"/>
          <w:szCs w:val="24"/>
          <w14:ligatures w14:val="none"/>
        </w:rPr>
        <w:t xml:space="preserve">associated SAMMs (#’s 14, 15, and 16) </w:t>
      </w:r>
      <w:r w:rsidR="00EE54AB">
        <w:rPr>
          <w:rFonts w:ascii="Calibri" w:eastAsia="Times New Roman" w:hAnsi="Calibri" w:cs="Calibri"/>
          <w:iCs/>
          <w:kern w:val="0"/>
          <w:sz w:val="24"/>
          <w:szCs w:val="24"/>
          <w14:ligatures w14:val="none"/>
        </w:rPr>
        <w:t>were not</w:t>
      </w:r>
      <w:r w:rsidRPr="006948E6">
        <w:rPr>
          <w:rFonts w:ascii="Calibri" w:eastAsia="Times New Roman" w:hAnsi="Calibri" w:cs="Calibri"/>
          <w:iCs/>
          <w:kern w:val="0"/>
          <w:sz w:val="24"/>
          <w:szCs w:val="24"/>
          <w14:ligatures w14:val="none"/>
        </w:rPr>
        <w:t xml:space="preserve"> reported for FY 2024 due to the transition of whistleblower data from the Whistleblower Application in OITSS to the Whistleblower module in OIS. </w:t>
      </w:r>
    </w:p>
    <w:bookmarkEnd w:id="34"/>
    <w:p w14:paraId="6DC7345F" w14:textId="77777777" w:rsidR="006948E6" w:rsidRPr="006948E6" w:rsidRDefault="006948E6" w:rsidP="006948E6">
      <w:pPr>
        <w:autoSpaceDN w:val="0"/>
        <w:rPr>
          <w:rFonts w:ascii="Calibri" w:eastAsia="Times New Roman" w:hAnsi="Calibri" w:cs="Calibri"/>
          <w:iCs/>
          <w:kern w:val="0"/>
          <w:sz w:val="24"/>
          <w:szCs w:val="24"/>
          <w14:ligatures w14:val="none"/>
        </w:rPr>
      </w:pPr>
    </w:p>
    <w:p w14:paraId="0E311C26" w14:textId="77777777" w:rsidR="006948E6" w:rsidRPr="006948E6" w:rsidRDefault="006948E6" w:rsidP="006948E6">
      <w:pPr>
        <w:autoSpaceDN w:val="0"/>
        <w:rPr>
          <w:rFonts w:ascii="Calibri" w:eastAsia="Times New Roman" w:hAnsi="Calibri" w:cs="Calibri"/>
          <w:iCs/>
          <w:kern w:val="0"/>
          <w:sz w:val="24"/>
          <w:szCs w:val="24"/>
          <w14:ligatures w14:val="none"/>
        </w:rPr>
      </w:pPr>
      <w:r w:rsidRPr="006948E6">
        <w:rPr>
          <w:rFonts w:ascii="Calibri" w:eastAsia="Times New Roman" w:hAnsi="Calibri" w:cs="Calibri"/>
          <w:iCs/>
          <w:kern w:val="0"/>
          <w:sz w:val="24"/>
          <w:szCs w:val="24"/>
          <w14:ligatures w14:val="none"/>
        </w:rPr>
        <w:t>The State Plan was outside the FRL on the following SAMMs:</w:t>
      </w:r>
    </w:p>
    <w:p w14:paraId="0D118632" w14:textId="77777777" w:rsidR="006948E6" w:rsidRPr="006948E6" w:rsidRDefault="006948E6" w:rsidP="006948E6">
      <w:pPr>
        <w:autoSpaceDN w:val="0"/>
        <w:rPr>
          <w:rFonts w:ascii="Calibri" w:eastAsia="Times New Roman" w:hAnsi="Calibri" w:cs="Calibri"/>
          <w:b/>
          <w:iCs/>
          <w:kern w:val="0"/>
          <w:sz w:val="24"/>
          <w:szCs w:val="24"/>
          <w:u w:val="single"/>
          <w14:ligatures w14:val="none"/>
        </w:rPr>
      </w:pPr>
    </w:p>
    <w:p w14:paraId="7455DBF7" w14:textId="77777777" w:rsidR="006948E6" w:rsidRPr="006948E6" w:rsidRDefault="006948E6" w:rsidP="006948E6">
      <w:pPr>
        <w:autoSpaceDN w:val="0"/>
        <w:rPr>
          <w:rFonts w:ascii="Calibri" w:eastAsia="Times New Roman" w:hAnsi="Calibri" w:cs="Calibri"/>
          <w:b/>
          <w:iCs/>
          <w:kern w:val="0"/>
          <w:sz w:val="24"/>
          <w:szCs w:val="24"/>
          <w14:ligatures w14:val="none"/>
        </w:rPr>
      </w:pPr>
      <w:bookmarkStart w:id="35" w:name="_Hlk192233910"/>
      <w:r w:rsidRPr="006948E6">
        <w:rPr>
          <w:rFonts w:ascii="Calibri" w:eastAsia="Times New Roman" w:hAnsi="Calibri" w:cs="Calibri"/>
          <w:b/>
          <w:iCs/>
          <w:kern w:val="0"/>
          <w:sz w:val="24"/>
          <w:szCs w:val="24"/>
          <w14:ligatures w14:val="none"/>
        </w:rPr>
        <w:t>SAMM  6 – Percent of Total Inspections in Public Sector</w:t>
      </w:r>
    </w:p>
    <w:p w14:paraId="1CE48E97" w14:textId="77777777" w:rsidR="006948E6" w:rsidRPr="006948E6" w:rsidRDefault="006948E6" w:rsidP="006948E6">
      <w:pPr>
        <w:autoSpaceDN w:val="0"/>
        <w:rPr>
          <w:rFonts w:ascii="Calibri" w:eastAsia="Times New Roman" w:hAnsi="Calibri" w:cs="Calibri"/>
          <w:iCs/>
          <w:kern w:val="0"/>
          <w:sz w:val="24"/>
          <w:szCs w:val="24"/>
          <w14:ligatures w14:val="none"/>
        </w:rPr>
      </w:pPr>
    </w:p>
    <w:p w14:paraId="073EF413" w14:textId="0898CF00" w:rsidR="006948E6" w:rsidRPr="006948E6" w:rsidRDefault="006948E6" w:rsidP="006948E6">
      <w:pPr>
        <w:autoSpaceDN w:val="0"/>
        <w:rPr>
          <w:rFonts w:ascii="Calibri" w:eastAsia="Times New Roman" w:hAnsi="Calibri" w:cs="Calibri"/>
          <w:iCs/>
          <w:kern w:val="0"/>
          <w:sz w:val="24"/>
          <w:szCs w:val="24"/>
          <w14:ligatures w14:val="none"/>
        </w:rPr>
      </w:pPr>
      <w:r w:rsidRPr="0087265E">
        <w:rPr>
          <w:rFonts w:ascii="Calibri" w:eastAsia="Times New Roman" w:hAnsi="Calibri" w:cs="Calibri"/>
          <w:b/>
          <w:bCs/>
          <w:iCs/>
          <w:kern w:val="0"/>
          <w:sz w:val="24"/>
          <w:szCs w:val="24"/>
          <w14:ligatures w14:val="none"/>
        </w:rPr>
        <w:t>Discussion of State Plan Data and FRL:</w:t>
      </w:r>
      <w:r w:rsidRPr="006948E6">
        <w:rPr>
          <w:rFonts w:ascii="Calibri" w:eastAsia="Times New Roman" w:hAnsi="Calibri" w:cs="Calibri"/>
          <w:iCs/>
          <w:kern w:val="0"/>
          <w:sz w:val="24"/>
          <w:szCs w:val="24"/>
          <w14:ligatures w14:val="none"/>
        </w:rPr>
        <w:t xml:space="preserve"> The FRL for percent of total inspection</w:t>
      </w:r>
      <w:r w:rsidR="00472BC4">
        <w:rPr>
          <w:rFonts w:ascii="Calibri" w:eastAsia="Times New Roman" w:hAnsi="Calibri" w:cs="Calibri"/>
          <w:iCs/>
          <w:kern w:val="0"/>
          <w:sz w:val="24"/>
          <w:szCs w:val="24"/>
          <w14:ligatures w14:val="none"/>
        </w:rPr>
        <w:t>s</w:t>
      </w:r>
      <w:r w:rsidRPr="006948E6">
        <w:rPr>
          <w:rFonts w:ascii="Calibri" w:eastAsia="Times New Roman" w:hAnsi="Calibri" w:cs="Calibri"/>
          <w:iCs/>
          <w:kern w:val="0"/>
          <w:sz w:val="24"/>
          <w:szCs w:val="24"/>
          <w14:ligatures w14:val="none"/>
        </w:rPr>
        <w:t xml:space="preserve"> in </w:t>
      </w:r>
      <w:r w:rsidR="0077121F">
        <w:rPr>
          <w:rFonts w:ascii="Calibri" w:eastAsia="Times New Roman" w:hAnsi="Calibri" w:cs="Calibri"/>
          <w:iCs/>
          <w:kern w:val="0"/>
          <w:sz w:val="24"/>
          <w:szCs w:val="24"/>
          <w14:ligatures w14:val="none"/>
        </w:rPr>
        <w:t xml:space="preserve">state and local government workplaces </w:t>
      </w:r>
      <w:r w:rsidRPr="006948E6">
        <w:rPr>
          <w:rFonts w:ascii="Calibri" w:eastAsia="Times New Roman" w:hAnsi="Calibri" w:cs="Calibri"/>
          <w:iCs/>
          <w:kern w:val="0"/>
          <w:sz w:val="24"/>
          <w:szCs w:val="24"/>
          <w14:ligatures w14:val="none"/>
        </w:rPr>
        <w:t>is +/-5% of the negotiated value of 5.52% which provides a range from 5.24% to 5.79%</w:t>
      </w:r>
      <w:r w:rsidR="00EC3C7F">
        <w:rPr>
          <w:rFonts w:ascii="Calibri" w:eastAsia="Times New Roman" w:hAnsi="Calibri" w:cs="Calibri"/>
          <w:iCs/>
          <w:kern w:val="0"/>
          <w:sz w:val="24"/>
          <w:szCs w:val="24"/>
          <w14:ligatures w14:val="none"/>
        </w:rPr>
        <w:t xml:space="preserve"> </w:t>
      </w:r>
      <w:r w:rsidR="00684FC3">
        <w:rPr>
          <w:rFonts w:ascii="Calibri" w:eastAsia="Times New Roman" w:hAnsi="Calibri" w:cs="Calibri"/>
          <w:iCs/>
          <w:kern w:val="0"/>
          <w:sz w:val="24"/>
          <w:szCs w:val="24"/>
          <w14:ligatures w14:val="none"/>
        </w:rPr>
        <w:t>(</w:t>
      </w:r>
      <w:r w:rsidR="00EC3C7F">
        <w:rPr>
          <w:rFonts w:ascii="Calibri" w:eastAsia="Times New Roman" w:hAnsi="Calibri" w:cs="Calibri"/>
          <w:iCs/>
          <w:kern w:val="0"/>
          <w:sz w:val="24"/>
          <w:szCs w:val="24"/>
          <w14:ligatures w14:val="none"/>
        </w:rPr>
        <w:t>112 to 124 inspections</w:t>
      </w:r>
      <w:r w:rsidR="00684FC3">
        <w:rPr>
          <w:rFonts w:ascii="Calibri" w:eastAsia="Times New Roman" w:hAnsi="Calibri" w:cs="Calibri"/>
          <w:iCs/>
          <w:kern w:val="0"/>
          <w:sz w:val="24"/>
          <w:szCs w:val="24"/>
          <w14:ligatures w14:val="none"/>
        </w:rPr>
        <w:t>)</w:t>
      </w:r>
      <w:r w:rsidR="00EC3C7F">
        <w:rPr>
          <w:rFonts w:ascii="Calibri" w:eastAsia="Times New Roman" w:hAnsi="Calibri" w:cs="Calibri"/>
          <w:iCs/>
          <w:kern w:val="0"/>
          <w:sz w:val="24"/>
          <w:szCs w:val="24"/>
          <w14:ligatures w14:val="none"/>
        </w:rPr>
        <w:t xml:space="preserve">.  </w:t>
      </w:r>
      <w:r w:rsidRPr="006948E6">
        <w:rPr>
          <w:rFonts w:ascii="Calibri" w:eastAsia="Times New Roman" w:hAnsi="Calibri" w:cs="Calibri"/>
          <w:iCs/>
          <w:kern w:val="0"/>
          <w:sz w:val="24"/>
          <w:szCs w:val="24"/>
          <w14:ligatures w14:val="none"/>
        </w:rPr>
        <w:t xml:space="preserve">VOSH conducted 6.63% </w:t>
      </w:r>
      <w:r w:rsidR="00684FC3">
        <w:rPr>
          <w:rFonts w:ascii="Calibri" w:eastAsia="Times New Roman" w:hAnsi="Calibri" w:cs="Calibri"/>
          <w:iCs/>
          <w:kern w:val="0"/>
          <w:sz w:val="24"/>
          <w:szCs w:val="24"/>
          <w14:ligatures w14:val="none"/>
        </w:rPr>
        <w:t>(123)</w:t>
      </w:r>
      <w:r w:rsidR="00EC3C7F">
        <w:rPr>
          <w:rFonts w:ascii="Calibri" w:eastAsia="Times New Roman" w:hAnsi="Calibri" w:cs="Calibri"/>
          <w:iCs/>
          <w:kern w:val="0"/>
          <w:sz w:val="24"/>
          <w:szCs w:val="24"/>
          <w14:ligatures w14:val="none"/>
        </w:rPr>
        <w:t xml:space="preserve"> </w:t>
      </w:r>
      <w:r w:rsidRPr="006948E6">
        <w:rPr>
          <w:rFonts w:ascii="Calibri" w:eastAsia="Times New Roman" w:hAnsi="Calibri" w:cs="Calibri"/>
          <w:iCs/>
          <w:kern w:val="0"/>
          <w:sz w:val="24"/>
          <w:szCs w:val="24"/>
          <w14:ligatures w14:val="none"/>
        </w:rPr>
        <w:t xml:space="preserve">of its total inspections in </w:t>
      </w:r>
      <w:r w:rsidR="0077121F">
        <w:rPr>
          <w:rFonts w:ascii="Calibri" w:eastAsia="Times New Roman" w:hAnsi="Calibri" w:cs="Calibri"/>
          <w:iCs/>
          <w:kern w:val="0"/>
          <w:sz w:val="24"/>
          <w:szCs w:val="24"/>
          <w14:ligatures w14:val="none"/>
        </w:rPr>
        <w:t xml:space="preserve">state and local government </w:t>
      </w:r>
      <w:r w:rsidRPr="006948E6">
        <w:rPr>
          <w:rFonts w:ascii="Calibri" w:eastAsia="Times New Roman" w:hAnsi="Calibri" w:cs="Calibri"/>
          <w:iCs/>
          <w:kern w:val="0"/>
          <w:sz w:val="24"/>
          <w:szCs w:val="24"/>
          <w14:ligatures w14:val="none"/>
        </w:rPr>
        <w:t xml:space="preserve">workplaces in FY 2024 which is above the FRL. </w:t>
      </w:r>
    </w:p>
    <w:p w14:paraId="15263FBE" w14:textId="77777777" w:rsidR="006948E6" w:rsidRPr="006948E6" w:rsidRDefault="006948E6" w:rsidP="006948E6">
      <w:pPr>
        <w:autoSpaceDN w:val="0"/>
        <w:rPr>
          <w:rFonts w:ascii="Calibri" w:eastAsia="Times New Roman" w:hAnsi="Calibri" w:cs="Calibri"/>
          <w:iCs/>
          <w:kern w:val="0"/>
          <w:sz w:val="24"/>
          <w:szCs w:val="24"/>
          <w14:ligatures w14:val="none"/>
        </w:rPr>
      </w:pPr>
    </w:p>
    <w:p w14:paraId="77681065" w14:textId="223D3B75" w:rsidR="006948E6" w:rsidRPr="006948E6" w:rsidRDefault="006948E6" w:rsidP="006948E6">
      <w:pPr>
        <w:rPr>
          <w:rFonts w:ascii="Calibri" w:eastAsia="Times New Roman" w:hAnsi="Calibri" w:cs="Calibri"/>
          <w:iCs/>
          <w:kern w:val="0"/>
          <w:sz w:val="24"/>
          <w:szCs w:val="24"/>
          <w14:ligatures w14:val="none"/>
        </w:rPr>
      </w:pPr>
      <w:r w:rsidRPr="0087265E">
        <w:rPr>
          <w:rFonts w:ascii="Calibri" w:eastAsia="Times New Roman" w:hAnsi="Calibri" w:cs="Calibri"/>
          <w:b/>
          <w:bCs/>
          <w:iCs/>
          <w:kern w:val="0"/>
          <w:sz w:val="24"/>
          <w:szCs w:val="24"/>
          <w14:ligatures w14:val="none"/>
        </w:rPr>
        <w:t>Explanation:</w:t>
      </w:r>
      <w:r w:rsidRPr="006948E6">
        <w:rPr>
          <w:rFonts w:ascii="Calibri" w:eastAsia="Times New Roman" w:hAnsi="Calibri" w:cs="Calibri"/>
          <w:iCs/>
          <w:kern w:val="0"/>
          <w:sz w:val="24"/>
          <w:szCs w:val="24"/>
          <w14:ligatures w14:val="none"/>
        </w:rPr>
        <w:t xml:space="preserve"> </w:t>
      </w:r>
      <w:r w:rsidR="00EC3C7F">
        <w:rPr>
          <w:rFonts w:ascii="Calibri" w:eastAsia="Times New Roman" w:hAnsi="Calibri" w:cs="Calibri"/>
          <w:iCs/>
          <w:kern w:val="0"/>
          <w:sz w:val="24"/>
          <w:szCs w:val="24"/>
          <w14:ligatures w14:val="none"/>
        </w:rPr>
        <w:t>Although outside the FRL</w:t>
      </w:r>
      <w:r w:rsidR="00CB533B">
        <w:rPr>
          <w:rFonts w:ascii="Calibri" w:eastAsia="Times New Roman" w:hAnsi="Calibri" w:cs="Calibri"/>
          <w:iCs/>
          <w:kern w:val="0"/>
          <w:sz w:val="24"/>
          <w:szCs w:val="24"/>
          <w14:ligatures w14:val="none"/>
        </w:rPr>
        <w:t xml:space="preserve"> this is not a cause of concern </w:t>
      </w:r>
      <w:r w:rsidR="003446D2">
        <w:rPr>
          <w:rFonts w:ascii="Calibri" w:eastAsia="Times New Roman" w:hAnsi="Calibri" w:cs="Calibri"/>
          <w:iCs/>
          <w:kern w:val="0"/>
          <w:sz w:val="24"/>
          <w:szCs w:val="24"/>
          <w14:ligatures w14:val="none"/>
        </w:rPr>
        <w:t xml:space="preserve">due to </w:t>
      </w:r>
      <w:r w:rsidR="00CB533B">
        <w:rPr>
          <w:rFonts w:ascii="Calibri" w:eastAsia="Times New Roman" w:hAnsi="Calibri" w:cs="Calibri"/>
          <w:iCs/>
          <w:kern w:val="0"/>
          <w:sz w:val="24"/>
          <w:szCs w:val="24"/>
          <w14:ligatures w14:val="none"/>
        </w:rPr>
        <w:t xml:space="preserve">VOSH </w:t>
      </w:r>
      <w:r w:rsidR="00684FC3">
        <w:rPr>
          <w:rFonts w:ascii="Calibri" w:eastAsia="Times New Roman" w:hAnsi="Calibri" w:cs="Calibri"/>
          <w:iCs/>
          <w:kern w:val="0"/>
          <w:sz w:val="24"/>
          <w:szCs w:val="24"/>
          <w14:ligatures w14:val="none"/>
        </w:rPr>
        <w:t>exceed</w:t>
      </w:r>
      <w:r w:rsidR="003446D2">
        <w:rPr>
          <w:rFonts w:ascii="Calibri" w:eastAsia="Times New Roman" w:hAnsi="Calibri" w:cs="Calibri"/>
          <w:iCs/>
          <w:kern w:val="0"/>
          <w:sz w:val="24"/>
          <w:szCs w:val="24"/>
          <w14:ligatures w14:val="none"/>
        </w:rPr>
        <w:t>ing</w:t>
      </w:r>
      <w:r w:rsidR="00684FC3">
        <w:rPr>
          <w:rFonts w:ascii="Calibri" w:eastAsia="Times New Roman" w:hAnsi="Calibri" w:cs="Calibri"/>
          <w:iCs/>
          <w:kern w:val="0"/>
          <w:sz w:val="24"/>
          <w:szCs w:val="24"/>
          <w14:ligatures w14:val="none"/>
        </w:rPr>
        <w:t xml:space="preserve"> </w:t>
      </w:r>
      <w:r w:rsidR="00EC3C7F">
        <w:rPr>
          <w:rFonts w:ascii="Calibri" w:eastAsia="Times New Roman" w:hAnsi="Calibri" w:cs="Calibri"/>
          <w:iCs/>
          <w:kern w:val="0"/>
          <w:sz w:val="24"/>
          <w:szCs w:val="24"/>
          <w14:ligatures w14:val="none"/>
        </w:rPr>
        <w:t>the</w:t>
      </w:r>
      <w:r w:rsidR="00684FC3">
        <w:rPr>
          <w:rFonts w:ascii="Calibri" w:eastAsia="Times New Roman" w:hAnsi="Calibri" w:cs="Calibri"/>
          <w:iCs/>
          <w:kern w:val="0"/>
          <w:sz w:val="24"/>
          <w:szCs w:val="24"/>
          <w14:ligatures w14:val="none"/>
        </w:rPr>
        <w:t xml:space="preserve"> goal</w:t>
      </w:r>
      <w:r w:rsidR="00CB533B">
        <w:rPr>
          <w:rFonts w:ascii="Calibri" w:eastAsia="Times New Roman" w:hAnsi="Calibri" w:cs="Calibri"/>
          <w:iCs/>
          <w:kern w:val="0"/>
          <w:sz w:val="24"/>
          <w:szCs w:val="24"/>
          <w14:ligatures w14:val="none"/>
        </w:rPr>
        <w:t>.</w:t>
      </w:r>
    </w:p>
    <w:bookmarkEnd w:id="35"/>
    <w:p w14:paraId="6E49F19E" w14:textId="77777777" w:rsidR="006948E6" w:rsidRPr="006948E6" w:rsidRDefault="006948E6" w:rsidP="006948E6">
      <w:pPr>
        <w:rPr>
          <w:rFonts w:ascii="Calibri" w:eastAsia="Times New Roman" w:hAnsi="Calibri" w:cs="Calibri"/>
          <w:iCs/>
          <w:kern w:val="0"/>
          <w:sz w:val="24"/>
          <w:szCs w:val="24"/>
          <w14:ligatures w14:val="none"/>
        </w:rPr>
      </w:pPr>
    </w:p>
    <w:p w14:paraId="25C72F37" w14:textId="77777777" w:rsidR="006948E6" w:rsidRPr="006948E6" w:rsidRDefault="006948E6" w:rsidP="006948E6">
      <w:pPr>
        <w:rPr>
          <w:rFonts w:ascii="Calibri" w:eastAsia="Times New Roman" w:hAnsi="Calibri" w:cs="Calibri"/>
          <w:b/>
          <w:bCs/>
          <w:iCs/>
          <w:kern w:val="0"/>
          <w:sz w:val="24"/>
          <w:szCs w:val="24"/>
          <w14:ligatures w14:val="none"/>
        </w:rPr>
      </w:pPr>
      <w:r w:rsidRPr="006948E6">
        <w:rPr>
          <w:rFonts w:ascii="Calibri" w:eastAsia="Times New Roman" w:hAnsi="Calibri" w:cs="Calibri"/>
          <w:b/>
          <w:bCs/>
          <w:iCs/>
          <w:kern w:val="0"/>
          <w:sz w:val="24"/>
          <w:szCs w:val="24"/>
          <w14:ligatures w14:val="none"/>
        </w:rPr>
        <w:t>SAMM 7a – Planned v. Actual Inspections (Safety)</w:t>
      </w:r>
    </w:p>
    <w:p w14:paraId="656B0B59" w14:textId="77777777" w:rsidR="006948E6" w:rsidRPr="006948E6" w:rsidRDefault="006948E6" w:rsidP="006948E6">
      <w:pPr>
        <w:rPr>
          <w:rFonts w:ascii="Calibri" w:eastAsia="Times New Roman" w:hAnsi="Calibri" w:cs="Calibri"/>
          <w:b/>
          <w:bCs/>
          <w:iCs/>
          <w:kern w:val="0"/>
          <w:sz w:val="24"/>
          <w:szCs w:val="24"/>
          <w14:ligatures w14:val="none"/>
        </w:rPr>
      </w:pPr>
    </w:p>
    <w:p w14:paraId="569F4247" w14:textId="77777777" w:rsidR="006948E6" w:rsidRPr="006948E6" w:rsidRDefault="006948E6" w:rsidP="006948E6">
      <w:pPr>
        <w:rPr>
          <w:rFonts w:ascii="Calibri" w:eastAsia="Times New Roman" w:hAnsi="Calibri" w:cs="Calibri"/>
          <w:iCs/>
          <w:kern w:val="0"/>
          <w:sz w:val="24"/>
          <w:szCs w:val="24"/>
          <w14:ligatures w14:val="none"/>
        </w:rPr>
      </w:pPr>
      <w:r w:rsidRPr="0087265E">
        <w:rPr>
          <w:rFonts w:ascii="Calibri" w:eastAsia="Times New Roman" w:hAnsi="Calibri" w:cs="Calibri"/>
          <w:b/>
          <w:bCs/>
          <w:iCs/>
          <w:kern w:val="0"/>
          <w:sz w:val="24"/>
          <w:szCs w:val="24"/>
          <w14:ligatures w14:val="none"/>
        </w:rPr>
        <w:t>Discussion of State Plan Data and FRL:</w:t>
      </w:r>
      <w:r w:rsidRPr="006948E6">
        <w:rPr>
          <w:rFonts w:ascii="Calibri" w:eastAsia="Times New Roman" w:hAnsi="Calibri" w:cs="Calibri"/>
          <w:iCs/>
          <w:kern w:val="0"/>
          <w:sz w:val="24"/>
          <w:szCs w:val="24"/>
          <w14:ligatures w14:val="none"/>
        </w:rPr>
        <w:t xml:space="preserve"> The FRL for planned vs. actual safety inspections is +/-5% of the negotiated number of 1,532 safety inspections which provides a range of 1,455 to 1,609 safety inspections.  </w:t>
      </w:r>
      <w:bookmarkStart w:id="36" w:name="_Hlk192236915"/>
      <w:r w:rsidRPr="006948E6">
        <w:rPr>
          <w:rFonts w:ascii="Calibri" w:eastAsia="Times New Roman" w:hAnsi="Calibri" w:cs="Calibri"/>
          <w:iCs/>
          <w:kern w:val="0"/>
          <w:sz w:val="24"/>
          <w:szCs w:val="24"/>
          <w14:ligatures w14:val="none"/>
        </w:rPr>
        <w:t xml:space="preserve">While the End of Year SAMM report shows that VOSH performed 1,407 safety inspections, falling below the FRL, VOSH’s SOAR report shows 1,514 safety inspections, falling within the FRL. The difference of 107 inspections was confirmed with a current SAMM report which verified the SOAR reported safety inspections. </w:t>
      </w:r>
    </w:p>
    <w:bookmarkEnd w:id="36"/>
    <w:p w14:paraId="36BE7BAE" w14:textId="77777777" w:rsidR="006948E6" w:rsidRPr="006948E6" w:rsidRDefault="006948E6" w:rsidP="006948E6">
      <w:pPr>
        <w:rPr>
          <w:rFonts w:ascii="Calibri" w:eastAsia="Times New Roman" w:hAnsi="Calibri" w:cs="Calibri"/>
          <w:iCs/>
          <w:kern w:val="0"/>
          <w:sz w:val="24"/>
          <w:szCs w:val="24"/>
          <w14:ligatures w14:val="none"/>
        </w:rPr>
      </w:pPr>
    </w:p>
    <w:p w14:paraId="449B8C8A" w14:textId="12D2C944" w:rsidR="006948E6" w:rsidRPr="006948E6" w:rsidRDefault="006948E6" w:rsidP="006948E6">
      <w:pPr>
        <w:rPr>
          <w:rFonts w:ascii="Calibri" w:eastAsia="Times New Roman" w:hAnsi="Calibri" w:cs="Calibri"/>
          <w:iCs/>
          <w:kern w:val="0"/>
          <w:sz w:val="24"/>
          <w:szCs w:val="24"/>
          <w14:ligatures w14:val="none"/>
        </w:rPr>
      </w:pPr>
      <w:r w:rsidRPr="0087265E">
        <w:rPr>
          <w:rFonts w:ascii="Calibri" w:eastAsia="Times New Roman" w:hAnsi="Calibri" w:cs="Calibri"/>
          <w:b/>
          <w:bCs/>
          <w:iCs/>
          <w:kern w:val="0"/>
          <w:sz w:val="24"/>
          <w:szCs w:val="24"/>
          <w14:ligatures w14:val="none"/>
        </w:rPr>
        <w:t>Explanation:</w:t>
      </w:r>
      <w:r w:rsidRPr="006948E6">
        <w:rPr>
          <w:rFonts w:ascii="Calibri" w:eastAsia="Times New Roman" w:hAnsi="Calibri" w:cs="Calibri"/>
          <w:iCs/>
          <w:kern w:val="0"/>
          <w:sz w:val="24"/>
          <w:szCs w:val="24"/>
          <w14:ligatures w14:val="none"/>
        </w:rPr>
        <w:t xml:space="preserve"> </w:t>
      </w:r>
      <w:bookmarkStart w:id="37" w:name="_Hlk192237017"/>
      <w:r w:rsidRPr="006948E6">
        <w:rPr>
          <w:rFonts w:ascii="Calibri" w:eastAsia="Times New Roman" w:hAnsi="Calibri" w:cs="Calibri"/>
          <w:iCs/>
          <w:kern w:val="0"/>
          <w:sz w:val="24"/>
          <w:szCs w:val="24"/>
          <w14:ligatures w14:val="none"/>
        </w:rPr>
        <w:t>The current SAMM report shows that VOSH’s actual safety inspections were within the FRL, therefore OSHA will not make this a finding</w:t>
      </w:r>
      <w:r w:rsidR="00353F4D">
        <w:rPr>
          <w:rFonts w:ascii="Calibri" w:eastAsia="Times New Roman" w:hAnsi="Calibri" w:cs="Calibri"/>
          <w:iCs/>
          <w:kern w:val="0"/>
          <w:sz w:val="24"/>
          <w:szCs w:val="24"/>
          <w14:ligatures w14:val="none"/>
        </w:rPr>
        <w:t>,</w:t>
      </w:r>
      <w:r w:rsidRPr="006948E6">
        <w:rPr>
          <w:rFonts w:ascii="Calibri" w:eastAsia="Times New Roman" w:hAnsi="Calibri" w:cs="Calibri"/>
          <w:iCs/>
          <w:kern w:val="0"/>
          <w:sz w:val="24"/>
          <w:szCs w:val="24"/>
          <w14:ligatures w14:val="none"/>
        </w:rPr>
        <w:t xml:space="preserve"> but will continue to discuss with VOSH and monitor during quarterly meetings. </w:t>
      </w:r>
    </w:p>
    <w:bookmarkEnd w:id="37"/>
    <w:p w14:paraId="1E6B6B2B" w14:textId="77777777" w:rsidR="006948E6" w:rsidRPr="006948E6" w:rsidRDefault="006948E6" w:rsidP="006948E6">
      <w:pPr>
        <w:rPr>
          <w:rFonts w:ascii="Calibri" w:eastAsia="Times New Roman" w:hAnsi="Calibri" w:cs="Calibri"/>
          <w:iCs/>
          <w:kern w:val="0"/>
          <w:sz w:val="24"/>
          <w:szCs w:val="24"/>
          <w14:ligatures w14:val="none"/>
        </w:rPr>
      </w:pPr>
    </w:p>
    <w:p w14:paraId="19FB0CB7" w14:textId="77777777" w:rsidR="006948E6" w:rsidRPr="006948E6" w:rsidRDefault="006948E6" w:rsidP="006948E6">
      <w:pPr>
        <w:rPr>
          <w:rFonts w:ascii="Calibri" w:eastAsia="Times New Roman" w:hAnsi="Calibri" w:cs="Calibri"/>
          <w:b/>
          <w:bCs/>
          <w:iCs/>
          <w:kern w:val="0"/>
          <w:sz w:val="24"/>
          <w:szCs w:val="24"/>
          <w14:ligatures w14:val="none"/>
        </w:rPr>
      </w:pPr>
      <w:r w:rsidRPr="006948E6">
        <w:rPr>
          <w:rFonts w:ascii="Calibri" w:eastAsia="Times New Roman" w:hAnsi="Calibri" w:cs="Calibri"/>
          <w:b/>
          <w:bCs/>
          <w:iCs/>
          <w:kern w:val="0"/>
          <w:sz w:val="24"/>
          <w:szCs w:val="24"/>
          <w14:ligatures w14:val="none"/>
        </w:rPr>
        <w:t>SAMM 7b – Planned v. Actual Inspections (Health)</w:t>
      </w:r>
    </w:p>
    <w:p w14:paraId="4F2395E1" w14:textId="77777777" w:rsidR="006948E6" w:rsidRPr="006948E6" w:rsidRDefault="006948E6" w:rsidP="006948E6">
      <w:pPr>
        <w:rPr>
          <w:rFonts w:ascii="Calibri" w:eastAsia="Times New Roman" w:hAnsi="Calibri" w:cs="Calibri"/>
          <w:b/>
          <w:bCs/>
          <w:iCs/>
          <w:kern w:val="0"/>
          <w:sz w:val="24"/>
          <w:szCs w:val="24"/>
          <w14:ligatures w14:val="none"/>
        </w:rPr>
      </w:pPr>
    </w:p>
    <w:p w14:paraId="2339CAEE" w14:textId="6474E5E6" w:rsidR="006948E6" w:rsidRPr="006948E6" w:rsidRDefault="006948E6" w:rsidP="006948E6">
      <w:pPr>
        <w:rPr>
          <w:rFonts w:ascii="Calibri" w:eastAsia="Times New Roman" w:hAnsi="Calibri" w:cs="Calibri"/>
          <w:iCs/>
          <w:kern w:val="0"/>
          <w:sz w:val="24"/>
          <w:szCs w:val="24"/>
          <w14:ligatures w14:val="none"/>
        </w:rPr>
      </w:pPr>
      <w:r w:rsidRPr="0087265E">
        <w:rPr>
          <w:rFonts w:ascii="Calibri" w:eastAsia="Times New Roman" w:hAnsi="Calibri" w:cs="Calibri"/>
          <w:b/>
          <w:bCs/>
          <w:iCs/>
          <w:kern w:val="0"/>
          <w:sz w:val="24"/>
          <w:szCs w:val="24"/>
          <w14:ligatures w14:val="none"/>
        </w:rPr>
        <w:t>Discussion of State Plan Data and FRL:</w:t>
      </w:r>
      <w:r w:rsidRPr="006948E6">
        <w:rPr>
          <w:rFonts w:ascii="Calibri" w:eastAsia="Times New Roman" w:hAnsi="Calibri" w:cs="Calibri"/>
          <w:iCs/>
          <w:kern w:val="0"/>
          <w:sz w:val="24"/>
          <w:szCs w:val="24"/>
          <w14:ligatures w14:val="none"/>
        </w:rPr>
        <w:t xml:space="preserve"> The FRL for planned vs. actual health inspections is +/-5% of the negotiated number of 607 health inspections which provides a range of 577 to 637 health inspections.  The End of Year SAMM report shows VOSH performed 447 health inspections, and VOSH’s SOAR report shows 494 inspections. Both reports indicate that VOSH fell below the FRL.</w:t>
      </w:r>
    </w:p>
    <w:p w14:paraId="7B2ADF67" w14:textId="77777777" w:rsidR="006948E6" w:rsidRPr="006948E6" w:rsidRDefault="006948E6" w:rsidP="006948E6">
      <w:pPr>
        <w:rPr>
          <w:rFonts w:ascii="Calibri" w:eastAsia="Times New Roman" w:hAnsi="Calibri" w:cs="Calibri"/>
          <w:iCs/>
          <w:kern w:val="0"/>
          <w:sz w:val="24"/>
          <w:szCs w:val="24"/>
          <w14:ligatures w14:val="none"/>
        </w:rPr>
      </w:pPr>
    </w:p>
    <w:p w14:paraId="36C9758B" w14:textId="0440015D" w:rsidR="006948E6" w:rsidRPr="006948E6" w:rsidRDefault="006948E6" w:rsidP="006948E6">
      <w:pPr>
        <w:rPr>
          <w:rFonts w:ascii="Calibri" w:eastAsia="Times New Roman" w:hAnsi="Calibri" w:cs="Calibri"/>
          <w:iCs/>
          <w:kern w:val="0"/>
          <w:sz w:val="24"/>
          <w:szCs w:val="24"/>
          <w14:ligatures w14:val="none"/>
        </w:rPr>
      </w:pPr>
      <w:r w:rsidRPr="0087265E">
        <w:rPr>
          <w:rFonts w:ascii="Calibri" w:eastAsia="Times New Roman" w:hAnsi="Calibri" w:cs="Calibri"/>
          <w:b/>
          <w:bCs/>
          <w:iCs/>
          <w:kern w:val="0"/>
          <w:sz w:val="24"/>
          <w:szCs w:val="24"/>
          <w14:ligatures w14:val="none"/>
        </w:rPr>
        <w:lastRenderedPageBreak/>
        <w:t>Explanation:</w:t>
      </w:r>
      <w:r w:rsidRPr="006948E6">
        <w:rPr>
          <w:rFonts w:ascii="Calibri" w:eastAsia="Times New Roman" w:hAnsi="Calibri" w:cs="Calibri"/>
          <w:iCs/>
          <w:kern w:val="0"/>
          <w:sz w:val="24"/>
          <w:szCs w:val="24"/>
          <w14:ligatures w14:val="none"/>
        </w:rPr>
        <w:t xml:space="preserve"> OSHA recognizes the potential impact caused by reducing the fiscal year 2024 State Plan 23(g) </w:t>
      </w:r>
      <w:r w:rsidR="00DE68A6">
        <w:rPr>
          <w:rFonts w:ascii="Calibri" w:eastAsia="Times New Roman" w:hAnsi="Calibri" w:cs="Calibri"/>
          <w:iCs/>
          <w:kern w:val="0"/>
          <w:sz w:val="24"/>
          <w:szCs w:val="24"/>
          <w14:ligatures w14:val="none"/>
        </w:rPr>
        <w:t>grant</w:t>
      </w:r>
      <w:r w:rsidR="00EE39F1">
        <w:rPr>
          <w:rFonts w:ascii="Calibri" w:eastAsia="Times New Roman" w:hAnsi="Calibri" w:cs="Calibri"/>
          <w:iCs/>
          <w:kern w:val="0"/>
          <w:sz w:val="24"/>
          <w:szCs w:val="24"/>
          <w14:ligatures w14:val="none"/>
        </w:rPr>
        <w:t xml:space="preserve"> funding</w:t>
      </w:r>
      <w:r w:rsidRPr="006948E6">
        <w:rPr>
          <w:rFonts w:ascii="Calibri" w:eastAsia="Times New Roman" w:hAnsi="Calibri" w:cs="Calibri"/>
          <w:iCs/>
          <w:kern w:val="0"/>
          <w:sz w:val="24"/>
          <w:szCs w:val="24"/>
          <w14:ligatures w14:val="none"/>
        </w:rPr>
        <w:t xml:space="preserve"> during the last quarter of the fiscal year</w:t>
      </w:r>
      <w:r w:rsidR="006C39C0">
        <w:rPr>
          <w:rFonts w:ascii="Calibri" w:eastAsia="Times New Roman" w:hAnsi="Calibri" w:cs="Calibri"/>
          <w:iCs/>
          <w:kern w:val="0"/>
          <w:sz w:val="24"/>
          <w:szCs w:val="24"/>
          <w14:ligatures w14:val="none"/>
        </w:rPr>
        <w:t>.</w:t>
      </w:r>
      <w:r w:rsidRPr="006948E6">
        <w:rPr>
          <w:rFonts w:ascii="Calibri" w:eastAsia="Times New Roman" w:hAnsi="Calibri" w:cs="Calibri"/>
          <w:iCs/>
          <w:kern w:val="0"/>
          <w:sz w:val="24"/>
          <w:szCs w:val="24"/>
          <w14:ligatures w14:val="none"/>
        </w:rPr>
        <w:t xml:space="preserve"> </w:t>
      </w:r>
      <w:r w:rsidR="006C39C0">
        <w:rPr>
          <w:rFonts w:ascii="Calibri" w:eastAsia="Times New Roman" w:hAnsi="Calibri" w:cs="Calibri"/>
          <w:iCs/>
          <w:kern w:val="0"/>
          <w:sz w:val="24"/>
          <w:szCs w:val="24"/>
          <w14:ligatures w14:val="none"/>
        </w:rPr>
        <w:t xml:space="preserve">In addition, at the start of FY 2025, OSHA implemented a new set of SAMMs </w:t>
      </w:r>
      <w:r w:rsidRPr="006948E6">
        <w:rPr>
          <w:rFonts w:ascii="Calibri" w:eastAsia="Times New Roman" w:hAnsi="Calibri" w:cs="Calibri"/>
          <w:iCs/>
          <w:kern w:val="0"/>
          <w:sz w:val="24"/>
          <w:szCs w:val="24"/>
          <w14:ligatures w14:val="none"/>
        </w:rPr>
        <w:t>using</w:t>
      </w:r>
      <w:r w:rsidR="006C39C0">
        <w:rPr>
          <w:rFonts w:ascii="Calibri" w:eastAsia="Times New Roman" w:hAnsi="Calibri" w:cs="Calibri"/>
          <w:iCs/>
          <w:kern w:val="0"/>
          <w:sz w:val="24"/>
          <w:szCs w:val="24"/>
          <w14:ligatures w14:val="none"/>
        </w:rPr>
        <w:t xml:space="preserve"> a FRL of</w:t>
      </w:r>
      <w:r w:rsidR="00325C42">
        <w:rPr>
          <w:rFonts w:ascii="Calibri" w:eastAsia="Times New Roman" w:hAnsi="Calibri" w:cs="Calibri"/>
          <w:iCs/>
          <w:kern w:val="0"/>
          <w:sz w:val="24"/>
          <w:szCs w:val="24"/>
          <w14:ligatures w14:val="none"/>
        </w:rPr>
        <w:t xml:space="preserve"> </w:t>
      </w:r>
      <w:r w:rsidRPr="006948E6">
        <w:rPr>
          <w:rFonts w:ascii="Calibri" w:eastAsia="Times New Roman" w:hAnsi="Calibri" w:cs="Calibri"/>
          <w:iCs/>
          <w:kern w:val="0"/>
          <w:sz w:val="24"/>
          <w:szCs w:val="24"/>
          <w14:ligatures w14:val="none"/>
        </w:rPr>
        <w:t xml:space="preserve">-20% of the negotiated number </w:t>
      </w:r>
      <w:r w:rsidR="006C39C0">
        <w:rPr>
          <w:rFonts w:ascii="Calibri" w:eastAsia="Times New Roman" w:hAnsi="Calibri" w:cs="Calibri"/>
          <w:iCs/>
          <w:kern w:val="0"/>
          <w:sz w:val="24"/>
          <w:szCs w:val="24"/>
          <w14:ligatures w14:val="none"/>
        </w:rPr>
        <w:t>for health inspections. Even though the</w:t>
      </w:r>
      <w:r w:rsidR="003F251A">
        <w:rPr>
          <w:rFonts w:ascii="Calibri" w:eastAsia="Times New Roman" w:hAnsi="Calibri" w:cs="Calibri"/>
          <w:iCs/>
          <w:kern w:val="0"/>
          <w:sz w:val="24"/>
          <w:szCs w:val="24"/>
          <w14:ligatures w14:val="none"/>
        </w:rPr>
        <w:t>se</w:t>
      </w:r>
      <w:r w:rsidR="006C39C0">
        <w:rPr>
          <w:rFonts w:ascii="Calibri" w:eastAsia="Times New Roman" w:hAnsi="Calibri" w:cs="Calibri"/>
          <w:iCs/>
          <w:kern w:val="0"/>
          <w:sz w:val="24"/>
          <w:szCs w:val="24"/>
          <w14:ligatures w14:val="none"/>
        </w:rPr>
        <w:t xml:space="preserve"> SAMMs were not in effect for FY 2024, it is notable that VOSH’s 494 health inspections would have </w:t>
      </w:r>
      <w:r w:rsidR="003F251A">
        <w:rPr>
          <w:rFonts w:ascii="Calibri" w:eastAsia="Times New Roman" w:hAnsi="Calibri" w:cs="Calibri"/>
          <w:iCs/>
          <w:kern w:val="0"/>
          <w:sz w:val="24"/>
          <w:szCs w:val="24"/>
          <w14:ligatures w14:val="none"/>
        </w:rPr>
        <w:t>been above the</w:t>
      </w:r>
      <w:r w:rsidR="006C39C0">
        <w:rPr>
          <w:rFonts w:ascii="Calibri" w:eastAsia="Times New Roman" w:hAnsi="Calibri" w:cs="Calibri"/>
          <w:iCs/>
          <w:kern w:val="0"/>
          <w:sz w:val="24"/>
          <w:szCs w:val="24"/>
          <w14:ligatures w14:val="none"/>
        </w:rPr>
        <w:t xml:space="preserve"> </w:t>
      </w:r>
      <w:r w:rsidR="003F251A">
        <w:rPr>
          <w:rFonts w:ascii="Calibri" w:eastAsia="Times New Roman" w:hAnsi="Calibri" w:cs="Calibri"/>
          <w:iCs/>
          <w:kern w:val="0"/>
          <w:sz w:val="24"/>
          <w:szCs w:val="24"/>
          <w14:ligatures w14:val="none"/>
        </w:rPr>
        <w:t>FRL of 486</w:t>
      </w:r>
      <w:r w:rsidRPr="006948E6">
        <w:rPr>
          <w:rFonts w:ascii="Calibri" w:eastAsia="Times New Roman" w:hAnsi="Calibri" w:cs="Calibri"/>
          <w:iCs/>
          <w:kern w:val="0"/>
          <w:sz w:val="24"/>
          <w:szCs w:val="24"/>
          <w14:ligatures w14:val="none"/>
        </w:rPr>
        <w:t xml:space="preserve"> </w:t>
      </w:r>
      <w:r w:rsidR="006C39C0">
        <w:rPr>
          <w:rFonts w:ascii="Calibri" w:eastAsia="Times New Roman" w:hAnsi="Calibri" w:cs="Calibri"/>
          <w:iCs/>
          <w:kern w:val="0"/>
          <w:sz w:val="24"/>
          <w:szCs w:val="24"/>
          <w14:ligatures w14:val="none"/>
        </w:rPr>
        <w:t xml:space="preserve">under this new set of measures. For these reasons, OSHA </w:t>
      </w:r>
      <w:r w:rsidR="003F251A">
        <w:rPr>
          <w:rFonts w:ascii="Calibri" w:eastAsia="Times New Roman" w:hAnsi="Calibri" w:cs="Calibri"/>
          <w:iCs/>
          <w:kern w:val="0"/>
          <w:sz w:val="24"/>
          <w:szCs w:val="24"/>
          <w14:ligatures w14:val="none"/>
        </w:rPr>
        <w:t>will not make this issue a finding and</w:t>
      </w:r>
      <w:r w:rsidRPr="006948E6">
        <w:rPr>
          <w:rFonts w:ascii="Calibri" w:eastAsia="Times New Roman" w:hAnsi="Calibri" w:cs="Calibri"/>
          <w:iCs/>
          <w:kern w:val="0"/>
          <w:sz w:val="24"/>
          <w:szCs w:val="24"/>
          <w14:ligatures w14:val="none"/>
        </w:rPr>
        <w:t xml:space="preserve"> will </w:t>
      </w:r>
      <w:r w:rsidR="003F251A">
        <w:rPr>
          <w:rFonts w:ascii="Calibri" w:eastAsia="Times New Roman" w:hAnsi="Calibri" w:cs="Calibri"/>
          <w:iCs/>
          <w:kern w:val="0"/>
          <w:sz w:val="24"/>
          <w:szCs w:val="24"/>
          <w14:ligatures w14:val="none"/>
        </w:rPr>
        <w:t xml:space="preserve">continue to </w:t>
      </w:r>
      <w:r w:rsidRPr="006948E6">
        <w:rPr>
          <w:rFonts w:ascii="Calibri" w:eastAsia="Times New Roman" w:hAnsi="Calibri" w:cs="Calibri"/>
          <w:iCs/>
          <w:kern w:val="0"/>
          <w:sz w:val="24"/>
          <w:szCs w:val="24"/>
          <w14:ligatures w14:val="none"/>
        </w:rPr>
        <w:t xml:space="preserve">monitor during quarterly meetings. </w:t>
      </w:r>
    </w:p>
    <w:p w14:paraId="69AF2A8A" w14:textId="77777777" w:rsidR="006948E6" w:rsidRPr="006948E6" w:rsidRDefault="006948E6" w:rsidP="006948E6">
      <w:pPr>
        <w:rPr>
          <w:rFonts w:ascii="Calibri" w:eastAsia="Times New Roman" w:hAnsi="Calibri" w:cs="Calibri"/>
          <w:iCs/>
          <w:kern w:val="0"/>
          <w:sz w:val="24"/>
          <w:szCs w:val="24"/>
          <w:u w:val="single"/>
          <w14:ligatures w14:val="none"/>
        </w:rPr>
      </w:pPr>
    </w:p>
    <w:p w14:paraId="13E2BC66" w14:textId="77777777" w:rsidR="006948E6" w:rsidRPr="006948E6" w:rsidRDefault="006948E6" w:rsidP="006948E6">
      <w:pPr>
        <w:rPr>
          <w:rFonts w:ascii="Calibri" w:eastAsia="Times New Roman" w:hAnsi="Calibri" w:cs="Calibri"/>
          <w:b/>
          <w:bCs/>
          <w:iCs/>
          <w:kern w:val="0"/>
          <w:sz w:val="24"/>
          <w:szCs w:val="24"/>
          <w14:ligatures w14:val="none"/>
        </w:rPr>
      </w:pPr>
      <w:r w:rsidRPr="006948E6">
        <w:rPr>
          <w:rFonts w:ascii="Calibri" w:eastAsia="Times New Roman" w:hAnsi="Calibri" w:cs="Calibri"/>
          <w:b/>
          <w:bCs/>
          <w:iCs/>
          <w:kern w:val="0"/>
          <w:sz w:val="24"/>
          <w:szCs w:val="24"/>
          <w14:ligatures w14:val="none"/>
        </w:rPr>
        <w:t>SAMM 9a – Percent In-compliance (Safety)</w:t>
      </w:r>
    </w:p>
    <w:p w14:paraId="7C624B60" w14:textId="77777777" w:rsidR="006948E6" w:rsidRPr="006948E6" w:rsidRDefault="006948E6" w:rsidP="006948E6">
      <w:pPr>
        <w:rPr>
          <w:rFonts w:ascii="Calibri" w:eastAsia="Times New Roman" w:hAnsi="Calibri" w:cs="Calibri"/>
          <w:b/>
          <w:bCs/>
          <w:iCs/>
          <w:kern w:val="0"/>
          <w:sz w:val="24"/>
          <w:szCs w:val="24"/>
          <w14:ligatures w14:val="none"/>
        </w:rPr>
      </w:pPr>
    </w:p>
    <w:p w14:paraId="61F29629" w14:textId="197FCBB2" w:rsidR="006948E6" w:rsidRPr="006948E6" w:rsidRDefault="006948E6" w:rsidP="006948E6">
      <w:pPr>
        <w:rPr>
          <w:rFonts w:ascii="Calibri" w:eastAsia="Times New Roman" w:hAnsi="Calibri" w:cs="Calibri"/>
          <w:iCs/>
          <w:kern w:val="0"/>
          <w:sz w:val="24"/>
          <w:szCs w:val="24"/>
          <w14:ligatures w14:val="none"/>
        </w:rPr>
      </w:pPr>
      <w:r w:rsidRPr="0087265E">
        <w:rPr>
          <w:rFonts w:ascii="Calibri" w:eastAsia="Times New Roman" w:hAnsi="Calibri" w:cs="Calibri"/>
          <w:b/>
          <w:bCs/>
          <w:iCs/>
          <w:kern w:val="0"/>
          <w:sz w:val="24"/>
          <w:szCs w:val="24"/>
          <w14:ligatures w14:val="none"/>
        </w:rPr>
        <w:t>Discussion of State Plan Data and FRL:</w:t>
      </w:r>
      <w:r w:rsidRPr="006948E6">
        <w:rPr>
          <w:rFonts w:ascii="Calibri" w:eastAsia="Times New Roman" w:hAnsi="Calibri" w:cs="Calibri"/>
          <w:iCs/>
          <w:kern w:val="0"/>
          <w:sz w:val="24"/>
          <w:szCs w:val="24"/>
          <w14:ligatures w14:val="none"/>
        </w:rPr>
        <w:t xml:space="preserve"> The FRL for percent in-compliance for safety is +/-20% of the three-year national average of 32.83% which provides a range of 26.27% to 39.40% for safety. The End</w:t>
      </w:r>
      <w:r w:rsidR="00EE54AB">
        <w:rPr>
          <w:rFonts w:ascii="Calibri" w:eastAsia="Times New Roman" w:hAnsi="Calibri" w:cs="Calibri"/>
          <w:iCs/>
          <w:kern w:val="0"/>
          <w:sz w:val="24"/>
          <w:szCs w:val="24"/>
          <w14:ligatures w14:val="none"/>
        </w:rPr>
        <w:t>-</w:t>
      </w:r>
      <w:r w:rsidRPr="006948E6">
        <w:rPr>
          <w:rFonts w:ascii="Calibri" w:eastAsia="Times New Roman" w:hAnsi="Calibri" w:cs="Calibri"/>
          <w:iCs/>
          <w:kern w:val="0"/>
          <w:sz w:val="24"/>
          <w:szCs w:val="24"/>
          <w14:ligatures w14:val="none"/>
        </w:rPr>
        <w:t>of</w:t>
      </w:r>
      <w:r w:rsidR="00EE54AB">
        <w:rPr>
          <w:rFonts w:ascii="Calibri" w:eastAsia="Times New Roman" w:hAnsi="Calibri" w:cs="Calibri"/>
          <w:iCs/>
          <w:kern w:val="0"/>
          <w:sz w:val="24"/>
          <w:szCs w:val="24"/>
          <w14:ligatures w14:val="none"/>
        </w:rPr>
        <w:t>-</w:t>
      </w:r>
      <w:r w:rsidRPr="006948E6">
        <w:rPr>
          <w:rFonts w:ascii="Calibri" w:eastAsia="Times New Roman" w:hAnsi="Calibri" w:cs="Calibri"/>
          <w:iCs/>
          <w:kern w:val="0"/>
          <w:sz w:val="24"/>
          <w:szCs w:val="24"/>
          <w14:ligatures w14:val="none"/>
        </w:rPr>
        <w:t xml:space="preserve">Year SAMM reports </w:t>
      </w:r>
      <w:r w:rsidR="00EE54AB" w:rsidRPr="006948E6">
        <w:rPr>
          <w:rFonts w:ascii="Calibri" w:eastAsia="Times New Roman" w:hAnsi="Calibri" w:cs="Calibri"/>
          <w:iCs/>
          <w:kern w:val="0"/>
          <w:sz w:val="24"/>
          <w:szCs w:val="24"/>
          <w14:ligatures w14:val="none"/>
        </w:rPr>
        <w:t>show</w:t>
      </w:r>
      <w:r w:rsidRPr="006948E6">
        <w:rPr>
          <w:rFonts w:ascii="Calibri" w:eastAsia="Times New Roman" w:hAnsi="Calibri" w:cs="Calibri"/>
          <w:iCs/>
          <w:kern w:val="0"/>
          <w:sz w:val="24"/>
          <w:szCs w:val="24"/>
          <w14:ligatures w14:val="none"/>
        </w:rPr>
        <w:t xml:space="preserve"> VOSH’s in-compliance rate for safety was 43.13% which is higher than the FRL.</w:t>
      </w:r>
    </w:p>
    <w:p w14:paraId="32779F80" w14:textId="77777777" w:rsidR="006948E6" w:rsidRPr="006948E6" w:rsidRDefault="006948E6" w:rsidP="006948E6">
      <w:pPr>
        <w:rPr>
          <w:rFonts w:ascii="Calibri" w:eastAsia="Times New Roman" w:hAnsi="Calibri" w:cs="Calibri"/>
          <w:iCs/>
          <w:kern w:val="0"/>
          <w:sz w:val="24"/>
          <w:szCs w:val="24"/>
          <w14:ligatures w14:val="none"/>
        </w:rPr>
      </w:pPr>
    </w:p>
    <w:p w14:paraId="322ECDF6" w14:textId="77777777" w:rsidR="006948E6" w:rsidRPr="006948E6" w:rsidRDefault="006948E6" w:rsidP="006948E6">
      <w:pPr>
        <w:rPr>
          <w:rFonts w:ascii="Calibri" w:eastAsia="Times New Roman" w:hAnsi="Calibri" w:cs="Calibri"/>
          <w:iCs/>
          <w:kern w:val="0"/>
          <w:sz w:val="24"/>
          <w:szCs w:val="24"/>
          <w14:ligatures w14:val="none"/>
        </w:rPr>
      </w:pPr>
      <w:r w:rsidRPr="0087265E">
        <w:rPr>
          <w:rFonts w:ascii="Calibri" w:eastAsia="Times New Roman" w:hAnsi="Calibri" w:cs="Calibri"/>
          <w:b/>
          <w:bCs/>
          <w:iCs/>
          <w:kern w:val="0"/>
          <w:sz w:val="24"/>
          <w:szCs w:val="24"/>
          <w14:ligatures w14:val="none"/>
        </w:rPr>
        <w:t>Explanation</w:t>
      </w:r>
      <w:r w:rsidRPr="0087265E">
        <w:rPr>
          <w:rFonts w:ascii="Calibri" w:eastAsia="Times New Roman" w:hAnsi="Calibri" w:cs="Calibri"/>
          <w:iCs/>
          <w:kern w:val="0"/>
          <w:sz w:val="24"/>
          <w:szCs w:val="24"/>
          <w14:ligatures w14:val="none"/>
        </w:rPr>
        <w:t xml:space="preserve">: </w:t>
      </w:r>
      <w:r w:rsidRPr="006948E6">
        <w:rPr>
          <w:rFonts w:ascii="Calibri" w:eastAsia="Times New Roman" w:hAnsi="Calibri" w:cs="Calibri"/>
          <w:iCs/>
          <w:kern w:val="0"/>
          <w:sz w:val="24"/>
          <w:szCs w:val="24"/>
          <w14:ligatures w14:val="none"/>
        </w:rPr>
        <w:t xml:space="preserve">Historically, VOSH safety percent in-compliance rate has frequently exceeded the FRL.  The outliers can be explained by policies and procedures unique to VOSH.  For example, it is VOSH’s policy on multi-employer jobsites to open an inspection and assign an inspection number to all employers covered by the scope of the inspection - regardless of whether citations are going to be issued to the employer or not.  Adjusting inspection counts to account for this policy would have placed the VOSH safety in-compliance rate of 27/46% within the FRL. </w:t>
      </w:r>
    </w:p>
    <w:p w14:paraId="48A035C0" w14:textId="77777777" w:rsidR="006948E6" w:rsidRPr="006948E6" w:rsidRDefault="006948E6" w:rsidP="006948E6">
      <w:pPr>
        <w:rPr>
          <w:rFonts w:ascii="Calibri" w:eastAsia="Times New Roman" w:hAnsi="Calibri" w:cs="Calibri"/>
          <w:iCs/>
          <w:kern w:val="0"/>
          <w:sz w:val="24"/>
          <w:szCs w:val="24"/>
          <w14:ligatures w14:val="none"/>
        </w:rPr>
      </w:pPr>
    </w:p>
    <w:p w14:paraId="453AE95B" w14:textId="77777777" w:rsidR="006948E6" w:rsidRPr="006948E6" w:rsidRDefault="006948E6" w:rsidP="006948E6">
      <w:pPr>
        <w:rPr>
          <w:rFonts w:ascii="Calibri" w:eastAsia="Times New Roman" w:hAnsi="Calibri" w:cs="Calibri"/>
          <w:iCs/>
          <w:kern w:val="0"/>
          <w:sz w:val="24"/>
          <w:szCs w:val="24"/>
          <w14:ligatures w14:val="none"/>
        </w:rPr>
      </w:pPr>
      <w:bookmarkStart w:id="38" w:name="_Hlk134093773"/>
      <w:r w:rsidRPr="006948E6">
        <w:rPr>
          <w:rFonts w:ascii="Calibri" w:eastAsia="Times New Roman" w:hAnsi="Calibri" w:cs="Calibri"/>
          <w:iCs/>
          <w:kern w:val="0"/>
          <w:sz w:val="24"/>
          <w:szCs w:val="24"/>
          <w14:ligatures w14:val="none"/>
        </w:rPr>
        <w:t>VOSH’s in-compliance rate for safety inspections has been consistent for many years</w:t>
      </w:r>
      <w:bookmarkEnd w:id="38"/>
      <w:r w:rsidRPr="006948E6">
        <w:rPr>
          <w:rFonts w:ascii="Calibri" w:eastAsia="Times New Roman" w:hAnsi="Calibri" w:cs="Calibri"/>
          <w:iCs/>
          <w:kern w:val="0"/>
          <w:sz w:val="24"/>
          <w:szCs w:val="24"/>
          <w14:ligatures w14:val="none"/>
        </w:rPr>
        <w:t xml:space="preserve">.  This indicates that VOSH’s unique policies drive a higher in-compliance rate, but that it is not necessarily a cause for concern.  </w:t>
      </w:r>
    </w:p>
    <w:p w14:paraId="0B74D8BD" w14:textId="77777777" w:rsidR="001637B3" w:rsidRDefault="001637B3" w:rsidP="006948E6">
      <w:pPr>
        <w:rPr>
          <w:rFonts w:ascii="Calibri" w:eastAsia="Times New Roman" w:hAnsi="Calibri" w:cs="Calibri"/>
          <w:b/>
          <w:bCs/>
          <w:iCs/>
          <w:kern w:val="0"/>
          <w:sz w:val="24"/>
          <w:szCs w:val="24"/>
          <w14:ligatures w14:val="none"/>
        </w:rPr>
      </w:pPr>
    </w:p>
    <w:p w14:paraId="00172367" w14:textId="2EABAF67" w:rsidR="006948E6" w:rsidRPr="006948E6" w:rsidRDefault="006948E6" w:rsidP="006948E6">
      <w:pPr>
        <w:rPr>
          <w:rFonts w:ascii="Calibri" w:eastAsia="Times New Roman" w:hAnsi="Calibri" w:cs="Calibri"/>
          <w:b/>
          <w:bCs/>
          <w:iCs/>
          <w:kern w:val="0"/>
          <w:sz w:val="24"/>
          <w:szCs w:val="24"/>
          <w14:ligatures w14:val="none"/>
        </w:rPr>
      </w:pPr>
      <w:r w:rsidRPr="006948E6">
        <w:rPr>
          <w:rFonts w:ascii="Calibri" w:eastAsia="Times New Roman" w:hAnsi="Calibri" w:cs="Calibri"/>
          <w:b/>
          <w:bCs/>
          <w:iCs/>
          <w:kern w:val="0"/>
          <w:sz w:val="24"/>
          <w:szCs w:val="24"/>
          <w14:ligatures w14:val="none"/>
        </w:rPr>
        <w:t>SAMM 13 – Percent of Initial Inspections with Worker Walk-Around Representation or Worker Interview</w:t>
      </w:r>
    </w:p>
    <w:p w14:paraId="12B5C3A5" w14:textId="77777777" w:rsidR="006948E6" w:rsidRPr="006948E6" w:rsidRDefault="006948E6" w:rsidP="006948E6">
      <w:pPr>
        <w:rPr>
          <w:rFonts w:ascii="Calibri" w:eastAsia="Times New Roman" w:hAnsi="Calibri" w:cs="Calibri"/>
          <w:b/>
          <w:bCs/>
          <w:iCs/>
          <w:kern w:val="0"/>
          <w:sz w:val="24"/>
          <w:szCs w:val="24"/>
          <w14:ligatures w14:val="none"/>
        </w:rPr>
      </w:pPr>
    </w:p>
    <w:p w14:paraId="621F3E46" w14:textId="795C4033" w:rsidR="006948E6" w:rsidRPr="006948E6" w:rsidRDefault="006948E6" w:rsidP="006948E6">
      <w:pPr>
        <w:rPr>
          <w:rFonts w:ascii="Calibri" w:eastAsia="Times New Roman" w:hAnsi="Calibri" w:cs="Calibri"/>
          <w:iCs/>
          <w:kern w:val="0"/>
          <w:sz w:val="24"/>
          <w:szCs w:val="24"/>
          <w14:ligatures w14:val="none"/>
        </w:rPr>
      </w:pPr>
      <w:r w:rsidRPr="006948E6">
        <w:rPr>
          <w:rFonts w:ascii="Calibri" w:eastAsia="Times New Roman" w:hAnsi="Calibri" w:cs="Calibri"/>
          <w:iCs/>
          <w:kern w:val="0"/>
          <w:sz w:val="24"/>
          <w:szCs w:val="24"/>
          <w:u w:val="single"/>
          <w14:ligatures w14:val="none"/>
        </w:rPr>
        <w:t xml:space="preserve">Discussion of State Plan Data and FRL: </w:t>
      </w:r>
      <w:r w:rsidRPr="006948E6">
        <w:rPr>
          <w:rFonts w:ascii="Calibri" w:eastAsia="Times New Roman" w:hAnsi="Calibri" w:cs="Calibri"/>
          <w:iCs/>
          <w:kern w:val="0"/>
          <w:sz w:val="24"/>
          <w:szCs w:val="24"/>
          <w14:ligatures w14:val="none"/>
        </w:rPr>
        <w:t xml:space="preserve">The FRL for percent of initial inspections with worker walk-around representation or worker interview if fixed for all State Plans at 100%.  While the End of Year SAMM report shows 99/95% participation rate, falling below the FRL, a current SAMM report shows </w:t>
      </w:r>
      <w:r w:rsidR="00EE54AB" w:rsidRPr="006948E6">
        <w:rPr>
          <w:rFonts w:ascii="Calibri" w:eastAsia="Times New Roman" w:hAnsi="Calibri" w:cs="Calibri"/>
          <w:iCs/>
          <w:kern w:val="0"/>
          <w:sz w:val="24"/>
          <w:szCs w:val="24"/>
          <w14:ligatures w14:val="none"/>
        </w:rPr>
        <w:t>a 100</w:t>
      </w:r>
      <w:r w:rsidRPr="006948E6">
        <w:rPr>
          <w:rFonts w:ascii="Calibri" w:eastAsia="Times New Roman" w:hAnsi="Calibri" w:cs="Calibri"/>
          <w:iCs/>
          <w:kern w:val="0"/>
          <w:sz w:val="24"/>
          <w:szCs w:val="24"/>
          <w14:ligatures w14:val="none"/>
        </w:rPr>
        <w:t>% participation rate, within the FRL.</w:t>
      </w:r>
    </w:p>
    <w:p w14:paraId="63A4E6CD" w14:textId="77777777" w:rsidR="006948E6" w:rsidRPr="006948E6" w:rsidRDefault="006948E6" w:rsidP="006948E6">
      <w:pPr>
        <w:rPr>
          <w:rFonts w:ascii="Calibri" w:eastAsia="Times New Roman" w:hAnsi="Calibri" w:cs="Calibri"/>
          <w:iCs/>
          <w:kern w:val="0"/>
          <w:sz w:val="24"/>
          <w:szCs w:val="24"/>
          <w14:ligatures w14:val="none"/>
        </w:rPr>
      </w:pPr>
    </w:p>
    <w:p w14:paraId="48373943" w14:textId="77777777" w:rsidR="006948E6" w:rsidRPr="006948E6" w:rsidRDefault="006948E6" w:rsidP="006948E6">
      <w:pPr>
        <w:rPr>
          <w:rFonts w:ascii="Calibri" w:eastAsia="Times New Roman" w:hAnsi="Calibri" w:cs="Calibri"/>
          <w:iCs/>
          <w:kern w:val="0"/>
          <w:sz w:val="24"/>
          <w:szCs w:val="24"/>
          <w14:ligatures w14:val="none"/>
        </w:rPr>
      </w:pPr>
      <w:r w:rsidRPr="006948E6">
        <w:rPr>
          <w:rFonts w:ascii="Calibri" w:eastAsia="Times New Roman" w:hAnsi="Calibri" w:cs="Calibri"/>
          <w:iCs/>
          <w:kern w:val="0"/>
          <w:sz w:val="24"/>
          <w:szCs w:val="24"/>
          <w:u w:val="single"/>
          <w14:ligatures w14:val="none"/>
        </w:rPr>
        <w:t xml:space="preserve">Explanation: </w:t>
      </w:r>
      <w:r w:rsidRPr="006948E6">
        <w:rPr>
          <w:rFonts w:ascii="Calibri" w:eastAsia="Times New Roman" w:hAnsi="Calibri" w:cs="Calibri"/>
          <w:iCs/>
          <w:kern w:val="0"/>
          <w:sz w:val="24"/>
          <w:szCs w:val="24"/>
          <w14:ligatures w14:val="none"/>
        </w:rPr>
        <w:t xml:space="preserve">The current SAMM report shows that VOSH’s was within the FRL, therefore OSHA will not make this a finding but will continue to discuss proper coding with VOSH and monitor during quarterly meetings. </w:t>
      </w:r>
    </w:p>
    <w:p w14:paraId="099CA3AC" w14:textId="77777777" w:rsidR="006948E6" w:rsidRPr="006948E6" w:rsidRDefault="006948E6" w:rsidP="006948E6">
      <w:pPr>
        <w:rPr>
          <w:rFonts w:ascii="Calibri" w:eastAsia="Times New Roman" w:hAnsi="Calibri" w:cs="Calibri"/>
          <w:iCs/>
          <w:kern w:val="0"/>
          <w:sz w:val="24"/>
          <w:szCs w:val="24"/>
          <w14:ligatures w14:val="none"/>
        </w:rPr>
        <w:sectPr w:rsidR="006948E6" w:rsidRPr="006948E6" w:rsidSect="006948E6">
          <w:footerReference w:type="default" r:id="rId10"/>
          <w:footerReference w:type="first" r:id="rId11"/>
          <w:pgSz w:w="12240" w:h="15840"/>
          <w:pgMar w:top="1440" w:right="1260" w:bottom="1260" w:left="1440" w:header="720" w:footer="526" w:gutter="0"/>
          <w:pgNumType w:start="1"/>
          <w:cols w:space="720"/>
          <w:titlePg/>
          <w:docGrid w:linePitch="360"/>
        </w:sectPr>
      </w:pPr>
    </w:p>
    <w:p w14:paraId="593FB947" w14:textId="77777777" w:rsidR="006948E6" w:rsidRPr="006948E6" w:rsidRDefault="006948E6" w:rsidP="006948E6">
      <w:pPr>
        <w:keepNext/>
        <w:keepLines/>
        <w:widowControl w:val="0"/>
        <w:autoSpaceDE w:val="0"/>
        <w:autoSpaceDN w:val="0"/>
        <w:adjustRightInd w:val="0"/>
        <w:spacing w:before="120"/>
        <w:outlineLvl w:val="2"/>
        <w:rPr>
          <w:rFonts w:ascii="Calibri" w:eastAsia="Times New Roman" w:hAnsi="Calibri" w:cs="Calibri"/>
          <w:b/>
          <w:bCs/>
          <w:iCs/>
          <w:kern w:val="0"/>
          <w:sz w:val="28"/>
          <w:szCs w:val="28"/>
          <w14:ligatures w14:val="none"/>
        </w:rPr>
      </w:pPr>
      <w:bookmarkStart w:id="39" w:name="_Toc118905017"/>
      <w:bookmarkStart w:id="40" w:name="_Toc119418669"/>
      <w:r w:rsidRPr="006948E6">
        <w:rPr>
          <w:rFonts w:ascii="Calibri" w:eastAsia="Times New Roman" w:hAnsi="Calibri" w:cs="Calibri"/>
          <w:b/>
          <w:bCs/>
          <w:iCs/>
          <w:kern w:val="0"/>
          <w:sz w:val="28"/>
          <w:szCs w:val="28"/>
          <w14:ligatures w14:val="none"/>
        </w:rPr>
        <w:lastRenderedPageBreak/>
        <w:t>Appendix A – New and Continued Findings and Recommendations</w:t>
      </w:r>
      <w:bookmarkEnd w:id="39"/>
      <w:bookmarkEnd w:id="40"/>
    </w:p>
    <w:p w14:paraId="7CB3B0AE" w14:textId="5EB66126" w:rsidR="006948E6" w:rsidRPr="006948E6" w:rsidRDefault="006948E6" w:rsidP="006948E6">
      <w:pPr>
        <w:widowControl w:val="0"/>
        <w:autoSpaceDE w:val="0"/>
        <w:autoSpaceDN w:val="0"/>
        <w:adjustRightInd w:val="0"/>
        <w:rPr>
          <w:rFonts w:ascii="Calibri" w:eastAsia="Times New Roman" w:hAnsi="Calibri" w:cs="Times New Roman"/>
          <w:iCs/>
          <w:kern w:val="0"/>
          <w:sz w:val="24"/>
          <w:szCs w:val="24"/>
          <w14:ligatures w14:val="none"/>
        </w:rPr>
      </w:pPr>
      <w:r w:rsidRPr="006948E6">
        <w:rPr>
          <w:rFonts w:ascii="Calibri" w:eastAsia="Times New Roman" w:hAnsi="Calibri" w:cs="Times New Roman"/>
          <w:iCs/>
          <w:kern w:val="0"/>
          <w:sz w:val="24"/>
          <w:szCs w:val="24"/>
          <w14:ligatures w14:val="none"/>
        </w:rPr>
        <w:t>V</w:t>
      </w:r>
      <w:r w:rsidR="001D229B">
        <w:rPr>
          <w:rFonts w:ascii="Calibri" w:eastAsia="Times New Roman" w:hAnsi="Calibri" w:cs="Times New Roman"/>
          <w:iCs/>
          <w:kern w:val="0"/>
          <w:sz w:val="24"/>
          <w:szCs w:val="24"/>
          <w14:ligatures w14:val="none"/>
        </w:rPr>
        <w:t>OSH</w:t>
      </w:r>
      <w:r w:rsidRPr="006948E6">
        <w:rPr>
          <w:rFonts w:ascii="Calibri" w:eastAsia="Times New Roman" w:hAnsi="Calibri" w:cs="Times New Roman"/>
          <w:iCs/>
          <w:kern w:val="0"/>
          <w:sz w:val="24"/>
          <w:szCs w:val="24"/>
          <w14:ligatures w14:val="none"/>
        </w:rPr>
        <w:t xml:space="preserve"> </w:t>
      </w:r>
      <w:r w:rsidR="001D229B" w:rsidRPr="006948E6">
        <w:rPr>
          <w:rFonts w:ascii="Calibri" w:eastAsia="Times New Roman" w:hAnsi="Calibri" w:cs="Times New Roman"/>
          <w:iCs/>
          <w:kern w:val="0"/>
          <w:sz w:val="24"/>
          <w:szCs w:val="24"/>
          <w14:ligatures w14:val="none"/>
        </w:rPr>
        <w:t xml:space="preserve">FY 2024 </w:t>
      </w:r>
      <w:r w:rsidRPr="006948E6">
        <w:rPr>
          <w:rFonts w:ascii="Calibri" w:eastAsia="Times New Roman" w:hAnsi="Calibri" w:cs="Times New Roman"/>
          <w:iCs/>
          <w:kern w:val="0"/>
          <w:sz w:val="24"/>
          <w:szCs w:val="24"/>
          <w14:ligatures w14:val="none"/>
        </w:rPr>
        <w:t>Follow-up FAME Report</w:t>
      </w:r>
    </w:p>
    <w:p w14:paraId="148E05E4" w14:textId="77777777" w:rsidR="006948E6" w:rsidRPr="006948E6" w:rsidRDefault="006948E6" w:rsidP="006948E6">
      <w:pPr>
        <w:tabs>
          <w:tab w:val="left" w:pos="3630"/>
        </w:tabs>
        <w:rPr>
          <w:rFonts w:ascii="Calibri" w:eastAsia="Times New Roman" w:hAnsi="Calibri" w:cs="Calibri"/>
          <w:iCs/>
          <w:kern w:val="0"/>
          <w:sz w:val="24"/>
          <w:szCs w:val="24"/>
          <w14:ligatures w14:val="none"/>
        </w:rPr>
      </w:pPr>
    </w:p>
    <w:tbl>
      <w:tblPr>
        <w:tblStyle w:val="TableGridLight1"/>
        <w:tblW w:w="12870" w:type="dxa"/>
        <w:tblLook w:val="01E0" w:firstRow="1" w:lastRow="1" w:firstColumn="1" w:lastColumn="1" w:noHBand="0" w:noVBand="0"/>
      </w:tblPr>
      <w:tblGrid>
        <w:gridCol w:w="1440"/>
        <w:gridCol w:w="4721"/>
        <w:gridCol w:w="4819"/>
        <w:gridCol w:w="1890"/>
      </w:tblGrid>
      <w:tr w:rsidR="006948E6" w:rsidRPr="006948E6" w14:paraId="2C3642C5" w14:textId="77777777" w:rsidTr="003C79AC">
        <w:trPr>
          <w:trHeight w:val="350"/>
        </w:trPr>
        <w:tc>
          <w:tcPr>
            <w:tcW w:w="1440" w:type="dxa"/>
          </w:tcPr>
          <w:p w14:paraId="2784A6EA" w14:textId="77777777" w:rsidR="006948E6" w:rsidRPr="006948E6" w:rsidRDefault="006948E6" w:rsidP="006948E6">
            <w:pPr>
              <w:jc w:val="center"/>
              <w:rPr>
                <w:rFonts w:cs="Calibri"/>
                <w:b/>
                <w:iCs/>
                <w:sz w:val="24"/>
                <w:szCs w:val="24"/>
              </w:rPr>
            </w:pPr>
            <w:r w:rsidRPr="006948E6">
              <w:rPr>
                <w:rFonts w:cs="Calibri"/>
                <w:b/>
                <w:iCs/>
                <w:sz w:val="24"/>
                <w:szCs w:val="24"/>
              </w:rPr>
              <w:t>FY 2024-#</w:t>
            </w:r>
          </w:p>
        </w:tc>
        <w:tc>
          <w:tcPr>
            <w:tcW w:w="4721" w:type="dxa"/>
          </w:tcPr>
          <w:p w14:paraId="2704237E" w14:textId="77777777" w:rsidR="006948E6" w:rsidRPr="006948E6" w:rsidRDefault="006948E6" w:rsidP="006948E6">
            <w:pPr>
              <w:jc w:val="center"/>
              <w:rPr>
                <w:rFonts w:cs="Calibri"/>
                <w:b/>
                <w:iCs/>
                <w:sz w:val="24"/>
                <w:szCs w:val="24"/>
              </w:rPr>
            </w:pPr>
            <w:r w:rsidRPr="006948E6">
              <w:rPr>
                <w:rFonts w:cs="Calibri"/>
                <w:b/>
                <w:iCs/>
                <w:sz w:val="24"/>
                <w:szCs w:val="24"/>
              </w:rPr>
              <w:t>Finding</w:t>
            </w:r>
          </w:p>
        </w:tc>
        <w:tc>
          <w:tcPr>
            <w:tcW w:w="4819" w:type="dxa"/>
          </w:tcPr>
          <w:p w14:paraId="64D2735C" w14:textId="77777777" w:rsidR="006948E6" w:rsidRPr="006948E6" w:rsidRDefault="006948E6" w:rsidP="006948E6">
            <w:pPr>
              <w:jc w:val="center"/>
              <w:rPr>
                <w:rFonts w:cs="Calibri"/>
                <w:b/>
                <w:iCs/>
                <w:sz w:val="24"/>
                <w:szCs w:val="24"/>
              </w:rPr>
            </w:pPr>
            <w:r w:rsidRPr="006948E6">
              <w:rPr>
                <w:rFonts w:cs="Calibri"/>
                <w:b/>
                <w:iCs/>
                <w:sz w:val="24"/>
                <w:szCs w:val="24"/>
              </w:rPr>
              <w:t>Recommendation</w:t>
            </w:r>
          </w:p>
        </w:tc>
        <w:tc>
          <w:tcPr>
            <w:tcW w:w="1890" w:type="dxa"/>
          </w:tcPr>
          <w:p w14:paraId="78A08169" w14:textId="77777777" w:rsidR="006948E6" w:rsidRPr="006948E6" w:rsidRDefault="006948E6" w:rsidP="006948E6">
            <w:pPr>
              <w:jc w:val="center"/>
              <w:rPr>
                <w:rFonts w:cs="Calibri"/>
                <w:b/>
                <w:iCs/>
                <w:sz w:val="24"/>
                <w:szCs w:val="24"/>
              </w:rPr>
            </w:pPr>
            <w:r w:rsidRPr="006948E6">
              <w:rPr>
                <w:rFonts w:cs="Calibri"/>
                <w:b/>
                <w:iCs/>
                <w:sz w:val="24"/>
                <w:szCs w:val="24"/>
              </w:rPr>
              <w:t xml:space="preserve">FY 2023-# or </w:t>
            </w:r>
          </w:p>
          <w:p w14:paraId="4091960D" w14:textId="77777777" w:rsidR="006948E6" w:rsidRPr="006948E6" w:rsidRDefault="006948E6" w:rsidP="006948E6">
            <w:pPr>
              <w:jc w:val="center"/>
              <w:rPr>
                <w:rFonts w:cs="Calibri"/>
                <w:b/>
                <w:iCs/>
                <w:sz w:val="24"/>
                <w:szCs w:val="24"/>
              </w:rPr>
            </w:pPr>
            <w:r w:rsidRPr="006948E6">
              <w:rPr>
                <w:rFonts w:cs="Calibri"/>
                <w:b/>
                <w:iCs/>
                <w:sz w:val="24"/>
                <w:szCs w:val="24"/>
              </w:rPr>
              <w:t>FY 2023-OB-#</w:t>
            </w:r>
          </w:p>
        </w:tc>
      </w:tr>
      <w:tr w:rsidR="00C1533F" w:rsidRPr="006948E6" w14:paraId="75C92CCA" w14:textId="77777777" w:rsidTr="003C79AC">
        <w:tc>
          <w:tcPr>
            <w:tcW w:w="1440" w:type="dxa"/>
          </w:tcPr>
          <w:p w14:paraId="100183E0" w14:textId="60C070A9" w:rsidR="00C1533F" w:rsidRPr="006948E6" w:rsidRDefault="00C1533F" w:rsidP="006948E6">
            <w:pPr>
              <w:rPr>
                <w:rFonts w:cs="Calibri"/>
                <w:iCs/>
                <w:sz w:val="24"/>
                <w:szCs w:val="24"/>
              </w:rPr>
            </w:pPr>
            <w:r>
              <w:rPr>
                <w:rFonts w:cs="Calibri"/>
                <w:iCs/>
                <w:sz w:val="24"/>
                <w:szCs w:val="24"/>
              </w:rPr>
              <w:t>FY 2024-01</w:t>
            </w:r>
          </w:p>
        </w:tc>
        <w:tc>
          <w:tcPr>
            <w:tcW w:w="4721" w:type="dxa"/>
          </w:tcPr>
          <w:p w14:paraId="4A4540A5" w14:textId="77777777" w:rsidR="00C1533F" w:rsidRPr="0087265E" w:rsidRDefault="00C1533F" w:rsidP="006948E6">
            <w:pPr>
              <w:rPr>
                <w:rFonts w:cs="Calibri"/>
                <w:b/>
                <w:bCs/>
                <w:iCs/>
                <w:sz w:val="24"/>
                <w:szCs w:val="24"/>
              </w:rPr>
            </w:pPr>
            <w:r w:rsidRPr="0087265E">
              <w:rPr>
                <w:rFonts w:cs="Calibri"/>
                <w:b/>
                <w:bCs/>
                <w:iCs/>
                <w:sz w:val="24"/>
                <w:szCs w:val="24"/>
              </w:rPr>
              <w:t>Federal Program Changes (FPCs)</w:t>
            </w:r>
          </w:p>
          <w:p w14:paraId="524E062E" w14:textId="77777777" w:rsidR="00C1533F" w:rsidRDefault="00C1533F" w:rsidP="006948E6">
            <w:pPr>
              <w:rPr>
                <w:rFonts w:cs="Calibri"/>
                <w:iCs/>
                <w:sz w:val="24"/>
                <w:szCs w:val="24"/>
              </w:rPr>
            </w:pPr>
            <w:r>
              <w:rPr>
                <w:rFonts w:cs="Calibri"/>
                <w:iCs/>
                <w:sz w:val="24"/>
                <w:szCs w:val="24"/>
              </w:rPr>
              <w:t>VOSH did not adopt FPCs within the required timeframes.</w:t>
            </w:r>
          </w:p>
          <w:p w14:paraId="252CEFC9" w14:textId="07766B21" w:rsidR="00C1533F" w:rsidRPr="006948E6" w:rsidRDefault="00C1533F" w:rsidP="006948E6">
            <w:pPr>
              <w:rPr>
                <w:rFonts w:cs="Calibri"/>
                <w:iCs/>
                <w:sz w:val="24"/>
                <w:szCs w:val="24"/>
              </w:rPr>
            </w:pPr>
          </w:p>
        </w:tc>
        <w:tc>
          <w:tcPr>
            <w:tcW w:w="4819" w:type="dxa"/>
          </w:tcPr>
          <w:p w14:paraId="13506869" w14:textId="365D71B3" w:rsidR="00C1533F" w:rsidRDefault="00C1533F" w:rsidP="006948E6">
            <w:pPr>
              <w:rPr>
                <w:rFonts w:cs="Calibri"/>
                <w:iCs/>
                <w:sz w:val="24"/>
                <w:szCs w:val="24"/>
              </w:rPr>
            </w:pPr>
            <w:r>
              <w:rPr>
                <w:rFonts w:cs="Calibri"/>
                <w:iCs/>
                <w:sz w:val="24"/>
                <w:szCs w:val="24"/>
              </w:rPr>
              <w:t>VOSH made progress from FY 2023 to FY 2024 to adopt FPCs and should continue to evaluate their strategy to ensure that action is taken on FPCs within the required timeframes.</w:t>
            </w:r>
          </w:p>
          <w:p w14:paraId="47F7A977" w14:textId="2F98C87E" w:rsidR="00C1533F" w:rsidRPr="006948E6" w:rsidRDefault="00C1533F" w:rsidP="006948E6">
            <w:pPr>
              <w:rPr>
                <w:rFonts w:cs="Calibri"/>
                <w:iCs/>
                <w:sz w:val="24"/>
                <w:szCs w:val="24"/>
              </w:rPr>
            </w:pPr>
            <w:r>
              <w:rPr>
                <w:rFonts w:cs="Calibri"/>
                <w:iCs/>
                <w:sz w:val="24"/>
                <w:szCs w:val="24"/>
              </w:rPr>
              <w:t xml:space="preserve"> </w:t>
            </w:r>
          </w:p>
        </w:tc>
        <w:tc>
          <w:tcPr>
            <w:tcW w:w="1890" w:type="dxa"/>
          </w:tcPr>
          <w:p w14:paraId="78814538" w14:textId="77777777" w:rsidR="00C1533F" w:rsidRDefault="00C1533F" w:rsidP="006948E6">
            <w:pPr>
              <w:rPr>
                <w:rFonts w:cs="Calibri"/>
                <w:iCs/>
                <w:sz w:val="24"/>
                <w:szCs w:val="24"/>
              </w:rPr>
            </w:pPr>
            <w:r>
              <w:rPr>
                <w:rFonts w:cs="Calibri"/>
                <w:iCs/>
                <w:sz w:val="24"/>
                <w:szCs w:val="24"/>
              </w:rPr>
              <w:t>FY 2023-01</w:t>
            </w:r>
          </w:p>
          <w:p w14:paraId="032D23F5" w14:textId="5A35365C" w:rsidR="00C1533F" w:rsidRPr="006948E6" w:rsidRDefault="00C1533F" w:rsidP="006948E6">
            <w:pPr>
              <w:rPr>
                <w:rFonts w:cs="Calibri"/>
                <w:iCs/>
                <w:sz w:val="24"/>
                <w:szCs w:val="24"/>
              </w:rPr>
            </w:pPr>
            <w:r>
              <w:rPr>
                <w:rFonts w:cs="Calibri"/>
                <w:iCs/>
                <w:sz w:val="24"/>
                <w:szCs w:val="24"/>
              </w:rPr>
              <w:t>FY 2022-OB-02</w:t>
            </w:r>
          </w:p>
        </w:tc>
      </w:tr>
      <w:tr w:rsidR="006948E6" w:rsidRPr="006948E6" w14:paraId="730167F9" w14:textId="77777777" w:rsidTr="003C79AC">
        <w:tc>
          <w:tcPr>
            <w:tcW w:w="1440" w:type="dxa"/>
          </w:tcPr>
          <w:p w14:paraId="38AC556F" w14:textId="67FD4D4A" w:rsidR="006948E6" w:rsidRPr="006948E6" w:rsidRDefault="006948E6" w:rsidP="006948E6">
            <w:pPr>
              <w:rPr>
                <w:rFonts w:cs="Calibri"/>
                <w:iCs/>
                <w:sz w:val="24"/>
                <w:szCs w:val="24"/>
              </w:rPr>
            </w:pPr>
            <w:r w:rsidRPr="006948E6">
              <w:rPr>
                <w:rFonts w:cs="Calibri"/>
                <w:iCs/>
                <w:sz w:val="24"/>
                <w:szCs w:val="24"/>
              </w:rPr>
              <w:t xml:space="preserve"> FY 2024-0</w:t>
            </w:r>
            <w:r w:rsidR="00C1533F">
              <w:rPr>
                <w:rFonts w:cs="Calibri"/>
                <w:iCs/>
                <w:sz w:val="24"/>
                <w:szCs w:val="24"/>
              </w:rPr>
              <w:t>2</w:t>
            </w:r>
          </w:p>
        </w:tc>
        <w:tc>
          <w:tcPr>
            <w:tcW w:w="4721" w:type="dxa"/>
          </w:tcPr>
          <w:p w14:paraId="4656634F" w14:textId="77777777" w:rsidR="006948E6" w:rsidRPr="0087265E" w:rsidRDefault="006948E6" w:rsidP="006948E6">
            <w:pPr>
              <w:rPr>
                <w:rFonts w:cs="Calibri"/>
                <w:b/>
                <w:bCs/>
                <w:iCs/>
                <w:sz w:val="24"/>
                <w:szCs w:val="24"/>
              </w:rPr>
            </w:pPr>
            <w:r w:rsidRPr="0087265E">
              <w:rPr>
                <w:rFonts w:cs="Calibri"/>
                <w:b/>
                <w:bCs/>
                <w:iCs/>
                <w:sz w:val="24"/>
                <w:szCs w:val="24"/>
              </w:rPr>
              <w:t xml:space="preserve">Employee Representative Documentation </w:t>
            </w:r>
          </w:p>
          <w:p w14:paraId="7B2C9B52" w14:textId="37A04354" w:rsidR="006948E6" w:rsidRPr="006948E6" w:rsidRDefault="006948E6" w:rsidP="006948E6">
            <w:pPr>
              <w:rPr>
                <w:rFonts w:cs="Calibri"/>
                <w:iCs/>
                <w:sz w:val="24"/>
                <w:szCs w:val="24"/>
              </w:rPr>
            </w:pPr>
            <w:r w:rsidRPr="006948E6">
              <w:rPr>
                <w:rFonts w:cs="Calibri"/>
                <w:iCs/>
                <w:sz w:val="24"/>
                <w:szCs w:val="24"/>
              </w:rPr>
              <w:t>In</w:t>
            </w:r>
            <w:r w:rsidR="007D1823">
              <w:rPr>
                <w:rFonts w:cs="Calibri"/>
                <w:iCs/>
                <w:sz w:val="24"/>
                <w:szCs w:val="24"/>
              </w:rPr>
              <w:t xml:space="preserve"> FY 2023,</w:t>
            </w:r>
            <w:r w:rsidRPr="006948E6">
              <w:rPr>
                <w:rFonts w:cs="Calibri"/>
                <w:iCs/>
                <w:sz w:val="24"/>
                <w:szCs w:val="24"/>
              </w:rPr>
              <w:t xml:space="preserve"> three of the three (100%) of the sites with union representation, the case file did not document if the collective bargaining </w:t>
            </w:r>
            <w:r w:rsidR="00965CC1">
              <w:rPr>
                <w:rFonts w:cs="Calibri"/>
                <w:iCs/>
                <w:sz w:val="24"/>
                <w:szCs w:val="24"/>
              </w:rPr>
              <w:t xml:space="preserve">representative </w:t>
            </w:r>
            <w:r w:rsidRPr="006948E6">
              <w:rPr>
                <w:rFonts w:cs="Calibri"/>
                <w:iCs/>
                <w:sz w:val="24"/>
                <w:szCs w:val="24"/>
              </w:rPr>
              <w:t xml:space="preserve">was provided with a copy </w:t>
            </w:r>
            <w:r w:rsidR="00EE54AB">
              <w:rPr>
                <w:rFonts w:cs="Calibri"/>
                <w:iCs/>
                <w:sz w:val="24"/>
                <w:szCs w:val="24"/>
              </w:rPr>
              <w:t xml:space="preserve">of </w:t>
            </w:r>
            <w:r w:rsidRPr="006948E6">
              <w:rPr>
                <w:rFonts w:cs="Calibri"/>
                <w:iCs/>
                <w:sz w:val="24"/>
                <w:szCs w:val="24"/>
              </w:rPr>
              <w:t>the citation.</w:t>
            </w:r>
          </w:p>
        </w:tc>
        <w:tc>
          <w:tcPr>
            <w:tcW w:w="4819" w:type="dxa"/>
          </w:tcPr>
          <w:p w14:paraId="794F9FE2" w14:textId="77777777" w:rsidR="006948E6" w:rsidRPr="006948E6" w:rsidRDefault="006948E6" w:rsidP="006948E6">
            <w:pPr>
              <w:rPr>
                <w:rFonts w:cs="Calibri"/>
                <w:iCs/>
                <w:sz w:val="24"/>
                <w:szCs w:val="24"/>
              </w:rPr>
            </w:pPr>
            <w:r w:rsidRPr="006948E6">
              <w:rPr>
                <w:rFonts w:cs="Calibri"/>
                <w:iCs/>
                <w:sz w:val="24"/>
                <w:szCs w:val="24"/>
              </w:rPr>
              <w:t>VOSH should ensure that a copy of the citations is sent to the employee representative in accordance with its FOM.</w:t>
            </w:r>
          </w:p>
          <w:p w14:paraId="64ED7873" w14:textId="77777777" w:rsidR="006948E6" w:rsidRDefault="006948E6" w:rsidP="006948E6">
            <w:pPr>
              <w:rPr>
                <w:rFonts w:cs="Calibri"/>
                <w:iCs/>
                <w:sz w:val="24"/>
                <w:szCs w:val="24"/>
              </w:rPr>
            </w:pPr>
            <w:r w:rsidRPr="006948E6">
              <w:rPr>
                <w:rFonts w:cs="Calibri"/>
                <w:iCs/>
                <w:sz w:val="24"/>
                <w:szCs w:val="24"/>
              </w:rPr>
              <w:t>Corrective action complete, awaiting verification.</w:t>
            </w:r>
          </w:p>
          <w:p w14:paraId="161A2031" w14:textId="77777777" w:rsidR="00C1533F" w:rsidRPr="006948E6" w:rsidRDefault="00C1533F" w:rsidP="006948E6">
            <w:pPr>
              <w:rPr>
                <w:rFonts w:cs="Calibri"/>
                <w:iCs/>
                <w:sz w:val="24"/>
                <w:szCs w:val="24"/>
              </w:rPr>
            </w:pPr>
          </w:p>
        </w:tc>
        <w:tc>
          <w:tcPr>
            <w:tcW w:w="1890" w:type="dxa"/>
          </w:tcPr>
          <w:p w14:paraId="0351C50E" w14:textId="77777777" w:rsidR="006948E6" w:rsidRPr="006948E6" w:rsidRDefault="006948E6" w:rsidP="006948E6">
            <w:pPr>
              <w:rPr>
                <w:rFonts w:cs="Calibri"/>
                <w:iCs/>
                <w:sz w:val="24"/>
                <w:szCs w:val="24"/>
              </w:rPr>
            </w:pPr>
            <w:r w:rsidRPr="006948E6">
              <w:rPr>
                <w:rFonts w:cs="Calibri"/>
                <w:iCs/>
                <w:sz w:val="24"/>
                <w:szCs w:val="24"/>
              </w:rPr>
              <w:t xml:space="preserve"> FY 2023-02</w:t>
            </w:r>
          </w:p>
        </w:tc>
      </w:tr>
    </w:tbl>
    <w:p w14:paraId="17FEBD03" w14:textId="77777777" w:rsidR="006948E6" w:rsidRPr="006948E6" w:rsidRDefault="006948E6" w:rsidP="006948E6">
      <w:pPr>
        <w:rPr>
          <w:rFonts w:ascii="Calibri" w:eastAsia="Times New Roman" w:hAnsi="Calibri" w:cs="Calibri"/>
          <w:iCs/>
          <w:kern w:val="0"/>
          <w:sz w:val="24"/>
          <w:szCs w:val="24"/>
          <w14:ligatures w14:val="none"/>
        </w:rPr>
      </w:pPr>
    </w:p>
    <w:p w14:paraId="22A5E8BE" w14:textId="77777777" w:rsidR="006948E6" w:rsidRPr="006948E6" w:rsidRDefault="006948E6" w:rsidP="006948E6">
      <w:pPr>
        <w:rPr>
          <w:rFonts w:ascii="Calibri" w:eastAsia="Times New Roman" w:hAnsi="Calibri" w:cs="Calibri"/>
          <w:iCs/>
          <w:kern w:val="0"/>
          <w:sz w:val="24"/>
          <w:szCs w:val="24"/>
          <w14:ligatures w14:val="none"/>
        </w:rPr>
      </w:pPr>
      <w:r w:rsidRPr="006948E6">
        <w:rPr>
          <w:rFonts w:ascii="Calibri" w:eastAsia="Times New Roman" w:hAnsi="Calibri" w:cs="Calibri"/>
          <w:iCs/>
          <w:kern w:val="0"/>
          <w:sz w:val="24"/>
          <w:szCs w:val="24"/>
          <w14:ligatures w14:val="none"/>
        </w:rPr>
        <w:br w:type="page"/>
      </w:r>
    </w:p>
    <w:p w14:paraId="51DE93E5" w14:textId="77777777" w:rsidR="006948E6" w:rsidRPr="006948E6" w:rsidRDefault="006948E6" w:rsidP="006948E6">
      <w:pPr>
        <w:keepNext/>
        <w:keepLines/>
        <w:widowControl w:val="0"/>
        <w:autoSpaceDE w:val="0"/>
        <w:autoSpaceDN w:val="0"/>
        <w:adjustRightInd w:val="0"/>
        <w:spacing w:before="120"/>
        <w:outlineLvl w:val="2"/>
        <w:rPr>
          <w:rFonts w:ascii="Calibri" w:eastAsia="Times New Roman" w:hAnsi="Calibri" w:cs="Calibri"/>
          <w:b/>
          <w:bCs/>
          <w:iCs/>
          <w:kern w:val="0"/>
          <w:sz w:val="28"/>
          <w:szCs w:val="28"/>
          <w14:ligatures w14:val="none"/>
        </w:rPr>
      </w:pPr>
      <w:bookmarkStart w:id="41" w:name="_Toc118905018"/>
      <w:bookmarkStart w:id="42" w:name="_Toc119418670"/>
      <w:r w:rsidRPr="006948E6">
        <w:rPr>
          <w:rFonts w:ascii="Calibri" w:eastAsia="Times New Roman" w:hAnsi="Calibri" w:cs="Calibri"/>
          <w:b/>
          <w:bCs/>
          <w:iCs/>
          <w:kern w:val="0"/>
          <w:sz w:val="28"/>
          <w:szCs w:val="28"/>
          <w14:ligatures w14:val="none"/>
        </w:rPr>
        <w:lastRenderedPageBreak/>
        <w:t>Appendix B – Observations Subject to Continued Monitoring</w:t>
      </w:r>
      <w:bookmarkEnd w:id="41"/>
      <w:bookmarkEnd w:id="42"/>
    </w:p>
    <w:p w14:paraId="62DC8DFC" w14:textId="15B9CE57" w:rsidR="006948E6" w:rsidRPr="006948E6" w:rsidRDefault="001D229B" w:rsidP="006948E6">
      <w:pPr>
        <w:widowControl w:val="0"/>
        <w:autoSpaceDE w:val="0"/>
        <w:autoSpaceDN w:val="0"/>
        <w:adjustRightInd w:val="0"/>
        <w:rPr>
          <w:rFonts w:ascii="Calibri" w:eastAsia="Times New Roman" w:hAnsi="Calibri" w:cs="Times New Roman"/>
          <w:iCs/>
          <w:kern w:val="0"/>
          <w:sz w:val="24"/>
          <w:szCs w:val="24"/>
          <w14:ligatures w14:val="none"/>
        </w:rPr>
      </w:pPr>
      <w:r w:rsidRPr="006948E6">
        <w:rPr>
          <w:rFonts w:ascii="Calibri" w:eastAsia="Times New Roman" w:hAnsi="Calibri" w:cs="Times New Roman"/>
          <w:iCs/>
          <w:kern w:val="0"/>
          <w:sz w:val="24"/>
          <w:szCs w:val="24"/>
          <w14:ligatures w14:val="none"/>
        </w:rPr>
        <w:t>V</w:t>
      </w:r>
      <w:r>
        <w:rPr>
          <w:rFonts w:ascii="Calibri" w:eastAsia="Times New Roman" w:hAnsi="Calibri" w:cs="Times New Roman"/>
          <w:iCs/>
          <w:kern w:val="0"/>
          <w:sz w:val="24"/>
          <w:szCs w:val="24"/>
          <w14:ligatures w14:val="none"/>
        </w:rPr>
        <w:t>OSH</w:t>
      </w:r>
      <w:r w:rsidRPr="006948E6">
        <w:rPr>
          <w:rFonts w:ascii="Calibri" w:eastAsia="Times New Roman" w:hAnsi="Calibri" w:cs="Times New Roman"/>
          <w:iCs/>
          <w:kern w:val="0"/>
          <w:sz w:val="24"/>
          <w:szCs w:val="24"/>
          <w14:ligatures w14:val="none"/>
        </w:rPr>
        <w:t xml:space="preserve"> </w:t>
      </w:r>
      <w:r w:rsidR="006948E6" w:rsidRPr="006948E6">
        <w:rPr>
          <w:rFonts w:ascii="Calibri" w:eastAsia="Times New Roman" w:hAnsi="Calibri" w:cs="Times New Roman"/>
          <w:iCs/>
          <w:kern w:val="0"/>
          <w:sz w:val="24"/>
          <w:szCs w:val="24"/>
          <w14:ligatures w14:val="none"/>
        </w:rPr>
        <w:t>FY 2024 Follow-up FAME Report</w:t>
      </w:r>
    </w:p>
    <w:p w14:paraId="21116ACF" w14:textId="77777777" w:rsidR="006948E6" w:rsidRPr="006948E6" w:rsidRDefault="006948E6" w:rsidP="006948E6">
      <w:pPr>
        <w:rPr>
          <w:rFonts w:ascii="Calibri" w:eastAsia="Times New Roman" w:hAnsi="Calibri" w:cs="Calibri"/>
          <w:iCs/>
          <w:kern w:val="0"/>
          <w:sz w:val="24"/>
          <w:szCs w:val="24"/>
          <w14:ligatures w14:val="none"/>
        </w:rPr>
        <w:sectPr w:rsidR="006948E6" w:rsidRPr="006948E6" w:rsidSect="006948E6">
          <w:headerReference w:type="default" r:id="rId12"/>
          <w:footerReference w:type="default" r:id="rId13"/>
          <w:headerReference w:type="first" r:id="rId14"/>
          <w:footerReference w:type="first" r:id="rId15"/>
          <w:type w:val="continuous"/>
          <w:pgSz w:w="15840" w:h="12240" w:orient="landscape"/>
          <w:pgMar w:top="1440" w:right="1440" w:bottom="1440" w:left="1440" w:header="720" w:footer="720" w:gutter="0"/>
          <w:cols w:space="720"/>
          <w:titlePg/>
          <w:docGrid w:linePitch="360"/>
        </w:sectPr>
      </w:pPr>
    </w:p>
    <w:tbl>
      <w:tblPr>
        <w:tblStyle w:val="TableGrid"/>
        <w:tblW w:w="13590" w:type="dxa"/>
        <w:tblInd w:w="-95" w:type="dxa"/>
        <w:tblLook w:val="04A0" w:firstRow="1" w:lastRow="0" w:firstColumn="1" w:lastColumn="0" w:noHBand="0" w:noVBand="1"/>
      </w:tblPr>
      <w:tblGrid>
        <w:gridCol w:w="1800"/>
        <w:gridCol w:w="2070"/>
        <w:gridCol w:w="4229"/>
        <w:gridCol w:w="3691"/>
        <w:gridCol w:w="1800"/>
      </w:tblGrid>
      <w:tr w:rsidR="006948E6" w:rsidRPr="006948E6" w14:paraId="5AD50A72" w14:textId="77777777" w:rsidTr="00D82E13">
        <w:trPr>
          <w:cantSplit/>
          <w:tblHeader/>
        </w:trPr>
        <w:tc>
          <w:tcPr>
            <w:tcW w:w="1800" w:type="dxa"/>
          </w:tcPr>
          <w:p w14:paraId="343B514E" w14:textId="77777777" w:rsidR="006948E6" w:rsidRPr="006948E6" w:rsidRDefault="006948E6" w:rsidP="006948E6">
            <w:pPr>
              <w:rPr>
                <w:rFonts w:cs="Calibri"/>
                <w:b/>
                <w:iCs/>
                <w:sz w:val="24"/>
                <w:szCs w:val="24"/>
              </w:rPr>
            </w:pPr>
            <w:r w:rsidRPr="006948E6">
              <w:rPr>
                <w:rFonts w:cs="Calibri"/>
                <w:b/>
                <w:iCs/>
                <w:sz w:val="24"/>
                <w:szCs w:val="24"/>
              </w:rPr>
              <w:t>Observation #</w:t>
            </w:r>
          </w:p>
          <w:p w14:paraId="62AAE976" w14:textId="77777777" w:rsidR="006948E6" w:rsidRPr="006948E6" w:rsidRDefault="006948E6" w:rsidP="006948E6">
            <w:pPr>
              <w:rPr>
                <w:rFonts w:cs="Calibri"/>
                <w:b/>
                <w:iCs/>
                <w:sz w:val="24"/>
                <w:szCs w:val="24"/>
              </w:rPr>
            </w:pPr>
            <w:r w:rsidRPr="006948E6">
              <w:rPr>
                <w:rFonts w:cs="Calibri"/>
                <w:b/>
                <w:iCs/>
                <w:sz w:val="24"/>
                <w:szCs w:val="24"/>
              </w:rPr>
              <w:t>FY 20XX-OB-#</w:t>
            </w:r>
          </w:p>
          <w:p w14:paraId="51CB42AF" w14:textId="77777777" w:rsidR="006948E6" w:rsidRPr="006948E6" w:rsidRDefault="006948E6" w:rsidP="006948E6">
            <w:pPr>
              <w:rPr>
                <w:rFonts w:cs="Calibri"/>
                <w:iCs/>
                <w:sz w:val="24"/>
                <w:szCs w:val="24"/>
              </w:rPr>
            </w:pPr>
          </w:p>
        </w:tc>
        <w:tc>
          <w:tcPr>
            <w:tcW w:w="2070" w:type="dxa"/>
          </w:tcPr>
          <w:p w14:paraId="7DCA2636" w14:textId="77777777" w:rsidR="006948E6" w:rsidRPr="006948E6" w:rsidRDefault="006948E6" w:rsidP="006948E6">
            <w:pPr>
              <w:rPr>
                <w:rFonts w:cs="Calibri"/>
                <w:b/>
                <w:iCs/>
                <w:sz w:val="24"/>
                <w:szCs w:val="24"/>
              </w:rPr>
            </w:pPr>
            <w:r w:rsidRPr="006948E6">
              <w:rPr>
                <w:rFonts w:cs="Calibri"/>
                <w:b/>
                <w:iCs/>
                <w:sz w:val="24"/>
                <w:szCs w:val="24"/>
              </w:rPr>
              <w:t>Observation#</w:t>
            </w:r>
          </w:p>
          <w:p w14:paraId="4F28E25F" w14:textId="77777777" w:rsidR="006948E6" w:rsidRPr="006948E6" w:rsidRDefault="006948E6" w:rsidP="006948E6">
            <w:pPr>
              <w:rPr>
                <w:rFonts w:cs="Calibri"/>
                <w:iCs/>
                <w:sz w:val="24"/>
                <w:szCs w:val="24"/>
              </w:rPr>
            </w:pPr>
            <w:r w:rsidRPr="006948E6">
              <w:rPr>
                <w:rFonts w:cs="Calibri"/>
                <w:b/>
                <w:iCs/>
                <w:sz w:val="24"/>
                <w:szCs w:val="24"/>
              </w:rPr>
              <w:t>FY 2023-OB-# or FY 2023-#</w:t>
            </w:r>
          </w:p>
        </w:tc>
        <w:tc>
          <w:tcPr>
            <w:tcW w:w="4229" w:type="dxa"/>
          </w:tcPr>
          <w:p w14:paraId="6E8140FB" w14:textId="77777777" w:rsidR="006948E6" w:rsidRPr="006948E6" w:rsidRDefault="006948E6" w:rsidP="006948E6">
            <w:pPr>
              <w:rPr>
                <w:rFonts w:cs="Calibri"/>
                <w:iCs/>
                <w:sz w:val="24"/>
                <w:szCs w:val="24"/>
              </w:rPr>
            </w:pPr>
            <w:r w:rsidRPr="006948E6">
              <w:rPr>
                <w:rFonts w:cs="Calibri"/>
                <w:b/>
                <w:iCs/>
                <w:sz w:val="24"/>
                <w:szCs w:val="24"/>
              </w:rPr>
              <w:t>Observation</w:t>
            </w:r>
          </w:p>
        </w:tc>
        <w:tc>
          <w:tcPr>
            <w:tcW w:w="3691" w:type="dxa"/>
          </w:tcPr>
          <w:p w14:paraId="6FA6E1A7" w14:textId="77777777" w:rsidR="006948E6" w:rsidRPr="006948E6" w:rsidRDefault="006948E6" w:rsidP="006948E6">
            <w:pPr>
              <w:rPr>
                <w:rFonts w:cs="Calibri"/>
                <w:iCs/>
                <w:sz w:val="24"/>
                <w:szCs w:val="24"/>
              </w:rPr>
            </w:pPr>
            <w:r w:rsidRPr="006948E6">
              <w:rPr>
                <w:rFonts w:cs="Calibri"/>
                <w:b/>
                <w:iCs/>
                <w:sz w:val="24"/>
                <w:szCs w:val="24"/>
              </w:rPr>
              <w:t>Federal Monitoring Plan</w:t>
            </w:r>
          </w:p>
        </w:tc>
        <w:tc>
          <w:tcPr>
            <w:tcW w:w="1800" w:type="dxa"/>
          </w:tcPr>
          <w:p w14:paraId="702BC943" w14:textId="77777777" w:rsidR="006948E6" w:rsidRPr="006948E6" w:rsidRDefault="006948E6" w:rsidP="006948E6">
            <w:pPr>
              <w:rPr>
                <w:rFonts w:cs="Calibri"/>
                <w:b/>
                <w:iCs/>
                <w:sz w:val="24"/>
                <w:szCs w:val="24"/>
              </w:rPr>
            </w:pPr>
            <w:r w:rsidRPr="006948E6">
              <w:rPr>
                <w:rFonts w:cs="Calibri"/>
                <w:b/>
                <w:iCs/>
                <w:sz w:val="24"/>
                <w:szCs w:val="24"/>
              </w:rPr>
              <w:t>Current Status</w:t>
            </w:r>
          </w:p>
        </w:tc>
      </w:tr>
      <w:tr w:rsidR="006948E6" w:rsidRPr="006948E6" w14:paraId="0C0D52E6" w14:textId="77777777" w:rsidTr="00D82E13">
        <w:trPr>
          <w:cantSplit/>
        </w:trPr>
        <w:tc>
          <w:tcPr>
            <w:tcW w:w="1800" w:type="dxa"/>
          </w:tcPr>
          <w:p w14:paraId="39FEA20A" w14:textId="77777777" w:rsidR="006948E6" w:rsidRPr="006948E6" w:rsidRDefault="006948E6" w:rsidP="006948E6">
            <w:pPr>
              <w:rPr>
                <w:rFonts w:cs="Calibri"/>
                <w:iCs/>
                <w:sz w:val="24"/>
                <w:szCs w:val="24"/>
              </w:rPr>
            </w:pPr>
            <w:r w:rsidRPr="006948E6">
              <w:rPr>
                <w:rFonts w:cs="Calibri"/>
                <w:iCs/>
                <w:sz w:val="24"/>
                <w:szCs w:val="24"/>
              </w:rPr>
              <w:t>FY 2024-OB-01</w:t>
            </w:r>
          </w:p>
          <w:p w14:paraId="789B1F50" w14:textId="77777777" w:rsidR="006948E6" w:rsidRPr="006948E6" w:rsidRDefault="006948E6" w:rsidP="006948E6">
            <w:pPr>
              <w:rPr>
                <w:rFonts w:cs="Calibri"/>
                <w:iCs/>
                <w:sz w:val="24"/>
                <w:szCs w:val="24"/>
              </w:rPr>
            </w:pPr>
          </w:p>
        </w:tc>
        <w:tc>
          <w:tcPr>
            <w:tcW w:w="2070" w:type="dxa"/>
          </w:tcPr>
          <w:p w14:paraId="720D3D6A" w14:textId="77777777" w:rsidR="006948E6" w:rsidRPr="006948E6" w:rsidRDefault="006948E6" w:rsidP="006948E6">
            <w:pPr>
              <w:rPr>
                <w:rFonts w:cs="Calibri"/>
                <w:iCs/>
                <w:sz w:val="24"/>
                <w:szCs w:val="24"/>
              </w:rPr>
            </w:pPr>
            <w:r w:rsidRPr="006948E6">
              <w:rPr>
                <w:rFonts w:cs="Calibri"/>
                <w:iCs/>
                <w:sz w:val="24"/>
                <w:szCs w:val="24"/>
              </w:rPr>
              <w:t>FY 2023-OB-01</w:t>
            </w:r>
          </w:p>
          <w:p w14:paraId="00FA075E" w14:textId="77777777" w:rsidR="006948E6" w:rsidRPr="006948E6" w:rsidRDefault="006948E6" w:rsidP="006948E6">
            <w:pPr>
              <w:rPr>
                <w:rFonts w:cs="Calibri"/>
                <w:iCs/>
                <w:sz w:val="24"/>
                <w:szCs w:val="24"/>
              </w:rPr>
            </w:pPr>
          </w:p>
        </w:tc>
        <w:tc>
          <w:tcPr>
            <w:tcW w:w="4229" w:type="dxa"/>
          </w:tcPr>
          <w:p w14:paraId="12F95E5E" w14:textId="77777777" w:rsidR="006948E6" w:rsidRPr="0087265E" w:rsidRDefault="006948E6" w:rsidP="006948E6">
            <w:pPr>
              <w:rPr>
                <w:rFonts w:cs="Calibri"/>
                <w:b/>
                <w:iCs/>
                <w:sz w:val="24"/>
                <w:szCs w:val="24"/>
              </w:rPr>
            </w:pPr>
            <w:r w:rsidRPr="0087265E">
              <w:rPr>
                <w:rFonts w:cs="Calibri"/>
                <w:b/>
                <w:iCs/>
                <w:sz w:val="24"/>
                <w:szCs w:val="24"/>
              </w:rPr>
              <w:t>UPA Coding</w:t>
            </w:r>
          </w:p>
          <w:p w14:paraId="03A5FEFD" w14:textId="3B104901" w:rsidR="006948E6" w:rsidRPr="006948E6" w:rsidRDefault="006948E6" w:rsidP="006948E6">
            <w:pPr>
              <w:rPr>
                <w:rFonts w:cs="Calibri"/>
                <w:bCs/>
                <w:iCs/>
                <w:sz w:val="24"/>
                <w:szCs w:val="24"/>
              </w:rPr>
            </w:pPr>
            <w:r w:rsidRPr="006948E6">
              <w:rPr>
                <w:rFonts w:cs="Calibri"/>
                <w:bCs/>
                <w:iCs/>
                <w:sz w:val="24"/>
                <w:szCs w:val="24"/>
              </w:rPr>
              <w:t>In four of the 50 (8%) programmed inspections reviewed</w:t>
            </w:r>
            <w:r w:rsidR="007D1823">
              <w:rPr>
                <w:rFonts w:cs="Calibri"/>
                <w:bCs/>
                <w:iCs/>
                <w:sz w:val="24"/>
                <w:szCs w:val="24"/>
              </w:rPr>
              <w:t xml:space="preserve"> in FY 2023</w:t>
            </w:r>
            <w:r w:rsidRPr="006948E6">
              <w:rPr>
                <w:rFonts w:cs="Calibri"/>
                <w:bCs/>
                <w:iCs/>
                <w:sz w:val="24"/>
                <w:szCs w:val="24"/>
              </w:rPr>
              <w:t xml:space="preserve">, it was determined that the inspections were initiated in response to a complaint or referral and were not coded as UPA.  </w:t>
            </w:r>
          </w:p>
          <w:p w14:paraId="1233EFCA" w14:textId="77777777" w:rsidR="006948E6" w:rsidRPr="006948E6" w:rsidRDefault="006948E6" w:rsidP="006948E6">
            <w:pPr>
              <w:rPr>
                <w:rFonts w:cs="Calibri"/>
                <w:iCs/>
                <w:sz w:val="24"/>
                <w:szCs w:val="24"/>
              </w:rPr>
            </w:pPr>
          </w:p>
        </w:tc>
        <w:tc>
          <w:tcPr>
            <w:tcW w:w="3691" w:type="dxa"/>
          </w:tcPr>
          <w:p w14:paraId="6D82D93B" w14:textId="3F56E30F" w:rsidR="006948E6" w:rsidRPr="006948E6" w:rsidRDefault="006948E6" w:rsidP="006948E6">
            <w:pPr>
              <w:rPr>
                <w:rFonts w:cs="Calibri"/>
                <w:bCs/>
                <w:iCs/>
                <w:sz w:val="24"/>
                <w:szCs w:val="24"/>
              </w:rPr>
            </w:pPr>
            <w:r w:rsidRPr="006948E6">
              <w:rPr>
                <w:rFonts w:cs="Calibri"/>
                <w:bCs/>
                <w:iCs/>
                <w:sz w:val="24"/>
                <w:szCs w:val="24"/>
              </w:rPr>
              <w:t xml:space="preserve">OSHA will conduct a review of Serious Event Reports and complaints to determine how often complaints and referral related inspections are coded as programmed and if coding inconsistencies have any impact </w:t>
            </w:r>
            <w:r w:rsidR="00EE54AB" w:rsidRPr="006948E6">
              <w:rPr>
                <w:rFonts w:cs="Calibri"/>
                <w:bCs/>
                <w:iCs/>
                <w:sz w:val="24"/>
                <w:szCs w:val="24"/>
              </w:rPr>
              <w:t>on</w:t>
            </w:r>
            <w:r w:rsidRPr="006948E6">
              <w:rPr>
                <w:rFonts w:cs="Calibri"/>
                <w:bCs/>
                <w:iCs/>
                <w:sz w:val="24"/>
                <w:szCs w:val="24"/>
              </w:rPr>
              <w:t xml:space="preserve"> the VOSH Program.  </w:t>
            </w:r>
          </w:p>
          <w:p w14:paraId="4FD4A182" w14:textId="77777777" w:rsidR="006948E6" w:rsidRPr="006948E6" w:rsidRDefault="006948E6" w:rsidP="006948E6">
            <w:pPr>
              <w:rPr>
                <w:rFonts w:cs="Calibri"/>
                <w:iCs/>
                <w:sz w:val="24"/>
                <w:szCs w:val="24"/>
              </w:rPr>
            </w:pPr>
          </w:p>
        </w:tc>
        <w:tc>
          <w:tcPr>
            <w:tcW w:w="1800" w:type="dxa"/>
          </w:tcPr>
          <w:p w14:paraId="2B44DE35" w14:textId="77777777" w:rsidR="006948E6" w:rsidRPr="006948E6" w:rsidRDefault="006948E6" w:rsidP="006948E6">
            <w:pPr>
              <w:rPr>
                <w:rFonts w:cs="Calibri"/>
                <w:iCs/>
                <w:sz w:val="24"/>
                <w:szCs w:val="24"/>
              </w:rPr>
            </w:pPr>
            <w:r w:rsidRPr="006948E6">
              <w:rPr>
                <w:rFonts w:cs="Calibri"/>
                <w:iCs/>
                <w:sz w:val="24"/>
                <w:szCs w:val="24"/>
              </w:rPr>
              <w:t>Continued</w:t>
            </w:r>
          </w:p>
        </w:tc>
      </w:tr>
      <w:tr w:rsidR="006948E6" w:rsidRPr="006948E6" w14:paraId="3A1F7235" w14:textId="77777777" w:rsidTr="00D82E13">
        <w:trPr>
          <w:cantSplit/>
        </w:trPr>
        <w:tc>
          <w:tcPr>
            <w:tcW w:w="1800" w:type="dxa"/>
          </w:tcPr>
          <w:p w14:paraId="76320B82" w14:textId="77777777" w:rsidR="006948E6" w:rsidRPr="006948E6" w:rsidRDefault="006948E6" w:rsidP="006948E6">
            <w:pPr>
              <w:rPr>
                <w:rFonts w:cs="Calibri"/>
                <w:iCs/>
                <w:sz w:val="24"/>
                <w:szCs w:val="24"/>
              </w:rPr>
            </w:pPr>
            <w:r w:rsidRPr="006948E6">
              <w:rPr>
                <w:rFonts w:cs="Calibri"/>
                <w:iCs/>
                <w:sz w:val="24"/>
                <w:szCs w:val="24"/>
              </w:rPr>
              <w:t>FY 2024-OB-02</w:t>
            </w:r>
          </w:p>
          <w:p w14:paraId="78F05EC7" w14:textId="77777777" w:rsidR="006948E6" w:rsidRPr="006948E6" w:rsidRDefault="006948E6" w:rsidP="006948E6">
            <w:pPr>
              <w:rPr>
                <w:rFonts w:cs="Calibri"/>
                <w:iCs/>
                <w:sz w:val="24"/>
                <w:szCs w:val="24"/>
              </w:rPr>
            </w:pPr>
          </w:p>
        </w:tc>
        <w:tc>
          <w:tcPr>
            <w:tcW w:w="2070" w:type="dxa"/>
          </w:tcPr>
          <w:p w14:paraId="3870EF81" w14:textId="77777777" w:rsidR="006948E6" w:rsidRPr="006948E6" w:rsidRDefault="006948E6" w:rsidP="006948E6">
            <w:pPr>
              <w:rPr>
                <w:rFonts w:cs="Calibri"/>
                <w:iCs/>
                <w:sz w:val="24"/>
                <w:szCs w:val="24"/>
              </w:rPr>
            </w:pPr>
            <w:r w:rsidRPr="006948E6">
              <w:rPr>
                <w:rFonts w:cs="Calibri"/>
                <w:iCs/>
                <w:sz w:val="24"/>
                <w:szCs w:val="24"/>
              </w:rPr>
              <w:t>FY 2023-OB-02</w:t>
            </w:r>
          </w:p>
        </w:tc>
        <w:tc>
          <w:tcPr>
            <w:tcW w:w="4229" w:type="dxa"/>
          </w:tcPr>
          <w:p w14:paraId="5FA10167" w14:textId="77777777" w:rsidR="006948E6" w:rsidRPr="0087265E" w:rsidRDefault="006948E6" w:rsidP="006948E6">
            <w:pPr>
              <w:rPr>
                <w:rFonts w:cs="Calibri"/>
                <w:b/>
                <w:iCs/>
                <w:sz w:val="24"/>
                <w:szCs w:val="24"/>
              </w:rPr>
            </w:pPr>
            <w:r w:rsidRPr="0087265E">
              <w:rPr>
                <w:rFonts w:cs="Calibri"/>
                <w:b/>
                <w:iCs/>
                <w:sz w:val="24"/>
                <w:szCs w:val="24"/>
              </w:rPr>
              <w:t>Prima Facie Case File Documentation</w:t>
            </w:r>
          </w:p>
          <w:p w14:paraId="3EBFA895" w14:textId="4ABC91E1" w:rsidR="006948E6" w:rsidRPr="006948E6" w:rsidRDefault="006948E6" w:rsidP="006948E6">
            <w:pPr>
              <w:rPr>
                <w:rFonts w:cs="Calibri"/>
                <w:bCs/>
                <w:iCs/>
                <w:sz w:val="24"/>
                <w:szCs w:val="24"/>
              </w:rPr>
            </w:pPr>
            <w:r w:rsidRPr="006948E6">
              <w:rPr>
                <w:rFonts w:cs="Calibri"/>
                <w:bCs/>
                <w:iCs/>
                <w:sz w:val="24"/>
                <w:szCs w:val="24"/>
              </w:rPr>
              <w:t xml:space="preserve">In </w:t>
            </w:r>
            <w:r w:rsidR="007D1823">
              <w:rPr>
                <w:rFonts w:cs="Calibri"/>
                <w:bCs/>
                <w:iCs/>
                <w:sz w:val="24"/>
                <w:szCs w:val="24"/>
              </w:rPr>
              <w:t xml:space="preserve">FY 2023, in </w:t>
            </w:r>
            <w:r w:rsidRPr="006948E6">
              <w:rPr>
                <w:rFonts w:cs="Calibri"/>
                <w:bCs/>
                <w:iCs/>
                <w:sz w:val="24"/>
                <w:szCs w:val="24"/>
              </w:rPr>
              <w:t>two of the seven (29%) fatality cases with violations, a hazard worksheet identifying the prima facie elements was not completed.</w:t>
            </w:r>
          </w:p>
          <w:p w14:paraId="59B31FA3" w14:textId="77777777" w:rsidR="006948E6" w:rsidRPr="006948E6" w:rsidRDefault="006948E6" w:rsidP="006948E6">
            <w:pPr>
              <w:rPr>
                <w:rFonts w:cs="Calibri"/>
                <w:iCs/>
                <w:sz w:val="24"/>
                <w:szCs w:val="24"/>
              </w:rPr>
            </w:pPr>
          </w:p>
        </w:tc>
        <w:tc>
          <w:tcPr>
            <w:tcW w:w="3691" w:type="dxa"/>
          </w:tcPr>
          <w:p w14:paraId="47D1A34E" w14:textId="77777777" w:rsidR="006948E6" w:rsidRPr="006948E6" w:rsidRDefault="006948E6" w:rsidP="006948E6">
            <w:pPr>
              <w:rPr>
                <w:rFonts w:cs="Calibri"/>
                <w:bCs/>
                <w:iCs/>
                <w:sz w:val="24"/>
                <w:szCs w:val="24"/>
              </w:rPr>
            </w:pPr>
            <w:r w:rsidRPr="006948E6">
              <w:rPr>
                <w:rFonts w:cs="Calibri"/>
                <w:bCs/>
                <w:iCs/>
                <w:sz w:val="24"/>
                <w:szCs w:val="24"/>
              </w:rPr>
              <w:t xml:space="preserve">OSHA will conduct a review of fatality case files issued with violations to determine if VOSH is consistently identifying the prima facie elements in the hazard worksheets.    </w:t>
            </w:r>
          </w:p>
          <w:p w14:paraId="5072C12D" w14:textId="77777777" w:rsidR="006948E6" w:rsidRPr="006948E6" w:rsidRDefault="006948E6" w:rsidP="006948E6">
            <w:pPr>
              <w:rPr>
                <w:rFonts w:cs="Calibri"/>
                <w:iCs/>
                <w:sz w:val="24"/>
                <w:szCs w:val="24"/>
              </w:rPr>
            </w:pPr>
          </w:p>
        </w:tc>
        <w:tc>
          <w:tcPr>
            <w:tcW w:w="1800" w:type="dxa"/>
          </w:tcPr>
          <w:p w14:paraId="5D69AD05" w14:textId="77777777" w:rsidR="006948E6" w:rsidRPr="006948E6" w:rsidRDefault="006948E6" w:rsidP="006948E6">
            <w:pPr>
              <w:rPr>
                <w:rFonts w:cs="Calibri"/>
                <w:iCs/>
                <w:sz w:val="24"/>
                <w:szCs w:val="24"/>
              </w:rPr>
            </w:pPr>
            <w:r w:rsidRPr="006948E6">
              <w:rPr>
                <w:rFonts w:cs="Calibri"/>
                <w:iCs/>
                <w:sz w:val="24"/>
                <w:szCs w:val="24"/>
              </w:rPr>
              <w:t>Continued</w:t>
            </w:r>
          </w:p>
        </w:tc>
      </w:tr>
      <w:tr w:rsidR="006948E6" w:rsidRPr="006948E6" w14:paraId="1098BFD1" w14:textId="77777777" w:rsidTr="00D82E13">
        <w:trPr>
          <w:cantSplit/>
        </w:trPr>
        <w:tc>
          <w:tcPr>
            <w:tcW w:w="1800" w:type="dxa"/>
          </w:tcPr>
          <w:p w14:paraId="636D297A" w14:textId="77777777" w:rsidR="006948E6" w:rsidRPr="006948E6" w:rsidRDefault="006948E6" w:rsidP="006948E6">
            <w:pPr>
              <w:rPr>
                <w:rFonts w:cs="Calibri"/>
                <w:iCs/>
                <w:sz w:val="24"/>
                <w:szCs w:val="24"/>
              </w:rPr>
            </w:pPr>
            <w:r w:rsidRPr="006948E6">
              <w:rPr>
                <w:rFonts w:cs="Calibri"/>
                <w:iCs/>
                <w:sz w:val="24"/>
                <w:szCs w:val="24"/>
              </w:rPr>
              <w:t>FY 2024-OB-03</w:t>
            </w:r>
          </w:p>
        </w:tc>
        <w:tc>
          <w:tcPr>
            <w:tcW w:w="2070" w:type="dxa"/>
          </w:tcPr>
          <w:p w14:paraId="6DDD1F6F" w14:textId="77777777" w:rsidR="006948E6" w:rsidRPr="006948E6" w:rsidRDefault="006948E6" w:rsidP="006948E6">
            <w:pPr>
              <w:rPr>
                <w:rFonts w:cs="Calibri"/>
                <w:iCs/>
                <w:sz w:val="24"/>
                <w:szCs w:val="24"/>
              </w:rPr>
            </w:pPr>
            <w:r w:rsidRPr="006948E6">
              <w:rPr>
                <w:rFonts w:cs="Calibri"/>
                <w:iCs/>
                <w:sz w:val="24"/>
                <w:szCs w:val="24"/>
              </w:rPr>
              <w:t>FY 2023-OB-03</w:t>
            </w:r>
          </w:p>
        </w:tc>
        <w:tc>
          <w:tcPr>
            <w:tcW w:w="4229" w:type="dxa"/>
          </w:tcPr>
          <w:p w14:paraId="570BD7AA" w14:textId="77777777" w:rsidR="006948E6" w:rsidRPr="0087265E" w:rsidRDefault="006948E6" w:rsidP="006948E6">
            <w:pPr>
              <w:rPr>
                <w:rFonts w:cs="Calibri"/>
                <w:b/>
                <w:bCs/>
                <w:iCs/>
                <w:sz w:val="24"/>
                <w:szCs w:val="24"/>
              </w:rPr>
            </w:pPr>
            <w:r w:rsidRPr="0087265E">
              <w:rPr>
                <w:rFonts w:cs="Calibri"/>
                <w:b/>
                <w:bCs/>
                <w:iCs/>
                <w:sz w:val="24"/>
                <w:szCs w:val="24"/>
              </w:rPr>
              <w:t>Whistleblower Complaint Screening</w:t>
            </w:r>
          </w:p>
          <w:p w14:paraId="7C5D75C9" w14:textId="4F23D05D" w:rsidR="006948E6" w:rsidRPr="006948E6" w:rsidRDefault="007D1823" w:rsidP="006948E6">
            <w:pPr>
              <w:rPr>
                <w:rFonts w:cs="Calibri"/>
                <w:iCs/>
                <w:sz w:val="24"/>
                <w:szCs w:val="24"/>
              </w:rPr>
            </w:pPr>
            <w:r>
              <w:rPr>
                <w:rFonts w:cs="Calibri"/>
                <w:iCs/>
                <w:sz w:val="24"/>
                <w:szCs w:val="24"/>
              </w:rPr>
              <w:t xml:space="preserve">In FY 2023, </w:t>
            </w:r>
            <w:r w:rsidR="006948E6" w:rsidRPr="006948E6">
              <w:rPr>
                <w:rFonts w:cs="Calibri"/>
                <w:iCs/>
                <w:sz w:val="24"/>
                <w:szCs w:val="24"/>
              </w:rPr>
              <w:t>VOSH closed nine of 30 (30%) of administratively closed whistleblower cases for lack of cooperation for not completing the required questionnaire and providing evidence within 10 days.</w:t>
            </w:r>
          </w:p>
        </w:tc>
        <w:tc>
          <w:tcPr>
            <w:tcW w:w="3691" w:type="dxa"/>
          </w:tcPr>
          <w:p w14:paraId="287CA8D7" w14:textId="77777777" w:rsidR="006948E6" w:rsidRPr="006948E6" w:rsidRDefault="006948E6" w:rsidP="006948E6">
            <w:pPr>
              <w:rPr>
                <w:rFonts w:cs="Calibri"/>
                <w:iCs/>
                <w:sz w:val="24"/>
                <w:szCs w:val="24"/>
              </w:rPr>
            </w:pPr>
            <w:r w:rsidRPr="006948E6">
              <w:rPr>
                <w:rFonts w:cs="Calibri"/>
                <w:iCs/>
                <w:sz w:val="24"/>
                <w:szCs w:val="24"/>
              </w:rPr>
              <w:t>OSHA will discuss the importance of conducting verbal screening interviews and continue to evaluate the effect of using only a screening form and continue to evaluate administratively closed files in FY 2025.</w:t>
            </w:r>
          </w:p>
          <w:p w14:paraId="51660DA8" w14:textId="77777777" w:rsidR="006948E6" w:rsidRPr="006948E6" w:rsidRDefault="006948E6" w:rsidP="006948E6">
            <w:pPr>
              <w:rPr>
                <w:rFonts w:cs="Calibri"/>
                <w:iCs/>
                <w:sz w:val="24"/>
                <w:szCs w:val="24"/>
              </w:rPr>
            </w:pPr>
          </w:p>
        </w:tc>
        <w:tc>
          <w:tcPr>
            <w:tcW w:w="1800" w:type="dxa"/>
          </w:tcPr>
          <w:p w14:paraId="5326BFCB" w14:textId="77777777" w:rsidR="006948E6" w:rsidRPr="006948E6" w:rsidRDefault="006948E6" w:rsidP="006948E6">
            <w:pPr>
              <w:rPr>
                <w:rFonts w:cs="Calibri"/>
                <w:iCs/>
                <w:sz w:val="24"/>
                <w:szCs w:val="24"/>
              </w:rPr>
            </w:pPr>
            <w:r w:rsidRPr="006948E6">
              <w:rPr>
                <w:rFonts w:cs="Calibri"/>
                <w:iCs/>
                <w:sz w:val="24"/>
                <w:szCs w:val="24"/>
              </w:rPr>
              <w:t>Continued</w:t>
            </w:r>
          </w:p>
        </w:tc>
      </w:tr>
    </w:tbl>
    <w:p w14:paraId="4F036C13" w14:textId="77777777" w:rsidR="006948E6" w:rsidRPr="006948E6" w:rsidRDefault="006948E6" w:rsidP="006948E6">
      <w:pPr>
        <w:widowControl w:val="0"/>
        <w:tabs>
          <w:tab w:val="left" w:pos="6980"/>
        </w:tabs>
        <w:autoSpaceDE w:val="0"/>
        <w:autoSpaceDN w:val="0"/>
        <w:adjustRightInd w:val="0"/>
        <w:rPr>
          <w:rFonts w:ascii="Calibri" w:eastAsia="Times New Roman" w:hAnsi="Calibri" w:cs="Calibri"/>
          <w:iCs/>
          <w:kern w:val="0"/>
          <w14:ligatures w14:val="none"/>
        </w:rPr>
        <w:sectPr w:rsidR="006948E6" w:rsidRPr="006948E6" w:rsidSect="006948E6">
          <w:headerReference w:type="first" r:id="rId16"/>
          <w:footerReference w:type="first" r:id="rId17"/>
          <w:type w:val="continuous"/>
          <w:pgSz w:w="15840" w:h="12240" w:orient="landscape"/>
          <w:pgMar w:top="1440" w:right="1440" w:bottom="1440" w:left="1440" w:header="720" w:footer="720" w:gutter="0"/>
          <w:cols w:space="720"/>
          <w:titlePg/>
          <w:docGrid w:linePitch="360"/>
        </w:sectPr>
      </w:pPr>
    </w:p>
    <w:p w14:paraId="5155E2C1" w14:textId="77777777" w:rsidR="006948E6" w:rsidRPr="006948E6" w:rsidRDefault="006948E6" w:rsidP="006948E6">
      <w:pPr>
        <w:keepNext/>
        <w:keepLines/>
        <w:widowControl w:val="0"/>
        <w:autoSpaceDE w:val="0"/>
        <w:autoSpaceDN w:val="0"/>
        <w:adjustRightInd w:val="0"/>
        <w:spacing w:before="120"/>
        <w:outlineLvl w:val="2"/>
        <w:rPr>
          <w:rFonts w:ascii="Calibri" w:eastAsia="Times New Roman" w:hAnsi="Calibri" w:cs="Calibri"/>
          <w:b/>
          <w:bCs/>
          <w:iCs/>
          <w:kern w:val="0"/>
          <w:sz w:val="28"/>
          <w:szCs w:val="28"/>
          <w14:ligatures w14:val="none"/>
        </w:rPr>
      </w:pPr>
      <w:bookmarkStart w:id="43" w:name="_Toc118905019"/>
      <w:bookmarkStart w:id="44" w:name="_Toc119418671"/>
      <w:r w:rsidRPr="006948E6">
        <w:rPr>
          <w:rFonts w:ascii="Calibri" w:eastAsia="Times New Roman" w:hAnsi="Calibri" w:cs="Calibri"/>
          <w:b/>
          <w:bCs/>
          <w:iCs/>
          <w:kern w:val="0"/>
          <w:sz w:val="28"/>
          <w:szCs w:val="28"/>
          <w14:ligatures w14:val="none"/>
        </w:rPr>
        <w:lastRenderedPageBreak/>
        <w:t>Appendix C - Status of FY 2023 Findings and Recommendations</w:t>
      </w:r>
      <w:bookmarkEnd w:id="43"/>
      <w:bookmarkEnd w:id="44"/>
    </w:p>
    <w:p w14:paraId="66E8D563" w14:textId="36D7571E" w:rsidR="006948E6" w:rsidRPr="006948E6" w:rsidRDefault="006948E6" w:rsidP="006948E6">
      <w:pPr>
        <w:widowControl w:val="0"/>
        <w:autoSpaceDE w:val="0"/>
        <w:autoSpaceDN w:val="0"/>
        <w:adjustRightInd w:val="0"/>
        <w:rPr>
          <w:rFonts w:ascii="Calibri" w:eastAsia="Times New Roman" w:hAnsi="Calibri" w:cs="Times New Roman"/>
          <w:iCs/>
          <w:kern w:val="0"/>
          <w:sz w:val="24"/>
          <w:szCs w:val="24"/>
          <w14:ligatures w14:val="none"/>
        </w:rPr>
      </w:pPr>
      <w:r w:rsidRPr="006948E6">
        <w:rPr>
          <w:rFonts w:ascii="Calibri" w:eastAsia="Times New Roman" w:hAnsi="Calibri" w:cs="Times New Roman"/>
          <w:iCs/>
          <w:kern w:val="0"/>
          <w:sz w:val="24"/>
          <w:szCs w:val="24"/>
          <w14:ligatures w14:val="none"/>
        </w:rPr>
        <w:t>V</w:t>
      </w:r>
      <w:r w:rsidR="001D229B">
        <w:rPr>
          <w:rFonts w:ascii="Calibri" w:eastAsia="Times New Roman" w:hAnsi="Calibri" w:cs="Times New Roman"/>
          <w:iCs/>
          <w:kern w:val="0"/>
          <w:sz w:val="24"/>
          <w:szCs w:val="24"/>
          <w14:ligatures w14:val="none"/>
        </w:rPr>
        <w:t>OSH</w:t>
      </w:r>
      <w:r w:rsidRPr="006948E6">
        <w:rPr>
          <w:rFonts w:ascii="Calibri" w:eastAsia="Times New Roman" w:hAnsi="Calibri" w:cs="Times New Roman"/>
          <w:iCs/>
          <w:kern w:val="0"/>
          <w:sz w:val="24"/>
          <w:szCs w:val="24"/>
          <w14:ligatures w14:val="none"/>
        </w:rPr>
        <w:t xml:space="preserve"> </w:t>
      </w:r>
      <w:r w:rsidR="001D229B" w:rsidRPr="006948E6">
        <w:rPr>
          <w:rFonts w:ascii="Calibri" w:eastAsia="Times New Roman" w:hAnsi="Calibri" w:cs="Times New Roman"/>
          <w:iCs/>
          <w:kern w:val="0"/>
          <w:sz w:val="24"/>
          <w:szCs w:val="24"/>
          <w14:ligatures w14:val="none"/>
        </w:rPr>
        <w:t xml:space="preserve">FY 2024 </w:t>
      </w:r>
      <w:r w:rsidRPr="006948E6">
        <w:rPr>
          <w:rFonts w:ascii="Calibri" w:eastAsia="Times New Roman" w:hAnsi="Calibri" w:cs="Times New Roman"/>
          <w:iCs/>
          <w:kern w:val="0"/>
          <w:sz w:val="24"/>
          <w:szCs w:val="24"/>
          <w14:ligatures w14:val="none"/>
        </w:rPr>
        <w:t>Follow-up FAME Report</w:t>
      </w:r>
    </w:p>
    <w:p w14:paraId="0D4F178D" w14:textId="77777777" w:rsidR="006948E6" w:rsidRPr="006948E6" w:rsidRDefault="006948E6" w:rsidP="006948E6">
      <w:pPr>
        <w:rPr>
          <w:rFonts w:ascii="Calibri" w:eastAsia="Times New Roman" w:hAnsi="Calibri" w:cs="Calibri"/>
          <w:iCs/>
          <w:kern w:val="0"/>
          <w:sz w:val="24"/>
          <w:szCs w:val="24"/>
          <w14:ligatures w14:val="none"/>
        </w:rPr>
      </w:pPr>
    </w:p>
    <w:tbl>
      <w:tblPr>
        <w:tblStyle w:val="TableGridLight1"/>
        <w:tblpPr w:leftFromText="180" w:rightFromText="180" w:vertAnchor="page" w:horzAnchor="page" w:tblpX="1202" w:tblpY="2409"/>
        <w:tblW w:w="13585" w:type="dxa"/>
        <w:tblLayout w:type="fixed"/>
        <w:tblLook w:val="00A0" w:firstRow="1" w:lastRow="0" w:firstColumn="1" w:lastColumn="0" w:noHBand="0" w:noVBand="0"/>
      </w:tblPr>
      <w:tblGrid>
        <w:gridCol w:w="1435"/>
        <w:gridCol w:w="2098"/>
        <w:gridCol w:w="2250"/>
        <w:gridCol w:w="3960"/>
        <w:gridCol w:w="1592"/>
        <w:gridCol w:w="2250"/>
      </w:tblGrid>
      <w:tr w:rsidR="006948E6" w:rsidRPr="001D229B" w14:paraId="470A522C" w14:textId="77777777" w:rsidTr="003C79AC">
        <w:trPr>
          <w:trHeight w:val="412"/>
        </w:trPr>
        <w:tc>
          <w:tcPr>
            <w:tcW w:w="1435" w:type="dxa"/>
          </w:tcPr>
          <w:p w14:paraId="2E4734DF" w14:textId="77777777" w:rsidR="006948E6" w:rsidRPr="001D229B" w:rsidRDefault="006948E6" w:rsidP="006948E6">
            <w:pPr>
              <w:widowControl w:val="0"/>
              <w:autoSpaceDE w:val="0"/>
              <w:autoSpaceDN w:val="0"/>
              <w:adjustRightInd w:val="0"/>
              <w:rPr>
                <w:rFonts w:cs="Calibri"/>
                <w:b/>
                <w:iCs/>
                <w:sz w:val="24"/>
                <w:szCs w:val="24"/>
              </w:rPr>
            </w:pPr>
            <w:r w:rsidRPr="001D229B">
              <w:rPr>
                <w:rFonts w:cs="Calibri"/>
                <w:b/>
                <w:iCs/>
                <w:sz w:val="24"/>
                <w:szCs w:val="24"/>
              </w:rPr>
              <w:t>FY 2023-#</w:t>
            </w:r>
          </w:p>
        </w:tc>
        <w:tc>
          <w:tcPr>
            <w:tcW w:w="2098" w:type="dxa"/>
          </w:tcPr>
          <w:p w14:paraId="7CC40EC6" w14:textId="77777777" w:rsidR="006948E6" w:rsidRPr="001D229B" w:rsidRDefault="006948E6" w:rsidP="006948E6">
            <w:pPr>
              <w:widowControl w:val="0"/>
              <w:autoSpaceDE w:val="0"/>
              <w:autoSpaceDN w:val="0"/>
              <w:adjustRightInd w:val="0"/>
              <w:rPr>
                <w:rFonts w:cs="Calibri"/>
                <w:b/>
                <w:iCs/>
                <w:sz w:val="24"/>
                <w:szCs w:val="24"/>
              </w:rPr>
            </w:pPr>
            <w:r w:rsidRPr="001D229B">
              <w:rPr>
                <w:rFonts w:cs="Calibri"/>
                <w:b/>
                <w:iCs/>
                <w:sz w:val="24"/>
                <w:szCs w:val="24"/>
              </w:rPr>
              <w:t>Finding</w:t>
            </w:r>
          </w:p>
        </w:tc>
        <w:tc>
          <w:tcPr>
            <w:tcW w:w="2250" w:type="dxa"/>
          </w:tcPr>
          <w:p w14:paraId="0877B1E0" w14:textId="77777777" w:rsidR="006948E6" w:rsidRPr="001D229B" w:rsidRDefault="006948E6" w:rsidP="006948E6">
            <w:pPr>
              <w:widowControl w:val="0"/>
              <w:autoSpaceDE w:val="0"/>
              <w:autoSpaceDN w:val="0"/>
              <w:adjustRightInd w:val="0"/>
              <w:rPr>
                <w:rFonts w:cs="Calibri"/>
                <w:b/>
                <w:iCs/>
                <w:sz w:val="24"/>
                <w:szCs w:val="24"/>
              </w:rPr>
            </w:pPr>
            <w:r w:rsidRPr="001D229B">
              <w:rPr>
                <w:rFonts w:cs="Calibri"/>
                <w:b/>
                <w:iCs/>
                <w:sz w:val="24"/>
                <w:szCs w:val="24"/>
              </w:rPr>
              <w:t>Recommendation</w:t>
            </w:r>
          </w:p>
        </w:tc>
        <w:tc>
          <w:tcPr>
            <w:tcW w:w="3960" w:type="dxa"/>
          </w:tcPr>
          <w:p w14:paraId="72EFA03C" w14:textId="77777777" w:rsidR="006948E6" w:rsidRPr="001D229B" w:rsidRDefault="006948E6" w:rsidP="006948E6">
            <w:pPr>
              <w:widowControl w:val="0"/>
              <w:autoSpaceDE w:val="0"/>
              <w:autoSpaceDN w:val="0"/>
              <w:adjustRightInd w:val="0"/>
              <w:rPr>
                <w:rFonts w:cs="Calibri"/>
                <w:b/>
                <w:iCs/>
                <w:sz w:val="24"/>
                <w:szCs w:val="24"/>
              </w:rPr>
            </w:pPr>
            <w:r w:rsidRPr="001D229B">
              <w:rPr>
                <w:rFonts w:cs="Calibri"/>
                <w:b/>
                <w:iCs/>
                <w:sz w:val="24"/>
                <w:szCs w:val="24"/>
              </w:rPr>
              <w:t>State Plan Corrective Action</w:t>
            </w:r>
          </w:p>
        </w:tc>
        <w:tc>
          <w:tcPr>
            <w:tcW w:w="1592" w:type="dxa"/>
          </w:tcPr>
          <w:p w14:paraId="6DE31109" w14:textId="77777777" w:rsidR="006948E6" w:rsidRPr="001D229B" w:rsidRDefault="006948E6" w:rsidP="006948E6">
            <w:pPr>
              <w:widowControl w:val="0"/>
              <w:autoSpaceDE w:val="0"/>
              <w:autoSpaceDN w:val="0"/>
              <w:adjustRightInd w:val="0"/>
              <w:rPr>
                <w:rFonts w:cs="Calibri"/>
                <w:b/>
                <w:iCs/>
                <w:sz w:val="24"/>
                <w:szCs w:val="24"/>
              </w:rPr>
            </w:pPr>
            <w:r w:rsidRPr="001D229B">
              <w:rPr>
                <w:rFonts w:cs="Calibri"/>
                <w:b/>
                <w:iCs/>
                <w:sz w:val="24"/>
                <w:szCs w:val="24"/>
              </w:rPr>
              <w:t>Completion Date</w:t>
            </w:r>
          </w:p>
        </w:tc>
        <w:tc>
          <w:tcPr>
            <w:tcW w:w="2250" w:type="dxa"/>
          </w:tcPr>
          <w:p w14:paraId="3B116E32" w14:textId="77777777" w:rsidR="006948E6" w:rsidRPr="001D229B" w:rsidRDefault="006948E6" w:rsidP="006948E6">
            <w:pPr>
              <w:widowControl w:val="0"/>
              <w:autoSpaceDE w:val="0"/>
              <w:autoSpaceDN w:val="0"/>
              <w:adjustRightInd w:val="0"/>
              <w:rPr>
                <w:rFonts w:cs="Calibri"/>
                <w:b/>
                <w:iCs/>
                <w:sz w:val="24"/>
                <w:szCs w:val="24"/>
              </w:rPr>
            </w:pPr>
            <w:r w:rsidRPr="001D229B">
              <w:rPr>
                <w:rFonts w:cs="Calibri"/>
                <w:b/>
                <w:iCs/>
                <w:sz w:val="24"/>
                <w:szCs w:val="24"/>
              </w:rPr>
              <w:t xml:space="preserve">Current Status </w:t>
            </w:r>
          </w:p>
          <w:p w14:paraId="26BD4B9B" w14:textId="77777777" w:rsidR="006948E6" w:rsidRPr="001D229B" w:rsidRDefault="006948E6" w:rsidP="006948E6">
            <w:pPr>
              <w:widowControl w:val="0"/>
              <w:autoSpaceDE w:val="0"/>
              <w:autoSpaceDN w:val="0"/>
              <w:adjustRightInd w:val="0"/>
              <w:rPr>
                <w:rFonts w:cs="Calibri"/>
                <w:b/>
                <w:iCs/>
                <w:sz w:val="24"/>
                <w:szCs w:val="24"/>
              </w:rPr>
            </w:pPr>
            <w:r w:rsidRPr="001D229B">
              <w:rPr>
                <w:rFonts w:cs="Calibri"/>
                <w:b/>
                <w:iCs/>
                <w:sz w:val="24"/>
                <w:szCs w:val="24"/>
              </w:rPr>
              <w:t>and Date</w:t>
            </w:r>
          </w:p>
        </w:tc>
      </w:tr>
      <w:tr w:rsidR="006948E6" w:rsidRPr="001D229B" w14:paraId="6F2E4F86" w14:textId="77777777" w:rsidTr="003C79AC">
        <w:trPr>
          <w:trHeight w:val="412"/>
        </w:trPr>
        <w:tc>
          <w:tcPr>
            <w:tcW w:w="1435" w:type="dxa"/>
          </w:tcPr>
          <w:p w14:paraId="71FF4C28" w14:textId="77777777" w:rsidR="006948E6" w:rsidRPr="00D82E13"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PMingLiU" w:cs="Calibri"/>
                <w:iCs/>
                <w:sz w:val="24"/>
                <w:szCs w:val="24"/>
              </w:rPr>
            </w:pPr>
            <w:r w:rsidRPr="00D82E13">
              <w:rPr>
                <w:rFonts w:eastAsia="PMingLiU" w:cs="Calibri"/>
                <w:iCs/>
                <w:sz w:val="24"/>
                <w:szCs w:val="24"/>
              </w:rPr>
              <w:t>FY 2023-01 </w:t>
            </w:r>
          </w:p>
        </w:tc>
        <w:tc>
          <w:tcPr>
            <w:tcW w:w="2098" w:type="dxa"/>
          </w:tcPr>
          <w:p w14:paraId="6A198321" w14:textId="77777777" w:rsidR="006948E6" w:rsidRPr="00D82E13"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PMingLiU" w:cs="Calibri"/>
                <w:b/>
                <w:bCs/>
                <w:iCs/>
                <w:sz w:val="24"/>
                <w:szCs w:val="24"/>
              </w:rPr>
            </w:pPr>
            <w:r w:rsidRPr="00D82E13">
              <w:rPr>
                <w:rFonts w:eastAsia="PMingLiU" w:cs="Calibri"/>
                <w:b/>
                <w:bCs/>
                <w:iCs/>
                <w:sz w:val="24"/>
                <w:szCs w:val="24"/>
              </w:rPr>
              <w:t>Federal Program Changes (FPCs)</w:t>
            </w:r>
          </w:p>
          <w:p w14:paraId="6FC878B4" w14:textId="77777777" w:rsidR="006948E6" w:rsidRPr="00D82E13"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PMingLiU" w:cs="Calibri"/>
                <w:iCs/>
                <w:sz w:val="24"/>
                <w:szCs w:val="24"/>
              </w:rPr>
            </w:pPr>
            <w:r w:rsidRPr="00D82E13">
              <w:rPr>
                <w:rFonts w:eastAsia="PMingLiU" w:cs="Calibri"/>
                <w:iCs/>
                <w:sz w:val="24"/>
                <w:szCs w:val="24"/>
              </w:rPr>
              <w:t>VOSH did not adopt FPCs within the required timeframes. </w:t>
            </w:r>
          </w:p>
        </w:tc>
        <w:tc>
          <w:tcPr>
            <w:tcW w:w="2250" w:type="dxa"/>
          </w:tcPr>
          <w:p w14:paraId="78CB8AEC" w14:textId="77777777" w:rsidR="006948E6" w:rsidRPr="00D82E13" w:rsidRDefault="006948E6" w:rsidP="006948E6">
            <w:pPr>
              <w:rPr>
                <w:rFonts w:cs="Calibri"/>
                <w:iCs/>
                <w:sz w:val="24"/>
                <w:szCs w:val="24"/>
              </w:rPr>
            </w:pPr>
            <w:r w:rsidRPr="00D82E13">
              <w:rPr>
                <w:rFonts w:cs="Calibri"/>
                <w:iCs/>
                <w:sz w:val="24"/>
                <w:szCs w:val="24"/>
              </w:rPr>
              <w:t>VOSH should develop a strategy that ensures action is taken on FPCs within the required timeframes.</w:t>
            </w:r>
          </w:p>
          <w:p w14:paraId="339D718D" w14:textId="77777777" w:rsidR="006948E6" w:rsidRPr="00D82E13"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PMingLiU" w:cs="Calibri"/>
                <w:iCs/>
                <w:sz w:val="24"/>
                <w:szCs w:val="24"/>
              </w:rPr>
            </w:pPr>
          </w:p>
        </w:tc>
        <w:tc>
          <w:tcPr>
            <w:tcW w:w="3960" w:type="dxa"/>
          </w:tcPr>
          <w:p w14:paraId="3A1A04C4" w14:textId="4AA8FB33" w:rsidR="006948E6" w:rsidRPr="00D82E13" w:rsidRDefault="008130E0"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PMingLiU" w:cs="Calibri"/>
                <w:iCs/>
                <w:sz w:val="24"/>
                <w:szCs w:val="24"/>
              </w:rPr>
            </w:pPr>
            <w:r w:rsidRPr="00D82E13">
              <w:rPr>
                <w:rFonts w:eastAsia="PMingLiU" w:cs="Calibri"/>
                <w:iCs/>
                <w:sz w:val="24"/>
                <w:szCs w:val="24"/>
              </w:rPr>
              <w:t xml:space="preserve">VOSH continues to </w:t>
            </w:r>
            <w:r w:rsidR="006948E6" w:rsidRPr="00D82E13">
              <w:rPr>
                <w:rFonts w:eastAsia="PMingLiU" w:cs="Calibri"/>
                <w:iCs/>
                <w:sz w:val="24"/>
                <w:szCs w:val="24"/>
              </w:rPr>
              <w:t xml:space="preserve">utilize </w:t>
            </w:r>
            <w:r w:rsidRPr="00D82E13">
              <w:rPr>
                <w:rFonts w:eastAsia="PMingLiU" w:cs="Calibri"/>
                <w:iCs/>
                <w:sz w:val="24"/>
                <w:szCs w:val="24"/>
              </w:rPr>
              <w:t xml:space="preserve">a </w:t>
            </w:r>
            <w:r w:rsidR="006948E6" w:rsidRPr="00D82E13">
              <w:rPr>
                <w:rFonts w:eastAsia="PMingLiU" w:cs="Calibri"/>
                <w:iCs/>
                <w:sz w:val="24"/>
                <w:szCs w:val="24"/>
              </w:rPr>
              <w:t xml:space="preserve">log </w:t>
            </w:r>
            <w:r w:rsidRPr="00D82E13">
              <w:rPr>
                <w:rFonts w:eastAsia="PMingLiU" w:cs="Calibri"/>
                <w:iCs/>
                <w:sz w:val="24"/>
                <w:szCs w:val="24"/>
              </w:rPr>
              <w:t xml:space="preserve">to track </w:t>
            </w:r>
            <w:r w:rsidR="006948E6" w:rsidRPr="00D82E13">
              <w:rPr>
                <w:rFonts w:eastAsia="PMingLiU" w:cs="Calibri"/>
                <w:iCs/>
                <w:sz w:val="24"/>
                <w:szCs w:val="24"/>
              </w:rPr>
              <w:t>FPCs to include a due date to ensure that FPCs are adopted within the required time frame. </w:t>
            </w:r>
          </w:p>
        </w:tc>
        <w:tc>
          <w:tcPr>
            <w:tcW w:w="1592" w:type="dxa"/>
          </w:tcPr>
          <w:p w14:paraId="1335A52E" w14:textId="7E35DE3B" w:rsidR="008130E0" w:rsidRPr="00D82E13" w:rsidRDefault="001D229B" w:rsidP="00D82E13">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PMingLiU" w:cs="Calibri"/>
                <w:iCs/>
                <w:sz w:val="24"/>
                <w:szCs w:val="24"/>
              </w:rPr>
            </w:pPr>
            <w:r>
              <w:rPr>
                <w:rFonts w:eastAsia="PMingLiU" w:cs="Calibri"/>
                <w:iCs/>
                <w:sz w:val="24"/>
                <w:szCs w:val="24"/>
              </w:rPr>
              <w:t>Not Completed</w:t>
            </w:r>
          </w:p>
        </w:tc>
        <w:tc>
          <w:tcPr>
            <w:tcW w:w="2250" w:type="dxa"/>
          </w:tcPr>
          <w:p w14:paraId="66F60B78" w14:textId="77777777" w:rsidR="001D229B" w:rsidRDefault="006948E6" w:rsidP="00D82E13">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PMingLiU" w:cs="Calibri"/>
                <w:iCs/>
                <w:sz w:val="24"/>
                <w:szCs w:val="24"/>
              </w:rPr>
            </w:pPr>
            <w:r w:rsidRPr="00D82E13">
              <w:rPr>
                <w:rFonts w:eastAsia="PMingLiU" w:cs="Calibri"/>
                <w:iCs/>
                <w:sz w:val="24"/>
                <w:szCs w:val="24"/>
              </w:rPr>
              <w:t> </w:t>
            </w:r>
            <w:r w:rsidR="00C1533F" w:rsidRPr="00D82E13">
              <w:rPr>
                <w:rFonts w:eastAsia="PMingLiU" w:cs="Calibri"/>
                <w:iCs/>
                <w:sz w:val="24"/>
                <w:szCs w:val="24"/>
              </w:rPr>
              <w:t>Open</w:t>
            </w:r>
            <w:r w:rsidR="002E4A1A" w:rsidRPr="00D82E13">
              <w:rPr>
                <w:rFonts w:eastAsia="PMingLiU" w:cs="Calibri"/>
                <w:iCs/>
                <w:sz w:val="24"/>
                <w:szCs w:val="24"/>
              </w:rPr>
              <w:t xml:space="preserve"> </w:t>
            </w:r>
          </w:p>
          <w:p w14:paraId="230E1AFE" w14:textId="4CAB695E" w:rsidR="00C1533F" w:rsidRPr="00D82E13" w:rsidRDefault="002E4A1A" w:rsidP="00D82E13">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PMingLiU" w:cs="Calibri"/>
                <w:iCs/>
                <w:sz w:val="24"/>
                <w:szCs w:val="24"/>
              </w:rPr>
            </w:pPr>
            <w:r w:rsidRPr="00D82E13">
              <w:rPr>
                <w:rFonts w:eastAsia="PMingLiU" w:cs="Calibri"/>
                <w:iCs/>
                <w:sz w:val="24"/>
                <w:szCs w:val="24"/>
              </w:rPr>
              <w:t>(As of March 15, 2025)</w:t>
            </w:r>
          </w:p>
        </w:tc>
      </w:tr>
      <w:tr w:rsidR="006948E6" w:rsidRPr="001D229B" w14:paraId="37E2D03A" w14:textId="77777777" w:rsidTr="003C79AC">
        <w:trPr>
          <w:trHeight w:val="385"/>
        </w:trPr>
        <w:tc>
          <w:tcPr>
            <w:tcW w:w="1435" w:type="dxa"/>
          </w:tcPr>
          <w:p w14:paraId="5EADABEF" w14:textId="77777777" w:rsidR="006948E6" w:rsidRPr="00D82E13"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PMingLiU" w:cs="Calibri"/>
                <w:iCs/>
                <w:sz w:val="24"/>
                <w:szCs w:val="24"/>
              </w:rPr>
            </w:pPr>
            <w:r w:rsidRPr="00D82E13">
              <w:rPr>
                <w:rFonts w:eastAsia="PMingLiU" w:cs="Calibri"/>
                <w:b/>
                <w:bCs/>
                <w:iCs/>
                <w:sz w:val="24"/>
                <w:szCs w:val="24"/>
              </w:rPr>
              <w:t> </w:t>
            </w:r>
            <w:r w:rsidRPr="00D82E13">
              <w:rPr>
                <w:rFonts w:eastAsia="PMingLiU" w:cs="Calibri"/>
                <w:iCs/>
                <w:sz w:val="24"/>
                <w:szCs w:val="24"/>
              </w:rPr>
              <w:t>FY 2023-02</w:t>
            </w:r>
          </w:p>
        </w:tc>
        <w:tc>
          <w:tcPr>
            <w:tcW w:w="2098" w:type="dxa"/>
          </w:tcPr>
          <w:p w14:paraId="47A9CB29" w14:textId="77777777" w:rsidR="006948E6" w:rsidRPr="00D82E13" w:rsidRDefault="006948E6" w:rsidP="006948E6">
            <w:pPr>
              <w:rPr>
                <w:rFonts w:cs="Calibri"/>
                <w:b/>
                <w:iCs/>
                <w:sz w:val="24"/>
                <w:szCs w:val="24"/>
              </w:rPr>
            </w:pPr>
            <w:r w:rsidRPr="00D82E13">
              <w:rPr>
                <w:rFonts w:cs="Calibri"/>
                <w:b/>
                <w:iCs/>
                <w:sz w:val="24"/>
                <w:szCs w:val="24"/>
              </w:rPr>
              <w:t xml:space="preserve">Employee Representative Documentation </w:t>
            </w:r>
          </w:p>
          <w:p w14:paraId="57E3CDD8" w14:textId="74341578" w:rsidR="006948E6" w:rsidRPr="00D82E13" w:rsidRDefault="006948E6" w:rsidP="006948E6">
            <w:pPr>
              <w:rPr>
                <w:rFonts w:cs="Calibri"/>
                <w:bCs/>
                <w:iCs/>
                <w:sz w:val="24"/>
                <w:szCs w:val="24"/>
              </w:rPr>
            </w:pPr>
            <w:r w:rsidRPr="00D82E13">
              <w:rPr>
                <w:rFonts w:cs="Calibri"/>
                <w:bCs/>
                <w:iCs/>
                <w:sz w:val="24"/>
                <w:szCs w:val="24"/>
              </w:rPr>
              <w:t xml:space="preserve">In three of the three (100%) of the sites with union representation, the case file did not document if the collective bargaining </w:t>
            </w:r>
            <w:r w:rsidR="00965CC1" w:rsidRPr="00D82E13">
              <w:rPr>
                <w:rFonts w:cs="Calibri"/>
                <w:bCs/>
                <w:iCs/>
                <w:sz w:val="24"/>
                <w:szCs w:val="24"/>
              </w:rPr>
              <w:t xml:space="preserve">representative </w:t>
            </w:r>
            <w:r w:rsidRPr="00D82E13">
              <w:rPr>
                <w:rFonts w:cs="Calibri"/>
                <w:bCs/>
                <w:iCs/>
                <w:sz w:val="24"/>
                <w:szCs w:val="24"/>
              </w:rPr>
              <w:t xml:space="preserve">was provided with a copy the citations. </w:t>
            </w:r>
          </w:p>
          <w:p w14:paraId="595CAB2A" w14:textId="77777777" w:rsidR="006948E6" w:rsidRPr="00D82E13"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PMingLiU" w:cs="Calibri"/>
                <w:b/>
                <w:iCs/>
                <w:sz w:val="24"/>
                <w:szCs w:val="24"/>
              </w:rPr>
            </w:pPr>
          </w:p>
        </w:tc>
        <w:tc>
          <w:tcPr>
            <w:tcW w:w="2250" w:type="dxa"/>
          </w:tcPr>
          <w:p w14:paraId="531F3FFA" w14:textId="77777777" w:rsidR="006948E6" w:rsidRPr="00D82E13" w:rsidRDefault="006948E6" w:rsidP="006948E6">
            <w:pPr>
              <w:rPr>
                <w:rFonts w:cs="Calibri"/>
                <w:bCs/>
                <w:iCs/>
                <w:sz w:val="24"/>
                <w:szCs w:val="24"/>
              </w:rPr>
            </w:pPr>
            <w:r w:rsidRPr="00D82E13">
              <w:rPr>
                <w:rFonts w:cs="Calibri"/>
                <w:bCs/>
                <w:iCs/>
                <w:sz w:val="24"/>
                <w:szCs w:val="24"/>
              </w:rPr>
              <w:t xml:space="preserve">VOSH should ensure that a copy of the citations is sent to the employee representative in accordance with its FOM. </w:t>
            </w:r>
          </w:p>
          <w:p w14:paraId="70E62BDD" w14:textId="77777777" w:rsidR="006948E6" w:rsidRPr="00D82E13"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PMingLiU" w:cs="Calibri"/>
                <w:b/>
                <w:iCs/>
                <w:sz w:val="24"/>
                <w:szCs w:val="24"/>
              </w:rPr>
            </w:pPr>
          </w:p>
        </w:tc>
        <w:tc>
          <w:tcPr>
            <w:tcW w:w="3960" w:type="dxa"/>
          </w:tcPr>
          <w:p w14:paraId="492DB984" w14:textId="77777777" w:rsidR="006948E6" w:rsidRPr="00D82E13"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PMingLiU" w:cs="Calibri"/>
                <w:bCs/>
                <w:iCs/>
                <w:sz w:val="24"/>
                <w:szCs w:val="24"/>
              </w:rPr>
            </w:pPr>
            <w:r w:rsidRPr="00D82E13">
              <w:rPr>
                <w:rFonts w:eastAsia="PMingLiU" w:cs="Calibri"/>
                <w:b/>
                <w:iCs/>
                <w:sz w:val="24"/>
                <w:szCs w:val="24"/>
              </w:rPr>
              <w:t> </w:t>
            </w:r>
            <w:r w:rsidRPr="00D82E13">
              <w:rPr>
                <w:rFonts w:eastAsia="PMingLiU" w:cs="Calibri"/>
                <w:bCs/>
                <w:iCs/>
                <w:sz w:val="24"/>
                <w:szCs w:val="24"/>
              </w:rPr>
              <w:t>VOSH retrained CSHOs to ensure proper procedures are followed, including asking if employees are represented by a union and updating citation delivery sheets to indicate and track when union letters and citations are sent.</w:t>
            </w:r>
          </w:p>
        </w:tc>
        <w:tc>
          <w:tcPr>
            <w:tcW w:w="1592" w:type="dxa"/>
          </w:tcPr>
          <w:p w14:paraId="7A32DD15" w14:textId="77777777" w:rsidR="006948E6" w:rsidRPr="00D82E13"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PMingLiU" w:cs="Calibri"/>
                <w:bCs/>
                <w:iCs/>
                <w:sz w:val="24"/>
                <w:szCs w:val="24"/>
              </w:rPr>
            </w:pPr>
            <w:r w:rsidRPr="00D82E13">
              <w:rPr>
                <w:rFonts w:eastAsia="PMingLiU" w:cs="Calibri"/>
                <w:bCs/>
                <w:iCs/>
                <w:sz w:val="24"/>
                <w:szCs w:val="24"/>
              </w:rPr>
              <w:t>July 17, 2024</w:t>
            </w:r>
          </w:p>
        </w:tc>
        <w:tc>
          <w:tcPr>
            <w:tcW w:w="2250" w:type="dxa"/>
          </w:tcPr>
          <w:p w14:paraId="0C58708F" w14:textId="77777777" w:rsidR="006948E6" w:rsidRPr="00D82E13" w:rsidRDefault="006948E6" w:rsidP="00D82E13">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PMingLiU" w:cs="Calibri"/>
                <w:bCs/>
                <w:iCs/>
                <w:sz w:val="24"/>
                <w:szCs w:val="24"/>
              </w:rPr>
            </w:pPr>
            <w:r w:rsidRPr="00D82E13">
              <w:rPr>
                <w:rFonts w:eastAsia="PMingLiU" w:cs="Calibri"/>
                <w:b/>
                <w:iCs/>
                <w:sz w:val="24"/>
                <w:szCs w:val="24"/>
              </w:rPr>
              <w:t> </w:t>
            </w:r>
            <w:r w:rsidRPr="00D82E13">
              <w:rPr>
                <w:rFonts w:eastAsia="PMingLiU" w:cs="Calibri"/>
                <w:bCs/>
                <w:iCs/>
                <w:sz w:val="24"/>
                <w:szCs w:val="24"/>
              </w:rPr>
              <w:t>Awaiting Verification</w:t>
            </w:r>
          </w:p>
        </w:tc>
      </w:tr>
    </w:tbl>
    <w:p w14:paraId="135B1657" w14:textId="77777777" w:rsidR="006948E6" w:rsidRPr="006948E6" w:rsidRDefault="006948E6" w:rsidP="006948E6">
      <w:pPr>
        <w:tabs>
          <w:tab w:val="left" w:pos="630"/>
        </w:tabs>
        <w:ind w:left="720" w:hanging="360"/>
        <w:rPr>
          <w:rFonts w:ascii="Calibri" w:eastAsia="Times New Roman" w:hAnsi="Calibri" w:cs="Calibri"/>
          <w:iCs/>
          <w:color w:val="0070C0"/>
          <w:kern w:val="0"/>
          <w:sz w:val="24"/>
          <w:szCs w:val="24"/>
          <w14:ligatures w14:val="none"/>
        </w:rPr>
        <w:sectPr w:rsidR="006948E6" w:rsidRPr="006948E6" w:rsidSect="006948E6">
          <w:headerReference w:type="default" r:id="rId18"/>
          <w:headerReference w:type="first" r:id="rId19"/>
          <w:footerReference w:type="first" r:id="rId20"/>
          <w:pgSz w:w="15840" w:h="12240" w:orient="landscape"/>
          <w:pgMar w:top="1440" w:right="1440" w:bottom="1440" w:left="1440" w:header="630" w:footer="720" w:gutter="0"/>
          <w:cols w:space="720"/>
          <w:titlePg/>
          <w:docGrid w:linePitch="360"/>
        </w:sectPr>
      </w:pPr>
    </w:p>
    <w:p w14:paraId="2874D635" w14:textId="77777777" w:rsidR="006948E6" w:rsidRPr="006948E6" w:rsidRDefault="006948E6" w:rsidP="006948E6">
      <w:pPr>
        <w:keepNext/>
        <w:keepLines/>
        <w:widowControl w:val="0"/>
        <w:autoSpaceDE w:val="0"/>
        <w:autoSpaceDN w:val="0"/>
        <w:adjustRightInd w:val="0"/>
        <w:spacing w:before="120"/>
        <w:outlineLvl w:val="2"/>
        <w:rPr>
          <w:rFonts w:ascii="Calibri" w:eastAsia="Times New Roman" w:hAnsi="Calibri" w:cs="Calibri"/>
          <w:b/>
          <w:bCs/>
          <w:iCs/>
          <w:color w:val="0070C0"/>
          <w:kern w:val="0"/>
          <w:sz w:val="28"/>
          <w:szCs w:val="28"/>
          <w14:ligatures w14:val="none"/>
        </w:rPr>
      </w:pPr>
      <w:bookmarkStart w:id="45" w:name="_Toc119418672"/>
      <w:r w:rsidRPr="006948E6">
        <w:rPr>
          <w:rFonts w:ascii="Calibri" w:eastAsia="Times New Roman" w:hAnsi="Calibri" w:cs="Calibri"/>
          <w:b/>
          <w:bCs/>
          <w:iCs/>
          <w:kern w:val="0"/>
          <w:sz w:val="28"/>
          <w:szCs w:val="28"/>
          <w14:ligatures w14:val="none"/>
        </w:rPr>
        <w:lastRenderedPageBreak/>
        <w:t xml:space="preserve">Appendix D – </w:t>
      </w:r>
      <w:bookmarkStart w:id="46" w:name="_Hlk119349018"/>
      <w:r w:rsidRPr="006948E6">
        <w:rPr>
          <w:rFonts w:ascii="Calibri" w:eastAsia="Times New Roman" w:hAnsi="Calibri" w:cs="Calibri"/>
          <w:b/>
          <w:bCs/>
          <w:iCs/>
          <w:kern w:val="0"/>
          <w:sz w:val="28"/>
          <w:szCs w:val="28"/>
          <w14:ligatures w14:val="none"/>
        </w:rPr>
        <w:t>FY 2024 State Activity Mandated Measures (SAMM) Report</w:t>
      </w:r>
      <w:bookmarkEnd w:id="45"/>
      <w:bookmarkEnd w:id="46"/>
    </w:p>
    <w:p w14:paraId="254A777D" w14:textId="739B7072" w:rsidR="006948E6" w:rsidRPr="006948E6" w:rsidRDefault="006948E6" w:rsidP="006948E6">
      <w:pPr>
        <w:widowControl w:val="0"/>
        <w:tabs>
          <w:tab w:val="center" w:pos="4680"/>
          <w:tab w:val="right" w:pos="9360"/>
        </w:tabs>
        <w:autoSpaceDE w:val="0"/>
        <w:autoSpaceDN w:val="0"/>
        <w:adjustRightInd w:val="0"/>
        <w:rPr>
          <w:rFonts w:ascii="Calibri" w:eastAsia="Times New Roman" w:hAnsi="Calibri" w:cs="Times New Roman"/>
          <w:iCs/>
          <w:kern w:val="0"/>
          <w:sz w:val="24"/>
          <w:szCs w:val="24"/>
          <w14:ligatures w14:val="none"/>
        </w:rPr>
      </w:pPr>
      <w:r w:rsidRPr="006948E6">
        <w:rPr>
          <w:rFonts w:ascii="Calibri" w:eastAsia="Times New Roman" w:hAnsi="Calibri" w:cs="Times New Roman"/>
          <w:iCs/>
          <w:kern w:val="0"/>
          <w:sz w:val="24"/>
          <w:szCs w:val="24"/>
          <w14:ligatures w14:val="none"/>
        </w:rPr>
        <w:t>VOSH</w:t>
      </w:r>
      <w:r w:rsidRPr="006948E6">
        <w:rPr>
          <w:rFonts w:ascii="Calibri" w:eastAsia="Times New Roman" w:hAnsi="Calibri" w:cs="Times New Roman"/>
          <w:iCs/>
          <w:color w:val="0070C0"/>
          <w:kern w:val="0"/>
          <w:sz w:val="24"/>
          <w:szCs w:val="24"/>
          <w14:ligatures w14:val="none"/>
        </w:rPr>
        <w:t xml:space="preserve"> </w:t>
      </w:r>
      <w:r w:rsidR="001D229B" w:rsidRPr="006948E6">
        <w:rPr>
          <w:rFonts w:ascii="Calibri" w:eastAsia="Times New Roman" w:hAnsi="Calibri" w:cs="Times New Roman"/>
          <w:iCs/>
          <w:kern w:val="0"/>
          <w:sz w:val="24"/>
          <w:szCs w:val="24"/>
          <w14:ligatures w14:val="none"/>
        </w:rPr>
        <w:t xml:space="preserve">FY 2024 </w:t>
      </w:r>
      <w:r w:rsidRPr="006948E6">
        <w:rPr>
          <w:rFonts w:ascii="Calibri" w:eastAsia="Times New Roman" w:hAnsi="Calibri" w:cs="Times New Roman"/>
          <w:iCs/>
          <w:kern w:val="0"/>
          <w:sz w:val="24"/>
          <w:szCs w:val="24"/>
          <w14:ligatures w14:val="none"/>
        </w:rPr>
        <w:t>Follow-up FAME Report</w:t>
      </w:r>
    </w:p>
    <w:p w14:paraId="34D6ADC8" w14:textId="77777777" w:rsidR="006948E6" w:rsidRPr="006948E6" w:rsidRDefault="006948E6" w:rsidP="006948E6">
      <w:pPr>
        <w:rPr>
          <w:rFonts w:ascii="Calibri" w:eastAsia="Times New Roman" w:hAnsi="Calibri" w:cs="Calibri"/>
          <w:b/>
          <w:iCs/>
          <w:color w:val="1F497D"/>
          <w:kern w:val="0"/>
          <w:sz w:val="28"/>
          <w:szCs w:val="28"/>
          <w14:ligatures w14:val="none"/>
        </w:rPr>
      </w:pPr>
    </w:p>
    <w:tbl>
      <w:tblPr>
        <w:tblStyle w:val="GridTable41"/>
        <w:tblW w:w="10350" w:type="dxa"/>
        <w:tblInd w:w="-365" w:type="dxa"/>
        <w:tblLook w:val="06A0" w:firstRow="1" w:lastRow="0" w:firstColumn="1" w:lastColumn="0" w:noHBand="1" w:noVBand="1"/>
        <w:tblCaption w:val="FY 20XX SAMM Report"/>
        <w:tblDescription w:val="Appendix D"/>
      </w:tblPr>
      <w:tblGrid>
        <w:gridCol w:w="1034"/>
        <w:gridCol w:w="2457"/>
        <w:gridCol w:w="1188"/>
        <w:gridCol w:w="1292"/>
        <w:gridCol w:w="4379"/>
      </w:tblGrid>
      <w:tr w:rsidR="006948E6" w:rsidRPr="006948E6" w14:paraId="65F81798" w14:textId="77777777" w:rsidTr="006948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93" w:type="dxa"/>
            <w:tcBorders>
              <w:right w:val="single" w:sz="4" w:space="0" w:color="000000"/>
            </w:tcBorders>
            <w:shd w:val="clear" w:color="auto" w:fill="auto"/>
          </w:tcPr>
          <w:p w14:paraId="2AD5B46A"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PMingLiU" w:cs="Calibri"/>
                <w:iCs/>
                <w:color w:val="000000"/>
                <w:sz w:val="24"/>
                <w:szCs w:val="24"/>
              </w:rPr>
            </w:pPr>
            <w:bookmarkStart w:id="47" w:name="_Hlk179982501"/>
            <w:r w:rsidRPr="006948E6">
              <w:rPr>
                <w:rFonts w:eastAsia="PMingLiU" w:cs="Calibri"/>
                <w:iCs/>
                <w:color w:val="000000"/>
                <w:sz w:val="24"/>
                <w:szCs w:val="24"/>
              </w:rPr>
              <w:t>SAMM Number</w:t>
            </w:r>
          </w:p>
        </w:tc>
        <w:tc>
          <w:tcPr>
            <w:tcW w:w="2572" w:type="dxa"/>
            <w:tcBorders>
              <w:left w:val="single" w:sz="4" w:space="0" w:color="000000"/>
              <w:right w:val="single" w:sz="4" w:space="0" w:color="000000"/>
            </w:tcBorders>
            <w:shd w:val="clear" w:color="auto" w:fill="auto"/>
          </w:tcPr>
          <w:p w14:paraId="6377096B"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PMingLiU" w:cs="Calibri"/>
                <w:iCs/>
                <w:color w:val="000000"/>
                <w:sz w:val="24"/>
                <w:szCs w:val="24"/>
              </w:rPr>
            </w:pPr>
            <w:r w:rsidRPr="006948E6">
              <w:rPr>
                <w:rFonts w:eastAsia="PMingLiU" w:cs="Calibri"/>
                <w:iCs/>
                <w:color w:val="000000"/>
                <w:sz w:val="24"/>
                <w:szCs w:val="24"/>
              </w:rPr>
              <w:t>SAMM Name</w:t>
            </w:r>
          </w:p>
        </w:tc>
        <w:tc>
          <w:tcPr>
            <w:tcW w:w="979" w:type="dxa"/>
            <w:tcBorders>
              <w:left w:val="single" w:sz="4" w:space="0" w:color="000000"/>
              <w:right w:val="single" w:sz="4" w:space="0" w:color="000000"/>
            </w:tcBorders>
            <w:shd w:val="clear" w:color="auto" w:fill="auto"/>
          </w:tcPr>
          <w:p w14:paraId="68B12F93"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PMingLiU" w:cs="Calibri"/>
                <w:iCs/>
                <w:color w:val="000000"/>
                <w:sz w:val="24"/>
                <w:szCs w:val="24"/>
              </w:rPr>
            </w:pPr>
            <w:r w:rsidRPr="006948E6">
              <w:rPr>
                <w:rFonts w:eastAsia="PMingLiU" w:cs="Calibri"/>
                <w:iCs/>
                <w:color w:val="000000"/>
                <w:sz w:val="24"/>
                <w:szCs w:val="24"/>
              </w:rPr>
              <w:t>State Plan Data</w:t>
            </w:r>
          </w:p>
        </w:tc>
        <w:tc>
          <w:tcPr>
            <w:tcW w:w="1307" w:type="dxa"/>
            <w:tcBorders>
              <w:left w:val="single" w:sz="4" w:space="0" w:color="000000"/>
              <w:right w:val="single" w:sz="4" w:space="0" w:color="000000"/>
            </w:tcBorders>
            <w:shd w:val="clear" w:color="auto" w:fill="auto"/>
          </w:tcPr>
          <w:p w14:paraId="707B1535"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PMingLiU" w:cs="Calibri"/>
                <w:iCs/>
                <w:color w:val="000000"/>
                <w:sz w:val="24"/>
                <w:szCs w:val="24"/>
              </w:rPr>
            </w:pPr>
            <w:r w:rsidRPr="006948E6">
              <w:rPr>
                <w:rFonts w:eastAsia="PMingLiU" w:cs="Calibri"/>
                <w:iCs/>
                <w:color w:val="000000"/>
                <w:sz w:val="24"/>
                <w:szCs w:val="24"/>
              </w:rPr>
              <w:t>Further Review Level</w:t>
            </w:r>
          </w:p>
        </w:tc>
        <w:tc>
          <w:tcPr>
            <w:tcW w:w="4599" w:type="dxa"/>
            <w:tcBorders>
              <w:left w:val="single" w:sz="4" w:space="0" w:color="000000"/>
            </w:tcBorders>
            <w:shd w:val="clear" w:color="auto" w:fill="auto"/>
          </w:tcPr>
          <w:p w14:paraId="3CE9874B"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PMingLiU" w:cs="Calibri"/>
                <w:iCs/>
                <w:color w:val="000000"/>
                <w:sz w:val="24"/>
                <w:szCs w:val="24"/>
              </w:rPr>
            </w:pPr>
            <w:r w:rsidRPr="006948E6">
              <w:rPr>
                <w:rFonts w:eastAsia="PMingLiU" w:cs="Calibri"/>
                <w:iCs/>
                <w:color w:val="000000"/>
                <w:sz w:val="24"/>
                <w:szCs w:val="24"/>
              </w:rPr>
              <w:t>Notes</w:t>
            </w:r>
          </w:p>
        </w:tc>
      </w:tr>
      <w:tr w:rsidR="006948E6" w:rsidRPr="006948E6" w14:paraId="2E218297" w14:textId="77777777" w:rsidTr="003C79AC">
        <w:tc>
          <w:tcPr>
            <w:cnfStyle w:val="001000000000" w:firstRow="0" w:lastRow="0" w:firstColumn="1" w:lastColumn="0" w:oddVBand="0" w:evenVBand="0" w:oddHBand="0" w:evenHBand="0" w:firstRowFirstColumn="0" w:firstRowLastColumn="0" w:lastRowFirstColumn="0" w:lastRowLastColumn="0"/>
            <w:tcW w:w="893" w:type="dxa"/>
          </w:tcPr>
          <w:p w14:paraId="79AE09C4"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PMingLiU" w:cs="Calibri"/>
                <w:iCs/>
                <w:sz w:val="24"/>
                <w:szCs w:val="24"/>
              </w:rPr>
            </w:pPr>
            <w:r w:rsidRPr="006948E6">
              <w:rPr>
                <w:rFonts w:eastAsia="PMingLiU" w:cs="Calibri"/>
                <w:iCs/>
                <w:sz w:val="24"/>
                <w:szCs w:val="24"/>
              </w:rPr>
              <w:t>1a</w:t>
            </w:r>
          </w:p>
        </w:tc>
        <w:tc>
          <w:tcPr>
            <w:tcW w:w="2572" w:type="dxa"/>
          </w:tcPr>
          <w:p w14:paraId="24B9A575" w14:textId="0E74EAD4"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Average number of workdays to initiate complaint inspections (state formula)</w:t>
            </w:r>
          </w:p>
        </w:tc>
        <w:tc>
          <w:tcPr>
            <w:tcW w:w="979" w:type="dxa"/>
          </w:tcPr>
          <w:p w14:paraId="010D39B9"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eastAsia="PMingLiU" w:cs="Calibri"/>
                <w:iCs/>
                <w:sz w:val="24"/>
                <w:szCs w:val="24"/>
              </w:rPr>
              <w:t>3.09</w:t>
            </w:r>
          </w:p>
        </w:tc>
        <w:tc>
          <w:tcPr>
            <w:tcW w:w="1307" w:type="dxa"/>
          </w:tcPr>
          <w:p w14:paraId="736C14DE"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5</w:t>
            </w:r>
          </w:p>
        </w:tc>
        <w:tc>
          <w:tcPr>
            <w:tcW w:w="4599" w:type="dxa"/>
          </w:tcPr>
          <w:p w14:paraId="14697E5D"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The further review level is negotiated by OSHA and the State Plan.</w:t>
            </w:r>
          </w:p>
        </w:tc>
      </w:tr>
      <w:tr w:rsidR="006948E6" w:rsidRPr="006948E6" w14:paraId="67D173FE" w14:textId="77777777" w:rsidTr="003C79AC">
        <w:tc>
          <w:tcPr>
            <w:cnfStyle w:val="001000000000" w:firstRow="0" w:lastRow="0" w:firstColumn="1" w:lastColumn="0" w:oddVBand="0" w:evenVBand="0" w:oddHBand="0" w:evenHBand="0" w:firstRowFirstColumn="0" w:firstRowLastColumn="0" w:lastRowFirstColumn="0" w:lastRowLastColumn="0"/>
            <w:tcW w:w="893" w:type="dxa"/>
          </w:tcPr>
          <w:p w14:paraId="569B954C"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PMingLiU" w:cs="Calibri"/>
                <w:iCs/>
                <w:sz w:val="24"/>
                <w:szCs w:val="24"/>
              </w:rPr>
            </w:pPr>
            <w:r w:rsidRPr="006948E6">
              <w:rPr>
                <w:rFonts w:eastAsia="PMingLiU" w:cs="Calibri"/>
                <w:iCs/>
                <w:sz w:val="24"/>
                <w:szCs w:val="24"/>
              </w:rPr>
              <w:t>1b</w:t>
            </w:r>
          </w:p>
        </w:tc>
        <w:tc>
          <w:tcPr>
            <w:tcW w:w="2572" w:type="dxa"/>
          </w:tcPr>
          <w:p w14:paraId="29BB7886" w14:textId="3661721A"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Average number of workdays to initiate complaint inspections (federal formula)</w:t>
            </w:r>
          </w:p>
        </w:tc>
        <w:tc>
          <w:tcPr>
            <w:tcW w:w="979" w:type="dxa"/>
          </w:tcPr>
          <w:p w14:paraId="180B8672"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eastAsia="PMingLiU" w:cs="Calibri"/>
                <w:iCs/>
                <w:sz w:val="24"/>
                <w:szCs w:val="24"/>
              </w:rPr>
              <w:t>1.74</w:t>
            </w:r>
          </w:p>
        </w:tc>
        <w:tc>
          <w:tcPr>
            <w:tcW w:w="1307" w:type="dxa"/>
          </w:tcPr>
          <w:p w14:paraId="0D318E1F"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N/A</w:t>
            </w:r>
          </w:p>
        </w:tc>
        <w:tc>
          <w:tcPr>
            <w:tcW w:w="4599" w:type="dxa"/>
          </w:tcPr>
          <w:p w14:paraId="4125F269"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This measure is for informational purposes only and is not a mandated measure.</w:t>
            </w:r>
          </w:p>
        </w:tc>
      </w:tr>
      <w:tr w:rsidR="006948E6" w:rsidRPr="006948E6" w14:paraId="6BABA770" w14:textId="77777777" w:rsidTr="003C79AC">
        <w:tc>
          <w:tcPr>
            <w:cnfStyle w:val="001000000000" w:firstRow="0" w:lastRow="0" w:firstColumn="1" w:lastColumn="0" w:oddVBand="0" w:evenVBand="0" w:oddHBand="0" w:evenHBand="0" w:firstRowFirstColumn="0" w:firstRowLastColumn="0" w:lastRowFirstColumn="0" w:lastRowLastColumn="0"/>
            <w:tcW w:w="893" w:type="dxa"/>
          </w:tcPr>
          <w:p w14:paraId="695BCCE9"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PMingLiU" w:cs="Calibri"/>
                <w:iCs/>
                <w:sz w:val="24"/>
                <w:szCs w:val="24"/>
              </w:rPr>
            </w:pPr>
            <w:r w:rsidRPr="006948E6">
              <w:rPr>
                <w:rFonts w:eastAsia="PMingLiU" w:cs="Calibri"/>
                <w:iCs/>
                <w:sz w:val="24"/>
                <w:szCs w:val="24"/>
              </w:rPr>
              <w:t>2a</w:t>
            </w:r>
          </w:p>
        </w:tc>
        <w:tc>
          <w:tcPr>
            <w:tcW w:w="2572" w:type="dxa"/>
          </w:tcPr>
          <w:p w14:paraId="01D0E73B" w14:textId="53631F6E"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Average number of workdays to initiate complaint investigations (state formula)</w:t>
            </w:r>
          </w:p>
        </w:tc>
        <w:tc>
          <w:tcPr>
            <w:tcW w:w="979" w:type="dxa"/>
          </w:tcPr>
          <w:p w14:paraId="46437B14"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eastAsia="PMingLiU" w:cs="Calibri"/>
                <w:iCs/>
                <w:sz w:val="24"/>
                <w:szCs w:val="24"/>
              </w:rPr>
              <w:t>2.61</w:t>
            </w:r>
          </w:p>
        </w:tc>
        <w:tc>
          <w:tcPr>
            <w:tcW w:w="1307" w:type="dxa"/>
          </w:tcPr>
          <w:p w14:paraId="25D59466"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3</w:t>
            </w:r>
          </w:p>
        </w:tc>
        <w:tc>
          <w:tcPr>
            <w:tcW w:w="4599" w:type="dxa"/>
          </w:tcPr>
          <w:p w14:paraId="0DAAC747"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The further review level is negotiated by OSHA and the State Plan.</w:t>
            </w:r>
          </w:p>
        </w:tc>
      </w:tr>
      <w:tr w:rsidR="006948E6" w:rsidRPr="006948E6" w14:paraId="207F9303" w14:textId="77777777" w:rsidTr="003C79AC">
        <w:tc>
          <w:tcPr>
            <w:cnfStyle w:val="001000000000" w:firstRow="0" w:lastRow="0" w:firstColumn="1" w:lastColumn="0" w:oddVBand="0" w:evenVBand="0" w:oddHBand="0" w:evenHBand="0" w:firstRowFirstColumn="0" w:firstRowLastColumn="0" w:lastRowFirstColumn="0" w:lastRowLastColumn="0"/>
            <w:tcW w:w="893" w:type="dxa"/>
          </w:tcPr>
          <w:p w14:paraId="334359D1"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PMingLiU" w:cs="Calibri"/>
                <w:iCs/>
                <w:sz w:val="24"/>
                <w:szCs w:val="24"/>
              </w:rPr>
            </w:pPr>
            <w:r w:rsidRPr="006948E6">
              <w:rPr>
                <w:rFonts w:eastAsia="PMingLiU" w:cs="Calibri"/>
                <w:iCs/>
                <w:sz w:val="24"/>
                <w:szCs w:val="24"/>
              </w:rPr>
              <w:t>2b</w:t>
            </w:r>
          </w:p>
        </w:tc>
        <w:tc>
          <w:tcPr>
            <w:tcW w:w="2572" w:type="dxa"/>
          </w:tcPr>
          <w:p w14:paraId="39D97095" w14:textId="1CB9A82A"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Average number of workdays to initiate complaint investigations (federal formula)</w:t>
            </w:r>
          </w:p>
        </w:tc>
        <w:tc>
          <w:tcPr>
            <w:tcW w:w="979" w:type="dxa"/>
          </w:tcPr>
          <w:p w14:paraId="65C0CCCF"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eastAsia="PMingLiU" w:cs="Calibri"/>
                <w:iCs/>
                <w:sz w:val="24"/>
                <w:szCs w:val="24"/>
              </w:rPr>
              <w:t>1.43</w:t>
            </w:r>
          </w:p>
        </w:tc>
        <w:tc>
          <w:tcPr>
            <w:tcW w:w="1307" w:type="dxa"/>
          </w:tcPr>
          <w:p w14:paraId="307E0262"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N/A</w:t>
            </w:r>
          </w:p>
        </w:tc>
        <w:tc>
          <w:tcPr>
            <w:tcW w:w="4599" w:type="dxa"/>
          </w:tcPr>
          <w:p w14:paraId="6D2E33A1"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This measure is for informational purposes only and is not a mandated measure.</w:t>
            </w:r>
          </w:p>
        </w:tc>
      </w:tr>
      <w:tr w:rsidR="006948E6" w:rsidRPr="006948E6" w14:paraId="518650CE" w14:textId="77777777" w:rsidTr="003C79AC">
        <w:tc>
          <w:tcPr>
            <w:cnfStyle w:val="001000000000" w:firstRow="0" w:lastRow="0" w:firstColumn="1" w:lastColumn="0" w:oddVBand="0" w:evenVBand="0" w:oddHBand="0" w:evenHBand="0" w:firstRowFirstColumn="0" w:firstRowLastColumn="0" w:lastRowFirstColumn="0" w:lastRowLastColumn="0"/>
            <w:tcW w:w="893" w:type="dxa"/>
          </w:tcPr>
          <w:p w14:paraId="5937A6BE"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PMingLiU" w:cs="Calibri"/>
                <w:iCs/>
                <w:sz w:val="24"/>
                <w:szCs w:val="24"/>
              </w:rPr>
            </w:pPr>
            <w:r w:rsidRPr="006948E6">
              <w:rPr>
                <w:rFonts w:eastAsia="PMingLiU" w:cs="Calibri"/>
                <w:iCs/>
                <w:sz w:val="24"/>
                <w:szCs w:val="24"/>
              </w:rPr>
              <w:t>3</w:t>
            </w:r>
          </w:p>
        </w:tc>
        <w:tc>
          <w:tcPr>
            <w:tcW w:w="2572" w:type="dxa"/>
          </w:tcPr>
          <w:p w14:paraId="470499E5"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Percent of complaints and referrals responded to within one workday (imminent danger)</w:t>
            </w:r>
          </w:p>
        </w:tc>
        <w:tc>
          <w:tcPr>
            <w:tcW w:w="979" w:type="dxa"/>
          </w:tcPr>
          <w:p w14:paraId="1690BBFD" w14:textId="77777777" w:rsidR="006948E6" w:rsidRPr="006948E6" w:rsidRDefault="006948E6" w:rsidP="006948E6">
            <w:pPr>
              <w:widowControl w:val="0"/>
              <w:tabs>
                <w:tab w:val="left" w:pos="0"/>
                <w:tab w:val="left" w:pos="283"/>
                <w:tab w:val="center" w:pos="375"/>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ab/>
              <w:t>100%</w:t>
            </w:r>
          </w:p>
        </w:tc>
        <w:tc>
          <w:tcPr>
            <w:tcW w:w="1307" w:type="dxa"/>
          </w:tcPr>
          <w:p w14:paraId="49888B90"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eastAsia="PMingLiU" w:cs="Calibri"/>
                <w:iCs/>
                <w:sz w:val="24"/>
                <w:szCs w:val="24"/>
              </w:rPr>
              <w:t>100%</w:t>
            </w:r>
          </w:p>
        </w:tc>
        <w:tc>
          <w:tcPr>
            <w:tcW w:w="4599" w:type="dxa"/>
          </w:tcPr>
          <w:p w14:paraId="165EE510"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The further review level is fixed for all State Plans.</w:t>
            </w:r>
          </w:p>
        </w:tc>
      </w:tr>
      <w:tr w:rsidR="006948E6" w:rsidRPr="006948E6" w14:paraId="22CBB6E9" w14:textId="77777777" w:rsidTr="003C79AC">
        <w:tc>
          <w:tcPr>
            <w:cnfStyle w:val="001000000000" w:firstRow="0" w:lastRow="0" w:firstColumn="1" w:lastColumn="0" w:oddVBand="0" w:evenVBand="0" w:oddHBand="0" w:evenHBand="0" w:firstRowFirstColumn="0" w:firstRowLastColumn="0" w:lastRowFirstColumn="0" w:lastRowLastColumn="0"/>
            <w:tcW w:w="893" w:type="dxa"/>
          </w:tcPr>
          <w:p w14:paraId="28D6DF4E"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PMingLiU" w:cs="Calibri"/>
                <w:iCs/>
                <w:sz w:val="24"/>
                <w:szCs w:val="24"/>
              </w:rPr>
            </w:pPr>
            <w:r w:rsidRPr="006948E6">
              <w:rPr>
                <w:rFonts w:eastAsia="PMingLiU" w:cs="Calibri"/>
                <w:iCs/>
                <w:sz w:val="24"/>
                <w:szCs w:val="24"/>
              </w:rPr>
              <w:t>4</w:t>
            </w:r>
          </w:p>
        </w:tc>
        <w:tc>
          <w:tcPr>
            <w:tcW w:w="2572" w:type="dxa"/>
          </w:tcPr>
          <w:p w14:paraId="56417F76"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Number of denials where entry not obtained</w:t>
            </w:r>
          </w:p>
        </w:tc>
        <w:tc>
          <w:tcPr>
            <w:tcW w:w="979" w:type="dxa"/>
          </w:tcPr>
          <w:p w14:paraId="29C3C0B0"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eastAsia="PMingLiU" w:cs="Calibri"/>
                <w:iCs/>
                <w:sz w:val="24"/>
                <w:szCs w:val="24"/>
              </w:rPr>
              <w:t>0</w:t>
            </w:r>
          </w:p>
        </w:tc>
        <w:tc>
          <w:tcPr>
            <w:tcW w:w="1307" w:type="dxa"/>
          </w:tcPr>
          <w:p w14:paraId="55C3EC37"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0</w:t>
            </w:r>
          </w:p>
        </w:tc>
        <w:tc>
          <w:tcPr>
            <w:tcW w:w="4599" w:type="dxa"/>
          </w:tcPr>
          <w:p w14:paraId="5849D05F"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The further review level is fixed for all State Plans.</w:t>
            </w:r>
          </w:p>
        </w:tc>
      </w:tr>
      <w:tr w:rsidR="006948E6" w:rsidRPr="006948E6" w14:paraId="78C33A3B" w14:textId="77777777" w:rsidTr="003C79AC">
        <w:trPr>
          <w:trHeight w:val="854"/>
        </w:trPr>
        <w:tc>
          <w:tcPr>
            <w:cnfStyle w:val="001000000000" w:firstRow="0" w:lastRow="0" w:firstColumn="1" w:lastColumn="0" w:oddVBand="0" w:evenVBand="0" w:oddHBand="0" w:evenHBand="0" w:firstRowFirstColumn="0" w:firstRowLastColumn="0" w:lastRowFirstColumn="0" w:lastRowLastColumn="0"/>
            <w:tcW w:w="893" w:type="dxa"/>
          </w:tcPr>
          <w:p w14:paraId="7C34DFC8"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PMingLiU" w:cs="Calibri"/>
                <w:iCs/>
                <w:sz w:val="24"/>
                <w:szCs w:val="24"/>
              </w:rPr>
            </w:pPr>
            <w:r w:rsidRPr="006948E6">
              <w:rPr>
                <w:rFonts w:eastAsia="PMingLiU" w:cs="Calibri"/>
                <w:iCs/>
                <w:sz w:val="24"/>
                <w:szCs w:val="24"/>
              </w:rPr>
              <w:t>5a</w:t>
            </w:r>
          </w:p>
        </w:tc>
        <w:tc>
          <w:tcPr>
            <w:tcW w:w="2572" w:type="dxa"/>
          </w:tcPr>
          <w:p w14:paraId="137A0561"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Average number of violations per inspection with violations by violation type (SWRU)</w:t>
            </w:r>
          </w:p>
        </w:tc>
        <w:tc>
          <w:tcPr>
            <w:tcW w:w="979" w:type="dxa"/>
          </w:tcPr>
          <w:p w14:paraId="4B2D0852"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eastAsia="PMingLiU" w:cs="Calibri"/>
                <w:iCs/>
                <w:sz w:val="24"/>
                <w:szCs w:val="24"/>
              </w:rPr>
              <w:t>1.87</w:t>
            </w:r>
          </w:p>
        </w:tc>
        <w:tc>
          <w:tcPr>
            <w:tcW w:w="1307" w:type="dxa"/>
          </w:tcPr>
          <w:p w14:paraId="19A50077" w14:textId="77777777" w:rsidR="006948E6" w:rsidRPr="006948E6" w:rsidRDefault="006948E6" w:rsidP="006948E6">
            <w:pPr>
              <w:jc w:val="center"/>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+/- 20% of</w:t>
            </w:r>
          </w:p>
          <w:p w14:paraId="6A0FA46D" w14:textId="77777777" w:rsidR="006948E6" w:rsidRPr="006948E6" w:rsidRDefault="006948E6" w:rsidP="006948E6">
            <w:pPr>
              <w:jc w:val="center"/>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1.74</w:t>
            </w:r>
          </w:p>
          <w:p w14:paraId="7523E992"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p>
        </w:tc>
        <w:tc>
          <w:tcPr>
            <w:tcW w:w="4599" w:type="dxa"/>
          </w:tcPr>
          <w:p w14:paraId="7DC48F87"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eastAsia="PMingLiU" w:cs="Calibri"/>
                <w:iCs/>
                <w:sz w:val="24"/>
                <w:szCs w:val="24"/>
              </w:rPr>
              <w:t xml:space="preserve">The further review level is based on a three-year national average.  The range of acceptable data not requiring further review is from 1.39 to 2.08 for SWRU. </w:t>
            </w:r>
          </w:p>
        </w:tc>
      </w:tr>
      <w:tr w:rsidR="006948E6" w:rsidRPr="006948E6" w14:paraId="67A057B3" w14:textId="77777777" w:rsidTr="003C79AC">
        <w:tc>
          <w:tcPr>
            <w:cnfStyle w:val="001000000000" w:firstRow="0" w:lastRow="0" w:firstColumn="1" w:lastColumn="0" w:oddVBand="0" w:evenVBand="0" w:oddHBand="0" w:evenHBand="0" w:firstRowFirstColumn="0" w:firstRowLastColumn="0" w:lastRowFirstColumn="0" w:lastRowLastColumn="0"/>
            <w:tcW w:w="893" w:type="dxa"/>
          </w:tcPr>
          <w:p w14:paraId="749DE3F0"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PMingLiU" w:cs="Calibri"/>
                <w:iCs/>
                <w:sz w:val="24"/>
                <w:szCs w:val="24"/>
              </w:rPr>
            </w:pPr>
            <w:r w:rsidRPr="006948E6">
              <w:rPr>
                <w:rFonts w:eastAsia="PMingLiU" w:cs="Calibri"/>
                <w:iCs/>
                <w:sz w:val="24"/>
                <w:szCs w:val="24"/>
              </w:rPr>
              <w:t>5b</w:t>
            </w:r>
          </w:p>
        </w:tc>
        <w:tc>
          <w:tcPr>
            <w:tcW w:w="2572" w:type="dxa"/>
          </w:tcPr>
          <w:p w14:paraId="683E6DCA"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Average number of violations per inspection with violations by violation type (other)</w:t>
            </w:r>
          </w:p>
        </w:tc>
        <w:tc>
          <w:tcPr>
            <w:tcW w:w="979" w:type="dxa"/>
          </w:tcPr>
          <w:p w14:paraId="3E06C51C"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eastAsia="PMingLiU" w:cs="Calibri"/>
                <w:iCs/>
                <w:sz w:val="24"/>
                <w:szCs w:val="24"/>
              </w:rPr>
              <w:t>0.98</w:t>
            </w:r>
          </w:p>
        </w:tc>
        <w:tc>
          <w:tcPr>
            <w:tcW w:w="1307" w:type="dxa"/>
          </w:tcPr>
          <w:p w14:paraId="24C49E23" w14:textId="77777777" w:rsidR="006948E6" w:rsidRPr="006948E6" w:rsidRDefault="006948E6" w:rsidP="006948E6">
            <w:pPr>
              <w:jc w:val="center"/>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+/- 20% of</w:t>
            </w:r>
          </w:p>
          <w:p w14:paraId="25F36BD3"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0.94</w:t>
            </w:r>
          </w:p>
        </w:tc>
        <w:tc>
          <w:tcPr>
            <w:tcW w:w="4599" w:type="dxa"/>
          </w:tcPr>
          <w:p w14:paraId="067C3F98"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eastAsia="PMingLiU" w:cs="Calibri"/>
                <w:iCs/>
                <w:sz w:val="24"/>
                <w:szCs w:val="24"/>
              </w:rPr>
              <w:t>The further review level is based on a three-year national average.  The range of acceptable data not requiring further review is from 0.75 to 1.12 for OTS.</w:t>
            </w:r>
          </w:p>
        </w:tc>
      </w:tr>
      <w:tr w:rsidR="006948E6" w:rsidRPr="006948E6" w14:paraId="495AE553" w14:textId="77777777" w:rsidTr="003C79AC">
        <w:tc>
          <w:tcPr>
            <w:cnfStyle w:val="001000000000" w:firstRow="0" w:lastRow="0" w:firstColumn="1" w:lastColumn="0" w:oddVBand="0" w:evenVBand="0" w:oddHBand="0" w:evenHBand="0" w:firstRowFirstColumn="0" w:firstRowLastColumn="0" w:lastRowFirstColumn="0" w:lastRowLastColumn="0"/>
            <w:tcW w:w="893" w:type="dxa"/>
          </w:tcPr>
          <w:p w14:paraId="0D5151AF"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PMingLiU" w:cs="Calibri"/>
                <w:iCs/>
                <w:sz w:val="24"/>
                <w:szCs w:val="24"/>
              </w:rPr>
            </w:pPr>
            <w:r w:rsidRPr="006948E6">
              <w:rPr>
                <w:rFonts w:eastAsia="PMingLiU" w:cs="Calibri"/>
                <w:iCs/>
                <w:sz w:val="24"/>
                <w:szCs w:val="24"/>
              </w:rPr>
              <w:t>6</w:t>
            </w:r>
          </w:p>
        </w:tc>
        <w:tc>
          <w:tcPr>
            <w:tcW w:w="2572" w:type="dxa"/>
          </w:tcPr>
          <w:p w14:paraId="03B77062"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 xml:space="preserve">Percent of total </w:t>
            </w:r>
            <w:r w:rsidRPr="006948E6">
              <w:rPr>
                <w:rFonts w:cs="Calibri"/>
                <w:iCs/>
                <w:sz w:val="24"/>
                <w:szCs w:val="24"/>
              </w:rPr>
              <w:lastRenderedPageBreak/>
              <w:t>inspections in state and local government workplaces</w:t>
            </w:r>
          </w:p>
        </w:tc>
        <w:tc>
          <w:tcPr>
            <w:tcW w:w="979" w:type="dxa"/>
          </w:tcPr>
          <w:p w14:paraId="2F5F0FDB"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lastRenderedPageBreak/>
              <w:t>6.63%</w:t>
            </w:r>
          </w:p>
          <w:p w14:paraId="6CF01D7F"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color w:val="FF0000"/>
                <w:sz w:val="24"/>
                <w:szCs w:val="24"/>
              </w:rPr>
            </w:pPr>
          </w:p>
        </w:tc>
        <w:tc>
          <w:tcPr>
            <w:tcW w:w="1307" w:type="dxa"/>
          </w:tcPr>
          <w:p w14:paraId="52A88247" w14:textId="77777777" w:rsidR="006948E6" w:rsidRPr="006948E6" w:rsidRDefault="006948E6" w:rsidP="006948E6">
            <w:pPr>
              <w:jc w:val="center"/>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lastRenderedPageBreak/>
              <w:t>+/- 5% of</w:t>
            </w:r>
          </w:p>
          <w:p w14:paraId="259AC26C"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lastRenderedPageBreak/>
              <w:t>Grant 5.52%</w:t>
            </w:r>
          </w:p>
        </w:tc>
        <w:tc>
          <w:tcPr>
            <w:tcW w:w="4599" w:type="dxa"/>
          </w:tcPr>
          <w:p w14:paraId="3D2180E7"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eastAsia="PMingLiU" w:cs="Calibri"/>
                <w:iCs/>
                <w:sz w:val="24"/>
                <w:szCs w:val="24"/>
              </w:rPr>
              <w:lastRenderedPageBreak/>
              <w:t xml:space="preserve">The further review level is based on a </w:t>
            </w:r>
            <w:r w:rsidRPr="006948E6">
              <w:rPr>
                <w:rFonts w:eastAsia="PMingLiU" w:cs="Calibri"/>
                <w:iCs/>
                <w:sz w:val="24"/>
                <w:szCs w:val="24"/>
              </w:rPr>
              <w:lastRenderedPageBreak/>
              <w:t>number negotiated by OSHA and the State Plan through the grant application.  The range of acceptable data not requiring further review is from 5.24% to 5.79%.</w:t>
            </w:r>
          </w:p>
        </w:tc>
      </w:tr>
      <w:tr w:rsidR="006948E6" w:rsidRPr="006948E6" w14:paraId="3CE4D8D2" w14:textId="77777777" w:rsidTr="003C79AC">
        <w:tc>
          <w:tcPr>
            <w:cnfStyle w:val="001000000000" w:firstRow="0" w:lastRow="0" w:firstColumn="1" w:lastColumn="0" w:oddVBand="0" w:evenVBand="0" w:oddHBand="0" w:evenHBand="0" w:firstRowFirstColumn="0" w:firstRowLastColumn="0" w:lastRowFirstColumn="0" w:lastRowLastColumn="0"/>
            <w:tcW w:w="893" w:type="dxa"/>
          </w:tcPr>
          <w:p w14:paraId="3F1C7EF7"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PMingLiU" w:cs="Calibri"/>
                <w:iCs/>
                <w:sz w:val="24"/>
                <w:szCs w:val="24"/>
              </w:rPr>
            </w:pPr>
            <w:r w:rsidRPr="006948E6">
              <w:rPr>
                <w:rFonts w:eastAsia="PMingLiU" w:cs="Calibri"/>
                <w:iCs/>
                <w:sz w:val="24"/>
                <w:szCs w:val="24"/>
              </w:rPr>
              <w:lastRenderedPageBreak/>
              <w:t>7a</w:t>
            </w:r>
          </w:p>
        </w:tc>
        <w:tc>
          <w:tcPr>
            <w:tcW w:w="2572" w:type="dxa"/>
          </w:tcPr>
          <w:p w14:paraId="433F8D17"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Planned v. actual inspections (safety)</w:t>
            </w:r>
          </w:p>
        </w:tc>
        <w:tc>
          <w:tcPr>
            <w:tcW w:w="979" w:type="dxa"/>
          </w:tcPr>
          <w:p w14:paraId="78149081"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eastAsia="PMingLiU" w:cs="Calibri"/>
                <w:iCs/>
                <w:sz w:val="24"/>
                <w:szCs w:val="24"/>
              </w:rPr>
              <w:t>1,407</w:t>
            </w:r>
          </w:p>
          <w:p w14:paraId="47F8AD4F"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p>
          <w:p w14:paraId="2A1D80B3"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color w:val="FF0000"/>
                <w:sz w:val="24"/>
                <w:szCs w:val="24"/>
              </w:rPr>
            </w:pPr>
          </w:p>
        </w:tc>
        <w:tc>
          <w:tcPr>
            <w:tcW w:w="1307" w:type="dxa"/>
          </w:tcPr>
          <w:p w14:paraId="48DF1411" w14:textId="77777777" w:rsidR="006948E6" w:rsidRPr="006948E6" w:rsidRDefault="006948E6" w:rsidP="006948E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 xml:space="preserve">+/- 5% of </w:t>
            </w:r>
          </w:p>
          <w:p w14:paraId="31119D21"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Grant 1,532</w:t>
            </w:r>
          </w:p>
        </w:tc>
        <w:tc>
          <w:tcPr>
            <w:tcW w:w="4599" w:type="dxa"/>
          </w:tcPr>
          <w:p w14:paraId="0BC5C35F"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The further review level is based on a number negotiated by OSHA and the State Plan through the grant application.  The range of acceptable data not requiring further review is from 1,455 to 1,609 for safety.</w:t>
            </w:r>
          </w:p>
        </w:tc>
      </w:tr>
      <w:tr w:rsidR="006948E6" w:rsidRPr="006948E6" w14:paraId="46BD552C" w14:textId="77777777" w:rsidTr="003C79AC">
        <w:tc>
          <w:tcPr>
            <w:cnfStyle w:val="001000000000" w:firstRow="0" w:lastRow="0" w:firstColumn="1" w:lastColumn="0" w:oddVBand="0" w:evenVBand="0" w:oddHBand="0" w:evenHBand="0" w:firstRowFirstColumn="0" w:firstRowLastColumn="0" w:lastRowFirstColumn="0" w:lastRowLastColumn="0"/>
            <w:tcW w:w="893" w:type="dxa"/>
          </w:tcPr>
          <w:p w14:paraId="325ECACE"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PMingLiU" w:cs="Calibri"/>
                <w:iCs/>
                <w:sz w:val="24"/>
                <w:szCs w:val="24"/>
              </w:rPr>
            </w:pPr>
            <w:r w:rsidRPr="006948E6">
              <w:rPr>
                <w:rFonts w:eastAsia="PMingLiU" w:cs="Calibri"/>
                <w:iCs/>
                <w:sz w:val="24"/>
                <w:szCs w:val="24"/>
              </w:rPr>
              <w:t>7b</w:t>
            </w:r>
          </w:p>
        </w:tc>
        <w:tc>
          <w:tcPr>
            <w:tcW w:w="2572" w:type="dxa"/>
          </w:tcPr>
          <w:p w14:paraId="7997047E"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Planned v. actual inspections (health)</w:t>
            </w:r>
          </w:p>
        </w:tc>
        <w:tc>
          <w:tcPr>
            <w:tcW w:w="979" w:type="dxa"/>
          </w:tcPr>
          <w:p w14:paraId="319456CD"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eastAsia="PMingLiU" w:cs="Calibri"/>
                <w:iCs/>
                <w:sz w:val="24"/>
                <w:szCs w:val="24"/>
              </w:rPr>
              <w:t>447</w:t>
            </w:r>
          </w:p>
          <w:p w14:paraId="22D2C839"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p>
          <w:p w14:paraId="0B57ECB4"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color w:val="FF0000"/>
                <w:sz w:val="24"/>
                <w:szCs w:val="24"/>
              </w:rPr>
            </w:pPr>
          </w:p>
        </w:tc>
        <w:tc>
          <w:tcPr>
            <w:tcW w:w="1307" w:type="dxa"/>
          </w:tcPr>
          <w:p w14:paraId="47207F7F" w14:textId="77777777" w:rsidR="006948E6" w:rsidRPr="006948E6" w:rsidRDefault="006948E6" w:rsidP="006948E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 xml:space="preserve">+/- 5% of </w:t>
            </w:r>
          </w:p>
          <w:p w14:paraId="44C7F744"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Grant 607</w:t>
            </w:r>
          </w:p>
        </w:tc>
        <w:tc>
          <w:tcPr>
            <w:tcW w:w="4599" w:type="dxa"/>
          </w:tcPr>
          <w:p w14:paraId="4665B429"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The further review level is based on a number negotiated by OSHA and the State Plan through the grant application.  The range of acceptable data not requiring further review is from 577 to 637 for health.</w:t>
            </w:r>
          </w:p>
        </w:tc>
      </w:tr>
      <w:tr w:rsidR="006948E6" w:rsidRPr="006948E6" w14:paraId="14220341" w14:textId="77777777" w:rsidTr="003C79AC">
        <w:tc>
          <w:tcPr>
            <w:cnfStyle w:val="001000000000" w:firstRow="0" w:lastRow="0" w:firstColumn="1" w:lastColumn="0" w:oddVBand="0" w:evenVBand="0" w:oddHBand="0" w:evenHBand="0" w:firstRowFirstColumn="0" w:firstRowLastColumn="0" w:lastRowFirstColumn="0" w:lastRowLastColumn="0"/>
            <w:tcW w:w="893" w:type="dxa"/>
          </w:tcPr>
          <w:p w14:paraId="68794F60"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PMingLiU" w:cs="Calibri"/>
                <w:iCs/>
                <w:sz w:val="24"/>
                <w:szCs w:val="24"/>
              </w:rPr>
            </w:pPr>
            <w:r w:rsidRPr="006948E6">
              <w:rPr>
                <w:rFonts w:eastAsia="PMingLiU" w:cs="Calibri"/>
                <w:iCs/>
                <w:sz w:val="24"/>
                <w:szCs w:val="24"/>
              </w:rPr>
              <w:t>8</w:t>
            </w:r>
          </w:p>
        </w:tc>
        <w:tc>
          <w:tcPr>
            <w:tcW w:w="2572" w:type="dxa"/>
          </w:tcPr>
          <w:p w14:paraId="10E70047"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Average current serious penalty in private sector - total (1 to greater than 250 workers)</w:t>
            </w:r>
          </w:p>
        </w:tc>
        <w:tc>
          <w:tcPr>
            <w:tcW w:w="979" w:type="dxa"/>
          </w:tcPr>
          <w:p w14:paraId="09025493"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eastAsia="PMingLiU" w:cs="Calibri"/>
                <w:iCs/>
                <w:sz w:val="24"/>
                <w:szCs w:val="24"/>
              </w:rPr>
              <w:t>$3,763.43</w:t>
            </w:r>
          </w:p>
        </w:tc>
        <w:tc>
          <w:tcPr>
            <w:tcW w:w="1307" w:type="dxa"/>
          </w:tcPr>
          <w:p w14:paraId="39734865" w14:textId="77777777" w:rsidR="006948E6" w:rsidRPr="006948E6" w:rsidRDefault="006948E6" w:rsidP="006948E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 xml:space="preserve">+/- 25% of </w:t>
            </w:r>
          </w:p>
          <w:p w14:paraId="16AD1EFD" w14:textId="77777777" w:rsidR="006948E6" w:rsidRPr="006948E6" w:rsidRDefault="006948E6" w:rsidP="006948E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eastAsia="PMingLiU" w:cs="Calibri"/>
                <w:iCs/>
                <w:sz w:val="24"/>
                <w:szCs w:val="24"/>
              </w:rPr>
              <w:t>$3,793.81</w:t>
            </w:r>
          </w:p>
          <w:p w14:paraId="0A8A90A7"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p>
        </w:tc>
        <w:tc>
          <w:tcPr>
            <w:tcW w:w="4599" w:type="dxa"/>
          </w:tcPr>
          <w:p w14:paraId="00DC07C0" w14:textId="77777777" w:rsidR="006948E6" w:rsidRPr="006948E6" w:rsidRDefault="006948E6" w:rsidP="006948E6">
            <w:pPr>
              <w:widowControl w:val="0"/>
              <w:autoSpaceDE w:val="0"/>
              <w:autoSpaceDN w:val="0"/>
              <w:adjustRightInd w:val="0"/>
              <w:ind w:right="1331"/>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The further review level is based on a three-year national average.  The range of acceptable data not requiring further review is from $2,845.36 to $4,742.27.</w:t>
            </w:r>
          </w:p>
        </w:tc>
      </w:tr>
      <w:tr w:rsidR="006948E6" w:rsidRPr="006948E6" w14:paraId="6EE8457E" w14:textId="77777777" w:rsidTr="003C79AC">
        <w:tc>
          <w:tcPr>
            <w:cnfStyle w:val="001000000000" w:firstRow="0" w:lastRow="0" w:firstColumn="1" w:lastColumn="0" w:oddVBand="0" w:evenVBand="0" w:oddHBand="0" w:evenHBand="0" w:firstRowFirstColumn="0" w:firstRowLastColumn="0" w:lastRowFirstColumn="0" w:lastRowLastColumn="0"/>
            <w:tcW w:w="893" w:type="dxa"/>
          </w:tcPr>
          <w:p w14:paraId="77E3986C"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PMingLiU" w:cs="Calibri"/>
                <w:iCs/>
                <w:sz w:val="24"/>
                <w:szCs w:val="24"/>
              </w:rPr>
            </w:pPr>
          </w:p>
        </w:tc>
        <w:tc>
          <w:tcPr>
            <w:tcW w:w="2572" w:type="dxa"/>
          </w:tcPr>
          <w:p w14:paraId="715B5B55" w14:textId="77777777" w:rsidR="006948E6" w:rsidRPr="006948E6" w:rsidRDefault="006948E6" w:rsidP="006948E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b/>
                <w:iCs/>
                <w:sz w:val="24"/>
                <w:szCs w:val="24"/>
              </w:rPr>
              <w:t>a</w:t>
            </w:r>
            <w:r w:rsidRPr="006948E6">
              <w:rPr>
                <w:rFonts w:cs="Calibri"/>
                <w:iCs/>
                <w:sz w:val="24"/>
                <w:szCs w:val="24"/>
              </w:rPr>
              <w:t>.  Average current serious penalty in private sector</w:t>
            </w:r>
          </w:p>
          <w:p w14:paraId="58CBCA48"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 xml:space="preserve"> (1-25 workers)</w:t>
            </w:r>
          </w:p>
        </w:tc>
        <w:tc>
          <w:tcPr>
            <w:tcW w:w="979" w:type="dxa"/>
          </w:tcPr>
          <w:p w14:paraId="1D1C167B"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eastAsia="PMingLiU" w:cs="Calibri"/>
                <w:iCs/>
                <w:sz w:val="24"/>
                <w:szCs w:val="24"/>
              </w:rPr>
              <w:t>$2,195.00</w:t>
            </w:r>
          </w:p>
        </w:tc>
        <w:tc>
          <w:tcPr>
            <w:tcW w:w="1307" w:type="dxa"/>
          </w:tcPr>
          <w:p w14:paraId="59973CDB" w14:textId="77777777" w:rsidR="006948E6" w:rsidRPr="006948E6" w:rsidRDefault="006948E6" w:rsidP="006948E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 xml:space="preserve">+/- 25% of </w:t>
            </w:r>
          </w:p>
          <w:p w14:paraId="1A06850A" w14:textId="77777777" w:rsidR="006948E6" w:rsidRPr="006948E6" w:rsidRDefault="006948E6" w:rsidP="006948E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$2,498.51</w:t>
            </w:r>
          </w:p>
          <w:p w14:paraId="072A7E31"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p>
        </w:tc>
        <w:tc>
          <w:tcPr>
            <w:tcW w:w="4599" w:type="dxa"/>
          </w:tcPr>
          <w:p w14:paraId="0437E210"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The further review level is based on a three-year national average.  The range of acceptable data not requiring further review is from $1,873.88 to $3,123.14.</w:t>
            </w:r>
          </w:p>
        </w:tc>
      </w:tr>
      <w:tr w:rsidR="006948E6" w:rsidRPr="006948E6" w14:paraId="1C9A7E26" w14:textId="77777777" w:rsidTr="003C79AC">
        <w:tc>
          <w:tcPr>
            <w:cnfStyle w:val="001000000000" w:firstRow="0" w:lastRow="0" w:firstColumn="1" w:lastColumn="0" w:oddVBand="0" w:evenVBand="0" w:oddHBand="0" w:evenHBand="0" w:firstRowFirstColumn="0" w:firstRowLastColumn="0" w:lastRowFirstColumn="0" w:lastRowLastColumn="0"/>
            <w:tcW w:w="893" w:type="dxa"/>
          </w:tcPr>
          <w:p w14:paraId="5FBEF020"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PMingLiU" w:cs="Calibri"/>
                <w:iCs/>
                <w:sz w:val="24"/>
                <w:szCs w:val="24"/>
              </w:rPr>
            </w:pPr>
          </w:p>
        </w:tc>
        <w:tc>
          <w:tcPr>
            <w:tcW w:w="2572" w:type="dxa"/>
          </w:tcPr>
          <w:p w14:paraId="3B0EF77B" w14:textId="77777777" w:rsidR="006948E6" w:rsidRPr="006948E6" w:rsidRDefault="006948E6" w:rsidP="006948E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b/>
                <w:iCs/>
                <w:sz w:val="24"/>
                <w:szCs w:val="24"/>
              </w:rPr>
              <w:t>b</w:t>
            </w:r>
            <w:r w:rsidRPr="006948E6">
              <w:rPr>
                <w:rFonts w:cs="Calibri"/>
                <w:iCs/>
                <w:sz w:val="24"/>
                <w:szCs w:val="24"/>
              </w:rPr>
              <w:t xml:space="preserve">. Average current serious penalty in private sector </w:t>
            </w:r>
          </w:p>
          <w:p w14:paraId="48390D30"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(26-100 workers</w:t>
            </w:r>
            <w:r w:rsidRPr="006948E6">
              <w:rPr>
                <w:rFonts w:cs="Calibri"/>
                <w:b/>
                <w:iCs/>
                <w:sz w:val="24"/>
                <w:szCs w:val="24"/>
              </w:rPr>
              <w:t>)</w:t>
            </w:r>
          </w:p>
        </w:tc>
        <w:tc>
          <w:tcPr>
            <w:tcW w:w="979" w:type="dxa"/>
          </w:tcPr>
          <w:p w14:paraId="4FBBCCAB"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eastAsia="PMingLiU" w:cs="Calibri"/>
                <w:iCs/>
                <w:sz w:val="24"/>
                <w:szCs w:val="24"/>
              </w:rPr>
              <w:t>$4,332.16</w:t>
            </w:r>
          </w:p>
        </w:tc>
        <w:tc>
          <w:tcPr>
            <w:tcW w:w="1307" w:type="dxa"/>
          </w:tcPr>
          <w:p w14:paraId="72A79AFA" w14:textId="77777777" w:rsidR="006948E6" w:rsidRPr="006948E6" w:rsidRDefault="006948E6" w:rsidP="006948E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 xml:space="preserve">+/- 25% of </w:t>
            </w:r>
          </w:p>
          <w:p w14:paraId="22F16760" w14:textId="77777777" w:rsidR="006948E6" w:rsidRPr="006948E6" w:rsidRDefault="006948E6" w:rsidP="006948E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$4,322.61</w:t>
            </w:r>
          </w:p>
          <w:p w14:paraId="22179FC6"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p>
        </w:tc>
        <w:tc>
          <w:tcPr>
            <w:tcW w:w="4599" w:type="dxa"/>
          </w:tcPr>
          <w:p w14:paraId="7F5936DB"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The further review level is based on a three-year national average.  The range of acceptable data not requiring further review is from $3,241.96 to $5,403.26.</w:t>
            </w:r>
          </w:p>
        </w:tc>
      </w:tr>
      <w:tr w:rsidR="006948E6" w:rsidRPr="006948E6" w14:paraId="55E37046" w14:textId="77777777" w:rsidTr="003C79AC">
        <w:tc>
          <w:tcPr>
            <w:cnfStyle w:val="001000000000" w:firstRow="0" w:lastRow="0" w:firstColumn="1" w:lastColumn="0" w:oddVBand="0" w:evenVBand="0" w:oddHBand="0" w:evenHBand="0" w:firstRowFirstColumn="0" w:firstRowLastColumn="0" w:lastRowFirstColumn="0" w:lastRowLastColumn="0"/>
            <w:tcW w:w="893" w:type="dxa"/>
          </w:tcPr>
          <w:p w14:paraId="6DE644C1"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PMingLiU" w:cs="Calibri"/>
                <w:iCs/>
                <w:sz w:val="24"/>
                <w:szCs w:val="24"/>
              </w:rPr>
            </w:pPr>
          </w:p>
        </w:tc>
        <w:tc>
          <w:tcPr>
            <w:tcW w:w="2572" w:type="dxa"/>
          </w:tcPr>
          <w:p w14:paraId="35E88EDC" w14:textId="77777777" w:rsidR="006948E6" w:rsidRPr="006948E6" w:rsidRDefault="006948E6" w:rsidP="006948E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b/>
                <w:iCs/>
                <w:sz w:val="24"/>
                <w:szCs w:val="24"/>
              </w:rPr>
              <w:t>c</w:t>
            </w:r>
            <w:r w:rsidRPr="006948E6">
              <w:rPr>
                <w:rFonts w:cs="Calibri"/>
                <w:iCs/>
                <w:sz w:val="24"/>
                <w:szCs w:val="24"/>
              </w:rPr>
              <w:t>. Average current serious penalty in private sector</w:t>
            </w:r>
          </w:p>
          <w:p w14:paraId="35BD5362"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(101-250 workers)</w:t>
            </w:r>
          </w:p>
        </w:tc>
        <w:tc>
          <w:tcPr>
            <w:tcW w:w="979" w:type="dxa"/>
          </w:tcPr>
          <w:p w14:paraId="3B3498B0"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eastAsia="PMingLiU" w:cs="Calibri"/>
                <w:iCs/>
                <w:sz w:val="24"/>
                <w:szCs w:val="24"/>
              </w:rPr>
              <w:t>$6,848.68</w:t>
            </w:r>
          </w:p>
        </w:tc>
        <w:tc>
          <w:tcPr>
            <w:tcW w:w="1307" w:type="dxa"/>
          </w:tcPr>
          <w:p w14:paraId="6BD279B7" w14:textId="77777777" w:rsidR="006948E6" w:rsidRPr="006948E6" w:rsidRDefault="006948E6" w:rsidP="006948E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 xml:space="preserve">+/- 25% of </w:t>
            </w:r>
          </w:p>
          <w:p w14:paraId="04946343" w14:textId="77777777" w:rsidR="006948E6" w:rsidRPr="006948E6" w:rsidRDefault="006948E6" w:rsidP="006948E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$6,114.84</w:t>
            </w:r>
          </w:p>
          <w:p w14:paraId="4BB0A588"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p>
        </w:tc>
        <w:tc>
          <w:tcPr>
            <w:tcW w:w="4599" w:type="dxa"/>
          </w:tcPr>
          <w:p w14:paraId="52CB21FB"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The further review level is based on a three-year national average.  The range of acceptable data not requiring further review is from $4,586.13 to $7,643.55.</w:t>
            </w:r>
          </w:p>
        </w:tc>
      </w:tr>
      <w:tr w:rsidR="006948E6" w:rsidRPr="006948E6" w14:paraId="07867335" w14:textId="77777777" w:rsidTr="003C79AC">
        <w:tc>
          <w:tcPr>
            <w:cnfStyle w:val="001000000000" w:firstRow="0" w:lastRow="0" w:firstColumn="1" w:lastColumn="0" w:oddVBand="0" w:evenVBand="0" w:oddHBand="0" w:evenHBand="0" w:firstRowFirstColumn="0" w:firstRowLastColumn="0" w:lastRowFirstColumn="0" w:lastRowLastColumn="0"/>
            <w:tcW w:w="893" w:type="dxa"/>
          </w:tcPr>
          <w:p w14:paraId="11572252"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PMingLiU" w:cs="Calibri"/>
                <w:iCs/>
                <w:sz w:val="24"/>
                <w:szCs w:val="24"/>
              </w:rPr>
            </w:pPr>
          </w:p>
        </w:tc>
        <w:tc>
          <w:tcPr>
            <w:tcW w:w="2572" w:type="dxa"/>
          </w:tcPr>
          <w:p w14:paraId="56CC650D" w14:textId="77777777" w:rsidR="006948E6" w:rsidRPr="006948E6" w:rsidRDefault="006948E6" w:rsidP="006948E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b/>
                <w:iCs/>
                <w:sz w:val="24"/>
                <w:szCs w:val="24"/>
              </w:rPr>
              <w:t>d</w:t>
            </w:r>
            <w:r w:rsidRPr="006948E6">
              <w:rPr>
                <w:rFonts w:cs="Calibri"/>
                <w:iCs/>
                <w:sz w:val="24"/>
                <w:szCs w:val="24"/>
              </w:rPr>
              <w:t>. Average current serious penalty in private sector</w:t>
            </w:r>
          </w:p>
          <w:p w14:paraId="7A4D8593"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(greater than 250 workers)</w:t>
            </w:r>
          </w:p>
        </w:tc>
        <w:tc>
          <w:tcPr>
            <w:tcW w:w="979" w:type="dxa"/>
          </w:tcPr>
          <w:p w14:paraId="0B0A6126"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eastAsia="PMingLiU" w:cs="Calibri"/>
                <w:iCs/>
                <w:sz w:val="24"/>
                <w:szCs w:val="24"/>
              </w:rPr>
              <w:t>$8,054.91</w:t>
            </w:r>
          </w:p>
        </w:tc>
        <w:tc>
          <w:tcPr>
            <w:tcW w:w="1307" w:type="dxa"/>
          </w:tcPr>
          <w:p w14:paraId="283DB550" w14:textId="77777777" w:rsidR="006948E6" w:rsidRPr="006948E6" w:rsidRDefault="006948E6" w:rsidP="006948E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 xml:space="preserve">+/- 25% of </w:t>
            </w:r>
          </w:p>
          <w:p w14:paraId="626194FA" w14:textId="77777777" w:rsidR="006948E6" w:rsidRPr="006948E6" w:rsidRDefault="006948E6" w:rsidP="006948E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$7,533.58</w:t>
            </w:r>
          </w:p>
          <w:p w14:paraId="549D2FA2"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p>
        </w:tc>
        <w:tc>
          <w:tcPr>
            <w:tcW w:w="4599" w:type="dxa"/>
          </w:tcPr>
          <w:p w14:paraId="2D393A83"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The further review level is based on a three-year national average.  The range of acceptable data not requiring further review is from $5,650.19 to $9,416.98.</w:t>
            </w:r>
          </w:p>
        </w:tc>
      </w:tr>
      <w:tr w:rsidR="006948E6" w:rsidRPr="006948E6" w14:paraId="6D4FAACE" w14:textId="77777777" w:rsidTr="003C79AC">
        <w:tc>
          <w:tcPr>
            <w:cnfStyle w:val="001000000000" w:firstRow="0" w:lastRow="0" w:firstColumn="1" w:lastColumn="0" w:oddVBand="0" w:evenVBand="0" w:oddHBand="0" w:evenHBand="0" w:firstRowFirstColumn="0" w:firstRowLastColumn="0" w:lastRowFirstColumn="0" w:lastRowLastColumn="0"/>
            <w:tcW w:w="893" w:type="dxa"/>
          </w:tcPr>
          <w:p w14:paraId="4BFE73E5"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PMingLiU" w:cs="Calibri"/>
                <w:iCs/>
                <w:sz w:val="24"/>
                <w:szCs w:val="24"/>
              </w:rPr>
            </w:pPr>
            <w:r w:rsidRPr="006948E6">
              <w:rPr>
                <w:rFonts w:eastAsia="PMingLiU" w:cs="Calibri"/>
                <w:iCs/>
                <w:sz w:val="24"/>
                <w:szCs w:val="24"/>
              </w:rPr>
              <w:lastRenderedPageBreak/>
              <w:t>9a</w:t>
            </w:r>
          </w:p>
        </w:tc>
        <w:tc>
          <w:tcPr>
            <w:tcW w:w="2572" w:type="dxa"/>
          </w:tcPr>
          <w:p w14:paraId="7BB10881"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Percent in compliance (safety)</w:t>
            </w:r>
          </w:p>
        </w:tc>
        <w:tc>
          <w:tcPr>
            <w:tcW w:w="979" w:type="dxa"/>
          </w:tcPr>
          <w:p w14:paraId="51A047C8"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eastAsia="PMingLiU" w:cs="Calibri"/>
                <w:iCs/>
                <w:sz w:val="24"/>
                <w:szCs w:val="24"/>
              </w:rPr>
              <w:t>43.13%</w:t>
            </w:r>
          </w:p>
          <w:p w14:paraId="0CEE9482"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p>
          <w:p w14:paraId="37C3F254"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color w:val="FF0000"/>
                <w:sz w:val="24"/>
                <w:szCs w:val="24"/>
              </w:rPr>
            </w:pPr>
          </w:p>
        </w:tc>
        <w:tc>
          <w:tcPr>
            <w:tcW w:w="1307" w:type="dxa"/>
          </w:tcPr>
          <w:p w14:paraId="733455B5" w14:textId="77777777" w:rsidR="006948E6" w:rsidRPr="006948E6" w:rsidRDefault="006948E6" w:rsidP="006948E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+/- 20% of</w:t>
            </w:r>
          </w:p>
          <w:p w14:paraId="39C8EEC0"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32.83%</w:t>
            </w:r>
          </w:p>
        </w:tc>
        <w:tc>
          <w:tcPr>
            <w:tcW w:w="4599" w:type="dxa"/>
          </w:tcPr>
          <w:p w14:paraId="6C7C0819"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The further review level is based on a three-year national average.  The range of acceptable data not requiring further review is from 26.27% to 39.40% for safety.</w:t>
            </w:r>
          </w:p>
        </w:tc>
      </w:tr>
      <w:tr w:rsidR="006948E6" w:rsidRPr="006948E6" w14:paraId="36EADA2A" w14:textId="77777777" w:rsidTr="003C79AC">
        <w:tc>
          <w:tcPr>
            <w:cnfStyle w:val="001000000000" w:firstRow="0" w:lastRow="0" w:firstColumn="1" w:lastColumn="0" w:oddVBand="0" w:evenVBand="0" w:oddHBand="0" w:evenHBand="0" w:firstRowFirstColumn="0" w:firstRowLastColumn="0" w:lastRowFirstColumn="0" w:lastRowLastColumn="0"/>
            <w:tcW w:w="893" w:type="dxa"/>
          </w:tcPr>
          <w:p w14:paraId="24588744"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PMingLiU" w:cs="Calibri"/>
                <w:iCs/>
                <w:sz w:val="24"/>
                <w:szCs w:val="24"/>
              </w:rPr>
            </w:pPr>
            <w:r w:rsidRPr="006948E6">
              <w:rPr>
                <w:rFonts w:eastAsia="PMingLiU" w:cs="Calibri"/>
                <w:iCs/>
                <w:sz w:val="24"/>
                <w:szCs w:val="24"/>
              </w:rPr>
              <w:t>9b</w:t>
            </w:r>
          </w:p>
        </w:tc>
        <w:tc>
          <w:tcPr>
            <w:tcW w:w="2572" w:type="dxa"/>
          </w:tcPr>
          <w:p w14:paraId="7349FADD"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Percent in compliance (health)</w:t>
            </w:r>
          </w:p>
        </w:tc>
        <w:tc>
          <w:tcPr>
            <w:tcW w:w="979" w:type="dxa"/>
          </w:tcPr>
          <w:p w14:paraId="7829F534"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eastAsia="PMingLiU" w:cs="Calibri"/>
                <w:iCs/>
                <w:sz w:val="24"/>
                <w:szCs w:val="24"/>
              </w:rPr>
              <w:t>39.31%</w:t>
            </w:r>
          </w:p>
        </w:tc>
        <w:tc>
          <w:tcPr>
            <w:tcW w:w="1307" w:type="dxa"/>
          </w:tcPr>
          <w:p w14:paraId="7CB0D515" w14:textId="77777777" w:rsidR="006948E6" w:rsidRPr="006948E6" w:rsidRDefault="006948E6" w:rsidP="006948E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+/- 20% of</w:t>
            </w:r>
          </w:p>
          <w:p w14:paraId="26EB76F3"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44.18%</w:t>
            </w:r>
          </w:p>
        </w:tc>
        <w:tc>
          <w:tcPr>
            <w:tcW w:w="4599" w:type="dxa"/>
          </w:tcPr>
          <w:p w14:paraId="323F068B"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The further review level is based on a three-year national average.  The range of acceptable data not requiring further review is from 35.34% to 53.01% for health.</w:t>
            </w:r>
          </w:p>
        </w:tc>
      </w:tr>
      <w:tr w:rsidR="006948E6" w:rsidRPr="006948E6" w14:paraId="59631234" w14:textId="77777777" w:rsidTr="003C79AC">
        <w:tc>
          <w:tcPr>
            <w:cnfStyle w:val="001000000000" w:firstRow="0" w:lastRow="0" w:firstColumn="1" w:lastColumn="0" w:oddVBand="0" w:evenVBand="0" w:oddHBand="0" w:evenHBand="0" w:firstRowFirstColumn="0" w:firstRowLastColumn="0" w:lastRowFirstColumn="0" w:lastRowLastColumn="0"/>
            <w:tcW w:w="893" w:type="dxa"/>
          </w:tcPr>
          <w:p w14:paraId="6AC044AA"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PMingLiU" w:cs="Calibri"/>
                <w:iCs/>
                <w:sz w:val="24"/>
                <w:szCs w:val="24"/>
              </w:rPr>
            </w:pPr>
            <w:r w:rsidRPr="006948E6">
              <w:rPr>
                <w:rFonts w:eastAsia="PMingLiU" w:cs="Calibri"/>
                <w:iCs/>
                <w:sz w:val="24"/>
                <w:szCs w:val="24"/>
              </w:rPr>
              <w:t>10</w:t>
            </w:r>
          </w:p>
        </w:tc>
        <w:tc>
          <w:tcPr>
            <w:tcW w:w="2572" w:type="dxa"/>
          </w:tcPr>
          <w:p w14:paraId="6D170B91"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Percent of work-related fatalities responded to in one workday</w:t>
            </w:r>
          </w:p>
        </w:tc>
        <w:tc>
          <w:tcPr>
            <w:tcW w:w="979" w:type="dxa"/>
          </w:tcPr>
          <w:p w14:paraId="2823A367"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eastAsia="PMingLiU" w:cs="Calibri"/>
                <w:iCs/>
                <w:sz w:val="24"/>
                <w:szCs w:val="24"/>
              </w:rPr>
              <w:t>100%</w:t>
            </w:r>
          </w:p>
        </w:tc>
        <w:tc>
          <w:tcPr>
            <w:tcW w:w="1307" w:type="dxa"/>
          </w:tcPr>
          <w:p w14:paraId="7A406548"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eastAsia="PMingLiU" w:cs="Calibri"/>
                <w:iCs/>
                <w:sz w:val="24"/>
                <w:szCs w:val="24"/>
              </w:rPr>
              <w:t>100%</w:t>
            </w:r>
          </w:p>
        </w:tc>
        <w:tc>
          <w:tcPr>
            <w:tcW w:w="4599" w:type="dxa"/>
          </w:tcPr>
          <w:p w14:paraId="137A6435"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The further review level is fixed for all State Plans.</w:t>
            </w:r>
          </w:p>
        </w:tc>
      </w:tr>
      <w:tr w:rsidR="006948E6" w:rsidRPr="006948E6" w14:paraId="3B21F3AD" w14:textId="77777777" w:rsidTr="003C79AC">
        <w:tc>
          <w:tcPr>
            <w:cnfStyle w:val="001000000000" w:firstRow="0" w:lastRow="0" w:firstColumn="1" w:lastColumn="0" w:oddVBand="0" w:evenVBand="0" w:oddHBand="0" w:evenHBand="0" w:firstRowFirstColumn="0" w:firstRowLastColumn="0" w:lastRowFirstColumn="0" w:lastRowLastColumn="0"/>
            <w:tcW w:w="893" w:type="dxa"/>
          </w:tcPr>
          <w:p w14:paraId="48BE43A2"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PMingLiU" w:cs="Calibri"/>
                <w:iCs/>
                <w:sz w:val="24"/>
                <w:szCs w:val="24"/>
              </w:rPr>
            </w:pPr>
            <w:r w:rsidRPr="006948E6">
              <w:rPr>
                <w:rFonts w:eastAsia="PMingLiU" w:cs="Calibri"/>
                <w:iCs/>
                <w:sz w:val="24"/>
                <w:szCs w:val="24"/>
              </w:rPr>
              <w:t>11a</w:t>
            </w:r>
          </w:p>
        </w:tc>
        <w:tc>
          <w:tcPr>
            <w:tcW w:w="2572" w:type="dxa"/>
          </w:tcPr>
          <w:p w14:paraId="46358986"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Average lapse time (safety)</w:t>
            </w:r>
          </w:p>
        </w:tc>
        <w:tc>
          <w:tcPr>
            <w:tcW w:w="979" w:type="dxa"/>
          </w:tcPr>
          <w:p w14:paraId="0EE9B432"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eastAsia="PMingLiU" w:cs="Calibri"/>
                <w:iCs/>
                <w:sz w:val="24"/>
                <w:szCs w:val="24"/>
              </w:rPr>
              <w:t>52.76</w:t>
            </w:r>
          </w:p>
        </w:tc>
        <w:tc>
          <w:tcPr>
            <w:tcW w:w="1307" w:type="dxa"/>
          </w:tcPr>
          <w:p w14:paraId="36B2A5D3" w14:textId="77777777" w:rsidR="006948E6" w:rsidRPr="006948E6" w:rsidRDefault="006948E6" w:rsidP="006948E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 xml:space="preserve">+/- 20% of </w:t>
            </w:r>
          </w:p>
          <w:p w14:paraId="7E906A50"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56.02</w:t>
            </w:r>
          </w:p>
        </w:tc>
        <w:tc>
          <w:tcPr>
            <w:tcW w:w="4599" w:type="dxa"/>
          </w:tcPr>
          <w:p w14:paraId="054B7707"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608"/>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The further review level is based on a three-year national average.  The range of acceptable data not requiring further review is from 44.82 to 67.23 for safety.</w:t>
            </w:r>
          </w:p>
        </w:tc>
      </w:tr>
      <w:tr w:rsidR="006948E6" w:rsidRPr="006948E6" w14:paraId="43B01D5A" w14:textId="77777777" w:rsidTr="003C79AC">
        <w:tc>
          <w:tcPr>
            <w:cnfStyle w:val="001000000000" w:firstRow="0" w:lastRow="0" w:firstColumn="1" w:lastColumn="0" w:oddVBand="0" w:evenVBand="0" w:oddHBand="0" w:evenHBand="0" w:firstRowFirstColumn="0" w:firstRowLastColumn="0" w:lastRowFirstColumn="0" w:lastRowLastColumn="0"/>
            <w:tcW w:w="893" w:type="dxa"/>
          </w:tcPr>
          <w:p w14:paraId="208E0D2A"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PMingLiU" w:cs="Calibri"/>
                <w:iCs/>
                <w:sz w:val="24"/>
                <w:szCs w:val="24"/>
              </w:rPr>
            </w:pPr>
            <w:r w:rsidRPr="006948E6">
              <w:rPr>
                <w:rFonts w:eastAsia="PMingLiU" w:cs="Calibri"/>
                <w:iCs/>
                <w:sz w:val="24"/>
                <w:szCs w:val="24"/>
              </w:rPr>
              <w:t>11b</w:t>
            </w:r>
          </w:p>
        </w:tc>
        <w:tc>
          <w:tcPr>
            <w:tcW w:w="2572" w:type="dxa"/>
          </w:tcPr>
          <w:p w14:paraId="049BCB85"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Average lapse time (health)</w:t>
            </w:r>
          </w:p>
        </w:tc>
        <w:tc>
          <w:tcPr>
            <w:tcW w:w="979" w:type="dxa"/>
          </w:tcPr>
          <w:p w14:paraId="67DB56D3"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eastAsia="PMingLiU" w:cs="Calibri"/>
                <w:iCs/>
                <w:sz w:val="24"/>
                <w:szCs w:val="24"/>
              </w:rPr>
              <w:t>56.43</w:t>
            </w:r>
          </w:p>
        </w:tc>
        <w:tc>
          <w:tcPr>
            <w:tcW w:w="1307" w:type="dxa"/>
          </w:tcPr>
          <w:p w14:paraId="649ECE9E" w14:textId="77777777" w:rsidR="006948E6" w:rsidRPr="006948E6" w:rsidRDefault="006948E6" w:rsidP="006948E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 xml:space="preserve">+/- 20% of </w:t>
            </w:r>
          </w:p>
          <w:p w14:paraId="3B6967CE"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eastAsia="PMingLiU" w:cs="Calibri"/>
                <w:iCs/>
                <w:sz w:val="24"/>
                <w:szCs w:val="24"/>
              </w:rPr>
              <w:t>67.21</w:t>
            </w:r>
          </w:p>
        </w:tc>
        <w:tc>
          <w:tcPr>
            <w:tcW w:w="4599" w:type="dxa"/>
          </w:tcPr>
          <w:p w14:paraId="55C00C99"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The further review level is based on a three-year national average.  The range of acceptable data not requiring further review is from 53.77 to 80.65 for health.</w:t>
            </w:r>
          </w:p>
        </w:tc>
      </w:tr>
      <w:tr w:rsidR="006948E6" w:rsidRPr="006948E6" w14:paraId="60EB6638" w14:textId="77777777" w:rsidTr="003C79AC">
        <w:tc>
          <w:tcPr>
            <w:cnfStyle w:val="001000000000" w:firstRow="0" w:lastRow="0" w:firstColumn="1" w:lastColumn="0" w:oddVBand="0" w:evenVBand="0" w:oddHBand="0" w:evenHBand="0" w:firstRowFirstColumn="0" w:firstRowLastColumn="0" w:lastRowFirstColumn="0" w:lastRowLastColumn="0"/>
            <w:tcW w:w="893" w:type="dxa"/>
          </w:tcPr>
          <w:p w14:paraId="5662E261"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PMingLiU" w:cs="Calibri"/>
                <w:iCs/>
                <w:sz w:val="24"/>
                <w:szCs w:val="24"/>
              </w:rPr>
            </w:pPr>
            <w:r w:rsidRPr="006948E6">
              <w:rPr>
                <w:rFonts w:eastAsia="PMingLiU" w:cs="Calibri"/>
                <w:iCs/>
                <w:sz w:val="24"/>
                <w:szCs w:val="24"/>
              </w:rPr>
              <w:t>12</w:t>
            </w:r>
          </w:p>
        </w:tc>
        <w:tc>
          <w:tcPr>
            <w:tcW w:w="2572" w:type="dxa"/>
          </w:tcPr>
          <w:p w14:paraId="2A939787"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Percent penalty retained</w:t>
            </w:r>
          </w:p>
        </w:tc>
        <w:tc>
          <w:tcPr>
            <w:tcW w:w="979" w:type="dxa"/>
          </w:tcPr>
          <w:p w14:paraId="7B28EC48"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76.64%</w:t>
            </w:r>
          </w:p>
        </w:tc>
        <w:tc>
          <w:tcPr>
            <w:tcW w:w="1307" w:type="dxa"/>
          </w:tcPr>
          <w:p w14:paraId="6BFD88FB" w14:textId="77777777" w:rsidR="006948E6" w:rsidRPr="006948E6" w:rsidRDefault="006948E6" w:rsidP="006948E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+/- 15% of</w:t>
            </w:r>
          </w:p>
          <w:p w14:paraId="787CE4B7"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70.81%</w:t>
            </w:r>
          </w:p>
        </w:tc>
        <w:tc>
          <w:tcPr>
            <w:tcW w:w="4599" w:type="dxa"/>
          </w:tcPr>
          <w:p w14:paraId="6A5F3118"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The further review level is based on a three-year national average.  The range of acceptable data not requiring further review is from 60.19% to 81.44%.</w:t>
            </w:r>
          </w:p>
        </w:tc>
      </w:tr>
      <w:tr w:rsidR="006948E6" w:rsidRPr="006948E6" w14:paraId="64949509" w14:textId="77777777" w:rsidTr="003C79AC">
        <w:tc>
          <w:tcPr>
            <w:cnfStyle w:val="001000000000" w:firstRow="0" w:lastRow="0" w:firstColumn="1" w:lastColumn="0" w:oddVBand="0" w:evenVBand="0" w:oddHBand="0" w:evenHBand="0" w:firstRowFirstColumn="0" w:firstRowLastColumn="0" w:lastRowFirstColumn="0" w:lastRowLastColumn="0"/>
            <w:tcW w:w="893" w:type="dxa"/>
          </w:tcPr>
          <w:p w14:paraId="41BD5FE4"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PMingLiU" w:cs="Calibri"/>
                <w:iCs/>
                <w:sz w:val="24"/>
                <w:szCs w:val="24"/>
              </w:rPr>
            </w:pPr>
            <w:r w:rsidRPr="006948E6">
              <w:rPr>
                <w:rFonts w:eastAsia="PMingLiU" w:cs="Calibri"/>
                <w:iCs/>
                <w:sz w:val="24"/>
                <w:szCs w:val="24"/>
              </w:rPr>
              <w:t>13</w:t>
            </w:r>
          </w:p>
        </w:tc>
        <w:tc>
          <w:tcPr>
            <w:tcW w:w="2572" w:type="dxa"/>
          </w:tcPr>
          <w:p w14:paraId="191476BC"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Percent of initial inspections with worker walk-around representation or worker interview</w:t>
            </w:r>
          </w:p>
        </w:tc>
        <w:tc>
          <w:tcPr>
            <w:tcW w:w="979" w:type="dxa"/>
          </w:tcPr>
          <w:p w14:paraId="411BDA05"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99.95%</w:t>
            </w:r>
          </w:p>
          <w:p w14:paraId="6487D5D8"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libri"/>
                <w:iCs/>
                <w:sz w:val="24"/>
                <w:szCs w:val="24"/>
              </w:rPr>
            </w:pPr>
          </w:p>
          <w:p w14:paraId="4A23AC1D"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color w:val="FF0000"/>
                <w:sz w:val="24"/>
                <w:szCs w:val="24"/>
              </w:rPr>
            </w:pPr>
          </w:p>
        </w:tc>
        <w:tc>
          <w:tcPr>
            <w:tcW w:w="1307" w:type="dxa"/>
          </w:tcPr>
          <w:p w14:paraId="558EBCE9"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100%</w:t>
            </w:r>
          </w:p>
        </w:tc>
        <w:tc>
          <w:tcPr>
            <w:tcW w:w="4599" w:type="dxa"/>
          </w:tcPr>
          <w:p w14:paraId="5FF21175"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The further review level is fixed for all State Plans.</w:t>
            </w:r>
          </w:p>
        </w:tc>
      </w:tr>
      <w:tr w:rsidR="006948E6" w:rsidRPr="006948E6" w14:paraId="55AD9394" w14:textId="77777777" w:rsidTr="003C79AC">
        <w:tc>
          <w:tcPr>
            <w:cnfStyle w:val="001000000000" w:firstRow="0" w:lastRow="0" w:firstColumn="1" w:lastColumn="0" w:oddVBand="0" w:evenVBand="0" w:oddHBand="0" w:evenHBand="0" w:firstRowFirstColumn="0" w:firstRowLastColumn="0" w:lastRowFirstColumn="0" w:lastRowLastColumn="0"/>
            <w:tcW w:w="893" w:type="dxa"/>
          </w:tcPr>
          <w:p w14:paraId="33266AD0"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PMingLiU" w:cs="Calibri"/>
                <w:iCs/>
                <w:sz w:val="24"/>
                <w:szCs w:val="24"/>
              </w:rPr>
            </w:pPr>
            <w:r w:rsidRPr="006948E6">
              <w:rPr>
                <w:rFonts w:eastAsia="PMingLiU" w:cs="Calibri"/>
                <w:iCs/>
                <w:sz w:val="24"/>
                <w:szCs w:val="24"/>
              </w:rPr>
              <w:t>14</w:t>
            </w:r>
          </w:p>
        </w:tc>
        <w:tc>
          <w:tcPr>
            <w:tcW w:w="2572" w:type="dxa"/>
          </w:tcPr>
          <w:p w14:paraId="59642B65" w14:textId="77777777" w:rsid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Percent of 11(c) investigations completed within 90 days</w:t>
            </w:r>
          </w:p>
          <w:p w14:paraId="05A1DCF7" w14:textId="77777777" w:rsidR="00FB344B" w:rsidRDefault="00FB344B"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iCs/>
                <w:sz w:val="24"/>
                <w:szCs w:val="24"/>
              </w:rPr>
            </w:pPr>
          </w:p>
          <w:p w14:paraId="63DC80A8" w14:textId="77777777" w:rsidR="00FB344B" w:rsidRPr="006948E6" w:rsidRDefault="00FB344B"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iCs/>
                <w:sz w:val="24"/>
                <w:szCs w:val="24"/>
              </w:rPr>
            </w:pPr>
          </w:p>
        </w:tc>
        <w:tc>
          <w:tcPr>
            <w:tcW w:w="979" w:type="dxa"/>
          </w:tcPr>
          <w:p w14:paraId="1D4097BB"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eastAsia="PMingLiU" w:cs="Calibri"/>
                <w:iCs/>
                <w:sz w:val="24"/>
                <w:szCs w:val="24"/>
              </w:rPr>
              <w:t>N/A*</w:t>
            </w:r>
          </w:p>
        </w:tc>
        <w:tc>
          <w:tcPr>
            <w:tcW w:w="1307" w:type="dxa"/>
          </w:tcPr>
          <w:p w14:paraId="5209AD96"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eastAsia="PMingLiU" w:cs="Calibri"/>
                <w:iCs/>
                <w:sz w:val="24"/>
                <w:szCs w:val="24"/>
              </w:rPr>
              <w:t>N/A*</w:t>
            </w:r>
          </w:p>
        </w:tc>
        <w:tc>
          <w:tcPr>
            <w:tcW w:w="4599" w:type="dxa"/>
          </w:tcPr>
          <w:p w14:paraId="5855265D"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This measure is not being reported for FY 2024 due to the transition to the new SAMM measures starting in FY 2025.</w:t>
            </w:r>
          </w:p>
        </w:tc>
      </w:tr>
      <w:tr w:rsidR="006948E6" w:rsidRPr="006948E6" w14:paraId="68049EBB" w14:textId="77777777" w:rsidTr="003C79AC">
        <w:tc>
          <w:tcPr>
            <w:cnfStyle w:val="001000000000" w:firstRow="0" w:lastRow="0" w:firstColumn="1" w:lastColumn="0" w:oddVBand="0" w:evenVBand="0" w:oddHBand="0" w:evenHBand="0" w:firstRowFirstColumn="0" w:firstRowLastColumn="0" w:lastRowFirstColumn="0" w:lastRowLastColumn="0"/>
            <w:tcW w:w="893" w:type="dxa"/>
          </w:tcPr>
          <w:p w14:paraId="7F036DC7"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PMingLiU" w:cs="Calibri"/>
                <w:iCs/>
                <w:sz w:val="24"/>
                <w:szCs w:val="24"/>
              </w:rPr>
            </w:pPr>
            <w:r w:rsidRPr="006948E6">
              <w:rPr>
                <w:rFonts w:eastAsia="PMingLiU" w:cs="Calibri"/>
                <w:iCs/>
                <w:sz w:val="24"/>
                <w:szCs w:val="24"/>
              </w:rPr>
              <w:lastRenderedPageBreak/>
              <w:t>15</w:t>
            </w:r>
          </w:p>
        </w:tc>
        <w:tc>
          <w:tcPr>
            <w:tcW w:w="2572" w:type="dxa"/>
          </w:tcPr>
          <w:p w14:paraId="41976367"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Percent of 11(c) complaints that are meritorious</w:t>
            </w:r>
          </w:p>
        </w:tc>
        <w:tc>
          <w:tcPr>
            <w:tcW w:w="979" w:type="dxa"/>
          </w:tcPr>
          <w:p w14:paraId="67CD46D9"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eastAsia="PMingLiU" w:cs="Calibri"/>
                <w:iCs/>
                <w:sz w:val="24"/>
                <w:szCs w:val="24"/>
              </w:rPr>
              <w:t>N/A*</w:t>
            </w:r>
          </w:p>
        </w:tc>
        <w:tc>
          <w:tcPr>
            <w:tcW w:w="1307" w:type="dxa"/>
          </w:tcPr>
          <w:p w14:paraId="4923EA44"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N/A*</w:t>
            </w:r>
          </w:p>
        </w:tc>
        <w:tc>
          <w:tcPr>
            <w:tcW w:w="4599" w:type="dxa"/>
          </w:tcPr>
          <w:p w14:paraId="01DF2114"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This measure is not being reported for FY 2024 due to the transition to the new SAMM measures starting in FY 2025.</w:t>
            </w:r>
          </w:p>
        </w:tc>
      </w:tr>
      <w:tr w:rsidR="006948E6" w:rsidRPr="006948E6" w14:paraId="2844752C" w14:textId="77777777" w:rsidTr="003C79AC">
        <w:tc>
          <w:tcPr>
            <w:cnfStyle w:val="001000000000" w:firstRow="0" w:lastRow="0" w:firstColumn="1" w:lastColumn="0" w:oddVBand="0" w:evenVBand="0" w:oddHBand="0" w:evenHBand="0" w:firstRowFirstColumn="0" w:firstRowLastColumn="0" w:lastRowFirstColumn="0" w:lastRowLastColumn="0"/>
            <w:tcW w:w="893" w:type="dxa"/>
          </w:tcPr>
          <w:p w14:paraId="144A5B0F"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PMingLiU" w:cs="Calibri"/>
                <w:iCs/>
                <w:sz w:val="24"/>
                <w:szCs w:val="24"/>
              </w:rPr>
            </w:pPr>
            <w:r w:rsidRPr="006948E6">
              <w:rPr>
                <w:rFonts w:eastAsia="PMingLiU" w:cs="Calibri"/>
                <w:iCs/>
                <w:sz w:val="24"/>
                <w:szCs w:val="24"/>
              </w:rPr>
              <w:t>16</w:t>
            </w:r>
          </w:p>
        </w:tc>
        <w:tc>
          <w:tcPr>
            <w:tcW w:w="2572" w:type="dxa"/>
          </w:tcPr>
          <w:p w14:paraId="039400E1"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Average number of calendar days to complete an 11(c) investigation</w:t>
            </w:r>
          </w:p>
        </w:tc>
        <w:tc>
          <w:tcPr>
            <w:tcW w:w="979" w:type="dxa"/>
          </w:tcPr>
          <w:p w14:paraId="5FF27494"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eastAsia="PMingLiU" w:cs="Calibri"/>
                <w:iCs/>
                <w:sz w:val="24"/>
                <w:szCs w:val="24"/>
              </w:rPr>
              <w:t>N/A*</w:t>
            </w:r>
          </w:p>
        </w:tc>
        <w:tc>
          <w:tcPr>
            <w:tcW w:w="1307" w:type="dxa"/>
            <w:shd w:val="clear" w:color="auto" w:fill="auto"/>
          </w:tcPr>
          <w:p w14:paraId="736F3E7C"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N/A*</w:t>
            </w:r>
          </w:p>
        </w:tc>
        <w:tc>
          <w:tcPr>
            <w:tcW w:w="4599" w:type="dxa"/>
          </w:tcPr>
          <w:p w14:paraId="0DBD0A65"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This measure is not being reported for FY 2024 due to the transition to the new SAMM measures starting in FY 2025.</w:t>
            </w:r>
          </w:p>
        </w:tc>
      </w:tr>
      <w:tr w:rsidR="006948E6" w:rsidRPr="006948E6" w14:paraId="06B04903" w14:textId="77777777" w:rsidTr="003C79AC">
        <w:tc>
          <w:tcPr>
            <w:cnfStyle w:val="001000000000" w:firstRow="0" w:lastRow="0" w:firstColumn="1" w:lastColumn="0" w:oddVBand="0" w:evenVBand="0" w:oddHBand="0" w:evenHBand="0" w:firstRowFirstColumn="0" w:firstRowLastColumn="0" w:lastRowFirstColumn="0" w:lastRowLastColumn="0"/>
            <w:tcW w:w="893" w:type="dxa"/>
          </w:tcPr>
          <w:p w14:paraId="654FE077"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PMingLiU" w:cs="Calibri"/>
                <w:iCs/>
                <w:sz w:val="24"/>
                <w:szCs w:val="24"/>
              </w:rPr>
            </w:pPr>
            <w:r w:rsidRPr="006948E6">
              <w:rPr>
                <w:rFonts w:eastAsia="PMingLiU" w:cs="Calibri"/>
                <w:iCs/>
                <w:sz w:val="24"/>
                <w:szCs w:val="24"/>
              </w:rPr>
              <w:t>17</w:t>
            </w:r>
          </w:p>
        </w:tc>
        <w:tc>
          <w:tcPr>
            <w:tcW w:w="2572" w:type="dxa"/>
          </w:tcPr>
          <w:p w14:paraId="44631A02"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Percent of enforcement presence</w:t>
            </w:r>
          </w:p>
        </w:tc>
        <w:tc>
          <w:tcPr>
            <w:tcW w:w="979" w:type="dxa"/>
          </w:tcPr>
          <w:p w14:paraId="28E9A455"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1.10%</w:t>
            </w:r>
          </w:p>
        </w:tc>
        <w:tc>
          <w:tcPr>
            <w:tcW w:w="1307" w:type="dxa"/>
          </w:tcPr>
          <w:p w14:paraId="2652100C" w14:textId="77777777" w:rsidR="006948E6" w:rsidRPr="006948E6" w:rsidRDefault="006948E6" w:rsidP="006948E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libri"/>
                <w:iCs/>
                <w:sz w:val="24"/>
                <w:szCs w:val="24"/>
              </w:rPr>
            </w:pPr>
            <w:r w:rsidRPr="006948E6">
              <w:rPr>
                <w:rFonts w:cs="Calibri"/>
                <w:iCs/>
                <w:sz w:val="24"/>
                <w:szCs w:val="24"/>
              </w:rPr>
              <w:t>+/- 25% of</w:t>
            </w:r>
          </w:p>
          <w:p w14:paraId="353E548E"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1.00%</w:t>
            </w:r>
          </w:p>
        </w:tc>
        <w:tc>
          <w:tcPr>
            <w:tcW w:w="4599" w:type="dxa"/>
          </w:tcPr>
          <w:p w14:paraId="333EAE45" w14:textId="77777777" w:rsidR="006948E6" w:rsidRPr="006948E6" w:rsidRDefault="006948E6" w:rsidP="006948E6">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PMingLiU" w:cs="Calibri"/>
                <w:iCs/>
                <w:sz w:val="24"/>
                <w:szCs w:val="24"/>
              </w:rPr>
            </w:pPr>
            <w:r w:rsidRPr="006948E6">
              <w:rPr>
                <w:rFonts w:cs="Calibri"/>
                <w:iCs/>
                <w:sz w:val="24"/>
                <w:szCs w:val="24"/>
              </w:rPr>
              <w:t>The further review level is based on a three-year national average.  The range of acceptable data not requiring further review is from 0.75% to 1.25%.</w:t>
            </w:r>
          </w:p>
        </w:tc>
      </w:tr>
      <w:bookmarkEnd w:id="47"/>
    </w:tbl>
    <w:p w14:paraId="33EDB78E" w14:textId="77777777" w:rsidR="006948E6" w:rsidRPr="006948E6" w:rsidRDefault="006948E6" w:rsidP="006948E6">
      <w:pPr>
        <w:rPr>
          <w:rFonts w:ascii="Calibri" w:eastAsia="Times New Roman" w:hAnsi="Calibri" w:cs="Calibri"/>
          <w:b/>
          <w:iCs/>
          <w:color w:val="1F497D"/>
          <w:kern w:val="0"/>
          <w:sz w:val="28"/>
          <w:szCs w:val="28"/>
          <w14:ligatures w14:val="none"/>
        </w:rPr>
      </w:pPr>
    </w:p>
    <w:p w14:paraId="41A796A8" w14:textId="77777777" w:rsidR="006948E6" w:rsidRPr="00D82E13" w:rsidRDefault="006948E6" w:rsidP="006948E6">
      <w:pPr>
        <w:spacing w:after="160" w:line="259" w:lineRule="auto"/>
        <w:rPr>
          <w:rFonts w:ascii="Calibri" w:eastAsia="Calibri" w:hAnsi="Calibri" w:cs="Times New Roman"/>
          <w:iCs/>
          <w:kern w:val="0"/>
          <w:sz w:val="24"/>
          <w:szCs w:val="24"/>
          <w14:ligatures w14:val="none"/>
        </w:rPr>
      </w:pPr>
      <w:r w:rsidRPr="00D82E13">
        <w:rPr>
          <w:rFonts w:ascii="Calibri" w:eastAsia="Calibri" w:hAnsi="Calibri" w:cs="Times New Roman"/>
          <w:iCs/>
          <w:kern w:val="0"/>
          <w:sz w:val="24"/>
          <w:szCs w:val="24"/>
          <w14:ligatures w14:val="none"/>
        </w:rPr>
        <w:t xml:space="preserve">NOTE:  The national averages in this report are three-year rolling averages.  Unless otherwise noted, the data contained in this Appendix D is pulled from the State Activity Mandated Measures (SAMM) Report in OIS and the State Plan </w:t>
      </w:r>
      <w:proofErr w:type="spellStart"/>
      <w:r w:rsidRPr="00D82E13">
        <w:rPr>
          <w:rFonts w:ascii="Calibri" w:eastAsia="Calibri" w:hAnsi="Calibri" w:cs="Times New Roman"/>
          <w:iCs/>
          <w:kern w:val="0"/>
          <w:sz w:val="24"/>
          <w:szCs w:val="24"/>
          <w14:ligatures w14:val="none"/>
        </w:rPr>
        <w:t>WebIMIS</w:t>
      </w:r>
      <w:proofErr w:type="spellEnd"/>
      <w:r w:rsidRPr="00D82E13">
        <w:rPr>
          <w:rFonts w:ascii="Calibri" w:eastAsia="Calibri" w:hAnsi="Calibri" w:cs="Times New Roman"/>
          <w:iCs/>
          <w:kern w:val="0"/>
          <w:sz w:val="24"/>
          <w:szCs w:val="24"/>
          <w14:ligatures w14:val="none"/>
        </w:rPr>
        <w:t xml:space="preserve"> report run on November 12, 2024, as part of OSHA’s official end-of-year data run.</w:t>
      </w:r>
    </w:p>
    <w:p w14:paraId="554B7D3A" w14:textId="77777777" w:rsidR="006948E6" w:rsidRPr="006948E6" w:rsidRDefault="006948E6" w:rsidP="006948E6">
      <w:pPr>
        <w:rPr>
          <w:rFonts w:ascii="Calibri" w:eastAsia="Times New Roman" w:hAnsi="Calibri" w:cs="Calibri"/>
          <w:b/>
          <w:iCs/>
          <w:color w:val="1F497D"/>
          <w:kern w:val="0"/>
          <w:sz w:val="28"/>
          <w:szCs w:val="28"/>
          <w14:ligatures w14:val="none"/>
        </w:rPr>
      </w:pPr>
    </w:p>
    <w:p w14:paraId="4C0FFDE0" w14:textId="77777777" w:rsidR="006948E6" w:rsidRPr="006948E6" w:rsidRDefault="006948E6" w:rsidP="006948E6">
      <w:pPr>
        <w:rPr>
          <w:rFonts w:ascii="Calibri" w:eastAsia="Times New Roman" w:hAnsi="Calibri" w:cs="Calibri"/>
          <w:iCs/>
          <w:kern w:val="0"/>
          <w:sz w:val="24"/>
          <w:szCs w:val="24"/>
          <w14:ligatures w14:val="none"/>
        </w:rPr>
      </w:pPr>
    </w:p>
    <w:p w14:paraId="1C8B521E" w14:textId="77777777" w:rsidR="006948E6" w:rsidRPr="006948E6" w:rsidRDefault="006948E6" w:rsidP="006948E6">
      <w:pPr>
        <w:rPr>
          <w:rFonts w:ascii="Calibri" w:eastAsia="Times New Roman" w:hAnsi="Calibri" w:cs="Calibri"/>
          <w:iCs/>
          <w:kern w:val="0"/>
          <w:sz w:val="24"/>
          <w:szCs w:val="24"/>
          <w14:ligatures w14:val="none"/>
        </w:rPr>
      </w:pPr>
    </w:p>
    <w:p w14:paraId="27DA1746" w14:textId="77777777" w:rsidR="006948E6" w:rsidRPr="006948E6" w:rsidRDefault="006948E6" w:rsidP="006948E6">
      <w:pPr>
        <w:ind w:left="1080"/>
        <w:rPr>
          <w:rFonts w:ascii="Calibri" w:eastAsia="Times New Roman" w:hAnsi="Calibri" w:cs="Calibri"/>
          <w:iCs/>
          <w:color w:val="0070C0"/>
          <w:kern w:val="0"/>
          <w:sz w:val="24"/>
          <w:szCs w:val="24"/>
          <w14:ligatures w14:val="none"/>
        </w:rPr>
      </w:pPr>
      <w:r w:rsidRPr="006948E6">
        <w:rPr>
          <w:rFonts w:ascii="Calibri" w:eastAsia="Times New Roman" w:hAnsi="Calibri" w:cs="Calibri"/>
          <w:iCs/>
          <w:color w:val="0070C0"/>
          <w:kern w:val="0"/>
          <w:sz w:val="24"/>
          <w:szCs w:val="24"/>
          <w14:ligatures w14:val="none"/>
        </w:rPr>
        <w:t xml:space="preserve">                            </w:t>
      </w:r>
    </w:p>
    <w:p w14:paraId="74BBB21E" w14:textId="77777777" w:rsidR="006948E6" w:rsidRPr="006948E6" w:rsidRDefault="006948E6" w:rsidP="006948E6">
      <w:pPr>
        <w:ind w:left="1080"/>
        <w:rPr>
          <w:rFonts w:ascii="Calibri" w:eastAsia="Times New Roman" w:hAnsi="Calibri" w:cs="Calibri"/>
          <w:iCs/>
          <w:kern w:val="0"/>
          <w:sz w:val="24"/>
          <w:szCs w:val="24"/>
          <w14:ligatures w14:val="none"/>
        </w:rPr>
      </w:pPr>
    </w:p>
    <w:p w14:paraId="5FAD12FF" w14:textId="77777777" w:rsidR="006948E6" w:rsidRPr="006948E6" w:rsidRDefault="006948E6" w:rsidP="006948E6">
      <w:pPr>
        <w:ind w:left="1080"/>
        <w:rPr>
          <w:rFonts w:ascii="Calibri" w:eastAsia="Times New Roman" w:hAnsi="Calibri" w:cs="Calibri"/>
          <w:iCs/>
          <w:kern w:val="0"/>
          <w:sz w:val="24"/>
          <w:szCs w:val="24"/>
          <w14:ligatures w14:val="none"/>
        </w:rPr>
      </w:pPr>
    </w:p>
    <w:p w14:paraId="0DBEA246" w14:textId="77777777" w:rsidR="006948E6" w:rsidRPr="006948E6" w:rsidRDefault="006948E6" w:rsidP="006948E6">
      <w:pPr>
        <w:rPr>
          <w:rFonts w:ascii="Calibri" w:eastAsia="Times New Roman" w:hAnsi="Calibri" w:cs="Calibri"/>
          <w:iCs/>
          <w:kern w:val="0"/>
          <w:sz w:val="24"/>
          <w:szCs w:val="24"/>
          <w14:ligatures w14:val="none"/>
        </w:rPr>
        <w:sectPr w:rsidR="006948E6" w:rsidRPr="006948E6" w:rsidSect="006948E6">
          <w:headerReference w:type="default" r:id="rId21"/>
          <w:footerReference w:type="default" r:id="rId22"/>
          <w:pgSz w:w="12240" w:h="15840" w:code="1"/>
          <w:pgMar w:top="1440" w:right="1440" w:bottom="1440" w:left="1440" w:header="720" w:footer="720" w:gutter="0"/>
          <w:cols w:space="720"/>
          <w:noEndnote/>
          <w:docGrid w:linePitch="326"/>
        </w:sectPr>
      </w:pPr>
    </w:p>
    <w:p w14:paraId="6563FE8A" w14:textId="77777777" w:rsidR="006948E6" w:rsidRPr="006948E6" w:rsidRDefault="006948E6" w:rsidP="006948E6">
      <w:pPr>
        <w:rPr>
          <w:rFonts w:ascii="Calibri" w:eastAsia="Times New Roman" w:hAnsi="Calibri" w:cs="Calibri"/>
          <w:iCs/>
          <w:kern w:val="0"/>
          <w:sz w:val="24"/>
          <w:szCs w:val="24"/>
          <w14:ligatures w14:val="none"/>
        </w:rPr>
      </w:pPr>
    </w:p>
    <w:p w14:paraId="4828ED4B" w14:textId="77777777" w:rsidR="006948E6" w:rsidRPr="006948E6" w:rsidRDefault="006948E6" w:rsidP="006948E6">
      <w:pPr>
        <w:ind w:left="1080"/>
        <w:rPr>
          <w:rFonts w:ascii="Calibri" w:eastAsia="Times New Roman" w:hAnsi="Calibri" w:cs="Calibri"/>
          <w:iCs/>
          <w:kern w:val="0"/>
          <w:sz w:val="24"/>
          <w:szCs w:val="24"/>
          <w14:ligatures w14:val="none"/>
        </w:rPr>
      </w:pPr>
    </w:p>
    <w:p w14:paraId="65242512" w14:textId="77777777" w:rsidR="006948E6" w:rsidRPr="006948E6" w:rsidRDefault="006948E6" w:rsidP="006948E6">
      <w:pPr>
        <w:ind w:left="1080"/>
        <w:rPr>
          <w:rFonts w:ascii="Calibri" w:eastAsia="Times New Roman" w:hAnsi="Calibri" w:cs="Calibri"/>
          <w:iCs/>
          <w:kern w:val="0"/>
          <w:sz w:val="24"/>
          <w:szCs w:val="24"/>
          <w14:ligatures w14:val="none"/>
        </w:rPr>
      </w:pPr>
    </w:p>
    <w:p w14:paraId="36AF00AD" w14:textId="77777777" w:rsidR="006948E6" w:rsidRPr="006948E6" w:rsidRDefault="006948E6" w:rsidP="006948E6">
      <w:pPr>
        <w:widowControl w:val="0"/>
        <w:tabs>
          <w:tab w:val="left" w:pos="3405"/>
        </w:tabs>
        <w:autoSpaceDE w:val="0"/>
        <w:autoSpaceDN w:val="0"/>
        <w:adjustRightInd w:val="0"/>
        <w:rPr>
          <w:rFonts w:ascii="Calibri" w:eastAsia="Times New Roman" w:hAnsi="Calibri" w:cs="Calibri"/>
          <w:iCs/>
          <w:kern w:val="0"/>
          <w:sz w:val="24"/>
          <w:szCs w:val="24"/>
          <w14:ligatures w14:val="none"/>
        </w:rPr>
      </w:pPr>
    </w:p>
    <w:p w14:paraId="5471A7FD" w14:textId="77777777" w:rsidR="001A4F9D" w:rsidRDefault="001A4F9D"/>
    <w:sectPr w:rsidR="001A4F9D" w:rsidSect="006948E6">
      <w:headerReference w:type="default" r:id="rId23"/>
      <w:footerReference w:type="default" r:id="rId24"/>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FB318" w14:textId="77777777" w:rsidR="0072319B" w:rsidRDefault="0072319B" w:rsidP="006948E6">
      <w:r>
        <w:separator/>
      </w:r>
    </w:p>
  </w:endnote>
  <w:endnote w:type="continuationSeparator" w:id="0">
    <w:p w14:paraId="294BE3B3" w14:textId="77777777" w:rsidR="0072319B" w:rsidRDefault="0072319B" w:rsidP="0069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432793"/>
      <w:docPartObj>
        <w:docPartGallery w:val="Page Numbers (Bottom of Page)"/>
        <w:docPartUnique/>
      </w:docPartObj>
    </w:sdtPr>
    <w:sdtEndPr>
      <w:rPr>
        <w:noProof/>
      </w:rPr>
    </w:sdtEndPr>
    <w:sdtContent>
      <w:p w14:paraId="2E1D0228" w14:textId="77777777" w:rsidR="006948E6" w:rsidRDefault="006948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E87872" w14:textId="77777777" w:rsidR="006948E6" w:rsidRDefault="006948E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57E4B" w14:textId="77777777" w:rsidR="006948E6" w:rsidRDefault="006948E6">
    <w:pPr>
      <w:pStyle w:val="Footer"/>
      <w:jc w:val="center"/>
    </w:pPr>
  </w:p>
  <w:p w14:paraId="7D3AE94C" w14:textId="77777777" w:rsidR="006948E6" w:rsidRDefault="006948E6"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048562"/>
      <w:docPartObj>
        <w:docPartGallery w:val="Page Numbers (Bottom of Page)"/>
        <w:docPartUnique/>
      </w:docPartObj>
    </w:sdtPr>
    <w:sdtEndPr>
      <w:rPr>
        <w:noProof/>
      </w:rPr>
    </w:sdtEndPr>
    <w:sdtContent>
      <w:p w14:paraId="775ED319" w14:textId="77777777" w:rsidR="006948E6" w:rsidRDefault="006948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D56324" w14:textId="77777777" w:rsidR="006948E6" w:rsidRDefault="006948E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6046971"/>
      <w:docPartObj>
        <w:docPartGallery w:val="Page Numbers (Bottom of Page)"/>
        <w:docPartUnique/>
      </w:docPartObj>
    </w:sdtPr>
    <w:sdtEndPr>
      <w:rPr>
        <w:noProof/>
      </w:rPr>
    </w:sdtEndPr>
    <w:sdtContent>
      <w:p w14:paraId="583D2A00" w14:textId="77777777" w:rsidR="006948E6" w:rsidRDefault="006948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811FE3" w14:textId="77777777" w:rsidR="006948E6" w:rsidRDefault="006948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D48E3" w14:textId="77777777" w:rsidR="006948E6" w:rsidRDefault="006948E6">
    <w:pPr>
      <w:pStyle w:val="Footer"/>
      <w:jc w:val="center"/>
    </w:pPr>
    <w:r>
      <w:t>B-1</w:t>
    </w:r>
  </w:p>
  <w:p w14:paraId="661227B8" w14:textId="77777777" w:rsidR="006948E6" w:rsidRDefault="006948E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072240"/>
      <w:docPartObj>
        <w:docPartGallery w:val="Page Numbers (Bottom of Page)"/>
        <w:docPartUnique/>
      </w:docPartObj>
    </w:sdtPr>
    <w:sdtEndPr>
      <w:rPr>
        <w:noProof/>
      </w:rPr>
    </w:sdtEndPr>
    <w:sdtContent>
      <w:p w14:paraId="3B5132B7" w14:textId="77777777" w:rsidR="006948E6" w:rsidRDefault="006948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136934" w14:textId="77777777" w:rsidR="006948E6" w:rsidRDefault="006948E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475891"/>
      <w:docPartObj>
        <w:docPartGallery w:val="Page Numbers (Bottom of Page)"/>
        <w:docPartUnique/>
      </w:docPartObj>
    </w:sdtPr>
    <w:sdtEndPr>
      <w:rPr>
        <w:noProof/>
      </w:rPr>
    </w:sdtEndPr>
    <w:sdtContent>
      <w:p w14:paraId="34F41397" w14:textId="77777777" w:rsidR="006948E6" w:rsidRDefault="006948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A054CF" w14:textId="77777777" w:rsidR="006948E6" w:rsidRPr="00E20610" w:rsidRDefault="006948E6" w:rsidP="00E2061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1FB8D" w14:textId="77777777" w:rsidR="006948E6" w:rsidRPr="000E07E7" w:rsidRDefault="006948E6"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68372" w14:textId="77777777" w:rsidR="0072319B" w:rsidRDefault="0072319B" w:rsidP="006948E6">
      <w:r>
        <w:separator/>
      </w:r>
    </w:p>
  </w:footnote>
  <w:footnote w:type="continuationSeparator" w:id="0">
    <w:p w14:paraId="337A32F1" w14:textId="77777777" w:rsidR="0072319B" w:rsidRDefault="0072319B" w:rsidP="00694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A8D24" w14:textId="77777777" w:rsidR="006948E6" w:rsidRPr="00B6741C" w:rsidRDefault="006948E6" w:rsidP="00B67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241A7" w14:textId="77777777" w:rsidR="006948E6" w:rsidRPr="00B6741C" w:rsidRDefault="006948E6" w:rsidP="00B67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479C8" w14:textId="77777777" w:rsidR="006948E6" w:rsidRPr="00283FF9" w:rsidRDefault="006948E6" w:rsidP="006948E6">
    <w:pPr>
      <w:pStyle w:val="Heading2"/>
      <w:widowControl w:val="0"/>
      <w:autoSpaceDE w:val="0"/>
      <w:autoSpaceDN w:val="0"/>
      <w:adjustRightInd w:val="0"/>
      <w:spacing w:before="120" w:after="0"/>
      <w:ind w:left="720" w:hanging="360"/>
    </w:pPr>
    <w:r w:rsidRPr="00283FF9">
      <w:t>Appendix B – Observations and Federal Monitoring Plans</w:t>
    </w:r>
  </w:p>
  <w:p w14:paraId="1FC0A9C0" w14:textId="77777777" w:rsidR="006948E6" w:rsidRDefault="006948E6" w:rsidP="000A134A">
    <w:pPr>
      <w:jc w:val="center"/>
    </w:pPr>
    <w:r>
      <w:t>FY 2022 [</w:t>
    </w:r>
    <w:r>
      <w:rPr>
        <w:i/>
      </w:rPr>
      <w:t>State Plan Name</w:t>
    </w:r>
    <w:r w:rsidRPr="001056A7">
      <w:t>]</w:t>
    </w:r>
    <w:r w:rsidRPr="003E7A6E">
      <w:t xml:space="preserve"> </w:t>
    </w:r>
    <w:r>
      <w:t>Follow-up FAME Report</w:t>
    </w:r>
  </w:p>
  <w:p w14:paraId="3D3CF827" w14:textId="77777777" w:rsidR="006948E6" w:rsidRDefault="006948E6" w:rsidP="000A134A">
    <w:pPr>
      <w:jc w:val="center"/>
    </w:pPr>
  </w:p>
  <w:p w14:paraId="6708BBFE" w14:textId="77777777" w:rsidR="006948E6" w:rsidRDefault="006948E6" w:rsidP="000A134A">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4713A" w14:textId="77777777" w:rsidR="006948E6" w:rsidRDefault="006948E6" w:rsidP="009A2ED6">
    <w:pPr>
      <w:pStyle w:val="Header"/>
      <w:jc w:val="center"/>
      <w:rPr>
        <w:b/>
      </w:rPr>
    </w:pPr>
  </w:p>
  <w:p w14:paraId="70F86F72" w14:textId="77777777" w:rsidR="006948E6" w:rsidRPr="009A2ED6" w:rsidRDefault="006948E6" w:rsidP="009A2ED6">
    <w:pPr>
      <w:pStyle w:val="Header"/>
      <w:jc w:val="center"/>
      <w:rPr>
        <w:b/>
      </w:rPr>
    </w:pPr>
  </w:p>
  <w:p w14:paraId="05D85D28" w14:textId="77777777" w:rsidR="006948E6" w:rsidRPr="000767C0" w:rsidRDefault="006948E6" w:rsidP="009A2ED6">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DCD65" w14:textId="77777777" w:rsidR="006948E6" w:rsidRPr="006F2309" w:rsidRDefault="006948E6" w:rsidP="006F2309">
    <w:pPr>
      <w:pStyle w:val="Header"/>
    </w:pPr>
    <w:r w:rsidRPr="006F2309">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0FBA4" w14:textId="77777777" w:rsidR="006948E6" w:rsidRPr="00D2585B" w:rsidRDefault="006948E6" w:rsidP="00D258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08671" w14:textId="77777777" w:rsidR="006948E6" w:rsidRPr="000767C0" w:rsidRDefault="006948E6" w:rsidP="009A2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B7B34"/>
    <w:multiLevelType w:val="hybridMultilevel"/>
    <w:tmpl w:val="F6189C78"/>
    <w:lvl w:ilvl="0" w:tplc="DF545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786C45"/>
    <w:multiLevelType w:val="hybridMultilevel"/>
    <w:tmpl w:val="4EF8DA22"/>
    <w:lvl w:ilvl="0" w:tplc="60AAF382">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610B2F"/>
    <w:multiLevelType w:val="hybridMultilevel"/>
    <w:tmpl w:val="D3E22F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4284284">
    <w:abstractNumId w:val="1"/>
  </w:num>
  <w:num w:numId="2" w16cid:durableId="503055731">
    <w:abstractNumId w:val="2"/>
  </w:num>
  <w:num w:numId="3" w16cid:durableId="1270888180">
    <w:abstractNumId w:val="0"/>
  </w:num>
  <w:num w:numId="4" w16cid:durableId="1534464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insDel="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8E6"/>
    <w:rsid w:val="00026FDA"/>
    <w:rsid w:val="000817F9"/>
    <w:rsid w:val="000C16D3"/>
    <w:rsid w:val="000E0ECC"/>
    <w:rsid w:val="001569E0"/>
    <w:rsid w:val="001637B3"/>
    <w:rsid w:val="001919EF"/>
    <w:rsid w:val="001A4F9D"/>
    <w:rsid w:val="001D1DE8"/>
    <w:rsid w:val="001D229B"/>
    <w:rsid w:val="001D7490"/>
    <w:rsid w:val="001E6F3D"/>
    <w:rsid w:val="0021289F"/>
    <w:rsid w:val="00225EC2"/>
    <w:rsid w:val="002622AA"/>
    <w:rsid w:val="002772D6"/>
    <w:rsid w:val="00280390"/>
    <w:rsid w:val="00294A73"/>
    <w:rsid w:val="002C2691"/>
    <w:rsid w:val="002C473D"/>
    <w:rsid w:val="002E4A1A"/>
    <w:rsid w:val="00302B71"/>
    <w:rsid w:val="0031433E"/>
    <w:rsid w:val="00325C42"/>
    <w:rsid w:val="003262F8"/>
    <w:rsid w:val="00332372"/>
    <w:rsid w:val="003446D2"/>
    <w:rsid w:val="00353F4D"/>
    <w:rsid w:val="00356D80"/>
    <w:rsid w:val="003771E5"/>
    <w:rsid w:val="003B64A2"/>
    <w:rsid w:val="003F251A"/>
    <w:rsid w:val="00407948"/>
    <w:rsid w:val="00407D0F"/>
    <w:rsid w:val="004524DB"/>
    <w:rsid w:val="00466604"/>
    <w:rsid w:val="00472BC4"/>
    <w:rsid w:val="004749C3"/>
    <w:rsid w:val="00477C16"/>
    <w:rsid w:val="0049039B"/>
    <w:rsid w:val="004A04B9"/>
    <w:rsid w:val="004D7D37"/>
    <w:rsid w:val="00534B23"/>
    <w:rsid w:val="00534FF6"/>
    <w:rsid w:val="005406AA"/>
    <w:rsid w:val="005443E9"/>
    <w:rsid w:val="00575B3E"/>
    <w:rsid w:val="005A2CDB"/>
    <w:rsid w:val="005E0FC1"/>
    <w:rsid w:val="005F07AF"/>
    <w:rsid w:val="00636475"/>
    <w:rsid w:val="00657A24"/>
    <w:rsid w:val="006667DA"/>
    <w:rsid w:val="00670157"/>
    <w:rsid w:val="00671A98"/>
    <w:rsid w:val="00684FC3"/>
    <w:rsid w:val="006948E6"/>
    <w:rsid w:val="006970AB"/>
    <w:rsid w:val="006B3D2F"/>
    <w:rsid w:val="006B6C4A"/>
    <w:rsid w:val="006C39C0"/>
    <w:rsid w:val="00700A35"/>
    <w:rsid w:val="00713B50"/>
    <w:rsid w:val="0072319B"/>
    <w:rsid w:val="00740F00"/>
    <w:rsid w:val="0075774F"/>
    <w:rsid w:val="00765A28"/>
    <w:rsid w:val="0077121F"/>
    <w:rsid w:val="007B48A6"/>
    <w:rsid w:val="007D1823"/>
    <w:rsid w:val="007F1935"/>
    <w:rsid w:val="008130E0"/>
    <w:rsid w:val="00835DF6"/>
    <w:rsid w:val="00850CE8"/>
    <w:rsid w:val="00851C79"/>
    <w:rsid w:val="0087265E"/>
    <w:rsid w:val="008B01C5"/>
    <w:rsid w:val="008C2586"/>
    <w:rsid w:val="008C7E1B"/>
    <w:rsid w:val="008F4221"/>
    <w:rsid w:val="008F71F5"/>
    <w:rsid w:val="0090606A"/>
    <w:rsid w:val="00965CC1"/>
    <w:rsid w:val="00986BE7"/>
    <w:rsid w:val="00987B14"/>
    <w:rsid w:val="009959E0"/>
    <w:rsid w:val="009D1DDE"/>
    <w:rsid w:val="009D5FCE"/>
    <w:rsid w:val="009E0F04"/>
    <w:rsid w:val="009E643B"/>
    <w:rsid w:val="00A14599"/>
    <w:rsid w:val="00A21E8C"/>
    <w:rsid w:val="00A75C88"/>
    <w:rsid w:val="00A761B1"/>
    <w:rsid w:val="00AA5841"/>
    <w:rsid w:val="00AB0689"/>
    <w:rsid w:val="00AC3234"/>
    <w:rsid w:val="00AE716A"/>
    <w:rsid w:val="00B07A2E"/>
    <w:rsid w:val="00B32904"/>
    <w:rsid w:val="00B53A2C"/>
    <w:rsid w:val="00B75B0D"/>
    <w:rsid w:val="00B81A18"/>
    <w:rsid w:val="00BB7250"/>
    <w:rsid w:val="00BE7052"/>
    <w:rsid w:val="00BF0421"/>
    <w:rsid w:val="00C1533F"/>
    <w:rsid w:val="00C35911"/>
    <w:rsid w:val="00C561B8"/>
    <w:rsid w:val="00CB533B"/>
    <w:rsid w:val="00CD0459"/>
    <w:rsid w:val="00D02B8D"/>
    <w:rsid w:val="00D31DBC"/>
    <w:rsid w:val="00D32606"/>
    <w:rsid w:val="00D52A3F"/>
    <w:rsid w:val="00D54F26"/>
    <w:rsid w:val="00D80A20"/>
    <w:rsid w:val="00D82E13"/>
    <w:rsid w:val="00D87431"/>
    <w:rsid w:val="00DC59E0"/>
    <w:rsid w:val="00DD3E91"/>
    <w:rsid w:val="00DE666D"/>
    <w:rsid w:val="00DE68A6"/>
    <w:rsid w:val="00DF1F4F"/>
    <w:rsid w:val="00E14F90"/>
    <w:rsid w:val="00E24391"/>
    <w:rsid w:val="00E25AE2"/>
    <w:rsid w:val="00E27599"/>
    <w:rsid w:val="00E84F1F"/>
    <w:rsid w:val="00EA04B0"/>
    <w:rsid w:val="00EC3C7F"/>
    <w:rsid w:val="00EE39F1"/>
    <w:rsid w:val="00EE3DE7"/>
    <w:rsid w:val="00EE54AB"/>
    <w:rsid w:val="00EF2BFC"/>
    <w:rsid w:val="00F10358"/>
    <w:rsid w:val="00F11E54"/>
    <w:rsid w:val="00F202CD"/>
    <w:rsid w:val="00F548EC"/>
    <w:rsid w:val="00F654B5"/>
    <w:rsid w:val="00F74BB2"/>
    <w:rsid w:val="00FA1C93"/>
    <w:rsid w:val="00FB3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EAB76"/>
  <w15:chartTrackingRefBased/>
  <w15:docId w15:val="{D1DB90E7-4910-4A0E-92DC-69F72F1A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8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48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48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48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48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48E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8E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8E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8E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8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48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48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48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48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48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8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8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8E6"/>
    <w:rPr>
      <w:rFonts w:eastAsiaTheme="majorEastAsia" w:cstheme="majorBidi"/>
      <w:color w:val="272727" w:themeColor="text1" w:themeTint="D8"/>
    </w:rPr>
  </w:style>
  <w:style w:type="paragraph" w:styleId="Title">
    <w:name w:val="Title"/>
    <w:basedOn w:val="Normal"/>
    <w:next w:val="Normal"/>
    <w:link w:val="TitleChar"/>
    <w:uiPriority w:val="10"/>
    <w:qFormat/>
    <w:rsid w:val="006948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8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8E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8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8E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948E6"/>
    <w:rPr>
      <w:i/>
      <w:iCs/>
      <w:color w:val="404040" w:themeColor="text1" w:themeTint="BF"/>
    </w:rPr>
  </w:style>
  <w:style w:type="paragraph" w:styleId="ListParagraph">
    <w:name w:val="List Paragraph"/>
    <w:basedOn w:val="Normal"/>
    <w:uiPriority w:val="34"/>
    <w:qFormat/>
    <w:rsid w:val="006948E6"/>
    <w:pPr>
      <w:ind w:left="720"/>
      <w:contextualSpacing/>
    </w:pPr>
  </w:style>
  <w:style w:type="character" w:styleId="IntenseEmphasis">
    <w:name w:val="Intense Emphasis"/>
    <w:basedOn w:val="DefaultParagraphFont"/>
    <w:uiPriority w:val="21"/>
    <w:qFormat/>
    <w:rsid w:val="006948E6"/>
    <w:rPr>
      <w:i/>
      <w:iCs/>
      <w:color w:val="0F4761" w:themeColor="accent1" w:themeShade="BF"/>
    </w:rPr>
  </w:style>
  <w:style w:type="paragraph" w:styleId="IntenseQuote">
    <w:name w:val="Intense Quote"/>
    <w:basedOn w:val="Normal"/>
    <w:next w:val="Normal"/>
    <w:link w:val="IntenseQuoteChar"/>
    <w:uiPriority w:val="30"/>
    <w:qFormat/>
    <w:rsid w:val="006948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48E6"/>
    <w:rPr>
      <w:i/>
      <w:iCs/>
      <w:color w:val="0F4761" w:themeColor="accent1" w:themeShade="BF"/>
    </w:rPr>
  </w:style>
  <w:style w:type="character" w:styleId="IntenseReference">
    <w:name w:val="Intense Reference"/>
    <w:basedOn w:val="DefaultParagraphFont"/>
    <w:uiPriority w:val="32"/>
    <w:qFormat/>
    <w:rsid w:val="006948E6"/>
    <w:rPr>
      <w:b/>
      <w:bCs/>
      <w:smallCaps/>
      <w:color w:val="0F4761" w:themeColor="accent1" w:themeShade="BF"/>
      <w:spacing w:val="5"/>
    </w:rPr>
  </w:style>
  <w:style w:type="paragraph" w:styleId="FootnoteText">
    <w:name w:val="footnote text"/>
    <w:basedOn w:val="Normal"/>
    <w:link w:val="FootnoteTextChar"/>
    <w:uiPriority w:val="99"/>
    <w:semiHidden/>
    <w:unhideWhenUsed/>
    <w:rsid w:val="006948E6"/>
    <w:rPr>
      <w:sz w:val="20"/>
      <w:szCs w:val="20"/>
    </w:rPr>
  </w:style>
  <w:style w:type="character" w:customStyle="1" w:styleId="FootnoteTextChar">
    <w:name w:val="Footnote Text Char"/>
    <w:basedOn w:val="DefaultParagraphFont"/>
    <w:link w:val="FootnoteText"/>
    <w:uiPriority w:val="99"/>
    <w:semiHidden/>
    <w:rsid w:val="006948E6"/>
    <w:rPr>
      <w:sz w:val="20"/>
      <w:szCs w:val="20"/>
    </w:rPr>
  </w:style>
  <w:style w:type="paragraph" w:styleId="CommentText">
    <w:name w:val="annotation text"/>
    <w:basedOn w:val="Normal"/>
    <w:link w:val="CommentTextChar"/>
    <w:uiPriority w:val="99"/>
    <w:unhideWhenUsed/>
    <w:rsid w:val="006948E6"/>
    <w:rPr>
      <w:sz w:val="20"/>
      <w:szCs w:val="20"/>
    </w:rPr>
  </w:style>
  <w:style w:type="character" w:customStyle="1" w:styleId="CommentTextChar">
    <w:name w:val="Comment Text Char"/>
    <w:basedOn w:val="DefaultParagraphFont"/>
    <w:link w:val="CommentText"/>
    <w:uiPriority w:val="99"/>
    <w:rsid w:val="006948E6"/>
    <w:rPr>
      <w:sz w:val="20"/>
      <w:szCs w:val="20"/>
    </w:rPr>
  </w:style>
  <w:style w:type="character" w:styleId="FootnoteReference">
    <w:name w:val="footnote reference"/>
    <w:basedOn w:val="DefaultParagraphFont"/>
    <w:uiPriority w:val="99"/>
    <w:rsid w:val="006948E6"/>
    <w:rPr>
      <w:rFonts w:cs="Times New Roman"/>
    </w:rPr>
  </w:style>
  <w:style w:type="paragraph" w:styleId="Header">
    <w:name w:val="header"/>
    <w:basedOn w:val="Normal"/>
    <w:link w:val="HeaderChar"/>
    <w:uiPriority w:val="99"/>
    <w:rsid w:val="006948E6"/>
    <w:pPr>
      <w:widowControl w:val="0"/>
      <w:tabs>
        <w:tab w:val="center" w:pos="4680"/>
        <w:tab w:val="right" w:pos="9360"/>
      </w:tabs>
      <w:autoSpaceDE w:val="0"/>
      <w:autoSpaceDN w:val="0"/>
      <w:adjustRightInd w:val="0"/>
    </w:pPr>
    <w:rPr>
      <w:rFonts w:ascii="Calibri" w:eastAsia="Times New Roman" w:hAnsi="Calibri" w:cs="Times New Roman"/>
      <w:kern w:val="0"/>
      <w:sz w:val="24"/>
      <w:szCs w:val="24"/>
      <w14:ligatures w14:val="none"/>
    </w:rPr>
  </w:style>
  <w:style w:type="character" w:customStyle="1" w:styleId="HeaderChar">
    <w:name w:val="Header Char"/>
    <w:basedOn w:val="DefaultParagraphFont"/>
    <w:link w:val="Header"/>
    <w:uiPriority w:val="99"/>
    <w:rsid w:val="006948E6"/>
    <w:rPr>
      <w:rFonts w:ascii="Calibri" w:eastAsia="Times New Roman" w:hAnsi="Calibri" w:cs="Times New Roman"/>
      <w:kern w:val="0"/>
      <w:sz w:val="24"/>
      <w:szCs w:val="24"/>
      <w14:ligatures w14:val="none"/>
    </w:rPr>
  </w:style>
  <w:style w:type="paragraph" w:styleId="Footer">
    <w:name w:val="footer"/>
    <w:basedOn w:val="Normal"/>
    <w:link w:val="FooterChar"/>
    <w:uiPriority w:val="99"/>
    <w:rsid w:val="006948E6"/>
    <w:pPr>
      <w:widowControl w:val="0"/>
      <w:tabs>
        <w:tab w:val="center" w:pos="4680"/>
        <w:tab w:val="right" w:pos="9360"/>
      </w:tabs>
      <w:autoSpaceDE w:val="0"/>
      <w:autoSpaceDN w:val="0"/>
      <w:adjustRightInd w:val="0"/>
    </w:pPr>
    <w:rPr>
      <w:rFonts w:ascii="Calibri" w:eastAsia="Times New Roman" w:hAnsi="Calibri" w:cs="Times New Roman"/>
      <w:kern w:val="0"/>
      <w:sz w:val="24"/>
      <w:szCs w:val="24"/>
      <w14:ligatures w14:val="none"/>
    </w:rPr>
  </w:style>
  <w:style w:type="character" w:customStyle="1" w:styleId="FooterChar">
    <w:name w:val="Footer Char"/>
    <w:basedOn w:val="DefaultParagraphFont"/>
    <w:link w:val="Footer"/>
    <w:uiPriority w:val="99"/>
    <w:rsid w:val="006948E6"/>
    <w:rPr>
      <w:rFonts w:ascii="Calibri" w:eastAsia="Times New Roman" w:hAnsi="Calibri" w:cs="Times New Roman"/>
      <w:kern w:val="0"/>
      <w:sz w:val="24"/>
      <w:szCs w:val="24"/>
      <w14:ligatures w14:val="none"/>
    </w:rPr>
  </w:style>
  <w:style w:type="table" w:styleId="TableGrid">
    <w:name w:val="Table Grid"/>
    <w:basedOn w:val="TableNormal"/>
    <w:uiPriority w:val="99"/>
    <w:rsid w:val="006948E6"/>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948E6"/>
    <w:rPr>
      <w:rFonts w:cs="Times New Roman"/>
      <w:sz w:val="16"/>
      <w:szCs w:val="16"/>
    </w:rPr>
  </w:style>
  <w:style w:type="table" w:customStyle="1" w:styleId="TableGridLight1">
    <w:name w:val="Table Grid Light1"/>
    <w:basedOn w:val="TableNormal"/>
    <w:next w:val="TableGridLight"/>
    <w:uiPriority w:val="40"/>
    <w:rsid w:val="006948E6"/>
    <w:rPr>
      <w:rFonts w:ascii="Calibri" w:eastAsia="Times New Roman" w:hAnsi="Calibri" w:cs="Times New Roman"/>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1">
    <w:name w:val="Grid Table 41"/>
    <w:basedOn w:val="TableNormal"/>
    <w:next w:val="GridTable4"/>
    <w:uiPriority w:val="49"/>
    <w:rsid w:val="006948E6"/>
    <w:rPr>
      <w:rFonts w:ascii="Calibri" w:eastAsia="Times New Roman" w:hAnsi="Calibri" w:cs="Times New Roman"/>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GridLight">
    <w:name w:val="Grid Table Light"/>
    <w:basedOn w:val="TableNormal"/>
    <w:uiPriority w:val="40"/>
    <w:rsid w:val="006948E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948E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Subject">
    <w:name w:val="annotation subject"/>
    <w:basedOn w:val="CommentText"/>
    <w:next w:val="CommentText"/>
    <w:link w:val="CommentSubjectChar"/>
    <w:uiPriority w:val="99"/>
    <w:semiHidden/>
    <w:unhideWhenUsed/>
    <w:rsid w:val="009959E0"/>
    <w:rPr>
      <w:b/>
      <w:bCs/>
    </w:rPr>
  </w:style>
  <w:style w:type="character" w:customStyle="1" w:styleId="CommentSubjectChar">
    <w:name w:val="Comment Subject Char"/>
    <w:basedOn w:val="CommentTextChar"/>
    <w:link w:val="CommentSubject"/>
    <w:uiPriority w:val="99"/>
    <w:semiHidden/>
    <w:rsid w:val="009959E0"/>
    <w:rPr>
      <w:b/>
      <w:bCs/>
      <w:sz w:val="20"/>
      <w:szCs w:val="20"/>
    </w:rPr>
  </w:style>
  <w:style w:type="paragraph" w:styleId="Revision">
    <w:name w:val="Revision"/>
    <w:hidden/>
    <w:uiPriority w:val="99"/>
    <w:semiHidden/>
    <w:rsid w:val="00332372"/>
  </w:style>
  <w:style w:type="character" w:styleId="Hyperlink">
    <w:name w:val="Hyperlink"/>
    <w:basedOn w:val="DefaultParagraphFont"/>
    <w:uiPriority w:val="99"/>
    <w:unhideWhenUsed/>
    <w:rsid w:val="00A761B1"/>
    <w:rPr>
      <w:color w:val="467886" w:themeColor="hyperlink"/>
      <w:u w:val="single"/>
    </w:rPr>
  </w:style>
  <w:style w:type="character" w:styleId="UnresolvedMention">
    <w:name w:val="Unresolved Mention"/>
    <w:basedOn w:val="DefaultParagraphFont"/>
    <w:uiPriority w:val="99"/>
    <w:semiHidden/>
    <w:unhideWhenUsed/>
    <w:rsid w:val="00A761B1"/>
    <w:rPr>
      <w:color w:val="605E5C"/>
      <w:shd w:val="clear" w:color="auto" w:fill="E1DFDD"/>
    </w:rPr>
  </w:style>
  <w:style w:type="character" w:customStyle="1" w:styleId="normaltextrun">
    <w:name w:val="normaltextrun"/>
    <w:rsid w:val="009D1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891476">
      <w:bodyDiv w:val="1"/>
      <w:marLeft w:val="0"/>
      <w:marRight w:val="0"/>
      <w:marTop w:val="0"/>
      <w:marBottom w:val="0"/>
      <w:divBdr>
        <w:top w:val="none" w:sz="0" w:space="0" w:color="auto"/>
        <w:left w:val="none" w:sz="0" w:space="0" w:color="auto"/>
        <w:bottom w:val="none" w:sz="0" w:space="0" w:color="auto"/>
        <w:right w:val="none" w:sz="0" w:space="0" w:color="auto"/>
      </w:divBdr>
    </w:div>
    <w:div w:id="15342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4737</Words>
  <Characters>27007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Dailey, Elaine - OSHA</dc:creator>
  <cp:keywords/>
  <dc:description/>
  <cp:lastModifiedBy>Gibbs, Danielle - OSHA</cp:lastModifiedBy>
  <cp:revision>10</cp:revision>
  <cp:lastPrinted>2025-04-03T19:34:00Z</cp:lastPrinted>
  <dcterms:created xsi:type="dcterms:W3CDTF">2025-06-11T20:03:00Z</dcterms:created>
  <dcterms:modified xsi:type="dcterms:W3CDTF">2025-06-12T20:28:00Z</dcterms:modified>
</cp:coreProperties>
</file>