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FD7AB" w14:textId="0DE229CA" w:rsidR="000A134A" w:rsidRPr="004F4D40" w:rsidRDefault="002511E9" w:rsidP="004F4D40">
      <w:pPr>
        <w:pStyle w:val="Heading1"/>
      </w:pPr>
      <w:bookmarkStart w:id="0" w:name="_Toc118900169"/>
      <w:bookmarkStart w:id="1" w:name="_Toc118905008"/>
      <w:r w:rsidRPr="004F4D40">
        <w:t>FY 2</w:t>
      </w:r>
      <w:r w:rsidR="00BD0358" w:rsidRPr="004F4D40">
        <w:t>0</w:t>
      </w:r>
      <w:r w:rsidR="00FB7DD0" w:rsidRPr="004F4D40">
        <w:t>24</w:t>
      </w:r>
      <w:r w:rsidR="001C1E47" w:rsidRPr="004F4D40">
        <w:t xml:space="preserve"> </w:t>
      </w:r>
      <w:r w:rsidR="000A134A" w:rsidRPr="004F4D40">
        <w:t xml:space="preserve">Follow-up </w:t>
      </w:r>
      <w:r w:rsidR="00626033" w:rsidRPr="004F4D40">
        <w:t>Federal Annual Monitoring</w:t>
      </w:r>
      <w:r w:rsidR="000A134A" w:rsidRPr="004F4D40">
        <w:t xml:space="preserve"> Evaluation (FAME) Report</w:t>
      </w:r>
      <w:bookmarkEnd w:id="0"/>
      <w:bookmarkEnd w:id="1"/>
    </w:p>
    <w:p w14:paraId="5D01BB79" w14:textId="77777777" w:rsidR="000A134A" w:rsidRPr="001C1E47" w:rsidRDefault="000A134A" w:rsidP="0061177B">
      <w:pPr>
        <w:widowControl/>
        <w:autoSpaceDE/>
        <w:autoSpaceDN/>
        <w:adjustRightInd/>
        <w:rPr>
          <w:rFonts w:cs="Calibri"/>
          <w:bCs/>
          <w:iCs/>
        </w:rPr>
      </w:pPr>
    </w:p>
    <w:p w14:paraId="2681F091" w14:textId="77777777" w:rsidR="000A134A" w:rsidRPr="001C1E47" w:rsidRDefault="000A134A" w:rsidP="007A71AC">
      <w:pPr>
        <w:widowControl/>
        <w:autoSpaceDE/>
        <w:autoSpaceDN/>
        <w:adjustRightInd/>
        <w:jc w:val="center"/>
        <w:rPr>
          <w:rFonts w:cs="Calibri"/>
        </w:rPr>
      </w:pPr>
      <w:r w:rsidRPr="001C1E47">
        <w:rPr>
          <w:rFonts w:cs="Calibri"/>
        </w:rPr>
        <w:t xml:space="preserve"> </w:t>
      </w:r>
    </w:p>
    <w:p w14:paraId="61F6BBD2" w14:textId="77777777" w:rsidR="000A134A" w:rsidRPr="001C1E47" w:rsidRDefault="000A134A" w:rsidP="0061177B">
      <w:pPr>
        <w:widowControl/>
        <w:autoSpaceDE/>
        <w:autoSpaceDN/>
        <w:adjustRightInd/>
        <w:rPr>
          <w:rFonts w:cs="Calibri"/>
          <w:b/>
        </w:rPr>
      </w:pPr>
    </w:p>
    <w:p w14:paraId="18AE3A17" w14:textId="03F23B6D" w:rsidR="004427D9" w:rsidRPr="004427D9" w:rsidRDefault="004427D9" w:rsidP="0037417C">
      <w:pPr>
        <w:rPr>
          <w:rFonts w:asciiTheme="minorHAnsi" w:eastAsia="Calibri" w:hAnsiTheme="minorHAnsi" w:cstheme="minorHAnsi"/>
          <w:sz w:val="28"/>
          <w:szCs w:val="28"/>
        </w:rPr>
      </w:pPr>
      <w:r w:rsidRPr="004427D9">
        <w:rPr>
          <w:rFonts w:asciiTheme="minorHAnsi" w:eastAsia="Calibri" w:hAnsiTheme="minorHAnsi" w:cstheme="minorHAnsi"/>
          <w:sz w:val="28"/>
          <w:szCs w:val="28"/>
        </w:rPr>
        <w:t>Utah Occupational Safety and Health Division</w:t>
      </w:r>
      <w:r w:rsidR="0037417C">
        <w:rPr>
          <w:rFonts w:asciiTheme="minorHAnsi" w:eastAsia="Calibri" w:hAnsiTheme="minorHAnsi" w:cstheme="minorHAnsi"/>
          <w:sz w:val="28"/>
          <w:szCs w:val="28"/>
        </w:rPr>
        <w:t xml:space="preserve"> </w:t>
      </w:r>
      <w:r w:rsidRPr="004427D9">
        <w:rPr>
          <w:rFonts w:asciiTheme="minorHAnsi" w:eastAsia="Calibri" w:hAnsiTheme="minorHAnsi" w:cstheme="minorHAnsi"/>
          <w:sz w:val="28"/>
          <w:szCs w:val="28"/>
        </w:rPr>
        <w:t>(UOSH)</w:t>
      </w:r>
    </w:p>
    <w:p w14:paraId="2A3E5133" w14:textId="77777777" w:rsidR="000A134A" w:rsidRPr="001C1E47" w:rsidRDefault="000A134A" w:rsidP="0061177B">
      <w:pPr>
        <w:widowControl/>
        <w:autoSpaceDE/>
        <w:autoSpaceDN/>
        <w:adjustRightInd/>
        <w:rPr>
          <w:rFonts w:cs="Calibri"/>
          <w:bCs/>
        </w:rPr>
      </w:pPr>
    </w:p>
    <w:p w14:paraId="33BDDAA9" w14:textId="77777777" w:rsidR="000A134A" w:rsidRPr="001C1E47" w:rsidRDefault="000A134A" w:rsidP="0061177B">
      <w:pPr>
        <w:widowControl/>
        <w:autoSpaceDE/>
        <w:autoSpaceDN/>
        <w:adjustRightInd/>
        <w:rPr>
          <w:rFonts w:cs="Calibri"/>
          <w:bCs/>
        </w:rPr>
      </w:pPr>
    </w:p>
    <w:p w14:paraId="0E828210" w14:textId="3791D40B" w:rsidR="000A134A" w:rsidRPr="001C1E47" w:rsidRDefault="0061404B" w:rsidP="00AD69D5">
      <w:pPr>
        <w:widowControl/>
        <w:autoSpaceDE/>
        <w:autoSpaceDN/>
        <w:adjustRightInd/>
        <w:rPr>
          <w:rFonts w:cs="Calibri"/>
          <w:bCs/>
        </w:rPr>
      </w:pPr>
      <w:r w:rsidRPr="00D240F1">
        <w:rPr>
          <w:noProof/>
        </w:rPr>
        <w:drawing>
          <wp:inline distT="0" distB="0" distL="0" distR="0" wp14:anchorId="7080773F" wp14:editId="0B6B9025">
            <wp:extent cx="5111750" cy="935990"/>
            <wp:effectExtent l="0" t="0" r="0" b="0"/>
            <wp:docPr id="5" name="image2.png" descr=" UOSH logo (Orange) 2018"/>
            <wp:cNvGraphicFramePr/>
            <a:graphic xmlns:a="http://schemas.openxmlformats.org/drawingml/2006/main">
              <a:graphicData uri="http://schemas.openxmlformats.org/drawingml/2006/picture">
                <pic:pic xmlns:pic="http://schemas.openxmlformats.org/drawingml/2006/picture">
                  <pic:nvPicPr>
                    <pic:cNvPr id="0" name="image2.png" descr=" UOSH logo (Orange) 2018"/>
                    <pic:cNvPicPr preferRelativeResize="0"/>
                  </pic:nvPicPr>
                  <pic:blipFill>
                    <a:blip r:embed="rId8"/>
                    <a:srcRect/>
                    <a:stretch>
                      <a:fillRect/>
                    </a:stretch>
                  </pic:blipFill>
                  <pic:spPr>
                    <a:xfrm>
                      <a:off x="0" y="0"/>
                      <a:ext cx="5111750" cy="935990"/>
                    </a:xfrm>
                    <a:prstGeom prst="rect">
                      <a:avLst/>
                    </a:prstGeom>
                    <a:ln/>
                  </pic:spPr>
                </pic:pic>
              </a:graphicData>
            </a:graphic>
          </wp:inline>
        </w:drawing>
      </w:r>
    </w:p>
    <w:p w14:paraId="3FC46738" w14:textId="77777777" w:rsidR="000A134A" w:rsidRPr="001C1E47" w:rsidRDefault="000A134A" w:rsidP="0061177B">
      <w:pPr>
        <w:widowControl/>
        <w:autoSpaceDE/>
        <w:autoSpaceDN/>
        <w:adjustRightInd/>
        <w:rPr>
          <w:rFonts w:cs="Calibri"/>
          <w:b/>
        </w:rPr>
      </w:pPr>
    </w:p>
    <w:p w14:paraId="59D27C77" w14:textId="77777777" w:rsidR="009B1B01" w:rsidRDefault="009B1B01" w:rsidP="007A59FB">
      <w:pPr>
        <w:widowControl/>
        <w:tabs>
          <w:tab w:val="left" w:pos="720"/>
          <w:tab w:val="left" w:pos="1440"/>
          <w:tab w:val="left" w:pos="2160"/>
        </w:tabs>
        <w:autoSpaceDE/>
        <w:autoSpaceDN/>
        <w:adjustRightInd/>
        <w:jc w:val="center"/>
        <w:rPr>
          <w:rFonts w:eastAsia="Batang" w:cs="Calibri"/>
          <w:b/>
          <w:sz w:val="28"/>
          <w:szCs w:val="28"/>
        </w:rPr>
      </w:pPr>
    </w:p>
    <w:p w14:paraId="6CB8AD27" w14:textId="3B8AE07A" w:rsidR="000A134A" w:rsidRPr="008F2B61" w:rsidRDefault="000A134A" w:rsidP="00AD69D5">
      <w:pPr>
        <w:widowControl/>
        <w:tabs>
          <w:tab w:val="left" w:pos="720"/>
          <w:tab w:val="left" w:pos="1440"/>
          <w:tab w:val="left" w:pos="2160"/>
        </w:tabs>
        <w:autoSpaceDE/>
        <w:autoSpaceDN/>
        <w:adjustRightInd/>
        <w:rPr>
          <w:rFonts w:eastAsia="Batang" w:cs="Calibri"/>
          <w:b/>
          <w:sz w:val="28"/>
          <w:szCs w:val="28"/>
        </w:rPr>
      </w:pPr>
      <w:r w:rsidRPr="001C1E47">
        <w:rPr>
          <w:rFonts w:eastAsia="Batang" w:cs="Calibri"/>
          <w:b/>
          <w:sz w:val="28"/>
          <w:szCs w:val="28"/>
        </w:rPr>
        <w:t>Ev</w:t>
      </w:r>
      <w:r w:rsidR="00882F2B" w:rsidRPr="001C1E47">
        <w:rPr>
          <w:rFonts w:eastAsia="Batang" w:cs="Calibri"/>
          <w:b/>
          <w:sz w:val="28"/>
          <w:szCs w:val="28"/>
        </w:rPr>
        <w:t xml:space="preserve">aluation Period: October 1, </w:t>
      </w:r>
      <w:r w:rsidR="00882F2B" w:rsidRPr="008F2B61">
        <w:rPr>
          <w:rFonts w:eastAsia="Batang" w:cs="Calibri"/>
          <w:b/>
          <w:sz w:val="28"/>
          <w:szCs w:val="28"/>
        </w:rPr>
        <w:t>20</w:t>
      </w:r>
      <w:r w:rsidR="007A59FB" w:rsidRPr="008F2B61">
        <w:rPr>
          <w:rFonts w:eastAsia="Batang" w:cs="Calibri"/>
          <w:b/>
          <w:sz w:val="28"/>
          <w:szCs w:val="28"/>
        </w:rPr>
        <w:t>23</w:t>
      </w:r>
      <w:r w:rsidRPr="008F2B61">
        <w:rPr>
          <w:rFonts w:eastAsia="Batang" w:cs="Calibri"/>
          <w:b/>
          <w:sz w:val="28"/>
          <w:szCs w:val="28"/>
        </w:rPr>
        <w:t xml:space="preserve"> –</w:t>
      </w:r>
      <w:r w:rsidR="00882F2B" w:rsidRPr="008F2B61">
        <w:rPr>
          <w:rFonts w:eastAsia="Batang" w:cs="Calibri"/>
          <w:b/>
          <w:sz w:val="28"/>
          <w:szCs w:val="28"/>
        </w:rPr>
        <w:t xml:space="preserve"> September 30, 20</w:t>
      </w:r>
      <w:r w:rsidR="007A59FB" w:rsidRPr="008F2B61">
        <w:rPr>
          <w:rFonts w:eastAsia="Batang" w:cs="Calibri"/>
          <w:b/>
          <w:sz w:val="28"/>
          <w:szCs w:val="28"/>
        </w:rPr>
        <w:t>24</w:t>
      </w:r>
    </w:p>
    <w:p w14:paraId="03D79AE5" w14:textId="77777777" w:rsidR="000A134A" w:rsidRPr="001C1E47" w:rsidRDefault="000A134A" w:rsidP="007A71AC">
      <w:pPr>
        <w:widowControl/>
        <w:autoSpaceDE/>
        <w:autoSpaceDN/>
        <w:adjustRightInd/>
        <w:jc w:val="center"/>
        <w:rPr>
          <w:rFonts w:cs="Calibri"/>
        </w:rPr>
      </w:pPr>
    </w:p>
    <w:p w14:paraId="015E020F" w14:textId="77777777" w:rsidR="000A134A" w:rsidRPr="001C1E47" w:rsidRDefault="000A134A" w:rsidP="0061177B">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rPr>
      </w:pPr>
    </w:p>
    <w:p w14:paraId="0E81BC24" w14:textId="77777777" w:rsidR="000A134A" w:rsidRPr="001C1E47" w:rsidRDefault="000A134A" w:rsidP="007A71AC">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rPr>
      </w:pPr>
    </w:p>
    <w:p w14:paraId="221B5785" w14:textId="77777777" w:rsidR="000A134A" w:rsidRPr="001C1E47" w:rsidRDefault="000A134A" w:rsidP="007A71AC">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b/>
        </w:rPr>
      </w:pPr>
    </w:p>
    <w:p w14:paraId="0DF94F44" w14:textId="7F120B19" w:rsidR="000A134A" w:rsidRPr="00FD745A" w:rsidRDefault="000A134A" w:rsidP="00AD69D5">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eastAsia="Batang" w:hAnsiTheme="minorHAnsi" w:cstheme="minorHAnsi"/>
          <w:b/>
        </w:rPr>
      </w:pPr>
      <w:r w:rsidRPr="00FD745A">
        <w:rPr>
          <w:rFonts w:asciiTheme="minorHAnsi" w:eastAsia="Batang" w:hAnsiTheme="minorHAnsi" w:cstheme="minorHAnsi"/>
          <w:b/>
        </w:rPr>
        <w:t xml:space="preserve">Initial Approval Date: </w:t>
      </w:r>
      <w:r w:rsidR="00FB0CE7" w:rsidRPr="00FD745A">
        <w:rPr>
          <w:rFonts w:asciiTheme="minorHAnsi" w:eastAsia="Batang" w:hAnsiTheme="minorHAnsi" w:cstheme="minorHAnsi"/>
        </w:rPr>
        <w:t>January 10, 1973</w:t>
      </w:r>
    </w:p>
    <w:p w14:paraId="3062998A" w14:textId="559E527E" w:rsidR="000A134A" w:rsidRPr="00FD745A" w:rsidRDefault="000A134A" w:rsidP="00AD69D5">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eastAsia="Batang" w:hAnsiTheme="minorHAnsi" w:cstheme="minorHAnsi"/>
          <w:b/>
        </w:rPr>
      </w:pPr>
      <w:r w:rsidRPr="00FD745A">
        <w:rPr>
          <w:rFonts w:asciiTheme="minorHAnsi" w:eastAsia="Batang" w:hAnsiTheme="minorHAnsi" w:cstheme="minorHAnsi"/>
          <w:b/>
        </w:rPr>
        <w:t xml:space="preserve">Program Certification Date: </w:t>
      </w:r>
      <w:r w:rsidR="00787850" w:rsidRPr="00FD745A">
        <w:rPr>
          <w:rFonts w:asciiTheme="minorHAnsi" w:eastAsia="Batang" w:hAnsiTheme="minorHAnsi" w:cstheme="minorHAnsi"/>
        </w:rPr>
        <w:t>November 19, 1976</w:t>
      </w:r>
    </w:p>
    <w:p w14:paraId="51A91D4F" w14:textId="75243168" w:rsidR="000A134A" w:rsidRPr="00FD745A" w:rsidRDefault="000A134A" w:rsidP="00AD69D5">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b/>
        </w:rPr>
      </w:pPr>
      <w:r w:rsidRPr="00FD745A">
        <w:rPr>
          <w:rFonts w:asciiTheme="minorHAnsi" w:eastAsia="Batang" w:hAnsiTheme="minorHAnsi" w:cstheme="minorHAnsi"/>
          <w:b/>
        </w:rPr>
        <w:t xml:space="preserve">Final Approval Date: </w:t>
      </w:r>
      <w:r w:rsidR="00FD745A" w:rsidRPr="00FD745A">
        <w:rPr>
          <w:rFonts w:asciiTheme="minorHAnsi" w:eastAsia="Batang" w:hAnsiTheme="minorHAnsi" w:cstheme="minorHAnsi"/>
        </w:rPr>
        <w:t>July 16, 1985</w:t>
      </w:r>
    </w:p>
    <w:p w14:paraId="5FD63D8C" w14:textId="77777777" w:rsidR="000A134A" w:rsidRPr="001C1E47" w:rsidRDefault="000A134A" w:rsidP="0061177B">
      <w:pPr>
        <w:widowControl/>
        <w:autoSpaceDE/>
        <w:autoSpaceDN/>
        <w:adjustRightInd/>
        <w:rPr>
          <w:rFonts w:cs="Calibri"/>
          <w:b/>
          <w:bCs/>
        </w:rPr>
      </w:pPr>
    </w:p>
    <w:p w14:paraId="3903FDED" w14:textId="77777777" w:rsidR="000A134A" w:rsidRPr="001C1E47" w:rsidRDefault="000A134A" w:rsidP="007A71AC">
      <w:pPr>
        <w:widowControl/>
        <w:autoSpaceDE/>
        <w:autoSpaceDN/>
        <w:adjustRightInd/>
        <w:jc w:val="center"/>
        <w:rPr>
          <w:rFonts w:cs="Calibri"/>
          <w:b/>
        </w:rPr>
      </w:pPr>
    </w:p>
    <w:p w14:paraId="69312D4F" w14:textId="77777777" w:rsidR="000A134A" w:rsidRPr="001C1E47" w:rsidRDefault="000A134A" w:rsidP="0061177B">
      <w:pPr>
        <w:widowControl/>
        <w:tabs>
          <w:tab w:val="right" w:pos="9720"/>
        </w:tabs>
        <w:autoSpaceDE/>
        <w:autoSpaceDN/>
        <w:adjustRightInd/>
        <w:rPr>
          <w:rFonts w:cs="Calibri"/>
          <w:b/>
          <w:bCs/>
        </w:rPr>
      </w:pPr>
    </w:p>
    <w:p w14:paraId="1EA42317" w14:textId="77777777" w:rsidR="000A134A" w:rsidRPr="001C1E47" w:rsidRDefault="000A134A" w:rsidP="0061177B">
      <w:pPr>
        <w:widowControl/>
        <w:tabs>
          <w:tab w:val="right" w:pos="9720"/>
        </w:tabs>
        <w:autoSpaceDE/>
        <w:autoSpaceDN/>
        <w:adjustRightInd/>
        <w:rPr>
          <w:rFonts w:cs="Calibri"/>
          <w:b/>
          <w:bCs/>
        </w:rPr>
      </w:pPr>
    </w:p>
    <w:p w14:paraId="19E2F8B5" w14:textId="77777777" w:rsidR="000A134A" w:rsidRPr="0061177B" w:rsidRDefault="000A134A" w:rsidP="0061177B">
      <w:pPr>
        <w:widowControl/>
        <w:autoSpaceDE/>
        <w:autoSpaceDN/>
        <w:adjustRightInd/>
        <w:rPr>
          <w:rFonts w:cs="Calibri"/>
          <w:bCs/>
          <w:iCs/>
        </w:rPr>
      </w:pPr>
    </w:p>
    <w:p w14:paraId="336BF8F1" w14:textId="77777777" w:rsidR="000A134A" w:rsidRPr="001C1E47" w:rsidRDefault="000A134A" w:rsidP="00AD69D5">
      <w:pPr>
        <w:widowControl/>
        <w:autoSpaceDE/>
        <w:autoSpaceDN/>
        <w:adjustRightInd/>
        <w:rPr>
          <w:rFonts w:cs="Calibri"/>
          <w:b/>
        </w:rPr>
      </w:pPr>
      <w:r w:rsidRPr="001C1E47">
        <w:rPr>
          <w:rFonts w:cs="Calibri"/>
          <w:b/>
        </w:rPr>
        <w:t>Prepared by:</w:t>
      </w:r>
    </w:p>
    <w:p w14:paraId="503A1070" w14:textId="7AFDBA64" w:rsidR="000A134A" w:rsidRPr="001C1E47" w:rsidRDefault="000A134A" w:rsidP="00AD69D5">
      <w:pPr>
        <w:widowControl/>
        <w:autoSpaceDE/>
        <w:autoSpaceDN/>
        <w:adjustRightInd/>
        <w:rPr>
          <w:rFonts w:cs="Calibri"/>
          <w:b/>
        </w:rPr>
      </w:pPr>
      <w:r w:rsidRPr="001C1E47">
        <w:rPr>
          <w:rFonts w:cs="Calibri"/>
          <w:b/>
        </w:rPr>
        <w:t>U. S. Department of Labor</w:t>
      </w:r>
    </w:p>
    <w:p w14:paraId="5E957F30" w14:textId="77777777" w:rsidR="000A134A" w:rsidRPr="001C1E47" w:rsidRDefault="000A134A" w:rsidP="00AD69D5">
      <w:pPr>
        <w:widowControl/>
        <w:autoSpaceDE/>
        <w:autoSpaceDN/>
        <w:adjustRightInd/>
        <w:rPr>
          <w:rFonts w:cs="Calibri"/>
          <w:b/>
        </w:rPr>
      </w:pPr>
      <w:r w:rsidRPr="001C1E47">
        <w:rPr>
          <w:rFonts w:cs="Calibri"/>
          <w:b/>
        </w:rPr>
        <w:t>Occupational Safety and Health Administration</w:t>
      </w:r>
    </w:p>
    <w:p w14:paraId="283D40DC" w14:textId="72E4945F" w:rsidR="000A134A" w:rsidRPr="001C1E47" w:rsidRDefault="002C1346" w:rsidP="00AD69D5">
      <w:pPr>
        <w:widowControl/>
        <w:autoSpaceDE/>
        <w:autoSpaceDN/>
        <w:adjustRightInd/>
        <w:rPr>
          <w:rFonts w:cs="Calibri"/>
          <w:b/>
        </w:rPr>
      </w:pPr>
      <w:r>
        <w:rPr>
          <w:rFonts w:cs="Calibri"/>
          <w:b/>
        </w:rPr>
        <w:t xml:space="preserve">Denver </w:t>
      </w:r>
      <w:r w:rsidR="000A134A" w:rsidRPr="001C1E47">
        <w:rPr>
          <w:rFonts w:cs="Calibri"/>
          <w:b/>
        </w:rPr>
        <w:t>Region</w:t>
      </w:r>
    </w:p>
    <w:p w14:paraId="71D678A7" w14:textId="77777777" w:rsidR="002C1346" w:rsidRPr="002C1346" w:rsidRDefault="002C1346" w:rsidP="00AD69D5">
      <w:pPr>
        <w:rPr>
          <w:rFonts w:asciiTheme="minorHAnsi" w:hAnsiTheme="minorHAnsi" w:cstheme="minorHAnsi"/>
          <w:b/>
          <w:bCs/>
        </w:rPr>
      </w:pPr>
      <w:r w:rsidRPr="002C1346">
        <w:rPr>
          <w:rFonts w:asciiTheme="minorHAnsi" w:hAnsiTheme="minorHAnsi" w:cstheme="minorHAnsi"/>
          <w:b/>
          <w:bCs/>
        </w:rPr>
        <w:t>Denver, CO</w:t>
      </w:r>
    </w:p>
    <w:p w14:paraId="5737E281" w14:textId="77777777" w:rsidR="000A134A" w:rsidRPr="001C1E47" w:rsidRDefault="000A134A" w:rsidP="007A71AC">
      <w:pPr>
        <w:widowControl/>
        <w:autoSpaceDE/>
        <w:autoSpaceDN/>
        <w:adjustRightInd/>
        <w:jc w:val="center"/>
        <w:rPr>
          <w:rFonts w:cs="Calibri"/>
          <w:b/>
        </w:rPr>
      </w:pPr>
    </w:p>
    <w:p w14:paraId="15F94D47" w14:textId="77777777" w:rsidR="000A134A" w:rsidRPr="001C1E47" w:rsidRDefault="000A134A" w:rsidP="007A71AC">
      <w:pPr>
        <w:widowControl/>
        <w:autoSpaceDE/>
        <w:autoSpaceDN/>
        <w:adjustRightInd/>
        <w:jc w:val="center"/>
        <w:rPr>
          <w:rFonts w:cs="Calibri"/>
          <w:b/>
        </w:rPr>
      </w:pPr>
    </w:p>
    <w:p w14:paraId="2A63637C" w14:textId="77777777" w:rsidR="000A134A" w:rsidRPr="001C1E47" w:rsidRDefault="000A134A" w:rsidP="00C8599D">
      <w:pPr>
        <w:widowControl/>
        <w:autoSpaceDE/>
        <w:autoSpaceDN/>
        <w:adjustRightInd/>
        <w:rPr>
          <w:rFonts w:cs="Calibri"/>
          <w:b/>
        </w:rPr>
      </w:pPr>
    </w:p>
    <w:p w14:paraId="41EC6729" w14:textId="77777777" w:rsidR="000A134A" w:rsidRPr="001C1E47" w:rsidRDefault="000A134A" w:rsidP="007A71AC">
      <w:pPr>
        <w:widowControl/>
        <w:autoSpaceDE/>
        <w:autoSpaceDN/>
        <w:adjustRightInd/>
        <w:jc w:val="center"/>
        <w:rPr>
          <w:rFonts w:cs="Calibri"/>
          <w:b/>
          <w:sz w:val="40"/>
          <w:szCs w:val="40"/>
        </w:rPr>
      </w:pPr>
      <w:r w:rsidRPr="001C1E47">
        <w:rPr>
          <w:rFonts w:cs="Calibri"/>
          <w:noProof/>
        </w:rPr>
        <w:drawing>
          <wp:inline distT="0" distB="0" distL="0" distR="0" wp14:anchorId="1D849888" wp14:editId="02DC62B1">
            <wp:extent cx="1600200" cy="1009650"/>
            <wp:effectExtent l="0" t="0" r="0" b="0"/>
            <wp:docPr id="4" name="Picture 4" descr="center_co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er_col_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p>
    <w:p w14:paraId="26D1C94C" w14:textId="58108633" w:rsidR="00F43B23" w:rsidRDefault="00F43B23">
      <w:pPr>
        <w:widowControl/>
        <w:autoSpaceDE/>
        <w:autoSpaceDN/>
        <w:adjustRightInd/>
        <w:rPr>
          <w:rFonts w:cs="Calibri"/>
          <w:b/>
          <w:sz w:val="40"/>
          <w:szCs w:val="40"/>
        </w:rPr>
      </w:pPr>
    </w:p>
    <w:p w14:paraId="253E64F1" w14:textId="2FAB4601" w:rsidR="002A6CAA" w:rsidRPr="00F43B23" w:rsidRDefault="00F43B23">
      <w:pPr>
        <w:widowControl/>
        <w:autoSpaceDE/>
        <w:autoSpaceDN/>
        <w:adjustRightInd/>
        <w:rPr>
          <w:rFonts w:cs="Calibri"/>
          <w:b/>
          <w:sz w:val="28"/>
          <w:szCs w:val="28"/>
        </w:rPr>
      </w:pPr>
      <w:r w:rsidRPr="00F43B23">
        <w:rPr>
          <w:rFonts w:cs="Calibri"/>
          <w:b/>
          <w:sz w:val="28"/>
          <w:szCs w:val="28"/>
        </w:rPr>
        <w:lastRenderedPageBreak/>
        <w:t>Table of Contents</w:t>
      </w:r>
    </w:p>
    <w:p w14:paraId="161B9969" w14:textId="35F1BB15" w:rsidR="000F63C1" w:rsidRDefault="000F63C1">
      <w:pPr>
        <w:pStyle w:val="TOC2"/>
        <w:tabs>
          <w:tab w:val="left" w:pos="480"/>
          <w:tab w:val="right" w:leader="dot" w:pos="9530"/>
        </w:tabs>
        <w:rPr>
          <w:rFonts w:eastAsiaTheme="minorEastAsia" w:cstheme="minorBidi"/>
          <w:b/>
          <w:bCs w:val="0"/>
          <w:noProof/>
          <w:sz w:val="22"/>
          <w:szCs w:val="22"/>
        </w:rPr>
      </w:pPr>
      <w:r>
        <w:fldChar w:fldCharType="begin"/>
      </w:r>
      <w:r>
        <w:instrText xml:space="preserve"> TOC \o "2-3" \h \z \u \t "Level 1,1" </w:instrText>
      </w:r>
      <w:r>
        <w:fldChar w:fldCharType="separate"/>
      </w:r>
      <w:hyperlink w:anchor="_Toc119418663" w:history="1">
        <w:r w:rsidRPr="00B5463F">
          <w:rPr>
            <w:rStyle w:val="Hyperlink"/>
            <w:noProof/>
          </w:rPr>
          <w:t>I.</w:t>
        </w:r>
        <w:r>
          <w:rPr>
            <w:rFonts w:eastAsiaTheme="minorEastAsia" w:cstheme="minorBidi"/>
            <w:b/>
            <w:bCs w:val="0"/>
            <w:noProof/>
            <w:sz w:val="22"/>
            <w:szCs w:val="22"/>
          </w:rPr>
          <w:tab/>
        </w:r>
        <w:r w:rsidRPr="00B5463F">
          <w:rPr>
            <w:rStyle w:val="Hyperlink"/>
            <w:noProof/>
          </w:rPr>
          <w:t>Executive Summary</w:t>
        </w:r>
        <w:r>
          <w:rPr>
            <w:noProof/>
            <w:webHidden/>
          </w:rPr>
          <w:tab/>
        </w:r>
        <w:r>
          <w:rPr>
            <w:noProof/>
            <w:webHidden/>
          </w:rPr>
          <w:fldChar w:fldCharType="begin"/>
        </w:r>
        <w:r>
          <w:rPr>
            <w:noProof/>
            <w:webHidden/>
          </w:rPr>
          <w:instrText xml:space="preserve"> PAGEREF _Toc119418663 \h </w:instrText>
        </w:r>
        <w:r>
          <w:rPr>
            <w:noProof/>
            <w:webHidden/>
          </w:rPr>
        </w:r>
        <w:r>
          <w:rPr>
            <w:noProof/>
            <w:webHidden/>
          </w:rPr>
          <w:fldChar w:fldCharType="separate"/>
        </w:r>
        <w:r>
          <w:rPr>
            <w:noProof/>
            <w:webHidden/>
          </w:rPr>
          <w:t>3</w:t>
        </w:r>
        <w:r>
          <w:rPr>
            <w:noProof/>
            <w:webHidden/>
          </w:rPr>
          <w:fldChar w:fldCharType="end"/>
        </w:r>
      </w:hyperlink>
    </w:p>
    <w:p w14:paraId="3BD91ACD" w14:textId="080BA776" w:rsidR="000F63C1" w:rsidRDefault="000F63C1">
      <w:pPr>
        <w:pStyle w:val="TOC2"/>
        <w:tabs>
          <w:tab w:val="left" w:pos="480"/>
          <w:tab w:val="right" w:leader="dot" w:pos="9530"/>
        </w:tabs>
        <w:rPr>
          <w:rFonts w:eastAsiaTheme="minorEastAsia" w:cstheme="minorBidi"/>
          <w:b/>
          <w:bCs w:val="0"/>
          <w:noProof/>
          <w:sz w:val="22"/>
          <w:szCs w:val="22"/>
        </w:rPr>
      </w:pPr>
      <w:hyperlink w:anchor="_Toc119418664" w:history="1">
        <w:r w:rsidRPr="00B5463F">
          <w:rPr>
            <w:rStyle w:val="Hyperlink"/>
            <w:noProof/>
          </w:rPr>
          <w:t>II.</w:t>
        </w:r>
        <w:r>
          <w:rPr>
            <w:rFonts w:eastAsiaTheme="minorEastAsia" w:cstheme="minorBidi"/>
            <w:b/>
            <w:bCs w:val="0"/>
            <w:noProof/>
            <w:sz w:val="22"/>
            <w:szCs w:val="22"/>
          </w:rPr>
          <w:tab/>
        </w:r>
        <w:r w:rsidRPr="00B5463F">
          <w:rPr>
            <w:rStyle w:val="Hyperlink"/>
            <w:noProof/>
          </w:rPr>
          <w:t>State Plan Background</w:t>
        </w:r>
        <w:r>
          <w:rPr>
            <w:noProof/>
            <w:webHidden/>
          </w:rPr>
          <w:tab/>
        </w:r>
        <w:r w:rsidR="00B5382A">
          <w:rPr>
            <w:noProof/>
            <w:webHidden/>
          </w:rPr>
          <w:t>3</w:t>
        </w:r>
      </w:hyperlink>
    </w:p>
    <w:p w14:paraId="12E60A29" w14:textId="7BAADFF1" w:rsidR="000F63C1" w:rsidRDefault="000F63C1">
      <w:pPr>
        <w:pStyle w:val="TOC2"/>
        <w:tabs>
          <w:tab w:val="left" w:pos="480"/>
          <w:tab w:val="right" w:leader="dot" w:pos="9530"/>
        </w:tabs>
        <w:rPr>
          <w:rFonts w:eastAsiaTheme="minorEastAsia" w:cstheme="minorBidi"/>
          <w:b/>
          <w:bCs w:val="0"/>
          <w:noProof/>
          <w:sz w:val="22"/>
          <w:szCs w:val="22"/>
        </w:rPr>
      </w:pPr>
      <w:hyperlink w:anchor="_Toc119418665" w:history="1">
        <w:r w:rsidRPr="00B5463F">
          <w:rPr>
            <w:rStyle w:val="Hyperlink"/>
            <w:noProof/>
          </w:rPr>
          <w:t>III.</w:t>
        </w:r>
        <w:r>
          <w:rPr>
            <w:rFonts w:eastAsiaTheme="minorEastAsia" w:cstheme="minorBidi"/>
            <w:b/>
            <w:bCs w:val="0"/>
            <w:noProof/>
            <w:sz w:val="22"/>
            <w:szCs w:val="22"/>
          </w:rPr>
          <w:tab/>
        </w:r>
        <w:r w:rsidRPr="00B5463F">
          <w:rPr>
            <w:rStyle w:val="Hyperlink"/>
            <w:noProof/>
          </w:rPr>
          <w:t>Assessment of State Plan Progress and Performance</w:t>
        </w:r>
        <w:r>
          <w:rPr>
            <w:noProof/>
            <w:webHidden/>
          </w:rPr>
          <w:tab/>
        </w:r>
        <w:r w:rsidR="00B5382A">
          <w:rPr>
            <w:noProof/>
            <w:webHidden/>
          </w:rPr>
          <w:t>5</w:t>
        </w:r>
      </w:hyperlink>
    </w:p>
    <w:p w14:paraId="1E2078A6" w14:textId="639D6601" w:rsidR="000F63C1" w:rsidRDefault="000F63C1">
      <w:pPr>
        <w:pStyle w:val="TOC3"/>
        <w:tabs>
          <w:tab w:val="left" w:pos="720"/>
          <w:tab w:val="right" w:leader="dot" w:pos="9530"/>
        </w:tabs>
        <w:rPr>
          <w:rFonts w:eastAsiaTheme="minorEastAsia" w:cstheme="minorBidi"/>
          <w:noProof/>
          <w:sz w:val="22"/>
          <w:szCs w:val="22"/>
        </w:rPr>
      </w:pPr>
      <w:hyperlink w:anchor="_Toc119418666" w:history="1">
        <w:r w:rsidRPr="00B5463F">
          <w:rPr>
            <w:rStyle w:val="Hyperlink"/>
            <w:rFonts w:ascii="Calibri" w:hAnsi="Calibri"/>
            <w:noProof/>
          </w:rPr>
          <w:t>A.</w:t>
        </w:r>
        <w:r>
          <w:rPr>
            <w:rFonts w:eastAsiaTheme="minorEastAsia" w:cstheme="minorBidi"/>
            <w:noProof/>
            <w:sz w:val="22"/>
            <w:szCs w:val="22"/>
          </w:rPr>
          <w:tab/>
        </w:r>
        <w:r w:rsidRPr="00B5463F">
          <w:rPr>
            <w:rStyle w:val="Hyperlink"/>
            <w:noProof/>
          </w:rPr>
          <w:t>Data and Methodology</w:t>
        </w:r>
        <w:r>
          <w:rPr>
            <w:noProof/>
            <w:webHidden/>
          </w:rPr>
          <w:tab/>
        </w:r>
        <w:r w:rsidR="00B5382A">
          <w:rPr>
            <w:noProof/>
            <w:webHidden/>
          </w:rPr>
          <w:t>5</w:t>
        </w:r>
      </w:hyperlink>
    </w:p>
    <w:p w14:paraId="5EC14328" w14:textId="63F8384F" w:rsidR="000F63C1" w:rsidRDefault="000F63C1">
      <w:pPr>
        <w:pStyle w:val="TOC3"/>
        <w:tabs>
          <w:tab w:val="left" w:pos="720"/>
          <w:tab w:val="right" w:leader="dot" w:pos="9530"/>
        </w:tabs>
        <w:rPr>
          <w:rFonts w:eastAsiaTheme="minorEastAsia" w:cstheme="minorBidi"/>
          <w:noProof/>
          <w:sz w:val="22"/>
          <w:szCs w:val="22"/>
        </w:rPr>
      </w:pPr>
      <w:hyperlink w:anchor="_Toc119418667" w:history="1">
        <w:r w:rsidRPr="00B5463F">
          <w:rPr>
            <w:rStyle w:val="Hyperlink"/>
            <w:rFonts w:ascii="Calibri" w:hAnsi="Calibri"/>
            <w:noProof/>
          </w:rPr>
          <w:t>B.</w:t>
        </w:r>
        <w:r>
          <w:rPr>
            <w:rFonts w:eastAsiaTheme="minorEastAsia" w:cstheme="minorBidi"/>
            <w:noProof/>
            <w:sz w:val="22"/>
            <w:szCs w:val="22"/>
          </w:rPr>
          <w:tab/>
        </w:r>
        <w:r w:rsidRPr="00B5463F">
          <w:rPr>
            <w:rStyle w:val="Hyperlink"/>
            <w:noProof/>
          </w:rPr>
          <w:t>Findings and Observations</w:t>
        </w:r>
        <w:r>
          <w:rPr>
            <w:noProof/>
            <w:webHidden/>
          </w:rPr>
          <w:tab/>
        </w:r>
        <w:r w:rsidR="00B5382A">
          <w:rPr>
            <w:noProof/>
            <w:webHidden/>
          </w:rPr>
          <w:t>5</w:t>
        </w:r>
      </w:hyperlink>
    </w:p>
    <w:p w14:paraId="373A40FB" w14:textId="2580BBC7" w:rsidR="000F63C1" w:rsidRDefault="000F63C1">
      <w:pPr>
        <w:pStyle w:val="TOC3"/>
        <w:tabs>
          <w:tab w:val="left" w:pos="720"/>
          <w:tab w:val="right" w:leader="dot" w:pos="9530"/>
        </w:tabs>
        <w:rPr>
          <w:rFonts w:eastAsiaTheme="minorEastAsia" w:cstheme="minorBidi"/>
          <w:noProof/>
          <w:sz w:val="22"/>
          <w:szCs w:val="22"/>
        </w:rPr>
      </w:pPr>
      <w:hyperlink w:anchor="_Toc119418668" w:history="1">
        <w:r w:rsidRPr="00B5463F">
          <w:rPr>
            <w:rStyle w:val="Hyperlink"/>
            <w:rFonts w:ascii="Calibri" w:hAnsi="Calibri"/>
            <w:noProof/>
          </w:rPr>
          <w:t>C.</w:t>
        </w:r>
        <w:r>
          <w:rPr>
            <w:rFonts w:eastAsiaTheme="minorEastAsia" w:cstheme="minorBidi"/>
            <w:noProof/>
            <w:sz w:val="22"/>
            <w:szCs w:val="22"/>
          </w:rPr>
          <w:tab/>
        </w:r>
        <w:r w:rsidRPr="00B5463F">
          <w:rPr>
            <w:rStyle w:val="Hyperlink"/>
            <w:noProof/>
          </w:rPr>
          <w:t>State Activity Mandated Measures (SAMM) Highlights</w:t>
        </w:r>
        <w:r>
          <w:rPr>
            <w:noProof/>
            <w:webHidden/>
          </w:rPr>
          <w:tab/>
        </w:r>
        <w:r w:rsidR="00B5382A">
          <w:rPr>
            <w:noProof/>
            <w:webHidden/>
          </w:rPr>
          <w:t>8</w:t>
        </w:r>
      </w:hyperlink>
    </w:p>
    <w:p w14:paraId="50DBA2CB" w14:textId="1C55B1F2" w:rsidR="000F63C1" w:rsidRDefault="002668F9">
      <w:pPr>
        <w:pStyle w:val="TOC3"/>
        <w:tabs>
          <w:tab w:val="right" w:leader="dot" w:pos="9530"/>
        </w:tabs>
        <w:rPr>
          <w:rFonts w:eastAsiaTheme="minorEastAsia" w:cstheme="minorBidi"/>
          <w:noProof/>
          <w:sz w:val="22"/>
          <w:szCs w:val="22"/>
        </w:rPr>
      </w:pPr>
      <w:hyperlink w:anchor="_Toc119418669" w:history="1">
        <w:r w:rsidRPr="00B5463F">
          <w:rPr>
            <w:rStyle w:val="Hyperlink"/>
            <w:noProof/>
          </w:rPr>
          <w:t>Appendix A – New and Continued Findings and Recommendations</w:t>
        </w:r>
        <w:r>
          <w:rPr>
            <w:noProof/>
            <w:webHidden/>
          </w:rPr>
          <w:tab/>
        </w:r>
        <w:r>
          <w:rPr>
            <w:noProof/>
            <w:webHidden/>
          </w:rPr>
          <w:fldChar w:fldCharType="begin"/>
        </w:r>
        <w:r>
          <w:rPr>
            <w:noProof/>
            <w:webHidden/>
          </w:rPr>
          <w:instrText xml:space="preserve"> PAGEREF _Toc119418669 \h </w:instrText>
        </w:r>
        <w:r>
          <w:rPr>
            <w:noProof/>
            <w:webHidden/>
          </w:rPr>
        </w:r>
        <w:r>
          <w:rPr>
            <w:noProof/>
            <w:webHidden/>
          </w:rPr>
          <w:fldChar w:fldCharType="separate"/>
        </w:r>
        <w:r>
          <w:rPr>
            <w:noProof/>
            <w:webHidden/>
          </w:rPr>
          <w:t>14</w:t>
        </w:r>
        <w:r>
          <w:rPr>
            <w:noProof/>
            <w:webHidden/>
          </w:rPr>
          <w:fldChar w:fldCharType="end"/>
        </w:r>
      </w:hyperlink>
    </w:p>
    <w:p w14:paraId="150115C6" w14:textId="452AFD00" w:rsidR="000F63C1" w:rsidRDefault="000F63C1">
      <w:pPr>
        <w:pStyle w:val="TOC3"/>
        <w:tabs>
          <w:tab w:val="right" w:leader="dot" w:pos="9530"/>
        </w:tabs>
        <w:rPr>
          <w:rFonts w:eastAsiaTheme="minorEastAsia" w:cstheme="minorBidi"/>
          <w:noProof/>
          <w:sz w:val="22"/>
          <w:szCs w:val="22"/>
        </w:rPr>
      </w:pPr>
      <w:hyperlink w:anchor="_Toc119418670" w:history="1">
        <w:r w:rsidRPr="00B5463F">
          <w:rPr>
            <w:rStyle w:val="Hyperlink"/>
            <w:noProof/>
          </w:rPr>
          <w:t>Appendix B – Observations Subject to Continued Monitoring</w:t>
        </w:r>
        <w:r>
          <w:rPr>
            <w:noProof/>
            <w:webHidden/>
          </w:rPr>
          <w:tab/>
        </w:r>
        <w:r>
          <w:rPr>
            <w:noProof/>
            <w:webHidden/>
          </w:rPr>
          <w:fldChar w:fldCharType="begin"/>
        </w:r>
        <w:r>
          <w:rPr>
            <w:noProof/>
            <w:webHidden/>
          </w:rPr>
          <w:instrText xml:space="preserve"> PAGEREF _Toc119418670 \h </w:instrText>
        </w:r>
        <w:r>
          <w:rPr>
            <w:noProof/>
            <w:webHidden/>
          </w:rPr>
        </w:r>
        <w:r>
          <w:rPr>
            <w:noProof/>
            <w:webHidden/>
          </w:rPr>
          <w:fldChar w:fldCharType="separate"/>
        </w:r>
        <w:r>
          <w:rPr>
            <w:noProof/>
            <w:webHidden/>
          </w:rPr>
          <w:t>1</w:t>
        </w:r>
        <w:r w:rsidR="002668F9">
          <w:rPr>
            <w:noProof/>
            <w:webHidden/>
          </w:rPr>
          <w:t>5</w:t>
        </w:r>
        <w:r>
          <w:rPr>
            <w:noProof/>
            <w:webHidden/>
          </w:rPr>
          <w:fldChar w:fldCharType="end"/>
        </w:r>
      </w:hyperlink>
    </w:p>
    <w:p w14:paraId="65AD001B" w14:textId="66CEF1F7" w:rsidR="000F63C1" w:rsidRDefault="000F63C1">
      <w:pPr>
        <w:pStyle w:val="TOC3"/>
        <w:tabs>
          <w:tab w:val="right" w:leader="dot" w:pos="9530"/>
        </w:tabs>
        <w:rPr>
          <w:rFonts w:eastAsiaTheme="minorEastAsia" w:cstheme="minorBidi"/>
          <w:noProof/>
          <w:sz w:val="22"/>
          <w:szCs w:val="22"/>
        </w:rPr>
      </w:pPr>
      <w:hyperlink w:anchor="_Toc119418671" w:history="1">
        <w:r w:rsidRPr="00B5463F">
          <w:rPr>
            <w:rStyle w:val="Hyperlink"/>
            <w:noProof/>
          </w:rPr>
          <w:t>Appendix C - Status of FY 20</w:t>
        </w:r>
        <w:r w:rsidR="008E5AD9">
          <w:rPr>
            <w:rStyle w:val="Hyperlink"/>
            <w:noProof/>
          </w:rPr>
          <w:t>23</w:t>
        </w:r>
        <w:r w:rsidRPr="00B5463F">
          <w:rPr>
            <w:rStyle w:val="Hyperlink"/>
            <w:noProof/>
          </w:rPr>
          <w:t xml:space="preserve"> Findings and Recommendations</w:t>
        </w:r>
        <w:r>
          <w:rPr>
            <w:noProof/>
            <w:webHidden/>
          </w:rPr>
          <w:tab/>
        </w:r>
        <w:r>
          <w:rPr>
            <w:noProof/>
            <w:webHidden/>
          </w:rPr>
          <w:fldChar w:fldCharType="begin"/>
        </w:r>
        <w:r>
          <w:rPr>
            <w:noProof/>
            <w:webHidden/>
          </w:rPr>
          <w:instrText xml:space="preserve"> PAGEREF _Toc119418671 \h </w:instrText>
        </w:r>
        <w:r>
          <w:rPr>
            <w:noProof/>
            <w:webHidden/>
          </w:rPr>
        </w:r>
        <w:r>
          <w:rPr>
            <w:noProof/>
            <w:webHidden/>
          </w:rPr>
          <w:fldChar w:fldCharType="separate"/>
        </w:r>
        <w:r>
          <w:rPr>
            <w:noProof/>
            <w:webHidden/>
          </w:rPr>
          <w:t>1</w:t>
        </w:r>
        <w:r>
          <w:rPr>
            <w:noProof/>
            <w:webHidden/>
          </w:rPr>
          <w:fldChar w:fldCharType="end"/>
        </w:r>
      </w:hyperlink>
      <w:r w:rsidR="006E24C9">
        <w:t>9</w:t>
      </w:r>
    </w:p>
    <w:p w14:paraId="38E9E7F9" w14:textId="6197BC0B" w:rsidR="000F63C1" w:rsidRDefault="000F63C1">
      <w:pPr>
        <w:pStyle w:val="TOC3"/>
        <w:tabs>
          <w:tab w:val="right" w:leader="dot" w:pos="9530"/>
        </w:tabs>
        <w:rPr>
          <w:rFonts w:eastAsiaTheme="minorEastAsia" w:cstheme="minorBidi"/>
          <w:noProof/>
          <w:sz w:val="22"/>
          <w:szCs w:val="22"/>
        </w:rPr>
      </w:pPr>
      <w:hyperlink w:anchor="_Toc119418672" w:history="1">
        <w:r w:rsidRPr="00B5463F">
          <w:rPr>
            <w:rStyle w:val="Hyperlink"/>
            <w:noProof/>
          </w:rPr>
          <w:t>Appendix D – FY 20</w:t>
        </w:r>
        <w:r w:rsidR="008E5AD9" w:rsidRPr="008E5AD9">
          <w:rPr>
            <w:rStyle w:val="Hyperlink"/>
            <w:noProof/>
            <w:color w:val="auto"/>
          </w:rPr>
          <w:t>24</w:t>
        </w:r>
        <w:r w:rsidRPr="00B5463F">
          <w:rPr>
            <w:rStyle w:val="Hyperlink"/>
            <w:noProof/>
          </w:rPr>
          <w:t xml:space="preserve"> State Activity Mandated Measures (SAMM) Report</w:t>
        </w:r>
        <w:r>
          <w:rPr>
            <w:noProof/>
            <w:webHidden/>
          </w:rPr>
          <w:tab/>
        </w:r>
      </w:hyperlink>
      <w:r w:rsidR="006E24C9">
        <w:t>20</w:t>
      </w:r>
    </w:p>
    <w:p w14:paraId="2A952C03" w14:textId="0074FEF9" w:rsidR="00B823A3" w:rsidRDefault="000F63C1" w:rsidP="000F63C1">
      <w:r>
        <w:fldChar w:fldCharType="end"/>
      </w:r>
      <w:r w:rsidR="00B823A3">
        <w:br w:type="page"/>
      </w:r>
    </w:p>
    <w:p w14:paraId="57C8B837" w14:textId="77777777" w:rsidR="000A134A" w:rsidRPr="001C1E47" w:rsidRDefault="000A134A" w:rsidP="00485C57">
      <w:pPr>
        <w:pStyle w:val="Heading2"/>
      </w:pPr>
      <w:bookmarkStart w:id="2" w:name="_Toc338764303"/>
      <w:bookmarkStart w:id="3" w:name="_Toc118900170"/>
      <w:bookmarkStart w:id="4" w:name="_Toc118905009"/>
      <w:bookmarkStart w:id="5" w:name="_Toc119418663"/>
      <w:r w:rsidRPr="001C1E47">
        <w:lastRenderedPageBreak/>
        <w:t>Executive Summary</w:t>
      </w:r>
      <w:bookmarkEnd w:id="2"/>
      <w:bookmarkEnd w:id="3"/>
      <w:bookmarkEnd w:id="4"/>
      <w:bookmarkEnd w:id="5"/>
    </w:p>
    <w:p w14:paraId="2E2754D6" w14:textId="77777777" w:rsidR="00A76AED" w:rsidRPr="00996CB7" w:rsidRDefault="00A76AED" w:rsidP="00783189">
      <w:pPr>
        <w:rPr>
          <w:rFonts w:cs="Calibri"/>
          <w:iCs/>
        </w:rPr>
      </w:pPr>
    </w:p>
    <w:p w14:paraId="66A8F0F9" w14:textId="154F0C96" w:rsidR="00D40ACB" w:rsidRDefault="00050FEB" w:rsidP="00783189">
      <w:pPr>
        <w:rPr>
          <w:rFonts w:cs="Calibri"/>
        </w:rPr>
      </w:pPr>
      <w:r w:rsidRPr="001C1E47">
        <w:rPr>
          <w:rFonts w:cs="Calibri"/>
        </w:rPr>
        <w:t xml:space="preserve">The </w:t>
      </w:r>
      <w:r w:rsidR="00F85F2D" w:rsidRPr="001C1E47">
        <w:rPr>
          <w:rFonts w:cs="Calibri"/>
        </w:rPr>
        <w:t xml:space="preserve">primary </w:t>
      </w:r>
      <w:r w:rsidRPr="001C1E47">
        <w:rPr>
          <w:rFonts w:cs="Calibri"/>
        </w:rPr>
        <w:t xml:space="preserve">purpose of this report is to assess the </w:t>
      </w:r>
      <w:r w:rsidR="00A8024B">
        <w:rPr>
          <w:rFonts w:cs="Calibri"/>
        </w:rPr>
        <w:t xml:space="preserve">Utah </w:t>
      </w:r>
      <w:r w:rsidRPr="001C1E47">
        <w:rPr>
          <w:rFonts w:cs="Calibri"/>
        </w:rPr>
        <w:t xml:space="preserve">State Plan’s </w:t>
      </w:r>
      <w:r w:rsidR="00F85F2D" w:rsidRPr="001C1E47">
        <w:rPr>
          <w:rFonts w:cs="Calibri"/>
        </w:rPr>
        <w:t>progress in</w:t>
      </w:r>
      <w:r w:rsidRPr="001C1E47">
        <w:rPr>
          <w:rFonts w:cs="Calibri"/>
        </w:rPr>
        <w:t xml:space="preserve"> Fiscal Year (FY) 20</w:t>
      </w:r>
      <w:r w:rsidR="003F326A">
        <w:rPr>
          <w:rFonts w:cs="Calibri"/>
        </w:rPr>
        <w:t>24</w:t>
      </w:r>
      <w:r w:rsidRPr="001C1E47">
        <w:rPr>
          <w:rFonts w:cs="Calibri"/>
        </w:rPr>
        <w:t xml:space="preserve"> in resolving outstanding </w:t>
      </w:r>
      <w:r w:rsidR="00D41521">
        <w:rPr>
          <w:rFonts w:cs="Calibri"/>
        </w:rPr>
        <w:t>observations</w:t>
      </w:r>
      <w:r w:rsidRPr="001C1E47">
        <w:rPr>
          <w:rFonts w:cs="Calibri"/>
        </w:rPr>
        <w:t xml:space="preserve"> from </w:t>
      </w:r>
      <w:r w:rsidR="005837BD" w:rsidRPr="001C1E47">
        <w:rPr>
          <w:rFonts w:cs="Calibri"/>
        </w:rPr>
        <w:t xml:space="preserve">the </w:t>
      </w:r>
      <w:r w:rsidRPr="001C1E47">
        <w:rPr>
          <w:rFonts w:cs="Calibri"/>
        </w:rPr>
        <w:t>previous FY 20</w:t>
      </w:r>
      <w:r w:rsidR="00D41521" w:rsidRPr="00D41521">
        <w:rPr>
          <w:rFonts w:cs="Calibri"/>
        </w:rPr>
        <w:t>23</w:t>
      </w:r>
      <w:r w:rsidRPr="00210157">
        <w:rPr>
          <w:rFonts w:cs="Calibri"/>
          <w:color w:val="0070C0"/>
        </w:rPr>
        <w:t xml:space="preserve"> </w:t>
      </w:r>
      <w:r w:rsidRPr="001C1E47">
        <w:rPr>
          <w:rFonts w:cs="Calibri"/>
        </w:rPr>
        <w:t>Comprehensive F</w:t>
      </w:r>
      <w:r w:rsidR="00626033" w:rsidRPr="001C1E47">
        <w:rPr>
          <w:rFonts w:cs="Calibri"/>
        </w:rPr>
        <w:t>ederal Annual Monitoring Evaluation (F</w:t>
      </w:r>
      <w:r w:rsidRPr="001C1E47">
        <w:rPr>
          <w:rFonts w:cs="Calibri"/>
        </w:rPr>
        <w:t>AME</w:t>
      </w:r>
      <w:r w:rsidR="00626033" w:rsidRPr="001C1E47">
        <w:rPr>
          <w:rFonts w:cs="Calibri"/>
        </w:rPr>
        <w:t>)</w:t>
      </w:r>
      <w:r w:rsidRPr="001C1E47">
        <w:rPr>
          <w:rFonts w:cs="Calibri"/>
        </w:rPr>
        <w:t xml:space="preserve"> Report.  </w:t>
      </w:r>
      <w:r w:rsidR="00D40ACB">
        <w:t xml:space="preserve">The Utah Occupational Safety and Health Division (UOSH) continued to experience significant turnover at the compliance safety and health officer (CSHO) level.  </w:t>
      </w:r>
      <w:sdt>
        <w:sdtPr>
          <w:tag w:val="goog_rdk_0"/>
          <w:id w:val="2070377936"/>
        </w:sdtPr>
        <w:sdtContent/>
      </w:sdt>
      <w:r w:rsidR="00EF1C5E">
        <w:t>During</w:t>
      </w:r>
      <w:r w:rsidR="00D40ACB">
        <w:t xml:space="preserve"> FY 2024, seven CSHOs left the State Plan.  </w:t>
      </w:r>
      <w:r w:rsidR="00455FE6">
        <w:t>Five</w:t>
      </w:r>
      <w:r w:rsidR="00D40ACB">
        <w:t xml:space="preserve"> </w:t>
      </w:r>
      <w:r w:rsidR="003B61CB">
        <w:t>of the CSHO vacancies were filled</w:t>
      </w:r>
      <w:r w:rsidR="00D40ACB">
        <w:t xml:space="preserve">.  </w:t>
      </w:r>
    </w:p>
    <w:p w14:paraId="5598024B" w14:textId="77777777" w:rsidR="00D40ACB" w:rsidRDefault="00D40ACB" w:rsidP="00783189">
      <w:pPr>
        <w:rPr>
          <w:rFonts w:cs="Calibri"/>
        </w:rPr>
      </w:pPr>
    </w:p>
    <w:p w14:paraId="6E0FF5DD" w14:textId="32A221C5" w:rsidR="008D5A18" w:rsidRDefault="000B5ED5" w:rsidP="00783189">
      <w:pPr>
        <w:rPr>
          <w:rFonts w:cs="Calibri"/>
        </w:rPr>
      </w:pPr>
      <w:r>
        <w:rPr>
          <w:rFonts w:cs="Calibri"/>
        </w:rPr>
        <w:t>UOSH</w:t>
      </w:r>
      <w:r w:rsidR="002F2887">
        <w:rPr>
          <w:rFonts w:cs="Calibri"/>
        </w:rPr>
        <w:t xml:space="preserve"> received a significant number of complaints, referrals, and accident</w:t>
      </w:r>
      <w:r w:rsidR="008D5A18">
        <w:rPr>
          <w:rFonts w:cs="Calibri"/>
        </w:rPr>
        <w:t xml:space="preserve"> report</w:t>
      </w:r>
      <w:r w:rsidR="002F2887">
        <w:rPr>
          <w:rFonts w:cs="Calibri"/>
        </w:rPr>
        <w:t xml:space="preserve">s during FY 2024.  </w:t>
      </w:r>
      <w:r w:rsidR="00FF4422">
        <w:rPr>
          <w:rFonts w:cs="Calibri"/>
        </w:rPr>
        <w:t xml:space="preserve">As with FY 2023, </w:t>
      </w:r>
      <w:r w:rsidR="00FF4422">
        <w:rPr>
          <w:rFonts w:asciiTheme="minorHAnsi" w:hAnsiTheme="minorHAnsi" w:cstheme="minorHAnsi"/>
        </w:rPr>
        <w:t>d</w:t>
      </w:r>
      <w:r w:rsidR="00EA0C8A" w:rsidRPr="00565823">
        <w:rPr>
          <w:rFonts w:asciiTheme="minorHAnsi" w:hAnsiTheme="minorHAnsi" w:cstheme="minorHAnsi"/>
        </w:rPr>
        <w:t xml:space="preserve">espite the strain on resources, </w:t>
      </w:r>
      <w:r w:rsidR="000D28F8">
        <w:rPr>
          <w:rFonts w:asciiTheme="minorHAnsi" w:hAnsiTheme="minorHAnsi" w:cstheme="minorHAnsi"/>
        </w:rPr>
        <w:t>UOSH</w:t>
      </w:r>
      <w:r w:rsidR="00EA0C8A" w:rsidRPr="00565823">
        <w:rPr>
          <w:rFonts w:asciiTheme="minorHAnsi" w:hAnsiTheme="minorHAnsi" w:cstheme="minorHAnsi"/>
        </w:rPr>
        <w:t xml:space="preserve"> trained new CSHOs while still being responsive to</w:t>
      </w:r>
      <w:r w:rsidR="00EA0C8A">
        <w:rPr>
          <w:rFonts w:cs="Calibri"/>
        </w:rPr>
        <w:t xml:space="preserve"> </w:t>
      </w:r>
      <w:r w:rsidR="00036A74">
        <w:rPr>
          <w:rFonts w:cs="Calibri"/>
        </w:rPr>
        <w:t>th</w:t>
      </w:r>
      <w:r w:rsidR="005C2C7A">
        <w:rPr>
          <w:rFonts w:cs="Calibri"/>
        </w:rPr>
        <w:t>is unprogrammed activity</w:t>
      </w:r>
      <w:r w:rsidR="00FF4422">
        <w:rPr>
          <w:rFonts w:cs="Calibri"/>
        </w:rPr>
        <w:t xml:space="preserve"> in FY 2024</w:t>
      </w:r>
      <w:r w:rsidR="005C2C7A">
        <w:rPr>
          <w:rFonts w:cs="Calibri"/>
        </w:rPr>
        <w:t>.</w:t>
      </w:r>
      <w:r w:rsidR="002F2887" w:rsidRPr="002F09E2">
        <w:rPr>
          <w:rFonts w:cs="Calibri"/>
        </w:rPr>
        <w:t xml:space="preserve"> </w:t>
      </w:r>
      <w:r w:rsidR="006F0832">
        <w:rPr>
          <w:rFonts w:cs="Calibri"/>
        </w:rPr>
        <w:t xml:space="preserve"> </w:t>
      </w:r>
      <w:r w:rsidR="00EB6B5D">
        <w:t xml:space="preserve">Both staff turnover and </w:t>
      </w:r>
      <w:r w:rsidR="004B4BB1">
        <w:t xml:space="preserve">the number of complaints, referrals, and accident reports impacted the State Plan’s ability to conduct programmed </w:t>
      </w:r>
      <w:r w:rsidR="00786AAE">
        <w:t>activity.</w:t>
      </w:r>
    </w:p>
    <w:p w14:paraId="4D86B525" w14:textId="77777777" w:rsidR="008D5A18" w:rsidRDefault="008D5A18" w:rsidP="00783189">
      <w:pPr>
        <w:rPr>
          <w:rFonts w:cs="Calibri"/>
        </w:rPr>
      </w:pPr>
    </w:p>
    <w:p w14:paraId="79194A59" w14:textId="26412BBB" w:rsidR="00B75D8B" w:rsidRDefault="006C4BC5" w:rsidP="006D3648">
      <w:pPr>
        <w:widowControl/>
        <w:tabs>
          <w:tab w:val="left" w:pos="540"/>
          <w:tab w:val="num" w:pos="1080"/>
        </w:tabs>
        <w:autoSpaceDE/>
        <w:autoSpaceDN/>
        <w:adjustRightInd/>
        <w:rPr>
          <w:rFonts w:eastAsia="Calibri" w:cs="Calibri"/>
        </w:rPr>
      </w:pPr>
      <w:r w:rsidRPr="006C4BC5">
        <w:rPr>
          <w:rFonts w:eastAsia="Calibri" w:cs="Calibri"/>
        </w:rPr>
        <w:t xml:space="preserve">The State Plan made </w:t>
      </w:r>
      <w:r w:rsidR="00E5590F">
        <w:rPr>
          <w:rFonts w:eastAsia="Calibri" w:cs="Calibri"/>
        </w:rPr>
        <w:t xml:space="preserve">progress toward </w:t>
      </w:r>
      <w:r w:rsidRPr="006C4BC5">
        <w:rPr>
          <w:rFonts w:eastAsia="Calibri" w:cs="Calibri"/>
        </w:rPr>
        <w:t xml:space="preserve">corrective action on all </w:t>
      </w:r>
      <w:r>
        <w:rPr>
          <w:rFonts w:eastAsia="Calibri" w:cs="Calibri"/>
        </w:rPr>
        <w:t>six</w:t>
      </w:r>
      <w:r w:rsidRPr="006C4BC5">
        <w:rPr>
          <w:rFonts w:eastAsia="Calibri" w:cs="Calibri"/>
        </w:rPr>
        <w:t xml:space="preserve"> of the observations from the FY 202</w:t>
      </w:r>
      <w:r>
        <w:rPr>
          <w:rFonts w:eastAsia="Calibri" w:cs="Calibri"/>
        </w:rPr>
        <w:t>3</w:t>
      </w:r>
      <w:r w:rsidRPr="006C4BC5">
        <w:rPr>
          <w:rFonts w:eastAsia="Calibri" w:cs="Calibri"/>
        </w:rPr>
        <w:t xml:space="preserve"> Comprehensive FAME Report.  UOSH developed polic</w:t>
      </w:r>
      <w:r w:rsidR="00E5590F">
        <w:rPr>
          <w:rFonts w:eastAsia="Calibri" w:cs="Calibri"/>
        </w:rPr>
        <w:t>ies</w:t>
      </w:r>
      <w:r w:rsidRPr="006C4BC5">
        <w:rPr>
          <w:rFonts w:eastAsia="Calibri" w:cs="Calibri"/>
        </w:rPr>
        <w:t xml:space="preserve"> </w:t>
      </w:r>
      <w:r w:rsidR="0000133C">
        <w:rPr>
          <w:rFonts w:eastAsia="Calibri" w:cs="Calibri"/>
        </w:rPr>
        <w:t>and procedure</w:t>
      </w:r>
      <w:r w:rsidR="00E5590F">
        <w:rPr>
          <w:rFonts w:eastAsia="Calibri" w:cs="Calibri"/>
        </w:rPr>
        <w:t>s</w:t>
      </w:r>
      <w:r w:rsidR="0000133C">
        <w:rPr>
          <w:rFonts w:eastAsia="Calibri" w:cs="Calibri"/>
        </w:rPr>
        <w:t xml:space="preserve"> </w:t>
      </w:r>
      <w:proofErr w:type="spellStart"/>
      <w:r w:rsidRPr="006C4BC5">
        <w:rPr>
          <w:rFonts w:eastAsia="Calibri" w:cs="Calibri"/>
        </w:rPr>
        <w:t>where</w:t>
      </w:r>
      <w:proofErr w:type="spellEnd"/>
      <w:r w:rsidRPr="006C4BC5">
        <w:rPr>
          <w:rFonts w:eastAsia="Calibri" w:cs="Calibri"/>
        </w:rPr>
        <w:t xml:space="preserve"> absent, </w:t>
      </w:r>
      <w:r w:rsidR="00FF4422">
        <w:rPr>
          <w:rFonts w:eastAsia="Calibri" w:cs="Calibri"/>
        </w:rPr>
        <w:t>ensured that policies were implemented</w:t>
      </w:r>
      <w:r w:rsidR="003259E3">
        <w:rPr>
          <w:rFonts w:eastAsia="Calibri" w:cs="Calibri"/>
        </w:rPr>
        <w:t xml:space="preserve"> appropriately</w:t>
      </w:r>
      <w:r w:rsidR="00FF4422">
        <w:rPr>
          <w:rFonts w:eastAsia="Calibri" w:cs="Calibri"/>
        </w:rPr>
        <w:t xml:space="preserve">, and </w:t>
      </w:r>
      <w:r w:rsidRPr="006C4BC5">
        <w:rPr>
          <w:rFonts w:eastAsia="Calibri" w:cs="Calibri"/>
        </w:rPr>
        <w:t xml:space="preserve">provided training to staff and </w:t>
      </w:r>
      <w:r w:rsidR="005143A8">
        <w:rPr>
          <w:rFonts w:eastAsia="Calibri" w:cs="Calibri"/>
        </w:rPr>
        <w:t>supervisors</w:t>
      </w:r>
      <w:r w:rsidR="00FF4422">
        <w:rPr>
          <w:rFonts w:eastAsia="Calibri" w:cs="Calibri"/>
        </w:rPr>
        <w:t xml:space="preserve">, </w:t>
      </w:r>
      <w:r w:rsidR="005B6903">
        <w:rPr>
          <w:rFonts w:eastAsia="Calibri" w:cs="Calibri"/>
        </w:rPr>
        <w:t>e</w:t>
      </w:r>
      <w:r w:rsidRPr="006C4BC5">
        <w:rPr>
          <w:rFonts w:eastAsia="Calibri" w:cs="Calibri"/>
        </w:rPr>
        <w:t xml:space="preserve">nabling closure of two observations.  </w:t>
      </w:r>
      <w:r w:rsidR="00154447" w:rsidRPr="00154447">
        <w:rPr>
          <w:rFonts w:asciiTheme="minorHAnsi" w:hAnsiTheme="minorHAnsi" w:cstheme="minorHAnsi"/>
        </w:rPr>
        <w:t xml:space="preserve">The State Plan made progress addressing </w:t>
      </w:r>
      <w:r w:rsidR="005C2C7A">
        <w:rPr>
          <w:rFonts w:asciiTheme="minorHAnsi" w:hAnsiTheme="minorHAnsi" w:cstheme="minorHAnsi"/>
        </w:rPr>
        <w:t>another</w:t>
      </w:r>
      <w:r w:rsidR="005C2C7A" w:rsidRPr="00154447">
        <w:rPr>
          <w:rFonts w:asciiTheme="minorHAnsi" w:hAnsiTheme="minorHAnsi" w:cstheme="minorHAnsi"/>
        </w:rPr>
        <w:t xml:space="preserve"> </w:t>
      </w:r>
      <w:r w:rsidR="00154447" w:rsidRPr="00154447">
        <w:rPr>
          <w:rFonts w:asciiTheme="minorHAnsi" w:hAnsiTheme="minorHAnsi" w:cstheme="minorHAnsi"/>
        </w:rPr>
        <w:t>observation</w:t>
      </w:r>
      <w:r w:rsidR="00FF4422">
        <w:rPr>
          <w:rFonts w:asciiTheme="minorHAnsi" w:hAnsiTheme="minorHAnsi" w:cstheme="minorHAnsi"/>
        </w:rPr>
        <w:t>;</w:t>
      </w:r>
      <w:r w:rsidR="00BC1FF2">
        <w:rPr>
          <w:rFonts w:asciiTheme="minorHAnsi" w:hAnsiTheme="minorHAnsi" w:cstheme="minorHAnsi"/>
        </w:rPr>
        <w:t xml:space="preserve"> h</w:t>
      </w:r>
      <w:r w:rsidR="00154447" w:rsidRPr="00154447">
        <w:rPr>
          <w:rFonts w:asciiTheme="minorHAnsi" w:hAnsiTheme="minorHAnsi" w:cstheme="minorHAnsi"/>
        </w:rPr>
        <w:t>owever, UOSH did not completely resolve the observation during FY 202</w:t>
      </w:r>
      <w:r w:rsidR="00B75D8B">
        <w:rPr>
          <w:rFonts w:asciiTheme="minorHAnsi" w:hAnsiTheme="minorHAnsi" w:cstheme="minorHAnsi"/>
        </w:rPr>
        <w:t>4</w:t>
      </w:r>
      <w:r w:rsidR="00154447" w:rsidRPr="00154447">
        <w:rPr>
          <w:rFonts w:asciiTheme="minorHAnsi" w:hAnsiTheme="minorHAnsi" w:cstheme="minorHAnsi"/>
        </w:rPr>
        <w:t xml:space="preserve">, and it is continued. </w:t>
      </w:r>
      <w:r w:rsidR="00B75D8B">
        <w:rPr>
          <w:rFonts w:eastAsia="Calibri" w:cs="Calibri"/>
        </w:rPr>
        <w:t>Three other</w:t>
      </w:r>
      <w:r w:rsidRPr="006C4BC5">
        <w:rPr>
          <w:rFonts w:eastAsia="Calibri" w:cs="Calibri"/>
        </w:rPr>
        <w:t xml:space="preserve"> observation</w:t>
      </w:r>
      <w:r w:rsidR="00470BE2">
        <w:rPr>
          <w:rFonts w:eastAsia="Calibri" w:cs="Calibri"/>
        </w:rPr>
        <w:t>s</w:t>
      </w:r>
      <w:r w:rsidRPr="006C4BC5">
        <w:rPr>
          <w:rFonts w:eastAsia="Calibri" w:cs="Calibri"/>
        </w:rPr>
        <w:t xml:space="preserve"> from last year’s FAME </w:t>
      </w:r>
      <w:r w:rsidR="00FF4422">
        <w:rPr>
          <w:rFonts w:eastAsia="Calibri" w:cs="Calibri"/>
        </w:rPr>
        <w:t>R</w:t>
      </w:r>
      <w:r w:rsidR="00CB456F" w:rsidRPr="006C4BC5">
        <w:rPr>
          <w:rFonts w:eastAsia="Calibri" w:cs="Calibri"/>
        </w:rPr>
        <w:t xml:space="preserve">eport </w:t>
      </w:r>
      <w:r w:rsidR="00470BE2">
        <w:rPr>
          <w:rFonts w:eastAsia="Calibri" w:cs="Calibri"/>
        </w:rPr>
        <w:t>are</w:t>
      </w:r>
      <w:r w:rsidRPr="006C4BC5">
        <w:rPr>
          <w:rFonts w:eastAsia="Calibri" w:cs="Calibri"/>
        </w:rPr>
        <w:t xml:space="preserve"> continued until OSHA conduct</w:t>
      </w:r>
      <w:r w:rsidR="00E5590F">
        <w:rPr>
          <w:rFonts w:eastAsia="Calibri" w:cs="Calibri"/>
        </w:rPr>
        <w:t>s</w:t>
      </w:r>
      <w:r w:rsidRPr="006C4BC5">
        <w:rPr>
          <w:rFonts w:eastAsia="Calibri" w:cs="Calibri"/>
        </w:rPr>
        <w:t xml:space="preserve"> a review of case files during the FY 202</w:t>
      </w:r>
      <w:r w:rsidR="00470BE2">
        <w:rPr>
          <w:rFonts w:eastAsia="Calibri" w:cs="Calibri"/>
        </w:rPr>
        <w:t>5</w:t>
      </w:r>
      <w:r w:rsidRPr="006C4BC5">
        <w:rPr>
          <w:rFonts w:eastAsia="Calibri" w:cs="Calibri"/>
        </w:rPr>
        <w:t xml:space="preserve"> </w:t>
      </w:r>
      <w:r w:rsidR="00CB456F">
        <w:rPr>
          <w:rFonts w:eastAsia="Calibri" w:cs="Calibri"/>
        </w:rPr>
        <w:t>c</w:t>
      </w:r>
      <w:r w:rsidR="00CB456F" w:rsidRPr="006C4BC5">
        <w:rPr>
          <w:rFonts w:eastAsia="Calibri" w:cs="Calibri"/>
        </w:rPr>
        <w:t xml:space="preserve">omprehensive </w:t>
      </w:r>
      <w:r w:rsidRPr="006C4BC5">
        <w:rPr>
          <w:rFonts w:eastAsia="Calibri" w:cs="Calibri"/>
        </w:rPr>
        <w:t>FAME.  No additional findings or observations were noted.</w:t>
      </w:r>
    </w:p>
    <w:p w14:paraId="32F377C1" w14:textId="77777777" w:rsidR="004952E3" w:rsidRDefault="004952E3" w:rsidP="004952E3">
      <w:pPr>
        <w:widowControl/>
        <w:rPr>
          <w:rFonts w:eastAsia="Calibri" w:cs="Calibri"/>
        </w:rPr>
      </w:pPr>
    </w:p>
    <w:p w14:paraId="211BD324" w14:textId="77777777" w:rsidR="004952E3" w:rsidRPr="004952E3" w:rsidRDefault="004952E3" w:rsidP="004952E3">
      <w:pPr>
        <w:widowControl/>
        <w:rPr>
          <w:rFonts w:eastAsia="Calibri" w:cs="Calibri"/>
        </w:rPr>
      </w:pPr>
    </w:p>
    <w:p w14:paraId="67E95E6F" w14:textId="6755D6C3" w:rsidR="000A134A" w:rsidRPr="001C1E47" w:rsidRDefault="001E71BA" w:rsidP="00485C57">
      <w:pPr>
        <w:pStyle w:val="Heading2"/>
      </w:pPr>
      <w:bookmarkStart w:id="6" w:name="_Toc118900171"/>
      <w:bookmarkStart w:id="7" w:name="_Toc118905010"/>
      <w:bookmarkStart w:id="8" w:name="_Toc119418664"/>
      <w:r w:rsidRPr="001C1E47">
        <w:t>State Plan Background</w:t>
      </w:r>
      <w:bookmarkEnd w:id="6"/>
      <w:bookmarkEnd w:id="7"/>
      <w:bookmarkEnd w:id="8"/>
    </w:p>
    <w:p w14:paraId="7ED8AA2D" w14:textId="77777777" w:rsidR="000A134A" w:rsidRPr="001C1E47" w:rsidRDefault="000A134A" w:rsidP="00783189">
      <w:pPr>
        <w:widowControl/>
        <w:autoSpaceDE/>
        <w:autoSpaceDN/>
        <w:adjustRightInd/>
        <w:rPr>
          <w:rFonts w:cs="Calibri"/>
          <w:i/>
        </w:rPr>
      </w:pPr>
    </w:p>
    <w:p w14:paraId="436CC834" w14:textId="77777777" w:rsidR="00CE6F27" w:rsidRPr="00CE6F27" w:rsidRDefault="00CE6F27" w:rsidP="00CE6F27">
      <w:pPr>
        <w:widowControl/>
        <w:rPr>
          <w:rFonts w:eastAsia="Calibri" w:cs="Calibri"/>
        </w:rPr>
      </w:pPr>
      <w:r w:rsidRPr="00CE6F27">
        <w:rPr>
          <w:rFonts w:eastAsia="Calibri" w:cs="Calibri"/>
        </w:rPr>
        <w:t xml:space="preserve">The State Plan is housed within the UOSH Division of the Utah Labor Commission.  The State Plan designee is Labor Commissioner Jaceson R. Maughan.  Floyd C. Johnson is the UOSH Division Director.  The main office is in Salt Lake City.  </w:t>
      </w:r>
    </w:p>
    <w:p w14:paraId="3F495280" w14:textId="77777777" w:rsidR="00CE6F27" w:rsidRPr="00CE6F27" w:rsidRDefault="00CE6F27" w:rsidP="00CE6F27">
      <w:pPr>
        <w:widowControl/>
        <w:rPr>
          <w:rFonts w:eastAsia="Calibri" w:cs="Calibri"/>
          <w:color w:val="0070C0"/>
        </w:rPr>
      </w:pPr>
    </w:p>
    <w:p w14:paraId="7AEEC9A5" w14:textId="77777777" w:rsidR="00CE6F27" w:rsidRPr="00CE6F27" w:rsidRDefault="00CE6F27" w:rsidP="00CE6F27">
      <w:pPr>
        <w:widowControl/>
        <w:rPr>
          <w:rFonts w:eastAsia="Calibri" w:cs="Calibri"/>
        </w:rPr>
      </w:pPr>
      <w:r w:rsidRPr="00CE6F27">
        <w:rPr>
          <w:rFonts w:eastAsia="Calibri" w:cs="Calibri"/>
        </w:rPr>
        <w:t xml:space="preserve">The program, funded through the 23(g) grant, consists of the enforcement, whistleblower, and cooperative programs (including the Voluntary Protection Program and Partnerships), as well as state and local government consultation.  A separate 21(d) cooperative agreement funds the private sector consultation program.  UOSH closely mirrors the federal program with some differences that allow for the accommodation of unique state demands and issues.  The enforcement program maintains jurisdiction over safety and health issues for workers in the private sector, as well as for those in state and local government workplaces.  The State Plan enforces unique regulatory standards in the areas of general industry, construction, and agriculture.  </w:t>
      </w:r>
    </w:p>
    <w:p w14:paraId="70B4AF2A" w14:textId="77777777" w:rsidR="001C64AA" w:rsidRDefault="001C64AA" w:rsidP="00783189">
      <w:pPr>
        <w:widowControl/>
        <w:autoSpaceDE/>
        <w:autoSpaceDN/>
        <w:adjustRightInd/>
        <w:rPr>
          <w:rFonts w:cs="Calibri"/>
          <w:iCs/>
          <w:color w:val="0070C0"/>
        </w:rPr>
      </w:pPr>
    </w:p>
    <w:p w14:paraId="43423EDE" w14:textId="043BF602" w:rsidR="00F74FD6" w:rsidRPr="00F74FD6" w:rsidRDefault="00F74FD6" w:rsidP="00F74FD6">
      <w:pPr>
        <w:widowControl/>
        <w:rPr>
          <w:rFonts w:eastAsia="Calibri" w:cs="Calibri"/>
        </w:rPr>
      </w:pPr>
      <w:r w:rsidRPr="00F74FD6">
        <w:rPr>
          <w:rFonts w:eastAsia="Calibri" w:cs="Calibri"/>
        </w:rPr>
        <w:t>At the end of FY 202</w:t>
      </w:r>
      <w:r>
        <w:rPr>
          <w:rFonts w:eastAsia="Calibri" w:cs="Calibri"/>
        </w:rPr>
        <w:t>4</w:t>
      </w:r>
      <w:r w:rsidRPr="00F74FD6">
        <w:rPr>
          <w:rFonts w:eastAsia="Calibri" w:cs="Calibri"/>
        </w:rPr>
        <w:t>, UOSH employed 2</w:t>
      </w:r>
      <w:r w:rsidR="00A736EE" w:rsidRPr="00A736EE">
        <w:rPr>
          <w:rFonts w:eastAsia="Calibri" w:cs="Calibri"/>
        </w:rPr>
        <w:t>5</w:t>
      </w:r>
      <w:r w:rsidRPr="00F74FD6">
        <w:rPr>
          <w:rFonts w:eastAsia="Calibri" w:cs="Calibri"/>
        </w:rPr>
        <w:t xml:space="preserve"> full-time positions and one half-time position in the Compliance Section.  The staff included </w:t>
      </w:r>
      <w:r w:rsidR="00DE4C45" w:rsidRPr="00DE4C45">
        <w:rPr>
          <w:rFonts w:eastAsia="Calibri" w:cs="Calibri"/>
        </w:rPr>
        <w:t>seven</w:t>
      </w:r>
      <w:r w:rsidRPr="00F74FD6">
        <w:rPr>
          <w:rFonts w:eastAsia="Calibri" w:cs="Calibri"/>
        </w:rPr>
        <w:t xml:space="preserve"> safety and eight health compliance officers, one </w:t>
      </w:r>
      <w:r w:rsidRPr="00F74FD6">
        <w:rPr>
          <w:rFonts w:eastAsia="Calibri" w:cs="Calibri"/>
        </w:rPr>
        <w:lastRenderedPageBreak/>
        <w:t>full-time</w:t>
      </w:r>
      <w:r w:rsidRPr="00F74FD6">
        <w:rPr>
          <w:rFonts w:eastAsia="Calibri" w:cs="Calibri"/>
          <w:color w:val="FF0000"/>
        </w:rPr>
        <w:t xml:space="preserve"> </w:t>
      </w:r>
      <w:r w:rsidRPr="00F74FD6">
        <w:rPr>
          <w:rFonts w:eastAsia="Calibri" w:cs="Calibri"/>
        </w:rPr>
        <w:t>whistleblower investigator</w:t>
      </w:r>
      <w:r w:rsidR="00F646EE">
        <w:rPr>
          <w:rFonts w:eastAsia="Calibri" w:cs="Calibri"/>
        </w:rPr>
        <w:t xml:space="preserve">, one half-time whistleblower </w:t>
      </w:r>
      <w:r w:rsidR="00726CEC">
        <w:rPr>
          <w:rFonts w:eastAsia="Calibri" w:cs="Calibri"/>
        </w:rPr>
        <w:t xml:space="preserve">investigator </w:t>
      </w:r>
      <w:r w:rsidR="00F646EE">
        <w:rPr>
          <w:rFonts w:eastAsia="Calibri" w:cs="Calibri"/>
        </w:rPr>
        <w:t>support person</w:t>
      </w:r>
      <w:r w:rsidRPr="00F74FD6">
        <w:rPr>
          <w:rFonts w:eastAsia="Calibri" w:cs="Calibri"/>
        </w:rPr>
        <w:t xml:space="preserve">, one compliance assistance specialist, one state and local government consultant, </w:t>
      </w:r>
      <w:r w:rsidR="00C266CB">
        <w:rPr>
          <w:rFonts w:eastAsia="Calibri" w:cs="Calibri"/>
        </w:rPr>
        <w:t>one</w:t>
      </w:r>
      <w:r w:rsidRPr="00F74FD6">
        <w:rPr>
          <w:rFonts w:eastAsia="Calibri" w:cs="Calibri"/>
        </w:rPr>
        <w:t xml:space="preserve"> senior business analyst, and one program support position.  In addition to the division director, management consisted of a field operations manager, a standards and technical assistance manager, and two safety and health supervisors.  At the end of FY 202</w:t>
      </w:r>
      <w:r>
        <w:rPr>
          <w:rFonts w:eastAsia="Calibri" w:cs="Calibri"/>
        </w:rPr>
        <w:t>4</w:t>
      </w:r>
      <w:r w:rsidRPr="00F74FD6">
        <w:rPr>
          <w:rFonts w:eastAsia="Calibri" w:cs="Calibri"/>
        </w:rPr>
        <w:t xml:space="preserve">, there </w:t>
      </w:r>
      <w:r w:rsidR="0092562E">
        <w:rPr>
          <w:rFonts w:eastAsia="Calibri" w:cs="Calibri"/>
        </w:rPr>
        <w:t>were two</w:t>
      </w:r>
      <w:r w:rsidRPr="00F74FD6">
        <w:rPr>
          <w:rFonts w:eastAsia="Calibri" w:cs="Calibri"/>
        </w:rPr>
        <w:t xml:space="preserve"> vacant safety</w:t>
      </w:r>
      <w:r w:rsidRPr="00F74FD6">
        <w:rPr>
          <w:rFonts w:eastAsia="Calibri" w:cs="Calibri"/>
          <w:color w:val="FF0000"/>
        </w:rPr>
        <w:t xml:space="preserve"> </w:t>
      </w:r>
      <w:r w:rsidRPr="00F74FD6">
        <w:rPr>
          <w:rFonts w:eastAsia="Calibri" w:cs="Calibri"/>
        </w:rPr>
        <w:t>compliance officer position</w:t>
      </w:r>
      <w:r w:rsidR="0092562E" w:rsidRPr="0092562E">
        <w:rPr>
          <w:rFonts w:eastAsia="Calibri" w:cs="Calibri"/>
        </w:rPr>
        <w:t>s</w:t>
      </w:r>
      <w:r w:rsidRPr="00F74FD6">
        <w:rPr>
          <w:rFonts w:eastAsia="Calibri" w:cs="Calibri"/>
        </w:rPr>
        <w:t>.</w:t>
      </w:r>
    </w:p>
    <w:p w14:paraId="5F72987F" w14:textId="77777777" w:rsidR="00F74FD6" w:rsidRPr="00F74FD6" w:rsidRDefault="00F74FD6" w:rsidP="00F74FD6">
      <w:pPr>
        <w:widowControl/>
        <w:rPr>
          <w:rFonts w:eastAsia="Calibri" w:cs="Calibri"/>
          <w:color w:val="0070C0"/>
        </w:rPr>
      </w:pPr>
    </w:p>
    <w:p w14:paraId="4A5135C6" w14:textId="09368512" w:rsidR="00F74FD6" w:rsidRPr="00F74FD6" w:rsidRDefault="00F74FD6" w:rsidP="00F74FD6">
      <w:pPr>
        <w:widowControl/>
        <w:rPr>
          <w:rFonts w:eastAsia="Calibri" w:cs="Calibri"/>
        </w:rPr>
      </w:pPr>
      <w:r w:rsidRPr="00F74FD6">
        <w:rPr>
          <w:rFonts w:eastAsia="Calibri" w:cs="Calibri"/>
        </w:rPr>
        <w:t xml:space="preserve">UOSH’s </w:t>
      </w:r>
      <w:r w:rsidR="00E83969">
        <w:rPr>
          <w:rFonts w:eastAsia="Calibri" w:cs="Calibri"/>
        </w:rPr>
        <w:t>in</w:t>
      </w:r>
      <w:r w:rsidR="009B1BA6">
        <w:rPr>
          <w:rFonts w:eastAsia="Calibri" w:cs="Calibri"/>
        </w:rPr>
        <w:t xml:space="preserve">itial federal base funding was reduced by $67,000 in late FY 2024.  The </w:t>
      </w:r>
      <w:r w:rsidRPr="00F74FD6">
        <w:rPr>
          <w:rFonts w:eastAsia="Calibri" w:cs="Calibri"/>
        </w:rPr>
        <w:t xml:space="preserve">federal final base </w:t>
      </w:r>
      <w:r w:rsidR="00015457">
        <w:rPr>
          <w:rFonts w:eastAsia="Calibri" w:cs="Calibri"/>
        </w:rPr>
        <w:t xml:space="preserve">funding </w:t>
      </w:r>
      <w:r w:rsidRPr="00F74FD6">
        <w:rPr>
          <w:rFonts w:eastAsia="Calibri" w:cs="Calibri"/>
        </w:rPr>
        <w:t>award in FY 202</w:t>
      </w:r>
      <w:r w:rsidRPr="00525619">
        <w:rPr>
          <w:rFonts w:eastAsia="Calibri" w:cs="Calibri"/>
        </w:rPr>
        <w:t>4</w:t>
      </w:r>
      <w:r w:rsidRPr="00F74FD6">
        <w:rPr>
          <w:rFonts w:eastAsia="Calibri" w:cs="Calibri"/>
        </w:rPr>
        <w:t xml:space="preserve"> was $1,7</w:t>
      </w:r>
      <w:r w:rsidR="00D2709C" w:rsidRPr="00525619">
        <w:rPr>
          <w:rFonts w:eastAsia="Calibri" w:cs="Calibri"/>
        </w:rPr>
        <w:t>8</w:t>
      </w:r>
      <w:r w:rsidRPr="00F74FD6">
        <w:rPr>
          <w:rFonts w:eastAsia="Calibri" w:cs="Calibri"/>
        </w:rPr>
        <w:t>4,</w:t>
      </w:r>
      <w:r w:rsidR="00D2709C" w:rsidRPr="00525619">
        <w:rPr>
          <w:rFonts w:eastAsia="Calibri" w:cs="Calibri"/>
        </w:rPr>
        <w:t>4</w:t>
      </w:r>
      <w:r w:rsidRPr="00F74FD6">
        <w:rPr>
          <w:rFonts w:eastAsia="Calibri" w:cs="Calibri"/>
        </w:rPr>
        <w:t>00, which the State Plan matched</w:t>
      </w:r>
      <w:r w:rsidR="00430AE7" w:rsidRPr="00525619">
        <w:rPr>
          <w:rFonts w:eastAsia="Calibri" w:cs="Calibri"/>
        </w:rPr>
        <w:t xml:space="preserve"> and additionally contributed $</w:t>
      </w:r>
      <w:r w:rsidR="00525619" w:rsidRPr="00525619">
        <w:rPr>
          <w:rFonts w:eastAsia="Calibri" w:cs="Calibri"/>
        </w:rPr>
        <w:t>50,568</w:t>
      </w:r>
      <w:r w:rsidR="00430AE7" w:rsidRPr="00525619">
        <w:rPr>
          <w:rFonts w:eastAsia="Calibri" w:cs="Calibri"/>
        </w:rPr>
        <w:t xml:space="preserve">.  </w:t>
      </w:r>
      <w:r w:rsidR="00430AE7">
        <w:rPr>
          <w:rFonts w:cs="Calibri"/>
          <w:iCs/>
        </w:rPr>
        <w:t>One-time only funding of $55,750 was provided by OSHA and matched by the State Plan in late FY 202</w:t>
      </w:r>
      <w:r w:rsidR="00C74FDD">
        <w:rPr>
          <w:rFonts w:cs="Calibri"/>
          <w:iCs/>
        </w:rPr>
        <w:t>4</w:t>
      </w:r>
      <w:r w:rsidR="00430AE7">
        <w:rPr>
          <w:rFonts w:cs="Calibri"/>
          <w:iCs/>
        </w:rPr>
        <w:t xml:space="preserve">, </w:t>
      </w:r>
      <w:r w:rsidR="009E1E35">
        <w:rPr>
          <w:rFonts w:cs="Calibri"/>
          <w:iCs/>
        </w:rPr>
        <w:t>which brought</w:t>
      </w:r>
      <w:r w:rsidR="00430AE7" w:rsidRPr="00B85794">
        <w:rPr>
          <w:rFonts w:cs="Calibri"/>
          <w:iCs/>
        </w:rPr>
        <w:t xml:space="preserve"> the total funding amount to </w:t>
      </w:r>
      <w:r w:rsidR="00430AE7" w:rsidRPr="00181B63">
        <w:rPr>
          <w:rFonts w:cs="Calibri"/>
          <w:iCs/>
        </w:rPr>
        <w:t>$</w:t>
      </w:r>
      <w:r w:rsidR="00B4744B" w:rsidRPr="00181B63">
        <w:rPr>
          <w:rFonts w:cs="Calibri"/>
          <w:iCs/>
        </w:rPr>
        <w:t>3,</w:t>
      </w:r>
      <w:r w:rsidR="00181B63" w:rsidRPr="00181B63">
        <w:rPr>
          <w:rFonts w:cs="Calibri"/>
          <w:iCs/>
        </w:rPr>
        <w:t>730,868</w:t>
      </w:r>
      <w:r w:rsidR="00430AE7" w:rsidRPr="00181B63">
        <w:rPr>
          <w:rFonts w:cs="Calibri"/>
          <w:iCs/>
        </w:rPr>
        <w:t xml:space="preserve">.  </w:t>
      </w:r>
      <w:r w:rsidRPr="00F74FD6">
        <w:rPr>
          <w:rFonts w:eastAsia="Calibri" w:cs="Calibri"/>
        </w:rPr>
        <w:t>UOSH’s total contribution of 50.</w:t>
      </w:r>
      <w:r w:rsidR="003D14A8">
        <w:rPr>
          <w:rFonts w:eastAsia="Calibri" w:cs="Calibri"/>
        </w:rPr>
        <w:t>68</w:t>
      </w:r>
      <w:r w:rsidRPr="00F74FD6">
        <w:rPr>
          <w:rFonts w:eastAsia="Calibri" w:cs="Calibri"/>
        </w:rPr>
        <w:t xml:space="preserve">% was slightly </w:t>
      </w:r>
      <w:r w:rsidR="00D06BBC" w:rsidRPr="00D06BBC">
        <w:rPr>
          <w:rFonts w:eastAsia="Calibri" w:cs="Calibri"/>
        </w:rPr>
        <w:t>more</w:t>
      </w:r>
      <w:r w:rsidRPr="00F74FD6">
        <w:rPr>
          <w:rFonts w:eastAsia="Calibri" w:cs="Calibri"/>
        </w:rPr>
        <w:t xml:space="preserve"> than that of FY 202</w:t>
      </w:r>
      <w:r w:rsidR="00C74FDD" w:rsidRPr="00D06BBC">
        <w:rPr>
          <w:rFonts w:eastAsia="Calibri" w:cs="Calibri"/>
        </w:rPr>
        <w:t>3</w:t>
      </w:r>
      <w:r w:rsidRPr="00F74FD6">
        <w:rPr>
          <w:rFonts w:eastAsia="Calibri" w:cs="Calibri"/>
        </w:rPr>
        <w:t xml:space="preserve"> when the State Plan’s contribution was 50%.  </w:t>
      </w:r>
    </w:p>
    <w:p w14:paraId="513713F5" w14:textId="77777777" w:rsidR="00015457" w:rsidRPr="00F74FD6" w:rsidRDefault="00015457" w:rsidP="00F74FD6">
      <w:pPr>
        <w:widowControl/>
        <w:rPr>
          <w:rFonts w:eastAsia="Calibri" w:cs="Calibri"/>
          <w:color w:val="0070C0"/>
        </w:rPr>
      </w:pPr>
    </w:p>
    <w:p w14:paraId="2340F99A" w14:textId="3333D0AD" w:rsidR="00F74FD6" w:rsidRPr="00F74FD6" w:rsidRDefault="00F74FD6" w:rsidP="00F74FD6">
      <w:pPr>
        <w:widowControl/>
        <w:rPr>
          <w:rFonts w:eastAsia="Calibri" w:cs="Calibri"/>
        </w:rPr>
      </w:pPr>
      <w:r w:rsidRPr="00F74FD6">
        <w:rPr>
          <w:rFonts w:eastAsia="Calibri" w:cs="Calibri"/>
        </w:rPr>
        <w:t xml:space="preserve">The State Plan achieved </w:t>
      </w:r>
      <w:r w:rsidR="00644887" w:rsidRPr="001C191F">
        <w:rPr>
          <w:rFonts w:eastAsia="Calibri" w:cs="Calibri"/>
        </w:rPr>
        <w:t>10</w:t>
      </w:r>
      <w:r w:rsidRPr="00F74FD6">
        <w:rPr>
          <w:rFonts w:eastAsia="Calibri" w:cs="Calibri"/>
        </w:rPr>
        <w:t>2.</w:t>
      </w:r>
      <w:r w:rsidR="00644887" w:rsidRPr="001C191F">
        <w:rPr>
          <w:rFonts w:eastAsia="Calibri" w:cs="Calibri"/>
        </w:rPr>
        <w:t>7</w:t>
      </w:r>
      <w:r w:rsidR="004B41C3">
        <w:rPr>
          <w:rFonts w:eastAsia="Calibri" w:cs="Calibri"/>
        </w:rPr>
        <w:t>1</w:t>
      </w:r>
      <w:r w:rsidRPr="00F74FD6">
        <w:rPr>
          <w:rFonts w:eastAsia="Calibri" w:cs="Calibri"/>
        </w:rPr>
        <w:t xml:space="preserve">% of its inspection goal of </w:t>
      </w:r>
      <w:r w:rsidR="009C782D" w:rsidRPr="009C782D">
        <w:rPr>
          <w:rFonts w:eastAsia="Calibri" w:cs="Calibri"/>
        </w:rPr>
        <w:t>775</w:t>
      </w:r>
      <w:r w:rsidRPr="00F74FD6">
        <w:rPr>
          <w:rFonts w:eastAsia="Calibri" w:cs="Calibri"/>
        </w:rPr>
        <w:t xml:space="preserve"> inspections despite the impact of staff turnover.  The inspection total, </w:t>
      </w:r>
      <w:r w:rsidR="00B3228D" w:rsidRPr="00B3228D">
        <w:rPr>
          <w:rFonts w:eastAsia="Calibri" w:cs="Calibri"/>
        </w:rPr>
        <w:t>796</w:t>
      </w:r>
      <w:r w:rsidRPr="00F74FD6">
        <w:rPr>
          <w:rFonts w:eastAsia="Calibri" w:cs="Calibri"/>
        </w:rPr>
        <w:t xml:space="preserve"> inspections, consisted of 6</w:t>
      </w:r>
      <w:r w:rsidR="0096439D" w:rsidRPr="0096439D">
        <w:rPr>
          <w:rFonts w:eastAsia="Calibri" w:cs="Calibri"/>
        </w:rPr>
        <w:t>69</w:t>
      </w:r>
      <w:r w:rsidRPr="00F74FD6">
        <w:rPr>
          <w:rFonts w:eastAsia="Calibri" w:cs="Calibri"/>
        </w:rPr>
        <w:t xml:space="preserve"> safety inspections and 1</w:t>
      </w:r>
      <w:r w:rsidR="0096439D" w:rsidRPr="0096439D">
        <w:rPr>
          <w:rFonts w:eastAsia="Calibri" w:cs="Calibri"/>
        </w:rPr>
        <w:t>27</w:t>
      </w:r>
      <w:r w:rsidRPr="00F74FD6">
        <w:rPr>
          <w:rFonts w:eastAsia="Calibri" w:cs="Calibri"/>
        </w:rPr>
        <w:t xml:space="preserve"> </w:t>
      </w:r>
      <w:r w:rsidRPr="00F74FD6">
        <w:rPr>
          <w:rFonts w:eastAsia="Calibri" w:cs="Calibri"/>
          <w:color w:val="000000"/>
        </w:rPr>
        <w:t xml:space="preserve">health inspections.  </w:t>
      </w:r>
      <w:r w:rsidR="00B3228D">
        <w:rPr>
          <w:rFonts w:eastAsia="Calibri" w:cs="Calibri"/>
          <w:color w:val="000000"/>
        </w:rPr>
        <w:t xml:space="preserve">The State Plan exceeded its goal of 616 safety inspections.  </w:t>
      </w:r>
      <w:r w:rsidR="002B5CB3">
        <w:rPr>
          <w:rFonts w:eastAsia="Calibri" w:cs="Calibri"/>
          <w:color w:val="000000"/>
        </w:rPr>
        <w:t xml:space="preserve">The turnover of </w:t>
      </w:r>
      <w:r w:rsidR="00132E36">
        <w:rPr>
          <w:rFonts w:eastAsia="Calibri" w:cs="Calibri"/>
          <w:color w:val="000000"/>
        </w:rPr>
        <w:t>health compliance officers</w:t>
      </w:r>
      <w:r w:rsidR="002B5CB3">
        <w:rPr>
          <w:rFonts w:eastAsia="Calibri" w:cs="Calibri"/>
          <w:color w:val="000000"/>
        </w:rPr>
        <w:t xml:space="preserve"> impacted </w:t>
      </w:r>
      <w:r w:rsidR="00885A13">
        <w:rPr>
          <w:rFonts w:eastAsia="Calibri" w:cs="Calibri"/>
          <w:color w:val="000000"/>
        </w:rPr>
        <w:t>UOSH’s</w:t>
      </w:r>
      <w:r w:rsidR="002B5CB3">
        <w:rPr>
          <w:rFonts w:eastAsia="Calibri" w:cs="Calibri"/>
          <w:color w:val="000000"/>
        </w:rPr>
        <w:t xml:space="preserve"> ability to</w:t>
      </w:r>
      <w:r w:rsidR="00FE7800">
        <w:rPr>
          <w:rFonts w:eastAsia="Calibri" w:cs="Calibri"/>
          <w:color w:val="000000"/>
        </w:rPr>
        <w:t xml:space="preserve"> reach its health inspection goal of </w:t>
      </w:r>
      <w:r w:rsidR="000777D6">
        <w:rPr>
          <w:rFonts w:eastAsia="Calibri" w:cs="Calibri"/>
          <w:color w:val="000000"/>
        </w:rPr>
        <w:t>159 inspections</w:t>
      </w:r>
      <w:r w:rsidR="002B5CB3">
        <w:rPr>
          <w:rFonts w:eastAsia="Calibri" w:cs="Calibri"/>
          <w:color w:val="000000"/>
        </w:rPr>
        <w:t xml:space="preserve">. </w:t>
      </w:r>
      <w:r w:rsidR="008C34F1">
        <w:rPr>
          <w:rFonts w:eastAsia="Calibri" w:cs="Calibri"/>
          <w:color w:val="000000"/>
        </w:rPr>
        <w:t xml:space="preserve"> During FY 2024, five health compliance officers left the program. </w:t>
      </w:r>
      <w:r w:rsidR="002B5CB3">
        <w:rPr>
          <w:rFonts w:eastAsia="Calibri" w:cs="Calibri"/>
          <w:color w:val="000000"/>
        </w:rPr>
        <w:t xml:space="preserve"> </w:t>
      </w:r>
      <w:r w:rsidR="00FB4147">
        <w:rPr>
          <w:rFonts w:eastAsia="Calibri" w:cs="Calibri"/>
          <w:color w:val="000000"/>
        </w:rPr>
        <w:t>As</w:t>
      </w:r>
      <w:r w:rsidR="002B5CB3">
        <w:rPr>
          <w:rFonts w:eastAsia="Calibri" w:cs="Calibri"/>
          <w:color w:val="000000"/>
        </w:rPr>
        <w:t xml:space="preserve"> </w:t>
      </w:r>
      <w:r w:rsidR="00917F8F">
        <w:rPr>
          <w:rFonts w:eastAsia="Calibri" w:cs="Calibri"/>
          <w:color w:val="000000"/>
        </w:rPr>
        <w:t xml:space="preserve">newly hired </w:t>
      </w:r>
      <w:r w:rsidR="00907162">
        <w:rPr>
          <w:rFonts w:eastAsia="Calibri" w:cs="Calibri"/>
          <w:color w:val="000000"/>
        </w:rPr>
        <w:t>staff gained experience during the fiscal year, the rate of health inspection activity increased</w:t>
      </w:r>
      <w:r w:rsidR="005E7E85">
        <w:rPr>
          <w:rFonts w:eastAsia="Calibri" w:cs="Calibri"/>
          <w:color w:val="000000"/>
        </w:rPr>
        <w:t>.  For quarters one through three</w:t>
      </w:r>
      <w:r w:rsidR="00D529F5">
        <w:rPr>
          <w:rFonts w:eastAsia="Calibri" w:cs="Calibri"/>
          <w:color w:val="000000"/>
        </w:rPr>
        <w:t xml:space="preserve">, </w:t>
      </w:r>
      <w:r w:rsidR="00041A67">
        <w:rPr>
          <w:rFonts w:eastAsia="Calibri" w:cs="Calibri"/>
          <w:color w:val="000000"/>
        </w:rPr>
        <w:t>76</w:t>
      </w:r>
      <w:r w:rsidR="00D529F5">
        <w:rPr>
          <w:rFonts w:eastAsia="Calibri" w:cs="Calibri"/>
          <w:color w:val="000000"/>
        </w:rPr>
        <w:t xml:space="preserve"> health inspections were opened.  During quarter four, </w:t>
      </w:r>
      <w:r w:rsidR="00041A67">
        <w:rPr>
          <w:rFonts w:eastAsia="Calibri" w:cs="Calibri"/>
          <w:color w:val="000000"/>
        </w:rPr>
        <w:t>51</w:t>
      </w:r>
      <w:r w:rsidR="00D529F5">
        <w:rPr>
          <w:rFonts w:eastAsia="Calibri" w:cs="Calibri"/>
          <w:color w:val="000000"/>
        </w:rPr>
        <w:t xml:space="preserve"> health inspections were opened</w:t>
      </w:r>
      <w:r w:rsidR="00D529F5" w:rsidRPr="00E51C70">
        <w:rPr>
          <w:rFonts w:eastAsia="Calibri" w:cs="Calibri"/>
        </w:rPr>
        <w:t>.</w:t>
      </w:r>
      <w:r w:rsidR="000C7DA4" w:rsidRPr="00E51C70">
        <w:rPr>
          <w:rFonts w:eastAsia="Calibri" w:cs="Calibri"/>
        </w:rPr>
        <w:t xml:space="preserve"> </w:t>
      </w:r>
      <w:r w:rsidR="000777D6" w:rsidRPr="00E51C70">
        <w:rPr>
          <w:rFonts w:eastAsia="Calibri" w:cs="Calibri"/>
        </w:rPr>
        <w:t xml:space="preserve"> </w:t>
      </w:r>
      <w:r w:rsidR="00885A13">
        <w:rPr>
          <w:rFonts w:eastAsia="Calibri" w:cs="Calibri"/>
        </w:rPr>
        <w:t>UOSH</w:t>
      </w:r>
      <w:r w:rsidRPr="00F74FD6">
        <w:rPr>
          <w:rFonts w:eastAsia="Calibri" w:cs="Calibri"/>
        </w:rPr>
        <w:t xml:space="preserve"> </w:t>
      </w:r>
      <w:r w:rsidR="00155CFC" w:rsidRPr="00E51C70">
        <w:rPr>
          <w:rFonts w:eastAsia="Calibri" w:cs="Calibri"/>
        </w:rPr>
        <w:t>did not reach</w:t>
      </w:r>
      <w:r w:rsidRPr="00F74FD6">
        <w:rPr>
          <w:rFonts w:eastAsia="Calibri" w:cs="Calibri"/>
        </w:rPr>
        <w:t xml:space="preserve"> its goal of 3</w:t>
      </w:r>
      <w:r w:rsidR="00155CFC" w:rsidRPr="00E51C70">
        <w:rPr>
          <w:rFonts w:eastAsia="Calibri" w:cs="Calibri"/>
        </w:rPr>
        <w:t>5</w:t>
      </w:r>
      <w:r w:rsidRPr="00F74FD6">
        <w:rPr>
          <w:rFonts w:eastAsia="Calibri" w:cs="Calibri"/>
        </w:rPr>
        <w:t xml:space="preserve"> state and local government consultation visits, </w:t>
      </w:r>
      <w:r w:rsidR="00E51C70" w:rsidRPr="00E51C70">
        <w:rPr>
          <w:rFonts w:eastAsia="Calibri" w:cs="Calibri"/>
        </w:rPr>
        <w:t>conducting</w:t>
      </w:r>
      <w:r w:rsidRPr="00F74FD6">
        <w:rPr>
          <w:rFonts w:eastAsia="Calibri" w:cs="Calibri"/>
        </w:rPr>
        <w:t xml:space="preserve"> </w:t>
      </w:r>
      <w:r w:rsidR="004903B3">
        <w:rPr>
          <w:rFonts w:eastAsia="Calibri" w:cs="Calibri"/>
        </w:rPr>
        <w:t xml:space="preserve">visits at </w:t>
      </w:r>
      <w:r w:rsidR="00155CFC" w:rsidRPr="00E51C70">
        <w:rPr>
          <w:rFonts w:eastAsia="Calibri" w:cs="Calibri"/>
        </w:rPr>
        <w:t>28</w:t>
      </w:r>
      <w:r w:rsidRPr="00F74FD6">
        <w:rPr>
          <w:rFonts w:eastAsia="Calibri" w:cs="Calibri"/>
        </w:rPr>
        <w:t xml:space="preserve"> state and local government work sites. </w:t>
      </w:r>
      <w:r w:rsidR="001236BE">
        <w:rPr>
          <w:rFonts w:eastAsia="Calibri" w:cs="Calibri"/>
        </w:rPr>
        <w:t xml:space="preserve"> However, its </w:t>
      </w:r>
      <w:r w:rsidR="00E536C0">
        <w:rPr>
          <w:rFonts w:eastAsia="Calibri" w:cs="Calibri"/>
        </w:rPr>
        <w:t xml:space="preserve">213 </w:t>
      </w:r>
      <w:r w:rsidR="00FB4147">
        <w:rPr>
          <w:rFonts w:eastAsia="Calibri" w:cs="Calibri"/>
        </w:rPr>
        <w:t xml:space="preserve">state and local government and private sector </w:t>
      </w:r>
      <w:r w:rsidR="001236BE">
        <w:rPr>
          <w:rFonts w:eastAsia="Calibri" w:cs="Calibri"/>
        </w:rPr>
        <w:t>compliance assistance activities gre</w:t>
      </w:r>
      <w:r w:rsidR="00E536C0">
        <w:rPr>
          <w:rFonts w:eastAsia="Calibri" w:cs="Calibri"/>
        </w:rPr>
        <w:t xml:space="preserve">atly exceeded its FY 2024 goal of </w:t>
      </w:r>
      <w:r w:rsidR="003D1CA8">
        <w:rPr>
          <w:rFonts w:eastAsia="Calibri" w:cs="Calibri"/>
        </w:rPr>
        <w:t xml:space="preserve">125 activities. </w:t>
      </w:r>
      <w:r w:rsidRPr="00F74FD6">
        <w:rPr>
          <w:rFonts w:eastAsia="Calibri" w:cs="Calibri"/>
        </w:rPr>
        <w:t xml:space="preserve"> </w:t>
      </w:r>
      <w:r w:rsidRPr="00F74FD6">
        <w:rPr>
          <w:rFonts w:eastAsia="Calibri" w:cs="Calibri"/>
          <w:color w:val="000000"/>
        </w:rPr>
        <w:t xml:space="preserve">In </w:t>
      </w:r>
      <w:r w:rsidRPr="00F74FD6">
        <w:rPr>
          <w:rFonts w:eastAsia="Calibri" w:cs="Calibri"/>
        </w:rPr>
        <w:t>total, 1,0</w:t>
      </w:r>
      <w:r w:rsidR="00312084" w:rsidRPr="008F0B2A">
        <w:rPr>
          <w:rFonts w:eastAsia="Calibri" w:cs="Calibri"/>
        </w:rPr>
        <w:t>37</w:t>
      </w:r>
      <w:r w:rsidRPr="00F74FD6">
        <w:rPr>
          <w:rFonts w:eastAsia="Calibri" w:cs="Calibri"/>
        </w:rPr>
        <w:t xml:space="preserve"> compliance interventions, including </w:t>
      </w:r>
      <w:r w:rsidR="0033027F" w:rsidRPr="008F0B2A">
        <w:rPr>
          <w:rFonts w:eastAsia="Calibri" w:cs="Calibri"/>
        </w:rPr>
        <w:t>796</w:t>
      </w:r>
      <w:r w:rsidRPr="00F74FD6">
        <w:rPr>
          <w:rFonts w:eastAsia="Calibri" w:cs="Calibri"/>
        </w:rPr>
        <w:t xml:space="preserve"> inspections, </w:t>
      </w:r>
      <w:r w:rsidR="00E51C70" w:rsidRPr="008F0B2A">
        <w:rPr>
          <w:rFonts w:eastAsia="Calibri" w:cs="Calibri"/>
        </w:rPr>
        <w:t>28</w:t>
      </w:r>
      <w:r w:rsidRPr="00F74FD6">
        <w:rPr>
          <w:rFonts w:eastAsia="Calibri" w:cs="Calibri"/>
        </w:rPr>
        <w:t xml:space="preserve"> state and local government consultation visits, and </w:t>
      </w:r>
      <w:r w:rsidR="008F0B2A" w:rsidRPr="008F0B2A">
        <w:rPr>
          <w:rFonts w:eastAsia="Calibri" w:cs="Calibri"/>
        </w:rPr>
        <w:t>213</w:t>
      </w:r>
      <w:r w:rsidRPr="00F74FD6">
        <w:rPr>
          <w:rFonts w:eastAsia="Calibri" w:cs="Calibri"/>
        </w:rPr>
        <w:t xml:space="preserve"> </w:t>
      </w:r>
      <w:r w:rsidRPr="00F74FD6">
        <w:rPr>
          <w:rFonts w:eastAsia="Calibri" w:cs="Calibri"/>
          <w:color w:val="000000"/>
        </w:rPr>
        <w:t xml:space="preserve">compliance assistance activities </w:t>
      </w:r>
      <w:r w:rsidRPr="00F74FD6">
        <w:rPr>
          <w:rFonts w:eastAsia="Calibri" w:cs="Calibri"/>
        </w:rPr>
        <w:t xml:space="preserve">in the private sector and </w:t>
      </w:r>
      <w:r w:rsidRPr="00F74FD6">
        <w:rPr>
          <w:rFonts w:eastAsia="Calibri" w:cs="Calibri"/>
          <w:color w:val="000000"/>
        </w:rPr>
        <w:t>state and local government workplaces</w:t>
      </w:r>
      <w:r w:rsidRPr="00F74FD6">
        <w:rPr>
          <w:rFonts w:eastAsia="Calibri" w:cs="Calibri"/>
        </w:rPr>
        <w:t>, took place during FY 202</w:t>
      </w:r>
      <w:r w:rsidR="006243AD">
        <w:rPr>
          <w:rFonts w:eastAsia="Calibri" w:cs="Calibri"/>
        </w:rPr>
        <w:t>4</w:t>
      </w:r>
      <w:r w:rsidRPr="00F74FD6">
        <w:rPr>
          <w:rFonts w:eastAsia="Calibri" w:cs="Calibri"/>
        </w:rPr>
        <w:t>.  These interventions identified and abated 1,</w:t>
      </w:r>
      <w:r w:rsidR="009E1F99" w:rsidRPr="000C5A83">
        <w:rPr>
          <w:rFonts w:eastAsia="Calibri" w:cs="Calibri"/>
        </w:rPr>
        <w:t>238</w:t>
      </w:r>
      <w:r w:rsidRPr="00F74FD6">
        <w:rPr>
          <w:rFonts w:eastAsia="Calibri" w:cs="Calibri"/>
        </w:rPr>
        <w:t xml:space="preserve"> hazards and removed approximately </w:t>
      </w:r>
      <w:r w:rsidR="002644F6" w:rsidRPr="00844BB3">
        <w:rPr>
          <w:rFonts w:eastAsia="Calibri" w:cs="Calibri"/>
        </w:rPr>
        <w:t>49,093</w:t>
      </w:r>
      <w:r w:rsidRPr="00F74FD6">
        <w:rPr>
          <w:rFonts w:eastAsia="Calibri" w:cs="Calibri"/>
        </w:rPr>
        <w:t xml:space="preserve"> workers from exposure to these hazards.  Roughly </w:t>
      </w:r>
      <w:r w:rsidR="00844BB3">
        <w:rPr>
          <w:rFonts w:eastAsia="Calibri" w:cs="Calibri"/>
        </w:rPr>
        <w:t>5,823</w:t>
      </w:r>
      <w:r w:rsidRPr="00F74FD6">
        <w:rPr>
          <w:rFonts w:eastAsia="Calibri" w:cs="Calibri"/>
        </w:rPr>
        <w:t xml:space="preserve"> </w:t>
      </w:r>
      <w:r w:rsidR="00FB1C1B">
        <w:rPr>
          <w:rFonts w:eastAsia="Calibri" w:cs="Calibri"/>
        </w:rPr>
        <w:t>workers</w:t>
      </w:r>
      <w:r w:rsidRPr="00F74FD6">
        <w:rPr>
          <w:rFonts w:eastAsia="Calibri" w:cs="Calibri"/>
        </w:rPr>
        <w:t xml:space="preserve"> were impacted through compliance assistance activities.</w:t>
      </w:r>
    </w:p>
    <w:p w14:paraId="0EB448B6" w14:textId="77777777" w:rsidR="00F74FD6" w:rsidRPr="00F74FD6" w:rsidRDefault="00F74FD6" w:rsidP="00F74FD6">
      <w:pPr>
        <w:widowControl/>
        <w:rPr>
          <w:rFonts w:eastAsia="Calibri" w:cs="Calibri"/>
          <w:color w:val="0070C0"/>
        </w:rPr>
      </w:pPr>
    </w:p>
    <w:p w14:paraId="355637B3" w14:textId="71A37D22" w:rsidR="00F74FD6" w:rsidRPr="00F74FD6" w:rsidRDefault="00F74FD6" w:rsidP="00F74FD6">
      <w:pPr>
        <w:widowControl/>
        <w:rPr>
          <w:rFonts w:eastAsia="Calibri" w:cs="Calibri"/>
          <w:color w:val="FF0000"/>
        </w:rPr>
      </w:pPr>
      <w:bookmarkStart w:id="9" w:name="OLE_LINK7"/>
      <w:r w:rsidRPr="00F74FD6">
        <w:rPr>
          <w:rFonts w:eastAsia="Calibri" w:cs="Calibri"/>
        </w:rPr>
        <w:t xml:space="preserve">UOSH obtained abatement enabling prompt closure of health inspections and </w:t>
      </w:r>
      <w:r w:rsidR="00824FDB">
        <w:rPr>
          <w:rFonts w:eastAsia="Calibri" w:cs="Calibri"/>
        </w:rPr>
        <w:t>complaint</w:t>
      </w:r>
      <w:r w:rsidRPr="00F74FD6">
        <w:rPr>
          <w:rFonts w:eastAsia="Calibri" w:cs="Calibri"/>
        </w:rPr>
        <w:t xml:space="preserve"> investigations.  At the end of the fiscal year, there w</w:t>
      </w:r>
      <w:r w:rsidR="00C066A1">
        <w:rPr>
          <w:rFonts w:eastAsia="Calibri" w:cs="Calibri"/>
        </w:rPr>
        <w:t>as</w:t>
      </w:r>
      <w:r w:rsidRPr="00F74FD6">
        <w:rPr>
          <w:rFonts w:eastAsia="Calibri" w:cs="Calibri"/>
        </w:rPr>
        <w:t xml:space="preserve"> </w:t>
      </w:r>
      <w:r w:rsidR="00AA1795" w:rsidRPr="00AA1795">
        <w:rPr>
          <w:rFonts w:eastAsia="Calibri" w:cs="Calibri"/>
        </w:rPr>
        <w:t xml:space="preserve">only </w:t>
      </w:r>
      <w:r w:rsidR="00C066A1">
        <w:rPr>
          <w:rFonts w:eastAsia="Calibri" w:cs="Calibri"/>
        </w:rPr>
        <w:t>one</w:t>
      </w:r>
      <w:r w:rsidRPr="00F74FD6">
        <w:rPr>
          <w:rFonts w:eastAsia="Calibri" w:cs="Calibri"/>
        </w:rPr>
        <w:t xml:space="preserve"> </w:t>
      </w:r>
      <w:r w:rsidR="00824FDB">
        <w:rPr>
          <w:rFonts w:eastAsia="Calibri" w:cs="Calibri"/>
        </w:rPr>
        <w:t>complaint</w:t>
      </w:r>
      <w:r w:rsidRPr="00F74FD6">
        <w:rPr>
          <w:rFonts w:eastAsia="Calibri" w:cs="Calibri"/>
        </w:rPr>
        <w:t xml:space="preserve"> investigation that remained open for more than 30 days.  In addition, </w:t>
      </w:r>
      <w:r w:rsidR="00B51009">
        <w:rPr>
          <w:rFonts w:eastAsia="Calibri" w:cs="Calibri"/>
        </w:rPr>
        <w:t xml:space="preserve">by the end of FY 2024, </w:t>
      </w:r>
      <w:r w:rsidR="00A142B4" w:rsidRPr="009F289D">
        <w:rPr>
          <w:rFonts w:eastAsia="Calibri" w:cs="Calibri"/>
        </w:rPr>
        <w:t>there were no</w:t>
      </w:r>
      <w:r w:rsidRPr="00F74FD6">
        <w:rPr>
          <w:rFonts w:eastAsia="Calibri" w:cs="Calibri"/>
        </w:rPr>
        <w:t xml:space="preserve"> health inspection</w:t>
      </w:r>
      <w:r w:rsidR="00A142B4" w:rsidRPr="009F289D">
        <w:rPr>
          <w:rFonts w:eastAsia="Calibri" w:cs="Calibri"/>
        </w:rPr>
        <w:t>s</w:t>
      </w:r>
      <w:r w:rsidRPr="00F74FD6">
        <w:rPr>
          <w:rFonts w:eastAsia="Calibri" w:cs="Calibri"/>
        </w:rPr>
        <w:t xml:space="preserve"> </w:t>
      </w:r>
      <w:r w:rsidR="0019511B">
        <w:rPr>
          <w:rFonts w:eastAsia="Calibri" w:cs="Calibri"/>
        </w:rPr>
        <w:t>with incomplete</w:t>
      </w:r>
      <w:r w:rsidRPr="00F74FD6">
        <w:rPr>
          <w:rFonts w:eastAsia="Calibri" w:cs="Calibri"/>
        </w:rPr>
        <w:t xml:space="preserve"> abatement </w:t>
      </w:r>
      <w:r w:rsidR="00823AD4">
        <w:rPr>
          <w:rFonts w:eastAsia="Calibri" w:cs="Calibri"/>
        </w:rPr>
        <w:t xml:space="preserve">for </w:t>
      </w:r>
      <w:r w:rsidR="00BF683B">
        <w:rPr>
          <w:rFonts w:eastAsia="Calibri" w:cs="Calibri"/>
        </w:rPr>
        <w:t>violation</w:t>
      </w:r>
      <w:r w:rsidR="00823AD4">
        <w:rPr>
          <w:rFonts w:eastAsia="Calibri" w:cs="Calibri"/>
        </w:rPr>
        <w:t xml:space="preserve">s </w:t>
      </w:r>
      <w:r w:rsidRPr="00F74FD6">
        <w:rPr>
          <w:rFonts w:eastAsia="Calibri" w:cs="Calibri"/>
        </w:rPr>
        <w:t>within 90 days of issuance</w:t>
      </w:r>
      <w:r w:rsidR="00823AD4">
        <w:rPr>
          <w:rFonts w:eastAsia="Calibri" w:cs="Calibri"/>
        </w:rPr>
        <w:t xml:space="preserve"> of a citation</w:t>
      </w:r>
      <w:r w:rsidR="00A142B4" w:rsidRPr="009F289D">
        <w:rPr>
          <w:rFonts w:eastAsia="Calibri" w:cs="Calibri"/>
        </w:rPr>
        <w:t>.</w:t>
      </w:r>
      <w:r w:rsidRPr="00F74FD6">
        <w:rPr>
          <w:rFonts w:eastAsia="Calibri" w:cs="Calibri"/>
        </w:rPr>
        <w:t xml:space="preserve">  Abatement was obtained promptly for most safety inspections by the end of the fiscal year, with only </w:t>
      </w:r>
      <w:r w:rsidR="00A142B4" w:rsidRPr="009F289D">
        <w:rPr>
          <w:rFonts w:eastAsia="Calibri" w:cs="Calibri"/>
        </w:rPr>
        <w:t>nine</w:t>
      </w:r>
      <w:r w:rsidRPr="00F74FD6">
        <w:rPr>
          <w:rFonts w:eastAsia="Calibri" w:cs="Calibri"/>
        </w:rPr>
        <w:t xml:space="preserve"> inspections </w:t>
      </w:r>
      <w:r w:rsidR="00A421D9">
        <w:rPr>
          <w:rFonts w:eastAsia="Calibri" w:cs="Calibri"/>
        </w:rPr>
        <w:t>awaiting</w:t>
      </w:r>
      <w:r w:rsidRPr="00F74FD6">
        <w:rPr>
          <w:rFonts w:eastAsia="Calibri" w:cs="Calibri"/>
        </w:rPr>
        <w:t xml:space="preserve"> abatement for violations issued in FY 202</w:t>
      </w:r>
      <w:r w:rsidR="001B63E2" w:rsidRPr="009F289D">
        <w:rPr>
          <w:rFonts w:eastAsia="Calibri" w:cs="Calibri"/>
        </w:rPr>
        <w:t>4</w:t>
      </w:r>
      <w:r w:rsidRPr="00F74FD6">
        <w:rPr>
          <w:rFonts w:eastAsia="Calibri" w:cs="Calibri"/>
        </w:rPr>
        <w:t>.</w:t>
      </w:r>
    </w:p>
    <w:bookmarkEnd w:id="9"/>
    <w:p w14:paraId="47A38FBD" w14:textId="77777777" w:rsidR="00F74FD6" w:rsidRPr="00F74FD6" w:rsidRDefault="00F74FD6" w:rsidP="00F74FD6">
      <w:pPr>
        <w:widowControl/>
        <w:rPr>
          <w:rFonts w:eastAsia="Calibri" w:cs="Calibri"/>
          <w:color w:val="0070C0"/>
        </w:rPr>
      </w:pPr>
    </w:p>
    <w:p w14:paraId="68CE2AF6" w14:textId="7E289118" w:rsidR="00F74FD6" w:rsidRPr="00F74FD6" w:rsidRDefault="00F74FD6" w:rsidP="00F74FD6">
      <w:pPr>
        <w:widowControl/>
        <w:rPr>
          <w:rFonts w:eastAsia="Calibri" w:cs="Calibri"/>
          <w:color w:val="0070C0"/>
        </w:rPr>
      </w:pPr>
      <w:r w:rsidRPr="00F74FD6">
        <w:rPr>
          <w:rFonts w:eastAsia="Calibri" w:cs="Calibri"/>
        </w:rPr>
        <w:t xml:space="preserve">UOSH continued to manage inspection timelines effectively.  Lapse time is the number of calendar days from the opening conference date to the citation issuance date.  </w:t>
      </w:r>
      <w:r w:rsidR="006E643C">
        <w:rPr>
          <w:rFonts w:eastAsia="Calibri" w:cs="Calibri"/>
        </w:rPr>
        <w:t>UOSH’s</w:t>
      </w:r>
      <w:r w:rsidRPr="00F74FD6">
        <w:rPr>
          <w:rFonts w:eastAsia="Calibri" w:cs="Calibri"/>
        </w:rPr>
        <w:t xml:space="preserve"> lapse time for safety inspections was </w:t>
      </w:r>
      <w:r w:rsidR="00BF0B83" w:rsidRPr="00BF0B83">
        <w:rPr>
          <w:rFonts w:eastAsia="Calibri" w:cs="Calibri"/>
        </w:rPr>
        <w:t>28.08</w:t>
      </w:r>
      <w:r w:rsidRPr="00F74FD6">
        <w:rPr>
          <w:rFonts w:eastAsia="Calibri" w:cs="Calibri"/>
        </w:rPr>
        <w:t xml:space="preserve"> days, compared to the </w:t>
      </w:r>
      <w:r w:rsidR="00B51009">
        <w:rPr>
          <w:rFonts w:eastAsia="Calibri" w:cs="Calibri"/>
        </w:rPr>
        <w:t>f</w:t>
      </w:r>
      <w:r w:rsidR="004E2945">
        <w:rPr>
          <w:rFonts w:eastAsia="Calibri" w:cs="Calibri"/>
        </w:rPr>
        <w:t xml:space="preserve">urther </w:t>
      </w:r>
      <w:r w:rsidR="00B51009">
        <w:rPr>
          <w:rFonts w:eastAsia="Calibri" w:cs="Calibri"/>
        </w:rPr>
        <w:t>r</w:t>
      </w:r>
      <w:r w:rsidR="004E2945">
        <w:rPr>
          <w:rFonts w:eastAsia="Calibri" w:cs="Calibri"/>
        </w:rPr>
        <w:t xml:space="preserve">eview </w:t>
      </w:r>
      <w:r w:rsidR="00B51009">
        <w:rPr>
          <w:rFonts w:eastAsia="Calibri" w:cs="Calibri"/>
        </w:rPr>
        <w:t>l</w:t>
      </w:r>
      <w:r w:rsidR="004E2945">
        <w:rPr>
          <w:rFonts w:eastAsia="Calibri" w:cs="Calibri"/>
        </w:rPr>
        <w:t>evel (</w:t>
      </w:r>
      <w:r w:rsidR="00FF60AD">
        <w:rPr>
          <w:rFonts w:eastAsia="Calibri" w:cs="Calibri"/>
        </w:rPr>
        <w:t>FRL</w:t>
      </w:r>
      <w:r w:rsidR="004E2945">
        <w:rPr>
          <w:rFonts w:eastAsia="Calibri" w:cs="Calibri"/>
        </w:rPr>
        <w:t>)</w:t>
      </w:r>
      <w:r w:rsidR="00FF60AD">
        <w:rPr>
          <w:rFonts w:eastAsia="Calibri" w:cs="Calibri"/>
        </w:rPr>
        <w:t xml:space="preserve"> of </w:t>
      </w:r>
      <w:r w:rsidR="00FF60AD" w:rsidRPr="00AA3C90">
        <w:rPr>
          <w:rFonts w:asciiTheme="minorHAnsi" w:hAnsiTheme="minorHAnsi" w:cstheme="minorHAnsi"/>
        </w:rPr>
        <w:t>44.82 to 67.23</w:t>
      </w:r>
      <w:r w:rsidR="00FF60AD">
        <w:rPr>
          <w:rFonts w:asciiTheme="minorHAnsi" w:hAnsiTheme="minorHAnsi" w:cstheme="minorHAnsi"/>
        </w:rPr>
        <w:t xml:space="preserve"> day</w:t>
      </w:r>
      <w:r w:rsidR="00CA5A31">
        <w:rPr>
          <w:rFonts w:asciiTheme="minorHAnsi" w:hAnsiTheme="minorHAnsi" w:cstheme="minorHAnsi"/>
        </w:rPr>
        <w:t>s</w:t>
      </w:r>
      <w:r w:rsidR="00FF60AD">
        <w:rPr>
          <w:rFonts w:asciiTheme="minorHAnsi" w:hAnsiTheme="minorHAnsi" w:cstheme="minorHAnsi"/>
        </w:rPr>
        <w:t>.</w:t>
      </w:r>
      <w:r w:rsidRPr="00F74FD6">
        <w:rPr>
          <w:rFonts w:eastAsia="Calibri" w:cs="Calibri"/>
        </w:rPr>
        <w:t xml:space="preserve">  UOSH’s lapse time for health inspections was 30.</w:t>
      </w:r>
      <w:r w:rsidR="00A1774F" w:rsidRPr="00EF2681">
        <w:rPr>
          <w:rFonts w:eastAsia="Calibri" w:cs="Calibri"/>
        </w:rPr>
        <w:t>30</w:t>
      </w:r>
      <w:r w:rsidRPr="00F74FD6">
        <w:rPr>
          <w:rFonts w:eastAsia="Calibri" w:cs="Calibri"/>
        </w:rPr>
        <w:t xml:space="preserve"> days, which was less than the </w:t>
      </w:r>
      <w:r w:rsidR="00265442">
        <w:rPr>
          <w:rFonts w:eastAsia="Calibri" w:cs="Calibri"/>
        </w:rPr>
        <w:t>FRL</w:t>
      </w:r>
      <w:r w:rsidRPr="00F74FD6">
        <w:rPr>
          <w:rFonts w:eastAsia="Calibri" w:cs="Calibri"/>
        </w:rPr>
        <w:t xml:space="preserve"> of </w:t>
      </w:r>
      <w:r w:rsidR="00265442" w:rsidRPr="00AA3C90">
        <w:rPr>
          <w:rFonts w:asciiTheme="minorHAnsi" w:hAnsiTheme="minorHAnsi" w:cstheme="minorHAnsi"/>
        </w:rPr>
        <w:t xml:space="preserve">53.77 to 80.65 </w:t>
      </w:r>
      <w:r w:rsidRPr="00F74FD6">
        <w:rPr>
          <w:rFonts w:eastAsia="Calibri" w:cs="Calibri"/>
        </w:rPr>
        <w:t>days.  Both results demonstrate</w:t>
      </w:r>
      <w:r w:rsidR="002C5CAA">
        <w:rPr>
          <w:rFonts w:eastAsia="Calibri" w:cs="Calibri"/>
        </w:rPr>
        <w:t>d</w:t>
      </w:r>
      <w:r w:rsidRPr="00F74FD6">
        <w:rPr>
          <w:rFonts w:eastAsia="Calibri" w:cs="Calibri"/>
        </w:rPr>
        <w:t xml:space="preserve"> the State Plan’s efficiency. </w:t>
      </w:r>
      <w:r w:rsidRPr="00F74FD6">
        <w:rPr>
          <w:rFonts w:eastAsia="Calibri" w:cs="Calibri"/>
          <w:color w:val="0070C0"/>
        </w:rPr>
        <w:t xml:space="preserve"> </w:t>
      </w:r>
    </w:p>
    <w:p w14:paraId="48530F63" w14:textId="77777777" w:rsidR="00F74FD6" w:rsidRPr="00F74FD6" w:rsidRDefault="00F74FD6" w:rsidP="00F74FD6">
      <w:pPr>
        <w:widowControl/>
        <w:rPr>
          <w:rFonts w:eastAsia="Calibri" w:cs="Calibri"/>
          <w:color w:val="0070C0"/>
        </w:rPr>
      </w:pPr>
    </w:p>
    <w:p w14:paraId="7FB2FDC5" w14:textId="3CF41EF3" w:rsidR="005837BD" w:rsidRPr="00B4249D" w:rsidRDefault="006E41D2" w:rsidP="00F74FD6">
      <w:pPr>
        <w:widowControl/>
        <w:autoSpaceDE/>
        <w:autoSpaceDN/>
        <w:adjustRightInd/>
        <w:rPr>
          <w:rFonts w:cs="Calibri"/>
          <w:iCs/>
        </w:rPr>
      </w:pPr>
      <w:r>
        <w:rPr>
          <w:rFonts w:eastAsia="Calibri" w:cs="Calibri"/>
        </w:rPr>
        <w:lastRenderedPageBreak/>
        <w:t xml:space="preserve">On the other hand, </w:t>
      </w:r>
      <w:r w:rsidR="00C117B4">
        <w:rPr>
          <w:rFonts w:eastAsia="Calibri" w:cs="Calibri"/>
        </w:rPr>
        <w:t>t</w:t>
      </w:r>
      <w:r w:rsidR="00C117B4" w:rsidRPr="00B4249D">
        <w:rPr>
          <w:rFonts w:eastAsia="Calibri" w:cs="Calibri"/>
        </w:rPr>
        <w:t>he turnover</w:t>
      </w:r>
      <w:r w:rsidR="000E4BCC" w:rsidRPr="00B4249D">
        <w:rPr>
          <w:rFonts w:eastAsia="Calibri" w:cs="Calibri"/>
        </w:rPr>
        <w:t xml:space="preserve"> </w:t>
      </w:r>
      <w:r w:rsidR="00C256AC" w:rsidRPr="00B4249D">
        <w:rPr>
          <w:rFonts w:eastAsia="Calibri" w:cs="Calibri"/>
        </w:rPr>
        <w:t xml:space="preserve">of </w:t>
      </w:r>
      <w:r w:rsidR="006E643C">
        <w:rPr>
          <w:rFonts w:eastAsia="Calibri" w:cs="Calibri"/>
        </w:rPr>
        <w:t>UOSH</w:t>
      </w:r>
      <w:r w:rsidR="00C256AC" w:rsidRPr="00B4249D">
        <w:rPr>
          <w:rFonts w:eastAsia="Calibri" w:cs="Calibri"/>
        </w:rPr>
        <w:t xml:space="preserve"> staff </w:t>
      </w:r>
      <w:r w:rsidR="0017376B">
        <w:rPr>
          <w:rFonts w:eastAsia="Calibri" w:cs="Calibri"/>
        </w:rPr>
        <w:t>affected</w:t>
      </w:r>
      <w:r w:rsidR="00C256AC" w:rsidRPr="00B4249D">
        <w:rPr>
          <w:rFonts w:eastAsia="Calibri" w:cs="Calibri"/>
        </w:rPr>
        <w:t xml:space="preserve"> its timely response</w:t>
      </w:r>
      <w:r w:rsidR="00F74FD6" w:rsidRPr="00B4249D">
        <w:rPr>
          <w:rFonts w:eastAsia="Calibri" w:cs="Calibri"/>
        </w:rPr>
        <w:t xml:space="preserve"> to complaints.  </w:t>
      </w:r>
      <w:r w:rsidR="00623FF9">
        <w:rPr>
          <w:rFonts w:eastAsia="Calibri" w:cs="Calibri"/>
        </w:rPr>
        <w:t>In addition to the five health compliance officer</w:t>
      </w:r>
      <w:r w:rsidR="002204EA">
        <w:rPr>
          <w:rFonts w:eastAsia="Calibri" w:cs="Calibri"/>
        </w:rPr>
        <w:t xml:space="preserve"> vacancies during FY 2024, there were two safety compliance officer vacancies.  </w:t>
      </w:r>
      <w:r w:rsidR="00F74FD6" w:rsidRPr="00B4249D">
        <w:rPr>
          <w:rFonts w:eastAsia="Calibri" w:cs="Calibri"/>
        </w:rPr>
        <w:t xml:space="preserve">The average number of </w:t>
      </w:r>
      <w:r w:rsidR="00B02008">
        <w:rPr>
          <w:rFonts w:eastAsia="Calibri" w:cs="Calibri"/>
        </w:rPr>
        <w:t>work</w:t>
      </w:r>
      <w:r w:rsidR="00F74FD6" w:rsidRPr="00B4249D">
        <w:rPr>
          <w:rFonts w:eastAsia="Calibri" w:cs="Calibri"/>
        </w:rPr>
        <w:t xml:space="preserve">days to initiate a complaint inspection was </w:t>
      </w:r>
      <w:r w:rsidR="00E9587C" w:rsidRPr="00B4249D">
        <w:rPr>
          <w:rFonts w:eastAsia="Calibri" w:cs="Calibri"/>
        </w:rPr>
        <w:t>6.12</w:t>
      </w:r>
      <w:r w:rsidR="00F74FD6" w:rsidRPr="00B4249D">
        <w:rPr>
          <w:rFonts w:eastAsia="Calibri" w:cs="Calibri"/>
        </w:rPr>
        <w:t xml:space="preserve"> </w:t>
      </w:r>
      <w:r w:rsidR="00B02008">
        <w:rPr>
          <w:rFonts w:eastAsia="Calibri" w:cs="Calibri"/>
        </w:rPr>
        <w:t>work</w:t>
      </w:r>
      <w:r w:rsidR="00F74FD6" w:rsidRPr="00B4249D">
        <w:rPr>
          <w:rFonts w:eastAsia="Calibri" w:cs="Calibri"/>
        </w:rPr>
        <w:t xml:space="preserve">days while the average number of </w:t>
      </w:r>
      <w:r w:rsidR="00B02008">
        <w:rPr>
          <w:rFonts w:eastAsia="Calibri" w:cs="Calibri"/>
        </w:rPr>
        <w:t>work</w:t>
      </w:r>
      <w:r w:rsidR="00F74FD6" w:rsidRPr="00B4249D">
        <w:rPr>
          <w:rFonts w:eastAsia="Calibri" w:cs="Calibri"/>
        </w:rPr>
        <w:t xml:space="preserve">days to initiate a complaint investigation was </w:t>
      </w:r>
      <w:r w:rsidR="00E9587C" w:rsidRPr="00B4249D">
        <w:rPr>
          <w:rFonts w:eastAsia="Calibri" w:cs="Calibri"/>
        </w:rPr>
        <w:t>3.67</w:t>
      </w:r>
      <w:r w:rsidR="00F74FD6" w:rsidRPr="00B4249D">
        <w:rPr>
          <w:rFonts w:eastAsia="Calibri" w:cs="Calibri"/>
        </w:rPr>
        <w:t xml:space="preserve"> </w:t>
      </w:r>
      <w:r w:rsidR="00B02008">
        <w:rPr>
          <w:rFonts w:eastAsia="Calibri" w:cs="Calibri"/>
        </w:rPr>
        <w:t>work</w:t>
      </w:r>
      <w:r w:rsidR="00F74FD6" w:rsidRPr="00B4249D">
        <w:rPr>
          <w:rFonts w:eastAsia="Calibri" w:cs="Calibri"/>
        </w:rPr>
        <w:t>days.</w:t>
      </w:r>
      <w:r w:rsidR="00FF6C47">
        <w:rPr>
          <w:rFonts w:eastAsia="Calibri" w:cs="Calibri"/>
        </w:rPr>
        <w:t xml:space="preserve">  </w:t>
      </w:r>
      <w:r w:rsidR="0019511B">
        <w:rPr>
          <w:rFonts w:eastAsia="Calibri" w:cs="Calibri"/>
        </w:rPr>
        <w:t>Although</w:t>
      </w:r>
      <w:r w:rsidR="00033539">
        <w:rPr>
          <w:rFonts w:eastAsia="Calibri" w:cs="Calibri"/>
        </w:rPr>
        <w:t xml:space="preserve"> the response times were longer than for FY 2023, t</w:t>
      </w:r>
      <w:r w:rsidR="00FF6C47">
        <w:rPr>
          <w:rFonts w:eastAsia="Calibri" w:cs="Calibri"/>
        </w:rPr>
        <w:t>he State Plan’s respons</w:t>
      </w:r>
      <w:r w:rsidR="00427523">
        <w:rPr>
          <w:rFonts w:eastAsia="Calibri" w:cs="Calibri"/>
        </w:rPr>
        <w:t>e</w:t>
      </w:r>
      <w:r w:rsidR="00FF6C47">
        <w:rPr>
          <w:rFonts w:eastAsia="Calibri" w:cs="Calibri"/>
        </w:rPr>
        <w:t xml:space="preserve"> to complaints </w:t>
      </w:r>
      <w:r w:rsidR="00347A03">
        <w:rPr>
          <w:rFonts w:eastAsia="Calibri" w:cs="Calibri"/>
        </w:rPr>
        <w:t>was reasonable given the strain on resources</w:t>
      </w:r>
      <w:r w:rsidR="00BD050F">
        <w:rPr>
          <w:rFonts w:eastAsia="Calibri" w:cs="Calibri"/>
        </w:rPr>
        <w:t>.</w:t>
      </w:r>
    </w:p>
    <w:p w14:paraId="07E4A0DB" w14:textId="77777777" w:rsidR="00783189" w:rsidRPr="001C1E47" w:rsidRDefault="00783189" w:rsidP="00783189">
      <w:pPr>
        <w:widowControl/>
        <w:autoSpaceDE/>
        <w:autoSpaceDN/>
        <w:adjustRightInd/>
        <w:contextualSpacing/>
        <w:rPr>
          <w:rFonts w:cs="Calibri"/>
          <w:b/>
        </w:rPr>
      </w:pPr>
    </w:p>
    <w:p w14:paraId="68FBAFD2" w14:textId="77777777" w:rsidR="00781312" w:rsidRPr="001C1E47" w:rsidRDefault="00781312" w:rsidP="00783189">
      <w:pPr>
        <w:widowControl/>
        <w:autoSpaceDE/>
        <w:autoSpaceDN/>
        <w:adjustRightInd/>
        <w:contextualSpacing/>
        <w:rPr>
          <w:rFonts w:cs="Calibri"/>
          <w:b/>
        </w:rPr>
      </w:pPr>
      <w:r w:rsidRPr="001C1E47">
        <w:rPr>
          <w:rFonts w:cs="Calibri"/>
          <w:b/>
        </w:rPr>
        <w:t>New Issues</w:t>
      </w:r>
    </w:p>
    <w:p w14:paraId="1A950952" w14:textId="77777777" w:rsidR="00781312" w:rsidRPr="001C1E47" w:rsidRDefault="00781312" w:rsidP="00783189">
      <w:pPr>
        <w:ind w:left="720"/>
        <w:contextualSpacing/>
        <w:rPr>
          <w:rFonts w:cs="Calibri"/>
          <w:sz w:val="28"/>
          <w:szCs w:val="28"/>
        </w:rPr>
      </w:pPr>
    </w:p>
    <w:p w14:paraId="77BDBE32" w14:textId="77777777" w:rsidR="007145DC" w:rsidRPr="007145DC" w:rsidRDefault="00566163" w:rsidP="00783189">
      <w:pPr>
        <w:contextualSpacing/>
        <w:rPr>
          <w:rFonts w:cs="Calibri"/>
          <w:iCs/>
        </w:rPr>
      </w:pPr>
      <w:r w:rsidRPr="007145DC">
        <w:rPr>
          <w:rFonts w:cs="Calibri"/>
          <w:iCs/>
        </w:rPr>
        <w:t>None.</w:t>
      </w:r>
    </w:p>
    <w:p w14:paraId="4D45CF2E" w14:textId="77777777" w:rsidR="00780E29" w:rsidRDefault="00780E29" w:rsidP="00783189">
      <w:pPr>
        <w:widowControl/>
        <w:autoSpaceDE/>
        <w:autoSpaceDN/>
        <w:adjustRightInd/>
        <w:rPr>
          <w:rFonts w:cs="Calibri"/>
          <w:iCs/>
        </w:rPr>
      </w:pPr>
    </w:p>
    <w:p w14:paraId="676BC827" w14:textId="77777777" w:rsidR="004952E3" w:rsidRPr="00AB16D9" w:rsidRDefault="004952E3" w:rsidP="00783189">
      <w:pPr>
        <w:widowControl/>
        <w:autoSpaceDE/>
        <w:autoSpaceDN/>
        <w:adjustRightInd/>
        <w:rPr>
          <w:rFonts w:cs="Calibri"/>
          <w:iCs/>
        </w:rPr>
      </w:pPr>
    </w:p>
    <w:p w14:paraId="0A29FCDE" w14:textId="12F0677E" w:rsidR="00054900" w:rsidRPr="00476C08" w:rsidRDefault="00054900" w:rsidP="00D90684">
      <w:pPr>
        <w:pStyle w:val="Heading2"/>
      </w:pPr>
      <w:bookmarkStart w:id="10" w:name="_Toc118900172"/>
      <w:bookmarkStart w:id="11" w:name="_Toc118905011"/>
      <w:bookmarkStart w:id="12" w:name="_Toc119418665"/>
      <w:r w:rsidRPr="00476C08">
        <w:t xml:space="preserve">Assessment of State Plan </w:t>
      </w:r>
      <w:r w:rsidR="001E2FBB" w:rsidRPr="00476C08">
        <w:t xml:space="preserve">Progress and </w:t>
      </w:r>
      <w:r w:rsidRPr="00476C08">
        <w:t>Performance</w:t>
      </w:r>
      <w:bookmarkEnd w:id="10"/>
      <w:bookmarkEnd w:id="11"/>
      <w:bookmarkEnd w:id="12"/>
    </w:p>
    <w:p w14:paraId="07D68C5F" w14:textId="77777777" w:rsidR="00054900" w:rsidRPr="001C1E47" w:rsidRDefault="00054900" w:rsidP="00783189">
      <w:pPr>
        <w:widowControl/>
        <w:autoSpaceDE/>
        <w:autoSpaceDN/>
        <w:adjustRightInd/>
        <w:rPr>
          <w:rFonts w:cs="Calibri"/>
        </w:rPr>
      </w:pPr>
    </w:p>
    <w:p w14:paraId="4CD3C312" w14:textId="77777777" w:rsidR="000A134A" w:rsidRPr="00C53328" w:rsidRDefault="000A134A" w:rsidP="001D45C8">
      <w:pPr>
        <w:pStyle w:val="Heading3"/>
      </w:pPr>
      <w:bookmarkStart w:id="13" w:name="_Toc118900173"/>
      <w:bookmarkStart w:id="14" w:name="_Toc118905012"/>
      <w:bookmarkStart w:id="15" w:name="_Toc119418666"/>
      <w:r w:rsidRPr="00C53328">
        <w:t>Data and Methodology</w:t>
      </w:r>
      <w:bookmarkEnd w:id="13"/>
      <w:bookmarkEnd w:id="14"/>
      <w:bookmarkEnd w:id="15"/>
    </w:p>
    <w:p w14:paraId="2FBB490D" w14:textId="77777777" w:rsidR="000A134A" w:rsidRPr="001C1E47" w:rsidRDefault="000A134A" w:rsidP="005A3581">
      <w:pPr>
        <w:widowControl/>
        <w:autoSpaceDE/>
        <w:autoSpaceDN/>
        <w:adjustRightInd/>
        <w:rPr>
          <w:rFonts w:cs="Calibri"/>
          <w:bCs/>
          <w:i/>
        </w:rPr>
      </w:pPr>
    </w:p>
    <w:p w14:paraId="3EEE3A69" w14:textId="77777777" w:rsidR="005504BC" w:rsidRPr="001C1E47" w:rsidRDefault="000A134A" w:rsidP="00783189">
      <w:pPr>
        <w:widowControl/>
        <w:autoSpaceDE/>
        <w:autoSpaceDN/>
        <w:adjustRightInd/>
        <w:rPr>
          <w:rFonts w:cs="Calibri"/>
          <w:bCs/>
        </w:rPr>
      </w:pPr>
      <w:r w:rsidRPr="001C1E47">
        <w:rPr>
          <w:rFonts w:cs="Calibri"/>
          <w:bCs/>
        </w:rPr>
        <w:t>OSHA has established a two-year cycle for the FAME process.  This is the follow-up year</w:t>
      </w:r>
      <w:r w:rsidR="005E3EFB" w:rsidRPr="001C1E47">
        <w:rPr>
          <w:rFonts w:cs="Calibri"/>
          <w:bCs/>
        </w:rPr>
        <w:t>,</w:t>
      </w:r>
      <w:r w:rsidRPr="001C1E47">
        <w:rPr>
          <w:rFonts w:cs="Calibri"/>
          <w:bCs/>
        </w:rPr>
        <w:t xml:space="preserve"> and as such</w:t>
      </w:r>
      <w:r w:rsidR="005E3EFB" w:rsidRPr="001C1E47">
        <w:rPr>
          <w:rFonts w:cs="Calibri"/>
          <w:bCs/>
        </w:rPr>
        <w:t>,</w:t>
      </w:r>
      <w:r w:rsidRPr="001C1E47">
        <w:rPr>
          <w:rFonts w:cs="Calibri"/>
          <w:bCs/>
        </w:rPr>
        <w:t xml:space="preserve"> OSHA did not perform </w:t>
      </w:r>
      <w:r w:rsidR="00957E7E" w:rsidRPr="001C1E47">
        <w:rPr>
          <w:rFonts w:cs="Calibri"/>
          <w:bCs/>
        </w:rPr>
        <w:t>an on</w:t>
      </w:r>
      <w:r w:rsidR="00DC6559" w:rsidRPr="001C1E47">
        <w:rPr>
          <w:rFonts w:cs="Calibri"/>
          <w:bCs/>
        </w:rPr>
        <w:t>-</w:t>
      </w:r>
      <w:r w:rsidR="00957E7E" w:rsidRPr="001C1E47">
        <w:rPr>
          <w:rFonts w:cs="Calibri"/>
          <w:bCs/>
        </w:rPr>
        <w:t>site</w:t>
      </w:r>
      <w:r w:rsidRPr="001C1E47">
        <w:rPr>
          <w:rFonts w:cs="Calibri"/>
          <w:bCs/>
        </w:rPr>
        <w:t xml:space="preserve"> case file review associated with a comprehensive FAME.  This strategy allows the State Plan to focus on correcting deficiencies identified in the most recent comprehensive FAME</w:t>
      </w:r>
      <w:r w:rsidR="003A4F3E" w:rsidRPr="001C1E47">
        <w:rPr>
          <w:rFonts w:cs="Calibri"/>
          <w:bCs/>
        </w:rPr>
        <w:t>.</w:t>
      </w:r>
      <w:r w:rsidR="00733729" w:rsidRPr="001C1E47">
        <w:rPr>
          <w:rFonts w:cs="Calibri"/>
          <w:bCs/>
        </w:rPr>
        <w:t xml:space="preserve">  </w:t>
      </w:r>
      <w:r w:rsidR="005504BC" w:rsidRPr="001C1E47">
        <w:rPr>
          <w:rFonts w:cs="Calibri"/>
          <w:bCs/>
        </w:rPr>
        <w:t>The analyses and conclusions described in this report are based on information obtained from a variety of monitoring sources, including:</w:t>
      </w:r>
    </w:p>
    <w:p w14:paraId="54439AF2" w14:textId="77777777" w:rsidR="005504BC" w:rsidRPr="001C1E47" w:rsidRDefault="005504BC" w:rsidP="007A71AC">
      <w:pPr>
        <w:widowControl/>
        <w:autoSpaceDE/>
        <w:autoSpaceDN/>
        <w:adjustRightInd/>
        <w:rPr>
          <w:rFonts w:cs="Calibri"/>
          <w:bCs/>
        </w:rPr>
      </w:pPr>
    </w:p>
    <w:p w14:paraId="409C16B9" w14:textId="62BEE527" w:rsidR="005504BC" w:rsidRPr="001C1E47" w:rsidRDefault="005504BC" w:rsidP="008626CE">
      <w:pPr>
        <w:pStyle w:val="ListParagraph"/>
        <w:numPr>
          <w:ilvl w:val="0"/>
          <w:numId w:val="7"/>
        </w:numPr>
        <w:spacing w:after="0" w:line="240" w:lineRule="auto"/>
        <w:rPr>
          <w:bCs/>
        </w:rPr>
      </w:pPr>
      <w:r w:rsidRPr="001C1E47">
        <w:rPr>
          <w:bCs/>
          <w:sz w:val="24"/>
          <w:szCs w:val="24"/>
        </w:rPr>
        <w:t xml:space="preserve">State Activity Mandated Measures </w:t>
      </w:r>
      <w:r w:rsidR="00E7030A" w:rsidRPr="001C1E47">
        <w:rPr>
          <w:bCs/>
          <w:sz w:val="24"/>
          <w:szCs w:val="24"/>
        </w:rPr>
        <w:t xml:space="preserve">(SAMM) </w:t>
      </w:r>
      <w:r w:rsidRPr="001C1E47">
        <w:rPr>
          <w:bCs/>
          <w:sz w:val="24"/>
          <w:szCs w:val="24"/>
        </w:rPr>
        <w:t xml:space="preserve">Report </w:t>
      </w:r>
    </w:p>
    <w:p w14:paraId="3F2084C2" w14:textId="490817F7" w:rsidR="00FF4AE2" w:rsidRPr="001C1E47" w:rsidRDefault="00FF4AE2" w:rsidP="008626CE">
      <w:pPr>
        <w:pStyle w:val="ListParagraph"/>
        <w:numPr>
          <w:ilvl w:val="0"/>
          <w:numId w:val="7"/>
        </w:numPr>
        <w:spacing w:after="0" w:line="240" w:lineRule="auto"/>
        <w:rPr>
          <w:bCs/>
        </w:rPr>
      </w:pPr>
      <w:r w:rsidRPr="001C1E47">
        <w:rPr>
          <w:bCs/>
          <w:sz w:val="24"/>
          <w:szCs w:val="24"/>
        </w:rPr>
        <w:t xml:space="preserve">State Information Report </w:t>
      </w:r>
    </w:p>
    <w:p w14:paraId="5D91E03D" w14:textId="255162AF" w:rsidR="00FF4AE2" w:rsidRPr="001C1E47" w:rsidRDefault="00FF4AE2" w:rsidP="008626CE">
      <w:pPr>
        <w:pStyle w:val="ListParagraph"/>
        <w:numPr>
          <w:ilvl w:val="0"/>
          <w:numId w:val="7"/>
        </w:numPr>
        <w:spacing w:after="0" w:line="240" w:lineRule="auto"/>
        <w:rPr>
          <w:bCs/>
        </w:rPr>
      </w:pPr>
      <w:r w:rsidRPr="001C1E47">
        <w:rPr>
          <w:bCs/>
          <w:sz w:val="24"/>
          <w:szCs w:val="24"/>
        </w:rPr>
        <w:t xml:space="preserve">Mandated Activities Report for Consultation </w:t>
      </w:r>
    </w:p>
    <w:p w14:paraId="4054753A" w14:textId="2D80EF4D" w:rsidR="00FF4AE2" w:rsidRPr="001C1E47" w:rsidRDefault="00FF4AE2" w:rsidP="008626CE">
      <w:pPr>
        <w:pStyle w:val="ListParagraph"/>
        <w:numPr>
          <w:ilvl w:val="0"/>
          <w:numId w:val="7"/>
        </w:numPr>
        <w:spacing w:after="0" w:line="240" w:lineRule="auto"/>
        <w:rPr>
          <w:bCs/>
        </w:rPr>
      </w:pPr>
      <w:r w:rsidRPr="001C1E47">
        <w:rPr>
          <w:bCs/>
          <w:sz w:val="24"/>
          <w:szCs w:val="24"/>
        </w:rPr>
        <w:t xml:space="preserve">State OSHA Annual Report </w:t>
      </w:r>
    </w:p>
    <w:p w14:paraId="03220F96" w14:textId="7308633C" w:rsidR="00FF4AE2" w:rsidRPr="001C1E47" w:rsidRDefault="00FF4AE2" w:rsidP="008626CE">
      <w:pPr>
        <w:pStyle w:val="ListParagraph"/>
        <w:numPr>
          <w:ilvl w:val="0"/>
          <w:numId w:val="7"/>
        </w:numPr>
        <w:spacing w:after="0" w:line="240" w:lineRule="auto"/>
        <w:rPr>
          <w:bCs/>
        </w:rPr>
      </w:pPr>
      <w:r w:rsidRPr="001C1E47">
        <w:rPr>
          <w:bCs/>
          <w:sz w:val="24"/>
          <w:szCs w:val="24"/>
        </w:rPr>
        <w:t>State Plan Annual Performance Plan</w:t>
      </w:r>
      <w:r w:rsidR="0061362E">
        <w:rPr>
          <w:bCs/>
          <w:sz w:val="24"/>
          <w:szCs w:val="24"/>
        </w:rPr>
        <w:t xml:space="preserve"> </w:t>
      </w:r>
    </w:p>
    <w:p w14:paraId="4CBC94FB" w14:textId="77777777" w:rsidR="00FF4AE2" w:rsidRPr="001C1E47" w:rsidRDefault="00FF4AE2" w:rsidP="008626CE">
      <w:pPr>
        <w:pStyle w:val="ListParagraph"/>
        <w:numPr>
          <w:ilvl w:val="0"/>
          <w:numId w:val="7"/>
        </w:numPr>
        <w:spacing w:after="0" w:line="240" w:lineRule="auto"/>
        <w:rPr>
          <w:bCs/>
        </w:rPr>
      </w:pPr>
      <w:r w:rsidRPr="001C1E47">
        <w:rPr>
          <w:bCs/>
          <w:sz w:val="24"/>
          <w:szCs w:val="24"/>
        </w:rPr>
        <w:t xml:space="preserve">State Plan Grant </w:t>
      </w:r>
      <w:r w:rsidR="00DC6559" w:rsidRPr="001C1E47">
        <w:rPr>
          <w:bCs/>
          <w:sz w:val="24"/>
          <w:szCs w:val="24"/>
        </w:rPr>
        <w:t>A</w:t>
      </w:r>
      <w:r w:rsidRPr="001C1E47">
        <w:rPr>
          <w:bCs/>
          <w:sz w:val="24"/>
          <w:szCs w:val="24"/>
        </w:rPr>
        <w:t xml:space="preserve">pplication </w:t>
      </w:r>
    </w:p>
    <w:p w14:paraId="19481D7D" w14:textId="71E635EF" w:rsidR="000A134A" w:rsidRPr="00DE2791" w:rsidRDefault="00FF4AE2" w:rsidP="00783189">
      <w:pPr>
        <w:pStyle w:val="ListParagraph"/>
        <w:numPr>
          <w:ilvl w:val="0"/>
          <w:numId w:val="7"/>
        </w:numPr>
        <w:spacing w:after="0" w:line="240" w:lineRule="auto"/>
        <w:rPr>
          <w:bCs/>
        </w:rPr>
      </w:pPr>
      <w:r w:rsidRPr="001C1E47">
        <w:rPr>
          <w:bCs/>
          <w:sz w:val="24"/>
          <w:szCs w:val="24"/>
        </w:rPr>
        <w:t>Quarterly monitoring meetings between OSHA and the State Plan</w:t>
      </w:r>
    </w:p>
    <w:p w14:paraId="648D085C" w14:textId="2529B7D3" w:rsidR="00DE2791" w:rsidRPr="005A3581" w:rsidRDefault="00DE2791" w:rsidP="00783189">
      <w:pPr>
        <w:pStyle w:val="ListParagraph"/>
        <w:numPr>
          <w:ilvl w:val="0"/>
          <w:numId w:val="7"/>
        </w:numPr>
        <w:spacing w:after="0" w:line="240" w:lineRule="auto"/>
        <w:rPr>
          <w:bCs/>
        </w:rPr>
      </w:pPr>
      <w:r>
        <w:rPr>
          <w:bCs/>
          <w:sz w:val="24"/>
          <w:szCs w:val="24"/>
        </w:rPr>
        <w:t>OSHA Information System (OIS)</w:t>
      </w:r>
    </w:p>
    <w:p w14:paraId="7EA0158E" w14:textId="77777777" w:rsidR="001E2FBB" w:rsidRPr="00FF7FEA" w:rsidRDefault="001E2FBB" w:rsidP="00783189">
      <w:pPr>
        <w:widowControl/>
        <w:autoSpaceDE/>
        <w:autoSpaceDN/>
        <w:adjustRightInd/>
        <w:rPr>
          <w:rFonts w:cs="Calibri"/>
          <w:bCs/>
          <w:iCs/>
        </w:rPr>
      </w:pPr>
    </w:p>
    <w:p w14:paraId="5E67DDEC" w14:textId="77777777" w:rsidR="000A134A" w:rsidRPr="001C1E47" w:rsidRDefault="000A134A" w:rsidP="001D45C8">
      <w:pPr>
        <w:pStyle w:val="Heading3"/>
      </w:pPr>
      <w:bookmarkStart w:id="16" w:name="_Toc118900174"/>
      <w:bookmarkStart w:id="17" w:name="_Toc118905013"/>
      <w:bookmarkStart w:id="18" w:name="_Toc119418667"/>
      <w:r w:rsidRPr="001C1E47">
        <w:t>Findings and Observations</w:t>
      </w:r>
      <w:bookmarkEnd w:id="16"/>
      <w:bookmarkEnd w:id="17"/>
      <w:bookmarkEnd w:id="18"/>
    </w:p>
    <w:p w14:paraId="5A952A6F" w14:textId="77777777" w:rsidR="001E2FBB" w:rsidRPr="001C1E47" w:rsidRDefault="001E2FBB" w:rsidP="00FC3FB4">
      <w:pPr>
        <w:widowControl/>
        <w:autoSpaceDE/>
        <w:autoSpaceDN/>
        <w:adjustRightInd/>
        <w:rPr>
          <w:rFonts w:cs="Calibri"/>
          <w:i/>
          <w:highlight w:val="cyan"/>
        </w:rPr>
      </w:pPr>
    </w:p>
    <w:p w14:paraId="2789CCA0" w14:textId="77777777" w:rsidR="00E71FB7" w:rsidRPr="001C1E47" w:rsidRDefault="00E71FB7" w:rsidP="00E44D46">
      <w:pPr>
        <w:pStyle w:val="Heading4"/>
        <w:rPr>
          <w:b w:val="0"/>
          <w:highlight w:val="yellow"/>
        </w:rPr>
      </w:pPr>
      <w:bookmarkStart w:id="19" w:name="_Toc118900175"/>
      <w:bookmarkStart w:id="20" w:name="_Toc118905014"/>
      <w:r w:rsidRPr="001C1E47">
        <w:t>Findings</w:t>
      </w:r>
      <w:r w:rsidR="00443054" w:rsidRPr="001C1E47">
        <w:t xml:space="preserve"> (Status of Previous and New Items)</w:t>
      </w:r>
      <w:bookmarkEnd w:id="19"/>
      <w:bookmarkEnd w:id="20"/>
    </w:p>
    <w:p w14:paraId="6C7BE9F8" w14:textId="77777777" w:rsidR="00E71FB7" w:rsidRPr="001C1E47" w:rsidRDefault="00E71FB7" w:rsidP="00783189">
      <w:pPr>
        <w:widowControl/>
        <w:autoSpaceDE/>
        <w:autoSpaceDN/>
        <w:adjustRightInd/>
        <w:rPr>
          <w:rFonts w:cs="Calibri"/>
          <w:highlight w:val="yellow"/>
          <w:u w:val="single"/>
        </w:rPr>
      </w:pPr>
    </w:p>
    <w:p w14:paraId="5B3FA80F" w14:textId="23F6AC6B" w:rsidR="00982885" w:rsidRPr="00982885" w:rsidRDefault="00982885" w:rsidP="00982885">
      <w:pPr>
        <w:widowControl/>
        <w:rPr>
          <w:rFonts w:eastAsia="Calibri" w:cs="Calibri"/>
        </w:rPr>
      </w:pPr>
      <w:r w:rsidRPr="00982885">
        <w:rPr>
          <w:rFonts w:eastAsia="Calibri" w:cs="Calibri"/>
        </w:rPr>
        <w:t xml:space="preserve">The State Plan made progress addressing the previous </w:t>
      </w:r>
      <w:r w:rsidR="00CF09AC" w:rsidRPr="00CF09AC">
        <w:rPr>
          <w:rFonts w:eastAsia="Calibri" w:cs="Calibri"/>
        </w:rPr>
        <w:t>six</w:t>
      </w:r>
      <w:r w:rsidRPr="00982885">
        <w:rPr>
          <w:rFonts w:eastAsia="Calibri" w:cs="Calibri"/>
        </w:rPr>
        <w:t xml:space="preserve"> observations from the FY 202</w:t>
      </w:r>
      <w:r>
        <w:rPr>
          <w:rFonts w:eastAsia="Calibri" w:cs="Calibri"/>
        </w:rPr>
        <w:t>3</w:t>
      </w:r>
      <w:r w:rsidRPr="00982885">
        <w:rPr>
          <w:rFonts w:eastAsia="Calibri" w:cs="Calibri"/>
        </w:rPr>
        <w:t xml:space="preserve"> Comprehensive FAME Report.  This Follow-up FAME Report contains</w:t>
      </w:r>
      <w:r w:rsidR="00F35F04">
        <w:rPr>
          <w:rFonts w:eastAsia="Calibri" w:cs="Calibri"/>
        </w:rPr>
        <w:t xml:space="preserve"> no findings and</w:t>
      </w:r>
      <w:r w:rsidRPr="00982885">
        <w:rPr>
          <w:rFonts w:eastAsia="Calibri" w:cs="Calibri"/>
        </w:rPr>
        <w:t xml:space="preserve"> </w:t>
      </w:r>
      <w:r w:rsidR="00CF09AC" w:rsidRPr="00CF09AC">
        <w:rPr>
          <w:rFonts w:eastAsia="Calibri" w:cs="Calibri"/>
        </w:rPr>
        <w:t>six</w:t>
      </w:r>
      <w:r w:rsidRPr="00982885">
        <w:rPr>
          <w:rFonts w:eastAsia="Calibri" w:cs="Calibri"/>
        </w:rPr>
        <w:t xml:space="preserve"> observations.  Two observations were closed</w:t>
      </w:r>
      <w:r w:rsidR="003D2742">
        <w:rPr>
          <w:rFonts w:eastAsia="Calibri" w:cs="Calibri"/>
        </w:rPr>
        <w:t>,</w:t>
      </w:r>
      <w:r w:rsidRPr="00982885">
        <w:rPr>
          <w:rFonts w:eastAsia="Calibri" w:cs="Calibri"/>
        </w:rPr>
        <w:t xml:space="preserve"> and </w:t>
      </w:r>
      <w:r w:rsidR="00CF09AC" w:rsidRPr="00CF09AC">
        <w:rPr>
          <w:rFonts w:eastAsia="Calibri" w:cs="Calibri"/>
        </w:rPr>
        <w:t>four</w:t>
      </w:r>
      <w:r w:rsidRPr="00982885">
        <w:rPr>
          <w:rFonts w:eastAsia="Calibri" w:cs="Calibri"/>
        </w:rPr>
        <w:t xml:space="preserve"> </w:t>
      </w:r>
      <w:r w:rsidR="003D2742">
        <w:rPr>
          <w:rFonts w:eastAsia="Calibri" w:cs="Calibri"/>
        </w:rPr>
        <w:t xml:space="preserve">were </w:t>
      </w:r>
      <w:r w:rsidRPr="00982885">
        <w:rPr>
          <w:rFonts w:eastAsia="Calibri" w:cs="Calibri"/>
        </w:rPr>
        <w:t>continued.  Appendix A describes new and continued findings and recommendations.  Appendix B describes observations subject to continued monitoring and the related federal monitoring plans.  Appendix C describes the status of each FY 202</w:t>
      </w:r>
      <w:r w:rsidR="00920195">
        <w:rPr>
          <w:rFonts w:eastAsia="Calibri" w:cs="Calibri"/>
        </w:rPr>
        <w:t>3</w:t>
      </w:r>
      <w:r w:rsidRPr="00982885">
        <w:rPr>
          <w:rFonts w:eastAsia="Calibri" w:cs="Calibri"/>
        </w:rPr>
        <w:t xml:space="preserve"> finding and recommendation in detail.</w:t>
      </w:r>
    </w:p>
    <w:p w14:paraId="699539B4" w14:textId="77777777" w:rsidR="004E505A" w:rsidRPr="001C1E47" w:rsidRDefault="004E505A" w:rsidP="00783189">
      <w:pPr>
        <w:widowControl/>
        <w:autoSpaceDE/>
        <w:autoSpaceDN/>
        <w:adjustRightInd/>
        <w:rPr>
          <w:rFonts w:cs="Calibri"/>
          <w:highlight w:val="yellow"/>
        </w:rPr>
      </w:pPr>
    </w:p>
    <w:p w14:paraId="1CD392F2" w14:textId="7866A9D3" w:rsidR="005C1BFC" w:rsidRPr="0061362E" w:rsidRDefault="00733D36" w:rsidP="00783189">
      <w:pPr>
        <w:widowControl/>
        <w:autoSpaceDE/>
        <w:autoSpaceDN/>
        <w:adjustRightInd/>
        <w:rPr>
          <w:rFonts w:cs="Calibri"/>
          <w:b/>
          <w:bCs/>
        </w:rPr>
      </w:pPr>
      <w:r w:rsidRPr="0061362E">
        <w:rPr>
          <w:rFonts w:cs="Calibri"/>
          <w:b/>
          <w:bCs/>
        </w:rPr>
        <w:lastRenderedPageBreak/>
        <w:t xml:space="preserve">Completed </w:t>
      </w:r>
      <w:r w:rsidR="007C0A36" w:rsidRPr="0061362E">
        <w:rPr>
          <w:rFonts w:cs="Calibri"/>
          <w:b/>
          <w:bCs/>
        </w:rPr>
        <w:t>Findings</w:t>
      </w:r>
    </w:p>
    <w:p w14:paraId="7BB91E9C" w14:textId="77777777" w:rsidR="007C0A36" w:rsidRPr="001C1E47" w:rsidRDefault="007C0A36" w:rsidP="00783189">
      <w:pPr>
        <w:widowControl/>
        <w:autoSpaceDE/>
        <w:autoSpaceDN/>
        <w:adjustRightInd/>
        <w:rPr>
          <w:rFonts w:cs="Calibri"/>
          <w:highlight w:val="yellow"/>
          <w:u w:val="single"/>
        </w:rPr>
      </w:pPr>
    </w:p>
    <w:p w14:paraId="0986CEE0" w14:textId="049595F7" w:rsidR="00E46CAD" w:rsidRPr="00E46CAD" w:rsidRDefault="00E46CAD" w:rsidP="00E46CAD">
      <w:pPr>
        <w:rPr>
          <w:rFonts w:eastAsia="Calibri" w:cs="Calibri"/>
        </w:rPr>
      </w:pPr>
      <w:r w:rsidRPr="00E46CAD">
        <w:rPr>
          <w:rFonts w:eastAsia="Calibri" w:cs="Calibri"/>
        </w:rPr>
        <w:t>There were no findings in the FY 202</w:t>
      </w:r>
      <w:r>
        <w:rPr>
          <w:rFonts w:eastAsia="Calibri" w:cs="Calibri"/>
        </w:rPr>
        <w:t>3</w:t>
      </w:r>
      <w:r w:rsidRPr="00E46CAD">
        <w:rPr>
          <w:rFonts w:eastAsia="Calibri" w:cs="Calibri"/>
        </w:rPr>
        <w:t xml:space="preserve"> Comprehensive FAME Report.</w:t>
      </w:r>
    </w:p>
    <w:p w14:paraId="6975C73F" w14:textId="77777777" w:rsidR="00733729" w:rsidRPr="001C1E47" w:rsidRDefault="00733729" w:rsidP="00783189">
      <w:pPr>
        <w:widowControl/>
        <w:autoSpaceDE/>
        <w:autoSpaceDN/>
        <w:adjustRightInd/>
        <w:rPr>
          <w:rFonts w:cs="Calibri"/>
          <w:u w:val="single"/>
        </w:rPr>
      </w:pPr>
    </w:p>
    <w:p w14:paraId="66699C18" w14:textId="77777777" w:rsidR="00A33959" w:rsidRPr="0061362E" w:rsidRDefault="00785B2E" w:rsidP="00783189">
      <w:pPr>
        <w:widowControl/>
        <w:autoSpaceDE/>
        <w:autoSpaceDN/>
        <w:adjustRightInd/>
        <w:rPr>
          <w:rFonts w:cs="Calibri"/>
          <w:b/>
          <w:bCs/>
          <w:i/>
        </w:rPr>
      </w:pPr>
      <w:r w:rsidRPr="0061362E">
        <w:rPr>
          <w:rFonts w:cs="Calibri"/>
          <w:b/>
          <w:bCs/>
        </w:rPr>
        <w:t xml:space="preserve">Continued </w:t>
      </w:r>
      <w:r w:rsidR="007C0A36" w:rsidRPr="0061362E">
        <w:rPr>
          <w:rFonts w:cs="Calibri"/>
          <w:b/>
          <w:bCs/>
        </w:rPr>
        <w:t>Findings</w:t>
      </w:r>
      <w:r w:rsidR="00391D6F" w:rsidRPr="0061362E">
        <w:rPr>
          <w:rFonts w:cs="Calibri"/>
          <w:b/>
          <w:bCs/>
        </w:rPr>
        <w:t xml:space="preserve"> </w:t>
      </w:r>
    </w:p>
    <w:p w14:paraId="7C96273F" w14:textId="77777777" w:rsidR="00A33959" w:rsidRPr="001C1E47" w:rsidRDefault="00A33959" w:rsidP="00783189">
      <w:pPr>
        <w:widowControl/>
        <w:tabs>
          <w:tab w:val="center" w:pos="270"/>
          <w:tab w:val="left" w:pos="360"/>
        </w:tabs>
        <w:autoSpaceDE/>
        <w:autoSpaceDN/>
        <w:adjustRightInd/>
        <w:rPr>
          <w:rFonts w:eastAsia="Calibri" w:cs="Calibri"/>
          <w:b/>
        </w:rPr>
      </w:pPr>
    </w:p>
    <w:p w14:paraId="3865E316" w14:textId="6CAB3B14" w:rsidR="00D53722" w:rsidRPr="00D53722" w:rsidRDefault="00D53722" w:rsidP="00D53722">
      <w:pPr>
        <w:rPr>
          <w:rFonts w:eastAsia="Calibri" w:cs="Calibri"/>
        </w:rPr>
      </w:pPr>
      <w:r w:rsidRPr="00D53722">
        <w:rPr>
          <w:rFonts w:eastAsia="Calibri" w:cs="Calibri"/>
        </w:rPr>
        <w:t>There were no findings in the FY 202</w:t>
      </w:r>
      <w:r>
        <w:rPr>
          <w:rFonts w:eastAsia="Calibri" w:cs="Calibri"/>
        </w:rPr>
        <w:t>3</w:t>
      </w:r>
      <w:r w:rsidRPr="00D53722">
        <w:rPr>
          <w:rFonts w:eastAsia="Calibri" w:cs="Calibri"/>
        </w:rPr>
        <w:t xml:space="preserve"> Comprehensive FAME Report.</w:t>
      </w:r>
    </w:p>
    <w:p w14:paraId="5203498B" w14:textId="77777777" w:rsidR="00783189" w:rsidRPr="001C1E47" w:rsidRDefault="00783189" w:rsidP="00783189">
      <w:pPr>
        <w:widowControl/>
        <w:autoSpaceDE/>
        <w:autoSpaceDN/>
        <w:adjustRightInd/>
        <w:rPr>
          <w:rFonts w:cs="Calibri"/>
          <w:u w:val="single"/>
        </w:rPr>
      </w:pPr>
    </w:p>
    <w:p w14:paraId="63292A44" w14:textId="7F8C8064" w:rsidR="00443054" w:rsidRPr="0061362E" w:rsidRDefault="00443054" w:rsidP="00E44D46">
      <w:pPr>
        <w:rPr>
          <w:b/>
          <w:bCs/>
        </w:rPr>
      </w:pPr>
      <w:r w:rsidRPr="0061362E">
        <w:rPr>
          <w:b/>
          <w:bCs/>
        </w:rPr>
        <w:t xml:space="preserve">New FY </w:t>
      </w:r>
      <w:r w:rsidR="007C0A36" w:rsidRPr="0061362E">
        <w:rPr>
          <w:b/>
          <w:bCs/>
        </w:rPr>
        <w:t>2</w:t>
      </w:r>
      <w:r w:rsidR="007C0A36" w:rsidRPr="001E1905">
        <w:rPr>
          <w:b/>
          <w:bCs/>
        </w:rPr>
        <w:t>0</w:t>
      </w:r>
      <w:r w:rsidR="001E1905" w:rsidRPr="001E1905">
        <w:rPr>
          <w:b/>
          <w:bCs/>
        </w:rPr>
        <w:t>24</w:t>
      </w:r>
      <w:r w:rsidR="007C0A36" w:rsidRPr="001E1905">
        <w:rPr>
          <w:b/>
          <w:bCs/>
        </w:rPr>
        <w:t xml:space="preserve"> </w:t>
      </w:r>
      <w:r w:rsidRPr="0061362E">
        <w:rPr>
          <w:b/>
          <w:bCs/>
        </w:rPr>
        <w:t>Finding</w:t>
      </w:r>
      <w:r w:rsidR="0061362E">
        <w:rPr>
          <w:b/>
          <w:bCs/>
        </w:rPr>
        <w:t>s</w:t>
      </w:r>
    </w:p>
    <w:p w14:paraId="3D476B90" w14:textId="77777777" w:rsidR="00443054" w:rsidRPr="001C1E47" w:rsidRDefault="00443054" w:rsidP="00783189">
      <w:pPr>
        <w:widowControl/>
        <w:autoSpaceDE/>
        <w:autoSpaceDN/>
        <w:adjustRightInd/>
        <w:rPr>
          <w:rFonts w:cs="Calibri"/>
          <w:u w:val="single"/>
        </w:rPr>
      </w:pPr>
    </w:p>
    <w:p w14:paraId="305CD815" w14:textId="72E26B5C" w:rsidR="001E1905" w:rsidRPr="001E1905" w:rsidRDefault="001E1905" w:rsidP="001E1905">
      <w:pPr>
        <w:rPr>
          <w:rFonts w:eastAsia="Calibri" w:cs="Calibri"/>
        </w:rPr>
      </w:pPr>
      <w:r w:rsidRPr="001E1905">
        <w:rPr>
          <w:rFonts w:eastAsia="Calibri" w:cs="Calibri"/>
        </w:rPr>
        <w:t>There are no new findings in the FY 202</w:t>
      </w:r>
      <w:r>
        <w:rPr>
          <w:rFonts w:eastAsia="Calibri" w:cs="Calibri"/>
        </w:rPr>
        <w:t>4</w:t>
      </w:r>
      <w:r w:rsidRPr="001E1905">
        <w:rPr>
          <w:rFonts w:eastAsia="Calibri" w:cs="Calibri"/>
        </w:rPr>
        <w:t xml:space="preserve"> Follow-up FAME Report.</w:t>
      </w:r>
    </w:p>
    <w:p w14:paraId="6E54E3D0" w14:textId="77777777" w:rsidR="00443054" w:rsidRPr="001C1E47" w:rsidRDefault="00443054" w:rsidP="00783189">
      <w:pPr>
        <w:widowControl/>
        <w:autoSpaceDE/>
        <w:autoSpaceDN/>
        <w:adjustRightInd/>
        <w:rPr>
          <w:rFonts w:cs="Calibri"/>
          <w:bCs/>
          <w:highlight w:val="yellow"/>
          <w:u w:val="single"/>
        </w:rPr>
      </w:pPr>
    </w:p>
    <w:p w14:paraId="49B482D8" w14:textId="77777777" w:rsidR="00443054" w:rsidRPr="001C1E47" w:rsidRDefault="00443054" w:rsidP="00E44D46">
      <w:pPr>
        <w:pStyle w:val="Heading4"/>
        <w:rPr>
          <w:b w:val="0"/>
        </w:rPr>
      </w:pPr>
      <w:bookmarkStart w:id="21" w:name="_Toc118900176"/>
      <w:bookmarkStart w:id="22" w:name="_Toc118905015"/>
      <w:r w:rsidRPr="001C1E47">
        <w:t>Observations</w:t>
      </w:r>
      <w:bookmarkEnd w:id="21"/>
      <w:bookmarkEnd w:id="22"/>
    </w:p>
    <w:p w14:paraId="2D0C820B" w14:textId="77777777" w:rsidR="005C1BFC" w:rsidRPr="001C1E47" w:rsidRDefault="005C1BFC" w:rsidP="00783189">
      <w:pPr>
        <w:widowControl/>
        <w:autoSpaceDE/>
        <w:autoSpaceDN/>
        <w:adjustRightInd/>
        <w:rPr>
          <w:rFonts w:cs="Calibri"/>
          <w:bCs/>
          <w:highlight w:val="yellow"/>
          <w:u w:val="single"/>
        </w:rPr>
      </w:pPr>
    </w:p>
    <w:p w14:paraId="53E5B736" w14:textId="4B44DED8" w:rsidR="00D97421" w:rsidRPr="0061362E" w:rsidRDefault="00D97421" w:rsidP="00783189">
      <w:pPr>
        <w:widowControl/>
        <w:autoSpaceDE/>
        <w:autoSpaceDN/>
        <w:adjustRightInd/>
        <w:rPr>
          <w:rFonts w:cs="Calibri"/>
          <w:b/>
          <w:bCs/>
        </w:rPr>
      </w:pPr>
      <w:r w:rsidRPr="0061362E">
        <w:rPr>
          <w:rFonts w:cs="Calibri"/>
          <w:b/>
          <w:bCs/>
        </w:rPr>
        <w:t xml:space="preserve">Closed </w:t>
      </w:r>
      <w:r w:rsidR="0061362E" w:rsidRPr="0061362E">
        <w:rPr>
          <w:rFonts w:cs="Calibri"/>
          <w:b/>
          <w:bCs/>
        </w:rPr>
        <w:t>FY 202</w:t>
      </w:r>
      <w:r w:rsidR="0078743C">
        <w:rPr>
          <w:rFonts w:cs="Calibri"/>
          <w:b/>
          <w:bCs/>
        </w:rPr>
        <w:t>3</w:t>
      </w:r>
      <w:r w:rsidR="0061362E" w:rsidRPr="0061362E">
        <w:rPr>
          <w:rFonts w:cs="Calibri"/>
          <w:b/>
          <w:bCs/>
        </w:rPr>
        <w:t xml:space="preserve"> </w:t>
      </w:r>
      <w:r w:rsidRPr="0061362E">
        <w:rPr>
          <w:rFonts w:cs="Calibri"/>
          <w:b/>
          <w:bCs/>
        </w:rPr>
        <w:t>Observation</w:t>
      </w:r>
      <w:r w:rsidR="00E7030A" w:rsidRPr="0061362E">
        <w:rPr>
          <w:rFonts w:cs="Calibri"/>
          <w:b/>
          <w:bCs/>
        </w:rPr>
        <w:t>s</w:t>
      </w:r>
    </w:p>
    <w:p w14:paraId="03D30150" w14:textId="77777777" w:rsidR="0090108A" w:rsidRPr="001C1E47" w:rsidRDefault="0090108A" w:rsidP="00783189">
      <w:pPr>
        <w:widowControl/>
        <w:autoSpaceDE/>
        <w:autoSpaceDN/>
        <w:adjustRightInd/>
        <w:rPr>
          <w:rFonts w:cs="Calibri"/>
          <w:bCs/>
          <w:i/>
        </w:rPr>
      </w:pPr>
    </w:p>
    <w:p w14:paraId="3812A1DC" w14:textId="7DFE3254" w:rsidR="000E4E94" w:rsidRPr="002B20CB" w:rsidRDefault="005A2A13" w:rsidP="002B20CB">
      <w:pPr>
        <w:widowControl/>
        <w:autoSpaceDE/>
        <w:autoSpaceDN/>
        <w:adjustRightInd/>
        <w:rPr>
          <w:rFonts w:asciiTheme="minorHAnsi" w:hAnsiTheme="minorHAnsi" w:cstheme="minorHAnsi"/>
          <w:b/>
          <w:bCs/>
          <w:iCs/>
        </w:rPr>
      </w:pPr>
      <w:r>
        <w:rPr>
          <w:rFonts w:asciiTheme="minorHAnsi" w:hAnsiTheme="minorHAnsi" w:cstheme="minorHAnsi"/>
          <w:b/>
          <w:bCs/>
          <w:iCs/>
        </w:rPr>
        <w:t xml:space="preserve">Observation </w:t>
      </w:r>
      <w:r w:rsidR="000E4E94" w:rsidRPr="000E4E94">
        <w:rPr>
          <w:rFonts w:asciiTheme="minorHAnsi" w:hAnsiTheme="minorHAnsi" w:cstheme="minorHAnsi"/>
          <w:b/>
          <w:bCs/>
          <w:iCs/>
        </w:rPr>
        <w:t>FY 2023-OB-01</w:t>
      </w:r>
      <w:r w:rsidR="002B20CB">
        <w:rPr>
          <w:rFonts w:asciiTheme="minorHAnsi" w:hAnsiTheme="minorHAnsi" w:cstheme="minorHAnsi"/>
          <w:b/>
          <w:bCs/>
          <w:iCs/>
        </w:rPr>
        <w:t xml:space="preserve"> (previously </w:t>
      </w:r>
      <w:r w:rsidR="002B20CB" w:rsidRPr="002B20CB">
        <w:rPr>
          <w:rFonts w:asciiTheme="minorHAnsi" w:hAnsiTheme="minorHAnsi" w:cstheme="minorHAnsi"/>
          <w:b/>
          <w:bCs/>
          <w:iCs/>
        </w:rPr>
        <w:t>FY 2022-OB-01</w:t>
      </w:r>
      <w:r w:rsidR="00A67821">
        <w:rPr>
          <w:rFonts w:asciiTheme="minorHAnsi" w:hAnsiTheme="minorHAnsi" w:cstheme="minorHAnsi"/>
          <w:b/>
          <w:bCs/>
          <w:iCs/>
        </w:rPr>
        <w:t xml:space="preserve"> </w:t>
      </w:r>
      <w:r w:rsidR="002B20CB">
        <w:rPr>
          <w:rFonts w:asciiTheme="minorHAnsi" w:hAnsiTheme="minorHAnsi" w:cstheme="minorHAnsi"/>
          <w:b/>
          <w:bCs/>
          <w:iCs/>
        </w:rPr>
        <w:t xml:space="preserve">and </w:t>
      </w:r>
      <w:r w:rsidR="002B20CB" w:rsidRPr="002B20CB">
        <w:rPr>
          <w:rFonts w:asciiTheme="minorHAnsi" w:hAnsiTheme="minorHAnsi" w:cstheme="minorHAnsi"/>
          <w:b/>
          <w:bCs/>
          <w:iCs/>
        </w:rPr>
        <w:t>FY 2021-OB-03</w:t>
      </w:r>
      <w:r w:rsidR="002B20CB">
        <w:rPr>
          <w:rFonts w:asciiTheme="minorHAnsi" w:hAnsiTheme="minorHAnsi" w:cstheme="minorHAnsi"/>
          <w:b/>
          <w:bCs/>
          <w:iCs/>
        </w:rPr>
        <w:t>)</w:t>
      </w:r>
      <w:r w:rsidR="00F427CA">
        <w:rPr>
          <w:rFonts w:asciiTheme="minorHAnsi" w:hAnsiTheme="minorHAnsi" w:cstheme="minorHAnsi"/>
          <w:b/>
          <w:bCs/>
          <w:iCs/>
        </w:rPr>
        <w:t xml:space="preserve">: </w:t>
      </w:r>
      <w:r w:rsidR="00F926BC" w:rsidRPr="00F926BC">
        <w:rPr>
          <w:rFonts w:asciiTheme="minorHAnsi" w:hAnsiTheme="minorHAnsi" w:cstheme="minorHAnsi"/>
          <w:iCs/>
        </w:rPr>
        <w:t xml:space="preserve">During FY 2022 and FY 2023, the State Plan issued </w:t>
      </w:r>
      <w:r w:rsidR="007B4080">
        <w:rPr>
          <w:rFonts w:asciiTheme="minorHAnsi" w:hAnsiTheme="minorHAnsi" w:cstheme="minorHAnsi"/>
          <w:iCs/>
        </w:rPr>
        <w:t>failure</w:t>
      </w:r>
      <w:r w:rsidR="005D494D">
        <w:rPr>
          <w:rFonts w:asciiTheme="minorHAnsi" w:hAnsiTheme="minorHAnsi" w:cstheme="minorHAnsi"/>
          <w:iCs/>
        </w:rPr>
        <w:t>-</w:t>
      </w:r>
      <w:r w:rsidR="007B4080">
        <w:rPr>
          <w:rFonts w:asciiTheme="minorHAnsi" w:hAnsiTheme="minorHAnsi" w:cstheme="minorHAnsi"/>
          <w:iCs/>
        </w:rPr>
        <w:t>to</w:t>
      </w:r>
      <w:r w:rsidR="005D494D">
        <w:rPr>
          <w:rFonts w:asciiTheme="minorHAnsi" w:hAnsiTheme="minorHAnsi" w:cstheme="minorHAnsi"/>
          <w:iCs/>
        </w:rPr>
        <w:t>-</w:t>
      </w:r>
      <w:r w:rsidR="007B4080">
        <w:rPr>
          <w:rFonts w:asciiTheme="minorHAnsi" w:hAnsiTheme="minorHAnsi" w:cstheme="minorHAnsi"/>
          <w:iCs/>
        </w:rPr>
        <w:t>abate (</w:t>
      </w:r>
      <w:r w:rsidR="00F926BC" w:rsidRPr="00F926BC">
        <w:rPr>
          <w:rFonts w:asciiTheme="minorHAnsi" w:hAnsiTheme="minorHAnsi" w:cstheme="minorHAnsi"/>
          <w:iCs/>
        </w:rPr>
        <w:t>FTA</w:t>
      </w:r>
      <w:r w:rsidR="007B4080">
        <w:rPr>
          <w:rFonts w:asciiTheme="minorHAnsi" w:hAnsiTheme="minorHAnsi" w:cstheme="minorHAnsi"/>
          <w:iCs/>
        </w:rPr>
        <w:t>)</w:t>
      </w:r>
      <w:r w:rsidR="00F926BC" w:rsidRPr="00F926BC">
        <w:rPr>
          <w:rFonts w:asciiTheme="minorHAnsi" w:hAnsiTheme="minorHAnsi" w:cstheme="minorHAnsi"/>
          <w:iCs/>
        </w:rPr>
        <w:t xml:space="preserve"> violations to four employers.  The four inspections resulted in seven FTA violations, but the penalty amounts for the inspections were significantly below those outlined by UOSH’s </w:t>
      </w:r>
      <w:r w:rsidR="007B4080">
        <w:rPr>
          <w:rFonts w:asciiTheme="minorHAnsi" w:hAnsiTheme="minorHAnsi" w:cstheme="minorHAnsi"/>
          <w:iCs/>
        </w:rPr>
        <w:t>Field Operations Manual (</w:t>
      </w:r>
      <w:r w:rsidR="00F926BC" w:rsidRPr="00F926BC">
        <w:rPr>
          <w:rFonts w:asciiTheme="minorHAnsi" w:hAnsiTheme="minorHAnsi" w:cstheme="minorHAnsi"/>
          <w:iCs/>
        </w:rPr>
        <w:t>FOM</w:t>
      </w:r>
      <w:r w:rsidR="007B4080">
        <w:rPr>
          <w:rFonts w:asciiTheme="minorHAnsi" w:hAnsiTheme="minorHAnsi" w:cstheme="minorHAnsi"/>
          <w:iCs/>
        </w:rPr>
        <w:t>)</w:t>
      </w:r>
      <w:r w:rsidR="00F926BC" w:rsidRPr="00F926BC">
        <w:rPr>
          <w:rFonts w:asciiTheme="minorHAnsi" w:hAnsiTheme="minorHAnsi" w:cstheme="minorHAnsi"/>
          <w:iCs/>
        </w:rPr>
        <w:t xml:space="preserve"> for FTA violations.</w:t>
      </w:r>
    </w:p>
    <w:p w14:paraId="269F01EA" w14:textId="77777777" w:rsidR="0090108A" w:rsidRPr="001C1E47" w:rsidRDefault="0090108A" w:rsidP="00783189">
      <w:pPr>
        <w:widowControl/>
        <w:autoSpaceDE/>
        <w:autoSpaceDN/>
        <w:adjustRightInd/>
        <w:rPr>
          <w:rFonts w:cs="Calibri"/>
          <w:bCs/>
        </w:rPr>
      </w:pPr>
    </w:p>
    <w:p w14:paraId="3D1946E0" w14:textId="719C6B59" w:rsidR="0090108A" w:rsidRDefault="0090108A" w:rsidP="00783189">
      <w:pPr>
        <w:widowControl/>
        <w:autoSpaceDE/>
        <w:autoSpaceDN/>
        <w:adjustRightInd/>
        <w:rPr>
          <w:rFonts w:cs="Calibri"/>
          <w:bCs/>
          <w:color w:val="0070C0"/>
        </w:rPr>
      </w:pPr>
      <w:r w:rsidRPr="001C1E47">
        <w:rPr>
          <w:rFonts w:cs="Calibri"/>
          <w:b/>
          <w:bCs/>
        </w:rPr>
        <w:t>Status:</w:t>
      </w:r>
      <w:r w:rsidRPr="001C1E47">
        <w:rPr>
          <w:rFonts w:cs="Calibri"/>
          <w:bCs/>
        </w:rPr>
        <w:t xml:space="preserve"> </w:t>
      </w:r>
      <w:r w:rsidR="00755665">
        <w:t xml:space="preserve">During FY 2022, UOSH developed a written policy regarding FTA </w:t>
      </w:r>
      <w:r w:rsidR="00E726F6">
        <w:t>violations</w:t>
      </w:r>
      <w:r w:rsidR="00755665">
        <w:t xml:space="preserve"> and </w:t>
      </w:r>
      <w:r w:rsidR="00742148">
        <w:t xml:space="preserve">the </w:t>
      </w:r>
      <w:r w:rsidR="00755665">
        <w:t>calculation of penalt</w:t>
      </w:r>
      <w:r w:rsidR="004B2F6D">
        <w:t>ies</w:t>
      </w:r>
      <w:r w:rsidR="00755665">
        <w:t>.  UOSH provided training to CSHOs and managers</w:t>
      </w:r>
      <w:r w:rsidR="008F7EF6">
        <w:t xml:space="preserve"> regarding the </w:t>
      </w:r>
      <w:r w:rsidR="0012013C">
        <w:t>UOSH FOM and FTA violations and penalties</w:t>
      </w:r>
      <w:r w:rsidR="00755665">
        <w:t xml:space="preserve">.  During FY 2024, UOSH </w:t>
      </w:r>
      <w:r w:rsidR="005D5F06">
        <w:t xml:space="preserve">also </w:t>
      </w:r>
      <w:r w:rsidR="00755665">
        <w:t xml:space="preserve">developed an FTA penalty calculator </w:t>
      </w:r>
      <w:r w:rsidR="00630F64">
        <w:t>for</w:t>
      </w:r>
      <w:r w:rsidR="00755665">
        <w:t xml:space="preserve"> supervisors </w:t>
      </w:r>
      <w:r w:rsidR="00630F64">
        <w:t xml:space="preserve">to use </w:t>
      </w:r>
      <w:r w:rsidR="00F456D9">
        <w:t xml:space="preserve">when determining penalties.  </w:t>
      </w:r>
      <w:r w:rsidR="008E679D">
        <w:t xml:space="preserve">There were no FTA violations issued </w:t>
      </w:r>
      <w:r w:rsidR="00433A53">
        <w:t>in</w:t>
      </w:r>
      <w:r w:rsidR="008E679D">
        <w:t xml:space="preserve"> FY 2024</w:t>
      </w:r>
      <w:r w:rsidR="000226B9">
        <w:t>;</w:t>
      </w:r>
      <w:r w:rsidR="008E679D">
        <w:t xml:space="preserve"> however, </w:t>
      </w:r>
      <w:r w:rsidR="0032662E">
        <w:t xml:space="preserve">since </w:t>
      </w:r>
      <w:r w:rsidR="008E679D">
        <w:t xml:space="preserve">the State Plan developed and implemented measures to ensure that penalty amounts </w:t>
      </w:r>
      <w:r w:rsidR="000E7DC6">
        <w:t>compl</w:t>
      </w:r>
      <w:r w:rsidR="00CF420D">
        <w:t>ied</w:t>
      </w:r>
      <w:r w:rsidR="000E7DC6">
        <w:t xml:space="preserve"> with </w:t>
      </w:r>
      <w:r w:rsidR="00A21EFC">
        <w:t>UOSH’s FOM</w:t>
      </w:r>
      <w:r w:rsidR="0032662E">
        <w:t>,</w:t>
      </w:r>
      <w:r w:rsidR="00A21EFC">
        <w:t xml:space="preserve"> </w:t>
      </w:r>
      <w:r w:rsidR="007A440E">
        <w:rPr>
          <w:rFonts w:cs="Calibri"/>
          <w:bCs/>
        </w:rPr>
        <w:t>t</w:t>
      </w:r>
      <w:r w:rsidR="00EA4B05" w:rsidRPr="00664020">
        <w:rPr>
          <w:rFonts w:cs="Calibri"/>
          <w:bCs/>
        </w:rPr>
        <w:t>his observation is closed.</w:t>
      </w:r>
    </w:p>
    <w:p w14:paraId="5374FDB3" w14:textId="77777777" w:rsidR="00666435" w:rsidRDefault="00666435" w:rsidP="00783189">
      <w:pPr>
        <w:widowControl/>
        <w:autoSpaceDE/>
        <w:autoSpaceDN/>
        <w:adjustRightInd/>
        <w:rPr>
          <w:rFonts w:cs="Calibri"/>
          <w:bCs/>
          <w:color w:val="0070C0"/>
        </w:rPr>
      </w:pPr>
    </w:p>
    <w:p w14:paraId="0683A326" w14:textId="687D1634" w:rsidR="00666435" w:rsidRDefault="00EC3EF8" w:rsidP="00783189">
      <w:pPr>
        <w:widowControl/>
        <w:autoSpaceDE/>
        <w:autoSpaceDN/>
        <w:adjustRightInd/>
        <w:rPr>
          <w:rFonts w:cs="Calibri"/>
          <w:bCs/>
        </w:rPr>
      </w:pPr>
      <w:r>
        <w:rPr>
          <w:rFonts w:asciiTheme="minorHAnsi" w:hAnsiTheme="minorHAnsi" w:cstheme="minorHAnsi"/>
          <w:b/>
          <w:bCs/>
          <w:iCs/>
        </w:rPr>
        <w:t xml:space="preserve">Observation </w:t>
      </w:r>
      <w:r w:rsidR="00666435" w:rsidRPr="000E4E94">
        <w:rPr>
          <w:rFonts w:asciiTheme="minorHAnsi" w:hAnsiTheme="minorHAnsi" w:cstheme="minorHAnsi"/>
          <w:b/>
          <w:bCs/>
          <w:iCs/>
        </w:rPr>
        <w:t>FY 2023-OB-0</w:t>
      </w:r>
      <w:r w:rsidR="00666435">
        <w:rPr>
          <w:rFonts w:asciiTheme="minorHAnsi" w:hAnsiTheme="minorHAnsi" w:cstheme="minorHAnsi"/>
          <w:b/>
          <w:bCs/>
          <w:iCs/>
        </w:rPr>
        <w:t xml:space="preserve">6: </w:t>
      </w:r>
      <w:r w:rsidR="00666435" w:rsidRPr="00666435">
        <w:rPr>
          <w:rFonts w:cs="Calibri"/>
          <w:bCs/>
        </w:rPr>
        <w:t>Three of three (100%) standards promulgated during the period FY 2020 through FY 2023 and whose State Plan adoption deadlines were within the same period were not adopted in a timely manner.  UOSH has not implemented a process to adopt standards by their required deadlines.</w:t>
      </w:r>
    </w:p>
    <w:p w14:paraId="7C233FE2" w14:textId="77777777" w:rsidR="00666435" w:rsidRDefault="00666435" w:rsidP="00783189">
      <w:pPr>
        <w:widowControl/>
        <w:autoSpaceDE/>
        <w:autoSpaceDN/>
        <w:adjustRightInd/>
        <w:rPr>
          <w:rFonts w:cs="Calibri"/>
          <w:bCs/>
        </w:rPr>
      </w:pPr>
    </w:p>
    <w:p w14:paraId="6D232C03" w14:textId="7D24D2F7" w:rsidR="00666435" w:rsidRPr="00666435" w:rsidRDefault="00666435" w:rsidP="00783189">
      <w:pPr>
        <w:widowControl/>
        <w:autoSpaceDE/>
        <w:autoSpaceDN/>
        <w:adjustRightInd/>
        <w:rPr>
          <w:rFonts w:cs="Calibri"/>
          <w:bCs/>
          <w:color w:val="0070C0"/>
        </w:rPr>
      </w:pPr>
      <w:r w:rsidRPr="001C1E47">
        <w:rPr>
          <w:rFonts w:cs="Calibri"/>
          <w:b/>
          <w:bCs/>
        </w:rPr>
        <w:t>Status:</w:t>
      </w:r>
      <w:r w:rsidRPr="001C1E47">
        <w:rPr>
          <w:rFonts w:cs="Calibri"/>
          <w:bCs/>
        </w:rPr>
        <w:t xml:space="preserve"> </w:t>
      </w:r>
      <w:r w:rsidRPr="00906C19">
        <w:rPr>
          <w:rFonts w:cs="Calibri"/>
          <w:bCs/>
        </w:rPr>
        <w:t>In FY 20</w:t>
      </w:r>
      <w:r w:rsidR="00906C19" w:rsidRPr="00906C19">
        <w:rPr>
          <w:rFonts w:cs="Calibri"/>
          <w:bCs/>
        </w:rPr>
        <w:t>24</w:t>
      </w:r>
      <w:r w:rsidRPr="00906C19">
        <w:rPr>
          <w:rFonts w:cs="Calibri"/>
          <w:bCs/>
        </w:rPr>
        <w:t xml:space="preserve">, </w:t>
      </w:r>
      <w:r w:rsidR="006E643C">
        <w:rPr>
          <w:rFonts w:cs="Calibri"/>
          <w:bCs/>
        </w:rPr>
        <w:t>UOSH</w:t>
      </w:r>
      <w:r w:rsidRPr="00906C19">
        <w:rPr>
          <w:rFonts w:cs="Calibri"/>
          <w:bCs/>
        </w:rPr>
        <w:t xml:space="preserve"> </w:t>
      </w:r>
      <w:r w:rsidR="001261C2">
        <w:rPr>
          <w:rFonts w:cs="Calibri"/>
          <w:bCs/>
        </w:rPr>
        <w:t xml:space="preserve">evaluated its process for adoption of OSHA standards. </w:t>
      </w:r>
      <w:r w:rsidR="00783766">
        <w:rPr>
          <w:rFonts w:cs="Calibri"/>
          <w:bCs/>
        </w:rPr>
        <w:t xml:space="preserve"> Prior to FY 2024, the State Plan </w:t>
      </w:r>
      <w:r w:rsidR="0019511B">
        <w:rPr>
          <w:rFonts w:cs="Calibri"/>
          <w:bCs/>
        </w:rPr>
        <w:t>adopted</w:t>
      </w:r>
      <w:r w:rsidR="00723327">
        <w:rPr>
          <w:rFonts w:cs="Calibri"/>
          <w:bCs/>
        </w:rPr>
        <w:t xml:space="preserve"> </w:t>
      </w:r>
      <w:r w:rsidR="00DE3BFE">
        <w:rPr>
          <w:rFonts w:cs="Calibri"/>
          <w:bCs/>
        </w:rPr>
        <w:t xml:space="preserve">OSHA standards </w:t>
      </w:r>
      <w:r w:rsidR="002D1B61">
        <w:rPr>
          <w:rFonts w:cs="Calibri"/>
          <w:bCs/>
        </w:rPr>
        <w:t xml:space="preserve">only </w:t>
      </w:r>
      <w:r w:rsidR="00DE3BFE">
        <w:rPr>
          <w:rFonts w:cs="Calibri"/>
          <w:bCs/>
        </w:rPr>
        <w:t>once per year</w:t>
      </w:r>
      <w:r w:rsidR="005545E0">
        <w:rPr>
          <w:rFonts w:cs="Calibri"/>
          <w:bCs/>
        </w:rPr>
        <w:t xml:space="preserve"> following publication of</w:t>
      </w:r>
      <w:r w:rsidR="004370E1">
        <w:rPr>
          <w:rFonts w:cs="Calibri"/>
          <w:bCs/>
        </w:rPr>
        <w:t xml:space="preserve"> the</w:t>
      </w:r>
      <w:r w:rsidR="005545E0">
        <w:rPr>
          <w:rFonts w:cs="Calibri"/>
          <w:bCs/>
        </w:rPr>
        <w:t xml:space="preserve"> Code of Federal Regulations </w:t>
      </w:r>
      <w:r w:rsidR="006059D2">
        <w:rPr>
          <w:rFonts w:cs="Calibri"/>
          <w:bCs/>
        </w:rPr>
        <w:t xml:space="preserve">for OSHA </w:t>
      </w:r>
      <w:r w:rsidR="00723327">
        <w:rPr>
          <w:rFonts w:cs="Calibri"/>
          <w:bCs/>
        </w:rPr>
        <w:t xml:space="preserve">in July of each year.  </w:t>
      </w:r>
      <w:r w:rsidR="008535F1">
        <w:rPr>
          <w:rFonts w:cs="Calibri"/>
          <w:bCs/>
        </w:rPr>
        <w:t xml:space="preserve">This process was done to </w:t>
      </w:r>
      <w:r w:rsidR="00D30D98">
        <w:rPr>
          <w:rFonts w:cs="Calibri"/>
          <w:bCs/>
        </w:rPr>
        <w:t>allow</w:t>
      </w:r>
      <w:r w:rsidR="00FB0361">
        <w:rPr>
          <w:rFonts w:cs="Calibri"/>
          <w:bCs/>
        </w:rPr>
        <w:t xml:space="preserve"> </w:t>
      </w:r>
      <w:r w:rsidR="00A42104">
        <w:rPr>
          <w:rFonts w:cs="Calibri"/>
          <w:bCs/>
        </w:rPr>
        <w:t>the adoption</w:t>
      </w:r>
      <w:r w:rsidR="00FB0361">
        <w:rPr>
          <w:rFonts w:cs="Calibri"/>
          <w:bCs/>
        </w:rPr>
        <w:t xml:space="preserve"> of all standards promulgated prior to the July publication as a group rather than individually.  </w:t>
      </w:r>
      <w:r w:rsidR="0019511B">
        <w:rPr>
          <w:rFonts w:cs="Calibri"/>
          <w:bCs/>
        </w:rPr>
        <w:t>This process</w:t>
      </w:r>
      <w:r w:rsidR="00CC58EC">
        <w:rPr>
          <w:rFonts w:cs="Calibri"/>
          <w:bCs/>
        </w:rPr>
        <w:t xml:space="preserve"> resulted in significant delays </w:t>
      </w:r>
      <w:r w:rsidR="004A7377">
        <w:rPr>
          <w:rFonts w:cs="Calibri"/>
          <w:bCs/>
        </w:rPr>
        <w:t xml:space="preserve">in </w:t>
      </w:r>
      <w:r w:rsidR="007734F5">
        <w:rPr>
          <w:rFonts w:cs="Calibri"/>
          <w:bCs/>
        </w:rPr>
        <w:t>adopting OSHA standards</w:t>
      </w:r>
      <w:r w:rsidR="00DE3BFE">
        <w:rPr>
          <w:rFonts w:cs="Calibri"/>
          <w:bCs/>
        </w:rPr>
        <w:t xml:space="preserve">. </w:t>
      </w:r>
      <w:r w:rsidR="001261C2">
        <w:rPr>
          <w:rFonts w:cs="Calibri"/>
          <w:bCs/>
        </w:rPr>
        <w:t xml:space="preserve"> </w:t>
      </w:r>
      <w:r w:rsidR="00747CDC">
        <w:rPr>
          <w:rFonts w:cs="Calibri"/>
          <w:bCs/>
        </w:rPr>
        <w:t>During FY 2024, t</w:t>
      </w:r>
      <w:r w:rsidR="000961A3">
        <w:rPr>
          <w:rFonts w:cs="Calibri"/>
          <w:bCs/>
        </w:rPr>
        <w:t xml:space="preserve">he State Plan </w:t>
      </w:r>
      <w:r w:rsidR="00186C46">
        <w:rPr>
          <w:rFonts w:cs="Calibri"/>
          <w:bCs/>
        </w:rPr>
        <w:t>began adopti</w:t>
      </w:r>
      <w:r w:rsidR="0019511B">
        <w:rPr>
          <w:rFonts w:cs="Calibri"/>
          <w:bCs/>
        </w:rPr>
        <w:t xml:space="preserve">ng </w:t>
      </w:r>
      <w:r w:rsidR="00186C46">
        <w:rPr>
          <w:rFonts w:cs="Calibri"/>
          <w:bCs/>
        </w:rPr>
        <w:t xml:space="preserve">standards individually rather than </w:t>
      </w:r>
      <w:r w:rsidR="0098724F">
        <w:rPr>
          <w:rFonts w:cs="Calibri"/>
          <w:bCs/>
        </w:rPr>
        <w:t xml:space="preserve">as a group </w:t>
      </w:r>
      <w:r w:rsidR="00186C46">
        <w:rPr>
          <w:rFonts w:cs="Calibri"/>
          <w:bCs/>
        </w:rPr>
        <w:t xml:space="preserve">once per </w:t>
      </w:r>
      <w:r w:rsidR="005545E0">
        <w:rPr>
          <w:rFonts w:cs="Calibri"/>
          <w:bCs/>
        </w:rPr>
        <w:t>year</w:t>
      </w:r>
      <w:r w:rsidR="00E44227">
        <w:rPr>
          <w:rFonts w:cs="Calibri"/>
          <w:bCs/>
        </w:rPr>
        <w:t xml:space="preserve"> to ensure adoption of </w:t>
      </w:r>
      <w:r w:rsidR="00FB0361">
        <w:rPr>
          <w:rFonts w:cs="Calibri"/>
          <w:bCs/>
        </w:rPr>
        <w:t xml:space="preserve">each new </w:t>
      </w:r>
      <w:r w:rsidR="00E44227">
        <w:rPr>
          <w:rFonts w:cs="Calibri"/>
          <w:bCs/>
        </w:rPr>
        <w:t xml:space="preserve">standard by </w:t>
      </w:r>
      <w:r w:rsidR="00FB0361">
        <w:rPr>
          <w:rFonts w:cs="Calibri"/>
          <w:bCs/>
        </w:rPr>
        <w:t>its</w:t>
      </w:r>
      <w:r w:rsidR="00E44227">
        <w:rPr>
          <w:rFonts w:cs="Calibri"/>
          <w:bCs/>
        </w:rPr>
        <w:t xml:space="preserve"> adoption deadline.  </w:t>
      </w:r>
      <w:r w:rsidR="00187D96">
        <w:rPr>
          <w:rFonts w:cs="Calibri"/>
          <w:bCs/>
        </w:rPr>
        <w:t xml:space="preserve">OSHA </w:t>
      </w:r>
      <w:r w:rsidR="00D835DB">
        <w:rPr>
          <w:rFonts w:cs="Calibri"/>
          <w:bCs/>
        </w:rPr>
        <w:t xml:space="preserve">promulgated three non-civil penalty-related </w:t>
      </w:r>
      <w:r w:rsidR="0029773E">
        <w:rPr>
          <w:rFonts w:cs="Calibri"/>
          <w:bCs/>
        </w:rPr>
        <w:t>standards between FY 2023 and FY 2024.</w:t>
      </w:r>
      <w:r w:rsidR="00292DC5">
        <w:rPr>
          <w:rFonts w:cs="Calibri"/>
          <w:bCs/>
        </w:rPr>
        <w:t xml:space="preserve">  </w:t>
      </w:r>
      <w:r w:rsidR="00FE39BD">
        <w:rPr>
          <w:rFonts w:cs="Calibri"/>
          <w:bCs/>
        </w:rPr>
        <w:t>UOSH</w:t>
      </w:r>
      <w:r w:rsidR="003425AA">
        <w:rPr>
          <w:rFonts w:cs="Calibri"/>
          <w:bCs/>
        </w:rPr>
        <w:t xml:space="preserve"> adopted the two </w:t>
      </w:r>
      <w:r w:rsidR="00E03EEA">
        <w:rPr>
          <w:rFonts w:cs="Calibri"/>
          <w:bCs/>
        </w:rPr>
        <w:t>FY 2024</w:t>
      </w:r>
      <w:r w:rsidR="003425AA">
        <w:rPr>
          <w:rFonts w:cs="Calibri"/>
          <w:bCs/>
        </w:rPr>
        <w:t xml:space="preserve"> standards, </w:t>
      </w:r>
      <w:r w:rsidR="00B35801">
        <w:rPr>
          <w:rFonts w:cs="Calibri"/>
          <w:bCs/>
        </w:rPr>
        <w:t xml:space="preserve">the </w:t>
      </w:r>
      <w:r w:rsidR="00620DE4" w:rsidRPr="00620DE4">
        <w:rPr>
          <w:rFonts w:cs="Calibri"/>
          <w:bCs/>
        </w:rPr>
        <w:t>Final Rule on the Hazard Communication</w:t>
      </w:r>
      <w:r w:rsidR="002F7420">
        <w:rPr>
          <w:rFonts w:cs="Calibri"/>
          <w:bCs/>
        </w:rPr>
        <w:t xml:space="preserve"> Standard</w:t>
      </w:r>
      <w:r w:rsidR="00B35801">
        <w:rPr>
          <w:rFonts w:cs="Calibri"/>
          <w:bCs/>
        </w:rPr>
        <w:t xml:space="preserve"> and the </w:t>
      </w:r>
      <w:r w:rsidR="00A16AE2" w:rsidRPr="00A16AE2">
        <w:rPr>
          <w:rFonts w:cs="Calibri"/>
          <w:bCs/>
        </w:rPr>
        <w:t>Worker Walkaround Representative Designation Process</w:t>
      </w:r>
      <w:r w:rsidR="003425AA">
        <w:rPr>
          <w:rFonts w:cs="Calibri"/>
          <w:bCs/>
        </w:rPr>
        <w:t xml:space="preserve">, by their </w:t>
      </w:r>
      <w:r w:rsidR="000B4CA8">
        <w:rPr>
          <w:rFonts w:cs="Calibri"/>
          <w:bCs/>
        </w:rPr>
        <w:t xml:space="preserve">adoption </w:t>
      </w:r>
      <w:r w:rsidR="003425AA">
        <w:rPr>
          <w:rFonts w:cs="Calibri"/>
          <w:bCs/>
        </w:rPr>
        <w:t xml:space="preserve">deadlines and </w:t>
      </w:r>
      <w:r w:rsidR="00B86B5F">
        <w:rPr>
          <w:rFonts w:cs="Calibri"/>
          <w:bCs/>
        </w:rPr>
        <w:t xml:space="preserve">adopted </w:t>
      </w:r>
      <w:r w:rsidR="00E03EEA">
        <w:rPr>
          <w:rFonts w:cs="Calibri"/>
          <w:bCs/>
        </w:rPr>
        <w:t xml:space="preserve">the FY 2023 rule, </w:t>
      </w:r>
      <w:r w:rsidR="000D6646">
        <w:rPr>
          <w:rFonts w:cs="Calibri"/>
          <w:bCs/>
        </w:rPr>
        <w:t xml:space="preserve">the </w:t>
      </w:r>
      <w:r w:rsidR="000D6646" w:rsidRPr="000D6646">
        <w:rPr>
          <w:rFonts w:cs="Calibri"/>
          <w:bCs/>
        </w:rPr>
        <w:t xml:space="preserve">Final Rule to </w:t>
      </w:r>
      <w:r w:rsidR="000D6646" w:rsidRPr="000D6646">
        <w:rPr>
          <w:rFonts w:cs="Calibri"/>
          <w:bCs/>
        </w:rPr>
        <w:lastRenderedPageBreak/>
        <w:t>Improve Tracking of Workplace Injuries and Illnesses</w:t>
      </w:r>
      <w:r w:rsidR="00E03EEA">
        <w:rPr>
          <w:rFonts w:cs="Calibri"/>
          <w:bCs/>
        </w:rPr>
        <w:t xml:space="preserve">, within five months of its deadline.  </w:t>
      </w:r>
      <w:r w:rsidRPr="00664020">
        <w:rPr>
          <w:rFonts w:cs="Calibri"/>
          <w:bCs/>
        </w:rPr>
        <w:t>This observation is closed.</w:t>
      </w:r>
    </w:p>
    <w:p w14:paraId="0DC0C330" w14:textId="77777777" w:rsidR="00EA4B05" w:rsidRPr="001C1E47" w:rsidRDefault="00EA4B05" w:rsidP="00783189">
      <w:pPr>
        <w:widowControl/>
        <w:autoSpaceDE/>
        <w:autoSpaceDN/>
        <w:adjustRightInd/>
        <w:rPr>
          <w:rFonts w:cs="Calibri"/>
          <w:bCs/>
        </w:rPr>
      </w:pPr>
    </w:p>
    <w:p w14:paraId="3FD36F1E" w14:textId="45313966" w:rsidR="00EA4B05" w:rsidRDefault="004E505A" w:rsidP="00783189">
      <w:pPr>
        <w:widowControl/>
        <w:autoSpaceDE/>
        <w:autoSpaceDN/>
        <w:adjustRightInd/>
        <w:rPr>
          <w:rFonts w:cs="Calibri"/>
          <w:b/>
        </w:rPr>
      </w:pPr>
      <w:r w:rsidRPr="0061362E">
        <w:rPr>
          <w:rFonts w:cs="Calibri"/>
          <w:b/>
        </w:rPr>
        <w:t xml:space="preserve">Continued </w:t>
      </w:r>
      <w:r w:rsidR="00054416" w:rsidRPr="0061362E">
        <w:rPr>
          <w:rFonts w:cs="Calibri"/>
          <w:b/>
        </w:rPr>
        <w:t xml:space="preserve">FY </w:t>
      </w:r>
      <w:r w:rsidR="007C0A36" w:rsidRPr="0061362E">
        <w:rPr>
          <w:rFonts w:cs="Calibri"/>
          <w:b/>
        </w:rPr>
        <w:t>20</w:t>
      </w:r>
      <w:r w:rsidR="00664020" w:rsidRPr="00664020">
        <w:rPr>
          <w:rFonts w:cs="Calibri"/>
          <w:b/>
        </w:rPr>
        <w:t>23</w:t>
      </w:r>
      <w:r w:rsidR="007C0A36" w:rsidRPr="00664020">
        <w:rPr>
          <w:rFonts w:cs="Calibri"/>
          <w:b/>
        </w:rPr>
        <w:t xml:space="preserve"> </w:t>
      </w:r>
      <w:r w:rsidR="00443054" w:rsidRPr="0061362E">
        <w:rPr>
          <w:rFonts w:cs="Calibri"/>
          <w:b/>
        </w:rPr>
        <w:t>Observation</w:t>
      </w:r>
      <w:r w:rsidR="0061362E" w:rsidRPr="0061362E">
        <w:rPr>
          <w:rFonts w:cs="Calibri"/>
          <w:b/>
        </w:rPr>
        <w:t>s</w:t>
      </w:r>
    </w:p>
    <w:p w14:paraId="528D451B" w14:textId="77777777" w:rsidR="00C5409D" w:rsidRPr="00C5409D" w:rsidRDefault="00C5409D" w:rsidP="00783189">
      <w:pPr>
        <w:widowControl/>
        <w:autoSpaceDE/>
        <w:autoSpaceDN/>
        <w:adjustRightInd/>
        <w:rPr>
          <w:rFonts w:cs="Calibri"/>
          <w:b/>
        </w:rPr>
      </w:pPr>
    </w:p>
    <w:p w14:paraId="2D5AA5EF" w14:textId="1F836FE0" w:rsidR="00602EF3" w:rsidRPr="001C1E47" w:rsidRDefault="00602EF3" w:rsidP="00783189">
      <w:pPr>
        <w:widowControl/>
        <w:tabs>
          <w:tab w:val="left" w:pos="1890"/>
          <w:tab w:val="left" w:pos="2430"/>
        </w:tabs>
        <w:autoSpaceDE/>
        <w:autoSpaceDN/>
        <w:adjustRightInd/>
        <w:contextualSpacing/>
        <w:rPr>
          <w:rFonts w:cs="Calibri"/>
          <w:b/>
        </w:rPr>
      </w:pPr>
      <w:r w:rsidRPr="001C1E47">
        <w:rPr>
          <w:rFonts w:cs="Calibri"/>
          <w:b/>
        </w:rPr>
        <w:t>Observation</w:t>
      </w:r>
      <w:r w:rsidR="007C0A36" w:rsidRPr="001C1E47">
        <w:rPr>
          <w:rFonts w:cs="Calibri"/>
          <w:b/>
        </w:rPr>
        <w:t xml:space="preserve"> FY </w:t>
      </w:r>
      <w:r w:rsidR="007C0A36" w:rsidRPr="00B07C21">
        <w:rPr>
          <w:rFonts w:cs="Calibri"/>
          <w:b/>
        </w:rPr>
        <w:t>20</w:t>
      </w:r>
      <w:r w:rsidR="00B07C21" w:rsidRPr="00B07C21">
        <w:rPr>
          <w:rFonts w:cs="Calibri"/>
          <w:b/>
        </w:rPr>
        <w:t>24</w:t>
      </w:r>
      <w:r w:rsidR="004E505A" w:rsidRPr="00B07C21">
        <w:rPr>
          <w:rFonts w:cs="Calibri"/>
          <w:b/>
        </w:rPr>
        <w:t>-</w:t>
      </w:r>
      <w:r w:rsidR="00B262EB">
        <w:rPr>
          <w:rFonts w:cs="Calibri"/>
          <w:b/>
        </w:rPr>
        <w:t>OB-</w:t>
      </w:r>
      <w:r w:rsidR="004E505A" w:rsidRPr="00B07C21">
        <w:rPr>
          <w:rFonts w:cs="Calibri"/>
          <w:b/>
        </w:rPr>
        <w:t>01</w:t>
      </w:r>
      <w:r w:rsidR="00B07C21" w:rsidRPr="00B07C21">
        <w:rPr>
          <w:rFonts w:cs="Calibri"/>
          <w:b/>
        </w:rPr>
        <w:t xml:space="preserve"> </w:t>
      </w:r>
      <w:r w:rsidR="00B07C21">
        <w:rPr>
          <w:rFonts w:cs="Calibri"/>
          <w:b/>
        </w:rPr>
        <w:t>(previously FY 2023-OB-02)</w:t>
      </w:r>
      <w:r w:rsidR="004E505A" w:rsidRPr="001C1E47">
        <w:rPr>
          <w:rFonts w:cs="Calibri"/>
          <w:b/>
        </w:rPr>
        <w:t>:</w:t>
      </w:r>
      <w:r w:rsidRPr="001C1E47">
        <w:rPr>
          <w:rFonts w:cs="Calibri"/>
          <w:b/>
        </w:rPr>
        <w:t xml:space="preserve"> </w:t>
      </w:r>
      <w:r w:rsidR="00083CA6">
        <w:rPr>
          <w:rFonts w:cs="Calibri"/>
          <w:b/>
        </w:rPr>
        <w:t xml:space="preserve"> </w:t>
      </w:r>
      <w:r w:rsidR="00B07C21" w:rsidRPr="00B07C21">
        <w:rPr>
          <w:rFonts w:cs="Calibri"/>
          <w:iCs/>
        </w:rPr>
        <w:t>In FY 2023, five of 14 (35.71%) complaints assessed as not valid contained allegations or information that should have resulted in a “valid” assessment or that should have resulted in UOSH contacting the complainant for further information.</w:t>
      </w:r>
      <w:r w:rsidR="00B07C21" w:rsidRPr="002668C0">
        <w:rPr>
          <w:rFonts w:cs="Calibri"/>
          <w:iCs/>
          <w:sz w:val="20"/>
          <w:szCs w:val="20"/>
        </w:rPr>
        <w:t xml:space="preserve">  </w:t>
      </w:r>
    </w:p>
    <w:p w14:paraId="099C7D52" w14:textId="77777777" w:rsidR="00602EF3" w:rsidRPr="001C1E47" w:rsidRDefault="00602EF3" w:rsidP="00783189">
      <w:pPr>
        <w:widowControl/>
        <w:tabs>
          <w:tab w:val="left" w:pos="1890"/>
          <w:tab w:val="left" w:pos="2430"/>
        </w:tabs>
        <w:autoSpaceDE/>
        <w:autoSpaceDN/>
        <w:adjustRightInd/>
        <w:contextualSpacing/>
        <w:rPr>
          <w:rFonts w:cs="Calibri"/>
          <w:b/>
          <w:highlight w:val="yellow"/>
          <w:u w:val="single"/>
        </w:rPr>
      </w:pPr>
    </w:p>
    <w:p w14:paraId="5D917A9D" w14:textId="2A57E2A2" w:rsidR="005855FB" w:rsidRPr="002616DF" w:rsidRDefault="00602EF3" w:rsidP="002616DF">
      <w:pPr>
        <w:widowControl/>
        <w:tabs>
          <w:tab w:val="left" w:pos="1890"/>
          <w:tab w:val="left" w:pos="2430"/>
        </w:tabs>
        <w:autoSpaceDE/>
        <w:autoSpaceDN/>
        <w:adjustRightInd/>
        <w:contextualSpacing/>
        <w:rPr>
          <w:rFonts w:cs="Calibri"/>
          <w:b/>
        </w:rPr>
      </w:pPr>
      <w:r w:rsidRPr="001C1E47">
        <w:rPr>
          <w:rFonts w:cs="Calibri"/>
          <w:b/>
        </w:rPr>
        <w:t>Stat</w:t>
      </w:r>
      <w:r w:rsidR="004E505A" w:rsidRPr="001C1E47">
        <w:rPr>
          <w:rFonts w:cs="Calibri"/>
          <w:b/>
        </w:rPr>
        <w:t>us</w:t>
      </w:r>
      <w:r w:rsidR="00380769">
        <w:rPr>
          <w:rFonts w:cs="Calibri"/>
          <w:b/>
        </w:rPr>
        <w:t xml:space="preserve">: </w:t>
      </w:r>
      <w:r w:rsidR="00BF7218">
        <w:rPr>
          <w:rFonts w:asciiTheme="minorHAnsi" w:hAnsiTheme="minorHAnsi" w:cstheme="minorHAnsi"/>
        </w:rPr>
        <w:t>UOSH</w:t>
      </w:r>
      <w:r w:rsidR="00A468B0" w:rsidRPr="00DB695A">
        <w:rPr>
          <w:rFonts w:asciiTheme="minorHAnsi" w:hAnsiTheme="minorHAnsi" w:cstheme="minorHAnsi"/>
        </w:rPr>
        <w:t xml:space="preserve"> received 1,1</w:t>
      </w:r>
      <w:r w:rsidR="007A275A">
        <w:rPr>
          <w:rFonts w:asciiTheme="minorHAnsi" w:hAnsiTheme="minorHAnsi" w:cstheme="minorHAnsi"/>
        </w:rPr>
        <w:t>61</w:t>
      </w:r>
      <w:r w:rsidR="00A468B0" w:rsidRPr="00DB695A">
        <w:rPr>
          <w:rFonts w:asciiTheme="minorHAnsi" w:hAnsiTheme="minorHAnsi" w:cstheme="minorHAnsi"/>
        </w:rPr>
        <w:t xml:space="preserve"> complaints during FY 202</w:t>
      </w:r>
      <w:r w:rsidR="00A468B0">
        <w:rPr>
          <w:rFonts w:asciiTheme="minorHAnsi" w:hAnsiTheme="minorHAnsi" w:cstheme="minorHAnsi"/>
        </w:rPr>
        <w:t>4</w:t>
      </w:r>
      <w:r w:rsidR="00A468B0" w:rsidRPr="00DB695A">
        <w:rPr>
          <w:rFonts w:asciiTheme="minorHAnsi" w:hAnsiTheme="minorHAnsi" w:cstheme="minorHAnsi"/>
        </w:rPr>
        <w:t xml:space="preserve">.  </w:t>
      </w:r>
      <w:r w:rsidR="0037264B">
        <w:rPr>
          <w:rFonts w:asciiTheme="minorHAnsi" w:hAnsiTheme="minorHAnsi" w:cstheme="minorHAnsi"/>
        </w:rPr>
        <w:t xml:space="preserve">Five </w:t>
      </w:r>
      <w:r w:rsidR="00AB4930">
        <w:rPr>
          <w:rFonts w:asciiTheme="minorHAnsi" w:hAnsiTheme="minorHAnsi" w:cstheme="minorHAnsi"/>
        </w:rPr>
        <w:t>hundred and</w:t>
      </w:r>
      <w:r w:rsidR="0037264B">
        <w:rPr>
          <w:rFonts w:asciiTheme="minorHAnsi" w:hAnsiTheme="minorHAnsi" w:cstheme="minorHAnsi"/>
        </w:rPr>
        <w:t xml:space="preserve"> ten</w:t>
      </w:r>
      <w:r w:rsidR="00A468B0" w:rsidRPr="00DB695A">
        <w:rPr>
          <w:rFonts w:asciiTheme="minorHAnsi" w:hAnsiTheme="minorHAnsi" w:cstheme="minorHAnsi"/>
        </w:rPr>
        <w:t xml:space="preserve"> complaints </w:t>
      </w:r>
      <w:r w:rsidR="0019511B">
        <w:rPr>
          <w:rFonts w:asciiTheme="minorHAnsi" w:hAnsiTheme="minorHAnsi" w:cstheme="minorHAnsi"/>
        </w:rPr>
        <w:t xml:space="preserve">fell outside </w:t>
      </w:r>
      <w:r w:rsidR="00A468B0" w:rsidRPr="00DB695A">
        <w:rPr>
          <w:rFonts w:asciiTheme="minorHAnsi" w:hAnsiTheme="minorHAnsi" w:cstheme="minorHAnsi"/>
        </w:rPr>
        <w:t>the jurisdiction of the State Plan.</w:t>
      </w:r>
      <w:r w:rsidR="007A275A">
        <w:rPr>
          <w:rFonts w:asciiTheme="minorHAnsi" w:hAnsiTheme="minorHAnsi" w:cstheme="minorHAnsi"/>
        </w:rPr>
        <w:t xml:space="preserve">  </w:t>
      </w:r>
      <w:r w:rsidR="00C70908" w:rsidRPr="00DB695A">
        <w:rPr>
          <w:rFonts w:asciiTheme="minorHAnsi" w:hAnsiTheme="minorHAnsi" w:cstheme="minorHAnsi"/>
        </w:rPr>
        <w:t>Complaints were processed</w:t>
      </w:r>
      <w:r w:rsidR="00C70908">
        <w:rPr>
          <w:rFonts w:asciiTheme="minorHAnsi" w:hAnsiTheme="minorHAnsi" w:cstheme="minorHAnsi"/>
        </w:rPr>
        <w:t xml:space="preserve"> from</w:t>
      </w:r>
      <w:r w:rsidR="00C70908" w:rsidRPr="00DB695A">
        <w:rPr>
          <w:rFonts w:asciiTheme="minorHAnsi" w:hAnsiTheme="minorHAnsi" w:cstheme="minorHAnsi"/>
        </w:rPr>
        <w:t xml:space="preserve"> </w:t>
      </w:r>
      <w:r w:rsidR="00C70908">
        <w:rPr>
          <w:rFonts w:asciiTheme="minorHAnsi" w:hAnsiTheme="minorHAnsi" w:cstheme="minorHAnsi"/>
        </w:rPr>
        <w:t>beginning</w:t>
      </w:r>
      <w:r w:rsidR="00C70908" w:rsidRPr="00DB695A">
        <w:rPr>
          <w:rFonts w:asciiTheme="minorHAnsi" w:hAnsiTheme="minorHAnsi" w:cstheme="minorHAnsi"/>
        </w:rPr>
        <w:t xml:space="preserve"> to </w:t>
      </w:r>
      <w:r w:rsidR="00C70908">
        <w:rPr>
          <w:rFonts w:asciiTheme="minorHAnsi" w:hAnsiTheme="minorHAnsi" w:cstheme="minorHAnsi"/>
        </w:rPr>
        <w:t>end</w:t>
      </w:r>
      <w:r w:rsidR="00C70908" w:rsidRPr="00DB695A">
        <w:rPr>
          <w:rFonts w:asciiTheme="minorHAnsi" w:hAnsiTheme="minorHAnsi" w:cstheme="minorHAnsi"/>
        </w:rPr>
        <w:t xml:space="preserve"> by either the health or safety </w:t>
      </w:r>
      <w:r w:rsidR="00C70908" w:rsidRPr="00C9478F">
        <w:rPr>
          <w:rFonts w:asciiTheme="minorHAnsi" w:hAnsiTheme="minorHAnsi" w:cstheme="minorHAnsi"/>
        </w:rPr>
        <w:t xml:space="preserve">supervisor.  </w:t>
      </w:r>
      <w:r w:rsidR="00021643">
        <w:rPr>
          <w:rFonts w:cs="Calibri"/>
        </w:rPr>
        <w:t xml:space="preserve">Using </w:t>
      </w:r>
      <w:r w:rsidR="00066F5A">
        <w:rPr>
          <w:rFonts w:cs="Calibri"/>
        </w:rPr>
        <w:t xml:space="preserve">the </w:t>
      </w:r>
      <w:r w:rsidR="00A60272">
        <w:rPr>
          <w:rFonts w:cs="Calibri"/>
        </w:rPr>
        <w:t>Manage Online Unprogrammed Activity Module</w:t>
      </w:r>
      <w:r w:rsidR="00066F5A">
        <w:rPr>
          <w:rFonts w:cs="Calibri"/>
        </w:rPr>
        <w:t xml:space="preserve"> in OIS</w:t>
      </w:r>
      <w:r w:rsidR="00A60272">
        <w:rPr>
          <w:rFonts w:cs="Calibri"/>
        </w:rPr>
        <w:t xml:space="preserve">, </w:t>
      </w:r>
      <w:r w:rsidR="008960B9">
        <w:rPr>
          <w:rFonts w:cs="Calibri"/>
        </w:rPr>
        <w:t xml:space="preserve">OSHA </w:t>
      </w:r>
      <w:r w:rsidR="00E6127E">
        <w:rPr>
          <w:rFonts w:cs="Calibri"/>
        </w:rPr>
        <w:t>analyzed</w:t>
      </w:r>
      <w:r w:rsidR="000A45AB" w:rsidRPr="00C9478F">
        <w:rPr>
          <w:rFonts w:cs="Calibri"/>
        </w:rPr>
        <w:t xml:space="preserve"> </w:t>
      </w:r>
      <w:r w:rsidR="008960B9">
        <w:rPr>
          <w:rFonts w:cs="Calibri"/>
        </w:rPr>
        <w:t>60</w:t>
      </w:r>
      <w:r w:rsidR="00C6576E" w:rsidRPr="00C9478F">
        <w:rPr>
          <w:rFonts w:cs="Calibri"/>
        </w:rPr>
        <w:t xml:space="preserve"> </w:t>
      </w:r>
      <w:r w:rsidR="00BC33F3" w:rsidRPr="00C9478F">
        <w:rPr>
          <w:rFonts w:cs="Calibri"/>
        </w:rPr>
        <w:t xml:space="preserve">complaints received by </w:t>
      </w:r>
      <w:r w:rsidR="00BF7218">
        <w:rPr>
          <w:rFonts w:cs="Calibri"/>
        </w:rPr>
        <w:t>UOSH</w:t>
      </w:r>
      <w:r w:rsidR="00BC33F3" w:rsidRPr="00C9478F">
        <w:rPr>
          <w:rFonts w:cs="Calibri"/>
        </w:rPr>
        <w:t xml:space="preserve"> </w:t>
      </w:r>
      <w:r w:rsidR="00366780">
        <w:rPr>
          <w:rFonts w:cs="Calibri"/>
        </w:rPr>
        <w:t>during FY 2024</w:t>
      </w:r>
      <w:r w:rsidR="008A41C7">
        <w:rPr>
          <w:rFonts w:cs="Calibri"/>
        </w:rPr>
        <w:t>.</w:t>
      </w:r>
      <w:r w:rsidRPr="00C9478F">
        <w:rPr>
          <w:rFonts w:cs="Calibri"/>
        </w:rPr>
        <w:t xml:space="preserve">  </w:t>
      </w:r>
      <w:r w:rsidR="00C255E7">
        <w:rPr>
          <w:rFonts w:cs="Calibri"/>
          <w:iCs/>
        </w:rPr>
        <w:t>Eleven</w:t>
      </w:r>
      <w:r w:rsidR="00531FB5" w:rsidRPr="00B07C21">
        <w:rPr>
          <w:rFonts w:cs="Calibri"/>
          <w:iCs/>
        </w:rPr>
        <w:t xml:space="preserve"> of </w:t>
      </w:r>
      <w:r w:rsidR="009A7164">
        <w:rPr>
          <w:rFonts w:cs="Calibri"/>
          <w:iCs/>
        </w:rPr>
        <w:t>60</w:t>
      </w:r>
      <w:r w:rsidR="00531FB5" w:rsidRPr="00B07C21">
        <w:rPr>
          <w:rFonts w:cs="Calibri"/>
          <w:iCs/>
        </w:rPr>
        <w:t xml:space="preserve"> (</w:t>
      </w:r>
      <w:r w:rsidR="00B7182A">
        <w:rPr>
          <w:rFonts w:cs="Calibri"/>
          <w:iCs/>
        </w:rPr>
        <w:t>18.33</w:t>
      </w:r>
      <w:r w:rsidR="00531FB5" w:rsidRPr="00B07C21">
        <w:rPr>
          <w:rFonts w:cs="Calibri"/>
          <w:iCs/>
        </w:rPr>
        <w:t>%) complaints</w:t>
      </w:r>
      <w:r w:rsidR="0003783D">
        <w:rPr>
          <w:rFonts w:cs="Calibri"/>
          <w:iCs/>
        </w:rPr>
        <w:t xml:space="preserve"> </w:t>
      </w:r>
      <w:r w:rsidR="00531FB5" w:rsidRPr="00B07C21">
        <w:rPr>
          <w:rFonts w:cs="Calibri"/>
          <w:iCs/>
        </w:rPr>
        <w:t>assessed as not valid</w:t>
      </w:r>
      <w:r w:rsidR="00EA2A53">
        <w:rPr>
          <w:rFonts w:cs="Calibri"/>
          <w:iCs/>
        </w:rPr>
        <w:t xml:space="preserve"> </w:t>
      </w:r>
      <w:r w:rsidR="00531FB5" w:rsidRPr="00B07C21">
        <w:rPr>
          <w:rFonts w:cs="Calibri"/>
          <w:iCs/>
        </w:rPr>
        <w:t>contained allegations or information that should have resulted in a “valid” assessment or that should have resulted in UOSH contacting the complainant for further information</w:t>
      </w:r>
      <w:r w:rsidR="00CE02F1">
        <w:rPr>
          <w:rFonts w:cs="Calibri"/>
          <w:iCs/>
        </w:rPr>
        <w:t xml:space="preserve">.  </w:t>
      </w:r>
      <w:r w:rsidR="00BF7218">
        <w:rPr>
          <w:rFonts w:cs="Calibri"/>
          <w:iCs/>
        </w:rPr>
        <w:t>UOSH’s</w:t>
      </w:r>
      <w:r w:rsidR="00CE02F1">
        <w:rPr>
          <w:rFonts w:cs="Calibri"/>
          <w:iCs/>
        </w:rPr>
        <w:t xml:space="preserve"> practice was to </w:t>
      </w:r>
      <w:r w:rsidR="0007718C">
        <w:rPr>
          <w:rFonts w:cs="Calibri"/>
          <w:iCs/>
        </w:rPr>
        <w:t>screen complaints based upon information in the complaint</w:t>
      </w:r>
      <w:r w:rsidR="00F01CC5">
        <w:rPr>
          <w:rFonts w:cs="Calibri"/>
          <w:iCs/>
        </w:rPr>
        <w:t>,</w:t>
      </w:r>
      <w:r w:rsidR="0007718C">
        <w:rPr>
          <w:rFonts w:cs="Calibri"/>
          <w:iCs/>
        </w:rPr>
        <w:t xml:space="preserve"> and </w:t>
      </w:r>
      <w:r w:rsidR="00F01CC5">
        <w:rPr>
          <w:rFonts w:cs="Calibri"/>
          <w:iCs/>
        </w:rPr>
        <w:t xml:space="preserve">the State Plan </w:t>
      </w:r>
      <w:r w:rsidR="00C253DF">
        <w:rPr>
          <w:rFonts w:cs="Calibri"/>
          <w:iCs/>
        </w:rPr>
        <w:t xml:space="preserve">rarely contacted the complainant.  </w:t>
      </w:r>
      <w:r w:rsidR="00B64F1A">
        <w:rPr>
          <w:rFonts w:cs="Calibri"/>
        </w:rPr>
        <w:t xml:space="preserve">The State Plan made progress assessing complaints; </w:t>
      </w:r>
      <w:r w:rsidR="00C62E19">
        <w:rPr>
          <w:rFonts w:cs="Calibri"/>
        </w:rPr>
        <w:t>however,</w:t>
      </w:r>
      <w:r w:rsidR="00B64F1A">
        <w:rPr>
          <w:rFonts w:cs="Calibri"/>
        </w:rPr>
        <w:t xml:space="preserve"> t</w:t>
      </w:r>
      <w:r w:rsidRPr="00E72E5E">
        <w:rPr>
          <w:rFonts w:cs="Calibri"/>
        </w:rPr>
        <w:t>his observation will be continued.</w:t>
      </w:r>
    </w:p>
    <w:p w14:paraId="336D1BD2" w14:textId="77777777" w:rsidR="00EA4B05" w:rsidRPr="001C1E47" w:rsidRDefault="00EA4B05" w:rsidP="00783189">
      <w:pPr>
        <w:widowControl/>
        <w:autoSpaceDE/>
        <w:autoSpaceDN/>
        <w:adjustRightInd/>
        <w:rPr>
          <w:rFonts w:cs="Calibri"/>
          <w:b/>
          <w:highlight w:val="yellow"/>
          <w:u w:val="single"/>
        </w:rPr>
      </w:pPr>
    </w:p>
    <w:p w14:paraId="7BD1095F" w14:textId="53BF5DF9" w:rsidR="00EA4B05" w:rsidRPr="001C1E47" w:rsidRDefault="00B668CB" w:rsidP="00783189">
      <w:pPr>
        <w:widowControl/>
        <w:tabs>
          <w:tab w:val="left" w:pos="1890"/>
          <w:tab w:val="left" w:pos="2430"/>
        </w:tabs>
        <w:autoSpaceDE/>
        <w:autoSpaceDN/>
        <w:adjustRightInd/>
        <w:contextualSpacing/>
        <w:rPr>
          <w:rFonts w:cs="Calibri"/>
          <w:b/>
        </w:rPr>
      </w:pPr>
      <w:r>
        <w:rPr>
          <w:rFonts w:cs="Calibri"/>
          <w:b/>
        </w:rPr>
        <w:t xml:space="preserve">Observation </w:t>
      </w:r>
      <w:r w:rsidR="00361A57" w:rsidRPr="00361A57">
        <w:rPr>
          <w:rFonts w:cs="Calibri"/>
          <w:b/>
        </w:rPr>
        <w:t xml:space="preserve">FY 2024-OB-02 </w:t>
      </w:r>
      <w:r w:rsidR="006D00C7">
        <w:rPr>
          <w:rFonts w:cs="Calibri"/>
          <w:b/>
        </w:rPr>
        <w:t>(previously FY 2023-OB-0</w:t>
      </w:r>
      <w:r w:rsidR="00361A57">
        <w:rPr>
          <w:rFonts w:cs="Calibri"/>
          <w:b/>
        </w:rPr>
        <w:t>3</w:t>
      </w:r>
      <w:r w:rsidR="006D00C7">
        <w:rPr>
          <w:rFonts w:cs="Calibri"/>
          <w:b/>
        </w:rPr>
        <w:t>)</w:t>
      </w:r>
      <w:r w:rsidR="00EA4B05" w:rsidRPr="001C1E47">
        <w:rPr>
          <w:rFonts w:cs="Calibri"/>
          <w:b/>
        </w:rPr>
        <w:t xml:space="preserve">: </w:t>
      </w:r>
      <w:r w:rsidR="00361A57" w:rsidRPr="00361A57">
        <w:rPr>
          <w:rFonts w:cs="Calibri"/>
        </w:rPr>
        <w:t xml:space="preserve">In FY 2023, there were seven health cases in which sampling did not occur even though the case files included information </w:t>
      </w:r>
      <w:r w:rsidR="00710614">
        <w:rPr>
          <w:rFonts w:cs="Calibri"/>
        </w:rPr>
        <w:t>about</w:t>
      </w:r>
      <w:r w:rsidR="00710614" w:rsidRPr="00361A57">
        <w:rPr>
          <w:rFonts w:cs="Calibri"/>
        </w:rPr>
        <w:t xml:space="preserve"> </w:t>
      </w:r>
      <w:r w:rsidR="00361A57" w:rsidRPr="00361A57">
        <w:rPr>
          <w:rFonts w:cs="Calibri"/>
        </w:rPr>
        <w:t xml:space="preserve">worker exposure to air contaminants.  In four of the seven (57.14%) cases, the case file did not include an evaluation of worker exposure to an air contaminant, nor did the case file include documentation explaining why an evaluation did not occur.  UOSH did not follow the guidance in Chapter 9, Section I.G.4 and in Chapter 3, Section II.B.4 of the UOSH FOM.   </w:t>
      </w:r>
    </w:p>
    <w:p w14:paraId="1D6189A9" w14:textId="77777777" w:rsidR="00EA4B05" w:rsidRPr="001C1E47" w:rsidRDefault="00EA4B05" w:rsidP="00783189">
      <w:pPr>
        <w:widowControl/>
        <w:tabs>
          <w:tab w:val="left" w:pos="1890"/>
          <w:tab w:val="left" w:pos="2430"/>
        </w:tabs>
        <w:autoSpaceDE/>
        <w:autoSpaceDN/>
        <w:adjustRightInd/>
        <w:contextualSpacing/>
        <w:rPr>
          <w:rFonts w:cs="Calibri"/>
          <w:b/>
          <w:highlight w:val="yellow"/>
          <w:u w:val="single"/>
        </w:rPr>
      </w:pPr>
    </w:p>
    <w:p w14:paraId="41EACD85" w14:textId="0EF181FC" w:rsidR="00EA4B05" w:rsidRDefault="00EA4B05" w:rsidP="00783189">
      <w:pPr>
        <w:widowControl/>
        <w:autoSpaceDE/>
        <w:autoSpaceDN/>
        <w:adjustRightInd/>
        <w:rPr>
          <w:rFonts w:cs="Calibri"/>
        </w:rPr>
      </w:pPr>
      <w:r w:rsidRPr="001C1E47">
        <w:rPr>
          <w:rFonts w:cs="Calibri"/>
          <w:b/>
        </w:rPr>
        <w:t>Status</w:t>
      </w:r>
      <w:r w:rsidR="00AB4930" w:rsidRPr="00C30ADE">
        <w:rPr>
          <w:rFonts w:cs="Calibri"/>
          <w:b/>
        </w:rPr>
        <w:t xml:space="preserve">: </w:t>
      </w:r>
      <w:r w:rsidR="00AB4930" w:rsidRPr="00A12C95">
        <w:rPr>
          <w:rFonts w:cs="Calibri"/>
          <w:bCs/>
        </w:rPr>
        <w:t>UOSH</w:t>
      </w:r>
      <w:r w:rsidR="00EB4D61" w:rsidRPr="00C30ADE">
        <w:rPr>
          <w:rFonts w:cs="Calibri"/>
          <w:bCs/>
        </w:rPr>
        <w:t xml:space="preserve"> </w:t>
      </w:r>
      <w:r w:rsidR="000D2E3D" w:rsidRPr="00C30ADE">
        <w:rPr>
          <w:rFonts w:cs="Calibri"/>
          <w:bCs/>
        </w:rPr>
        <w:t>instituted a process</w:t>
      </w:r>
      <w:r w:rsidR="00E95D32" w:rsidRPr="00C30ADE">
        <w:rPr>
          <w:rFonts w:cs="Calibri"/>
          <w:bCs/>
        </w:rPr>
        <w:t xml:space="preserve"> </w:t>
      </w:r>
      <w:r w:rsidR="008568B6" w:rsidRPr="00C30ADE">
        <w:rPr>
          <w:rFonts w:cs="Calibri"/>
          <w:bCs/>
        </w:rPr>
        <w:t xml:space="preserve">to ensure that </w:t>
      </w:r>
      <w:r w:rsidR="00414046" w:rsidRPr="00C30ADE">
        <w:rPr>
          <w:rFonts w:cs="Calibri"/>
          <w:bCs/>
        </w:rPr>
        <w:t xml:space="preserve">compliance officers </w:t>
      </w:r>
      <w:r w:rsidR="00ED12C0">
        <w:rPr>
          <w:rFonts w:cs="Calibri"/>
          <w:bCs/>
        </w:rPr>
        <w:t>were</w:t>
      </w:r>
      <w:r w:rsidR="008568B6" w:rsidRPr="00C30ADE">
        <w:rPr>
          <w:rFonts w:cs="Calibri"/>
          <w:bCs/>
        </w:rPr>
        <w:t xml:space="preserve"> </w:t>
      </w:r>
      <w:r w:rsidR="0019511B">
        <w:rPr>
          <w:rFonts w:cs="Calibri"/>
          <w:bCs/>
        </w:rPr>
        <w:t>instructed to evaluate worker exposures</w:t>
      </w:r>
      <w:r w:rsidR="00C23767">
        <w:rPr>
          <w:rFonts w:cs="Calibri"/>
          <w:bCs/>
        </w:rPr>
        <w:t xml:space="preserve"> </w:t>
      </w:r>
      <w:r w:rsidR="00460732">
        <w:rPr>
          <w:rFonts w:cs="Calibri"/>
          <w:bCs/>
        </w:rPr>
        <w:t>when assigned</w:t>
      </w:r>
      <w:r w:rsidR="005143EF" w:rsidRPr="005143EF">
        <w:rPr>
          <w:rFonts w:cs="Calibri"/>
          <w:bCs/>
        </w:rPr>
        <w:t xml:space="preserve"> health complaints alleging exposure to air contaminants</w:t>
      </w:r>
      <w:r w:rsidR="0019511B">
        <w:rPr>
          <w:rFonts w:cs="Calibri"/>
          <w:bCs/>
        </w:rPr>
        <w:t xml:space="preserve">. </w:t>
      </w:r>
      <w:r w:rsidR="00835C31">
        <w:rPr>
          <w:rFonts w:cs="Calibri"/>
          <w:bCs/>
        </w:rPr>
        <w:t xml:space="preserve"> </w:t>
      </w:r>
      <w:r w:rsidR="00C667BA" w:rsidRPr="00C30ADE">
        <w:rPr>
          <w:rFonts w:cs="Calibri"/>
          <w:bCs/>
        </w:rPr>
        <w:t xml:space="preserve">The process </w:t>
      </w:r>
      <w:r w:rsidR="00C30ADE" w:rsidRPr="00C30ADE">
        <w:rPr>
          <w:rFonts w:cs="Calibri"/>
          <w:bCs/>
        </w:rPr>
        <w:t>include</w:t>
      </w:r>
      <w:r w:rsidR="005D48B5">
        <w:rPr>
          <w:rFonts w:cs="Calibri"/>
          <w:bCs/>
        </w:rPr>
        <w:t>d</w:t>
      </w:r>
      <w:r w:rsidR="00C30ADE" w:rsidRPr="00C30ADE">
        <w:rPr>
          <w:rFonts w:cs="Calibri"/>
          <w:bCs/>
        </w:rPr>
        <w:t xml:space="preserve"> </w:t>
      </w:r>
      <w:r w:rsidR="001A180D">
        <w:rPr>
          <w:rFonts w:cs="Calibri"/>
          <w:bCs/>
        </w:rPr>
        <w:t xml:space="preserve">the </w:t>
      </w:r>
      <w:r w:rsidR="00C30ADE" w:rsidRPr="00C30ADE">
        <w:rPr>
          <w:rFonts w:cs="Calibri"/>
          <w:bCs/>
        </w:rPr>
        <w:t>s</w:t>
      </w:r>
      <w:r w:rsidR="00AD005A" w:rsidRPr="00C30ADE">
        <w:rPr>
          <w:rFonts w:cs="Calibri"/>
          <w:bCs/>
        </w:rPr>
        <w:t>upervisor</w:t>
      </w:r>
      <w:r w:rsidR="001A180D">
        <w:rPr>
          <w:rFonts w:cs="Calibri"/>
          <w:bCs/>
        </w:rPr>
        <w:t>’s</w:t>
      </w:r>
      <w:r w:rsidR="00AD005A" w:rsidRPr="00C30ADE">
        <w:rPr>
          <w:rFonts w:cs="Calibri"/>
          <w:bCs/>
        </w:rPr>
        <w:t xml:space="preserve"> review </w:t>
      </w:r>
      <w:r w:rsidR="00C30ADE" w:rsidRPr="00C30ADE">
        <w:rPr>
          <w:rFonts w:cs="Calibri"/>
          <w:bCs/>
        </w:rPr>
        <w:t xml:space="preserve">of </w:t>
      </w:r>
      <w:r w:rsidR="00AD005A" w:rsidRPr="00C30ADE">
        <w:rPr>
          <w:rFonts w:cs="Calibri"/>
          <w:bCs/>
        </w:rPr>
        <w:t xml:space="preserve">case files to ensure that </w:t>
      </w:r>
      <w:r w:rsidR="00AD005A" w:rsidRPr="00C30ADE">
        <w:rPr>
          <w:rFonts w:cs="Calibri"/>
        </w:rPr>
        <w:t xml:space="preserve">an evaluation of worker exposure to an air contaminant occurred or </w:t>
      </w:r>
      <w:r w:rsidR="00C30ADE" w:rsidRPr="00C30ADE">
        <w:rPr>
          <w:rFonts w:cs="Calibri"/>
        </w:rPr>
        <w:t xml:space="preserve">that </w:t>
      </w:r>
      <w:r w:rsidR="00AD005A" w:rsidRPr="00C30ADE">
        <w:rPr>
          <w:rFonts w:cs="Calibri"/>
        </w:rPr>
        <w:t>the case file include</w:t>
      </w:r>
      <w:r w:rsidR="00C30ADE" w:rsidRPr="00C30ADE">
        <w:rPr>
          <w:rFonts w:cs="Calibri"/>
        </w:rPr>
        <w:t>d</w:t>
      </w:r>
      <w:r w:rsidR="00AD005A" w:rsidRPr="00C30ADE">
        <w:rPr>
          <w:rFonts w:cs="Calibri"/>
        </w:rPr>
        <w:t xml:space="preserve"> documentation explaining why an evaluation did not occur.</w:t>
      </w:r>
      <w:r w:rsidR="00C757D2" w:rsidRPr="00C30ADE">
        <w:rPr>
          <w:rFonts w:cs="Calibri"/>
          <w:bCs/>
        </w:rPr>
        <w:t xml:space="preserve"> </w:t>
      </w:r>
      <w:r w:rsidR="00225F67" w:rsidRPr="00C30ADE">
        <w:rPr>
          <w:rFonts w:cs="Calibri"/>
          <w:b/>
        </w:rPr>
        <w:t xml:space="preserve"> </w:t>
      </w:r>
      <w:r w:rsidR="00225F67" w:rsidRPr="00C30ADE">
        <w:t xml:space="preserve">A case file review is necessary to evaluate performance in relation to this observation.  This observation will be a focus of next year’s case file review during the FY 2025 </w:t>
      </w:r>
      <w:r w:rsidR="00D11C43">
        <w:t>c</w:t>
      </w:r>
      <w:r w:rsidR="00D11C43" w:rsidRPr="00C30ADE">
        <w:t xml:space="preserve">omprehensive </w:t>
      </w:r>
      <w:r w:rsidR="00225F67" w:rsidRPr="00C30ADE">
        <w:t>FAME.</w:t>
      </w:r>
      <w:r w:rsidR="00225F67" w:rsidRPr="00C30ADE">
        <w:rPr>
          <w:b/>
        </w:rPr>
        <w:t xml:space="preserve">  </w:t>
      </w:r>
      <w:r w:rsidRPr="00C30ADE">
        <w:rPr>
          <w:rFonts w:cs="Calibri"/>
        </w:rPr>
        <w:t>This observation will be continued.</w:t>
      </w:r>
    </w:p>
    <w:p w14:paraId="147FE401" w14:textId="77777777" w:rsidR="00361A57" w:rsidRDefault="00361A57" w:rsidP="00783189">
      <w:pPr>
        <w:widowControl/>
        <w:autoSpaceDE/>
        <w:autoSpaceDN/>
        <w:adjustRightInd/>
        <w:rPr>
          <w:rFonts w:cs="Calibri"/>
        </w:rPr>
      </w:pPr>
    </w:p>
    <w:p w14:paraId="78D14B7F" w14:textId="1BD0C9FA" w:rsidR="00361A57" w:rsidRDefault="00B668CB" w:rsidP="00783189">
      <w:pPr>
        <w:widowControl/>
        <w:autoSpaceDE/>
        <w:autoSpaceDN/>
        <w:adjustRightInd/>
        <w:rPr>
          <w:rFonts w:cs="Calibri"/>
          <w:bCs/>
        </w:rPr>
      </w:pPr>
      <w:r>
        <w:rPr>
          <w:rFonts w:cs="Calibri"/>
          <w:b/>
        </w:rPr>
        <w:t xml:space="preserve">Observation </w:t>
      </w:r>
      <w:r w:rsidR="00361A57" w:rsidRPr="00361A57">
        <w:rPr>
          <w:rFonts w:cs="Calibri"/>
          <w:b/>
        </w:rPr>
        <w:t>FY 2024-OB-0</w:t>
      </w:r>
      <w:r w:rsidR="00361A57">
        <w:rPr>
          <w:rFonts w:cs="Calibri"/>
          <w:b/>
        </w:rPr>
        <w:t>3</w:t>
      </w:r>
      <w:r w:rsidR="00361A57" w:rsidRPr="00361A57">
        <w:rPr>
          <w:rFonts w:cs="Calibri"/>
          <w:b/>
        </w:rPr>
        <w:t xml:space="preserve"> </w:t>
      </w:r>
      <w:r w:rsidR="00361A57">
        <w:rPr>
          <w:rFonts w:cs="Calibri"/>
          <w:b/>
        </w:rPr>
        <w:t>(previously FY 2023-OB-04)</w:t>
      </w:r>
      <w:r w:rsidR="00DF41B5" w:rsidRPr="001C1E47">
        <w:rPr>
          <w:rFonts w:cs="Calibri"/>
          <w:b/>
        </w:rPr>
        <w:t xml:space="preserve">: </w:t>
      </w:r>
      <w:r w:rsidR="00DF41B5" w:rsidRPr="00DF41B5">
        <w:rPr>
          <w:rFonts w:cs="Calibri"/>
          <w:bCs/>
        </w:rPr>
        <w:t>In</w:t>
      </w:r>
      <w:r w:rsidR="00083CA6" w:rsidRPr="00083CA6">
        <w:rPr>
          <w:rFonts w:cs="Calibri"/>
          <w:bCs/>
        </w:rPr>
        <w:t xml:space="preserve"> FY 2023, 19 of 59 (32.20%) case files contained violation worksheets with inadequate evidence of employer knowledge.  UOSH did not follow the guidance in Chapter 5, Section II.C.2.i and Chapter 4, Section II.C.4 of the UOSH FOM.</w:t>
      </w:r>
    </w:p>
    <w:p w14:paraId="75BC44AF" w14:textId="77777777" w:rsidR="0041747A" w:rsidRDefault="0041747A" w:rsidP="00783189">
      <w:pPr>
        <w:widowControl/>
        <w:autoSpaceDE/>
        <w:autoSpaceDN/>
        <w:adjustRightInd/>
        <w:rPr>
          <w:rFonts w:cs="Calibri"/>
          <w:bCs/>
        </w:rPr>
      </w:pPr>
    </w:p>
    <w:p w14:paraId="738A1832" w14:textId="3ED4E983" w:rsidR="0041747A" w:rsidRPr="0041747A" w:rsidRDefault="0041747A" w:rsidP="00783189">
      <w:pPr>
        <w:widowControl/>
        <w:autoSpaceDE/>
        <w:autoSpaceDN/>
        <w:adjustRightInd/>
        <w:rPr>
          <w:rFonts w:cs="Calibri"/>
        </w:rPr>
      </w:pPr>
      <w:bookmarkStart w:id="23" w:name="_Hlk186543098"/>
      <w:r w:rsidRPr="001C1E47">
        <w:rPr>
          <w:rFonts w:cs="Calibri"/>
          <w:b/>
        </w:rPr>
        <w:t xml:space="preserve">Status: </w:t>
      </w:r>
      <w:r w:rsidR="000F5103" w:rsidRPr="000F5103">
        <w:rPr>
          <w:rFonts w:cs="Calibri"/>
          <w:bCs/>
        </w:rPr>
        <w:t>During FY 2024,</w:t>
      </w:r>
      <w:r w:rsidR="000F5103">
        <w:rPr>
          <w:rFonts w:cs="Calibri"/>
          <w:b/>
        </w:rPr>
        <w:t xml:space="preserve"> </w:t>
      </w:r>
      <w:r w:rsidR="00B04CCF">
        <w:rPr>
          <w:rFonts w:cs="Calibri"/>
          <w:bCs/>
        </w:rPr>
        <w:t>UOSH</w:t>
      </w:r>
      <w:r w:rsidR="00C225C5" w:rsidRPr="00EB30DF">
        <w:rPr>
          <w:rFonts w:cs="Calibri"/>
          <w:bCs/>
        </w:rPr>
        <w:t xml:space="preserve"> provided training to compliance officers regarding </w:t>
      </w:r>
      <w:r w:rsidR="00C90DCE">
        <w:rPr>
          <w:rFonts w:cs="Calibri"/>
          <w:bCs/>
        </w:rPr>
        <w:t xml:space="preserve">the </w:t>
      </w:r>
      <w:r w:rsidR="00751B62" w:rsidRPr="00EB30DF">
        <w:rPr>
          <w:rFonts w:cs="Calibri"/>
          <w:bCs/>
        </w:rPr>
        <w:t>collection of evidence</w:t>
      </w:r>
      <w:r w:rsidR="00C225C5" w:rsidRPr="00EB30DF">
        <w:rPr>
          <w:rFonts w:cs="Calibri"/>
          <w:bCs/>
        </w:rPr>
        <w:t xml:space="preserve"> of employer knowledge</w:t>
      </w:r>
      <w:r w:rsidR="0005558E" w:rsidRPr="00EB30DF">
        <w:rPr>
          <w:rFonts w:cs="Calibri"/>
          <w:bCs/>
        </w:rPr>
        <w:t xml:space="preserve">.  </w:t>
      </w:r>
      <w:r w:rsidR="00536835">
        <w:rPr>
          <w:rFonts w:cs="Calibri"/>
          <w:bCs/>
        </w:rPr>
        <w:t xml:space="preserve">Staff from the </w:t>
      </w:r>
      <w:r w:rsidR="005F3020">
        <w:rPr>
          <w:rFonts w:cs="Calibri"/>
          <w:bCs/>
        </w:rPr>
        <w:t>O</w:t>
      </w:r>
      <w:r w:rsidR="00536835">
        <w:rPr>
          <w:rFonts w:cs="Calibri"/>
          <w:bCs/>
        </w:rPr>
        <w:t>ffice of the</w:t>
      </w:r>
      <w:r w:rsidR="009C4A1D">
        <w:rPr>
          <w:rFonts w:cs="Calibri"/>
          <w:bCs/>
        </w:rPr>
        <w:t xml:space="preserve"> </w:t>
      </w:r>
      <w:r w:rsidR="0005558E" w:rsidRPr="00EB30DF">
        <w:rPr>
          <w:rFonts w:cs="Calibri"/>
          <w:bCs/>
        </w:rPr>
        <w:t xml:space="preserve">Utah </w:t>
      </w:r>
      <w:r w:rsidR="005F3020">
        <w:rPr>
          <w:rFonts w:cs="Calibri"/>
          <w:bCs/>
        </w:rPr>
        <w:t>A</w:t>
      </w:r>
      <w:r w:rsidR="0005558E" w:rsidRPr="00EB30DF">
        <w:rPr>
          <w:rFonts w:cs="Calibri"/>
          <w:bCs/>
        </w:rPr>
        <w:t xml:space="preserve">ttorney </w:t>
      </w:r>
      <w:r w:rsidR="005F3020">
        <w:rPr>
          <w:rFonts w:cs="Calibri"/>
          <w:bCs/>
        </w:rPr>
        <w:t>G</w:t>
      </w:r>
      <w:r w:rsidR="0005558E" w:rsidRPr="00EB30DF">
        <w:rPr>
          <w:rFonts w:cs="Calibri"/>
          <w:bCs/>
        </w:rPr>
        <w:t>eneral also provided training to compliance officers.</w:t>
      </w:r>
      <w:r w:rsidR="00225F67" w:rsidRPr="00EB30DF">
        <w:rPr>
          <w:rFonts w:cs="Calibri"/>
          <w:b/>
        </w:rPr>
        <w:t xml:space="preserve">  </w:t>
      </w:r>
      <w:r w:rsidR="00EB30DF" w:rsidRPr="00EB30DF">
        <w:rPr>
          <w:rFonts w:cs="Calibri"/>
          <w:bCs/>
        </w:rPr>
        <w:t xml:space="preserve">The </w:t>
      </w:r>
      <w:r w:rsidR="00DD3657">
        <w:rPr>
          <w:rFonts w:cs="Calibri"/>
          <w:bCs/>
        </w:rPr>
        <w:t xml:space="preserve">UOSH </w:t>
      </w:r>
      <w:r w:rsidR="00EB30DF" w:rsidRPr="00EB30DF">
        <w:rPr>
          <w:rFonts w:cs="Calibri"/>
          <w:bCs/>
        </w:rPr>
        <w:t>case file review process include</w:t>
      </w:r>
      <w:r w:rsidR="00536835">
        <w:rPr>
          <w:rFonts w:cs="Calibri"/>
          <w:bCs/>
        </w:rPr>
        <w:t>d</w:t>
      </w:r>
      <w:r w:rsidR="00AA1ABC">
        <w:rPr>
          <w:rFonts w:cs="Calibri"/>
          <w:bCs/>
        </w:rPr>
        <w:t xml:space="preserve"> the</w:t>
      </w:r>
      <w:r w:rsidR="00EB30DF" w:rsidRPr="00EB30DF">
        <w:rPr>
          <w:rFonts w:cs="Calibri"/>
          <w:bCs/>
        </w:rPr>
        <w:t xml:space="preserve"> supervisor</w:t>
      </w:r>
      <w:r w:rsidR="00AA1ABC">
        <w:rPr>
          <w:rFonts w:cs="Calibri"/>
          <w:bCs/>
        </w:rPr>
        <w:t>’s</w:t>
      </w:r>
      <w:r w:rsidR="00EB30DF" w:rsidRPr="00EB30DF">
        <w:rPr>
          <w:rFonts w:cs="Calibri"/>
          <w:bCs/>
        </w:rPr>
        <w:t xml:space="preserve"> review of case files to ensure that</w:t>
      </w:r>
      <w:r w:rsidR="00EB30DF" w:rsidRPr="00EB30DF">
        <w:t xml:space="preserve"> adequate employer knowledge </w:t>
      </w:r>
      <w:r w:rsidR="00447A99">
        <w:t>was</w:t>
      </w:r>
      <w:r w:rsidR="00EB30DF" w:rsidRPr="00EB30DF">
        <w:t xml:space="preserve"> documented.  </w:t>
      </w:r>
      <w:r w:rsidR="00225F67" w:rsidRPr="00EB30DF">
        <w:t xml:space="preserve">A case file review is necessary to evaluate performance in relation to this observation.  This </w:t>
      </w:r>
      <w:r w:rsidR="00225F67" w:rsidRPr="00EB30DF">
        <w:lastRenderedPageBreak/>
        <w:t xml:space="preserve">observation will be a focus of next year’s case file review during the FY 2025 </w:t>
      </w:r>
      <w:r w:rsidR="00737EBF">
        <w:t>c</w:t>
      </w:r>
      <w:r w:rsidR="00737EBF" w:rsidRPr="00EB30DF">
        <w:t xml:space="preserve">omprehensive </w:t>
      </w:r>
      <w:r w:rsidR="00225F67" w:rsidRPr="00EB30DF">
        <w:t>FAME.</w:t>
      </w:r>
      <w:r w:rsidR="00225F67" w:rsidRPr="00EB30DF">
        <w:rPr>
          <w:b/>
        </w:rPr>
        <w:t xml:space="preserve">  </w:t>
      </w:r>
      <w:r w:rsidRPr="00EB30DF">
        <w:rPr>
          <w:rFonts w:cs="Calibri"/>
        </w:rPr>
        <w:t>This observation will be continued.</w:t>
      </w:r>
    </w:p>
    <w:bookmarkEnd w:id="23"/>
    <w:p w14:paraId="0DD5F7CD" w14:textId="77777777" w:rsidR="0041747A" w:rsidRDefault="0041747A" w:rsidP="00783189">
      <w:pPr>
        <w:widowControl/>
        <w:autoSpaceDE/>
        <w:autoSpaceDN/>
        <w:adjustRightInd/>
        <w:rPr>
          <w:rFonts w:cs="Calibri"/>
          <w:bCs/>
        </w:rPr>
      </w:pPr>
    </w:p>
    <w:p w14:paraId="08BD2F41" w14:textId="6DB09A8D" w:rsidR="0041747A" w:rsidRDefault="00B668CB" w:rsidP="00783189">
      <w:pPr>
        <w:widowControl/>
        <w:autoSpaceDE/>
        <w:autoSpaceDN/>
        <w:adjustRightInd/>
        <w:rPr>
          <w:rFonts w:cs="Calibri"/>
          <w:bCs/>
        </w:rPr>
      </w:pPr>
      <w:r>
        <w:rPr>
          <w:rFonts w:cs="Calibri"/>
          <w:b/>
        </w:rPr>
        <w:t xml:space="preserve">Observation </w:t>
      </w:r>
      <w:r w:rsidR="0041747A" w:rsidRPr="00361A57">
        <w:rPr>
          <w:rFonts w:cs="Calibri"/>
          <w:b/>
        </w:rPr>
        <w:t>FY 2024-OB-0</w:t>
      </w:r>
      <w:r w:rsidR="0041747A">
        <w:rPr>
          <w:rFonts w:cs="Calibri"/>
          <w:b/>
        </w:rPr>
        <w:t>4</w:t>
      </w:r>
      <w:r w:rsidR="0041747A" w:rsidRPr="00361A57">
        <w:rPr>
          <w:rFonts w:cs="Calibri"/>
          <w:b/>
        </w:rPr>
        <w:t xml:space="preserve"> </w:t>
      </w:r>
      <w:r w:rsidR="0041747A">
        <w:rPr>
          <w:rFonts w:cs="Calibri"/>
          <w:b/>
        </w:rPr>
        <w:t>(previously FY 2023-OB-05)</w:t>
      </w:r>
      <w:r w:rsidR="0041747A" w:rsidRPr="001C1E47">
        <w:rPr>
          <w:rFonts w:cs="Calibri"/>
          <w:b/>
        </w:rPr>
        <w:t>:</w:t>
      </w:r>
      <w:r w:rsidR="0041747A">
        <w:rPr>
          <w:rFonts w:cs="Calibri"/>
          <w:b/>
        </w:rPr>
        <w:t xml:space="preserve"> </w:t>
      </w:r>
      <w:bookmarkStart w:id="24" w:name="OLE_LINK8"/>
      <w:r w:rsidR="0041747A" w:rsidRPr="0041747A">
        <w:rPr>
          <w:rFonts w:cs="Calibri"/>
          <w:bCs/>
        </w:rPr>
        <w:t>In FY 2023, twelve of 25 (48%) complaint investigations reviewed were closed prior to completion or receipt of abatement.  Seven of 25 (28%) complaint investigation case files did not contain documentation of a written response from the employer regarding abatement.  UOSH did not follow the guidance in Chapter 9, Section I.H.9 and Chapter 9, Section I.H.3.b of the UOSH FOM.</w:t>
      </w:r>
      <w:bookmarkEnd w:id="24"/>
    </w:p>
    <w:p w14:paraId="1F0802B5" w14:textId="77777777" w:rsidR="0041747A" w:rsidRDefault="0041747A" w:rsidP="00783189">
      <w:pPr>
        <w:widowControl/>
        <w:autoSpaceDE/>
        <w:autoSpaceDN/>
        <w:adjustRightInd/>
        <w:rPr>
          <w:rFonts w:cs="Calibri"/>
          <w:bCs/>
        </w:rPr>
      </w:pPr>
    </w:p>
    <w:p w14:paraId="262D0769" w14:textId="464703EA" w:rsidR="0041747A" w:rsidRPr="0041747A" w:rsidRDefault="0041747A" w:rsidP="00783189">
      <w:pPr>
        <w:widowControl/>
        <w:autoSpaceDE/>
        <w:autoSpaceDN/>
        <w:adjustRightInd/>
        <w:rPr>
          <w:rFonts w:cs="Calibri"/>
        </w:rPr>
      </w:pPr>
      <w:r w:rsidRPr="001C1E47">
        <w:rPr>
          <w:rFonts w:cs="Calibri"/>
          <w:b/>
        </w:rPr>
        <w:t xml:space="preserve">Status: </w:t>
      </w:r>
      <w:r w:rsidR="00F9513A" w:rsidRPr="00DB695A">
        <w:rPr>
          <w:rFonts w:asciiTheme="minorHAnsi" w:hAnsiTheme="minorHAnsi" w:cstheme="minorHAnsi"/>
        </w:rPr>
        <w:t xml:space="preserve">Complaints </w:t>
      </w:r>
      <w:r w:rsidR="00447A99">
        <w:rPr>
          <w:rFonts w:asciiTheme="minorHAnsi" w:hAnsiTheme="minorHAnsi" w:cstheme="minorHAnsi"/>
        </w:rPr>
        <w:t>we</w:t>
      </w:r>
      <w:r w:rsidR="0096725B">
        <w:rPr>
          <w:rFonts w:asciiTheme="minorHAnsi" w:hAnsiTheme="minorHAnsi" w:cstheme="minorHAnsi"/>
        </w:rPr>
        <w:t>re</w:t>
      </w:r>
      <w:r w:rsidR="00F9513A" w:rsidRPr="00DB695A">
        <w:rPr>
          <w:rFonts w:asciiTheme="minorHAnsi" w:hAnsiTheme="minorHAnsi" w:cstheme="minorHAnsi"/>
        </w:rPr>
        <w:t xml:space="preserve"> processed</w:t>
      </w:r>
      <w:r w:rsidR="00F9513A">
        <w:rPr>
          <w:rFonts w:asciiTheme="minorHAnsi" w:hAnsiTheme="minorHAnsi" w:cstheme="minorHAnsi"/>
        </w:rPr>
        <w:t xml:space="preserve"> from</w:t>
      </w:r>
      <w:r w:rsidR="00F9513A" w:rsidRPr="00DB695A">
        <w:rPr>
          <w:rFonts w:asciiTheme="minorHAnsi" w:hAnsiTheme="minorHAnsi" w:cstheme="minorHAnsi"/>
        </w:rPr>
        <w:t xml:space="preserve"> </w:t>
      </w:r>
      <w:r w:rsidR="00F9513A">
        <w:rPr>
          <w:rFonts w:asciiTheme="minorHAnsi" w:hAnsiTheme="minorHAnsi" w:cstheme="minorHAnsi"/>
        </w:rPr>
        <w:t>beginning</w:t>
      </w:r>
      <w:r w:rsidR="00F9513A" w:rsidRPr="00DB695A">
        <w:rPr>
          <w:rFonts w:asciiTheme="minorHAnsi" w:hAnsiTheme="minorHAnsi" w:cstheme="minorHAnsi"/>
        </w:rPr>
        <w:t xml:space="preserve"> to </w:t>
      </w:r>
      <w:r w:rsidR="00F9513A">
        <w:rPr>
          <w:rFonts w:asciiTheme="minorHAnsi" w:hAnsiTheme="minorHAnsi" w:cstheme="minorHAnsi"/>
        </w:rPr>
        <w:t>end</w:t>
      </w:r>
      <w:r w:rsidR="00F9513A" w:rsidRPr="00DB695A">
        <w:rPr>
          <w:rFonts w:asciiTheme="minorHAnsi" w:hAnsiTheme="minorHAnsi" w:cstheme="minorHAnsi"/>
        </w:rPr>
        <w:t xml:space="preserve"> by either the health or safety </w:t>
      </w:r>
      <w:r w:rsidR="00F9513A" w:rsidRPr="00C9478F">
        <w:rPr>
          <w:rFonts w:asciiTheme="minorHAnsi" w:hAnsiTheme="minorHAnsi" w:cstheme="minorHAnsi"/>
        </w:rPr>
        <w:t xml:space="preserve">supervisor.  </w:t>
      </w:r>
      <w:r w:rsidR="009432BC">
        <w:rPr>
          <w:rFonts w:asciiTheme="minorHAnsi" w:hAnsiTheme="minorHAnsi" w:cstheme="minorHAnsi"/>
        </w:rPr>
        <w:t xml:space="preserve">The </w:t>
      </w:r>
      <w:r w:rsidR="00C43B57">
        <w:rPr>
          <w:rFonts w:asciiTheme="minorHAnsi" w:hAnsiTheme="minorHAnsi" w:cstheme="minorHAnsi"/>
        </w:rPr>
        <w:t>complaint</w:t>
      </w:r>
      <w:r w:rsidR="004119E7">
        <w:rPr>
          <w:rFonts w:asciiTheme="minorHAnsi" w:hAnsiTheme="minorHAnsi" w:cstheme="minorHAnsi"/>
        </w:rPr>
        <w:t xml:space="preserve"> </w:t>
      </w:r>
      <w:r w:rsidR="0096725B">
        <w:rPr>
          <w:rFonts w:asciiTheme="minorHAnsi" w:hAnsiTheme="minorHAnsi" w:cstheme="minorHAnsi"/>
        </w:rPr>
        <w:t xml:space="preserve">investigation </w:t>
      </w:r>
      <w:r w:rsidR="002C0B34">
        <w:rPr>
          <w:rFonts w:asciiTheme="minorHAnsi" w:hAnsiTheme="minorHAnsi" w:cstheme="minorHAnsi"/>
        </w:rPr>
        <w:t>was</w:t>
      </w:r>
      <w:r w:rsidR="006C491F">
        <w:rPr>
          <w:rFonts w:asciiTheme="minorHAnsi" w:hAnsiTheme="minorHAnsi" w:cstheme="minorHAnsi"/>
        </w:rPr>
        <w:t xml:space="preserve"> closed </w:t>
      </w:r>
      <w:r w:rsidR="004119E7">
        <w:rPr>
          <w:rFonts w:asciiTheme="minorHAnsi" w:hAnsiTheme="minorHAnsi" w:cstheme="minorHAnsi"/>
        </w:rPr>
        <w:t xml:space="preserve">when </w:t>
      </w:r>
      <w:r w:rsidR="006C491F">
        <w:rPr>
          <w:rFonts w:asciiTheme="minorHAnsi" w:hAnsiTheme="minorHAnsi" w:cstheme="minorHAnsi"/>
        </w:rPr>
        <w:t xml:space="preserve">the supervisor </w:t>
      </w:r>
      <w:r w:rsidR="00130267">
        <w:rPr>
          <w:rFonts w:asciiTheme="minorHAnsi" w:hAnsiTheme="minorHAnsi" w:cstheme="minorHAnsi"/>
        </w:rPr>
        <w:t xml:space="preserve">reviewed </w:t>
      </w:r>
      <w:r w:rsidR="00A24456">
        <w:rPr>
          <w:rFonts w:asciiTheme="minorHAnsi" w:hAnsiTheme="minorHAnsi" w:cstheme="minorHAnsi"/>
        </w:rPr>
        <w:t>the employer’s</w:t>
      </w:r>
      <w:r w:rsidR="00B009D2">
        <w:rPr>
          <w:rFonts w:asciiTheme="minorHAnsi" w:hAnsiTheme="minorHAnsi" w:cstheme="minorHAnsi"/>
        </w:rPr>
        <w:t xml:space="preserve"> </w:t>
      </w:r>
      <w:r w:rsidR="00A24456">
        <w:rPr>
          <w:rFonts w:asciiTheme="minorHAnsi" w:hAnsiTheme="minorHAnsi" w:cstheme="minorHAnsi"/>
        </w:rPr>
        <w:t xml:space="preserve">response </w:t>
      </w:r>
      <w:r w:rsidR="00B009D2">
        <w:rPr>
          <w:rFonts w:asciiTheme="minorHAnsi" w:hAnsiTheme="minorHAnsi" w:cstheme="minorHAnsi"/>
        </w:rPr>
        <w:t xml:space="preserve">to the complaint </w:t>
      </w:r>
      <w:r w:rsidR="00A24456">
        <w:rPr>
          <w:rFonts w:asciiTheme="minorHAnsi" w:hAnsiTheme="minorHAnsi" w:cstheme="minorHAnsi"/>
        </w:rPr>
        <w:t xml:space="preserve">and determined that the response </w:t>
      </w:r>
      <w:r w:rsidR="008D4C03">
        <w:rPr>
          <w:rFonts w:asciiTheme="minorHAnsi" w:hAnsiTheme="minorHAnsi" w:cstheme="minorHAnsi"/>
        </w:rPr>
        <w:t xml:space="preserve">was </w:t>
      </w:r>
      <w:r w:rsidR="004119E7">
        <w:rPr>
          <w:rFonts w:asciiTheme="minorHAnsi" w:hAnsiTheme="minorHAnsi" w:cstheme="minorHAnsi"/>
        </w:rPr>
        <w:t>adequate</w:t>
      </w:r>
      <w:r w:rsidR="00C43B57">
        <w:rPr>
          <w:rFonts w:asciiTheme="minorHAnsi" w:hAnsiTheme="minorHAnsi" w:cstheme="minorHAnsi"/>
        </w:rPr>
        <w:t>.</w:t>
      </w:r>
      <w:r w:rsidR="004119E7">
        <w:rPr>
          <w:rFonts w:asciiTheme="minorHAnsi" w:hAnsiTheme="minorHAnsi" w:cstheme="minorHAnsi"/>
        </w:rPr>
        <w:t xml:space="preserve">  </w:t>
      </w:r>
      <w:r w:rsidR="00846631">
        <w:rPr>
          <w:rFonts w:asciiTheme="minorHAnsi" w:hAnsiTheme="minorHAnsi" w:cstheme="minorHAnsi"/>
        </w:rPr>
        <w:t xml:space="preserve">UOSH </w:t>
      </w:r>
      <w:r w:rsidR="00E128DF">
        <w:rPr>
          <w:rFonts w:asciiTheme="minorHAnsi" w:hAnsiTheme="minorHAnsi" w:cstheme="minorHAnsi"/>
        </w:rPr>
        <w:t>did not conduct a s</w:t>
      </w:r>
      <w:r w:rsidR="004119E7">
        <w:rPr>
          <w:rFonts w:asciiTheme="minorHAnsi" w:hAnsiTheme="minorHAnsi" w:cstheme="minorHAnsi"/>
        </w:rPr>
        <w:t xml:space="preserve">econdary review of the </w:t>
      </w:r>
      <w:r w:rsidR="006C491F">
        <w:rPr>
          <w:rFonts w:asciiTheme="minorHAnsi" w:hAnsiTheme="minorHAnsi" w:cstheme="minorHAnsi"/>
        </w:rPr>
        <w:t>case</w:t>
      </w:r>
      <w:r w:rsidR="00B009D2">
        <w:rPr>
          <w:rFonts w:asciiTheme="minorHAnsi" w:hAnsiTheme="minorHAnsi" w:cstheme="minorHAnsi"/>
        </w:rPr>
        <w:t xml:space="preserve"> </w:t>
      </w:r>
      <w:r w:rsidR="006C491F">
        <w:rPr>
          <w:rFonts w:asciiTheme="minorHAnsi" w:hAnsiTheme="minorHAnsi" w:cstheme="minorHAnsi"/>
        </w:rPr>
        <w:t xml:space="preserve">file. </w:t>
      </w:r>
      <w:r w:rsidR="009432BC">
        <w:rPr>
          <w:rFonts w:asciiTheme="minorHAnsi" w:hAnsiTheme="minorHAnsi" w:cstheme="minorHAnsi"/>
        </w:rPr>
        <w:t xml:space="preserve"> </w:t>
      </w:r>
      <w:r w:rsidR="00225F67">
        <w:t xml:space="preserve">A case file review is necessary to evaluate performance in relation to this observation.  This observation will be a focus of next year’s case file review during the FY 2025 </w:t>
      </w:r>
      <w:r w:rsidR="00737EBF">
        <w:t xml:space="preserve">comprehensive </w:t>
      </w:r>
      <w:r w:rsidR="00225F67">
        <w:t>FAME.</w:t>
      </w:r>
      <w:r w:rsidR="00225F67">
        <w:rPr>
          <w:b/>
        </w:rPr>
        <w:t xml:space="preserve">  </w:t>
      </w:r>
      <w:r w:rsidRPr="00361A57">
        <w:rPr>
          <w:rFonts w:cs="Calibri"/>
        </w:rPr>
        <w:t>This observation will be continued.</w:t>
      </w:r>
    </w:p>
    <w:p w14:paraId="67DB38D6" w14:textId="77777777" w:rsidR="00EA4B05" w:rsidRPr="001C1E47" w:rsidRDefault="00EA4B05" w:rsidP="00783189">
      <w:pPr>
        <w:widowControl/>
        <w:autoSpaceDE/>
        <w:autoSpaceDN/>
        <w:adjustRightInd/>
        <w:rPr>
          <w:rFonts w:cs="Calibri"/>
          <w:b/>
          <w:highlight w:val="yellow"/>
          <w:u w:val="single"/>
        </w:rPr>
      </w:pPr>
    </w:p>
    <w:p w14:paraId="60205B8E" w14:textId="21D96F6D" w:rsidR="006672E3" w:rsidRPr="0061362E" w:rsidRDefault="00443054" w:rsidP="00783189">
      <w:pPr>
        <w:widowControl/>
        <w:autoSpaceDE/>
        <w:autoSpaceDN/>
        <w:adjustRightInd/>
        <w:rPr>
          <w:rFonts w:cs="Calibri"/>
          <w:b/>
          <w:bCs/>
        </w:rPr>
      </w:pPr>
      <w:r w:rsidRPr="0061362E">
        <w:rPr>
          <w:rFonts w:cs="Calibri"/>
          <w:b/>
          <w:bCs/>
        </w:rPr>
        <w:t>New FY 20</w:t>
      </w:r>
      <w:r w:rsidR="00F92CA5" w:rsidRPr="00185E50">
        <w:rPr>
          <w:rFonts w:cs="Calibri"/>
          <w:b/>
          <w:bCs/>
        </w:rPr>
        <w:t>24</w:t>
      </w:r>
      <w:r w:rsidRPr="0061362E">
        <w:rPr>
          <w:rFonts w:cs="Calibri"/>
          <w:b/>
          <w:bCs/>
        </w:rPr>
        <w:t xml:space="preserve"> </w:t>
      </w:r>
      <w:r w:rsidR="006672E3" w:rsidRPr="0061362E">
        <w:rPr>
          <w:rFonts w:cs="Calibri"/>
          <w:b/>
          <w:bCs/>
        </w:rPr>
        <w:t>Observations</w:t>
      </w:r>
    </w:p>
    <w:p w14:paraId="357EFC6A" w14:textId="77777777" w:rsidR="00B6403E" w:rsidRPr="0061362E" w:rsidRDefault="00B6403E" w:rsidP="00783189">
      <w:pPr>
        <w:widowControl/>
        <w:autoSpaceDE/>
        <w:autoSpaceDN/>
        <w:adjustRightInd/>
        <w:rPr>
          <w:rFonts w:cs="Calibri"/>
          <w:bCs/>
          <w:iCs/>
          <w:color w:val="0070C0"/>
        </w:rPr>
      </w:pPr>
    </w:p>
    <w:p w14:paraId="7B41E8BF" w14:textId="3D32F5AD" w:rsidR="009C7885" w:rsidRPr="009C7885" w:rsidRDefault="009C7885" w:rsidP="009C7885">
      <w:pPr>
        <w:widowControl/>
        <w:rPr>
          <w:rFonts w:eastAsia="Calibri" w:cs="Calibri"/>
        </w:rPr>
      </w:pPr>
      <w:r w:rsidRPr="009C7885">
        <w:rPr>
          <w:rFonts w:eastAsia="Calibri" w:cs="Calibri"/>
        </w:rPr>
        <w:t>There are no new observations in the</w:t>
      </w:r>
      <w:sdt>
        <w:sdtPr>
          <w:rPr>
            <w:rFonts w:eastAsia="Calibri" w:cs="Calibri"/>
          </w:rPr>
          <w:tag w:val="goog_rdk_1"/>
          <w:id w:val="451061455"/>
        </w:sdtPr>
        <w:sdtContent/>
      </w:sdt>
      <w:r w:rsidRPr="009C7885">
        <w:rPr>
          <w:rFonts w:eastAsia="Calibri" w:cs="Calibri"/>
        </w:rPr>
        <w:t xml:space="preserve"> FY 202</w:t>
      </w:r>
      <w:r>
        <w:rPr>
          <w:rFonts w:eastAsia="Calibri" w:cs="Calibri"/>
        </w:rPr>
        <w:t>4</w:t>
      </w:r>
      <w:r w:rsidRPr="009C7885">
        <w:rPr>
          <w:rFonts w:eastAsia="Calibri" w:cs="Calibri"/>
        </w:rPr>
        <w:t xml:space="preserve"> Follow-up FAME Report.</w:t>
      </w:r>
    </w:p>
    <w:p w14:paraId="7C2F3EA1" w14:textId="77777777" w:rsidR="005E038B" w:rsidRPr="001C1E47" w:rsidRDefault="005E038B" w:rsidP="00783189">
      <w:pPr>
        <w:widowControl/>
        <w:autoSpaceDE/>
        <w:autoSpaceDN/>
        <w:adjustRightInd/>
        <w:rPr>
          <w:rFonts w:cs="Calibri"/>
          <w:bCs/>
        </w:rPr>
      </w:pPr>
    </w:p>
    <w:p w14:paraId="3B828F9D" w14:textId="6C45BA5D" w:rsidR="00F132A8" w:rsidRPr="0061362E" w:rsidRDefault="00F132A8" w:rsidP="001D45C8">
      <w:pPr>
        <w:pStyle w:val="Heading3"/>
      </w:pPr>
      <w:bookmarkStart w:id="25" w:name="_Toc118900177"/>
      <w:bookmarkStart w:id="26" w:name="_Toc118905016"/>
      <w:bookmarkStart w:id="27" w:name="_Toc119418668"/>
      <w:r w:rsidRPr="0061362E">
        <w:t>State Activity Mandated Measures (SAMM)</w:t>
      </w:r>
      <w:r w:rsidR="00A243D6" w:rsidRPr="0061362E">
        <w:t xml:space="preserve"> Highlights</w:t>
      </w:r>
      <w:bookmarkEnd w:id="25"/>
      <w:bookmarkEnd w:id="26"/>
      <w:bookmarkEnd w:id="27"/>
    </w:p>
    <w:p w14:paraId="6AD12CC3" w14:textId="77777777" w:rsidR="00C14885" w:rsidRPr="001C1E47" w:rsidRDefault="00C14885" w:rsidP="00783189">
      <w:pPr>
        <w:widowControl/>
        <w:autoSpaceDE/>
        <w:adjustRightInd/>
        <w:rPr>
          <w:rFonts w:cs="Calibri"/>
          <w:i/>
        </w:rPr>
      </w:pPr>
    </w:p>
    <w:p w14:paraId="502774D6" w14:textId="5DEAE1E2" w:rsidR="002966F6" w:rsidRDefault="00EC7600" w:rsidP="002966F6">
      <w:pPr>
        <w:widowControl/>
        <w:autoSpaceDE/>
        <w:adjustRightInd/>
        <w:rPr>
          <w:rFonts w:cs="Calibri"/>
        </w:rPr>
      </w:pPr>
      <w:r w:rsidRPr="001C1E47">
        <w:rPr>
          <w:rFonts w:cs="Calibri"/>
        </w:rPr>
        <w:t xml:space="preserve">Each SAMM has an agreed upon </w:t>
      </w:r>
      <w:r w:rsidR="00D7654E" w:rsidRPr="001C1E47">
        <w:rPr>
          <w:rFonts w:cs="Calibri"/>
        </w:rPr>
        <w:t>FRL</w:t>
      </w:r>
      <w:r w:rsidRPr="001C1E47">
        <w:rPr>
          <w:rFonts w:cs="Calibri"/>
        </w:rPr>
        <w:t xml:space="preserve"> which can be either a single number or </w:t>
      </w:r>
      <w:r w:rsidR="00D7654E" w:rsidRPr="001C1E47">
        <w:rPr>
          <w:rFonts w:cs="Calibri"/>
        </w:rPr>
        <w:t xml:space="preserve">a </w:t>
      </w:r>
      <w:r w:rsidRPr="001C1E47">
        <w:rPr>
          <w:rFonts w:cs="Calibri"/>
        </w:rPr>
        <w:t xml:space="preserve">range of numbers above and below the national average.  State Plan SAMM data that falls outside the FRL triggers a closer look at the underlying performance of the mandatory activity.  </w:t>
      </w:r>
      <w:r w:rsidR="005D1F76" w:rsidRPr="001C1E47">
        <w:rPr>
          <w:rFonts w:cs="Calibri"/>
        </w:rPr>
        <w:t>Appendix D presents the State Plan’s FY 20</w:t>
      </w:r>
      <w:r w:rsidR="00965A56">
        <w:rPr>
          <w:rFonts w:cs="Calibri"/>
        </w:rPr>
        <w:t>24</w:t>
      </w:r>
      <w:r w:rsidR="005D1F76" w:rsidRPr="001C1E47">
        <w:rPr>
          <w:rFonts w:cs="Calibri"/>
        </w:rPr>
        <w:t xml:space="preserve"> SAMM Report and includes the FRL for each measure. </w:t>
      </w:r>
    </w:p>
    <w:p w14:paraId="44A3AB01" w14:textId="77777777" w:rsidR="002966F6" w:rsidRDefault="002966F6" w:rsidP="00783189">
      <w:pPr>
        <w:widowControl/>
        <w:autoSpaceDE/>
        <w:adjustRightInd/>
        <w:rPr>
          <w:rFonts w:cs="Calibri"/>
        </w:rPr>
      </w:pPr>
    </w:p>
    <w:p w14:paraId="75AF2501" w14:textId="36FA8A98" w:rsidR="00EC7600" w:rsidRPr="001C1E47" w:rsidRDefault="00EC7600" w:rsidP="00783189">
      <w:pPr>
        <w:widowControl/>
        <w:autoSpaceDE/>
        <w:adjustRightInd/>
        <w:rPr>
          <w:rFonts w:cs="Calibri"/>
        </w:rPr>
      </w:pPr>
      <w:r w:rsidRPr="001C1E47">
        <w:rPr>
          <w:rFonts w:cs="Calibri"/>
        </w:rPr>
        <w:t>The State Plan was outside the FRL on the following SAMMs:</w:t>
      </w:r>
    </w:p>
    <w:p w14:paraId="5B2B946B" w14:textId="77777777" w:rsidR="00A02B33" w:rsidRPr="001C1E47" w:rsidRDefault="00A02B33" w:rsidP="00783189">
      <w:pPr>
        <w:widowControl/>
        <w:autoSpaceDE/>
        <w:adjustRightInd/>
        <w:rPr>
          <w:rFonts w:cs="Calibri"/>
          <w:b/>
          <w:u w:val="single"/>
        </w:rPr>
      </w:pPr>
    </w:p>
    <w:p w14:paraId="31E9ACDB" w14:textId="3CA03661" w:rsidR="00EC7600" w:rsidRPr="00314593" w:rsidRDefault="00EC7600" w:rsidP="00783189">
      <w:pPr>
        <w:widowControl/>
        <w:autoSpaceDE/>
        <w:adjustRightInd/>
        <w:rPr>
          <w:rFonts w:cs="Calibri"/>
          <w:b/>
        </w:rPr>
      </w:pPr>
      <w:r w:rsidRPr="00314593">
        <w:rPr>
          <w:rFonts w:cs="Calibri"/>
          <w:b/>
        </w:rPr>
        <w:t xml:space="preserve">SAMM </w:t>
      </w:r>
      <w:r w:rsidR="005D1758" w:rsidRPr="00314593">
        <w:rPr>
          <w:rFonts w:cs="Calibri"/>
          <w:b/>
        </w:rPr>
        <w:t>1</w:t>
      </w:r>
      <w:r w:rsidR="007B3BE5">
        <w:rPr>
          <w:rFonts w:cs="Calibri"/>
          <w:b/>
        </w:rPr>
        <w:t>a</w:t>
      </w:r>
      <w:r w:rsidRPr="00314593">
        <w:rPr>
          <w:rFonts w:cs="Calibri"/>
          <w:b/>
        </w:rPr>
        <w:t xml:space="preserve"> – </w:t>
      </w:r>
      <w:r w:rsidR="00314593" w:rsidRPr="00314593">
        <w:rPr>
          <w:rFonts w:cs="Calibri"/>
          <w:b/>
        </w:rPr>
        <w:t>Average number of workdays to initiate complaint inspections</w:t>
      </w:r>
    </w:p>
    <w:p w14:paraId="6C991B2F" w14:textId="77777777" w:rsidR="00EC7600" w:rsidRPr="001C1E47" w:rsidRDefault="00EC7600" w:rsidP="00783189">
      <w:pPr>
        <w:widowControl/>
        <w:autoSpaceDE/>
        <w:adjustRightInd/>
        <w:rPr>
          <w:rFonts w:cs="Calibri"/>
        </w:rPr>
      </w:pPr>
    </w:p>
    <w:p w14:paraId="48B4BACE" w14:textId="78B3CD5F" w:rsidR="00EC7600" w:rsidRPr="007324F0" w:rsidRDefault="005D1F76" w:rsidP="00783189">
      <w:pPr>
        <w:widowControl/>
        <w:autoSpaceDE/>
        <w:adjustRightInd/>
        <w:rPr>
          <w:rFonts w:cs="Calibri"/>
          <w:color w:val="0070C0"/>
        </w:rPr>
      </w:pPr>
      <w:r w:rsidRPr="001C1E47">
        <w:rPr>
          <w:rFonts w:cs="Calibri"/>
          <w:u w:val="single"/>
        </w:rPr>
        <w:t xml:space="preserve">Discussion of </w:t>
      </w:r>
      <w:r w:rsidR="003F2E2D" w:rsidRPr="001C1E47">
        <w:rPr>
          <w:rFonts w:cs="Calibri"/>
          <w:u w:val="single"/>
        </w:rPr>
        <w:t>State</w:t>
      </w:r>
      <w:r w:rsidR="00391D6F" w:rsidRPr="001C1E47">
        <w:rPr>
          <w:rFonts w:cs="Calibri"/>
          <w:u w:val="single"/>
        </w:rPr>
        <w:t xml:space="preserve"> Plan </w:t>
      </w:r>
      <w:r w:rsidR="00476C08">
        <w:rPr>
          <w:rFonts w:cs="Calibri"/>
          <w:u w:val="single"/>
        </w:rPr>
        <w:t>D</w:t>
      </w:r>
      <w:r w:rsidR="00EC7600" w:rsidRPr="001C1E47">
        <w:rPr>
          <w:rFonts w:cs="Calibri"/>
          <w:u w:val="single"/>
        </w:rPr>
        <w:t>ata and FRL</w:t>
      </w:r>
      <w:r w:rsidR="00DF41B5" w:rsidRPr="001C1E47">
        <w:rPr>
          <w:rFonts w:cs="Calibri"/>
          <w:u w:val="single"/>
        </w:rPr>
        <w:t>:</w:t>
      </w:r>
      <w:r w:rsidR="00DF41B5" w:rsidRPr="001C1E47">
        <w:rPr>
          <w:rFonts w:cs="Calibri"/>
        </w:rPr>
        <w:t xml:space="preserve"> </w:t>
      </w:r>
      <w:r w:rsidR="00DF41B5" w:rsidRPr="00DF41B5">
        <w:rPr>
          <w:rFonts w:cs="Calibri"/>
        </w:rPr>
        <w:t>The</w:t>
      </w:r>
      <w:r w:rsidR="00F93C4D" w:rsidRPr="00DF41B5">
        <w:rPr>
          <w:rFonts w:asciiTheme="minorHAnsi" w:hAnsiTheme="minorHAnsi" w:cstheme="minorHAnsi"/>
        </w:rPr>
        <w:t xml:space="preserve"> </w:t>
      </w:r>
      <w:r w:rsidR="00F93C4D" w:rsidRPr="00C97DEE">
        <w:rPr>
          <w:rFonts w:asciiTheme="minorHAnsi" w:hAnsiTheme="minorHAnsi" w:cstheme="minorHAnsi"/>
        </w:rPr>
        <w:t>negotiated</w:t>
      </w:r>
      <w:r w:rsidR="00F93C4D">
        <w:rPr>
          <w:rFonts w:asciiTheme="minorHAnsi" w:hAnsiTheme="minorHAnsi" w:cstheme="minorHAnsi"/>
        </w:rPr>
        <w:t xml:space="preserve"> </w:t>
      </w:r>
      <w:r w:rsidR="00F93C4D" w:rsidRPr="00FC3E1E">
        <w:rPr>
          <w:rFonts w:asciiTheme="minorHAnsi" w:hAnsiTheme="minorHAnsi" w:cstheme="minorHAnsi"/>
        </w:rPr>
        <w:t xml:space="preserve">FRL for </w:t>
      </w:r>
      <w:r w:rsidR="00F93C4D">
        <w:rPr>
          <w:rFonts w:asciiTheme="minorHAnsi" w:hAnsiTheme="minorHAnsi" w:cstheme="minorHAnsi"/>
        </w:rPr>
        <w:t xml:space="preserve">the </w:t>
      </w:r>
      <w:r w:rsidR="00F93C4D" w:rsidRPr="00FC3E1E">
        <w:rPr>
          <w:rFonts w:asciiTheme="minorHAnsi" w:hAnsiTheme="minorHAnsi" w:cstheme="minorHAnsi"/>
        </w:rPr>
        <w:t>average number of workdays to initiate complaint in</w:t>
      </w:r>
      <w:r w:rsidR="00F93C4D">
        <w:rPr>
          <w:rFonts w:asciiTheme="minorHAnsi" w:hAnsiTheme="minorHAnsi" w:cstheme="minorHAnsi"/>
        </w:rPr>
        <w:t>spections</w:t>
      </w:r>
      <w:r w:rsidR="00F93C4D" w:rsidRPr="00FC3E1E">
        <w:rPr>
          <w:rFonts w:asciiTheme="minorHAnsi" w:hAnsiTheme="minorHAnsi" w:cstheme="minorHAnsi"/>
        </w:rPr>
        <w:t xml:space="preserve"> was </w:t>
      </w:r>
      <w:r w:rsidR="00F93C4D">
        <w:rPr>
          <w:rFonts w:asciiTheme="minorHAnsi" w:hAnsiTheme="minorHAnsi" w:cstheme="minorHAnsi"/>
        </w:rPr>
        <w:t>five workdays</w:t>
      </w:r>
      <w:r w:rsidR="00F93C4D" w:rsidRPr="00FC3E1E">
        <w:rPr>
          <w:rFonts w:asciiTheme="minorHAnsi" w:hAnsiTheme="minorHAnsi" w:cstheme="minorHAnsi"/>
        </w:rPr>
        <w:t>.  The State Plan’s average number of workdays to initiate complaint in</w:t>
      </w:r>
      <w:r w:rsidR="00F93C4D">
        <w:rPr>
          <w:rFonts w:asciiTheme="minorHAnsi" w:hAnsiTheme="minorHAnsi" w:cstheme="minorHAnsi"/>
        </w:rPr>
        <w:t>spections</w:t>
      </w:r>
      <w:r w:rsidR="00F93C4D" w:rsidRPr="00FC3E1E">
        <w:rPr>
          <w:rFonts w:asciiTheme="minorHAnsi" w:hAnsiTheme="minorHAnsi" w:cstheme="minorHAnsi"/>
        </w:rPr>
        <w:t xml:space="preserve"> was </w:t>
      </w:r>
      <w:r w:rsidR="00F93C4D">
        <w:rPr>
          <w:rFonts w:asciiTheme="minorHAnsi" w:hAnsiTheme="minorHAnsi" w:cstheme="minorHAnsi"/>
        </w:rPr>
        <w:t xml:space="preserve">6.12 </w:t>
      </w:r>
      <w:r w:rsidR="00B02008">
        <w:rPr>
          <w:rFonts w:asciiTheme="minorHAnsi" w:hAnsiTheme="minorHAnsi" w:cstheme="minorHAnsi"/>
        </w:rPr>
        <w:t>work</w:t>
      </w:r>
      <w:r w:rsidR="00F93C4D">
        <w:rPr>
          <w:rFonts w:asciiTheme="minorHAnsi" w:hAnsiTheme="minorHAnsi" w:cstheme="minorHAnsi"/>
        </w:rPr>
        <w:t>days</w:t>
      </w:r>
      <w:r w:rsidR="00F93C4D" w:rsidRPr="00FC3E1E">
        <w:rPr>
          <w:rFonts w:asciiTheme="minorHAnsi" w:hAnsiTheme="minorHAnsi" w:cstheme="minorHAnsi"/>
        </w:rPr>
        <w:t xml:space="preserve">, which was </w:t>
      </w:r>
      <w:r w:rsidR="00F93C4D">
        <w:rPr>
          <w:rFonts w:asciiTheme="minorHAnsi" w:hAnsiTheme="minorHAnsi" w:cstheme="minorHAnsi"/>
        </w:rPr>
        <w:t>above</w:t>
      </w:r>
      <w:r w:rsidR="00F93C4D" w:rsidRPr="00FC3E1E">
        <w:rPr>
          <w:rFonts w:asciiTheme="minorHAnsi" w:hAnsiTheme="minorHAnsi" w:cstheme="minorHAnsi"/>
        </w:rPr>
        <w:t xml:space="preserve"> the FRL</w:t>
      </w:r>
      <w:r w:rsidR="00F93C4D">
        <w:rPr>
          <w:rFonts w:asciiTheme="minorHAnsi" w:hAnsiTheme="minorHAnsi" w:cstheme="minorHAnsi"/>
        </w:rPr>
        <w:t xml:space="preserve"> </w:t>
      </w:r>
      <w:r w:rsidR="00F93C4D">
        <w:t>but was not a cause for concern</w:t>
      </w:r>
      <w:r w:rsidR="00F93C4D" w:rsidRPr="00FC3E1E">
        <w:rPr>
          <w:rFonts w:asciiTheme="minorHAnsi" w:hAnsiTheme="minorHAnsi" w:cstheme="minorHAnsi"/>
        </w:rPr>
        <w:t xml:space="preserve">.   </w:t>
      </w:r>
    </w:p>
    <w:p w14:paraId="586F5DDB" w14:textId="77777777" w:rsidR="00EC7600" w:rsidRPr="001C1E47" w:rsidRDefault="00EC7600" w:rsidP="00783189">
      <w:pPr>
        <w:widowControl/>
        <w:autoSpaceDE/>
        <w:adjustRightInd/>
        <w:rPr>
          <w:rFonts w:cs="Calibri"/>
        </w:rPr>
      </w:pPr>
    </w:p>
    <w:p w14:paraId="43707F6A" w14:textId="72D7B7E1" w:rsidR="00F86D4B" w:rsidRDefault="00EC7600" w:rsidP="00ED5817">
      <w:pPr>
        <w:widowControl/>
        <w:autoSpaceDE/>
        <w:autoSpaceDN/>
        <w:adjustRightInd/>
        <w:rPr>
          <w:rFonts w:cs="Calibri"/>
          <w:color w:val="0070C0"/>
        </w:rPr>
      </w:pPr>
      <w:r w:rsidRPr="001C1E47">
        <w:rPr>
          <w:rFonts w:cs="Calibri"/>
          <w:u w:val="single"/>
        </w:rPr>
        <w:t>Explanation</w:t>
      </w:r>
      <w:bookmarkStart w:id="28" w:name="_Hlk187751530"/>
      <w:r w:rsidR="00DF41B5" w:rsidRPr="001C1E47">
        <w:rPr>
          <w:rFonts w:cs="Calibri"/>
          <w:u w:val="single"/>
        </w:rPr>
        <w:t>:</w:t>
      </w:r>
      <w:r w:rsidR="00DF41B5" w:rsidRPr="001C1E47">
        <w:rPr>
          <w:rFonts w:cs="Calibri"/>
        </w:rPr>
        <w:t xml:space="preserve"> </w:t>
      </w:r>
      <w:r w:rsidR="00DF41B5" w:rsidRPr="00DF41B5">
        <w:rPr>
          <w:rFonts w:cs="Calibri"/>
        </w:rPr>
        <w:t>The</w:t>
      </w:r>
      <w:r w:rsidR="00ED5817" w:rsidRPr="00DF41B5">
        <w:rPr>
          <w:rFonts w:cs="Calibri"/>
        </w:rPr>
        <w:t xml:space="preserve"> </w:t>
      </w:r>
      <w:r w:rsidR="00ED5817">
        <w:rPr>
          <w:rFonts w:cs="Calibri"/>
        </w:rPr>
        <w:t xml:space="preserve">State Plan’s performance </w:t>
      </w:r>
      <w:r w:rsidR="00ED5817" w:rsidRPr="00A46C5A">
        <w:rPr>
          <w:rFonts w:cs="Calibri"/>
        </w:rPr>
        <w:t xml:space="preserve">was impacted by staffing turnover.  During FY 2024, five of eight health compliance officers </w:t>
      </w:r>
      <w:r w:rsidR="00ED5817">
        <w:rPr>
          <w:rFonts w:cs="Calibri"/>
        </w:rPr>
        <w:t xml:space="preserve">and two of nine safety compliance officers </w:t>
      </w:r>
      <w:r w:rsidR="00ED5817" w:rsidRPr="00A46C5A">
        <w:rPr>
          <w:rFonts w:cs="Calibri"/>
        </w:rPr>
        <w:t xml:space="preserve">left UOSH. </w:t>
      </w:r>
      <w:r w:rsidR="0002147B">
        <w:rPr>
          <w:rFonts w:cs="Calibri"/>
        </w:rPr>
        <w:t xml:space="preserve"> </w:t>
      </w:r>
      <w:r w:rsidR="00871AAF">
        <w:rPr>
          <w:rFonts w:cs="Calibri"/>
        </w:rPr>
        <w:t xml:space="preserve">One hundred </w:t>
      </w:r>
      <w:r w:rsidR="0002147B">
        <w:rPr>
          <w:rFonts w:cs="Calibri"/>
        </w:rPr>
        <w:t>twenty-five</w:t>
      </w:r>
      <w:r w:rsidR="00871AAF">
        <w:rPr>
          <w:rFonts w:cs="Calibri"/>
        </w:rPr>
        <w:t xml:space="preserve"> health complaints, referrals, and accidents and </w:t>
      </w:r>
      <w:r w:rsidR="00813F93">
        <w:rPr>
          <w:rFonts w:cs="Calibri"/>
        </w:rPr>
        <w:t>648 safety complaints, referrals, and accidents were reported to UOSH</w:t>
      </w:r>
      <w:r w:rsidR="00B87911">
        <w:rPr>
          <w:rFonts w:cs="Calibri"/>
        </w:rPr>
        <w:t xml:space="preserve"> during FY 2024</w:t>
      </w:r>
      <w:r w:rsidR="0002147B">
        <w:rPr>
          <w:rFonts w:cs="Calibri"/>
        </w:rPr>
        <w:t xml:space="preserve">.  The turnover strained their resources even while </w:t>
      </w:r>
      <w:r w:rsidR="007C6A83">
        <w:rPr>
          <w:rFonts w:cs="Calibri"/>
        </w:rPr>
        <w:t>UOSH</w:t>
      </w:r>
      <w:r w:rsidR="0002147B">
        <w:rPr>
          <w:rFonts w:cs="Calibri"/>
        </w:rPr>
        <w:t xml:space="preserve"> prioritized responding to unprogrammed activity</w:t>
      </w:r>
      <w:r w:rsidR="001A2A9C">
        <w:rPr>
          <w:rFonts w:cs="Calibri"/>
        </w:rPr>
        <w:t>,</w:t>
      </w:r>
      <w:r w:rsidR="0002147B">
        <w:rPr>
          <w:rFonts w:cs="Calibri"/>
        </w:rPr>
        <w:t xml:space="preserve"> </w:t>
      </w:r>
      <w:r w:rsidR="00964449">
        <w:rPr>
          <w:rFonts w:cs="Calibri"/>
        </w:rPr>
        <w:t>including</w:t>
      </w:r>
      <w:r w:rsidR="0002147B">
        <w:rPr>
          <w:rFonts w:cs="Calibri"/>
        </w:rPr>
        <w:t xml:space="preserve"> complaints.  </w:t>
      </w:r>
      <w:bookmarkEnd w:id="28"/>
      <w:r w:rsidR="00192C97">
        <w:rPr>
          <w:rFonts w:cs="Calibri"/>
        </w:rPr>
        <w:t>During FY 2022 and FY 2023</w:t>
      </w:r>
      <w:r w:rsidR="00913FC6">
        <w:rPr>
          <w:rFonts w:cs="Calibri"/>
        </w:rPr>
        <w:t>,</w:t>
      </w:r>
      <w:r w:rsidR="00192C97">
        <w:rPr>
          <w:rFonts w:cs="Calibri"/>
        </w:rPr>
        <w:t xml:space="preserve"> the State Plan met the FRL.</w:t>
      </w:r>
      <w:r w:rsidR="007D13A9">
        <w:rPr>
          <w:rFonts w:cs="Calibri"/>
        </w:rPr>
        <w:t xml:space="preserve">  As FY 2024 progressed and as new CSHOs were trained and </w:t>
      </w:r>
      <w:r w:rsidR="00711680">
        <w:rPr>
          <w:rFonts w:cs="Calibri"/>
        </w:rPr>
        <w:t>the strain on resources eased, the cumulative SAMM 1</w:t>
      </w:r>
      <w:r w:rsidR="0052767B">
        <w:rPr>
          <w:rFonts w:cs="Calibri"/>
        </w:rPr>
        <w:t xml:space="preserve"> result</w:t>
      </w:r>
      <w:r w:rsidR="00711680">
        <w:rPr>
          <w:rFonts w:cs="Calibri"/>
        </w:rPr>
        <w:t xml:space="preserve"> </w:t>
      </w:r>
      <w:r w:rsidR="00711680">
        <w:rPr>
          <w:rFonts w:cs="Calibri"/>
        </w:rPr>
        <w:lastRenderedPageBreak/>
        <w:t xml:space="preserve">was reduced from a high at the end of quarter two of 6.90 </w:t>
      </w:r>
      <w:r w:rsidR="00B02008">
        <w:rPr>
          <w:rFonts w:cs="Calibri"/>
        </w:rPr>
        <w:t>work</w:t>
      </w:r>
      <w:r w:rsidR="00711680">
        <w:rPr>
          <w:rFonts w:cs="Calibri"/>
        </w:rPr>
        <w:t xml:space="preserve">days </w:t>
      </w:r>
      <w:r w:rsidR="00A50475">
        <w:rPr>
          <w:rFonts w:cs="Calibri"/>
        </w:rPr>
        <w:t xml:space="preserve">to 6.12 </w:t>
      </w:r>
      <w:r w:rsidR="00B02008">
        <w:rPr>
          <w:rFonts w:cs="Calibri"/>
        </w:rPr>
        <w:t>work</w:t>
      </w:r>
      <w:r w:rsidR="00A50475">
        <w:rPr>
          <w:rFonts w:cs="Calibri"/>
        </w:rPr>
        <w:t xml:space="preserve">days at the end of FY 2024.  </w:t>
      </w:r>
      <w:r w:rsidR="00AC6045" w:rsidRPr="00D816B3">
        <w:t xml:space="preserve">An observation is not justified </w:t>
      </w:r>
      <w:proofErr w:type="gramStart"/>
      <w:r w:rsidR="00AC6045" w:rsidRPr="00D816B3">
        <w:t>at this time</w:t>
      </w:r>
      <w:proofErr w:type="gramEnd"/>
      <w:r w:rsidR="00AC6045" w:rsidRPr="00D816B3">
        <w:t>.</w:t>
      </w:r>
    </w:p>
    <w:p w14:paraId="1022C4B4" w14:textId="77777777" w:rsidR="00C42A82" w:rsidRPr="00476B19" w:rsidRDefault="00C42A82" w:rsidP="00783189">
      <w:pPr>
        <w:widowControl/>
        <w:autoSpaceDE/>
        <w:autoSpaceDN/>
        <w:adjustRightInd/>
        <w:rPr>
          <w:rFonts w:cs="Calibri"/>
          <w:iCs/>
          <w:color w:val="0070C0"/>
        </w:rPr>
      </w:pPr>
    </w:p>
    <w:p w14:paraId="2CDE6072" w14:textId="6584EF3F" w:rsidR="00C42A82" w:rsidRDefault="00C42A82" w:rsidP="00C42A82">
      <w:pPr>
        <w:widowControl/>
        <w:autoSpaceDE/>
        <w:adjustRightInd/>
        <w:rPr>
          <w:rFonts w:cs="Calibri"/>
          <w:b/>
        </w:rPr>
      </w:pPr>
      <w:r w:rsidRPr="00314593">
        <w:rPr>
          <w:rFonts w:cs="Calibri"/>
          <w:b/>
        </w:rPr>
        <w:t xml:space="preserve">SAMM </w:t>
      </w:r>
      <w:r>
        <w:rPr>
          <w:rFonts w:cs="Calibri"/>
          <w:b/>
        </w:rPr>
        <w:t>2</w:t>
      </w:r>
      <w:r w:rsidR="007B3BE5">
        <w:rPr>
          <w:rFonts w:cs="Calibri"/>
          <w:b/>
        </w:rPr>
        <w:t>a</w:t>
      </w:r>
      <w:r w:rsidRPr="00314593">
        <w:rPr>
          <w:rFonts w:cs="Calibri"/>
          <w:b/>
        </w:rPr>
        <w:t xml:space="preserve"> – </w:t>
      </w:r>
      <w:r w:rsidR="00746DB7" w:rsidRPr="00746DB7">
        <w:rPr>
          <w:rFonts w:cs="Calibri"/>
          <w:b/>
        </w:rPr>
        <w:t>Average number of workdays to initiate complaint inspections</w:t>
      </w:r>
    </w:p>
    <w:p w14:paraId="593D8E80" w14:textId="77777777" w:rsidR="00746DB7" w:rsidRPr="00314593" w:rsidRDefault="00746DB7" w:rsidP="00C42A82">
      <w:pPr>
        <w:widowControl/>
        <w:autoSpaceDE/>
        <w:adjustRightInd/>
        <w:rPr>
          <w:rFonts w:cs="Calibri"/>
          <w:b/>
        </w:rPr>
      </w:pPr>
    </w:p>
    <w:p w14:paraId="2B4B5D4B" w14:textId="368DC80E" w:rsidR="00746DB7" w:rsidRPr="007324F0" w:rsidRDefault="00746DB7" w:rsidP="00746DB7">
      <w:pPr>
        <w:widowControl/>
        <w:autoSpaceDE/>
        <w:adjustRightInd/>
        <w:rPr>
          <w:rFonts w:cs="Calibri"/>
          <w:color w:val="0070C0"/>
        </w:rPr>
      </w:pPr>
      <w:r w:rsidRPr="001C1E47">
        <w:rPr>
          <w:rFonts w:cs="Calibri"/>
          <w:u w:val="single"/>
        </w:rPr>
        <w:t xml:space="preserve">Discussion of State Plan </w:t>
      </w:r>
      <w:r>
        <w:rPr>
          <w:rFonts w:cs="Calibri"/>
          <w:u w:val="single"/>
        </w:rPr>
        <w:t>D</w:t>
      </w:r>
      <w:r w:rsidRPr="001C1E47">
        <w:rPr>
          <w:rFonts w:cs="Calibri"/>
          <w:u w:val="single"/>
        </w:rPr>
        <w:t>ata and FRL:</w:t>
      </w:r>
      <w:r w:rsidRPr="007324F0">
        <w:rPr>
          <w:rFonts w:cs="Calibri"/>
          <w:color w:val="0070C0"/>
        </w:rPr>
        <w:t xml:space="preserve"> </w:t>
      </w:r>
      <w:r w:rsidR="00F93C4D" w:rsidRPr="00FC3E1E">
        <w:rPr>
          <w:rFonts w:asciiTheme="minorHAnsi" w:hAnsiTheme="minorHAnsi" w:cstheme="minorHAnsi"/>
        </w:rPr>
        <w:t xml:space="preserve">The </w:t>
      </w:r>
      <w:r w:rsidR="00F93C4D" w:rsidRPr="00C97DEE">
        <w:rPr>
          <w:rFonts w:asciiTheme="minorHAnsi" w:hAnsiTheme="minorHAnsi" w:cstheme="minorHAnsi"/>
        </w:rPr>
        <w:t>negotiated</w:t>
      </w:r>
      <w:r w:rsidR="00F93C4D">
        <w:rPr>
          <w:rFonts w:asciiTheme="minorHAnsi" w:hAnsiTheme="minorHAnsi" w:cstheme="minorHAnsi"/>
        </w:rPr>
        <w:t xml:space="preserve"> </w:t>
      </w:r>
      <w:r w:rsidR="00F93C4D" w:rsidRPr="00FC3E1E">
        <w:rPr>
          <w:rFonts w:asciiTheme="minorHAnsi" w:hAnsiTheme="minorHAnsi" w:cstheme="minorHAnsi"/>
        </w:rPr>
        <w:t xml:space="preserve">FRL for </w:t>
      </w:r>
      <w:r w:rsidR="00F93C4D">
        <w:rPr>
          <w:rFonts w:asciiTheme="minorHAnsi" w:hAnsiTheme="minorHAnsi" w:cstheme="minorHAnsi"/>
        </w:rPr>
        <w:t xml:space="preserve">the </w:t>
      </w:r>
      <w:r w:rsidR="00F93C4D" w:rsidRPr="00FC3E1E">
        <w:rPr>
          <w:rFonts w:asciiTheme="minorHAnsi" w:hAnsiTheme="minorHAnsi" w:cstheme="minorHAnsi"/>
        </w:rPr>
        <w:t xml:space="preserve">average number of workdays to initiate complaint investigations was </w:t>
      </w:r>
      <w:r w:rsidR="00F93C4D">
        <w:rPr>
          <w:rFonts w:asciiTheme="minorHAnsi" w:hAnsiTheme="minorHAnsi" w:cstheme="minorHAnsi"/>
        </w:rPr>
        <w:t>three workdays</w:t>
      </w:r>
      <w:r w:rsidR="00F93C4D" w:rsidRPr="00FC3E1E">
        <w:rPr>
          <w:rFonts w:asciiTheme="minorHAnsi" w:hAnsiTheme="minorHAnsi" w:cstheme="minorHAnsi"/>
        </w:rPr>
        <w:t xml:space="preserve">.  The State Plan’s average number of workdays to initiate complaint investigations was </w:t>
      </w:r>
      <w:r w:rsidR="00F93C4D">
        <w:rPr>
          <w:rFonts w:asciiTheme="minorHAnsi" w:hAnsiTheme="minorHAnsi" w:cstheme="minorHAnsi"/>
        </w:rPr>
        <w:t xml:space="preserve">3.67 </w:t>
      </w:r>
      <w:r w:rsidR="00ED62A8">
        <w:rPr>
          <w:rFonts w:asciiTheme="minorHAnsi" w:hAnsiTheme="minorHAnsi" w:cstheme="minorHAnsi"/>
        </w:rPr>
        <w:t>work</w:t>
      </w:r>
      <w:r w:rsidR="00F93C4D">
        <w:rPr>
          <w:rFonts w:asciiTheme="minorHAnsi" w:hAnsiTheme="minorHAnsi" w:cstheme="minorHAnsi"/>
        </w:rPr>
        <w:t>days</w:t>
      </w:r>
      <w:r w:rsidR="00F93C4D" w:rsidRPr="00FC3E1E">
        <w:rPr>
          <w:rFonts w:asciiTheme="minorHAnsi" w:hAnsiTheme="minorHAnsi" w:cstheme="minorHAnsi"/>
        </w:rPr>
        <w:t xml:space="preserve">, which was </w:t>
      </w:r>
      <w:r w:rsidR="00F93C4D">
        <w:rPr>
          <w:rFonts w:asciiTheme="minorHAnsi" w:hAnsiTheme="minorHAnsi" w:cstheme="minorHAnsi"/>
        </w:rPr>
        <w:t>above</w:t>
      </w:r>
      <w:r w:rsidR="00F93C4D" w:rsidRPr="00FC3E1E">
        <w:rPr>
          <w:rFonts w:asciiTheme="minorHAnsi" w:hAnsiTheme="minorHAnsi" w:cstheme="minorHAnsi"/>
        </w:rPr>
        <w:t xml:space="preserve"> the FRL</w:t>
      </w:r>
      <w:r w:rsidR="00F93C4D">
        <w:rPr>
          <w:rFonts w:asciiTheme="minorHAnsi" w:hAnsiTheme="minorHAnsi" w:cstheme="minorHAnsi"/>
        </w:rPr>
        <w:t xml:space="preserve"> </w:t>
      </w:r>
      <w:r w:rsidR="00F93C4D">
        <w:t>but was not a cause for concern</w:t>
      </w:r>
      <w:r w:rsidR="00F93C4D" w:rsidRPr="00FC3E1E">
        <w:rPr>
          <w:rFonts w:asciiTheme="minorHAnsi" w:hAnsiTheme="minorHAnsi" w:cstheme="minorHAnsi"/>
        </w:rPr>
        <w:t xml:space="preserve">.   </w:t>
      </w:r>
    </w:p>
    <w:p w14:paraId="0546DD64" w14:textId="77777777" w:rsidR="00746DB7" w:rsidRPr="001C1E47" w:rsidRDefault="00746DB7" w:rsidP="00746DB7">
      <w:pPr>
        <w:widowControl/>
        <w:autoSpaceDE/>
        <w:adjustRightInd/>
        <w:rPr>
          <w:rFonts w:cs="Calibri"/>
        </w:rPr>
      </w:pPr>
    </w:p>
    <w:p w14:paraId="4C787FBE" w14:textId="320E87C8" w:rsidR="008601F9" w:rsidRDefault="00746DB7" w:rsidP="008601F9">
      <w:pPr>
        <w:widowControl/>
        <w:autoSpaceDE/>
        <w:autoSpaceDN/>
        <w:adjustRightInd/>
        <w:rPr>
          <w:rFonts w:cs="Calibri"/>
          <w:color w:val="0070C0"/>
        </w:rPr>
      </w:pPr>
      <w:r w:rsidRPr="001C1E47">
        <w:rPr>
          <w:rFonts w:cs="Calibri"/>
          <w:u w:val="single"/>
        </w:rPr>
        <w:t>Explanation:</w:t>
      </w:r>
      <w:r w:rsidR="006A59FE">
        <w:rPr>
          <w:rFonts w:cs="Calibri"/>
        </w:rPr>
        <w:t xml:space="preserve"> </w:t>
      </w:r>
      <w:bookmarkStart w:id="29" w:name="OLE_LINK4"/>
      <w:r w:rsidR="00C113A2">
        <w:rPr>
          <w:rFonts w:cs="Calibri"/>
        </w:rPr>
        <w:t>As previously st</w:t>
      </w:r>
      <w:r w:rsidR="005F02A2">
        <w:rPr>
          <w:rFonts w:cs="Calibri"/>
        </w:rPr>
        <w:t>ated, t</w:t>
      </w:r>
      <w:r w:rsidR="006A59FE">
        <w:rPr>
          <w:rFonts w:cs="Calibri"/>
        </w:rPr>
        <w:t xml:space="preserve">he State Plan’s performance </w:t>
      </w:r>
      <w:r w:rsidR="006A59FE" w:rsidRPr="00A46C5A">
        <w:rPr>
          <w:rFonts w:cs="Calibri"/>
        </w:rPr>
        <w:t xml:space="preserve">was impacted by staffing turnover.  </w:t>
      </w:r>
      <w:r w:rsidR="005F02A2">
        <w:rPr>
          <w:rFonts w:cs="Calibri"/>
        </w:rPr>
        <w:t>Seven CSHOs</w:t>
      </w:r>
      <w:r w:rsidR="006A59FE">
        <w:rPr>
          <w:rFonts w:cs="Calibri"/>
        </w:rPr>
        <w:t xml:space="preserve"> </w:t>
      </w:r>
      <w:r w:rsidR="006A59FE" w:rsidRPr="00A46C5A">
        <w:rPr>
          <w:rFonts w:cs="Calibri"/>
        </w:rPr>
        <w:t>left UOSH</w:t>
      </w:r>
      <w:r w:rsidR="008917E0">
        <w:rPr>
          <w:rFonts w:cs="Calibri"/>
        </w:rPr>
        <w:t xml:space="preserve"> during FY 2024</w:t>
      </w:r>
      <w:r w:rsidR="006A59FE" w:rsidRPr="00A46C5A">
        <w:rPr>
          <w:rFonts w:cs="Calibri"/>
        </w:rPr>
        <w:t xml:space="preserve">.  </w:t>
      </w:r>
      <w:bookmarkEnd w:id="29"/>
      <w:r w:rsidR="00C96EF0">
        <w:rPr>
          <w:rFonts w:cs="Calibri"/>
        </w:rPr>
        <w:t xml:space="preserve">As </w:t>
      </w:r>
      <w:r w:rsidR="009B5EB0">
        <w:rPr>
          <w:rFonts w:cs="Calibri"/>
        </w:rPr>
        <w:t xml:space="preserve">new </w:t>
      </w:r>
      <w:r w:rsidR="00C96EF0">
        <w:rPr>
          <w:rFonts w:cs="Calibri"/>
        </w:rPr>
        <w:t>compliance officers were hired, t</w:t>
      </w:r>
      <w:r w:rsidR="006A59FE">
        <w:rPr>
          <w:rFonts w:cs="Calibri"/>
        </w:rPr>
        <w:t xml:space="preserve">he </w:t>
      </w:r>
      <w:r w:rsidR="00F93EFA">
        <w:rPr>
          <w:rFonts w:cs="Calibri"/>
        </w:rPr>
        <w:t xml:space="preserve">two safety and health supervisors </w:t>
      </w:r>
      <w:r w:rsidR="00EC7EFF">
        <w:rPr>
          <w:rFonts w:cs="Calibri"/>
        </w:rPr>
        <w:t xml:space="preserve">were involved in the training of the new </w:t>
      </w:r>
      <w:r w:rsidR="007A682C">
        <w:rPr>
          <w:rFonts w:cs="Calibri"/>
        </w:rPr>
        <w:t xml:space="preserve">compliance officers and ensuring that resources were available to respond to unprogrammed activity, such as complaints, accidents, and fatalities.  </w:t>
      </w:r>
      <w:r w:rsidR="006D485A">
        <w:rPr>
          <w:rFonts w:cs="Calibri"/>
        </w:rPr>
        <w:t xml:space="preserve">In addition to those tasks, the supervisors assessed, processed, and resolved all </w:t>
      </w:r>
      <w:r w:rsidR="00F93EFA">
        <w:rPr>
          <w:rFonts w:cs="Calibri"/>
        </w:rPr>
        <w:t>complaint</w:t>
      </w:r>
      <w:r w:rsidR="006D485A">
        <w:rPr>
          <w:rFonts w:cs="Calibri"/>
        </w:rPr>
        <w:t xml:space="preserve"> investigation</w:t>
      </w:r>
      <w:r w:rsidR="00F93EFA">
        <w:rPr>
          <w:rFonts w:cs="Calibri"/>
        </w:rPr>
        <w:t>s</w:t>
      </w:r>
      <w:r w:rsidR="006D485A">
        <w:rPr>
          <w:rFonts w:cs="Calibri"/>
        </w:rPr>
        <w:t xml:space="preserve">.  </w:t>
      </w:r>
      <w:r w:rsidR="007414D0">
        <w:rPr>
          <w:rFonts w:cs="Calibri"/>
        </w:rPr>
        <w:t xml:space="preserve">For FY 2024, </w:t>
      </w:r>
      <w:r w:rsidR="005E6331">
        <w:rPr>
          <w:rFonts w:cs="Calibri"/>
        </w:rPr>
        <w:t xml:space="preserve">the </w:t>
      </w:r>
      <w:r w:rsidR="00A60C6C">
        <w:rPr>
          <w:rFonts w:cs="Calibri"/>
        </w:rPr>
        <w:t xml:space="preserve">SAMM 2 </w:t>
      </w:r>
      <w:r w:rsidR="0075313E">
        <w:rPr>
          <w:rFonts w:cs="Calibri"/>
        </w:rPr>
        <w:t xml:space="preserve">result </w:t>
      </w:r>
      <w:r w:rsidR="00A60C6C">
        <w:rPr>
          <w:rFonts w:cs="Calibri"/>
        </w:rPr>
        <w:t xml:space="preserve">for </w:t>
      </w:r>
      <w:r w:rsidR="00302F54">
        <w:rPr>
          <w:rFonts w:cs="Calibri"/>
        </w:rPr>
        <w:t>quarters one, three, and four</w:t>
      </w:r>
      <w:r w:rsidR="00D03AD2">
        <w:rPr>
          <w:rFonts w:cs="Calibri"/>
        </w:rPr>
        <w:t xml:space="preserve"> </w:t>
      </w:r>
      <w:r w:rsidR="009B5EB0">
        <w:rPr>
          <w:rFonts w:cs="Calibri"/>
        </w:rPr>
        <w:t>were</w:t>
      </w:r>
      <w:r w:rsidR="002550D2">
        <w:rPr>
          <w:rFonts w:cs="Calibri"/>
        </w:rPr>
        <w:t xml:space="preserve"> 3.09 </w:t>
      </w:r>
      <w:r w:rsidR="00ED62A8">
        <w:rPr>
          <w:rFonts w:cs="Calibri"/>
        </w:rPr>
        <w:t>work</w:t>
      </w:r>
      <w:r w:rsidR="002550D2">
        <w:rPr>
          <w:rFonts w:cs="Calibri"/>
        </w:rPr>
        <w:t xml:space="preserve">days, 2.48 </w:t>
      </w:r>
      <w:r w:rsidR="00ED62A8">
        <w:rPr>
          <w:rFonts w:cs="Calibri"/>
        </w:rPr>
        <w:t>work</w:t>
      </w:r>
      <w:r w:rsidR="002550D2">
        <w:rPr>
          <w:rFonts w:cs="Calibri"/>
        </w:rPr>
        <w:t xml:space="preserve">days, and 1.52 </w:t>
      </w:r>
      <w:r w:rsidR="00ED62A8">
        <w:rPr>
          <w:rFonts w:cs="Calibri"/>
        </w:rPr>
        <w:t>work</w:t>
      </w:r>
      <w:r w:rsidR="002550D2">
        <w:rPr>
          <w:rFonts w:cs="Calibri"/>
        </w:rPr>
        <w:t>days</w:t>
      </w:r>
      <w:r w:rsidR="005B74C3">
        <w:rPr>
          <w:rFonts w:cs="Calibri"/>
        </w:rPr>
        <w:t>,</w:t>
      </w:r>
      <w:r w:rsidR="00D03AD2">
        <w:rPr>
          <w:rFonts w:cs="Calibri"/>
        </w:rPr>
        <w:t xml:space="preserve"> </w:t>
      </w:r>
      <w:r w:rsidR="00302F54">
        <w:rPr>
          <w:rFonts w:cs="Calibri"/>
        </w:rPr>
        <w:t>respectively</w:t>
      </w:r>
      <w:r w:rsidR="00AC53E5">
        <w:rPr>
          <w:rFonts w:cs="Calibri"/>
        </w:rPr>
        <w:t xml:space="preserve">.  Each </w:t>
      </w:r>
      <w:r w:rsidR="005D51D0">
        <w:rPr>
          <w:rFonts w:cs="Calibri"/>
        </w:rPr>
        <w:t>average met</w:t>
      </w:r>
      <w:r w:rsidR="00D03AD2">
        <w:rPr>
          <w:rFonts w:cs="Calibri"/>
        </w:rPr>
        <w:t xml:space="preserve"> the FRL.  </w:t>
      </w:r>
      <w:r w:rsidR="00A674F5">
        <w:rPr>
          <w:rFonts w:cs="Calibri"/>
        </w:rPr>
        <w:t xml:space="preserve">Only during quarter two did </w:t>
      </w:r>
      <w:r w:rsidR="005D51D0">
        <w:rPr>
          <w:rFonts w:cs="Calibri"/>
        </w:rPr>
        <w:t xml:space="preserve">the </w:t>
      </w:r>
      <w:r w:rsidR="00A674F5">
        <w:rPr>
          <w:rFonts w:cs="Calibri"/>
        </w:rPr>
        <w:t xml:space="preserve">SAMM 2 </w:t>
      </w:r>
      <w:r w:rsidR="005D51D0">
        <w:rPr>
          <w:rFonts w:cs="Calibri"/>
        </w:rPr>
        <w:t xml:space="preserve">result </w:t>
      </w:r>
      <w:r w:rsidR="00B7242F">
        <w:rPr>
          <w:rFonts w:cs="Calibri"/>
        </w:rPr>
        <w:t xml:space="preserve">significantly </w:t>
      </w:r>
      <w:r w:rsidR="00A674F5">
        <w:rPr>
          <w:rFonts w:cs="Calibri"/>
        </w:rPr>
        <w:t>exceed the FRL.  That quarter’s SAMM 2</w:t>
      </w:r>
      <w:r w:rsidR="005D51D0">
        <w:rPr>
          <w:rFonts w:cs="Calibri"/>
        </w:rPr>
        <w:t xml:space="preserve"> result</w:t>
      </w:r>
      <w:r w:rsidR="008C26EF">
        <w:rPr>
          <w:rFonts w:cs="Calibri"/>
        </w:rPr>
        <w:t xml:space="preserve">, 6.60 </w:t>
      </w:r>
      <w:r w:rsidR="00ED62A8">
        <w:rPr>
          <w:rFonts w:cs="Calibri"/>
        </w:rPr>
        <w:t>work</w:t>
      </w:r>
      <w:r w:rsidR="008C26EF">
        <w:rPr>
          <w:rFonts w:cs="Calibri"/>
        </w:rPr>
        <w:t>days,</w:t>
      </w:r>
      <w:r w:rsidR="00D6149B">
        <w:rPr>
          <w:rFonts w:cs="Calibri"/>
        </w:rPr>
        <w:t xml:space="preserve"> </w:t>
      </w:r>
      <w:r w:rsidR="005D2126">
        <w:rPr>
          <w:rFonts w:cs="Calibri"/>
        </w:rPr>
        <w:t>affected</w:t>
      </w:r>
      <w:r w:rsidR="00A674F5">
        <w:rPr>
          <w:rFonts w:cs="Calibri"/>
        </w:rPr>
        <w:t xml:space="preserve"> the </w:t>
      </w:r>
      <w:r w:rsidR="00874D26">
        <w:rPr>
          <w:rFonts w:cs="Calibri"/>
        </w:rPr>
        <w:t xml:space="preserve">cumulative </w:t>
      </w:r>
      <w:r w:rsidR="00D6149B">
        <w:rPr>
          <w:rFonts w:cs="Calibri"/>
        </w:rPr>
        <w:t>FY 2024 SAMM 2</w:t>
      </w:r>
      <w:r w:rsidR="001B4794">
        <w:rPr>
          <w:rFonts w:cs="Calibri"/>
        </w:rPr>
        <w:t xml:space="preserve"> result</w:t>
      </w:r>
      <w:r w:rsidR="00D6149B">
        <w:rPr>
          <w:rFonts w:cs="Calibri"/>
        </w:rPr>
        <w:t>.</w:t>
      </w:r>
      <w:r w:rsidR="008601F9">
        <w:rPr>
          <w:rFonts w:cs="Calibri"/>
        </w:rPr>
        <w:t xml:space="preserve">  </w:t>
      </w:r>
      <w:r w:rsidR="000D3EE7">
        <w:rPr>
          <w:rFonts w:cs="Calibri"/>
        </w:rPr>
        <w:t>In</w:t>
      </w:r>
      <w:r w:rsidR="00414FBD">
        <w:rPr>
          <w:rFonts w:cs="Calibri"/>
        </w:rPr>
        <w:t xml:space="preserve"> FY 2023, the State Plan</w:t>
      </w:r>
      <w:r w:rsidR="00B95853">
        <w:rPr>
          <w:rFonts w:cs="Calibri"/>
        </w:rPr>
        <w:t xml:space="preserve"> met the FRL</w:t>
      </w:r>
      <w:r w:rsidR="00DC3787">
        <w:rPr>
          <w:rFonts w:cs="Calibri"/>
        </w:rPr>
        <w:t>, so the FY 2024 result for SAMM 2 is not a trend</w:t>
      </w:r>
      <w:r w:rsidR="008601F9" w:rsidRPr="00D816B3">
        <w:rPr>
          <w:rFonts w:cs="Calibri"/>
        </w:rPr>
        <w:t xml:space="preserve">.  </w:t>
      </w:r>
      <w:r w:rsidR="008601F9" w:rsidRPr="00D816B3">
        <w:t xml:space="preserve">An observation is not justified </w:t>
      </w:r>
      <w:proofErr w:type="gramStart"/>
      <w:r w:rsidR="008601F9" w:rsidRPr="00D816B3">
        <w:t>at this time</w:t>
      </w:r>
      <w:proofErr w:type="gramEnd"/>
      <w:r w:rsidR="008601F9" w:rsidRPr="00D816B3">
        <w:t>.</w:t>
      </w:r>
    </w:p>
    <w:p w14:paraId="213B371D" w14:textId="77777777" w:rsidR="00EC7EFF" w:rsidRDefault="00EC7EFF" w:rsidP="006A59FE">
      <w:pPr>
        <w:widowControl/>
        <w:autoSpaceDE/>
        <w:autoSpaceDN/>
        <w:adjustRightInd/>
        <w:rPr>
          <w:rFonts w:cs="Calibri"/>
        </w:rPr>
      </w:pPr>
    </w:p>
    <w:p w14:paraId="2E8F391B" w14:textId="03275B19" w:rsidR="00650A8F" w:rsidRDefault="00F61D8F" w:rsidP="00650A8F">
      <w:pPr>
        <w:widowControl/>
        <w:autoSpaceDE/>
        <w:adjustRightInd/>
        <w:rPr>
          <w:rFonts w:cs="Calibri"/>
          <w:b/>
        </w:rPr>
      </w:pPr>
      <w:r w:rsidRPr="00F61D8F">
        <w:rPr>
          <w:rFonts w:cs="Calibri"/>
          <w:b/>
        </w:rPr>
        <w:t>SAMM 5a – Average Number of Violations per Inspection with Violations (SWRU)</w:t>
      </w:r>
    </w:p>
    <w:p w14:paraId="50508346" w14:textId="77777777" w:rsidR="00F61D8F" w:rsidRPr="00314593" w:rsidRDefault="00F61D8F" w:rsidP="00650A8F">
      <w:pPr>
        <w:widowControl/>
        <w:autoSpaceDE/>
        <w:adjustRightInd/>
        <w:rPr>
          <w:rFonts w:cs="Calibri"/>
          <w:b/>
        </w:rPr>
      </w:pPr>
    </w:p>
    <w:p w14:paraId="478E8658" w14:textId="060B0D16" w:rsidR="00650A8F" w:rsidRPr="007324F0" w:rsidRDefault="00650A8F" w:rsidP="00650A8F">
      <w:pPr>
        <w:widowControl/>
        <w:autoSpaceDE/>
        <w:adjustRightInd/>
        <w:rPr>
          <w:rFonts w:cs="Calibri"/>
          <w:color w:val="0070C0"/>
        </w:rPr>
      </w:pPr>
      <w:r w:rsidRPr="001C1E47">
        <w:rPr>
          <w:rFonts w:cs="Calibri"/>
          <w:u w:val="single"/>
        </w:rPr>
        <w:t xml:space="preserve">Discussion of State Plan </w:t>
      </w:r>
      <w:r>
        <w:rPr>
          <w:rFonts w:cs="Calibri"/>
          <w:u w:val="single"/>
        </w:rPr>
        <w:t>D</w:t>
      </w:r>
      <w:r w:rsidRPr="001C1E47">
        <w:rPr>
          <w:rFonts w:cs="Calibri"/>
          <w:u w:val="single"/>
        </w:rPr>
        <w:t>ata and FRL:</w:t>
      </w:r>
      <w:r w:rsidR="003944BD">
        <w:rPr>
          <w:rFonts w:cs="Calibri"/>
        </w:rPr>
        <w:t xml:space="preserve"> </w:t>
      </w:r>
      <w:r w:rsidR="003944BD">
        <w:t xml:space="preserve">The FRL for the average number of violations per inspection with serious, willful, repeat, or unclassified (SWRU) violations was a range of </w:t>
      </w:r>
      <w:r w:rsidR="004C39F3" w:rsidRPr="004C39F3">
        <w:rPr>
          <w:rFonts w:eastAsia="PMingLiU" w:cs="Calibri"/>
        </w:rPr>
        <w:t>1.39 to 2.08</w:t>
      </w:r>
      <w:r w:rsidR="003944BD">
        <w:t>.  The State Plan’s SWRU average was 1.</w:t>
      </w:r>
      <w:r w:rsidR="00D33B82">
        <w:t>08</w:t>
      </w:r>
      <w:r w:rsidR="003944BD">
        <w:t xml:space="preserve">, which was below the FRL but was not a cause for concern. </w:t>
      </w:r>
      <w:r w:rsidR="003944BD">
        <w:rPr>
          <w:color w:val="FF0000"/>
        </w:rPr>
        <w:t xml:space="preserve"> </w:t>
      </w:r>
    </w:p>
    <w:p w14:paraId="41C4A706" w14:textId="77777777" w:rsidR="00650A8F" w:rsidRPr="001C1E47" w:rsidRDefault="00650A8F" w:rsidP="00650A8F">
      <w:pPr>
        <w:widowControl/>
        <w:autoSpaceDE/>
        <w:adjustRightInd/>
        <w:rPr>
          <w:rFonts w:cs="Calibri"/>
        </w:rPr>
      </w:pPr>
    </w:p>
    <w:p w14:paraId="65D109E4" w14:textId="022BC9D5" w:rsidR="00650A8F" w:rsidRDefault="00650A8F" w:rsidP="00646B10">
      <w:pPr>
        <w:widowControl/>
        <w:autoSpaceDE/>
        <w:autoSpaceDN/>
        <w:adjustRightInd/>
        <w:rPr>
          <w:rFonts w:cs="Calibri"/>
          <w:color w:val="0070C0"/>
        </w:rPr>
      </w:pPr>
      <w:r w:rsidRPr="001C1E47">
        <w:rPr>
          <w:rFonts w:cs="Calibri"/>
          <w:u w:val="single"/>
        </w:rPr>
        <w:t>Explanation:</w:t>
      </w:r>
      <w:r w:rsidR="00646B10">
        <w:rPr>
          <w:rFonts w:cs="Calibri"/>
          <w:color w:val="0070C0"/>
        </w:rPr>
        <w:t xml:space="preserve"> </w:t>
      </w:r>
      <w:r w:rsidR="00646B10">
        <w:t xml:space="preserve">An average number of violations per inspection that is lower than the FRL indicates that </w:t>
      </w:r>
      <w:r w:rsidR="007C6A83">
        <w:t>UOSH</w:t>
      </w:r>
      <w:r w:rsidR="00646B10">
        <w:t xml:space="preserve"> </w:t>
      </w:r>
      <w:r w:rsidR="00D76DAA">
        <w:t>does not identify</w:t>
      </w:r>
      <w:r w:rsidR="00646B10">
        <w:t xml:space="preserve"> as many violations compared to the </w:t>
      </w:r>
      <w:r w:rsidR="00F65676">
        <w:t>FRL</w:t>
      </w:r>
      <w:r w:rsidR="00646B10">
        <w:t xml:space="preserve">.  </w:t>
      </w:r>
      <w:r w:rsidR="000D7DA6">
        <w:t xml:space="preserve">The average number of SWRU violations </w:t>
      </w:r>
      <w:r w:rsidR="00EE3540">
        <w:t xml:space="preserve">per inspection </w:t>
      </w:r>
      <w:r w:rsidR="00836E36">
        <w:t>was</w:t>
      </w:r>
      <w:r w:rsidR="00AD6E99">
        <w:t xml:space="preserve"> approximately the same average</w:t>
      </w:r>
      <w:r w:rsidR="00080BD6">
        <w:t xml:space="preserve"> </w:t>
      </w:r>
      <w:r w:rsidR="00AD6E99">
        <w:t>as</w:t>
      </w:r>
      <w:r w:rsidR="00080BD6">
        <w:t xml:space="preserve"> FY 2023 and </w:t>
      </w:r>
      <w:r w:rsidR="00B33C86">
        <w:t>was only slightly less than</w:t>
      </w:r>
      <w:r w:rsidR="004C0CB3">
        <w:t xml:space="preserve"> the averages </w:t>
      </w:r>
      <w:r w:rsidR="00255493">
        <w:t>for</w:t>
      </w:r>
      <w:r w:rsidR="004C0CB3">
        <w:t xml:space="preserve"> the period FY 2020</w:t>
      </w:r>
      <w:r w:rsidR="00224606">
        <w:t xml:space="preserve"> through FY </w:t>
      </w:r>
      <w:r w:rsidR="004C0CB3">
        <w:t>2022.</w:t>
      </w:r>
      <w:r w:rsidR="00CC3E60">
        <w:t xml:space="preserve">  </w:t>
      </w:r>
      <w:r w:rsidR="00DB3B0B">
        <w:t>With the</w:t>
      </w:r>
      <w:r w:rsidR="00226D64">
        <w:t xml:space="preserve"> staff turnover </w:t>
      </w:r>
      <w:r w:rsidR="00D55CB0">
        <w:t>in the last two years,</w:t>
      </w:r>
      <w:r w:rsidR="00226D64">
        <w:t xml:space="preserve"> </w:t>
      </w:r>
      <w:r w:rsidR="00D55CB0">
        <w:t>t</w:t>
      </w:r>
      <w:r w:rsidR="00226D64">
        <w:t xml:space="preserve">he loss of experienced </w:t>
      </w:r>
      <w:r w:rsidR="00715BB2">
        <w:t>CSHOs while new CSHOs gain</w:t>
      </w:r>
      <w:r w:rsidR="00B33C86">
        <w:t>ed</w:t>
      </w:r>
      <w:r w:rsidR="00715BB2">
        <w:t xml:space="preserve"> experience impacted the average number of SWRU violations per inspection.</w:t>
      </w:r>
      <w:r w:rsidR="00D75C8A">
        <w:t xml:space="preserve">  </w:t>
      </w:r>
      <w:r w:rsidR="007C6A83">
        <w:t>UOSH</w:t>
      </w:r>
      <w:r w:rsidR="00D75C8A" w:rsidRPr="00D75C8A">
        <w:t xml:space="preserve"> provided </w:t>
      </w:r>
      <w:r w:rsidR="00111FF4">
        <w:t xml:space="preserve">frequent </w:t>
      </w:r>
      <w:r w:rsidR="00DC5BFD">
        <w:t xml:space="preserve">training </w:t>
      </w:r>
      <w:r w:rsidR="00B50299">
        <w:t>during its development of new CSHOs.</w:t>
      </w:r>
      <w:r w:rsidR="00DE171D">
        <w:t xml:space="preserve"> </w:t>
      </w:r>
      <w:r w:rsidR="00E139DB">
        <w:t xml:space="preserve"> While the overall average number of SWRU violations per inspection </w:t>
      </w:r>
      <w:r w:rsidR="00E11D1C">
        <w:t>was 1.08</w:t>
      </w:r>
      <w:r w:rsidR="00355962">
        <w:t xml:space="preserve">, the State Plan’s four </w:t>
      </w:r>
      <w:r w:rsidR="00AA138C">
        <w:t xml:space="preserve">local </w:t>
      </w:r>
      <w:r w:rsidR="00355962">
        <w:t>emphasis programs</w:t>
      </w:r>
      <w:r w:rsidR="00012AC3">
        <w:t xml:space="preserve"> </w:t>
      </w:r>
      <w:r w:rsidR="004834FC">
        <w:t>(LEP</w:t>
      </w:r>
      <w:r w:rsidR="00DC7673">
        <w:t>s</w:t>
      </w:r>
      <w:r w:rsidR="004834FC">
        <w:t xml:space="preserve">) </w:t>
      </w:r>
      <w:r w:rsidR="00012AC3">
        <w:t xml:space="preserve">each had </w:t>
      </w:r>
      <w:r w:rsidR="005B3C6F">
        <w:t xml:space="preserve">average numbers of SWRU violations per inspection greater than </w:t>
      </w:r>
      <w:r w:rsidR="00792B0A">
        <w:t>the</w:t>
      </w:r>
      <w:r w:rsidR="005B3C6F">
        <w:t xml:space="preserve"> overall average.  </w:t>
      </w:r>
      <w:r w:rsidR="00361C3D">
        <w:t xml:space="preserve">The </w:t>
      </w:r>
      <w:r w:rsidR="00DB378B">
        <w:t xml:space="preserve">Construction LEP, Amputation LEP, Public Sector LEP, and Respirable Crystalline Silica LEP had averages of </w:t>
      </w:r>
      <w:r w:rsidR="00055A0B">
        <w:t>1.3</w:t>
      </w:r>
      <w:r w:rsidR="003F01C0">
        <w:t>3</w:t>
      </w:r>
      <w:r w:rsidR="008E341E">
        <w:t>, 1.25, 4.50, and 1.25</w:t>
      </w:r>
      <w:r w:rsidR="001B3A6D">
        <w:t>,</w:t>
      </w:r>
      <w:r w:rsidR="008E341E">
        <w:t xml:space="preserve"> respectively.  </w:t>
      </w:r>
      <w:r w:rsidR="003F5525">
        <w:t>Serious hazards were the primary focus of the State Plan’s emphasis programs, and the related inspections constituted 23</w:t>
      </w:r>
      <w:r w:rsidR="0088666D">
        <w:t>.37</w:t>
      </w:r>
      <w:r w:rsidR="003F5525">
        <w:t xml:space="preserve">% of UOSH’s inspection activity for FY 2024.  Among the LEPs, the SWRU average was </w:t>
      </w:r>
      <w:r w:rsidR="005A4182">
        <w:t>slightly below</w:t>
      </w:r>
      <w:r w:rsidR="003F5525">
        <w:t xml:space="preserve"> or above the FRL.  </w:t>
      </w:r>
      <w:r w:rsidR="009F7595">
        <w:t>A</w:t>
      </w:r>
      <w:r w:rsidR="00F413FC">
        <w:rPr>
          <w:sz w:val="23"/>
          <w:szCs w:val="23"/>
        </w:rPr>
        <w:t xml:space="preserve">n observation is not justified </w:t>
      </w:r>
      <w:proofErr w:type="gramStart"/>
      <w:r w:rsidR="00F413FC">
        <w:rPr>
          <w:sz w:val="23"/>
          <w:szCs w:val="23"/>
        </w:rPr>
        <w:t>at this time</w:t>
      </w:r>
      <w:proofErr w:type="gramEnd"/>
      <w:r w:rsidR="00F413FC">
        <w:rPr>
          <w:sz w:val="23"/>
          <w:szCs w:val="23"/>
        </w:rPr>
        <w:t>.</w:t>
      </w:r>
    </w:p>
    <w:p w14:paraId="7196D559" w14:textId="77777777" w:rsidR="00B11865" w:rsidRDefault="00B11865" w:rsidP="00B11865">
      <w:pPr>
        <w:pStyle w:val="Heading4"/>
      </w:pPr>
      <w:r>
        <w:lastRenderedPageBreak/>
        <w:t>SAMM 6 – Percent of Total Inspections in State and Local Government Workplaces</w:t>
      </w:r>
    </w:p>
    <w:p w14:paraId="032571EE" w14:textId="77777777" w:rsidR="00B81B74" w:rsidRPr="00314593" w:rsidRDefault="00B81B74" w:rsidP="00B81B74">
      <w:pPr>
        <w:widowControl/>
        <w:autoSpaceDE/>
        <w:adjustRightInd/>
        <w:rPr>
          <w:rFonts w:cs="Calibri"/>
          <w:b/>
        </w:rPr>
      </w:pPr>
    </w:p>
    <w:p w14:paraId="4E906AF0" w14:textId="47A59FEC" w:rsidR="00B81B74" w:rsidRPr="007324F0" w:rsidRDefault="00B81B74" w:rsidP="00B81B74">
      <w:pPr>
        <w:widowControl/>
        <w:autoSpaceDE/>
        <w:adjustRightInd/>
        <w:rPr>
          <w:rFonts w:cs="Calibri"/>
          <w:color w:val="0070C0"/>
        </w:rPr>
      </w:pPr>
      <w:r w:rsidRPr="001C1E47">
        <w:rPr>
          <w:rFonts w:cs="Calibri"/>
          <w:u w:val="single"/>
        </w:rPr>
        <w:t xml:space="preserve">Discussion of State Plan </w:t>
      </w:r>
      <w:r>
        <w:rPr>
          <w:rFonts w:cs="Calibri"/>
          <w:u w:val="single"/>
        </w:rPr>
        <w:t>D</w:t>
      </w:r>
      <w:r w:rsidRPr="001C1E47">
        <w:rPr>
          <w:rFonts w:cs="Calibri"/>
          <w:u w:val="single"/>
        </w:rPr>
        <w:t>ata and FRL:</w:t>
      </w:r>
      <w:r w:rsidR="00C44142">
        <w:rPr>
          <w:rFonts w:cs="Calibri"/>
        </w:rPr>
        <w:t xml:space="preserve"> </w:t>
      </w:r>
      <w:r w:rsidR="00C44142">
        <w:t xml:space="preserve">The FRL for the percent of total inspections in state and local government workplaces was a range of </w:t>
      </w:r>
      <w:r w:rsidR="006A7D9C" w:rsidRPr="00F54EB2">
        <w:rPr>
          <w:rFonts w:eastAsia="PMingLiU" w:cs="Calibri"/>
        </w:rPr>
        <w:t>5.88% to 6.50</w:t>
      </w:r>
      <w:r w:rsidR="00C44142">
        <w:t xml:space="preserve">%.  The State Plan’s percent of total inspections in state and local government workplaces was </w:t>
      </w:r>
      <w:r w:rsidR="008C5186">
        <w:t>3.02%</w:t>
      </w:r>
      <w:r w:rsidR="009D0963">
        <w:t>,</w:t>
      </w:r>
      <w:r w:rsidR="00C44142">
        <w:t xml:space="preserve"> which was below the FRL</w:t>
      </w:r>
      <w:r w:rsidR="00016877">
        <w:t>.</w:t>
      </w:r>
    </w:p>
    <w:p w14:paraId="15634ADD" w14:textId="77777777" w:rsidR="00B81B74" w:rsidRPr="001C1E47" w:rsidRDefault="00B81B74" w:rsidP="00B81B74">
      <w:pPr>
        <w:widowControl/>
        <w:autoSpaceDE/>
        <w:adjustRightInd/>
        <w:rPr>
          <w:rFonts w:cs="Calibri"/>
        </w:rPr>
      </w:pPr>
    </w:p>
    <w:p w14:paraId="08995846" w14:textId="15D7C787" w:rsidR="00B81B74" w:rsidRDefault="00B81B74" w:rsidP="008D1875">
      <w:pPr>
        <w:widowControl/>
        <w:autoSpaceDE/>
        <w:autoSpaceDN/>
        <w:adjustRightInd/>
      </w:pPr>
      <w:r w:rsidRPr="001C1E47">
        <w:rPr>
          <w:rFonts w:cs="Calibri"/>
          <w:u w:val="single"/>
        </w:rPr>
        <w:t>Explanation:</w:t>
      </w:r>
      <w:r w:rsidR="00C44142">
        <w:rPr>
          <w:rFonts w:cs="Calibri"/>
        </w:rPr>
        <w:t xml:space="preserve"> </w:t>
      </w:r>
      <w:r w:rsidR="008D1875" w:rsidRPr="00AF3E6C">
        <w:t>UOSH implemented the Public Sector LEP in FY 2018, establishing a legal basis for conducting state and local government</w:t>
      </w:r>
      <w:r w:rsidR="009161F1">
        <w:t xml:space="preserve"> workplace</w:t>
      </w:r>
      <w:r w:rsidR="008D1875" w:rsidRPr="00AF3E6C">
        <w:t xml:space="preserve"> inspections.  Through this LEP, UOSH increased its presence in state and local government workplaces</w:t>
      </w:r>
      <w:r w:rsidR="00085B00" w:rsidRPr="004771B7">
        <w:t xml:space="preserve">. </w:t>
      </w:r>
      <w:r w:rsidR="00924145" w:rsidRPr="004771B7">
        <w:t xml:space="preserve"> </w:t>
      </w:r>
      <w:r w:rsidR="00F155CA" w:rsidRPr="004771B7">
        <w:t xml:space="preserve">The negotiated FRL was reduced in FY 2023 </w:t>
      </w:r>
      <w:r w:rsidR="00A07561">
        <w:t>in response</w:t>
      </w:r>
      <w:r w:rsidR="00F155CA" w:rsidRPr="004771B7">
        <w:t xml:space="preserve"> to staff turnover and continued at approximate</w:t>
      </w:r>
      <w:r w:rsidR="00CA3C82">
        <w:t>ly the</w:t>
      </w:r>
      <w:r w:rsidR="00F155CA" w:rsidRPr="004771B7">
        <w:t xml:space="preserve"> same FRL for FY 2024 as staff </w:t>
      </w:r>
      <w:r w:rsidR="00785339">
        <w:t>departures</w:t>
      </w:r>
      <w:r w:rsidR="00F155CA" w:rsidRPr="004771B7">
        <w:t xml:space="preserve"> continued to </w:t>
      </w:r>
      <w:r w:rsidR="005A1B76">
        <w:t>impact</w:t>
      </w:r>
      <w:r w:rsidR="00F155CA" w:rsidRPr="004771B7">
        <w:t xml:space="preserve"> the State Plan.  </w:t>
      </w:r>
      <w:r w:rsidR="001537CE">
        <w:t>Inspections under the</w:t>
      </w:r>
      <w:r w:rsidR="00BC69A4">
        <w:t xml:space="preserve"> </w:t>
      </w:r>
      <w:r w:rsidR="007C0155">
        <w:t xml:space="preserve">LEP </w:t>
      </w:r>
      <w:r w:rsidR="00BC69A4">
        <w:t xml:space="preserve">and </w:t>
      </w:r>
      <w:r w:rsidR="001537CE">
        <w:t xml:space="preserve">from </w:t>
      </w:r>
      <w:r w:rsidR="00BC69A4">
        <w:t xml:space="preserve">unprogrammed activity </w:t>
      </w:r>
      <w:r w:rsidR="00177666">
        <w:t xml:space="preserve">resulted in 24 inspections during FY 2024.  While this was </w:t>
      </w:r>
      <w:r w:rsidR="000D1C8D">
        <w:t xml:space="preserve">only </w:t>
      </w:r>
      <w:r w:rsidR="002929FD">
        <w:t xml:space="preserve">3.02% of all inspection activity, the number of state and local government </w:t>
      </w:r>
      <w:r w:rsidR="009161F1">
        <w:t xml:space="preserve">workplace </w:t>
      </w:r>
      <w:r w:rsidR="002929FD">
        <w:t>inspections during FY 2024 exceeded the number</w:t>
      </w:r>
      <w:r w:rsidR="00DF561B">
        <w:t xml:space="preserve"> of inspections</w:t>
      </w:r>
      <w:r w:rsidR="002929FD">
        <w:t xml:space="preserve">, 20, </w:t>
      </w:r>
      <w:r w:rsidR="00E70C21">
        <w:t>and percentage</w:t>
      </w:r>
      <w:r w:rsidR="008C2344">
        <w:t xml:space="preserve"> of inspections</w:t>
      </w:r>
      <w:r w:rsidR="00E70C21">
        <w:t xml:space="preserve">, 2.94%, </w:t>
      </w:r>
      <w:r w:rsidR="002929FD">
        <w:t xml:space="preserve">conducted during FY 2023.  </w:t>
      </w:r>
      <w:r w:rsidR="006E6D12">
        <w:t>Although</w:t>
      </w:r>
      <w:r w:rsidR="008D1875" w:rsidRPr="001537CE">
        <w:t xml:space="preserve"> the FY 202</w:t>
      </w:r>
      <w:r w:rsidR="00C4441A" w:rsidRPr="001537CE">
        <w:t>4</w:t>
      </w:r>
      <w:r w:rsidR="008D1875" w:rsidRPr="001537CE">
        <w:t xml:space="preserve"> percentage was below the FRL, OSHA believes that UOSH’s presence in state and local government workplaces will continue to rise </w:t>
      </w:r>
      <w:r w:rsidR="00F155CA" w:rsidRPr="001537CE">
        <w:t>as new CSHO</w:t>
      </w:r>
      <w:r w:rsidR="001537CE" w:rsidRPr="001537CE">
        <w:t xml:space="preserve"> development is completed</w:t>
      </w:r>
      <w:r w:rsidR="00330D6C">
        <w:t xml:space="preserve">.  </w:t>
      </w:r>
      <w:r w:rsidR="008D1875" w:rsidRPr="001537CE">
        <w:t xml:space="preserve">As a result, </w:t>
      </w:r>
      <w:r w:rsidR="00D20DCC">
        <w:t xml:space="preserve">an </w:t>
      </w:r>
      <w:r w:rsidR="00D20DCC" w:rsidRPr="00D816B3">
        <w:t xml:space="preserve">observation is not justified </w:t>
      </w:r>
      <w:proofErr w:type="gramStart"/>
      <w:r w:rsidR="00D20DCC" w:rsidRPr="00D816B3">
        <w:t>at this time</w:t>
      </w:r>
      <w:proofErr w:type="gramEnd"/>
      <w:r w:rsidR="008D1875" w:rsidRPr="001537CE">
        <w:t>.</w:t>
      </w:r>
    </w:p>
    <w:p w14:paraId="46F7F5C3" w14:textId="77777777" w:rsidR="008D1875" w:rsidRDefault="008D1875" w:rsidP="008D1875">
      <w:pPr>
        <w:widowControl/>
        <w:autoSpaceDE/>
        <w:autoSpaceDN/>
        <w:adjustRightInd/>
        <w:rPr>
          <w:rFonts w:cs="Calibri"/>
        </w:rPr>
      </w:pPr>
    </w:p>
    <w:p w14:paraId="584163CD" w14:textId="66DA833D" w:rsidR="00AD5096" w:rsidRDefault="00AD5096" w:rsidP="00AD5096">
      <w:pPr>
        <w:widowControl/>
        <w:autoSpaceDE/>
        <w:adjustRightInd/>
        <w:rPr>
          <w:rFonts w:cs="Calibri"/>
          <w:b/>
        </w:rPr>
      </w:pPr>
      <w:r w:rsidRPr="0018653A">
        <w:rPr>
          <w:rFonts w:cs="Calibri"/>
          <w:b/>
        </w:rPr>
        <w:t>SAMM 7</w:t>
      </w:r>
      <w:r>
        <w:rPr>
          <w:rFonts w:cs="Calibri"/>
          <w:b/>
        </w:rPr>
        <w:t>a</w:t>
      </w:r>
      <w:r w:rsidRPr="0018653A">
        <w:rPr>
          <w:rFonts w:cs="Calibri"/>
          <w:b/>
        </w:rPr>
        <w:t xml:space="preserve"> – Planned v. Actual Inspections (</w:t>
      </w:r>
      <w:r>
        <w:rPr>
          <w:rFonts w:cs="Calibri"/>
          <w:b/>
        </w:rPr>
        <w:t>Safety</w:t>
      </w:r>
      <w:r w:rsidRPr="0018653A">
        <w:rPr>
          <w:rFonts w:cs="Calibri"/>
          <w:b/>
        </w:rPr>
        <w:t>)</w:t>
      </w:r>
    </w:p>
    <w:p w14:paraId="5F9EA0B0" w14:textId="77777777" w:rsidR="00AD5096" w:rsidRPr="00314593" w:rsidRDefault="00AD5096" w:rsidP="00AD5096">
      <w:pPr>
        <w:widowControl/>
        <w:autoSpaceDE/>
        <w:adjustRightInd/>
        <w:rPr>
          <w:rFonts w:cs="Calibri"/>
          <w:b/>
        </w:rPr>
      </w:pPr>
    </w:p>
    <w:p w14:paraId="63876B62" w14:textId="42C051B9" w:rsidR="00AD5096" w:rsidRPr="007324F0" w:rsidRDefault="00AD5096" w:rsidP="00AD5096">
      <w:pPr>
        <w:widowControl/>
        <w:autoSpaceDE/>
        <w:adjustRightInd/>
        <w:rPr>
          <w:rFonts w:cs="Calibri"/>
          <w:color w:val="0070C0"/>
        </w:rPr>
      </w:pPr>
      <w:r w:rsidRPr="001C1E47">
        <w:rPr>
          <w:rFonts w:cs="Calibri"/>
          <w:u w:val="single"/>
        </w:rPr>
        <w:t xml:space="preserve">Discussion of State Plan </w:t>
      </w:r>
      <w:r>
        <w:rPr>
          <w:rFonts w:cs="Calibri"/>
          <w:u w:val="single"/>
        </w:rPr>
        <w:t>D</w:t>
      </w:r>
      <w:r w:rsidRPr="001C1E47">
        <w:rPr>
          <w:rFonts w:cs="Calibri"/>
          <w:u w:val="single"/>
        </w:rPr>
        <w:t>ata and FRL:</w:t>
      </w:r>
      <w:r w:rsidR="004463CD">
        <w:rPr>
          <w:rFonts w:cs="Calibri"/>
        </w:rPr>
        <w:t xml:space="preserve"> </w:t>
      </w:r>
      <w:r w:rsidR="004463CD">
        <w:t xml:space="preserve">The FRL for planned versus actual safety inspections was a range of </w:t>
      </w:r>
      <w:r w:rsidR="008B4898">
        <w:rPr>
          <w:rFonts w:cs="Calibri"/>
        </w:rPr>
        <w:t>585</w:t>
      </w:r>
      <w:r w:rsidR="008B4898" w:rsidRPr="001C1E47">
        <w:rPr>
          <w:rFonts w:cs="Calibri"/>
        </w:rPr>
        <w:t xml:space="preserve"> to </w:t>
      </w:r>
      <w:r w:rsidR="008B4898">
        <w:rPr>
          <w:rFonts w:cs="Calibri"/>
        </w:rPr>
        <w:t>647</w:t>
      </w:r>
      <w:r w:rsidR="004463CD">
        <w:t xml:space="preserve">.  The State Plan’s actual number of safety inspections was </w:t>
      </w:r>
      <w:r w:rsidR="008B4898">
        <w:t>669</w:t>
      </w:r>
      <w:r w:rsidR="004463CD">
        <w:t>, which was above the FRL.</w:t>
      </w:r>
      <w:r w:rsidR="00B64D66">
        <w:t xml:space="preserve">  The State Plan achieved 108.60% of its goal for safety inspections.  </w:t>
      </w:r>
    </w:p>
    <w:p w14:paraId="5D2F7A92" w14:textId="77777777" w:rsidR="00AD5096" w:rsidRPr="001C1E47" w:rsidRDefault="00AD5096" w:rsidP="00AD5096">
      <w:pPr>
        <w:widowControl/>
        <w:autoSpaceDE/>
        <w:adjustRightInd/>
        <w:rPr>
          <w:rFonts w:cs="Calibri"/>
        </w:rPr>
      </w:pPr>
    </w:p>
    <w:p w14:paraId="327FA31A" w14:textId="2239561E" w:rsidR="00AD5096" w:rsidRDefault="00AD5096" w:rsidP="00014FC7">
      <w:pPr>
        <w:widowControl/>
        <w:autoSpaceDE/>
        <w:autoSpaceDN/>
        <w:adjustRightInd/>
      </w:pPr>
      <w:r w:rsidRPr="001C1E47">
        <w:rPr>
          <w:rFonts w:cs="Calibri"/>
          <w:u w:val="single"/>
        </w:rPr>
        <w:t>Explanation:</w:t>
      </w:r>
      <w:r w:rsidR="00014FC7">
        <w:rPr>
          <w:rFonts w:cs="Calibri"/>
        </w:rPr>
        <w:t xml:space="preserve"> </w:t>
      </w:r>
      <w:r w:rsidR="00014FC7" w:rsidRPr="00725142">
        <w:t xml:space="preserve">UOSH exceeded the FRL for safety inspections.  </w:t>
      </w:r>
      <w:r w:rsidR="0048585A" w:rsidRPr="00725142">
        <w:t>This was driven by unprogrammed activity</w:t>
      </w:r>
      <w:r w:rsidR="00401AF2" w:rsidRPr="00725142">
        <w:t xml:space="preserve"> as </w:t>
      </w:r>
      <w:r w:rsidR="0064759D" w:rsidRPr="00725142">
        <w:t>97.46% (652 of 669)</w:t>
      </w:r>
      <w:r w:rsidR="00725142" w:rsidRPr="00725142">
        <w:t xml:space="preserve"> of safety inspections were unprogrammed</w:t>
      </w:r>
      <w:r w:rsidR="001D0C27">
        <w:t xml:space="preserve"> activity</w:t>
      </w:r>
      <w:r w:rsidR="00725142" w:rsidRPr="00725142">
        <w:t xml:space="preserve">.  The unprogrammed activity </w:t>
      </w:r>
      <w:r w:rsidR="00725142" w:rsidRPr="003977C7">
        <w:t>included</w:t>
      </w:r>
      <w:r w:rsidR="0048585A" w:rsidRPr="003977C7">
        <w:t xml:space="preserve"> </w:t>
      </w:r>
      <w:r w:rsidR="00A2783A" w:rsidRPr="003977C7">
        <w:t>332</w:t>
      </w:r>
      <w:r w:rsidR="0048585A" w:rsidRPr="003977C7">
        <w:t xml:space="preserve"> complaints (</w:t>
      </w:r>
      <w:r w:rsidR="0070011D">
        <w:t>50.92</w:t>
      </w:r>
      <w:r w:rsidR="0048585A" w:rsidRPr="003977C7">
        <w:t>%)</w:t>
      </w:r>
      <w:r w:rsidR="00567A3D" w:rsidRPr="003977C7">
        <w:t xml:space="preserve">, </w:t>
      </w:r>
      <w:r w:rsidR="00445650" w:rsidRPr="003977C7">
        <w:t>86 referrals</w:t>
      </w:r>
      <w:r w:rsidR="002148B5" w:rsidRPr="003977C7">
        <w:t xml:space="preserve"> (13.19%)</w:t>
      </w:r>
      <w:r w:rsidR="00445650" w:rsidRPr="003977C7">
        <w:t xml:space="preserve">, </w:t>
      </w:r>
      <w:r w:rsidR="0048585A" w:rsidRPr="00567A3D">
        <w:t>1</w:t>
      </w:r>
      <w:r w:rsidR="006D04E7" w:rsidRPr="00567A3D">
        <w:t>1</w:t>
      </w:r>
      <w:r w:rsidR="0048585A" w:rsidRPr="00567A3D">
        <w:t xml:space="preserve"> </w:t>
      </w:r>
      <w:r w:rsidR="00347D0B" w:rsidRPr="00567A3D">
        <w:t>safety</w:t>
      </w:r>
      <w:r w:rsidR="0048585A" w:rsidRPr="00567A3D">
        <w:t>-related fatalities</w:t>
      </w:r>
      <w:r w:rsidR="006D04E7" w:rsidRPr="00567A3D">
        <w:t xml:space="preserve"> (</w:t>
      </w:r>
      <w:r w:rsidR="00567A3D" w:rsidRPr="00567A3D">
        <w:t>1.69%)</w:t>
      </w:r>
      <w:r w:rsidR="008E1668">
        <w:t>,</w:t>
      </w:r>
      <w:r w:rsidR="0048585A" w:rsidRPr="00567A3D">
        <w:t xml:space="preserve"> and</w:t>
      </w:r>
      <w:r w:rsidR="00295ED6">
        <w:t xml:space="preserve"> 219</w:t>
      </w:r>
      <w:r w:rsidR="0048585A" w:rsidRPr="00567A3D">
        <w:t xml:space="preserve"> accidents </w:t>
      </w:r>
      <w:r w:rsidR="0048585A" w:rsidRPr="0034566A">
        <w:t>(</w:t>
      </w:r>
      <w:r w:rsidR="0034566A" w:rsidRPr="0034566A">
        <w:t>33.59%</w:t>
      </w:r>
      <w:r w:rsidR="0048585A" w:rsidRPr="0034566A">
        <w:t xml:space="preserve">).  </w:t>
      </w:r>
      <w:r w:rsidR="008E5FDE" w:rsidRPr="009A1B30">
        <w:t xml:space="preserve">Despite the </w:t>
      </w:r>
      <w:r w:rsidR="00C74699">
        <w:t xml:space="preserve">loss of two </w:t>
      </w:r>
      <w:r w:rsidR="00CD7949">
        <w:t xml:space="preserve">of nine </w:t>
      </w:r>
      <w:r w:rsidR="00C74699">
        <w:t>safety compliance officers during FY 2024</w:t>
      </w:r>
      <w:r w:rsidR="008E5FDE" w:rsidRPr="009A1B30">
        <w:t xml:space="preserve">, </w:t>
      </w:r>
      <w:r w:rsidR="008F6947">
        <w:t>UOSH</w:t>
      </w:r>
      <w:r w:rsidR="008E5FDE" w:rsidRPr="009A1B30">
        <w:t xml:space="preserve"> </w:t>
      </w:r>
      <w:r w:rsidR="00C30119" w:rsidRPr="009A1B30">
        <w:t>prioritized responses to unprogrammed activity and</w:t>
      </w:r>
      <w:r w:rsidR="001E3578">
        <w:t>,</w:t>
      </w:r>
      <w:r w:rsidR="00C30119" w:rsidRPr="009A1B30">
        <w:t xml:space="preserve"> as a result</w:t>
      </w:r>
      <w:r w:rsidR="00707B39">
        <w:t>,</w:t>
      </w:r>
      <w:r w:rsidR="00C30119" w:rsidRPr="009A1B30">
        <w:t xml:space="preserve"> exceeded </w:t>
      </w:r>
      <w:r w:rsidR="00E557F3" w:rsidRPr="009A1B30">
        <w:t>the FRL.</w:t>
      </w:r>
    </w:p>
    <w:p w14:paraId="34C35434" w14:textId="77777777" w:rsidR="009B73FB" w:rsidRDefault="009B73FB" w:rsidP="00014FC7">
      <w:pPr>
        <w:widowControl/>
        <w:autoSpaceDE/>
        <w:autoSpaceDN/>
        <w:adjustRightInd/>
        <w:rPr>
          <w:rFonts w:cs="Calibri"/>
          <w:b/>
        </w:rPr>
      </w:pPr>
    </w:p>
    <w:p w14:paraId="68AE6994" w14:textId="7B2E18F0" w:rsidR="00F61D8F" w:rsidRDefault="0018653A" w:rsidP="00F61D8F">
      <w:pPr>
        <w:widowControl/>
        <w:autoSpaceDE/>
        <w:adjustRightInd/>
        <w:rPr>
          <w:rFonts w:cs="Calibri"/>
          <w:b/>
        </w:rPr>
      </w:pPr>
      <w:r w:rsidRPr="0018653A">
        <w:rPr>
          <w:rFonts w:cs="Calibri"/>
          <w:b/>
        </w:rPr>
        <w:t>SAMM 7</w:t>
      </w:r>
      <w:r>
        <w:rPr>
          <w:rFonts w:cs="Calibri"/>
          <w:b/>
        </w:rPr>
        <w:t>b</w:t>
      </w:r>
      <w:r w:rsidRPr="0018653A">
        <w:rPr>
          <w:rFonts w:cs="Calibri"/>
          <w:b/>
        </w:rPr>
        <w:t xml:space="preserve"> – Planned v. Actual Inspections (</w:t>
      </w:r>
      <w:r>
        <w:rPr>
          <w:rFonts w:cs="Calibri"/>
          <w:b/>
        </w:rPr>
        <w:t>Health</w:t>
      </w:r>
      <w:r w:rsidRPr="0018653A">
        <w:rPr>
          <w:rFonts w:cs="Calibri"/>
          <w:b/>
        </w:rPr>
        <w:t>)</w:t>
      </w:r>
    </w:p>
    <w:p w14:paraId="657F052E" w14:textId="77777777" w:rsidR="0018653A" w:rsidRPr="00314593" w:rsidRDefault="0018653A" w:rsidP="00F61D8F">
      <w:pPr>
        <w:widowControl/>
        <w:autoSpaceDE/>
        <w:adjustRightInd/>
        <w:rPr>
          <w:rFonts w:cs="Calibri"/>
          <w:b/>
        </w:rPr>
      </w:pPr>
    </w:p>
    <w:p w14:paraId="0615439D" w14:textId="5E3EF295" w:rsidR="00F61D8F" w:rsidRPr="007324F0" w:rsidRDefault="00F61D8F" w:rsidP="00F61D8F">
      <w:pPr>
        <w:widowControl/>
        <w:autoSpaceDE/>
        <w:adjustRightInd/>
        <w:rPr>
          <w:rFonts w:cs="Calibri"/>
          <w:color w:val="0070C0"/>
        </w:rPr>
      </w:pPr>
      <w:r w:rsidRPr="001C1E47">
        <w:rPr>
          <w:rFonts w:cs="Calibri"/>
          <w:u w:val="single"/>
        </w:rPr>
        <w:t xml:space="preserve">Discussion of State Plan </w:t>
      </w:r>
      <w:r>
        <w:rPr>
          <w:rFonts w:cs="Calibri"/>
          <w:u w:val="single"/>
        </w:rPr>
        <w:t>D</w:t>
      </w:r>
      <w:r w:rsidRPr="001C1E47">
        <w:rPr>
          <w:rFonts w:cs="Calibri"/>
          <w:u w:val="single"/>
        </w:rPr>
        <w:t>ata and FRL:</w:t>
      </w:r>
      <w:r w:rsidR="00542950">
        <w:rPr>
          <w:rFonts w:cs="Calibri"/>
        </w:rPr>
        <w:t xml:space="preserve"> </w:t>
      </w:r>
      <w:r w:rsidR="00542950">
        <w:t xml:space="preserve">The FRL for planned versus actual health inspections was a range of </w:t>
      </w:r>
      <w:r w:rsidR="00BF649B">
        <w:rPr>
          <w:rFonts w:cs="Calibri"/>
        </w:rPr>
        <w:t>151</w:t>
      </w:r>
      <w:r w:rsidR="00BF649B" w:rsidRPr="001C1E47">
        <w:rPr>
          <w:rFonts w:cs="Calibri"/>
        </w:rPr>
        <w:t xml:space="preserve"> to </w:t>
      </w:r>
      <w:r w:rsidR="00BF649B">
        <w:rPr>
          <w:rFonts w:cs="Calibri"/>
        </w:rPr>
        <w:t>167</w:t>
      </w:r>
      <w:r w:rsidR="00542950">
        <w:t xml:space="preserve">.  The State Plan’s actual number of </w:t>
      </w:r>
      <w:r w:rsidR="00522A76">
        <w:t>health</w:t>
      </w:r>
      <w:r w:rsidR="00542950">
        <w:t xml:space="preserve"> inspections was </w:t>
      </w:r>
      <w:r w:rsidR="00BF649B">
        <w:t>127</w:t>
      </w:r>
      <w:r w:rsidR="00542950">
        <w:t xml:space="preserve">, which was below the FRL.  The State Plan achieved </w:t>
      </w:r>
      <w:r w:rsidR="00522A76">
        <w:t>79.</w:t>
      </w:r>
      <w:r w:rsidR="00231E21">
        <w:t>87</w:t>
      </w:r>
      <w:r w:rsidR="00542950">
        <w:t xml:space="preserve">% of its goal for </w:t>
      </w:r>
      <w:r w:rsidR="00522A76">
        <w:t>health</w:t>
      </w:r>
      <w:r w:rsidR="00542950">
        <w:t xml:space="preserve"> inspections.</w:t>
      </w:r>
    </w:p>
    <w:p w14:paraId="78CF8046" w14:textId="77777777" w:rsidR="00F61D8F" w:rsidRPr="001C1E47" w:rsidRDefault="00F61D8F" w:rsidP="00F61D8F">
      <w:pPr>
        <w:widowControl/>
        <w:autoSpaceDE/>
        <w:adjustRightInd/>
        <w:rPr>
          <w:rFonts w:cs="Calibri"/>
        </w:rPr>
      </w:pPr>
    </w:p>
    <w:p w14:paraId="1A608C76" w14:textId="7488FC80" w:rsidR="00F61D8F" w:rsidRDefault="00F61D8F" w:rsidP="008A558F">
      <w:pPr>
        <w:widowControl/>
        <w:autoSpaceDE/>
        <w:autoSpaceDN/>
        <w:adjustRightInd/>
        <w:rPr>
          <w:rFonts w:cs="Calibri"/>
          <w:color w:val="0070C0"/>
        </w:rPr>
      </w:pPr>
      <w:r w:rsidRPr="001C1E47">
        <w:rPr>
          <w:rFonts w:cs="Calibri"/>
          <w:u w:val="single"/>
        </w:rPr>
        <w:t>Explanation:</w:t>
      </w:r>
      <w:r w:rsidR="00A46C5A">
        <w:rPr>
          <w:rFonts w:cs="Calibri"/>
        </w:rPr>
        <w:t xml:space="preserve"> </w:t>
      </w:r>
      <w:r w:rsidR="008A558F" w:rsidRPr="00A46C5A">
        <w:rPr>
          <w:rFonts w:cs="Calibri"/>
        </w:rPr>
        <w:t xml:space="preserve">The number of </w:t>
      </w:r>
      <w:r w:rsidR="0010721A" w:rsidRPr="00A46C5A">
        <w:rPr>
          <w:rFonts w:cs="Calibri"/>
        </w:rPr>
        <w:t>health</w:t>
      </w:r>
      <w:r w:rsidR="008A558F" w:rsidRPr="00A46C5A">
        <w:rPr>
          <w:rFonts w:cs="Calibri"/>
        </w:rPr>
        <w:t xml:space="preserve"> inspections </w:t>
      </w:r>
      <w:r w:rsidR="00684378">
        <w:rPr>
          <w:rFonts w:cs="Calibri"/>
        </w:rPr>
        <w:t>conducted</w:t>
      </w:r>
      <w:r w:rsidR="008A558F" w:rsidRPr="00A46C5A">
        <w:rPr>
          <w:rFonts w:cs="Calibri"/>
        </w:rPr>
        <w:t xml:space="preserve"> was impacted by staff turnover.  </w:t>
      </w:r>
      <w:r w:rsidR="00CD7949" w:rsidRPr="00A46C5A">
        <w:rPr>
          <w:rFonts w:cs="Calibri"/>
        </w:rPr>
        <w:t xml:space="preserve">During FY 2024, five of eight health compliance officers </w:t>
      </w:r>
      <w:r w:rsidR="0010721A" w:rsidRPr="00A46C5A">
        <w:rPr>
          <w:rFonts w:cs="Calibri"/>
        </w:rPr>
        <w:t xml:space="preserve">left UOSH.  </w:t>
      </w:r>
      <w:r w:rsidR="00D178AB" w:rsidRPr="00A46C5A">
        <w:rPr>
          <w:rFonts w:cs="Calibri"/>
        </w:rPr>
        <w:t xml:space="preserve">While </w:t>
      </w:r>
      <w:r w:rsidR="00045348">
        <w:rPr>
          <w:rFonts w:cs="Calibri"/>
        </w:rPr>
        <w:t xml:space="preserve">the </w:t>
      </w:r>
      <w:r w:rsidR="00A46C5A" w:rsidRPr="00A46C5A">
        <w:rPr>
          <w:rFonts w:cs="Calibri"/>
        </w:rPr>
        <w:t>five health</w:t>
      </w:r>
      <w:r w:rsidR="00D178AB" w:rsidRPr="00A46C5A">
        <w:rPr>
          <w:rFonts w:cs="Calibri"/>
        </w:rPr>
        <w:t xml:space="preserve"> compliance officer positions were filled by the end of the fiscal year, limited resources and the training of new CSHOs impacted UOSH’s ability to perform </w:t>
      </w:r>
      <w:r w:rsidR="00A46C5A" w:rsidRPr="00A46C5A">
        <w:rPr>
          <w:rFonts w:cs="Calibri"/>
        </w:rPr>
        <w:t>health</w:t>
      </w:r>
      <w:r w:rsidR="00D178AB" w:rsidRPr="00A46C5A">
        <w:rPr>
          <w:rFonts w:cs="Calibri"/>
        </w:rPr>
        <w:t xml:space="preserve"> inspections.</w:t>
      </w:r>
      <w:r w:rsidR="00A46C5A" w:rsidRPr="00A46C5A">
        <w:rPr>
          <w:rFonts w:cs="Calibri"/>
        </w:rPr>
        <w:t xml:space="preserve">  </w:t>
      </w:r>
      <w:r w:rsidR="008A558F" w:rsidRPr="00E465A3">
        <w:rPr>
          <w:rFonts w:cs="Calibri"/>
        </w:rPr>
        <w:t xml:space="preserve">In FY </w:t>
      </w:r>
      <w:r w:rsidR="00284E03">
        <w:rPr>
          <w:rFonts w:cs="Calibri"/>
        </w:rPr>
        <w:t xml:space="preserve">2022 and FY </w:t>
      </w:r>
      <w:r w:rsidR="008A558F" w:rsidRPr="00E465A3">
        <w:rPr>
          <w:rFonts w:cs="Calibri"/>
        </w:rPr>
        <w:t>202</w:t>
      </w:r>
      <w:r w:rsidR="00EB4212" w:rsidRPr="00E465A3">
        <w:rPr>
          <w:rFonts w:cs="Calibri"/>
        </w:rPr>
        <w:t>3</w:t>
      </w:r>
      <w:r w:rsidR="008A558F" w:rsidRPr="00E465A3">
        <w:rPr>
          <w:rFonts w:cs="Calibri"/>
        </w:rPr>
        <w:t xml:space="preserve">, the State Plan met the FRL.  </w:t>
      </w:r>
      <w:r w:rsidR="007F7356">
        <w:rPr>
          <w:rFonts w:cs="Calibri"/>
        </w:rPr>
        <w:t xml:space="preserve">As the </w:t>
      </w:r>
      <w:r w:rsidR="00486FF5">
        <w:rPr>
          <w:rFonts w:cs="Calibri"/>
        </w:rPr>
        <w:t xml:space="preserve">health compliance officers gained experience </w:t>
      </w:r>
      <w:r w:rsidR="00486FF5" w:rsidRPr="00D816B3">
        <w:rPr>
          <w:rFonts w:cs="Calibri"/>
        </w:rPr>
        <w:t xml:space="preserve">during FY 2024, the number of health inspections increased each quarter.  </w:t>
      </w:r>
      <w:r w:rsidR="007C35A9" w:rsidRPr="00D816B3">
        <w:rPr>
          <w:rFonts w:cs="Calibri"/>
        </w:rPr>
        <w:t xml:space="preserve">Fifty-one </w:t>
      </w:r>
      <w:r w:rsidR="00061856" w:rsidRPr="00D816B3">
        <w:rPr>
          <w:rFonts w:cs="Calibri"/>
        </w:rPr>
        <w:t xml:space="preserve">of the 127 health </w:t>
      </w:r>
      <w:r w:rsidR="00061856" w:rsidRPr="00D816B3">
        <w:rPr>
          <w:rFonts w:cs="Calibri"/>
        </w:rPr>
        <w:lastRenderedPageBreak/>
        <w:t>inspections conducted during FY 2024 were opened</w:t>
      </w:r>
      <w:r w:rsidR="007C35A9" w:rsidRPr="00D816B3">
        <w:rPr>
          <w:rFonts w:cs="Calibri"/>
        </w:rPr>
        <w:t xml:space="preserve"> during quarter four</w:t>
      </w:r>
      <w:r w:rsidR="00061856" w:rsidRPr="00D816B3">
        <w:rPr>
          <w:rFonts w:cs="Calibri"/>
        </w:rPr>
        <w:t xml:space="preserve">.  </w:t>
      </w:r>
      <w:r w:rsidR="005D4D53" w:rsidRPr="00D816B3">
        <w:t xml:space="preserve">An observation is not justified </w:t>
      </w:r>
      <w:proofErr w:type="gramStart"/>
      <w:r w:rsidR="005D4D53" w:rsidRPr="00D816B3">
        <w:t>at this time</w:t>
      </w:r>
      <w:proofErr w:type="gramEnd"/>
      <w:r w:rsidR="005D4D53" w:rsidRPr="00D816B3">
        <w:t>.</w:t>
      </w:r>
    </w:p>
    <w:p w14:paraId="06E41746" w14:textId="77777777" w:rsidR="008A558F" w:rsidRDefault="008A558F" w:rsidP="008A558F">
      <w:pPr>
        <w:widowControl/>
        <w:autoSpaceDE/>
        <w:autoSpaceDN/>
        <w:adjustRightInd/>
        <w:rPr>
          <w:rFonts w:cs="Calibri"/>
        </w:rPr>
      </w:pPr>
    </w:p>
    <w:p w14:paraId="7F2530AF" w14:textId="53ED6ABC" w:rsidR="00165F22" w:rsidRDefault="00FF21EA" w:rsidP="00165F22">
      <w:pPr>
        <w:widowControl/>
        <w:autoSpaceDE/>
        <w:adjustRightInd/>
        <w:rPr>
          <w:rFonts w:cs="Calibri"/>
          <w:b/>
        </w:rPr>
      </w:pPr>
      <w:r w:rsidRPr="00FF21EA">
        <w:rPr>
          <w:rFonts w:cs="Calibri"/>
          <w:b/>
        </w:rPr>
        <w:t>SAMM 8 – Average Current Serious Penalty in Private Sector</w:t>
      </w:r>
      <w:r w:rsidR="0019199A">
        <w:rPr>
          <w:rFonts w:cs="Calibri"/>
          <w:b/>
        </w:rPr>
        <w:t xml:space="preserve"> </w:t>
      </w:r>
      <w:r w:rsidRPr="00FF21EA">
        <w:rPr>
          <w:rFonts w:cs="Calibri"/>
          <w:b/>
        </w:rPr>
        <w:t>-</w:t>
      </w:r>
      <w:r w:rsidR="0019199A">
        <w:rPr>
          <w:rFonts w:cs="Calibri"/>
          <w:b/>
        </w:rPr>
        <w:t xml:space="preserve"> </w:t>
      </w:r>
      <w:r w:rsidRPr="00FF21EA">
        <w:rPr>
          <w:rFonts w:cs="Calibri"/>
          <w:b/>
        </w:rPr>
        <w:t>Total</w:t>
      </w:r>
    </w:p>
    <w:p w14:paraId="0AE7EE39" w14:textId="77777777" w:rsidR="00FF21EA" w:rsidRPr="00314593" w:rsidRDefault="00FF21EA" w:rsidP="00165F22">
      <w:pPr>
        <w:widowControl/>
        <w:autoSpaceDE/>
        <w:adjustRightInd/>
        <w:rPr>
          <w:rFonts w:cs="Calibri"/>
          <w:b/>
        </w:rPr>
      </w:pPr>
    </w:p>
    <w:p w14:paraId="50C9A3C8" w14:textId="35AE2200" w:rsidR="00165F22" w:rsidRPr="007324F0" w:rsidRDefault="00165F22" w:rsidP="00165F22">
      <w:pPr>
        <w:widowControl/>
        <w:autoSpaceDE/>
        <w:adjustRightInd/>
        <w:rPr>
          <w:rFonts w:cs="Calibri"/>
          <w:color w:val="0070C0"/>
        </w:rPr>
      </w:pPr>
      <w:r w:rsidRPr="001C1E47">
        <w:rPr>
          <w:rFonts w:cs="Calibri"/>
          <w:u w:val="single"/>
        </w:rPr>
        <w:t xml:space="preserve">Discussion of State Plan </w:t>
      </w:r>
      <w:r>
        <w:rPr>
          <w:rFonts w:cs="Calibri"/>
          <w:u w:val="single"/>
        </w:rPr>
        <w:t>D</w:t>
      </w:r>
      <w:r w:rsidRPr="001C1E47">
        <w:rPr>
          <w:rFonts w:cs="Calibri"/>
          <w:u w:val="single"/>
        </w:rPr>
        <w:t>ata and FRL:</w:t>
      </w:r>
      <w:r w:rsidR="00364D79">
        <w:rPr>
          <w:rFonts w:cs="Calibri"/>
        </w:rPr>
        <w:t xml:space="preserve"> </w:t>
      </w:r>
      <w:r w:rsidR="00364D79">
        <w:t xml:space="preserve">The FRL for the average current serious penalty in the private sector-total was a range of </w:t>
      </w:r>
      <w:r w:rsidR="00272EC4" w:rsidRPr="00AA3C90">
        <w:rPr>
          <w:rFonts w:asciiTheme="minorHAnsi" w:hAnsiTheme="minorHAnsi" w:cstheme="minorHAnsi"/>
        </w:rPr>
        <w:t>$2,845.36 to $4,742.27</w:t>
      </w:r>
      <w:r w:rsidR="00364D79">
        <w:t>.  The State Plan’s average current serious penalty in the private sector-total was $1,</w:t>
      </w:r>
      <w:r w:rsidR="008B36C2">
        <w:t>907.50</w:t>
      </w:r>
      <w:r w:rsidR="00364D79">
        <w:t>, which was substantially lower than the FRL and was a cause for concern.</w:t>
      </w:r>
    </w:p>
    <w:p w14:paraId="629D1362" w14:textId="77777777" w:rsidR="00165F22" w:rsidRPr="001C1E47" w:rsidRDefault="00165F22" w:rsidP="00165F22">
      <w:pPr>
        <w:widowControl/>
        <w:autoSpaceDE/>
        <w:adjustRightInd/>
        <w:rPr>
          <w:rFonts w:cs="Calibri"/>
        </w:rPr>
      </w:pPr>
    </w:p>
    <w:p w14:paraId="566B9EF3" w14:textId="5E52EAE7" w:rsidR="00165F22" w:rsidRDefault="00165F22" w:rsidP="008B36C2">
      <w:pPr>
        <w:widowControl/>
        <w:autoSpaceDE/>
        <w:autoSpaceDN/>
        <w:adjustRightInd/>
      </w:pPr>
      <w:r w:rsidRPr="001C1E47">
        <w:rPr>
          <w:rFonts w:cs="Calibri"/>
          <w:u w:val="single"/>
        </w:rPr>
        <w:t>Explanation:</w:t>
      </w:r>
      <w:r w:rsidR="008B36C2">
        <w:rPr>
          <w:rFonts w:cs="Calibri"/>
        </w:rPr>
        <w:t xml:space="preserve"> </w:t>
      </w:r>
      <w:r w:rsidR="00F65257" w:rsidRPr="00BD2EDE">
        <w:rPr>
          <w:rFonts w:asciiTheme="minorHAnsi" w:hAnsiTheme="minorHAnsi" w:cstheme="minorHAnsi"/>
        </w:rPr>
        <w:t>The Utah legislature limits the authority of the State Plan under the Utah O</w:t>
      </w:r>
      <w:r w:rsidR="00A77E59">
        <w:rPr>
          <w:rFonts w:asciiTheme="minorHAnsi" w:hAnsiTheme="minorHAnsi" w:cstheme="minorHAnsi"/>
        </w:rPr>
        <w:t xml:space="preserve">ccupational Safety and Health </w:t>
      </w:r>
      <w:r w:rsidR="00F65257" w:rsidRPr="00BD2EDE">
        <w:rPr>
          <w:rFonts w:asciiTheme="minorHAnsi" w:hAnsiTheme="minorHAnsi" w:cstheme="minorHAnsi"/>
        </w:rPr>
        <w:t xml:space="preserve">Act.  Certain elements, including penalty amounts, are outlined in Utah state statutes </w:t>
      </w:r>
      <w:r w:rsidR="00650085">
        <w:rPr>
          <w:rFonts w:asciiTheme="minorHAnsi" w:hAnsiTheme="minorHAnsi" w:cstheme="minorHAnsi"/>
        </w:rPr>
        <w:t>rather than</w:t>
      </w:r>
      <w:r w:rsidR="00F65257" w:rsidRPr="00BD2EDE">
        <w:rPr>
          <w:rFonts w:asciiTheme="minorHAnsi" w:hAnsiTheme="minorHAnsi" w:cstheme="minorHAnsi"/>
        </w:rPr>
        <w:t xml:space="preserve"> administrative rules, which fall under UOSH’s authority.  Changes to state statutes must be undertaken through a legislative process, not an administrative process.  </w:t>
      </w:r>
      <w:r w:rsidR="009235FE" w:rsidRPr="00BD2EDE">
        <w:rPr>
          <w:rFonts w:asciiTheme="minorHAnsi" w:eastAsia="Calibri" w:hAnsiTheme="minorHAnsi" w:cstheme="minorHAnsi"/>
        </w:rPr>
        <w:t xml:space="preserve">The Utah legislature did not increase UOSH </w:t>
      </w:r>
      <w:r w:rsidR="002C6F06">
        <w:rPr>
          <w:rFonts w:asciiTheme="minorHAnsi" w:eastAsia="Calibri" w:hAnsiTheme="minorHAnsi" w:cstheme="minorHAnsi"/>
        </w:rPr>
        <w:t xml:space="preserve">maximum </w:t>
      </w:r>
      <w:r w:rsidR="009235FE" w:rsidRPr="00BD2EDE">
        <w:rPr>
          <w:rFonts w:asciiTheme="minorHAnsi" w:eastAsia="Calibri" w:hAnsiTheme="minorHAnsi" w:cstheme="minorHAnsi"/>
        </w:rPr>
        <w:t xml:space="preserve">penalties until FY 2022, when it statutorily adopted the </w:t>
      </w:r>
      <w:r w:rsidR="00982F22">
        <w:rPr>
          <w:rFonts w:asciiTheme="minorHAnsi" w:eastAsia="Calibri" w:hAnsiTheme="minorHAnsi" w:cstheme="minorHAnsi"/>
        </w:rPr>
        <w:t xml:space="preserve">OSHA </w:t>
      </w:r>
      <w:r w:rsidR="009235FE" w:rsidRPr="00BD2EDE">
        <w:rPr>
          <w:rFonts w:asciiTheme="minorHAnsi" w:eastAsia="Calibri" w:hAnsiTheme="minorHAnsi" w:cstheme="minorHAnsi"/>
        </w:rPr>
        <w:t xml:space="preserve">FY 2021 </w:t>
      </w:r>
      <w:r w:rsidR="002C6F06">
        <w:rPr>
          <w:rFonts w:asciiTheme="minorHAnsi" w:eastAsia="Calibri" w:hAnsiTheme="minorHAnsi" w:cstheme="minorHAnsi"/>
        </w:rPr>
        <w:t xml:space="preserve">maximum </w:t>
      </w:r>
      <w:r w:rsidR="009235FE" w:rsidRPr="00BD2EDE">
        <w:rPr>
          <w:rFonts w:asciiTheme="minorHAnsi" w:eastAsia="Calibri" w:hAnsiTheme="minorHAnsi" w:cstheme="minorHAnsi"/>
        </w:rPr>
        <w:t xml:space="preserve">penalties.  </w:t>
      </w:r>
      <w:r w:rsidR="009235FE" w:rsidRPr="00BD2EDE">
        <w:rPr>
          <w:rFonts w:asciiTheme="minorHAnsi" w:hAnsiTheme="minorHAnsi" w:cstheme="minorHAnsi"/>
        </w:rPr>
        <w:t>The statute became effective on May 4, 2022</w:t>
      </w:r>
      <w:r w:rsidR="008F53D7">
        <w:rPr>
          <w:rFonts w:asciiTheme="minorHAnsi" w:hAnsiTheme="minorHAnsi" w:cstheme="minorHAnsi"/>
        </w:rPr>
        <w:t>, but</w:t>
      </w:r>
      <w:r w:rsidR="00BD4941">
        <w:rPr>
          <w:rFonts w:asciiTheme="minorHAnsi" w:hAnsiTheme="minorHAnsi" w:cstheme="minorHAnsi"/>
        </w:rPr>
        <w:t xml:space="preserve"> </w:t>
      </w:r>
      <w:r w:rsidR="00255729">
        <w:rPr>
          <w:rFonts w:asciiTheme="minorHAnsi" w:hAnsiTheme="minorHAnsi" w:cstheme="minorHAnsi"/>
        </w:rPr>
        <w:t>t</w:t>
      </w:r>
      <w:r w:rsidR="00BD4941">
        <w:rPr>
          <w:rFonts w:asciiTheme="minorHAnsi" w:hAnsiTheme="minorHAnsi" w:cstheme="minorHAnsi"/>
        </w:rPr>
        <w:t xml:space="preserve">he Utah </w:t>
      </w:r>
      <w:r w:rsidR="00537FF5">
        <w:rPr>
          <w:rFonts w:asciiTheme="minorHAnsi" w:hAnsiTheme="minorHAnsi" w:cstheme="minorHAnsi"/>
        </w:rPr>
        <w:t xml:space="preserve">legislature </w:t>
      </w:r>
      <w:r w:rsidR="00BD4941">
        <w:rPr>
          <w:rFonts w:asciiTheme="minorHAnsi" w:hAnsiTheme="minorHAnsi" w:cstheme="minorHAnsi"/>
        </w:rPr>
        <w:t>ha</w:t>
      </w:r>
      <w:r w:rsidR="00A64513">
        <w:rPr>
          <w:rFonts w:asciiTheme="minorHAnsi" w:hAnsiTheme="minorHAnsi" w:cstheme="minorHAnsi"/>
        </w:rPr>
        <w:t>s</w:t>
      </w:r>
      <w:r w:rsidR="00BD4941">
        <w:rPr>
          <w:rFonts w:asciiTheme="minorHAnsi" w:hAnsiTheme="minorHAnsi" w:cstheme="minorHAnsi"/>
        </w:rPr>
        <w:t xml:space="preserve"> not increased </w:t>
      </w:r>
      <w:r w:rsidR="002C6F06">
        <w:rPr>
          <w:rFonts w:asciiTheme="minorHAnsi" w:hAnsiTheme="minorHAnsi" w:cstheme="minorHAnsi"/>
        </w:rPr>
        <w:t xml:space="preserve">maximum </w:t>
      </w:r>
      <w:r w:rsidR="00BD4941">
        <w:rPr>
          <w:rFonts w:asciiTheme="minorHAnsi" w:hAnsiTheme="minorHAnsi" w:cstheme="minorHAnsi"/>
        </w:rPr>
        <w:t xml:space="preserve">penalties since the </w:t>
      </w:r>
      <w:r w:rsidR="00440BC7">
        <w:rPr>
          <w:rFonts w:asciiTheme="minorHAnsi" w:hAnsiTheme="minorHAnsi" w:cstheme="minorHAnsi"/>
        </w:rPr>
        <w:t>2022 statute</w:t>
      </w:r>
      <w:r w:rsidR="00BD4941" w:rsidRPr="00484297">
        <w:rPr>
          <w:rFonts w:asciiTheme="minorHAnsi" w:hAnsiTheme="minorHAnsi" w:cstheme="minorHAnsi"/>
        </w:rPr>
        <w:t>.</w:t>
      </w:r>
      <w:r w:rsidR="00484297">
        <w:t xml:space="preserve">  </w:t>
      </w:r>
      <w:r w:rsidR="00B02679">
        <w:t>At</w:t>
      </w:r>
      <w:r w:rsidR="00661206" w:rsidRPr="00484297">
        <w:t xml:space="preserve"> the end of FY 2023</w:t>
      </w:r>
      <w:r w:rsidR="00A150C3">
        <w:t>,</w:t>
      </w:r>
      <w:r w:rsidR="008E335B" w:rsidRPr="00484297">
        <w:t xml:space="preserve"> the</w:t>
      </w:r>
      <w:r w:rsidR="008B36C2" w:rsidRPr="00484297">
        <w:t xml:space="preserve"> State Plan </w:t>
      </w:r>
      <w:r w:rsidR="008E335B" w:rsidRPr="00484297">
        <w:t>increased</w:t>
      </w:r>
      <w:r w:rsidR="008B36C2" w:rsidRPr="00484297">
        <w:t xml:space="preserve"> its baseline for penalty calculation in OIS </w:t>
      </w:r>
      <w:r w:rsidR="008E335B" w:rsidRPr="00484297">
        <w:t>to</w:t>
      </w:r>
      <w:r w:rsidR="008B36C2" w:rsidRPr="00484297">
        <w:t xml:space="preserve"> </w:t>
      </w:r>
      <w:r w:rsidR="00661206" w:rsidRPr="00484297">
        <w:t xml:space="preserve">$7,000 </w:t>
      </w:r>
      <w:r w:rsidR="008B36C2" w:rsidRPr="00484297">
        <w:t xml:space="preserve">for the gravity-based penalty calculation of a serious violation.  </w:t>
      </w:r>
      <w:r w:rsidR="008B36C2" w:rsidRPr="00A935C9">
        <w:t xml:space="preserve">The average serious penalty for FY </w:t>
      </w:r>
      <w:r w:rsidR="008B36C2" w:rsidRPr="00175894">
        <w:t>202</w:t>
      </w:r>
      <w:r w:rsidR="00A935C9" w:rsidRPr="00175894">
        <w:t>4</w:t>
      </w:r>
      <w:r w:rsidR="008B36C2" w:rsidRPr="00175894">
        <w:t xml:space="preserve"> was </w:t>
      </w:r>
      <w:r w:rsidR="00F36AA5" w:rsidRPr="00175894">
        <w:t xml:space="preserve">approximately </w:t>
      </w:r>
      <w:r w:rsidR="008B36C2" w:rsidRPr="00175894">
        <w:t>$</w:t>
      </w:r>
      <w:r w:rsidR="00F36AA5" w:rsidRPr="00175894">
        <w:t>164</w:t>
      </w:r>
      <w:r w:rsidR="008B36C2" w:rsidRPr="00175894">
        <w:t xml:space="preserve"> </w:t>
      </w:r>
      <w:r w:rsidR="00F36AA5" w:rsidRPr="00175894">
        <w:t xml:space="preserve">higher than </w:t>
      </w:r>
      <w:r w:rsidR="00EA7888">
        <w:t xml:space="preserve">that </w:t>
      </w:r>
      <w:r w:rsidR="007A6C48" w:rsidRPr="00175894">
        <w:t>of</w:t>
      </w:r>
      <w:r w:rsidR="00F36AA5" w:rsidRPr="00175894">
        <w:t xml:space="preserve"> </w:t>
      </w:r>
      <w:r w:rsidR="008B36C2" w:rsidRPr="00175894">
        <w:t>FY 202</w:t>
      </w:r>
      <w:r w:rsidR="00A935C9" w:rsidRPr="00175894">
        <w:t>3</w:t>
      </w:r>
      <w:r w:rsidR="008B36C2" w:rsidRPr="00175894">
        <w:t xml:space="preserve"> </w:t>
      </w:r>
      <w:r w:rsidR="00F36AA5" w:rsidRPr="00175894">
        <w:t>and</w:t>
      </w:r>
      <w:r w:rsidR="008B36C2" w:rsidRPr="00175894">
        <w:t xml:space="preserve"> was approximately $</w:t>
      </w:r>
      <w:r w:rsidR="00F36AA5" w:rsidRPr="00175894">
        <w:t>425</w:t>
      </w:r>
      <w:r w:rsidR="008B36C2" w:rsidRPr="00175894">
        <w:t xml:space="preserve"> higher than that of FY 202</w:t>
      </w:r>
      <w:r w:rsidR="00A935C9" w:rsidRPr="00175894">
        <w:t>2</w:t>
      </w:r>
      <w:r w:rsidR="008B36C2" w:rsidRPr="00175894">
        <w:t xml:space="preserve">.  </w:t>
      </w:r>
      <w:r w:rsidR="00F57AB2" w:rsidRPr="00175894">
        <w:t xml:space="preserve">However, </w:t>
      </w:r>
      <w:r w:rsidR="008B36C2" w:rsidRPr="00175894">
        <w:t>UOSH’s average serious penalty of $1,</w:t>
      </w:r>
      <w:r w:rsidR="00F57AB2" w:rsidRPr="00175894">
        <w:t>907.50</w:t>
      </w:r>
      <w:r w:rsidR="008B36C2" w:rsidRPr="00175894">
        <w:t xml:space="preserve"> was </w:t>
      </w:r>
      <w:r w:rsidR="00471153">
        <w:t>$937</w:t>
      </w:r>
      <w:r w:rsidR="00CD64FC">
        <w:t>.86 below the FRL</w:t>
      </w:r>
      <w:r w:rsidR="008B36C2" w:rsidRPr="00175894">
        <w:t xml:space="preserve"> for FY 202</w:t>
      </w:r>
      <w:r w:rsidR="00F57AB2" w:rsidRPr="00175894">
        <w:t>4</w:t>
      </w:r>
      <w:r w:rsidR="008B36C2" w:rsidRPr="00175894">
        <w:t>.  This remains a concern for OSHA and will be monitored during quarterly meetings with UOSH.</w:t>
      </w:r>
    </w:p>
    <w:p w14:paraId="1B5CE542" w14:textId="77777777" w:rsidR="008B36C2" w:rsidRDefault="008B36C2" w:rsidP="008B36C2">
      <w:pPr>
        <w:widowControl/>
        <w:autoSpaceDE/>
        <w:autoSpaceDN/>
        <w:adjustRightInd/>
        <w:rPr>
          <w:rFonts w:cs="Calibri"/>
        </w:rPr>
      </w:pPr>
    </w:p>
    <w:p w14:paraId="5042A8B1" w14:textId="1E381236" w:rsidR="005E7AA9" w:rsidRDefault="005E7AA9" w:rsidP="005E7AA9">
      <w:pPr>
        <w:pStyle w:val="Heading4"/>
      </w:pPr>
      <w:bookmarkStart w:id="30" w:name="_Hlk186545984"/>
      <w:r>
        <w:t>SAMM 9a – Percent in Compliance (Safety)</w:t>
      </w:r>
    </w:p>
    <w:p w14:paraId="1738F0CA" w14:textId="77777777" w:rsidR="005710A4" w:rsidRPr="00314593" w:rsidRDefault="005710A4" w:rsidP="005710A4">
      <w:pPr>
        <w:widowControl/>
        <w:autoSpaceDE/>
        <w:adjustRightInd/>
        <w:rPr>
          <w:rFonts w:cs="Calibri"/>
          <w:b/>
        </w:rPr>
      </w:pPr>
    </w:p>
    <w:p w14:paraId="7E7A39DD" w14:textId="446B4E9C" w:rsidR="005710A4" w:rsidRPr="007324F0" w:rsidRDefault="005710A4" w:rsidP="005710A4">
      <w:pPr>
        <w:widowControl/>
        <w:autoSpaceDE/>
        <w:adjustRightInd/>
        <w:rPr>
          <w:rFonts w:cs="Calibri"/>
          <w:color w:val="0070C0"/>
        </w:rPr>
      </w:pPr>
      <w:r w:rsidRPr="001C1E47">
        <w:rPr>
          <w:rFonts w:cs="Calibri"/>
          <w:u w:val="single"/>
        </w:rPr>
        <w:t xml:space="preserve">Discussion of State Plan </w:t>
      </w:r>
      <w:r>
        <w:rPr>
          <w:rFonts w:cs="Calibri"/>
          <w:u w:val="single"/>
        </w:rPr>
        <w:t>D</w:t>
      </w:r>
      <w:r w:rsidRPr="001C1E47">
        <w:rPr>
          <w:rFonts w:cs="Calibri"/>
          <w:u w:val="single"/>
        </w:rPr>
        <w:t>ata and FRL:</w:t>
      </w:r>
      <w:r w:rsidR="005C2060">
        <w:rPr>
          <w:rFonts w:cs="Calibri"/>
        </w:rPr>
        <w:t xml:space="preserve"> </w:t>
      </w:r>
      <w:r w:rsidR="005C2060">
        <w:t xml:space="preserve">The FRL for the percent in compliance for safety inspections was a range of </w:t>
      </w:r>
      <w:r w:rsidR="00490572" w:rsidRPr="00490572">
        <w:rPr>
          <w:rFonts w:cs="Calibri"/>
        </w:rPr>
        <w:t>26.27% to 39.40%</w:t>
      </w:r>
      <w:r w:rsidR="00490572">
        <w:rPr>
          <w:rFonts w:cs="Calibri"/>
        </w:rPr>
        <w:t>.</w:t>
      </w:r>
      <w:r w:rsidR="00490572" w:rsidRPr="00490572">
        <w:rPr>
          <w:rFonts w:cs="Calibri"/>
        </w:rPr>
        <w:t xml:space="preserve"> </w:t>
      </w:r>
      <w:r w:rsidR="00140EC2">
        <w:rPr>
          <w:rFonts w:cs="Calibri"/>
        </w:rPr>
        <w:t xml:space="preserve"> </w:t>
      </w:r>
      <w:r w:rsidR="005C2060">
        <w:t>The State Plan’s percent in compliance for safety inspections was 42.53%, which was slightly above the FRL but was not a cause for concern.</w:t>
      </w:r>
    </w:p>
    <w:p w14:paraId="320AD43D" w14:textId="77777777" w:rsidR="005710A4" w:rsidRPr="001C1E47" w:rsidRDefault="005710A4" w:rsidP="005710A4">
      <w:pPr>
        <w:widowControl/>
        <w:autoSpaceDE/>
        <w:adjustRightInd/>
        <w:rPr>
          <w:rFonts w:cs="Calibri"/>
        </w:rPr>
      </w:pPr>
    </w:p>
    <w:p w14:paraId="31B654B6" w14:textId="03BE8424" w:rsidR="00146C7C" w:rsidRDefault="005710A4" w:rsidP="00146C7C">
      <w:pPr>
        <w:widowControl/>
        <w:autoSpaceDE/>
        <w:autoSpaceDN/>
        <w:adjustRightInd/>
      </w:pPr>
      <w:r w:rsidRPr="001C1E47">
        <w:rPr>
          <w:rFonts w:cs="Calibri"/>
          <w:u w:val="single"/>
        </w:rPr>
        <w:t>Explanation:</w:t>
      </w:r>
      <w:r w:rsidR="005C2060">
        <w:rPr>
          <w:rFonts w:cs="Calibri"/>
        </w:rPr>
        <w:t xml:space="preserve"> </w:t>
      </w:r>
      <w:bookmarkEnd w:id="30"/>
      <w:r w:rsidR="004C0EB6" w:rsidRPr="00E5734D">
        <w:rPr>
          <w:rFonts w:cs="Calibri"/>
        </w:rPr>
        <w:t xml:space="preserve">The in-compliance percentage </w:t>
      </w:r>
      <w:r w:rsidR="00F1670A">
        <w:rPr>
          <w:rFonts w:cs="Calibri"/>
        </w:rPr>
        <w:t xml:space="preserve">for safety inspections </w:t>
      </w:r>
      <w:r w:rsidR="004C0EB6" w:rsidRPr="00E5734D">
        <w:rPr>
          <w:rFonts w:cs="Calibri"/>
        </w:rPr>
        <w:t xml:space="preserve">was slightly above the FRL.  This was attributed to two factors.  First, </w:t>
      </w:r>
      <w:r w:rsidR="00146C7C">
        <w:rPr>
          <w:rFonts w:cs="Calibri"/>
        </w:rPr>
        <w:t xml:space="preserve">UOSH responded to a significant number of complaints, referrals, and accidents during FY 2024.  </w:t>
      </w:r>
      <w:r w:rsidR="00146C7C" w:rsidRPr="00806C5E">
        <w:t xml:space="preserve">In-compliance inspections derived from complaints (153 of 332, 46.08%) and from accidents (94 of 219, 42.92%) were slightly above the FRL, whereas the in-compliance </w:t>
      </w:r>
      <w:r w:rsidR="009D6053">
        <w:t>percentage</w:t>
      </w:r>
      <w:r w:rsidR="009D6053" w:rsidRPr="00806C5E">
        <w:t xml:space="preserve"> </w:t>
      </w:r>
      <w:r w:rsidR="00146C7C" w:rsidRPr="00806C5E">
        <w:t xml:space="preserve">for referrals (26 of 86, 30.23%) was within the FRL.  </w:t>
      </w:r>
    </w:p>
    <w:p w14:paraId="6E7BFEDD" w14:textId="77777777" w:rsidR="00146C7C" w:rsidRDefault="00146C7C" w:rsidP="004C0EB6">
      <w:pPr>
        <w:widowControl/>
        <w:autoSpaceDE/>
        <w:autoSpaceDN/>
        <w:adjustRightInd/>
        <w:rPr>
          <w:rFonts w:cs="Calibri"/>
        </w:rPr>
      </w:pPr>
    </w:p>
    <w:p w14:paraId="63D17E9B" w14:textId="4F2D32F8" w:rsidR="00D25BE3" w:rsidRDefault="002C44B3" w:rsidP="004C0EB6">
      <w:pPr>
        <w:widowControl/>
        <w:autoSpaceDE/>
        <w:autoSpaceDN/>
        <w:adjustRightInd/>
        <w:rPr>
          <w:rFonts w:cs="Calibri"/>
        </w:rPr>
      </w:pPr>
      <w:r>
        <w:rPr>
          <w:rFonts w:cs="Calibri"/>
        </w:rPr>
        <w:t xml:space="preserve">Also, as </w:t>
      </w:r>
      <w:r w:rsidR="00D924DC">
        <w:rPr>
          <w:rFonts w:cs="Calibri"/>
        </w:rPr>
        <w:t>stated earlier, UOSH</w:t>
      </w:r>
      <w:r w:rsidR="004C0EB6" w:rsidRPr="00E5734D">
        <w:rPr>
          <w:rFonts w:cs="Calibri"/>
        </w:rPr>
        <w:t xml:space="preserve"> had high staff turnover and a low number of experienced staff during FY 2024.  </w:t>
      </w:r>
      <w:r w:rsidR="00F94B4B">
        <w:rPr>
          <w:rFonts w:cs="Calibri"/>
        </w:rPr>
        <w:t>In particular</w:t>
      </w:r>
      <w:r w:rsidR="00C21EF0">
        <w:rPr>
          <w:rFonts w:cs="Calibri"/>
        </w:rPr>
        <w:t xml:space="preserve">, </w:t>
      </w:r>
      <w:r w:rsidR="00800BCA">
        <w:rPr>
          <w:rFonts w:cs="Calibri"/>
        </w:rPr>
        <w:t xml:space="preserve">the turnover of </w:t>
      </w:r>
      <w:r w:rsidR="00C21EF0">
        <w:rPr>
          <w:rFonts w:cs="Calibri"/>
        </w:rPr>
        <w:t>health compliance officers</w:t>
      </w:r>
      <w:r w:rsidR="00AE25DC">
        <w:rPr>
          <w:rFonts w:cs="Calibri"/>
        </w:rPr>
        <w:t>, who also performed safety inspections,</w:t>
      </w:r>
      <w:r w:rsidR="00800BCA">
        <w:rPr>
          <w:rFonts w:cs="Calibri"/>
        </w:rPr>
        <w:t xml:space="preserve"> resulted in far fewer experienced </w:t>
      </w:r>
      <w:r w:rsidR="00AE25DC">
        <w:rPr>
          <w:rFonts w:cs="Calibri"/>
        </w:rPr>
        <w:t>compliance officers</w:t>
      </w:r>
      <w:r w:rsidR="00800BCA">
        <w:rPr>
          <w:rFonts w:cs="Calibri"/>
        </w:rPr>
        <w:t xml:space="preserve">.  </w:t>
      </w:r>
      <w:r w:rsidR="00AA67F0">
        <w:rPr>
          <w:rFonts w:cs="Calibri"/>
        </w:rPr>
        <w:t>As new CSHOs gain experience, their ability to recognize hazards</w:t>
      </w:r>
      <w:r w:rsidR="00941B11">
        <w:rPr>
          <w:rFonts w:cs="Calibri"/>
        </w:rPr>
        <w:t xml:space="preserve"> will increase.  </w:t>
      </w:r>
      <w:r w:rsidR="00CD7CA6" w:rsidRPr="00B51573">
        <w:t xml:space="preserve">An observation is not justified </w:t>
      </w:r>
      <w:proofErr w:type="gramStart"/>
      <w:r w:rsidR="00CD7CA6" w:rsidRPr="00B51573">
        <w:t>at this time</w:t>
      </w:r>
      <w:proofErr w:type="gramEnd"/>
      <w:r w:rsidR="00CD7CA6" w:rsidRPr="00B51573">
        <w:t>.</w:t>
      </w:r>
    </w:p>
    <w:p w14:paraId="7ABE8ADC" w14:textId="77777777" w:rsidR="004C0EB6" w:rsidRDefault="004C0EB6" w:rsidP="004C0EB6">
      <w:pPr>
        <w:widowControl/>
        <w:autoSpaceDE/>
        <w:autoSpaceDN/>
        <w:adjustRightInd/>
        <w:rPr>
          <w:rFonts w:cs="Calibri"/>
        </w:rPr>
      </w:pPr>
    </w:p>
    <w:p w14:paraId="000A5763" w14:textId="77777777" w:rsidR="00047750" w:rsidRDefault="00047750" w:rsidP="004C0EB6">
      <w:pPr>
        <w:widowControl/>
        <w:autoSpaceDE/>
        <w:autoSpaceDN/>
        <w:adjustRightInd/>
        <w:rPr>
          <w:rFonts w:cs="Calibri"/>
        </w:rPr>
      </w:pPr>
    </w:p>
    <w:p w14:paraId="4CCA9864" w14:textId="7CF82C12" w:rsidR="005E7AA9" w:rsidRDefault="005E7AA9" w:rsidP="005E7AA9">
      <w:pPr>
        <w:pStyle w:val="Heading4"/>
      </w:pPr>
      <w:r>
        <w:lastRenderedPageBreak/>
        <w:t>SAMM 9b – Percent in Compliance (Health)</w:t>
      </w:r>
    </w:p>
    <w:p w14:paraId="13450A0D" w14:textId="77777777" w:rsidR="005E7AA9" w:rsidRPr="00314593" w:rsidRDefault="005E7AA9" w:rsidP="005E7AA9">
      <w:pPr>
        <w:widowControl/>
        <w:autoSpaceDE/>
        <w:adjustRightInd/>
        <w:rPr>
          <w:rFonts w:cs="Calibri"/>
          <w:b/>
        </w:rPr>
      </w:pPr>
    </w:p>
    <w:p w14:paraId="5A9F4068" w14:textId="68FE1FA4" w:rsidR="005E7AA9" w:rsidRPr="007324F0" w:rsidRDefault="005E7AA9" w:rsidP="005E7AA9">
      <w:pPr>
        <w:widowControl/>
        <w:autoSpaceDE/>
        <w:adjustRightInd/>
        <w:rPr>
          <w:rFonts w:cs="Calibri"/>
          <w:color w:val="0070C0"/>
        </w:rPr>
      </w:pPr>
      <w:r w:rsidRPr="001C1E47">
        <w:rPr>
          <w:rFonts w:cs="Calibri"/>
          <w:u w:val="single"/>
        </w:rPr>
        <w:t xml:space="preserve">Discussion of State Plan </w:t>
      </w:r>
      <w:r>
        <w:rPr>
          <w:rFonts w:cs="Calibri"/>
          <w:u w:val="single"/>
        </w:rPr>
        <w:t>D</w:t>
      </w:r>
      <w:r w:rsidRPr="001C1E47">
        <w:rPr>
          <w:rFonts w:cs="Calibri"/>
          <w:u w:val="single"/>
        </w:rPr>
        <w:t>ata and FRL:</w:t>
      </w:r>
      <w:r w:rsidR="007B4463">
        <w:rPr>
          <w:rFonts w:cs="Calibri"/>
        </w:rPr>
        <w:t xml:space="preserve"> </w:t>
      </w:r>
      <w:r w:rsidR="005C62DC">
        <w:t xml:space="preserve">The FRL for the percent in compliance for health inspections was a range of </w:t>
      </w:r>
      <w:r w:rsidR="0098444E" w:rsidRPr="0098444E">
        <w:rPr>
          <w:rFonts w:cs="Calibri"/>
        </w:rPr>
        <w:t>35.34% to 53.01%</w:t>
      </w:r>
      <w:r w:rsidR="0098444E">
        <w:rPr>
          <w:rFonts w:cs="Calibri"/>
        </w:rPr>
        <w:t xml:space="preserve">. </w:t>
      </w:r>
      <w:r w:rsidR="0098444E" w:rsidRPr="0098444E">
        <w:rPr>
          <w:rFonts w:cs="Calibri"/>
        </w:rPr>
        <w:t xml:space="preserve"> </w:t>
      </w:r>
      <w:r w:rsidR="005C62DC">
        <w:t>The State Plan’s percent in compliance for health inspections was 5</w:t>
      </w:r>
      <w:r w:rsidR="00DE54F8">
        <w:t>3</w:t>
      </w:r>
      <w:r w:rsidR="005C62DC">
        <w:t>.</w:t>
      </w:r>
      <w:r w:rsidR="00DE54F8">
        <w:t>72</w:t>
      </w:r>
      <w:r w:rsidR="005C62DC">
        <w:t>%, which was slightly above the FRL but was not a cause for concern.</w:t>
      </w:r>
    </w:p>
    <w:p w14:paraId="2A76ABA7" w14:textId="77777777" w:rsidR="005E7AA9" w:rsidRPr="001C1E47" w:rsidRDefault="005E7AA9" w:rsidP="005E7AA9">
      <w:pPr>
        <w:widowControl/>
        <w:autoSpaceDE/>
        <w:adjustRightInd/>
        <w:rPr>
          <w:rFonts w:cs="Calibri"/>
        </w:rPr>
      </w:pPr>
    </w:p>
    <w:p w14:paraId="75F57D87" w14:textId="29FC5906" w:rsidR="0056408A" w:rsidRDefault="005E7AA9" w:rsidP="00E155B1">
      <w:pPr>
        <w:widowControl/>
        <w:autoSpaceDE/>
        <w:autoSpaceDN/>
        <w:adjustRightInd/>
        <w:rPr>
          <w:rFonts w:cs="Calibri"/>
        </w:rPr>
      </w:pPr>
      <w:r w:rsidRPr="001C1E47">
        <w:rPr>
          <w:rFonts w:cs="Calibri"/>
          <w:u w:val="single"/>
        </w:rPr>
        <w:t>Explanation:</w:t>
      </w:r>
      <w:r w:rsidR="004C0EB6">
        <w:rPr>
          <w:rFonts w:cs="Calibri"/>
        </w:rPr>
        <w:t xml:space="preserve"> </w:t>
      </w:r>
      <w:r w:rsidRPr="007F424C">
        <w:rPr>
          <w:rFonts w:cs="Calibri"/>
        </w:rPr>
        <w:t xml:space="preserve">The in-compliance </w:t>
      </w:r>
      <w:r w:rsidR="00A50823" w:rsidRPr="007F424C">
        <w:rPr>
          <w:rFonts w:cs="Calibri"/>
        </w:rPr>
        <w:t>percentage was slightly above the FRL</w:t>
      </w:r>
      <w:r w:rsidRPr="007F424C">
        <w:rPr>
          <w:rFonts w:cs="Calibri"/>
        </w:rPr>
        <w:t xml:space="preserve"> for health </w:t>
      </w:r>
      <w:r w:rsidR="00A50823" w:rsidRPr="007F424C">
        <w:rPr>
          <w:rFonts w:cs="Calibri"/>
        </w:rPr>
        <w:t xml:space="preserve">inspections.  </w:t>
      </w:r>
      <w:r w:rsidR="00C64526">
        <w:rPr>
          <w:rFonts w:cs="Calibri"/>
        </w:rPr>
        <w:t>UOSH</w:t>
      </w:r>
      <w:r w:rsidR="004E43D9">
        <w:rPr>
          <w:rFonts w:cs="Calibri"/>
        </w:rPr>
        <w:t>’s</w:t>
      </w:r>
      <w:r w:rsidRPr="007F424C">
        <w:rPr>
          <w:rFonts w:cs="Calibri"/>
        </w:rPr>
        <w:t xml:space="preserve"> high </w:t>
      </w:r>
      <w:r w:rsidR="007854C6">
        <w:rPr>
          <w:rFonts w:cs="Calibri"/>
        </w:rPr>
        <w:t xml:space="preserve">turnover among </w:t>
      </w:r>
      <w:r w:rsidR="00B61F1A">
        <w:rPr>
          <w:rFonts w:cs="Calibri"/>
        </w:rPr>
        <w:t>health compliance officer</w:t>
      </w:r>
      <w:r w:rsidR="007854C6">
        <w:rPr>
          <w:rFonts w:cs="Calibri"/>
        </w:rPr>
        <w:t>s</w:t>
      </w:r>
      <w:r w:rsidR="004E43D9">
        <w:rPr>
          <w:rFonts w:cs="Calibri"/>
        </w:rPr>
        <w:t xml:space="preserve"> resulted in</w:t>
      </w:r>
      <w:r w:rsidRPr="007F424C">
        <w:rPr>
          <w:rFonts w:cs="Calibri"/>
        </w:rPr>
        <w:t xml:space="preserve"> a low number of experienced staff</w:t>
      </w:r>
      <w:r w:rsidR="00A50823" w:rsidRPr="007F424C">
        <w:rPr>
          <w:rFonts w:cs="Calibri"/>
        </w:rPr>
        <w:t xml:space="preserve"> during FY 2024</w:t>
      </w:r>
      <w:r w:rsidRPr="007F424C">
        <w:rPr>
          <w:rFonts w:cs="Calibri"/>
        </w:rPr>
        <w:t xml:space="preserve">.  </w:t>
      </w:r>
      <w:r w:rsidR="001E4453">
        <w:rPr>
          <w:rFonts w:cs="Calibri"/>
        </w:rPr>
        <w:t>Still, a</w:t>
      </w:r>
      <w:r w:rsidR="00C90DFF" w:rsidRPr="007F424C">
        <w:rPr>
          <w:rFonts w:cs="Calibri"/>
        </w:rPr>
        <w:t xml:space="preserve">s </w:t>
      </w:r>
      <w:r w:rsidR="00120A78">
        <w:rPr>
          <w:rFonts w:cs="Calibri"/>
        </w:rPr>
        <w:t>health compliance officers</w:t>
      </w:r>
      <w:r w:rsidR="00C90DFF" w:rsidRPr="007F424C">
        <w:rPr>
          <w:rFonts w:cs="Calibri"/>
        </w:rPr>
        <w:t xml:space="preserve"> gained experience during FY 2024, the in-compliance percentage </w:t>
      </w:r>
      <w:r w:rsidR="006351F1" w:rsidRPr="007F424C">
        <w:rPr>
          <w:rFonts w:cs="Calibri"/>
        </w:rPr>
        <w:t xml:space="preserve">was reduced from the 57.78% in-compliance percentage </w:t>
      </w:r>
      <w:r w:rsidR="00254776">
        <w:rPr>
          <w:rFonts w:cs="Calibri"/>
        </w:rPr>
        <w:t>of</w:t>
      </w:r>
      <w:r w:rsidR="00254776" w:rsidRPr="007F424C">
        <w:rPr>
          <w:rFonts w:cs="Calibri"/>
        </w:rPr>
        <w:t xml:space="preserve"> </w:t>
      </w:r>
      <w:r w:rsidR="006351F1" w:rsidRPr="007F424C">
        <w:rPr>
          <w:rFonts w:cs="Calibri"/>
        </w:rPr>
        <w:t xml:space="preserve">FY 2023.  </w:t>
      </w:r>
      <w:bookmarkStart w:id="31" w:name="OLE_LINK1"/>
      <w:r w:rsidR="001E4453">
        <w:rPr>
          <w:rFonts w:cs="Calibri"/>
        </w:rPr>
        <w:t xml:space="preserve">An observation is not warranted </w:t>
      </w:r>
      <w:proofErr w:type="gramStart"/>
      <w:r w:rsidR="001E4453">
        <w:rPr>
          <w:rFonts w:cs="Calibri"/>
        </w:rPr>
        <w:t>at this time</w:t>
      </w:r>
      <w:proofErr w:type="gramEnd"/>
      <w:r w:rsidR="001E4453">
        <w:rPr>
          <w:rFonts w:cs="Calibri"/>
        </w:rPr>
        <w:t>.</w:t>
      </w:r>
    </w:p>
    <w:p w14:paraId="4C6151EC" w14:textId="77777777" w:rsidR="000D0B15" w:rsidRDefault="000D0B15" w:rsidP="00E155B1">
      <w:pPr>
        <w:widowControl/>
        <w:autoSpaceDE/>
        <w:autoSpaceDN/>
        <w:adjustRightInd/>
        <w:rPr>
          <w:rFonts w:cs="Calibri"/>
        </w:rPr>
      </w:pPr>
    </w:p>
    <w:p w14:paraId="379F5C82" w14:textId="77777777" w:rsidR="00311EEC" w:rsidRPr="00311EEC" w:rsidRDefault="00311EEC" w:rsidP="00311EEC">
      <w:pPr>
        <w:widowControl/>
        <w:autoSpaceDE/>
        <w:autoSpaceDN/>
        <w:adjustRightInd/>
        <w:rPr>
          <w:rFonts w:cs="Calibri"/>
          <w:b/>
          <w:iCs/>
        </w:rPr>
      </w:pPr>
      <w:r w:rsidRPr="00311EEC">
        <w:rPr>
          <w:rFonts w:cs="Calibri"/>
          <w:b/>
          <w:iCs/>
        </w:rPr>
        <w:t>SAMM 11a – Average Lapse Time (Safety)</w:t>
      </w:r>
    </w:p>
    <w:p w14:paraId="77ACA74A" w14:textId="77777777" w:rsidR="00311EEC" w:rsidRPr="00311EEC" w:rsidRDefault="00311EEC" w:rsidP="00311EEC">
      <w:pPr>
        <w:widowControl/>
        <w:autoSpaceDE/>
        <w:autoSpaceDN/>
        <w:adjustRightInd/>
        <w:rPr>
          <w:rFonts w:cs="Calibri"/>
          <w:b/>
        </w:rPr>
      </w:pPr>
    </w:p>
    <w:p w14:paraId="359AA756" w14:textId="58D25EFE" w:rsidR="00311EEC" w:rsidRPr="00311EEC" w:rsidRDefault="00311EEC" w:rsidP="00311EEC">
      <w:pPr>
        <w:widowControl/>
        <w:autoSpaceDE/>
        <w:autoSpaceDN/>
        <w:adjustRightInd/>
        <w:rPr>
          <w:rFonts w:cs="Calibri"/>
        </w:rPr>
      </w:pPr>
      <w:r w:rsidRPr="00311EEC">
        <w:rPr>
          <w:rFonts w:cs="Calibri"/>
          <w:u w:val="single"/>
        </w:rPr>
        <w:t>Discussion of State Plan Data and FRL:</w:t>
      </w:r>
      <w:r w:rsidRPr="00311EEC">
        <w:rPr>
          <w:rFonts w:cs="Calibri"/>
        </w:rPr>
        <w:t xml:space="preserve"> The FRL for the average lapse time for safety inspections was a range of 44.82 to 67.23 days.  The State Plan’s average lapse time for safety inspections was 28.08 days, which was substantially below the FRL.</w:t>
      </w:r>
    </w:p>
    <w:p w14:paraId="091265FD" w14:textId="77777777" w:rsidR="00311EEC" w:rsidRPr="00311EEC" w:rsidRDefault="00311EEC" w:rsidP="00311EEC">
      <w:pPr>
        <w:widowControl/>
        <w:autoSpaceDE/>
        <w:autoSpaceDN/>
        <w:adjustRightInd/>
        <w:rPr>
          <w:rFonts w:cs="Calibri"/>
        </w:rPr>
      </w:pPr>
    </w:p>
    <w:p w14:paraId="21DF42ED" w14:textId="6381712D" w:rsidR="00311EEC" w:rsidRPr="00311EEC" w:rsidRDefault="00311EEC" w:rsidP="00311EEC">
      <w:pPr>
        <w:widowControl/>
        <w:autoSpaceDE/>
        <w:autoSpaceDN/>
        <w:adjustRightInd/>
        <w:rPr>
          <w:rFonts w:cs="Calibri"/>
        </w:rPr>
      </w:pPr>
      <w:r w:rsidRPr="00311EEC">
        <w:rPr>
          <w:rFonts w:cs="Calibri"/>
          <w:u w:val="single"/>
        </w:rPr>
        <w:t>Explanation:</w:t>
      </w:r>
      <w:r w:rsidRPr="00311EEC">
        <w:rPr>
          <w:rFonts w:cs="Calibri"/>
        </w:rPr>
        <w:t xml:space="preserve"> The average lapse time for safety inspections increased by three days from FY 2023, but it remained significantly lower than the FRL.  UOSH’s low lapse time for safety inspections indicates that the State Plan managed its inventory of open cases by performing inspection activity and processing citations in a timely manner.  This was driven by the governor’s Success Management Information System (SMIS) which set as a benchmark that citations were issued within 45 days and that inspections without citations were closed within 45 days.  UOSH’s electronic case file process also contributed to this success.  </w:t>
      </w:r>
    </w:p>
    <w:p w14:paraId="0D17316D" w14:textId="77777777" w:rsidR="00311EEC" w:rsidRPr="00311EEC" w:rsidRDefault="00311EEC" w:rsidP="00311EEC">
      <w:pPr>
        <w:widowControl/>
        <w:autoSpaceDE/>
        <w:autoSpaceDN/>
        <w:adjustRightInd/>
        <w:rPr>
          <w:rFonts w:cs="Calibri"/>
        </w:rPr>
      </w:pPr>
    </w:p>
    <w:p w14:paraId="4DCFE655" w14:textId="77777777" w:rsidR="00311EEC" w:rsidRPr="00311EEC" w:rsidRDefault="00311EEC" w:rsidP="00311EEC">
      <w:pPr>
        <w:widowControl/>
        <w:autoSpaceDE/>
        <w:autoSpaceDN/>
        <w:adjustRightInd/>
        <w:rPr>
          <w:rFonts w:cs="Calibri"/>
          <w:b/>
          <w:iCs/>
        </w:rPr>
      </w:pPr>
      <w:r w:rsidRPr="00311EEC">
        <w:rPr>
          <w:rFonts w:cs="Calibri"/>
          <w:b/>
          <w:iCs/>
        </w:rPr>
        <w:t>SAMM 11b – Average Lapse Time (Health)</w:t>
      </w:r>
    </w:p>
    <w:p w14:paraId="3BC42C83" w14:textId="77777777" w:rsidR="00311EEC" w:rsidRPr="00311EEC" w:rsidRDefault="00311EEC" w:rsidP="00311EEC">
      <w:pPr>
        <w:widowControl/>
        <w:autoSpaceDE/>
        <w:autoSpaceDN/>
        <w:adjustRightInd/>
        <w:rPr>
          <w:rFonts w:cs="Calibri"/>
          <w:b/>
          <w:iCs/>
        </w:rPr>
      </w:pPr>
    </w:p>
    <w:p w14:paraId="6FEC6B10" w14:textId="485CCC94" w:rsidR="00311EEC" w:rsidRPr="00311EEC" w:rsidRDefault="00311EEC" w:rsidP="00311EEC">
      <w:pPr>
        <w:widowControl/>
        <w:autoSpaceDE/>
        <w:autoSpaceDN/>
        <w:adjustRightInd/>
        <w:rPr>
          <w:rFonts w:cs="Calibri"/>
        </w:rPr>
      </w:pPr>
      <w:r w:rsidRPr="00311EEC">
        <w:rPr>
          <w:rFonts w:cs="Calibri"/>
          <w:u w:val="single"/>
        </w:rPr>
        <w:t>Discussion of State Plan Data and FRL:</w:t>
      </w:r>
      <w:r w:rsidRPr="00311EEC">
        <w:rPr>
          <w:rFonts w:cs="Calibri"/>
        </w:rPr>
        <w:t xml:space="preserve"> The FRL for the average lapse time for health inspections was a range of 53.77 to 80.65 days.  The State Plan’s average lapse time for health inspections was 30.30 days, which was far below the FRL.</w:t>
      </w:r>
    </w:p>
    <w:p w14:paraId="5BD43DF8" w14:textId="77777777" w:rsidR="00311EEC" w:rsidRPr="00311EEC" w:rsidRDefault="00311EEC" w:rsidP="00311EEC">
      <w:pPr>
        <w:widowControl/>
        <w:autoSpaceDE/>
        <w:autoSpaceDN/>
        <w:adjustRightInd/>
        <w:rPr>
          <w:rFonts w:cs="Calibri"/>
        </w:rPr>
      </w:pPr>
    </w:p>
    <w:p w14:paraId="785A485A" w14:textId="1C0063C3" w:rsidR="00311EEC" w:rsidRPr="00311EEC" w:rsidRDefault="00311EEC" w:rsidP="00311EEC">
      <w:pPr>
        <w:widowControl/>
        <w:autoSpaceDE/>
        <w:autoSpaceDN/>
        <w:adjustRightInd/>
        <w:rPr>
          <w:rFonts w:cs="Calibri"/>
        </w:rPr>
      </w:pPr>
      <w:r w:rsidRPr="00311EEC">
        <w:rPr>
          <w:rFonts w:cs="Calibri"/>
          <w:u w:val="single"/>
        </w:rPr>
        <w:t>Explanation:</w:t>
      </w:r>
      <w:r w:rsidRPr="00311EEC">
        <w:rPr>
          <w:rFonts w:cs="Calibri"/>
        </w:rPr>
        <w:t xml:space="preserve"> The health inspection average lapse time has been approximately the same for the past three years and remained significantly lower than the FRL in FY 2024.  As with the low average lapse time for safety inspections, UOSH’s low average lapse time for health inspections reflects the State Plan’s ability to promptly conduct inspections and process citations.  Again, both the use of electronic case files and the governor’s SMIS were contributing factors.</w:t>
      </w:r>
    </w:p>
    <w:p w14:paraId="3A96AF2A" w14:textId="77777777" w:rsidR="00311EEC" w:rsidRPr="00311EEC" w:rsidRDefault="00311EEC" w:rsidP="00311EEC">
      <w:pPr>
        <w:widowControl/>
        <w:autoSpaceDE/>
        <w:autoSpaceDN/>
        <w:adjustRightInd/>
        <w:rPr>
          <w:rFonts w:cs="Calibri"/>
        </w:rPr>
      </w:pPr>
    </w:p>
    <w:p w14:paraId="58A2F0A7" w14:textId="41CAAB82" w:rsidR="000D0B15" w:rsidRDefault="00311EEC" w:rsidP="00311EEC">
      <w:pPr>
        <w:widowControl/>
        <w:autoSpaceDE/>
        <w:autoSpaceDN/>
        <w:adjustRightInd/>
        <w:rPr>
          <w:rFonts w:cs="Calibri"/>
        </w:rPr>
      </w:pPr>
      <w:r w:rsidRPr="00311EEC">
        <w:rPr>
          <w:rFonts w:cs="Calibri"/>
        </w:rPr>
        <w:t xml:space="preserve">It should also be noted that </w:t>
      </w:r>
      <w:r w:rsidRPr="003910FD">
        <w:rPr>
          <w:rFonts w:cs="Calibri"/>
        </w:rPr>
        <w:t>UOSH performed sampling at 62 of the 127 (48.82%) health inspections opened.  Traditional air sampling, which inherently causes a long lapse time due to field work and lab analysis, was found in 32 of 62 (51.61%) inspections (including respirable crystalline silica (11), particulates not otherwise regulated (nine), formaldehyde (three)</w:t>
      </w:r>
      <w:r w:rsidRPr="00311EEC">
        <w:rPr>
          <w:rFonts w:cs="Calibri"/>
        </w:rPr>
        <w:t>,</w:t>
      </w:r>
      <w:r w:rsidRPr="003910FD">
        <w:rPr>
          <w:rFonts w:cs="Calibri"/>
        </w:rPr>
        <w:t xml:space="preserve"> and oil mist (two)) while asbestos bulk sampling was done for two inspections.  Short turnaround </w:t>
      </w:r>
      <w:r w:rsidRPr="00311EEC">
        <w:rPr>
          <w:rFonts w:cs="Calibri"/>
        </w:rPr>
        <w:t xml:space="preserve">for </w:t>
      </w:r>
      <w:r w:rsidRPr="003910FD">
        <w:rPr>
          <w:rFonts w:cs="Calibri"/>
        </w:rPr>
        <w:t xml:space="preserve">industrial hygiene evaluations, such as noise monitoring (five), heat stress measurement (eight), </w:t>
      </w:r>
      <w:r w:rsidRPr="003910FD">
        <w:rPr>
          <w:rFonts w:cs="Calibri"/>
        </w:rPr>
        <w:lastRenderedPageBreak/>
        <w:t xml:space="preserve">and direct reading instrument analysis (13) were a minority of sampling conducted.  </w:t>
      </w:r>
      <w:r w:rsidRPr="00311EEC">
        <w:rPr>
          <w:rFonts w:cs="Calibri"/>
        </w:rPr>
        <w:t>The quick turnaround of lab analyses, typically less than two weeks, resulted in a low average lapse time for health inspections.</w:t>
      </w:r>
    </w:p>
    <w:p w14:paraId="0057F4A4" w14:textId="77777777" w:rsidR="0056408A" w:rsidRDefault="0056408A" w:rsidP="00E155B1">
      <w:pPr>
        <w:widowControl/>
        <w:autoSpaceDE/>
        <w:autoSpaceDN/>
        <w:adjustRightInd/>
        <w:rPr>
          <w:rFonts w:cs="Calibri"/>
        </w:rPr>
      </w:pPr>
    </w:p>
    <w:bookmarkEnd w:id="31"/>
    <w:p w14:paraId="113AB83C" w14:textId="6CFCE365" w:rsidR="00001001" w:rsidRDefault="00001001" w:rsidP="00001001">
      <w:pPr>
        <w:widowControl/>
        <w:rPr>
          <w:rFonts w:eastAsia="Calibri" w:cs="Calibri"/>
        </w:rPr>
      </w:pPr>
      <w:r w:rsidRPr="003C511A">
        <w:rPr>
          <w:rFonts w:eastAsia="Calibri" w:cs="Calibri"/>
        </w:rPr>
        <w:t xml:space="preserve"> </w:t>
      </w:r>
    </w:p>
    <w:p w14:paraId="662D83FA" w14:textId="77777777" w:rsidR="00FD7183" w:rsidRDefault="00FD7183" w:rsidP="00001001">
      <w:pPr>
        <w:widowControl/>
        <w:rPr>
          <w:rFonts w:eastAsia="Calibri" w:cs="Calibri"/>
        </w:rPr>
      </w:pPr>
    </w:p>
    <w:p w14:paraId="636E3DC4" w14:textId="77777777" w:rsidR="00FD7183" w:rsidRDefault="00FD7183" w:rsidP="00001001">
      <w:pPr>
        <w:widowControl/>
        <w:rPr>
          <w:rFonts w:eastAsia="Calibri" w:cs="Calibri"/>
        </w:rPr>
      </w:pPr>
    </w:p>
    <w:p w14:paraId="60B6857E" w14:textId="77777777" w:rsidR="00FD7183" w:rsidRDefault="00FD7183" w:rsidP="00001001">
      <w:pPr>
        <w:widowControl/>
        <w:rPr>
          <w:rFonts w:eastAsia="Calibri" w:cs="Calibri"/>
        </w:rPr>
      </w:pPr>
    </w:p>
    <w:p w14:paraId="25E01B7E" w14:textId="0C515353" w:rsidR="00FD7183" w:rsidRPr="00001001" w:rsidRDefault="00FD7183" w:rsidP="00001001">
      <w:pPr>
        <w:widowControl/>
        <w:rPr>
          <w:rFonts w:eastAsia="Calibri" w:cs="Calibri"/>
          <w:i/>
        </w:rPr>
        <w:sectPr w:rsidR="00FD7183" w:rsidRPr="00001001" w:rsidSect="00001001">
          <w:footerReference w:type="default" r:id="rId10"/>
          <w:footerReference w:type="first" r:id="rId11"/>
          <w:pgSz w:w="12240" w:h="15840"/>
          <w:pgMar w:top="1440" w:right="1260" w:bottom="1260" w:left="1440" w:header="720" w:footer="526" w:gutter="0"/>
          <w:pgNumType w:start="1"/>
          <w:cols w:space="720"/>
          <w:titlePg/>
        </w:sectPr>
      </w:pPr>
    </w:p>
    <w:p w14:paraId="516D3ECD" w14:textId="77777777" w:rsidR="00B6741C" w:rsidRPr="0002572C" w:rsidRDefault="00B6741C" w:rsidP="001D45C8">
      <w:pPr>
        <w:pStyle w:val="Heading3"/>
        <w:numPr>
          <w:ilvl w:val="0"/>
          <w:numId w:val="0"/>
        </w:numPr>
      </w:pPr>
      <w:bookmarkStart w:id="32" w:name="_Toc118905017"/>
      <w:bookmarkStart w:id="33" w:name="_Toc119418669"/>
      <w:r w:rsidRPr="0002572C">
        <w:lastRenderedPageBreak/>
        <w:t>Appendix A – New and Continued Findings and Recommendations</w:t>
      </w:r>
      <w:bookmarkEnd w:id="32"/>
      <w:bookmarkEnd w:id="33"/>
    </w:p>
    <w:p w14:paraId="670F195C" w14:textId="4C22E322" w:rsidR="00B6741C" w:rsidRDefault="00B6741C" w:rsidP="00B6741C">
      <w:r>
        <w:t xml:space="preserve">FY </w:t>
      </w:r>
      <w:r w:rsidRPr="00711266">
        <w:t>20</w:t>
      </w:r>
      <w:r w:rsidR="008E5AD9" w:rsidRPr="00711266">
        <w:t>24</w:t>
      </w:r>
      <w:r w:rsidRPr="00711266">
        <w:t xml:space="preserve"> </w:t>
      </w:r>
      <w:r w:rsidR="00711266" w:rsidRPr="00711266">
        <w:t>UOSH</w:t>
      </w:r>
      <w:r w:rsidRPr="00711266">
        <w:t xml:space="preserve"> Follow</w:t>
      </w:r>
      <w:r>
        <w:t>-up FAME Report</w:t>
      </w:r>
    </w:p>
    <w:p w14:paraId="77980CE2" w14:textId="77777777" w:rsidR="000A134A" w:rsidRPr="001C1E47" w:rsidRDefault="000A134A" w:rsidP="007A71AC">
      <w:pPr>
        <w:widowControl/>
        <w:tabs>
          <w:tab w:val="left" w:pos="3630"/>
        </w:tabs>
        <w:autoSpaceDE/>
        <w:autoSpaceDN/>
        <w:adjustRightInd/>
        <w:rPr>
          <w:rFonts w:cs="Calibri"/>
        </w:rPr>
      </w:pPr>
    </w:p>
    <w:tbl>
      <w:tblPr>
        <w:tblStyle w:val="TableGridLight"/>
        <w:tblW w:w="12870" w:type="dxa"/>
        <w:tblLook w:val="01E0" w:firstRow="1" w:lastRow="1" w:firstColumn="1" w:lastColumn="1" w:noHBand="0" w:noVBand="0"/>
      </w:tblPr>
      <w:tblGrid>
        <w:gridCol w:w="1440"/>
        <w:gridCol w:w="4721"/>
        <w:gridCol w:w="4819"/>
        <w:gridCol w:w="1890"/>
      </w:tblGrid>
      <w:tr w:rsidR="00185C7D" w:rsidRPr="001C1E47" w14:paraId="0F6BB42C" w14:textId="77777777" w:rsidTr="00185C7D">
        <w:trPr>
          <w:trHeight w:val="350"/>
        </w:trPr>
        <w:tc>
          <w:tcPr>
            <w:tcW w:w="1440" w:type="dxa"/>
          </w:tcPr>
          <w:p w14:paraId="1F333F67" w14:textId="164C29DF" w:rsidR="000A134A" w:rsidRPr="001C1E47" w:rsidRDefault="000A134A" w:rsidP="007A71AC">
            <w:pPr>
              <w:widowControl/>
              <w:autoSpaceDE/>
              <w:autoSpaceDN/>
              <w:adjustRightInd/>
              <w:jc w:val="center"/>
              <w:rPr>
                <w:rFonts w:cs="Calibri"/>
                <w:b/>
              </w:rPr>
            </w:pPr>
            <w:r w:rsidRPr="001C1E47">
              <w:rPr>
                <w:rFonts w:cs="Calibri"/>
                <w:b/>
              </w:rPr>
              <w:t xml:space="preserve">FY </w:t>
            </w:r>
            <w:r w:rsidR="00DC4A62" w:rsidRPr="001C1E47">
              <w:rPr>
                <w:rFonts w:cs="Calibri"/>
                <w:b/>
              </w:rPr>
              <w:t>20</w:t>
            </w:r>
            <w:r w:rsidR="00EC5358">
              <w:rPr>
                <w:rFonts w:cs="Calibri"/>
                <w:b/>
              </w:rPr>
              <w:t>24</w:t>
            </w:r>
            <w:r w:rsidRPr="001C1E47">
              <w:rPr>
                <w:rFonts w:cs="Calibri"/>
                <w:b/>
              </w:rPr>
              <w:t>-</w:t>
            </w:r>
            <w:r w:rsidR="00BB0343" w:rsidRPr="001C1E47">
              <w:rPr>
                <w:rFonts w:cs="Calibri"/>
                <w:b/>
              </w:rPr>
              <w:t>#</w:t>
            </w:r>
          </w:p>
        </w:tc>
        <w:tc>
          <w:tcPr>
            <w:tcW w:w="4721" w:type="dxa"/>
          </w:tcPr>
          <w:p w14:paraId="0C140B4B" w14:textId="77777777" w:rsidR="000A134A" w:rsidRPr="001C1E47" w:rsidRDefault="000A134A" w:rsidP="007A71AC">
            <w:pPr>
              <w:widowControl/>
              <w:autoSpaceDE/>
              <w:autoSpaceDN/>
              <w:adjustRightInd/>
              <w:jc w:val="center"/>
              <w:rPr>
                <w:rFonts w:cs="Calibri"/>
                <w:b/>
              </w:rPr>
            </w:pPr>
            <w:r w:rsidRPr="001C1E47">
              <w:rPr>
                <w:rFonts w:cs="Calibri"/>
                <w:b/>
              </w:rPr>
              <w:t>Finding</w:t>
            </w:r>
          </w:p>
        </w:tc>
        <w:tc>
          <w:tcPr>
            <w:tcW w:w="4819" w:type="dxa"/>
          </w:tcPr>
          <w:p w14:paraId="7801EA8C" w14:textId="77777777" w:rsidR="000A134A" w:rsidRPr="001C1E47" w:rsidRDefault="000A134A" w:rsidP="007A71AC">
            <w:pPr>
              <w:widowControl/>
              <w:autoSpaceDE/>
              <w:autoSpaceDN/>
              <w:adjustRightInd/>
              <w:jc w:val="center"/>
              <w:rPr>
                <w:rFonts w:cs="Calibri"/>
                <w:b/>
              </w:rPr>
            </w:pPr>
            <w:r w:rsidRPr="001C1E47">
              <w:rPr>
                <w:rFonts w:cs="Calibri"/>
                <w:b/>
              </w:rPr>
              <w:t>Recommendation</w:t>
            </w:r>
          </w:p>
        </w:tc>
        <w:tc>
          <w:tcPr>
            <w:tcW w:w="1890" w:type="dxa"/>
          </w:tcPr>
          <w:p w14:paraId="7C9006CD" w14:textId="25DE1FC4" w:rsidR="00BB0343" w:rsidRPr="001C1E47" w:rsidRDefault="00BB0343" w:rsidP="007A71AC">
            <w:pPr>
              <w:widowControl/>
              <w:autoSpaceDE/>
              <w:autoSpaceDN/>
              <w:adjustRightInd/>
              <w:jc w:val="center"/>
              <w:rPr>
                <w:rFonts w:cs="Calibri"/>
                <w:b/>
              </w:rPr>
            </w:pPr>
            <w:r w:rsidRPr="001C1E47">
              <w:rPr>
                <w:rFonts w:cs="Calibri"/>
                <w:b/>
              </w:rPr>
              <w:t xml:space="preserve">FY </w:t>
            </w:r>
            <w:r w:rsidR="00DC4A62" w:rsidRPr="001C1E47">
              <w:rPr>
                <w:rFonts w:cs="Calibri"/>
                <w:b/>
              </w:rPr>
              <w:t>20</w:t>
            </w:r>
            <w:r w:rsidR="00EC5358">
              <w:rPr>
                <w:rFonts w:cs="Calibri"/>
                <w:b/>
              </w:rPr>
              <w:t>23</w:t>
            </w:r>
            <w:r w:rsidRPr="001C1E47">
              <w:rPr>
                <w:rFonts w:cs="Calibri"/>
                <w:b/>
              </w:rPr>
              <w:t xml:space="preserve">-# or </w:t>
            </w:r>
          </w:p>
          <w:p w14:paraId="3C61CFBF" w14:textId="49DF578C" w:rsidR="000A134A" w:rsidRPr="001C1E47" w:rsidRDefault="00BB0343" w:rsidP="007A71AC">
            <w:pPr>
              <w:widowControl/>
              <w:autoSpaceDE/>
              <w:autoSpaceDN/>
              <w:adjustRightInd/>
              <w:jc w:val="center"/>
              <w:rPr>
                <w:rFonts w:cs="Calibri"/>
                <w:b/>
              </w:rPr>
            </w:pPr>
            <w:r w:rsidRPr="001C1E47">
              <w:rPr>
                <w:rFonts w:cs="Calibri"/>
                <w:b/>
              </w:rPr>
              <w:t xml:space="preserve">FY </w:t>
            </w:r>
            <w:r w:rsidR="00DC4A62" w:rsidRPr="001C1E47">
              <w:rPr>
                <w:rFonts w:cs="Calibri"/>
                <w:b/>
              </w:rPr>
              <w:t>20</w:t>
            </w:r>
            <w:r w:rsidR="00EC5358">
              <w:rPr>
                <w:rFonts w:cs="Calibri"/>
                <w:b/>
              </w:rPr>
              <w:t>23</w:t>
            </w:r>
            <w:r w:rsidRPr="001C1E47">
              <w:rPr>
                <w:rFonts w:cs="Calibri"/>
                <w:b/>
              </w:rPr>
              <w:t>-OB-#</w:t>
            </w:r>
          </w:p>
        </w:tc>
      </w:tr>
      <w:tr w:rsidR="000A134A" w:rsidRPr="001C1E47" w14:paraId="5368CE16" w14:textId="77777777" w:rsidTr="00185C7D">
        <w:tc>
          <w:tcPr>
            <w:tcW w:w="1440" w:type="dxa"/>
          </w:tcPr>
          <w:p w14:paraId="31EBB109" w14:textId="77777777" w:rsidR="000A134A" w:rsidRPr="001C1E47" w:rsidRDefault="000A134A" w:rsidP="007A71AC">
            <w:pPr>
              <w:widowControl/>
              <w:autoSpaceDE/>
              <w:autoSpaceDN/>
              <w:adjustRightInd/>
              <w:rPr>
                <w:rFonts w:cs="Calibri"/>
              </w:rPr>
            </w:pPr>
            <w:r w:rsidRPr="001C1E47">
              <w:rPr>
                <w:rFonts w:cs="Calibri"/>
              </w:rPr>
              <w:t xml:space="preserve"> </w:t>
            </w:r>
          </w:p>
          <w:p w14:paraId="39F370D3" w14:textId="77777777" w:rsidR="000A134A" w:rsidRPr="001C1E47" w:rsidRDefault="000A134A" w:rsidP="007A71AC">
            <w:pPr>
              <w:widowControl/>
              <w:autoSpaceDE/>
              <w:autoSpaceDN/>
              <w:adjustRightInd/>
              <w:rPr>
                <w:rFonts w:cs="Calibri"/>
              </w:rPr>
            </w:pPr>
          </w:p>
        </w:tc>
        <w:tc>
          <w:tcPr>
            <w:tcW w:w="4721" w:type="dxa"/>
          </w:tcPr>
          <w:p w14:paraId="4B3C1E3A" w14:textId="41550FEB" w:rsidR="000A134A" w:rsidRPr="001C1E47" w:rsidRDefault="000A134A" w:rsidP="007A71AC">
            <w:pPr>
              <w:widowControl/>
              <w:autoSpaceDE/>
              <w:autoSpaceDN/>
              <w:adjustRightInd/>
              <w:rPr>
                <w:rFonts w:cs="Calibri"/>
              </w:rPr>
            </w:pPr>
            <w:r w:rsidRPr="001C1E47">
              <w:rPr>
                <w:rFonts w:cs="Calibri"/>
              </w:rPr>
              <w:t xml:space="preserve">   </w:t>
            </w:r>
            <w:r w:rsidR="00EC5358">
              <w:rPr>
                <w:rFonts w:cs="Calibri"/>
              </w:rPr>
              <w:t>None.</w:t>
            </w:r>
          </w:p>
        </w:tc>
        <w:tc>
          <w:tcPr>
            <w:tcW w:w="4819" w:type="dxa"/>
          </w:tcPr>
          <w:p w14:paraId="5C606D29" w14:textId="77777777" w:rsidR="000A134A" w:rsidRPr="001C1E47" w:rsidRDefault="000A134A" w:rsidP="007A71AC">
            <w:pPr>
              <w:widowControl/>
              <w:autoSpaceDE/>
              <w:autoSpaceDN/>
              <w:adjustRightInd/>
              <w:rPr>
                <w:rFonts w:cs="Calibri"/>
              </w:rPr>
            </w:pPr>
            <w:r w:rsidRPr="001C1E47">
              <w:rPr>
                <w:rFonts w:cs="Calibri"/>
              </w:rPr>
              <w:t xml:space="preserve"> </w:t>
            </w:r>
          </w:p>
          <w:p w14:paraId="7A48B2C8" w14:textId="77777777" w:rsidR="000A134A" w:rsidRPr="001C1E47" w:rsidRDefault="000A134A" w:rsidP="007A71AC">
            <w:pPr>
              <w:widowControl/>
              <w:autoSpaceDE/>
              <w:autoSpaceDN/>
              <w:adjustRightInd/>
              <w:rPr>
                <w:rFonts w:cs="Calibri"/>
              </w:rPr>
            </w:pPr>
          </w:p>
        </w:tc>
        <w:tc>
          <w:tcPr>
            <w:tcW w:w="1890" w:type="dxa"/>
          </w:tcPr>
          <w:p w14:paraId="51FF8A48" w14:textId="77777777" w:rsidR="000A134A" w:rsidRPr="001C1E47" w:rsidRDefault="000A134A" w:rsidP="007A71AC">
            <w:pPr>
              <w:widowControl/>
              <w:autoSpaceDE/>
              <w:autoSpaceDN/>
              <w:adjustRightInd/>
              <w:rPr>
                <w:rFonts w:cs="Calibri"/>
              </w:rPr>
            </w:pPr>
            <w:r w:rsidRPr="001C1E47">
              <w:rPr>
                <w:rFonts w:cs="Calibri"/>
              </w:rPr>
              <w:t xml:space="preserve"> </w:t>
            </w:r>
          </w:p>
        </w:tc>
      </w:tr>
    </w:tbl>
    <w:p w14:paraId="3C1E0E19" w14:textId="77777777" w:rsidR="000A134A" w:rsidRPr="001C1E47" w:rsidRDefault="000A134A" w:rsidP="007A71AC">
      <w:pPr>
        <w:widowControl/>
        <w:autoSpaceDE/>
        <w:autoSpaceDN/>
        <w:adjustRightInd/>
        <w:rPr>
          <w:rFonts w:cs="Calibri"/>
        </w:rPr>
      </w:pPr>
    </w:p>
    <w:p w14:paraId="7696391B" w14:textId="2021572C" w:rsidR="000A134A" w:rsidRPr="00C002BB" w:rsidRDefault="000A134A" w:rsidP="00EC5358">
      <w:pPr>
        <w:widowControl/>
        <w:autoSpaceDE/>
        <w:autoSpaceDN/>
        <w:adjustRightInd/>
        <w:rPr>
          <w:rFonts w:cs="Calibri"/>
          <w:iCs/>
          <w:color w:val="0070C0"/>
        </w:rPr>
      </w:pPr>
    </w:p>
    <w:p w14:paraId="7C19C4AE" w14:textId="77777777" w:rsidR="00D86879" w:rsidRPr="00C002BB" w:rsidRDefault="00D86879" w:rsidP="007A71AC">
      <w:pPr>
        <w:widowControl/>
        <w:autoSpaceDE/>
        <w:autoSpaceDN/>
        <w:adjustRightInd/>
        <w:rPr>
          <w:rFonts w:cs="Calibri"/>
          <w:iCs/>
        </w:rPr>
      </w:pPr>
    </w:p>
    <w:p w14:paraId="039B49D1" w14:textId="77777777" w:rsidR="00D86879" w:rsidRPr="00C002BB" w:rsidRDefault="00D86879" w:rsidP="007A71AC">
      <w:pPr>
        <w:widowControl/>
        <w:autoSpaceDE/>
        <w:autoSpaceDN/>
        <w:adjustRightInd/>
        <w:rPr>
          <w:rFonts w:cs="Calibri"/>
          <w:iCs/>
        </w:rPr>
      </w:pPr>
    </w:p>
    <w:p w14:paraId="776B7B1D" w14:textId="77777777" w:rsidR="00D86879" w:rsidRPr="00C002BB" w:rsidRDefault="00D86879" w:rsidP="007A71AC">
      <w:pPr>
        <w:widowControl/>
        <w:autoSpaceDE/>
        <w:autoSpaceDN/>
        <w:adjustRightInd/>
        <w:rPr>
          <w:rFonts w:cs="Calibri"/>
          <w:iCs/>
        </w:rPr>
      </w:pPr>
    </w:p>
    <w:p w14:paraId="715EFD78" w14:textId="78D98089" w:rsidR="00D855F2" w:rsidRPr="00C002BB" w:rsidRDefault="00D855F2">
      <w:pPr>
        <w:widowControl/>
        <w:autoSpaceDE/>
        <w:autoSpaceDN/>
        <w:adjustRightInd/>
        <w:rPr>
          <w:rFonts w:cs="Calibri"/>
          <w:iCs/>
        </w:rPr>
      </w:pPr>
      <w:r w:rsidRPr="00C002BB">
        <w:rPr>
          <w:rFonts w:cs="Calibri"/>
          <w:iCs/>
        </w:rPr>
        <w:br w:type="page"/>
      </w:r>
    </w:p>
    <w:p w14:paraId="4B24ED72" w14:textId="77777777" w:rsidR="00D86879" w:rsidRPr="001C1E47" w:rsidRDefault="00D86879" w:rsidP="007A71AC">
      <w:pPr>
        <w:widowControl/>
        <w:autoSpaceDE/>
        <w:autoSpaceDN/>
        <w:adjustRightInd/>
        <w:rPr>
          <w:rFonts w:cs="Calibri"/>
          <w:i/>
        </w:rPr>
      </w:pPr>
    </w:p>
    <w:p w14:paraId="72DA695E" w14:textId="77777777" w:rsidR="00B6741C" w:rsidRPr="0002572C" w:rsidRDefault="00B6741C" w:rsidP="001D45C8">
      <w:pPr>
        <w:pStyle w:val="Heading3"/>
        <w:numPr>
          <w:ilvl w:val="0"/>
          <w:numId w:val="0"/>
        </w:numPr>
      </w:pPr>
      <w:bookmarkStart w:id="34" w:name="_Toc118905018"/>
      <w:bookmarkStart w:id="35" w:name="_Toc119418670"/>
      <w:r w:rsidRPr="0002572C">
        <w:t>Appendix B – Observations Subject to Continued Monitoring</w:t>
      </w:r>
      <w:bookmarkEnd w:id="34"/>
      <w:bookmarkEnd w:id="35"/>
    </w:p>
    <w:p w14:paraId="73014EBD" w14:textId="31ED1F25" w:rsidR="00B6741C" w:rsidRPr="00F0678A" w:rsidRDefault="00B6741C" w:rsidP="0002572C">
      <w:r>
        <w:t xml:space="preserve">FY </w:t>
      </w:r>
      <w:r w:rsidRPr="00CC15F0">
        <w:t>20</w:t>
      </w:r>
      <w:r w:rsidR="00CC15F0" w:rsidRPr="00CC15F0">
        <w:t>24</w:t>
      </w:r>
      <w:r w:rsidRPr="00CC15F0">
        <w:t xml:space="preserve"> </w:t>
      </w:r>
      <w:r w:rsidR="00CC15F0" w:rsidRPr="00CC15F0">
        <w:t>UOSH</w:t>
      </w:r>
      <w:r w:rsidRPr="00CC15F0">
        <w:t xml:space="preserve"> </w:t>
      </w:r>
      <w:r>
        <w:t>Follow-up FAME Report</w:t>
      </w:r>
    </w:p>
    <w:p w14:paraId="75823E10" w14:textId="77777777" w:rsidR="00D86879" w:rsidRPr="001C1E47" w:rsidRDefault="00D86879" w:rsidP="007A71AC">
      <w:pPr>
        <w:widowControl/>
        <w:autoSpaceDE/>
        <w:autoSpaceDN/>
        <w:adjustRightInd/>
        <w:rPr>
          <w:rFonts w:cs="Calibri"/>
          <w:i/>
        </w:rPr>
      </w:pPr>
    </w:p>
    <w:p w14:paraId="2093D22B" w14:textId="77777777" w:rsidR="00D86879" w:rsidRPr="001C1E47" w:rsidRDefault="00D86879" w:rsidP="007A71AC">
      <w:pPr>
        <w:widowControl/>
        <w:autoSpaceDE/>
        <w:autoSpaceDN/>
        <w:adjustRightInd/>
        <w:rPr>
          <w:rFonts w:cs="Calibri"/>
          <w:i/>
        </w:rPr>
      </w:pPr>
    </w:p>
    <w:p w14:paraId="61F273E4" w14:textId="4BA1F7A9" w:rsidR="00492379" w:rsidRPr="001C1E47" w:rsidRDefault="00492379" w:rsidP="007A71AC">
      <w:pPr>
        <w:widowControl/>
        <w:autoSpaceDE/>
        <w:autoSpaceDN/>
        <w:adjustRightInd/>
        <w:rPr>
          <w:rFonts w:cs="Calibri"/>
          <w:i/>
        </w:rPr>
        <w:sectPr w:rsidR="00492379" w:rsidRPr="001C1E47" w:rsidSect="00DD7206">
          <w:headerReference w:type="default" r:id="rId12"/>
          <w:footerReference w:type="default" r:id="rId13"/>
          <w:headerReference w:type="first" r:id="rId14"/>
          <w:footerReference w:type="first" r:id="rId15"/>
          <w:type w:val="continuous"/>
          <w:pgSz w:w="15840" w:h="12240" w:orient="landscape"/>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2657"/>
        <w:gridCol w:w="2690"/>
        <w:gridCol w:w="2657"/>
        <w:gridCol w:w="2630"/>
        <w:gridCol w:w="2316"/>
      </w:tblGrid>
      <w:tr w:rsidR="00B6741C" w:rsidRPr="00E35E8A" w14:paraId="266E8016" w14:textId="4E26EFF8" w:rsidTr="00B6741C">
        <w:trPr>
          <w:cantSplit/>
          <w:tblHeader/>
        </w:trPr>
        <w:tc>
          <w:tcPr>
            <w:tcW w:w="2657" w:type="dxa"/>
          </w:tcPr>
          <w:p w14:paraId="5950BEA4" w14:textId="77777777" w:rsidR="00B6741C" w:rsidRPr="009C1B9C" w:rsidRDefault="00B6741C" w:rsidP="00B6741C">
            <w:pPr>
              <w:widowControl/>
              <w:autoSpaceDE/>
              <w:autoSpaceDN/>
              <w:adjustRightInd/>
              <w:rPr>
                <w:rFonts w:cs="Calibri"/>
                <w:b/>
              </w:rPr>
            </w:pPr>
            <w:r w:rsidRPr="009C1B9C">
              <w:rPr>
                <w:rFonts w:cs="Calibri"/>
                <w:b/>
              </w:rPr>
              <w:t>Observation #</w:t>
            </w:r>
          </w:p>
          <w:p w14:paraId="09AE72D2" w14:textId="54EC5F4B" w:rsidR="00B6741C" w:rsidRPr="009C1B9C" w:rsidRDefault="00B6741C" w:rsidP="00B6741C">
            <w:pPr>
              <w:widowControl/>
              <w:autoSpaceDE/>
              <w:autoSpaceDN/>
              <w:adjustRightInd/>
              <w:rPr>
                <w:rFonts w:cs="Calibri"/>
                <w:b/>
              </w:rPr>
            </w:pPr>
            <w:r w:rsidRPr="009C1B9C">
              <w:rPr>
                <w:rFonts w:cs="Calibri"/>
                <w:b/>
              </w:rPr>
              <w:t>FY 20</w:t>
            </w:r>
            <w:r w:rsidR="00354843" w:rsidRPr="009C1B9C">
              <w:rPr>
                <w:rFonts w:cs="Calibri"/>
                <w:b/>
              </w:rPr>
              <w:t>24</w:t>
            </w:r>
            <w:r w:rsidRPr="009C1B9C">
              <w:rPr>
                <w:rFonts w:cs="Calibri"/>
                <w:b/>
              </w:rPr>
              <w:t>-OB-#</w:t>
            </w:r>
          </w:p>
          <w:p w14:paraId="07702D17" w14:textId="77777777" w:rsidR="00B6741C" w:rsidRPr="009C1B9C" w:rsidRDefault="00B6741C" w:rsidP="00B6741C">
            <w:pPr>
              <w:widowControl/>
              <w:autoSpaceDE/>
              <w:autoSpaceDN/>
              <w:adjustRightInd/>
              <w:rPr>
                <w:rFonts w:cs="Calibri"/>
                <w:i/>
              </w:rPr>
            </w:pPr>
          </w:p>
        </w:tc>
        <w:tc>
          <w:tcPr>
            <w:tcW w:w="2690" w:type="dxa"/>
          </w:tcPr>
          <w:p w14:paraId="5B8F9311" w14:textId="77777777" w:rsidR="00B6741C" w:rsidRPr="009C1B9C" w:rsidRDefault="00B6741C" w:rsidP="00B6741C">
            <w:pPr>
              <w:widowControl/>
              <w:autoSpaceDE/>
              <w:autoSpaceDN/>
              <w:adjustRightInd/>
              <w:rPr>
                <w:rFonts w:cs="Calibri"/>
                <w:b/>
              </w:rPr>
            </w:pPr>
            <w:r w:rsidRPr="009C1B9C">
              <w:rPr>
                <w:rFonts w:cs="Calibri"/>
                <w:b/>
              </w:rPr>
              <w:t>Observation#</w:t>
            </w:r>
          </w:p>
          <w:p w14:paraId="757E85A6" w14:textId="2DCE26AB" w:rsidR="00B6741C" w:rsidRPr="009C1B9C" w:rsidRDefault="00B6741C" w:rsidP="00B6741C">
            <w:pPr>
              <w:widowControl/>
              <w:autoSpaceDE/>
              <w:autoSpaceDN/>
              <w:adjustRightInd/>
              <w:rPr>
                <w:rFonts w:cs="Calibri"/>
                <w:i/>
              </w:rPr>
            </w:pPr>
            <w:r w:rsidRPr="009C1B9C">
              <w:rPr>
                <w:rFonts w:cs="Calibri"/>
                <w:b/>
              </w:rPr>
              <w:t>FY 20</w:t>
            </w:r>
            <w:r w:rsidR="009C6FF1" w:rsidRPr="009C1B9C">
              <w:rPr>
                <w:rFonts w:cs="Calibri"/>
                <w:b/>
              </w:rPr>
              <w:t>23</w:t>
            </w:r>
            <w:r w:rsidRPr="009C1B9C">
              <w:rPr>
                <w:rFonts w:cs="Calibri"/>
                <w:b/>
              </w:rPr>
              <w:t xml:space="preserve">-OB-# </w:t>
            </w:r>
            <w:r w:rsidRPr="009C1B9C">
              <w:rPr>
                <w:rFonts w:cs="Calibri"/>
                <w:b/>
                <w:i/>
              </w:rPr>
              <w:t>or</w:t>
            </w:r>
            <w:r w:rsidRPr="009C1B9C">
              <w:rPr>
                <w:rFonts w:cs="Calibri"/>
                <w:b/>
              </w:rPr>
              <w:t xml:space="preserve"> FY 20</w:t>
            </w:r>
            <w:r w:rsidR="009C6FF1" w:rsidRPr="009C1B9C">
              <w:rPr>
                <w:rFonts w:cs="Calibri"/>
                <w:b/>
              </w:rPr>
              <w:t>23</w:t>
            </w:r>
            <w:r w:rsidRPr="009C1B9C">
              <w:rPr>
                <w:rFonts w:cs="Calibri"/>
                <w:b/>
              </w:rPr>
              <w:t>-#</w:t>
            </w:r>
          </w:p>
        </w:tc>
        <w:tc>
          <w:tcPr>
            <w:tcW w:w="2657" w:type="dxa"/>
          </w:tcPr>
          <w:p w14:paraId="11DA1749" w14:textId="7AE042CC" w:rsidR="00B6741C" w:rsidRPr="009C1B9C" w:rsidRDefault="00B6741C" w:rsidP="00B6741C">
            <w:pPr>
              <w:widowControl/>
              <w:autoSpaceDE/>
              <w:autoSpaceDN/>
              <w:adjustRightInd/>
              <w:rPr>
                <w:rFonts w:cs="Calibri"/>
                <w:i/>
              </w:rPr>
            </w:pPr>
            <w:r w:rsidRPr="009C1B9C">
              <w:rPr>
                <w:rFonts w:cs="Calibri"/>
                <w:b/>
              </w:rPr>
              <w:t>Observation</w:t>
            </w:r>
          </w:p>
        </w:tc>
        <w:tc>
          <w:tcPr>
            <w:tcW w:w="2630" w:type="dxa"/>
          </w:tcPr>
          <w:p w14:paraId="76BC073C" w14:textId="70BBC1B0" w:rsidR="00B6741C" w:rsidRPr="009C1B9C" w:rsidRDefault="00B6741C" w:rsidP="00B6741C">
            <w:pPr>
              <w:widowControl/>
              <w:autoSpaceDE/>
              <w:autoSpaceDN/>
              <w:adjustRightInd/>
              <w:rPr>
                <w:rFonts w:cs="Calibri"/>
                <w:i/>
              </w:rPr>
            </w:pPr>
            <w:r w:rsidRPr="009C1B9C">
              <w:rPr>
                <w:rFonts w:cs="Calibri"/>
                <w:b/>
              </w:rPr>
              <w:t>Federal Monitoring Plan</w:t>
            </w:r>
          </w:p>
        </w:tc>
        <w:tc>
          <w:tcPr>
            <w:tcW w:w="2316" w:type="dxa"/>
          </w:tcPr>
          <w:p w14:paraId="46D0EE63" w14:textId="4A2BA825" w:rsidR="00B6741C" w:rsidRPr="009C1B9C" w:rsidRDefault="00B6741C" w:rsidP="00B6741C">
            <w:pPr>
              <w:widowControl/>
              <w:autoSpaceDE/>
              <w:autoSpaceDN/>
              <w:adjustRightInd/>
              <w:rPr>
                <w:rFonts w:cs="Calibri"/>
                <w:b/>
              </w:rPr>
            </w:pPr>
            <w:r w:rsidRPr="009C1B9C">
              <w:rPr>
                <w:rFonts w:cs="Calibri"/>
                <w:b/>
              </w:rPr>
              <w:t>Current Status</w:t>
            </w:r>
          </w:p>
        </w:tc>
      </w:tr>
      <w:tr w:rsidR="00B6741C" w:rsidRPr="009C1B9C" w14:paraId="715083EB" w14:textId="58561804" w:rsidTr="00B6741C">
        <w:trPr>
          <w:cantSplit/>
        </w:trPr>
        <w:tc>
          <w:tcPr>
            <w:tcW w:w="2657" w:type="dxa"/>
          </w:tcPr>
          <w:p w14:paraId="514C1621" w14:textId="198CF2CF" w:rsidR="00B6741C" w:rsidRPr="005F4762" w:rsidRDefault="00B6741C" w:rsidP="00B6741C">
            <w:pPr>
              <w:widowControl/>
              <w:autoSpaceDE/>
              <w:autoSpaceDN/>
              <w:adjustRightInd/>
              <w:rPr>
                <w:rFonts w:cs="Calibri"/>
                <w:iCs/>
              </w:rPr>
            </w:pPr>
            <w:r w:rsidRPr="005F4762">
              <w:rPr>
                <w:rFonts w:cs="Calibri"/>
                <w:iCs/>
              </w:rPr>
              <w:t>FY 20</w:t>
            </w:r>
            <w:r w:rsidR="004B3377" w:rsidRPr="005F4762">
              <w:rPr>
                <w:rFonts w:cs="Calibri"/>
                <w:iCs/>
              </w:rPr>
              <w:t>24</w:t>
            </w:r>
            <w:r w:rsidRPr="005F4762">
              <w:rPr>
                <w:rFonts w:cs="Calibri"/>
                <w:iCs/>
              </w:rPr>
              <w:t>-OB-01</w:t>
            </w:r>
          </w:p>
          <w:p w14:paraId="7834860F" w14:textId="77777777" w:rsidR="00B6741C" w:rsidRPr="005F4762" w:rsidRDefault="00B6741C" w:rsidP="00B6741C">
            <w:pPr>
              <w:widowControl/>
              <w:autoSpaceDE/>
              <w:autoSpaceDN/>
              <w:adjustRightInd/>
              <w:rPr>
                <w:rFonts w:cs="Calibri"/>
                <w:iCs/>
                <w:color w:val="0070C0"/>
              </w:rPr>
            </w:pPr>
          </w:p>
        </w:tc>
        <w:tc>
          <w:tcPr>
            <w:tcW w:w="2690" w:type="dxa"/>
          </w:tcPr>
          <w:p w14:paraId="31414852" w14:textId="77777777" w:rsidR="004B3377" w:rsidRPr="005F4762" w:rsidRDefault="004B3377" w:rsidP="004B3377">
            <w:pPr>
              <w:widowControl/>
              <w:autoSpaceDE/>
              <w:autoSpaceDN/>
              <w:adjustRightInd/>
              <w:rPr>
                <w:rFonts w:asciiTheme="minorHAnsi" w:hAnsiTheme="minorHAnsi" w:cstheme="minorHAnsi"/>
                <w:iCs/>
              </w:rPr>
            </w:pPr>
            <w:r w:rsidRPr="005F4762">
              <w:rPr>
                <w:rFonts w:asciiTheme="minorHAnsi" w:hAnsiTheme="minorHAnsi" w:cstheme="minorHAnsi"/>
                <w:iCs/>
              </w:rPr>
              <w:t>FY 2023-OB-02</w:t>
            </w:r>
          </w:p>
          <w:p w14:paraId="1207E4E3" w14:textId="77777777" w:rsidR="00B6741C" w:rsidRPr="005F4762" w:rsidRDefault="00B6741C" w:rsidP="0011492C">
            <w:pPr>
              <w:widowControl/>
              <w:autoSpaceDE/>
              <w:autoSpaceDN/>
              <w:adjustRightInd/>
              <w:rPr>
                <w:rFonts w:cs="Calibri"/>
                <w:iCs/>
                <w:color w:val="0070C0"/>
              </w:rPr>
            </w:pPr>
          </w:p>
        </w:tc>
        <w:tc>
          <w:tcPr>
            <w:tcW w:w="2657" w:type="dxa"/>
          </w:tcPr>
          <w:p w14:paraId="53E4A09F" w14:textId="4E25530B" w:rsidR="00B6741C" w:rsidRPr="005F4762" w:rsidRDefault="00FC725B" w:rsidP="00B6741C">
            <w:pPr>
              <w:widowControl/>
              <w:autoSpaceDE/>
              <w:autoSpaceDN/>
              <w:adjustRightInd/>
              <w:rPr>
                <w:rFonts w:cs="Calibri"/>
                <w:iCs/>
                <w:color w:val="0070C0"/>
              </w:rPr>
            </w:pPr>
            <w:r w:rsidRPr="005F4762">
              <w:rPr>
                <w:rFonts w:cs="Calibri"/>
                <w:iCs/>
              </w:rPr>
              <w:t xml:space="preserve">In FY 2023, five of 14 (35.71%) complaints assessed as not valid contained allegations or information that should have resulted in a “valid” assessment or that should have resulted in UOSH contacting the complainant for further information.  </w:t>
            </w:r>
          </w:p>
        </w:tc>
        <w:tc>
          <w:tcPr>
            <w:tcW w:w="2630" w:type="dxa"/>
          </w:tcPr>
          <w:p w14:paraId="04F2CA88" w14:textId="4943BA5F" w:rsidR="00B6741C" w:rsidRPr="005F4762" w:rsidRDefault="00696392" w:rsidP="00B6741C">
            <w:pPr>
              <w:widowControl/>
              <w:autoSpaceDE/>
              <w:autoSpaceDN/>
              <w:adjustRightInd/>
              <w:rPr>
                <w:rFonts w:cs="Calibri"/>
                <w:iCs/>
                <w:color w:val="0070C0"/>
              </w:rPr>
            </w:pPr>
            <w:r w:rsidRPr="005F4762">
              <w:rPr>
                <w:rFonts w:cs="Calibri"/>
                <w:iCs/>
              </w:rPr>
              <w:t>During the next FAME, OSHA will perform a case file review to determine if this item was addressed.</w:t>
            </w:r>
          </w:p>
        </w:tc>
        <w:tc>
          <w:tcPr>
            <w:tcW w:w="2316" w:type="dxa"/>
          </w:tcPr>
          <w:p w14:paraId="79E4394D" w14:textId="69407FCD" w:rsidR="00B6741C" w:rsidRPr="005F4762" w:rsidRDefault="00B6741C" w:rsidP="00B6741C">
            <w:pPr>
              <w:widowControl/>
              <w:autoSpaceDE/>
              <w:autoSpaceDN/>
              <w:adjustRightInd/>
              <w:rPr>
                <w:rFonts w:cs="Calibri"/>
                <w:iCs/>
                <w:color w:val="0070C0"/>
              </w:rPr>
            </w:pPr>
            <w:r w:rsidRPr="005F4762">
              <w:rPr>
                <w:rFonts w:cs="Calibri"/>
                <w:iCs/>
              </w:rPr>
              <w:t>Continued</w:t>
            </w:r>
          </w:p>
        </w:tc>
      </w:tr>
      <w:tr w:rsidR="00B6741C" w:rsidRPr="009C1B9C" w14:paraId="414575F4" w14:textId="437735BC" w:rsidTr="00B6741C">
        <w:trPr>
          <w:cantSplit/>
        </w:trPr>
        <w:tc>
          <w:tcPr>
            <w:tcW w:w="2657" w:type="dxa"/>
          </w:tcPr>
          <w:p w14:paraId="6EF9BE70" w14:textId="787D5856" w:rsidR="00B6741C" w:rsidRPr="009C1B9C" w:rsidRDefault="00B6741C" w:rsidP="00B6741C">
            <w:pPr>
              <w:widowControl/>
              <w:autoSpaceDE/>
              <w:autoSpaceDN/>
              <w:adjustRightInd/>
              <w:rPr>
                <w:rFonts w:cs="Calibri"/>
                <w:iCs/>
                <w:sz w:val="22"/>
                <w:szCs w:val="22"/>
              </w:rPr>
            </w:pPr>
            <w:r w:rsidRPr="009C1B9C">
              <w:rPr>
                <w:rFonts w:cs="Calibri"/>
                <w:iCs/>
                <w:sz w:val="22"/>
                <w:szCs w:val="22"/>
              </w:rPr>
              <w:lastRenderedPageBreak/>
              <w:t>FY 20</w:t>
            </w:r>
            <w:r w:rsidR="00050ABB" w:rsidRPr="009C1B9C">
              <w:rPr>
                <w:rFonts w:cs="Calibri"/>
                <w:iCs/>
                <w:sz w:val="22"/>
                <w:szCs w:val="22"/>
              </w:rPr>
              <w:t>24</w:t>
            </w:r>
            <w:r w:rsidRPr="009C1B9C">
              <w:rPr>
                <w:rFonts w:cs="Calibri"/>
                <w:iCs/>
                <w:sz w:val="22"/>
                <w:szCs w:val="22"/>
              </w:rPr>
              <w:t>-OB-0</w:t>
            </w:r>
            <w:r w:rsidR="00050ABB" w:rsidRPr="009C1B9C">
              <w:rPr>
                <w:rFonts w:cs="Calibri"/>
                <w:iCs/>
                <w:sz w:val="22"/>
                <w:szCs w:val="22"/>
              </w:rPr>
              <w:t>2</w:t>
            </w:r>
          </w:p>
          <w:p w14:paraId="38E1B745" w14:textId="77777777" w:rsidR="00B6741C" w:rsidRPr="009C1B9C" w:rsidRDefault="00B6741C" w:rsidP="00B6741C">
            <w:pPr>
              <w:widowControl/>
              <w:autoSpaceDE/>
              <w:autoSpaceDN/>
              <w:adjustRightInd/>
              <w:rPr>
                <w:rFonts w:cs="Calibri"/>
                <w:iCs/>
                <w:color w:val="0070C0"/>
                <w:sz w:val="22"/>
                <w:szCs w:val="22"/>
              </w:rPr>
            </w:pPr>
          </w:p>
        </w:tc>
        <w:tc>
          <w:tcPr>
            <w:tcW w:w="2690" w:type="dxa"/>
          </w:tcPr>
          <w:p w14:paraId="16AE7372" w14:textId="77777777" w:rsidR="00050ABB" w:rsidRPr="009C1B9C" w:rsidRDefault="00050ABB" w:rsidP="00050ABB">
            <w:pPr>
              <w:widowControl/>
              <w:autoSpaceDE/>
              <w:autoSpaceDN/>
              <w:adjustRightInd/>
              <w:rPr>
                <w:rFonts w:asciiTheme="minorHAnsi" w:hAnsiTheme="minorHAnsi" w:cstheme="minorHAnsi"/>
                <w:iCs/>
                <w:sz w:val="22"/>
                <w:szCs w:val="22"/>
              </w:rPr>
            </w:pPr>
            <w:r w:rsidRPr="009C1B9C">
              <w:rPr>
                <w:rFonts w:asciiTheme="minorHAnsi" w:hAnsiTheme="minorHAnsi" w:cstheme="minorHAnsi"/>
                <w:iCs/>
                <w:sz w:val="22"/>
                <w:szCs w:val="22"/>
              </w:rPr>
              <w:t>FY 2023-OB-03</w:t>
            </w:r>
          </w:p>
          <w:p w14:paraId="4640B74B" w14:textId="42DF96F1" w:rsidR="00B6741C" w:rsidRPr="009C1B9C" w:rsidRDefault="00B6741C" w:rsidP="00B6741C">
            <w:pPr>
              <w:widowControl/>
              <w:autoSpaceDE/>
              <w:autoSpaceDN/>
              <w:adjustRightInd/>
              <w:rPr>
                <w:rFonts w:cs="Calibri"/>
                <w:iCs/>
                <w:color w:val="0070C0"/>
                <w:sz w:val="22"/>
                <w:szCs w:val="22"/>
              </w:rPr>
            </w:pPr>
          </w:p>
        </w:tc>
        <w:tc>
          <w:tcPr>
            <w:tcW w:w="2657" w:type="dxa"/>
          </w:tcPr>
          <w:p w14:paraId="3BC4A14C" w14:textId="5F68E75A" w:rsidR="00B6741C" w:rsidRPr="009C1B9C" w:rsidRDefault="00BB4189" w:rsidP="00B6741C">
            <w:pPr>
              <w:widowControl/>
              <w:autoSpaceDE/>
              <w:autoSpaceDN/>
              <w:adjustRightInd/>
              <w:rPr>
                <w:rFonts w:cs="Calibri"/>
                <w:iCs/>
                <w:color w:val="0070C0"/>
                <w:sz w:val="22"/>
                <w:szCs w:val="22"/>
              </w:rPr>
            </w:pPr>
            <w:bookmarkStart w:id="36" w:name="_Hlk186542867"/>
            <w:r w:rsidRPr="009C1B9C">
              <w:rPr>
                <w:rFonts w:asciiTheme="minorHAnsi" w:hAnsiTheme="minorHAnsi" w:cstheme="minorHAnsi"/>
                <w:sz w:val="22"/>
                <w:szCs w:val="22"/>
              </w:rPr>
              <w:t xml:space="preserve">In FY 2023, there were seven health cases in which sampling did not occur even though the case files included information </w:t>
            </w:r>
            <w:r w:rsidR="00710614" w:rsidRPr="009C1B9C">
              <w:rPr>
                <w:rFonts w:asciiTheme="minorHAnsi" w:hAnsiTheme="minorHAnsi" w:cstheme="minorHAnsi"/>
                <w:sz w:val="22"/>
                <w:szCs w:val="22"/>
              </w:rPr>
              <w:t>about</w:t>
            </w:r>
            <w:r w:rsidRPr="009C1B9C">
              <w:rPr>
                <w:rFonts w:asciiTheme="minorHAnsi" w:hAnsiTheme="minorHAnsi" w:cstheme="minorHAnsi"/>
                <w:sz w:val="22"/>
                <w:szCs w:val="22"/>
              </w:rPr>
              <w:t xml:space="preserve"> worker exposure to air contaminants.  In four of the seven (57.14%) cases, the case file did not include an evaluation of worker exposure to an air contaminant, nor did the case file include documentation explaining why an evaluation did not occur.  UOSH did not follow the guidance in Chapter 9, Section I.G.4 and in Chapter 3, Section II.B.4 of the UOSH FOM.   </w:t>
            </w:r>
            <w:bookmarkEnd w:id="36"/>
            <w:r w:rsidR="00B6741C" w:rsidRPr="009C1B9C">
              <w:rPr>
                <w:rFonts w:cs="Calibri"/>
                <w:iCs/>
                <w:color w:val="0070C0"/>
                <w:sz w:val="22"/>
                <w:szCs w:val="22"/>
              </w:rPr>
              <w:tab/>
            </w:r>
          </w:p>
        </w:tc>
        <w:tc>
          <w:tcPr>
            <w:tcW w:w="2630" w:type="dxa"/>
          </w:tcPr>
          <w:p w14:paraId="016CAD6A" w14:textId="54A9F7C4" w:rsidR="00B6741C" w:rsidRPr="009C1B9C" w:rsidRDefault="00897D47" w:rsidP="00B6741C">
            <w:pPr>
              <w:widowControl/>
              <w:autoSpaceDE/>
              <w:autoSpaceDN/>
              <w:adjustRightInd/>
              <w:rPr>
                <w:rFonts w:cs="Calibri"/>
                <w:iCs/>
                <w:color w:val="0070C0"/>
                <w:sz w:val="22"/>
                <w:szCs w:val="22"/>
              </w:rPr>
            </w:pPr>
            <w:r>
              <w:rPr>
                <w:rFonts w:cs="Calibri"/>
                <w:iCs/>
                <w:sz w:val="22"/>
                <w:szCs w:val="22"/>
              </w:rPr>
              <w:t>During the next FAME</w:t>
            </w:r>
            <w:r w:rsidR="00B6741C" w:rsidRPr="009C1B9C">
              <w:rPr>
                <w:rFonts w:cs="Calibri"/>
                <w:iCs/>
                <w:sz w:val="22"/>
                <w:szCs w:val="22"/>
              </w:rPr>
              <w:t xml:space="preserve">, </w:t>
            </w:r>
            <w:r w:rsidR="00236567">
              <w:rPr>
                <w:rFonts w:cs="Calibri"/>
                <w:iCs/>
                <w:sz w:val="22"/>
                <w:szCs w:val="22"/>
              </w:rPr>
              <w:t xml:space="preserve">OSHA will perform a case file review </w:t>
            </w:r>
            <w:r w:rsidR="00B6741C" w:rsidRPr="009C1B9C">
              <w:rPr>
                <w:rFonts w:cs="Calibri"/>
                <w:iCs/>
                <w:sz w:val="22"/>
                <w:szCs w:val="22"/>
              </w:rPr>
              <w:t>to determine if this item was addressed.</w:t>
            </w:r>
          </w:p>
        </w:tc>
        <w:tc>
          <w:tcPr>
            <w:tcW w:w="2316" w:type="dxa"/>
          </w:tcPr>
          <w:p w14:paraId="4F554364" w14:textId="1FE77985" w:rsidR="00B6741C" w:rsidRPr="009C1B9C" w:rsidRDefault="00050ABB" w:rsidP="00B6741C">
            <w:pPr>
              <w:widowControl/>
              <w:autoSpaceDE/>
              <w:autoSpaceDN/>
              <w:adjustRightInd/>
              <w:rPr>
                <w:rFonts w:cs="Calibri"/>
                <w:iCs/>
                <w:color w:val="0070C0"/>
                <w:sz w:val="22"/>
                <w:szCs w:val="22"/>
              </w:rPr>
            </w:pPr>
            <w:r w:rsidRPr="009C1B9C">
              <w:rPr>
                <w:rFonts w:cs="Calibri"/>
                <w:iCs/>
                <w:sz w:val="22"/>
                <w:szCs w:val="22"/>
              </w:rPr>
              <w:t>Continued</w:t>
            </w:r>
          </w:p>
        </w:tc>
      </w:tr>
      <w:tr w:rsidR="00F4339D" w:rsidRPr="009C1B9C" w14:paraId="53B85975" w14:textId="77777777" w:rsidTr="00B6741C">
        <w:trPr>
          <w:cantSplit/>
        </w:trPr>
        <w:tc>
          <w:tcPr>
            <w:tcW w:w="2657" w:type="dxa"/>
          </w:tcPr>
          <w:p w14:paraId="3D2DDA85" w14:textId="7A1E25D6" w:rsidR="005778DD" w:rsidRPr="009C1B9C" w:rsidRDefault="005778DD" w:rsidP="005778DD">
            <w:pPr>
              <w:widowControl/>
              <w:autoSpaceDE/>
              <w:autoSpaceDN/>
              <w:adjustRightInd/>
              <w:rPr>
                <w:rFonts w:cs="Calibri"/>
                <w:iCs/>
                <w:sz w:val="22"/>
                <w:szCs w:val="22"/>
              </w:rPr>
            </w:pPr>
            <w:r w:rsidRPr="009C1B9C">
              <w:rPr>
                <w:rFonts w:cs="Calibri"/>
                <w:iCs/>
                <w:sz w:val="22"/>
                <w:szCs w:val="22"/>
              </w:rPr>
              <w:lastRenderedPageBreak/>
              <w:t>FY 2024-OB-0</w:t>
            </w:r>
            <w:r w:rsidR="00610B69" w:rsidRPr="009C1B9C">
              <w:rPr>
                <w:rFonts w:cs="Calibri"/>
                <w:iCs/>
                <w:sz w:val="22"/>
                <w:szCs w:val="22"/>
              </w:rPr>
              <w:t>3</w:t>
            </w:r>
          </w:p>
          <w:p w14:paraId="4B29DBC4" w14:textId="77777777" w:rsidR="00F4339D" w:rsidRPr="009C1B9C" w:rsidRDefault="00F4339D" w:rsidP="00B6741C">
            <w:pPr>
              <w:widowControl/>
              <w:autoSpaceDE/>
              <w:autoSpaceDN/>
              <w:adjustRightInd/>
              <w:rPr>
                <w:rFonts w:cs="Calibri"/>
                <w:iCs/>
                <w:sz w:val="22"/>
                <w:szCs w:val="22"/>
              </w:rPr>
            </w:pPr>
          </w:p>
        </w:tc>
        <w:tc>
          <w:tcPr>
            <w:tcW w:w="2690" w:type="dxa"/>
          </w:tcPr>
          <w:p w14:paraId="49F73FBB" w14:textId="77777777" w:rsidR="006E2E58" w:rsidRPr="009C1B9C" w:rsidRDefault="006E2E58" w:rsidP="006E2E58">
            <w:pPr>
              <w:widowControl/>
              <w:autoSpaceDE/>
              <w:autoSpaceDN/>
              <w:adjustRightInd/>
              <w:rPr>
                <w:rFonts w:asciiTheme="minorHAnsi" w:hAnsiTheme="minorHAnsi" w:cstheme="minorHAnsi"/>
                <w:iCs/>
                <w:sz w:val="22"/>
                <w:szCs w:val="22"/>
              </w:rPr>
            </w:pPr>
            <w:r w:rsidRPr="009C1B9C">
              <w:rPr>
                <w:rFonts w:asciiTheme="minorHAnsi" w:hAnsiTheme="minorHAnsi" w:cstheme="minorHAnsi"/>
                <w:iCs/>
                <w:sz w:val="22"/>
                <w:szCs w:val="22"/>
              </w:rPr>
              <w:t>FY 2023-OB-04</w:t>
            </w:r>
          </w:p>
          <w:p w14:paraId="1FE0BFE1" w14:textId="77777777" w:rsidR="00F4339D" w:rsidRPr="009C1B9C" w:rsidRDefault="00F4339D" w:rsidP="00050ABB">
            <w:pPr>
              <w:widowControl/>
              <w:autoSpaceDE/>
              <w:autoSpaceDN/>
              <w:adjustRightInd/>
              <w:rPr>
                <w:rFonts w:asciiTheme="minorHAnsi" w:hAnsiTheme="minorHAnsi" w:cstheme="minorHAnsi"/>
                <w:iCs/>
                <w:sz w:val="22"/>
                <w:szCs w:val="22"/>
              </w:rPr>
            </w:pPr>
          </w:p>
        </w:tc>
        <w:tc>
          <w:tcPr>
            <w:tcW w:w="2657" w:type="dxa"/>
          </w:tcPr>
          <w:p w14:paraId="0C2DCDC5" w14:textId="3ED5E678" w:rsidR="00F4339D" w:rsidRPr="009C1B9C" w:rsidRDefault="009B1E1C" w:rsidP="00B6741C">
            <w:pPr>
              <w:widowControl/>
              <w:autoSpaceDE/>
              <w:autoSpaceDN/>
              <w:adjustRightInd/>
              <w:rPr>
                <w:rFonts w:asciiTheme="minorHAnsi" w:hAnsiTheme="minorHAnsi" w:cstheme="minorHAnsi"/>
                <w:sz w:val="22"/>
                <w:szCs w:val="22"/>
              </w:rPr>
            </w:pPr>
            <w:r w:rsidRPr="009C1B9C">
              <w:rPr>
                <w:rFonts w:asciiTheme="minorHAnsi" w:hAnsiTheme="minorHAnsi" w:cstheme="minorHAnsi"/>
                <w:sz w:val="22"/>
                <w:szCs w:val="22"/>
              </w:rPr>
              <w:t>In FY 2023, 19 of 59 (32.20%) case files contained violation worksheets with inadequate evidence of employer knowledge.  UOSH did not follow the guidance in Chapter 5, Section II.C.2.i and Chapter 4, Section II.C.4 of the UOSH FOM.</w:t>
            </w:r>
          </w:p>
        </w:tc>
        <w:tc>
          <w:tcPr>
            <w:tcW w:w="2630" w:type="dxa"/>
          </w:tcPr>
          <w:p w14:paraId="543BA66D" w14:textId="58D7DD76" w:rsidR="00F4339D" w:rsidRPr="009C1B9C" w:rsidRDefault="00806FAF" w:rsidP="00B6741C">
            <w:pPr>
              <w:widowControl/>
              <w:autoSpaceDE/>
              <w:autoSpaceDN/>
              <w:adjustRightInd/>
              <w:rPr>
                <w:rFonts w:cs="Calibri"/>
                <w:iCs/>
                <w:sz w:val="22"/>
                <w:szCs w:val="22"/>
              </w:rPr>
            </w:pPr>
            <w:r w:rsidRPr="00806FAF">
              <w:rPr>
                <w:rFonts w:cs="Calibri"/>
                <w:iCs/>
                <w:sz w:val="22"/>
                <w:szCs w:val="22"/>
              </w:rPr>
              <w:t>During the next FAME, OSHA will perform a case file review to determine if this item was addressed.</w:t>
            </w:r>
          </w:p>
        </w:tc>
        <w:tc>
          <w:tcPr>
            <w:tcW w:w="2316" w:type="dxa"/>
          </w:tcPr>
          <w:p w14:paraId="0F6C95B7" w14:textId="4F9788E1" w:rsidR="00F4339D" w:rsidRPr="009C1B9C" w:rsidRDefault="006E2E58" w:rsidP="00B6741C">
            <w:pPr>
              <w:widowControl/>
              <w:autoSpaceDE/>
              <w:autoSpaceDN/>
              <w:adjustRightInd/>
              <w:rPr>
                <w:rFonts w:cs="Calibri"/>
                <w:iCs/>
                <w:sz w:val="22"/>
                <w:szCs w:val="22"/>
              </w:rPr>
            </w:pPr>
            <w:r w:rsidRPr="009C1B9C">
              <w:rPr>
                <w:rFonts w:cs="Calibri"/>
                <w:iCs/>
                <w:sz w:val="22"/>
                <w:szCs w:val="22"/>
              </w:rPr>
              <w:t>Continued</w:t>
            </w:r>
          </w:p>
        </w:tc>
      </w:tr>
      <w:tr w:rsidR="006E2E58" w:rsidRPr="009C1B9C" w14:paraId="3D80B4A3" w14:textId="77777777" w:rsidTr="00B6741C">
        <w:trPr>
          <w:cantSplit/>
        </w:trPr>
        <w:tc>
          <w:tcPr>
            <w:tcW w:w="2657" w:type="dxa"/>
          </w:tcPr>
          <w:p w14:paraId="5D5AD5DD" w14:textId="6C73274F" w:rsidR="00610B69" w:rsidRPr="009C1B9C" w:rsidRDefault="00610B69" w:rsidP="00610B69">
            <w:pPr>
              <w:widowControl/>
              <w:autoSpaceDE/>
              <w:autoSpaceDN/>
              <w:adjustRightInd/>
              <w:rPr>
                <w:rFonts w:cs="Calibri"/>
                <w:iCs/>
                <w:sz w:val="22"/>
                <w:szCs w:val="22"/>
              </w:rPr>
            </w:pPr>
            <w:r w:rsidRPr="009C1B9C">
              <w:rPr>
                <w:rFonts w:cs="Calibri"/>
                <w:iCs/>
                <w:sz w:val="22"/>
                <w:szCs w:val="22"/>
              </w:rPr>
              <w:t>FY 2024-OB-0</w:t>
            </w:r>
            <w:r w:rsidR="009172E0" w:rsidRPr="009C1B9C">
              <w:rPr>
                <w:rFonts w:cs="Calibri"/>
                <w:iCs/>
                <w:sz w:val="22"/>
                <w:szCs w:val="22"/>
              </w:rPr>
              <w:t>4</w:t>
            </w:r>
          </w:p>
          <w:p w14:paraId="53A9E186" w14:textId="77777777" w:rsidR="006E2E58" w:rsidRPr="009C1B9C" w:rsidRDefault="006E2E58" w:rsidP="005778DD">
            <w:pPr>
              <w:widowControl/>
              <w:autoSpaceDE/>
              <w:autoSpaceDN/>
              <w:adjustRightInd/>
              <w:rPr>
                <w:rFonts w:cs="Calibri"/>
                <w:iCs/>
                <w:sz w:val="22"/>
                <w:szCs w:val="22"/>
              </w:rPr>
            </w:pPr>
          </w:p>
        </w:tc>
        <w:tc>
          <w:tcPr>
            <w:tcW w:w="2690" w:type="dxa"/>
          </w:tcPr>
          <w:p w14:paraId="4D79D9FA" w14:textId="77777777" w:rsidR="00610B69" w:rsidRPr="009C1B9C" w:rsidRDefault="00610B69" w:rsidP="00610B69">
            <w:pPr>
              <w:widowControl/>
              <w:autoSpaceDE/>
              <w:autoSpaceDN/>
              <w:adjustRightInd/>
              <w:rPr>
                <w:rFonts w:asciiTheme="minorHAnsi" w:hAnsiTheme="minorHAnsi" w:cstheme="minorHAnsi"/>
                <w:iCs/>
                <w:sz w:val="22"/>
                <w:szCs w:val="22"/>
              </w:rPr>
            </w:pPr>
            <w:r w:rsidRPr="009C1B9C">
              <w:rPr>
                <w:rFonts w:asciiTheme="minorHAnsi" w:hAnsiTheme="minorHAnsi" w:cstheme="minorHAnsi"/>
                <w:iCs/>
                <w:sz w:val="22"/>
                <w:szCs w:val="22"/>
              </w:rPr>
              <w:t>FY 2023-OB-05</w:t>
            </w:r>
          </w:p>
          <w:p w14:paraId="373DAA2C" w14:textId="77777777" w:rsidR="006E2E58" w:rsidRPr="009C1B9C" w:rsidRDefault="006E2E58" w:rsidP="006E2E58">
            <w:pPr>
              <w:widowControl/>
              <w:autoSpaceDE/>
              <w:autoSpaceDN/>
              <w:adjustRightInd/>
              <w:rPr>
                <w:rFonts w:asciiTheme="minorHAnsi" w:hAnsiTheme="minorHAnsi" w:cstheme="minorHAnsi"/>
                <w:iCs/>
                <w:sz w:val="22"/>
                <w:szCs w:val="22"/>
              </w:rPr>
            </w:pPr>
          </w:p>
        </w:tc>
        <w:tc>
          <w:tcPr>
            <w:tcW w:w="2657" w:type="dxa"/>
          </w:tcPr>
          <w:p w14:paraId="53B62151" w14:textId="1AD7A9A8" w:rsidR="006E2E58" w:rsidRPr="009C1B9C" w:rsidRDefault="00D04573" w:rsidP="00B6741C">
            <w:pPr>
              <w:widowControl/>
              <w:autoSpaceDE/>
              <w:autoSpaceDN/>
              <w:adjustRightInd/>
              <w:rPr>
                <w:rFonts w:asciiTheme="minorHAnsi" w:hAnsiTheme="minorHAnsi" w:cstheme="minorHAnsi"/>
                <w:sz w:val="22"/>
                <w:szCs w:val="22"/>
              </w:rPr>
            </w:pPr>
            <w:r w:rsidRPr="009C1B9C">
              <w:rPr>
                <w:rFonts w:asciiTheme="minorHAnsi" w:hAnsiTheme="minorHAnsi" w:cstheme="minorHAnsi"/>
                <w:bCs/>
                <w:iCs/>
                <w:sz w:val="22"/>
                <w:szCs w:val="22"/>
              </w:rPr>
              <w:t>In FY 2023, twelve of 25 (48%) complaint investigations reviewed were closed prior to completion or receipt of abatement.  Seven of 25 (28%) complaint investigation case files did not contain documentation of a written response from the employer regarding abatement.  UOSH did not follow the guidance in Chapter 9, Section I.H.9 and Chapter 9, Section I.H.3.b of the UOSH FOM.</w:t>
            </w:r>
          </w:p>
        </w:tc>
        <w:tc>
          <w:tcPr>
            <w:tcW w:w="2630" w:type="dxa"/>
          </w:tcPr>
          <w:p w14:paraId="0D28F745" w14:textId="3B4B42CB" w:rsidR="006E2E58" w:rsidRPr="009C1B9C" w:rsidRDefault="00806FAF" w:rsidP="00B6741C">
            <w:pPr>
              <w:widowControl/>
              <w:autoSpaceDE/>
              <w:autoSpaceDN/>
              <w:adjustRightInd/>
              <w:rPr>
                <w:rFonts w:cs="Calibri"/>
                <w:iCs/>
                <w:sz w:val="22"/>
                <w:szCs w:val="22"/>
              </w:rPr>
            </w:pPr>
            <w:r w:rsidRPr="00806FAF">
              <w:rPr>
                <w:rFonts w:cs="Calibri"/>
                <w:iCs/>
                <w:sz w:val="22"/>
                <w:szCs w:val="22"/>
              </w:rPr>
              <w:t>During the next FAME, OSHA will perform a case file review to determine if this item was addressed.</w:t>
            </w:r>
          </w:p>
        </w:tc>
        <w:tc>
          <w:tcPr>
            <w:tcW w:w="2316" w:type="dxa"/>
          </w:tcPr>
          <w:p w14:paraId="77A2D98C" w14:textId="194C037E" w:rsidR="006E2E58" w:rsidRPr="009C1B9C" w:rsidRDefault="00610B69" w:rsidP="00B6741C">
            <w:pPr>
              <w:widowControl/>
              <w:autoSpaceDE/>
              <w:autoSpaceDN/>
              <w:adjustRightInd/>
              <w:rPr>
                <w:rFonts w:cs="Calibri"/>
                <w:iCs/>
                <w:sz w:val="22"/>
                <w:szCs w:val="22"/>
              </w:rPr>
            </w:pPr>
            <w:r w:rsidRPr="009C1B9C">
              <w:rPr>
                <w:rFonts w:cs="Calibri"/>
                <w:iCs/>
                <w:sz w:val="22"/>
                <w:szCs w:val="22"/>
              </w:rPr>
              <w:t>Continued</w:t>
            </w:r>
          </w:p>
        </w:tc>
      </w:tr>
      <w:tr w:rsidR="00610B69" w:rsidRPr="009C1B9C" w14:paraId="3F0DE315" w14:textId="77777777" w:rsidTr="00B6741C">
        <w:trPr>
          <w:cantSplit/>
        </w:trPr>
        <w:tc>
          <w:tcPr>
            <w:tcW w:w="2657" w:type="dxa"/>
          </w:tcPr>
          <w:p w14:paraId="36691DD8" w14:textId="77777777" w:rsidR="00610B69" w:rsidRPr="009C1B9C" w:rsidRDefault="00610B69" w:rsidP="00610B69">
            <w:pPr>
              <w:widowControl/>
              <w:autoSpaceDE/>
              <w:autoSpaceDN/>
              <w:adjustRightInd/>
              <w:rPr>
                <w:rFonts w:cs="Calibri"/>
                <w:iCs/>
                <w:sz w:val="22"/>
                <w:szCs w:val="22"/>
              </w:rPr>
            </w:pPr>
          </w:p>
        </w:tc>
        <w:tc>
          <w:tcPr>
            <w:tcW w:w="2690" w:type="dxa"/>
          </w:tcPr>
          <w:p w14:paraId="4A3F8D14" w14:textId="77777777" w:rsidR="00DB2859" w:rsidRPr="009C1B9C" w:rsidRDefault="00DB2859" w:rsidP="00DB2859">
            <w:pPr>
              <w:widowControl/>
              <w:autoSpaceDE/>
              <w:autoSpaceDN/>
              <w:adjustRightInd/>
              <w:rPr>
                <w:rFonts w:asciiTheme="minorHAnsi" w:hAnsiTheme="minorHAnsi" w:cstheme="minorHAnsi"/>
                <w:iCs/>
                <w:sz w:val="22"/>
                <w:szCs w:val="22"/>
              </w:rPr>
            </w:pPr>
            <w:r w:rsidRPr="009C1B9C">
              <w:rPr>
                <w:rFonts w:asciiTheme="minorHAnsi" w:hAnsiTheme="minorHAnsi" w:cstheme="minorHAnsi"/>
                <w:iCs/>
                <w:sz w:val="22"/>
                <w:szCs w:val="22"/>
              </w:rPr>
              <w:t>FY 2023-OB-01</w:t>
            </w:r>
          </w:p>
          <w:p w14:paraId="61A54E2B" w14:textId="77777777" w:rsidR="0011492C" w:rsidRPr="009C1B9C" w:rsidRDefault="0011492C" w:rsidP="0011492C">
            <w:pPr>
              <w:widowControl/>
              <w:autoSpaceDE/>
              <w:autoSpaceDN/>
              <w:adjustRightInd/>
              <w:rPr>
                <w:rFonts w:asciiTheme="minorHAnsi" w:hAnsiTheme="minorHAnsi" w:cstheme="minorHAnsi"/>
                <w:sz w:val="22"/>
                <w:szCs w:val="22"/>
              </w:rPr>
            </w:pPr>
            <w:r w:rsidRPr="009C1B9C">
              <w:rPr>
                <w:rFonts w:asciiTheme="minorHAnsi" w:hAnsiTheme="minorHAnsi" w:cstheme="minorHAnsi"/>
                <w:sz w:val="22"/>
                <w:szCs w:val="22"/>
              </w:rPr>
              <w:t>FY 2022-OB-01</w:t>
            </w:r>
          </w:p>
          <w:p w14:paraId="1DB4B58B" w14:textId="77777777" w:rsidR="0011492C" w:rsidRPr="009C1B9C" w:rsidRDefault="0011492C" w:rsidP="0011492C">
            <w:pPr>
              <w:widowControl/>
              <w:autoSpaceDE/>
              <w:autoSpaceDN/>
              <w:adjustRightInd/>
              <w:rPr>
                <w:rFonts w:asciiTheme="minorHAnsi" w:hAnsiTheme="minorHAnsi" w:cstheme="minorHAnsi"/>
                <w:iCs/>
                <w:sz w:val="22"/>
                <w:szCs w:val="22"/>
              </w:rPr>
            </w:pPr>
            <w:r w:rsidRPr="009C1B9C">
              <w:rPr>
                <w:rFonts w:asciiTheme="minorHAnsi" w:hAnsiTheme="minorHAnsi" w:cstheme="minorHAnsi"/>
                <w:sz w:val="22"/>
                <w:szCs w:val="22"/>
              </w:rPr>
              <w:t>FY 2021-OB-03</w:t>
            </w:r>
          </w:p>
          <w:p w14:paraId="6EEBA852" w14:textId="77777777" w:rsidR="0011492C" w:rsidRPr="009C1B9C" w:rsidRDefault="0011492C" w:rsidP="00DB2859">
            <w:pPr>
              <w:widowControl/>
              <w:autoSpaceDE/>
              <w:autoSpaceDN/>
              <w:adjustRightInd/>
              <w:rPr>
                <w:rFonts w:asciiTheme="minorHAnsi" w:hAnsiTheme="minorHAnsi" w:cstheme="minorHAnsi"/>
                <w:iCs/>
                <w:color w:val="FF0000"/>
                <w:sz w:val="22"/>
                <w:szCs w:val="22"/>
              </w:rPr>
            </w:pPr>
          </w:p>
          <w:p w14:paraId="79AAC204" w14:textId="77777777" w:rsidR="00610B69" w:rsidRPr="009C1B9C" w:rsidRDefault="00610B69" w:rsidP="00610B69">
            <w:pPr>
              <w:widowControl/>
              <w:autoSpaceDE/>
              <w:autoSpaceDN/>
              <w:adjustRightInd/>
              <w:rPr>
                <w:rFonts w:asciiTheme="minorHAnsi" w:hAnsiTheme="minorHAnsi" w:cstheme="minorHAnsi"/>
                <w:iCs/>
                <w:sz w:val="22"/>
                <w:szCs w:val="22"/>
              </w:rPr>
            </w:pPr>
          </w:p>
        </w:tc>
        <w:tc>
          <w:tcPr>
            <w:tcW w:w="2657" w:type="dxa"/>
          </w:tcPr>
          <w:p w14:paraId="26E2142F" w14:textId="7C39E7C7" w:rsidR="00610B69" w:rsidRPr="009C1B9C" w:rsidRDefault="004F02C6" w:rsidP="00B6741C">
            <w:pPr>
              <w:widowControl/>
              <w:autoSpaceDE/>
              <w:autoSpaceDN/>
              <w:adjustRightInd/>
              <w:rPr>
                <w:rFonts w:asciiTheme="minorHAnsi" w:hAnsiTheme="minorHAnsi" w:cstheme="minorHAnsi"/>
                <w:bCs/>
                <w:iCs/>
                <w:sz w:val="22"/>
                <w:szCs w:val="22"/>
              </w:rPr>
            </w:pPr>
            <w:r w:rsidRPr="009C1B9C">
              <w:rPr>
                <w:rFonts w:asciiTheme="minorHAnsi" w:hAnsiTheme="minorHAnsi" w:cstheme="minorHAnsi"/>
                <w:sz w:val="22"/>
                <w:szCs w:val="22"/>
              </w:rPr>
              <w:t>During FY 2022 and FY 2023, the State Plan issued FTA violations to four employers.  The four inspections resulted in seven FTA violations, but the penalty amounts for the inspections were significantly below those outlined by UOSH’s FOM for FTA violations.</w:t>
            </w:r>
            <w:r w:rsidRPr="009C1B9C">
              <w:rPr>
                <w:rFonts w:asciiTheme="minorHAnsi" w:hAnsiTheme="minorHAnsi" w:cstheme="minorHAnsi"/>
                <w:i/>
                <w:sz w:val="22"/>
                <w:szCs w:val="22"/>
              </w:rPr>
              <w:tab/>
            </w:r>
          </w:p>
        </w:tc>
        <w:tc>
          <w:tcPr>
            <w:tcW w:w="2630" w:type="dxa"/>
          </w:tcPr>
          <w:p w14:paraId="4A2D04F3" w14:textId="77777777" w:rsidR="00610B69" w:rsidRPr="009C1B9C" w:rsidRDefault="00610B69" w:rsidP="00B6741C">
            <w:pPr>
              <w:widowControl/>
              <w:autoSpaceDE/>
              <w:autoSpaceDN/>
              <w:adjustRightInd/>
              <w:rPr>
                <w:rFonts w:cs="Calibri"/>
                <w:iCs/>
                <w:sz w:val="22"/>
                <w:szCs w:val="22"/>
              </w:rPr>
            </w:pPr>
          </w:p>
        </w:tc>
        <w:tc>
          <w:tcPr>
            <w:tcW w:w="2316" w:type="dxa"/>
          </w:tcPr>
          <w:p w14:paraId="3C23A8C2" w14:textId="58AB7D70" w:rsidR="00610B69" w:rsidRPr="009C1B9C" w:rsidRDefault="00CD1BB9" w:rsidP="00B6741C">
            <w:pPr>
              <w:widowControl/>
              <w:autoSpaceDE/>
              <w:autoSpaceDN/>
              <w:adjustRightInd/>
              <w:rPr>
                <w:rFonts w:cs="Calibri"/>
                <w:iCs/>
                <w:sz w:val="22"/>
                <w:szCs w:val="22"/>
              </w:rPr>
            </w:pPr>
            <w:r w:rsidRPr="009C1B9C">
              <w:rPr>
                <w:rFonts w:cs="Calibri"/>
                <w:iCs/>
                <w:sz w:val="22"/>
                <w:szCs w:val="22"/>
              </w:rPr>
              <w:t>Closed</w:t>
            </w:r>
          </w:p>
        </w:tc>
      </w:tr>
      <w:tr w:rsidR="004F02C6" w:rsidRPr="009C1B9C" w14:paraId="77EB689C" w14:textId="77777777" w:rsidTr="00B6741C">
        <w:trPr>
          <w:cantSplit/>
        </w:trPr>
        <w:tc>
          <w:tcPr>
            <w:tcW w:w="2657" w:type="dxa"/>
          </w:tcPr>
          <w:p w14:paraId="79713F53" w14:textId="77777777" w:rsidR="004F02C6" w:rsidRPr="009C1B9C" w:rsidRDefault="004F02C6" w:rsidP="00610B69">
            <w:pPr>
              <w:widowControl/>
              <w:autoSpaceDE/>
              <w:autoSpaceDN/>
              <w:adjustRightInd/>
              <w:rPr>
                <w:rFonts w:cs="Calibri"/>
                <w:iCs/>
                <w:sz w:val="22"/>
                <w:szCs w:val="22"/>
              </w:rPr>
            </w:pPr>
          </w:p>
        </w:tc>
        <w:tc>
          <w:tcPr>
            <w:tcW w:w="2690" w:type="dxa"/>
          </w:tcPr>
          <w:p w14:paraId="503DD4BA" w14:textId="77777777" w:rsidR="00FE35DB" w:rsidRPr="009C1B9C" w:rsidRDefault="00FE35DB" w:rsidP="00FE35DB">
            <w:pPr>
              <w:widowControl/>
              <w:autoSpaceDE/>
              <w:autoSpaceDN/>
              <w:adjustRightInd/>
              <w:rPr>
                <w:rFonts w:asciiTheme="minorHAnsi" w:hAnsiTheme="minorHAnsi" w:cstheme="minorHAnsi"/>
                <w:iCs/>
                <w:sz w:val="22"/>
                <w:szCs w:val="22"/>
              </w:rPr>
            </w:pPr>
            <w:r w:rsidRPr="009C1B9C">
              <w:rPr>
                <w:rFonts w:asciiTheme="minorHAnsi" w:hAnsiTheme="minorHAnsi" w:cstheme="minorHAnsi"/>
                <w:iCs/>
                <w:sz w:val="22"/>
                <w:szCs w:val="22"/>
              </w:rPr>
              <w:t>FY 2023-OB-06</w:t>
            </w:r>
          </w:p>
          <w:p w14:paraId="08973E87" w14:textId="77777777" w:rsidR="004F02C6" w:rsidRPr="009C1B9C" w:rsidRDefault="004F02C6" w:rsidP="00610B69">
            <w:pPr>
              <w:widowControl/>
              <w:autoSpaceDE/>
              <w:autoSpaceDN/>
              <w:adjustRightInd/>
              <w:rPr>
                <w:rFonts w:asciiTheme="minorHAnsi" w:hAnsiTheme="minorHAnsi" w:cstheme="minorHAnsi"/>
                <w:iCs/>
                <w:sz w:val="22"/>
                <w:szCs w:val="22"/>
              </w:rPr>
            </w:pPr>
          </w:p>
        </w:tc>
        <w:tc>
          <w:tcPr>
            <w:tcW w:w="2657" w:type="dxa"/>
          </w:tcPr>
          <w:p w14:paraId="2D467FC2" w14:textId="700CC35A" w:rsidR="004F02C6" w:rsidRPr="009C1B9C" w:rsidRDefault="00794DAB" w:rsidP="00B6741C">
            <w:pPr>
              <w:widowControl/>
              <w:autoSpaceDE/>
              <w:autoSpaceDN/>
              <w:adjustRightInd/>
              <w:rPr>
                <w:rFonts w:asciiTheme="minorHAnsi" w:hAnsiTheme="minorHAnsi" w:cstheme="minorHAnsi"/>
                <w:sz w:val="22"/>
                <w:szCs w:val="22"/>
              </w:rPr>
            </w:pPr>
            <w:r w:rsidRPr="009C1B9C">
              <w:rPr>
                <w:rFonts w:asciiTheme="minorHAnsi" w:hAnsiTheme="minorHAnsi" w:cstheme="minorHAnsi"/>
                <w:sz w:val="22"/>
                <w:szCs w:val="22"/>
              </w:rPr>
              <w:t>Three of three (100%) standards promulgated during the period FY 2020 through FY 2023 and whose State Plan adoption deadlines were within the same period were not adopted in a timely manner.  UOSH has not implemented a process to adopt standards by their required deadlines.</w:t>
            </w:r>
          </w:p>
        </w:tc>
        <w:tc>
          <w:tcPr>
            <w:tcW w:w="2630" w:type="dxa"/>
          </w:tcPr>
          <w:p w14:paraId="04A01098" w14:textId="77777777" w:rsidR="004F02C6" w:rsidRPr="009C1B9C" w:rsidRDefault="004F02C6" w:rsidP="00B6741C">
            <w:pPr>
              <w:widowControl/>
              <w:autoSpaceDE/>
              <w:autoSpaceDN/>
              <w:adjustRightInd/>
              <w:rPr>
                <w:rFonts w:cs="Calibri"/>
                <w:iCs/>
                <w:sz w:val="22"/>
                <w:szCs w:val="22"/>
              </w:rPr>
            </w:pPr>
          </w:p>
        </w:tc>
        <w:tc>
          <w:tcPr>
            <w:tcW w:w="2316" w:type="dxa"/>
          </w:tcPr>
          <w:p w14:paraId="0BA945E7" w14:textId="7517E177" w:rsidR="004F02C6" w:rsidRPr="009C1B9C" w:rsidRDefault="00CD1BB9" w:rsidP="00B6741C">
            <w:pPr>
              <w:widowControl/>
              <w:autoSpaceDE/>
              <w:autoSpaceDN/>
              <w:adjustRightInd/>
              <w:rPr>
                <w:rFonts w:cs="Calibri"/>
                <w:iCs/>
                <w:sz w:val="22"/>
                <w:szCs w:val="22"/>
              </w:rPr>
            </w:pPr>
            <w:r w:rsidRPr="009C1B9C">
              <w:rPr>
                <w:rFonts w:cs="Calibri"/>
                <w:iCs/>
                <w:sz w:val="22"/>
                <w:szCs w:val="22"/>
              </w:rPr>
              <w:t>Closed</w:t>
            </w:r>
          </w:p>
        </w:tc>
      </w:tr>
    </w:tbl>
    <w:p w14:paraId="2352A70A" w14:textId="7478DFBA" w:rsidR="00E759AB" w:rsidRPr="009C1B9C" w:rsidRDefault="00E759AB" w:rsidP="007A71AC">
      <w:pPr>
        <w:widowControl/>
        <w:autoSpaceDE/>
        <w:autoSpaceDN/>
        <w:adjustRightInd/>
        <w:rPr>
          <w:rFonts w:cs="Calibri"/>
          <w:i/>
          <w:sz w:val="22"/>
          <w:szCs w:val="22"/>
        </w:rPr>
      </w:pPr>
    </w:p>
    <w:p w14:paraId="1BA64E2F" w14:textId="77777777" w:rsidR="000A134A" w:rsidRPr="009C1B9C" w:rsidRDefault="000A134A" w:rsidP="007A71AC">
      <w:pPr>
        <w:widowControl/>
        <w:autoSpaceDE/>
        <w:autoSpaceDN/>
        <w:adjustRightInd/>
        <w:rPr>
          <w:rFonts w:cs="Calibri"/>
          <w:bCs/>
          <w:iCs/>
          <w:color w:val="0070C0"/>
          <w:sz w:val="22"/>
          <w:szCs w:val="22"/>
        </w:rPr>
      </w:pPr>
    </w:p>
    <w:p w14:paraId="3CBB7B73" w14:textId="77777777" w:rsidR="000A134A" w:rsidRPr="009C1B9C" w:rsidRDefault="000A134A" w:rsidP="007A71AC">
      <w:pPr>
        <w:widowControl/>
        <w:autoSpaceDE/>
        <w:autoSpaceDN/>
        <w:adjustRightInd/>
        <w:rPr>
          <w:rFonts w:cs="Calibri"/>
          <w:bCs/>
          <w:iCs/>
          <w:color w:val="0070C0"/>
          <w:sz w:val="22"/>
          <w:szCs w:val="22"/>
        </w:rPr>
      </w:pPr>
    </w:p>
    <w:p w14:paraId="033D154E" w14:textId="393DA91E" w:rsidR="000A134A" w:rsidRPr="009C1B9C" w:rsidRDefault="000A134A" w:rsidP="00FE35DB">
      <w:pPr>
        <w:widowControl/>
        <w:autoSpaceDE/>
        <w:autoSpaceDN/>
        <w:adjustRightInd/>
        <w:ind w:left="780"/>
        <w:rPr>
          <w:rFonts w:cs="Calibri"/>
          <w:bCs/>
          <w:iCs/>
          <w:color w:val="0070C0"/>
          <w:sz w:val="22"/>
          <w:szCs w:val="22"/>
        </w:rPr>
      </w:pPr>
    </w:p>
    <w:p w14:paraId="3912394D" w14:textId="77777777" w:rsidR="000A134A" w:rsidRPr="009C1B9C" w:rsidRDefault="000A134A" w:rsidP="007A71AC">
      <w:pPr>
        <w:widowControl/>
        <w:autoSpaceDE/>
        <w:autoSpaceDN/>
        <w:adjustRightInd/>
        <w:rPr>
          <w:rFonts w:cs="Calibri"/>
          <w:bCs/>
          <w:iCs/>
          <w:sz w:val="22"/>
          <w:szCs w:val="22"/>
        </w:rPr>
      </w:pPr>
    </w:p>
    <w:p w14:paraId="183EDE01" w14:textId="1675A6FA" w:rsidR="00892D3A" w:rsidRPr="009C1B9C" w:rsidRDefault="00892D3A" w:rsidP="00996CB7">
      <w:pPr>
        <w:tabs>
          <w:tab w:val="left" w:pos="6980"/>
        </w:tabs>
        <w:rPr>
          <w:rFonts w:cs="Calibri"/>
          <w:bCs/>
          <w:iCs/>
          <w:sz w:val="22"/>
          <w:szCs w:val="22"/>
        </w:rPr>
      </w:pPr>
      <w:r w:rsidRPr="009C1B9C">
        <w:rPr>
          <w:rFonts w:cs="Calibri"/>
          <w:bCs/>
          <w:iCs/>
          <w:sz w:val="22"/>
          <w:szCs w:val="22"/>
        </w:rPr>
        <w:tab/>
      </w:r>
    </w:p>
    <w:p w14:paraId="5966FA9F" w14:textId="448AA8AC" w:rsidR="0065591D" w:rsidRPr="009C1B9C" w:rsidRDefault="00892D3A" w:rsidP="00996CB7">
      <w:pPr>
        <w:tabs>
          <w:tab w:val="left" w:pos="6980"/>
        </w:tabs>
        <w:rPr>
          <w:rFonts w:cs="Calibri"/>
          <w:sz w:val="22"/>
          <w:szCs w:val="22"/>
        </w:rPr>
        <w:sectPr w:rsidR="0065591D" w:rsidRPr="009C1B9C" w:rsidSect="00476C08">
          <w:headerReference w:type="first" r:id="rId16"/>
          <w:footerReference w:type="first" r:id="rId17"/>
          <w:type w:val="continuous"/>
          <w:pgSz w:w="15840" w:h="12240" w:orient="landscape"/>
          <w:pgMar w:top="1440" w:right="1440" w:bottom="1440" w:left="1440" w:header="720" w:footer="720" w:gutter="0"/>
          <w:cols w:space="720"/>
          <w:titlePg/>
          <w:docGrid w:linePitch="360"/>
        </w:sectPr>
      </w:pPr>
      <w:r w:rsidRPr="009C1B9C">
        <w:rPr>
          <w:rFonts w:cs="Calibri"/>
          <w:sz w:val="22"/>
          <w:szCs w:val="22"/>
        </w:rPr>
        <w:tab/>
      </w:r>
    </w:p>
    <w:p w14:paraId="01176981" w14:textId="4C1EDDED" w:rsidR="00747710" w:rsidRDefault="00747710" w:rsidP="001D45C8">
      <w:pPr>
        <w:pStyle w:val="Heading3"/>
        <w:numPr>
          <w:ilvl w:val="0"/>
          <w:numId w:val="0"/>
        </w:numPr>
      </w:pPr>
      <w:bookmarkStart w:id="37" w:name="_Toc118905019"/>
      <w:bookmarkStart w:id="38" w:name="_Toc119418671"/>
      <w:r w:rsidRPr="00747710">
        <w:lastRenderedPageBreak/>
        <w:t>Appendix C - Status of FY 20</w:t>
      </w:r>
      <w:r w:rsidR="00B91983">
        <w:t>23</w:t>
      </w:r>
      <w:r w:rsidRPr="00747710">
        <w:t xml:space="preserve"> Findings and Recommendations</w:t>
      </w:r>
      <w:bookmarkEnd w:id="37"/>
      <w:bookmarkEnd w:id="38"/>
    </w:p>
    <w:p w14:paraId="3D850E81" w14:textId="0D938484" w:rsidR="00747710" w:rsidRPr="00747710" w:rsidRDefault="00747710" w:rsidP="005367D5">
      <w:r w:rsidRPr="00747710">
        <w:t xml:space="preserve">FY </w:t>
      </w:r>
      <w:r w:rsidRPr="00382350">
        <w:t>20</w:t>
      </w:r>
      <w:r w:rsidR="00B91983" w:rsidRPr="00382350">
        <w:t>24</w:t>
      </w:r>
      <w:r w:rsidRPr="00382350">
        <w:t xml:space="preserve"> </w:t>
      </w:r>
      <w:r w:rsidR="00382350" w:rsidRPr="00382350">
        <w:t>UOSH</w:t>
      </w:r>
      <w:r w:rsidRPr="00382350">
        <w:t xml:space="preserve"> </w:t>
      </w:r>
      <w:r w:rsidRPr="00747710">
        <w:t>Follow-up FAME Report</w:t>
      </w:r>
    </w:p>
    <w:p w14:paraId="45E6B5CB" w14:textId="3ED906A9" w:rsidR="005367D5" w:rsidRDefault="005367D5" w:rsidP="007A71AC">
      <w:pPr>
        <w:widowControl/>
        <w:autoSpaceDE/>
        <w:autoSpaceDN/>
        <w:adjustRightInd/>
        <w:rPr>
          <w:rFonts w:cs="Calibri"/>
          <w:iCs/>
        </w:rPr>
      </w:pPr>
    </w:p>
    <w:tbl>
      <w:tblPr>
        <w:tblStyle w:val="TableGridLight"/>
        <w:tblpPr w:leftFromText="180" w:rightFromText="180" w:vertAnchor="page" w:horzAnchor="page" w:tblpX="1202" w:tblpY="2409"/>
        <w:tblW w:w="13585" w:type="dxa"/>
        <w:tblLayout w:type="fixed"/>
        <w:tblLook w:val="00A0" w:firstRow="1" w:lastRow="0" w:firstColumn="1" w:lastColumn="0" w:noHBand="0" w:noVBand="0"/>
      </w:tblPr>
      <w:tblGrid>
        <w:gridCol w:w="1435"/>
        <w:gridCol w:w="2098"/>
        <w:gridCol w:w="2250"/>
        <w:gridCol w:w="3960"/>
        <w:gridCol w:w="1592"/>
        <w:gridCol w:w="2250"/>
      </w:tblGrid>
      <w:tr w:rsidR="005367D5" w:rsidRPr="001C1E47" w14:paraId="04152CB8" w14:textId="77777777" w:rsidTr="00D93CB3">
        <w:trPr>
          <w:trHeight w:val="412"/>
        </w:trPr>
        <w:tc>
          <w:tcPr>
            <w:tcW w:w="1435" w:type="dxa"/>
          </w:tcPr>
          <w:p w14:paraId="0FAB4AA2" w14:textId="605DC311" w:rsidR="005367D5" w:rsidRPr="001C1E47" w:rsidRDefault="005367D5" w:rsidP="00D93CB3">
            <w:pPr>
              <w:rPr>
                <w:rFonts w:cs="Calibri"/>
                <w:b/>
              </w:rPr>
            </w:pPr>
            <w:r w:rsidRPr="001C1E47">
              <w:rPr>
                <w:rFonts w:cs="Calibri"/>
                <w:b/>
              </w:rPr>
              <w:t xml:space="preserve">FY </w:t>
            </w:r>
            <w:r w:rsidRPr="00964C1F">
              <w:rPr>
                <w:rFonts w:cs="Calibri"/>
                <w:b/>
              </w:rPr>
              <w:t>20</w:t>
            </w:r>
            <w:r w:rsidR="001B184D" w:rsidRPr="00964C1F">
              <w:rPr>
                <w:rFonts w:cs="Calibri"/>
                <w:b/>
              </w:rPr>
              <w:t>24</w:t>
            </w:r>
            <w:r w:rsidRPr="00964C1F">
              <w:rPr>
                <w:rFonts w:cs="Calibri"/>
                <w:b/>
              </w:rPr>
              <w:t>-#</w:t>
            </w:r>
          </w:p>
        </w:tc>
        <w:tc>
          <w:tcPr>
            <w:tcW w:w="2098" w:type="dxa"/>
          </w:tcPr>
          <w:p w14:paraId="395AE41F" w14:textId="77777777" w:rsidR="005367D5" w:rsidRPr="001C1E47" w:rsidRDefault="005367D5" w:rsidP="00D93CB3">
            <w:pPr>
              <w:rPr>
                <w:rFonts w:cs="Calibri"/>
                <w:b/>
              </w:rPr>
            </w:pPr>
            <w:r w:rsidRPr="001C1E47">
              <w:rPr>
                <w:rFonts w:cs="Calibri"/>
                <w:b/>
              </w:rPr>
              <w:t>Finding</w:t>
            </w:r>
          </w:p>
        </w:tc>
        <w:tc>
          <w:tcPr>
            <w:tcW w:w="2250" w:type="dxa"/>
          </w:tcPr>
          <w:p w14:paraId="6EEE46BC" w14:textId="77777777" w:rsidR="005367D5" w:rsidRPr="001C1E47" w:rsidRDefault="005367D5" w:rsidP="00D93CB3">
            <w:pPr>
              <w:rPr>
                <w:rFonts w:cs="Calibri"/>
                <w:b/>
              </w:rPr>
            </w:pPr>
            <w:r w:rsidRPr="001C1E47">
              <w:rPr>
                <w:rFonts w:cs="Calibri"/>
                <w:b/>
              </w:rPr>
              <w:t>Recommendation</w:t>
            </w:r>
          </w:p>
        </w:tc>
        <w:tc>
          <w:tcPr>
            <w:tcW w:w="3960" w:type="dxa"/>
          </w:tcPr>
          <w:p w14:paraId="461C9375" w14:textId="77777777" w:rsidR="005367D5" w:rsidRPr="001C1E47" w:rsidRDefault="005367D5" w:rsidP="00D93CB3">
            <w:pPr>
              <w:rPr>
                <w:rFonts w:cs="Calibri"/>
                <w:b/>
              </w:rPr>
            </w:pPr>
            <w:r w:rsidRPr="001C1E47">
              <w:rPr>
                <w:rFonts w:cs="Calibri"/>
                <w:b/>
              </w:rPr>
              <w:t>State Plan Corrective Action</w:t>
            </w:r>
          </w:p>
        </w:tc>
        <w:tc>
          <w:tcPr>
            <w:tcW w:w="1592" w:type="dxa"/>
          </w:tcPr>
          <w:p w14:paraId="5151BE67" w14:textId="77777777" w:rsidR="005367D5" w:rsidRPr="001C1E47" w:rsidRDefault="005367D5" w:rsidP="00D93CB3">
            <w:pPr>
              <w:rPr>
                <w:rFonts w:cs="Calibri"/>
                <w:b/>
              </w:rPr>
            </w:pPr>
            <w:r w:rsidRPr="001C1E47">
              <w:rPr>
                <w:rFonts w:cs="Calibri"/>
                <w:b/>
              </w:rPr>
              <w:t>Completion Date</w:t>
            </w:r>
          </w:p>
        </w:tc>
        <w:tc>
          <w:tcPr>
            <w:tcW w:w="2250" w:type="dxa"/>
          </w:tcPr>
          <w:p w14:paraId="48025986" w14:textId="77777777" w:rsidR="005367D5" w:rsidRPr="001C1E47" w:rsidRDefault="005367D5" w:rsidP="00D93CB3">
            <w:pPr>
              <w:rPr>
                <w:rFonts w:cs="Calibri"/>
                <w:b/>
              </w:rPr>
            </w:pPr>
            <w:r w:rsidRPr="001C1E47">
              <w:rPr>
                <w:rFonts w:cs="Calibri"/>
                <w:b/>
              </w:rPr>
              <w:t xml:space="preserve">Current Status </w:t>
            </w:r>
          </w:p>
          <w:p w14:paraId="1D3136EF" w14:textId="77777777" w:rsidR="005367D5" w:rsidRPr="001C1E47" w:rsidRDefault="005367D5" w:rsidP="00D93CB3">
            <w:pPr>
              <w:rPr>
                <w:rFonts w:cs="Calibri"/>
                <w:b/>
              </w:rPr>
            </w:pPr>
            <w:r w:rsidRPr="001C1E47">
              <w:rPr>
                <w:rFonts w:cs="Calibri"/>
                <w:b/>
              </w:rPr>
              <w:t>and Date</w:t>
            </w:r>
          </w:p>
        </w:tc>
      </w:tr>
      <w:tr w:rsidR="005367D5" w:rsidRPr="001C1E47" w14:paraId="7244A508" w14:textId="77777777" w:rsidTr="00D93CB3">
        <w:trPr>
          <w:trHeight w:val="412"/>
        </w:trPr>
        <w:tc>
          <w:tcPr>
            <w:tcW w:w="1435" w:type="dxa"/>
          </w:tcPr>
          <w:p w14:paraId="3B6143AB" w14:textId="77777777" w:rsidR="005367D5" w:rsidRPr="001C1E47" w:rsidRDefault="005367D5"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bCs/>
                <w:sz w:val="22"/>
                <w:szCs w:val="22"/>
              </w:rPr>
            </w:pPr>
            <w:r w:rsidRPr="001C1E47">
              <w:rPr>
                <w:rFonts w:eastAsia="PMingLiU" w:cs="Calibri"/>
                <w:b/>
                <w:bCs/>
                <w:sz w:val="22"/>
                <w:szCs w:val="22"/>
              </w:rPr>
              <w:t> </w:t>
            </w:r>
          </w:p>
        </w:tc>
        <w:tc>
          <w:tcPr>
            <w:tcW w:w="2098" w:type="dxa"/>
          </w:tcPr>
          <w:p w14:paraId="1D6DD323" w14:textId="63E43976" w:rsidR="005367D5" w:rsidRPr="000E25C7" w:rsidRDefault="001B184D" w:rsidP="00F56FF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0E25C7">
              <w:rPr>
                <w:rFonts w:eastAsia="PMingLiU" w:cs="Calibri"/>
                <w:bCs/>
              </w:rPr>
              <w:t>None.</w:t>
            </w:r>
            <w:r w:rsidR="005367D5" w:rsidRPr="000E25C7">
              <w:rPr>
                <w:rFonts w:eastAsia="PMingLiU" w:cs="Calibri"/>
                <w:bCs/>
              </w:rPr>
              <w:t> </w:t>
            </w:r>
          </w:p>
        </w:tc>
        <w:tc>
          <w:tcPr>
            <w:tcW w:w="2250" w:type="dxa"/>
          </w:tcPr>
          <w:p w14:paraId="19499B4B" w14:textId="77777777" w:rsidR="005367D5" w:rsidRPr="001C1E47" w:rsidRDefault="005367D5"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sz w:val="22"/>
                <w:szCs w:val="22"/>
              </w:rPr>
            </w:pPr>
            <w:r w:rsidRPr="001C1E47">
              <w:rPr>
                <w:rFonts w:eastAsia="PMingLiU" w:cs="Calibri"/>
                <w:b/>
                <w:sz w:val="22"/>
                <w:szCs w:val="22"/>
              </w:rPr>
              <w:t> </w:t>
            </w:r>
          </w:p>
        </w:tc>
        <w:tc>
          <w:tcPr>
            <w:tcW w:w="3960" w:type="dxa"/>
          </w:tcPr>
          <w:p w14:paraId="37D73ADA" w14:textId="77777777" w:rsidR="005367D5" w:rsidRPr="001C1E47" w:rsidRDefault="005367D5"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sz w:val="22"/>
                <w:szCs w:val="22"/>
              </w:rPr>
            </w:pPr>
            <w:r w:rsidRPr="001C1E47">
              <w:rPr>
                <w:rFonts w:eastAsia="PMingLiU" w:cs="Calibri"/>
                <w:b/>
                <w:sz w:val="22"/>
                <w:szCs w:val="22"/>
              </w:rPr>
              <w:t> </w:t>
            </w:r>
          </w:p>
        </w:tc>
        <w:tc>
          <w:tcPr>
            <w:tcW w:w="1592" w:type="dxa"/>
          </w:tcPr>
          <w:p w14:paraId="56F99649" w14:textId="77777777" w:rsidR="005367D5" w:rsidRPr="001C1E47" w:rsidRDefault="005367D5"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sz w:val="22"/>
                <w:szCs w:val="22"/>
              </w:rPr>
            </w:pPr>
            <w:r w:rsidRPr="001C1E47">
              <w:rPr>
                <w:rFonts w:eastAsia="PMingLiU" w:cs="Calibri"/>
                <w:b/>
                <w:sz w:val="22"/>
                <w:szCs w:val="22"/>
              </w:rPr>
              <w:t> </w:t>
            </w:r>
          </w:p>
        </w:tc>
        <w:tc>
          <w:tcPr>
            <w:tcW w:w="2250" w:type="dxa"/>
          </w:tcPr>
          <w:p w14:paraId="4007473C" w14:textId="77777777" w:rsidR="005367D5" w:rsidRPr="001C1E47" w:rsidRDefault="005367D5"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sz w:val="22"/>
                <w:szCs w:val="22"/>
              </w:rPr>
            </w:pPr>
            <w:r w:rsidRPr="001C1E47">
              <w:rPr>
                <w:rFonts w:eastAsia="PMingLiU" w:cs="Calibri"/>
                <w:b/>
                <w:sz w:val="22"/>
                <w:szCs w:val="22"/>
              </w:rPr>
              <w:t> </w:t>
            </w:r>
          </w:p>
        </w:tc>
      </w:tr>
    </w:tbl>
    <w:p w14:paraId="6A839C5C" w14:textId="77777777" w:rsidR="00AD505E" w:rsidRPr="00C002BB" w:rsidRDefault="00AD505E" w:rsidP="007A71AC">
      <w:pPr>
        <w:widowControl/>
        <w:autoSpaceDE/>
        <w:autoSpaceDN/>
        <w:adjustRightInd/>
        <w:rPr>
          <w:rFonts w:cs="Calibri"/>
          <w:iCs/>
          <w:color w:val="0070C0"/>
        </w:rPr>
      </w:pPr>
    </w:p>
    <w:p w14:paraId="1C97E05F" w14:textId="77777777" w:rsidR="004148C0" w:rsidRPr="00C002BB" w:rsidRDefault="004148C0" w:rsidP="007A71AC">
      <w:pPr>
        <w:widowControl/>
        <w:autoSpaceDE/>
        <w:autoSpaceDN/>
        <w:adjustRightInd/>
        <w:rPr>
          <w:rFonts w:cs="Calibri"/>
          <w:iCs/>
          <w:color w:val="0070C0"/>
          <w:sz w:val="22"/>
          <w:szCs w:val="22"/>
        </w:rPr>
      </w:pPr>
    </w:p>
    <w:p w14:paraId="6E220A18" w14:textId="77777777" w:rsidR="008164E8" w:rsidRPr="00C002BB" w:rsidRDefault="008164E8" w:rsidP="008164E8">
      <w:pPr>
        <w:widowControl/>
        <w:tabs>
          <w:tab w:val="left" w:pos="630"/>
        </w:tabs>
        <w:autoSpaceDE/>
        <w:autoSpaceDN/>
        <w:adjustRightInd/>
        <w:rPr>
          <w:rFonts w:cs="Calibri"/>
          <w:iCs/>
          <w:color w:val="0070C0"/>
        </w:rPr>
      </w:pPr>
    </w:p>
    <w:p w14:paraId="5A163C8E" w14:textId="43F411DC" w:rsidR="000A134A" w:rsidRPr="008164E8" w:rsidRDefault="000A134A" w:rsidP="008164E8">
      <w:pPr>
        <w:widowControl/>
        <w:tabs>
          <w:tab w:val="left" w:pos="630"/>
        </w:tabs>
        <w:autoSpaceDE/>
        <w:autoSpaceDN/>
        <w:adjustRightInd/>
        <w:ind w:left="720" w:hanging="360"/>
        <w:rPr>
          <w:rFonts w:cs="Calibri"/>
          <w:iCs/>
          <w:color w:val="0070C0"/>
        </w:rPr>
        <w:sectPr w:rsidR="000A134A" w:rsidRPr="008164E8" w:rsidSect="00476C08">
          <w:headerReference w:type="default" r:id="rId18"/>
          <w:headerReference w:type="first" r:id="rId19"/>
          <w:footerReference w:type="first" r:id="rId20"/>
          <w:pgSz w:w="15840" w:h="12240" w:orient="landscape"/>
          <w:pgMar w:top="1440" w:right="1440" w:bottom="1440" w:left="1440" w:header="630" w:footer="720" w:gutter="0"/>
          <w:cols w:space="720"/>
          <w:titlePg/>
          <w:docGrid w:linePitch="360"/>
        </w:sectPr>
      </w:pPr>
    </w:p>
    <w:p w14:paraId="1B0B407C" w14:textId="62DFDF0A" w:rsidR="00690C0D" w:rsidRPr="00D93CB3" w:rsidRDefault="00690C0D" w:rsidP="001D45C8">
      <w:pPr>
        <w:pStyle w:val="Heading3"/>
        <w:numPr>
          <w:ilvl w:val="0"/>
          <w:numId w:val="0"/>
        </w:numPr>
        <w:rPr>
          <w:color w:val="0070C0"/>
        </w:rPr>
      </w:pPr>
      <w:bookmarkStart w:id="39" w:name="_Toc119418672"/>
      <w:r w:rsidRPr="008E4054">
        <w:lastRenderedPageBreak/>
        <w:t xml:space="preserve">Appendix D – </w:t>
      </w:r>
      <w:bookmarkStart w:id="40" w:name="_Hlk119349018"/>
      <w:r w:rsidRPr="008E4054">
        <w:t>FY 20</w:t>
      </w:r>
      <w:r w:rsidR="00347E2E">
        <w:t>24</w:t>
      </w:r>
      <w:r w:rsidRPr="008E4054">
        <w:t xml:space="preserve"> State Activity Mandated Measures (SAMM) Report</w:t>
      </w:r>
      <w:bookmarkEnd w:id="39"/>
      <w:bookmarkEnd w:id="40"/>
    </w:p>
    <w:p w14:paraId="19B594E3" w14:textId="2B82A2CE" w:rsidR="00690C0D" w:rsidRPr="000767C0" w:rsidRDefault="00690C0D" w:rsidP="00476C08">
      <w:pPr>
        <w:pStyle w:val="Header"/>
      </w:pPr>
      <w:r w:rsidRPr="00042327">
        <w:t xml:space="preserve">FY </w:t>
      </w:r>
      <w:r>
        <w:t>2</w:t>
      </w:r>
      <w:r w:rsidRPr="00274FF1">
        <w:t>0</w:t>
      </w:r>
      <w:r w:rsidR="0031155C" w:rsidRPr="00274FF1">
        <w:t>24</w:t>
      </w:r>
      <w:r w:rsidRPr="00042327">
        <w:t xml:space="preserve"> </w:t>
      </w:r>
      <w:r w:rsidR="0031155C">
        <w:t>UOSH</w:t>
      </w:r>
      <w:r w:rsidRPr="00476C08">
        <w:rPr>
          <w:color w:val="0070C0"/>
        </w:rPr>
        <w:t xml:space="preserve"> </w:t>
      </w:r>
      <w:r>
        <w:t xml:space="preserve">Follow-up </w:t>
      </w:r>
      <w:r w:rsidRPr="00042327">
        <w:t>FAME Report</w:t>
      </w:r>
    </w:p>
    <w:p w14:paraId="221DF49F" w14:textId="77777777" w:rsidR="000A134A" w:rsidRPr="001C1E47" w:rsidRDefault="000A134A" w:rsidP="007A71AC">
      <w:pPr>
        <w:widowControl/>
        <w:autoSpaceDE/>
        <w:autoSpaceDN/>
        <w:adjustRightInd/>
        <w:rPr>
          <w:rFonts w:cs="Calibri"/>
          <w:b/>
          <w:color w:val="1F497D"/>
          <w:sz w:val="28"/>
          <w:szCs w:val="28"/>
        </w:rPr>
      </w:pPr>
    </w:p>
    <w:tbl>
      <w:tblPr>
        <w:tblStyle w:val="GridTable4"/>
        <w:tblW w:w="10350" w:type="dxa"/>
        <w:tblInd w:w="-365" w:type="dxa"/>
        <w:tblLook w:val="06A0" w:firstRow="1" w:lastRow="0" w:firstColumn="1" w:lastColumn="0" w:noHBand="1" w:noVBand="1"/>
        <w:tblCaption w:val="FY 20XX SAMM Report"/>
        <w:tblDescription w:val="Appendix D"/>
      </w:tblPr>
      <w:tblGrid>
        <w:gridCol w:w="965"/>
        <w:gridCol w:w="2508"/>
        <w:gridCol w:w="1107"/>
        <w:gridCol w:w="1293"/>
        <w:gridCol w:w="4477"/>
      </w:tblGrid>
      <w:tr w:rsidR="00634539" w:rsidRPr="001C1E47" w14:paraId="4B607DC1" w14:textId="77777777" w:rsidTr="002245E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5" w:type="dxa"/>
            <w:tcBorders>
              <w:right w:val="single" w:sz="4" w:space="0" w:color="000000" w:themeColor="text1"/>
            </w:tcBorders>
            <w:shd w:val="clear" w:color="auto" w:fill="auto"/>
          </w:tcPr>
          <w:p w14:paraId="57458A14" w14:textId="77777777" w:rsidR="00634539" w:rsidRPr="00073E2C"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val="0"/>
                <w:color w:val="000000" w:themeColor="text1"/>
                <w:sz w:val="22"/>
                <w:szCs w:val="22"/>
              </w:rPr>
            </w:pPr>
            <w:bookmarkStart w:id="41" w:name="_Hlk179982501"/>
            <w:r w:rsidRPr="00073E2C">
              <w:rPr>
                <w:rFonts w:eastAsia="PMingLiU" w:cs="Calibri"/>
                <w:bCs w:val="0"/>
                <w:color w:val="000000" w:themeColor="text1"/>
                <w:sz w:val="22"/>
                <w:szCs w:val="22"/>
              </w:rPr>
              <w:t>SAMM Number</w:t>
            </w:r>
          </w:p>
        </w:tc>
        <w:tc>
          <w:tcPr>
            <w:tcW w:w="2508" w:type="dxa"/>
            <w:tcBorders>
              <w:left w:val="single" w:sz="4" w:space="0" w:color="000000" w:themeColor="text1"/>
              <w:right w:val="single" w:sz="4" w:space="0" w:color="000000" w:themeColor="text1"/>
            </w:tcBorders>
            <w:shd w:val="clear" w:color="auto" w:fill="auto"/>
          </w:tcPr>
          <w:p w14:paraId="21CEF63D" w14:textId="77777777" w:rsidR="00634539" w:rsidRPr="00073E2C"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sz w:val="22"/>
                <w:szCs w:val="22"/>
              </w:rPr>
            </w:pPr>
            <w:r w:rsidRPr="00073E2C">
              <w:rPr>
                <w:rFonts w:eastAsia="PMingLiU" w:cs="Calibri"/>
                <w:bCs w:val="0"/>
                <w:color w:val="000000" w:themeColor="text1"/>
                <w:sz w:val="22"/>
                <w:szCs w:val="22"/>
              </w:rPr>
              <w:t>SAMM Name</w:t>
            </w:r>
          </w:p>
        </w:tc>
        <w:tc>
          <w:tcPr>
            <w:tcW w:w="1107" w:type="dxa"/>
            <w:tcBorders>
              <w:left w:val="single" w:sz="4" w:space="0" w:color="000000" w:themeColor="text1"/>
              <w:right w:val="single" w:sz="4" w:space="0" w:color="000000" w:themeColor="text1"/>
            </w:tcBorders>
            <w:shd w:val="clear" w:color="auto" w:fill="auto"/>
          </w:tcPr>
          <w:p w14:paraId="1BC934E4" w14:textId="77777777" w:rsidR="00634539" w:rsidRPr="00073E2C"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sz w:val="22"/>
                <w:szCs w:val="22"/>
              </w:rPr>
            </w:pPr>
            <w:r w:rsidRPr="00073E2C">
              <w:rPr>
                <w:rFonts w:eastAsia="PMingLiU" w:cs="Calibri"/>
                <w:bCs w:val="0"/>
                <w:color w:val="000000" w:themeColor="text1"/>
                <w:sz w:val="22"/>
                <w:szCs w:val="22"/>
              </w:rPr>
              <w:t>State Plan Data</w:t>
            </w:r>
          </w:p>
        </w:tc>
        <w:tc>
          <w:tcPr>
            <w:tcW w:w="1293" w:type="dxa"/>
            <w:tcBorders>
              <w:left w:val="single" w:sz="4" w:space="0" w:color="000000" w:themeColor="text1"/>
              <w:right w:val="single" w:sz="4" w:space="0" w:color="000000" w:themeColor="text1"/>
            </w:tcBorders>
            <w:shd w:val="clear" w:color="auto" w:fill="auto"/>
          </w:tcPr>
          <w:p w14:paraId="10FEC12F" w14:textId="77777777" w:rsidR="00634539" w:rsidRPr="00073E2C"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sz w:val="22"/>
                <w:szCs w:val="22"/>
              </w:rPr>
            </w:pPr>
            <w:r w:rsidRPr="00073E2C">
              <w:rPr>
                <w:rFonts w:eastAsia="PMingLiU" w:cs="Calibri"/>
                <w:bCs w:val="0"/>
                <w:color w:val="000000" w:themeColor="text1"/>
                <w:sz w:val="22"/>
                <w:szCs w:val="22"/>
              </w:rPr>
              <w:t>Further Review Level</w:t>
            </w:r>
          </w:p>
        </w:tc>
        <w:tc>
          <w:tcPr>
            <w:tcW w:w="4477" w:type="dxa"/>
            <w:tcBorders>
              <w:left w:val="single" w:sz="4" w:space="0" w:color="000000" w:themeColor="text1"/>
            </w:tcBorders>
            <w:shd w:val="clear" w:color="auto" w:fill="auto"/>
          </w:tcPr>
          <w:p w14:paraId="1845DDF3" w14:textId="77777777" w:rsidR="00634539" w:rsidRPr="00073E2C"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sz w:val="22"/>
                <w:szCs w:val="22"/>
              </w:rPr>
            </w:pPr>
            <w:r w:rsidRPr="00073E2C">
              <w:rPr>
                <w:rFonts w:eastAsia="PMingLiU" w:cs="Calibri"/>
                <w:bCs w:val="0"/>
                <w:color w:val="000000" w:themeColor="text1"/>
                <w:sz w:val="22"/>
                <w:szCs w:val="22"/>
              </w:rPr>
              <w:t>Notes</w:t>
            </w:r>
          </w:p>
        </w:tc>
      </w:tr>
      <w:tr w:rsidR="00634539" w:rsidRPr="001C1E47" w14:paraId="23E15083" w14:textId="77777777" w:rsidTr="002245EE">
        <w:tc>
          <w:tcPr>
            <w:cnfStyle w:val="001000000000" w:firstRow="0" w:lastRow="0" w:firstColumn="1" w:lastColumn="0" w:oddVBand="0" w:evenVBand="0" w:oddHBand="0" w:evenHBand="0" w:firstRowFirstColumn="0" w:firstRowLastColumn="0" w:lastRowFirstColumn="0" w:lastRowLastColumn="0"/>
            <w:tcW w:w="965" w:type="dxa"/>
          </w:tcPr>
          <w:p w14:paraId="4FC54415" w14:textId="77777777" w:rsidR="00634539" w:rsidRPr="00073E2C"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r w:rsidRPr="00073E2C">
              <w:rPr>
                <w:rFonts w:eastAsia="PMingLiU" w:cs="Calibri"/>
                <w:sz w:val="22"/>
                <w:szCs w:val="22"/>
              </w:rPr>
              <w:t>1a</w:t>
            </w:r>
          </w:p>
        </w:tc>
        <w:tc>
          <w:tcPr>
            <w:tcW w:w="2508" w:type="dxa"/>
          </w:tcPr>
          <w:p w14:paraId="5DD1B3D7" w14:textId="77777777" w:rsidR="00634539" w:rsidRPr="00073E2C"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cs="Calibri"/>
                <w:sz w:val="22"/>
                <w:szCs w:val="22"/>
              </w:rPr>
              <w:t xml:space="preserve">Average number of </w:t>
            </w:r>
            <w:proofErr w:type="gramStart"/>
            <w:r w:rsidRPr="00073E2C">
              <w:rPr>
                <w:rFonts w:cs="Calibri"/>
                <w:sz w:val="22"/>
                <w:szCs w:val="22"/>
              </w:rPr>
              <w:t>work days</w:t>
            </w:r>
            <w:proofErr w:type="gramEnd"/>
            <w:r w:rsidRPr="00073E2C">
              <w:rPr>
                <w:rFonts w:cs="Calibri"/>
                <w:sz w:val="22"/>
                <w:szCs w:val="22"/>
              </w:rPr>
              <w:t xml:space="preserve"> to initiate complaint inspections (state formula)</w:t>
            </w:r>
          </w:p>
        </w:tc>
        <w:tc>
          <w:tcPr>
            <w:tcW w:w="1107" w:type="dxa"/>
          </w:tcPr>
          <w:p w14:paraId="50ED339E" w14:textId="4D4CCAF4" w:rsidR="00634539" w:rsidRPr="00073E2C" w:rsidRDefault="007A1785" w:rsidP="006D20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eastAsia="PMingLiU" w:cs="Calibri"/>
                <w:sz w:val="22"/>
                <w:szCs w:val="22"/>
              </w:rPr>
              <w:t>6.12</w:t>
            </w:r>
          </w:p>
        </w:tc>
        <w:tc>
          <w:tcPr>
            <w:tcW w:w="1293" w:type="dxa"/>
          </w:tcPr>
          <w:p w14:paraId="36E21F8C" w14:textId="7042C9C5" w:rsidR="00634539" w:rsidRPr="00073E2C" w:rsidRDefault="00A1601A" w:rsidP="006D20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cs="Calibri"/>
                <w:sz w:val="22"/>
                <w:szCs w:val="22"/>
              </w:rPr>
              <w:t>5</w:t>
            </w:r>
          </w:p>
        </w:tc>
        <w:tc>
          <w:tcPr>
            <w:tcW w:w="4477" w:type="dxa"/>
          </w:tcPr>
          <w:p w14:paraId="1BE10DF6" w14:textId="77777777" w:rsidR="00634539" w:rsidRPr="00073E2C"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cs="Calibri"/>
                <w:sz w:val="22"/>
                <w:szCs w:val="22"/>
              </w:rPr>
              <w:t>The further review level is negotiated by OSHA and the State Plan.</w:t>
            </w:r>
          </w:p>
        </w:tc>
      </w:tr>
      <w:tr w:rsidR="00634539" w:rsidRPr="001C1E47" w14:paraId="6E87F5F9" w14:textId="77777777" w:rsidTr="002245EE">
        <w:tc>
          <w:tcPr>
            <w:cnfStyle w:val="001000000000" w:firstRow="0" w:lastRow="0" w:firstColumn="1" w:lastColumn="0" w:oddVBand="0" w:evenVBand="0" w:oddHBand="0" w:evenHBand="0" w:firstRowFirstColumn="0" w:firstRowLastColumn="0" w:lastRowFirstColumn="0" w:lastRowLastColumn="0"/>
            <w:tcW w:w="965" w:type="dxa"/>
          </w:tcPr>
          <w:p w14:paraId="15DA89A2" w14:textId="77777777" w:rsidR="00634539" w:rsidRPr="00073E2C"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r w:rsidRPr="00073E2C">
              <w:rPr>
                <w:rFonts w:eastAsia="PMingLiU" w:cs="Calibri"/>
                <w:sz w:val="22"/>
                <w:szCs w:val="22"/>
              </w:rPr>
              <w:t>1b</w:t>
            </w:r>
          </w:p>
        </w:tc>
        <w:tc>
          <w:tcPr>
            <w:tcW w:w="2508" w:type="dxa"/>
          </w:tcPr>
          <w:p w14:paraId="7BDECFBC" w14:textId="77777777" w:rsidR="00634539" w:rsidRPr="00073E2C"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cs="Calibri"/>
                <w:sz w:val="22"/>
                <w:szCs w:val="22"/>
              </w:rPr>
              <w:t xml:space="preserve">Average number of </w:t>
            </w:r>
            <w:proofErr w:type="gramStart"/>
            <w:r w:rsidRPr="00073E2C">
              <w:rPr>
                <w:rFonts w:cs="Calibri"/>
                <w:sz w:val="22"/>
                <w:szCs w:val="22"/>
              </w:rPr>
              <w:t>work days</w:t>
            </w:r>
            <w:proofErr w:type="gramEnd"/>
            <w:r w:rsidRPr="00073E2C">
              <w:rPr>
                <w:rFonts w:cs="Calibri"/>
                <w:sz w:val="22"/>
                <w:szCs w:val="22"/>
              </w:rPr>
              <w:t xml:space="preserve"> to initiate complaint inspections (federal formula)</w:t>
            </w:r>
          </w:p>
        </w:tc>
        <w:tc>
          <w:tcPr>
            <w:tcW w:w="1107" w:type="dxa"/>
          </w:tcPr>
          <w:p w14:paraId="2DD44EDE" w14:textId="4EFF80F3" w:rsidR="00634539" w:rsidRPr="00073E2C" w:rsidRDefault="0048777A" w:rsidP="006D20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eastAsia="PMingLiU" w:cs="Calibri"/>
                <w:sz w:val="22"/>
                <w:szCs w:val="22"/>
              </w:rPr>
              <w:t>5.08</w:t>
            </w:r>
          </w:p>
        </w:tc>
        <w:tc>
          <w:tcPr>
            <w:tcW w:w="1293" w:type="dxa"/>
          </w:tcPr>
          <w:p w14:paraId="44E25FF5" w14:textId="77777777" w:rsidR="00634539" w:rsidRPr="00073E2C" w:rsidRDefault="00634539" w:rsidP="006D20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cs="Calibri"/>
                <w:sz w:val="22"/>
                <w:szCs w:val="22"/>
              </w:rPr>
              <w:t>N/A</w:t>
            </w:r>
          </w:p>
        </w:tc>
        <w:tc>
          <w:tcPr>
            <w:tcW w:w="4477" w:type="dxa"/>
          </w:tcPr>
          <w:p w14:paraId="3B881485" w14:textId="77777777" w:rsidR="00634539" w:rsidRPr="00073E2C"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cs="Calibri"/>
                <w:sz w:val="22"/>
                <w:szCs w:val="22"/>
              </w:rPr>
              <w:t>This measure is for informational purposes only and is not a mandated measure.</w:t>
            </w:r>
          </w:p>
        </w:tc>
      </w:tr>
      <w:tr w:rsidR="00634539" w:rsidRPr="001C1E47" w14:paraId="7254895F" w14:textId="77777777" w:rsidTr="002245EE">
        <w:tc>
          <w:tcPr>
            <w:cnfStyle w:val="001000000000" w:firstRow="0" w:lastRow="0" w:firstColumn="1" w:lastColumn="0" w:oddVBand="0" w:evenVBand="0" w:oddHBand="0" w:evenHBand="0" w:firstRowFirstColumn="0" w:firstRowLastColumn="0" w:lastRowFirstColumn="0" w:lastRowLastColumn="0"/>
            <w:tcW w:w="965" w:type="dxa"/>
          </w:tcPr>
          <w:p w14:paraId="70F4527B" w14:textId="77777777" w:rsidR="00634539" w:rsidRPr="00073E2C"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r w:rsidRPr="00073E2C">
              <w:rPr>
                <w:rFonts w:eastAsia="PMingLiU" w:cs="Calibri"/>
                <w:sz w:val="22"/>
                <w:szCs w:val="22"/>
              </w:rPr>
              <w:t>2a</w:t>
            </w:r>
          </w:p>
        </w:tc>
        <w:tc>
          <w:tcPr>
            <w:tcW w:w="2508" w:type="dxa"/>
          </w:tcPr>
          <w:p w14:paraId="680D30CB" w14:textId="77777777" w:rsidR="00634539" w:rsidRPr="00073E2C"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cs="Calibri"/>
                <w:sz w:val="22"/>
                <w:szCs w:val="22"/>
              </w:rPr>
              <w:t xml:space="preserve">Average number of </w:t>
            </w:r>
            <w:proofErr w:type="gramStart"/>
            <w:r w:rsidRPr="00073E2C">
              <w:rPr>
                <w:rFonts w:cs="Calibri"/>
                <w:sz w:val="22"/>
                <w:szCs w:val="22"/>
              </w:rPr>
              <w:t>work days</w:t>
            </w:r>
            <w:proofErr w:type="gramEnd"/>
            <w:r w:rsidRPr="00073E2C">
              <w:rPr>
                <w:rFonts w:cs="Calibri"/>
                <w:sz w:val="22"/>
                <w:szCs w:val="22"/>
              </w:rPr>
              <w:t xml:space="preserve"> to initiate complaint investigations (state formula)</w:t>
            </w:r>
          </w:p>
        </w:tc>
        <w:tc>
          <w:tcPr>
            <w:tcW w:w="1107" w:type="dxa"/>
          </w:tcPr>
          <w:p w14:paraId="5D15BC2D" w14:textId="4F9AE232" w:rsidR="00634539" w:rsidRPr="00073E2C" w:rsidRDefault="0048777A" w:rsidP="006D20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eastAsia="PMingLiU" w:cs="Calibri"/>
                <w:sz w:val="22"/>
                <w:szCs w:val="22"/>
              </w:rPr>
              <w:t>3.67</w:t>
            </w:r>
          </w:p>
        </w:tc>
        <w:tc>
          <w:tcPr>
            <w:tcW w:w="1293" w:type="dxa"/>
          </w:tcPr>
          <w:p w14:paraId="25E101C9" w14:textId="2B64DC89" w:rsidR="00634539" w:rsidRPr="00073E2C" w:rsidRDefault="00D92DEB" w:rsidP="006D20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cs="Calibri"/>
                <w:sz w:val="22"/>
                <w:szCs w:val="22"/>
              </w:rPr>
              <w:t>3</w:t>
            </w:r>
          </w:p>
        </w:tc>
        <w:tc>
          <w:tcPr>
            <w:tcW w:w="4477" w:type="dxa"/>
          </w:tcPr>
          <w:p w14:paraId="440E4407" w14:textId="77777777" w:rsidR="00634539" w:rsidRPr="00073E2C"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cs="Calibri"/>
                <w:sz w:val="22"/>
                <w:szCs w:val="22"/>
              </w:rPr>
              <w:t>The further review level is negotiated by OSHA and the State Plan.</w:t>
            </w:r>
          </w:p>
        </w:tc>
      </w:tr>
      <w:tr w:rsidR="00634539" w:rsidRPr="001C1E47" w14:paraId="43AA3020" w14:textId="77777777" w:rsidTr="002245EE">
        <w:tc>
          <w:tcPr>
            <w:cnfStyle w:val="001000000000" w:firstRow="0" w:lastRow="0" w:firstColumn="1" w:lastColumn="0" w:oddVBand="0" w:evenVBand="0" w:oddHBand="0" w:evenHBand="0" w:firstRowFirstColumn="0" w:firstRowLastColumn="0" w:lastRowFirstColumn="0" w:lastRowLastColumn="0"/>
            <w:tcW w:w="965" w:type="dxa"/>
          </w:tcPr>
          <w:p w14:paraId="3026F0A2" w14:textId="77777777" w:rsidR="00634539" w:rsidRPr="00073E2C"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r w:rsidRPr="00073E2C">
              <w:rPr>
                <w:rFonts w:eastAsia="PMingLiU" w:cs="Calibri"/>
                <w:sz w:val="22"/>
                <w:szCs w:val="22"/>
              </w:rPr>
              <w:t>2b</w:t>
            </w:r>
          </w:p>
        </w:tc>
        <w:tc>
          <w:tcPr>
            <w:tcW w:w="2508" w:type="dxa"/>
          </w:tcPr>
          <w:p w14:paraId="60EA38B6" w14:textId="77777777" w:rsidR="00634539" w:rsidRPr="00073E2C"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cs="Calibri"/>
                <w:sz w:val="22"/>
                <w:szCs w:val="22"/>
              </w:rPr>
              <w:t xml:space="preserve">Average number of </w:t>
            </w:r>
            <w:proofErr w:type="gramStart"/>
            <w:r w:rsidRPr="00073E2C">
              <w:rPr>
                <w:rFonts w:cs="Calibri"/>
                <w:sz w:val="22"/>
                <w:szCs w:val="22"/>
              </w:rPr>
              <w:t>work days</w:t>
            </w:r>
            <w:proofErr w:type="gramEnd"/>
            <w:r w:rsidRPr="00073E2C">
              <w:rPr>
                <w:rFonts w:cs="Calibri"/>
                <w:sz w:val="22"/>
                <w:szCs w:val="22"/>
              </w:rPr>
              <w:t xml:space="preserve"> to initiate complaint investigations (federal formula)</w:t>
            </w:r>
          </w:p>
        </w:tc>
        <w:tc>
          <w:tcPr>
            <w:tcW w:w="1107" w:type="dxa"/>
          </w:tcPr>
          <w:p w14:paraId="148E915C" w14:textId="2D75EA2D" w:rsidR="00634539" w:rsidRPr="00073E2C" w:rsidRDefault="0048777A" w:rsidP="006D20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eastAsia="PMingLiU" w:cs="Calibri"/>
                <w:sz w:val="22"/>
                <w:szCs w:val="22"/>
              </w:rPr>
              <w:t>3.31</w:t>
            </w:r>
          </w:p>
        </w:tc>
        <w:tc>
          <w:tcPr>
            <w:tcW w:w="1293" w:type="dxa"/>
          </w:tcPr>
          <w:p w14:paraId="3C6B37D6" w14:textId="77777777" w:rsidR="00634539" w:rsidRPr="00073E2C" w:rsidRDefault="00634539" w:rsidP="006D20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cs="Calibri"/>
                <w:sz w:val="22"/>
                <w:szCs w:val="22"/>
              </w:rPr>
              <w:t>N/A</w:t>
            </w:r>
          </w:p>
        </w:tc>
        <w:tc>
          <w:tcPr>
            <w:tcW w:w="4477" w:type="dxa"/>
          </w:tcPr>
          <w:p w14:paraId="7849D62B" w14:textId="77777777" w:rsidR="00634539" w:rsidRPr="00073E2C"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cs="Calibri"/>
                <w:sz w:val="22"/>
                <w:szCs w:val="22"/>
              </w:rPr>
              <w:t>This measure is for informational purposes only and is not a mandated measure.</w:t>
            </w:r>
          </w:p>
        </w:tc>
      </w:tr>
      <w:tr w:rsidR="00634539" w:rsidRPr="001C1E47" w14:paraId="463E07C8" w14:textId="77777777" w:rsidTr="002245EE">
        <w:tc>
          <w:tcPr>
            <w:cnfStyle w:val="001000000000" w:firstRow="0" w:lastRow="0" w:firstColumn="1" w:lastColumn="0" w:oddVBand="0" w:evenVBand="0" w:oddHBand="0" w:evenHBand="0" w:firstRowFirstColumn="0" w:firstRowLastColumn="0" w:lastRowFirstColumn="0" w:lastRowLastColumn="0"/>
            <w:tcW w:w="965" w:type="dxa"/>
          </w:tcPr>
          <w:p w14:paraId="730502E1" w14:textId="77777777" w:rsidR="00634539" w:rsidRPr="00073E2C"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r w:rsidRPr="00073E2C">
              <w:rPr>
                <w:rFonts w:eastAsia="PMingLiU" w:cs="Calibri"/>
                <w:sz w:val="22"/>
                <w:szCs w:val="22"/>
              </w:rPr>
              <w:t>3</w:t>
            </w:r>
          </w:p>
        </w:tc>
        <w:tc>
          <w:tcPr>
            <w:tcW w:w="2508" w:type="dxa"/>
          </w:tcPr>
          <w:p w14:paraId="224C67FA" w14:textId="77777777" w:rsidR="00634539" w:rsidRPr="00073E2C"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cs="Calibri"/>
                <w:sz w:val="22"/>
                <w:szCs w:val="22"/>
              </w:rPr>
              <w:t>Percent of complaints and referrals responded to within one workday (imminent danger)</w:t>
            </w:r>
          </w:p>
        </w:tc>
        <w:tc>
          <w:tcPr>
            <w:tcW w:w="1107" w:type="dxa"/>
          </w:tcPr>
          <w:p w14:paraId="683DAD92" w14:textId="03E737B9" w:rsidR="00634539" w:rsidRPr="00073E2C" w:rsidRDefault="0048777A" w:rsidP="006D20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cs="Calibri"/>
                <w:sz w:val="22"/>
                <w:szCs w:val="22"/>
              </w:rPr>
              <w:t>100</w:t>
            </w:r>
            <w:r w:rsidR="00634539" w:rsidRPr="00073E2C">
              <w:rPr>
                <w:rFonts w:cs="Calibri"/>
                <w:sz w:val="22"/>
                <w:szCs w:val="22"/>
              </w:rPr>
              <w:t>%</w:t>
            </w:r>
          </w:p>
        </w:tc>
        <w:tc>
          <w:tcPr>
            <w:tcW w:w="1293" w:type="dxa"/>
          </w:tcPr>
          <w:p w14:paraId="2138AC62" w14:textId="77777777" w:rsidR="00634539" w:rsidRPr="00073E2C" w:rsidRDefault="00634539" w:rsidP="006D20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eastAsia="PMingLiU" w:cs="Calibri"/>
                <w:sz w:val="22"/>
                <w:szCs w:val="22"/>
              </w:rPr>
              <w:t>100%</w:t>
            </w:r>
          </w:p>
        </w:tc>
        <w:tc>
          <w:tcPr>
            <w:tcW w:w="4477" w:type="dxa"/>
          </w:tcPr>
          <w:p w14:paraId="1639E620" w14:textId="77777777" w:rsidR="00634539" w:rsidRPr="00073E2C"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cs="Calibri"/>
                <w:sz w:val="22"/>
                <w:szCs w:val="22"/>
              </w:rPr>
              <w:t>The further review level is fixed for all State Plans.</w:t>
            </w:r>
          </w:p>
        </w:tc>
      </w:tr>
      <w:tr w:rsidR="00634539" w:rsidRPr="001C1E47" w14:paraId="448E8EB5" w14:textId="77777777" w:rsidTr="002245EE">
        <w:tc>
          <w:tcPr>
            <w:cnfStyle w:val="001000000000" w:firstRow="0" w:lastRow="0" w:firstColumn="1" w:lastColumn="0" w:oddVBand="0" w:evenVBand="0" w:oddHBand="0" w:evenHBand="0" w:firstRowFirstColumn="0" w:firstRowLastColumn="0" w:lastRowFirstColumn="0" w:lastRowLastColumn="0"/>
            <w:tcW w:w="965" w:type="dxa"/>
          </w:tcPr>
          <w:p w14:paraId="54BD594C" w14:textId="77777777" w:rsidR="00634539" w:rsidRPr="00073E2C"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r w:rsidRPr="00073E2C">
              <w:rPr>
                <w:rFonts w:eastAsia="PMingLiU" w:cs="Calibri"/>
                <w:sz w:val="22"/>
                <w:szCs w:val="22"/>
              </w:rPr>
              <w:t>4</w:t>
            </w:r>
          </w:p>
        </w:tc>
        <w:tc>
          <w:tcPr>
            <w:tcW w:w="2508" w:type="dxa"/>
          </w:tcPr>
          <w:p w14:paraId="7F17AA0C" w14:textId="77777777" w:rsidR="00634539" w:rsidRPr="00073E2C"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cs="Calibri"/>
                <w:sz w:val="22"/>
                <w:szCs w:val="22"/>
              </w:rPr>
              <w:t>Number of denials where entry not obtained</w:t>
            </w:r>
          </w:p>
        </w:tc>
        <w:tc>
          <w:tcPr>
            <w:tcW w:w="1107" w:type="dxa"/>
          </w:tcPr>
          <w:p w14:paraId="49E38EB6" w14:textId="58515ACB" w:rsidR="00634539" w:rsidRPr="00073E2C" w:rsidRDefault="0048777A" w:rsidP="006D20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eastAsia="PMingLiU" w:cs="Calibri"/>
                <w:sz w:val="22"/>
                <w:szCs w:val="22"/>
              </w:rPr>
              <w:t>0</w:t>
            </w:r>
          </w:p>
        </w:tc>
        <w:tc>
          <w:tcPr>
            <w:tcW w:w="1293" w:type="dxa"/>
          </w:tcPr>
          <w:p w14:paraId="39E6BBCD" w14:textId="77777777" w:rsidR="00634539" w:rsidRPr="00073E2C" w:rsidRDefault="00634539" w:rsidP="006D20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cs="Calibri"/>
                <w:sz w:val="22"/>
                <w:szCs w:val="22"/>
              </w:rPr>
              <w:t>0</w:t>
            </w:r>
          </w:p>
        </w:tc>
        <w:tc>
          <w:tcPr>
            <w:tcW w:w="4477" w:type="dxa"/>
          </w:tcPr>
          <w:p w14:paraId="63BF7F96" w14:textId="77777777" w:rsidR="00634539" w:rsidRPr="00073E2C"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cs="Calibri"/>
                <w:sz w:val="22"/>
                <w:szCs w:val="22"/>
              </w:rPr>
              <w:t>The further review level is fixed for all State Plans.</w:t>
            </w:r>
          </w:p>
        </w:tc>
      </w:tr>
      <w:tr w:rsidR="00634539" w:rsidRPr="001C1E47" w14:paraId="391899CE" w14:textId="77777777" w:rsidTr="002245EE">
        <w:trPr>
          <w:trHeight w:val="854"/>
        </w:trPr>
        <w:tc>
          <w:tcPr>
            <w:cnfStyle w:val="001000000000" w:firstRow="0" w:lastRow="0" w:firstColumn="1" w:lastColumn="0" w:oddVBand="0" w:evenVBand="0" w:oddHBand="0" w:evenHBand="0" w:firstRowFirstColumn="0" w:firstRowLastColumn="0" w:lastRowFirstColumn="0" w:lastRowLastColumn="0"/>
            <w:tcW w:w="965" w:type="dxa"/>
          </w:tcPr>
          <w:p w14:paraId="2C05A134" w14:textId="77777777" w:rsidR="00634539" w:rsidRPr="00073E2C"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r w:rsidRPr="00073E2C">
              <w:rPr>
                <w:rFonts w:eastAsia="PMingLiU" w:cs="Calibri"/>
                <w:sz w:val="22"/>
                <w:szCs w:val="22"/>
              </w:rPr>
              <w:t>5a</w:t>
            </w:r>
          </w:p>
        </w:tc>
        <w:tc>
          <w:tcPr>
            <w:tcW w:w="2508" w:type="dxa"/>
          </w:tcPr>
          <w:p w14:paraId="6F060D7F" w14:textId="77777777" w:rsidR="00634539" w:rsidRPr="00073E2C"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cs="Calibri"/>
                <w:sz w:val="22"/>
                <w:szCs w:val="22"/>
              </w:rPr>
              <w:t>Average number of violations per inspection with violations by violation type (SWRU)</w:t>
            </w:r>
          </w:p>
        </w:tc>
        <w:tc>
          <w:tcPr>
            <w:tcW w:w="1107" w:type="dxa"/>
          </w:tcPr>
          <w:p w14:paraId="5640B786" w14:textId="792CA78E" w:rsidR="00634539" w:rsidRPr="00073E2C" w:rsidRDefault="004C48CE" w:rsidP="006D20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eastAsia="PMingLiU" w:cs="Calibri"/>
                <w:sz w:val="22"/>
                <w:szCs w:val="22"/>
              </w:rPr>
              <w:t>1.08</w:t>
            </w:r>
          </w:p>
        </w:tc>
        <w:tc>
          <w:tcPr>
            <w:tcW w:w="1293" w:type="dxa"/>
          </w:tcPr>
          <w:p w14:paraId="0CDCBC87" w14:textId="77777777" w:rsidR="003D0779" w:rsidRPr="00073E2C" w:rsidRDefault="003D0779" w:rsidP="006D20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73E2C">
              <w:rPr>
                <w:rFonts w:asciiTheme="minorHAnsi" w:hAnsiTheme="minorHAnsi" w:cstheme="minorHAnsi"/>
                <w:sz w:val="22"/>
                <w:szCs w:val="22"/>
              </w:rPr>
              <w:t>+/- 20% of 1.74</w:t>
            </w:r>
          </w:p>
          <w:p w14:paraId="5B24EFBC" w14:textId="77777777" w:rsidR="00634539" w:rsidRPr="00073E2C" w:rsidRDefault="00634539" w:rsidP="006D20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p>
        </w:tc>
        <w:tc>
          <w:tcPr>
            <w:tcW w:w="4477" w:type="dxa"/>
          </w:tcPr>
          <w:p w14:paraId="330DF263" w14:textId="169CCC85" w:rsidR="00634539" w:rsidRPr="00073E2C" w:rsidRDefault="00454C77"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asciiTheme="minorHAnsi" w:eastAsia="PMingLiU" w:hAnsiTheme="minorHAnsi" w:cstheme="minorHAnsi"/>
                <w:sz w:val="22"/>
                <w:szCs w:val="22"/>
              </w:rPr>
              <w:t>The further review level is based on a three-year national average.  The range of acceptable data not requiring further review is from 1.39 to 2.08 for SWRU.</w:t>
            </w:r>
          </w:p>
        </w:tc>
      </w:tr>
      <w:tr w:rsidR="00634539" w:rsidRPr="001C1E47" w14:paraId="0C0C34AD" w14:textId="77777777" w:rsidTr="002245EE">
        <w:tc>
          <w:tcPr>
            <w:cnfStyle w:val="001000000000" w:firstRow="0" w:lastRow="0" w:firstColumn="1" w:lastColumn="0" w:oddVBand="0" w:evenVBand="0" w:oddHBand="0" w:evenHBand="0" w:firstRowFirstColumn="0" w:firstRowLastColumn="0" w:lastRowFirstColumn="0" w:lastRowLastColumn="0"/>
            <w:tcW w:w="965" w:type="dxa"/>
          </w:tcPr>
          <w:p w14:paraId="7FD14581" w14:textId="77777777" w:rsidR="00634539" w:rsidRPr="00073E2C"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r w:rsidRPr="00073E2C">
              <w:rPr>
                <w:rFonts w:eastAsia="PMingLiU" w:cs="Calibri"/>
                <w:sz w:val="22"/>
                <w:szCs w:val="22"/>
              </w:rPr>
              <w:t>5b</w:t>
            </w:r>
          </w:p>
        </w:tc>
        <w:tc>
          <w:tcPr>
            <w:tcW w:w="2508" w:type="dxa"/>
          </w:tcPr>
          <w:p w14:paraId="1A64659E" w14:textId="77777777" w:rsidR="00634539" w:rsidRPr="00073E2C"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073E2C">
              <w:rPr>
                <w:rFonts w:cs="Calibri"/>
                <w:sz w:val="22"/>
                <w:szCs w:val="22"/>
              </w:rPr>
              <w:t>Average number of violations per inspection with violations by violation type (other)</w:t>
            </w:r>
          </w:p>
        </w:tc>
        <w:tc>
          <w:tcPr>
            <w:tcW w:w="1107" w:type="dxa"/>
          </w:tcPr>
          <w:p w14:paraId="189B2CB4" w14:textId="2EC78FB7" w:rsidR="00634539" w:rsidRPr="00073E2C" w:rsidRDefault="004C48CE" w:rsidP="006D20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eastAsia="PMingLiU" w:cs="Calibri"/>
                <w:sz w:val="22"/>
                <w:szCs w:val="22"/>
              </w:rPr>
              <w:t>0.78</w:t>
            </w:r>
          </w:p>
        </w:tc>
        <w:tc>
          <w:tcPr>
            <w:tcW w:w="1293" w:type="dxa"/>
          </w:tcPr>
          <w:p w14:paraId="10600A9C" w14:textId="0146718E" w:rsidR="00634539" w:rsidRPr="00073E2C" w:rsidRDefault="00F564C6" w:rsidP="006D20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cs="Calibri"/>
                <w:sz w:val="22"/>
                <w:szCs w:val="22"/>
              </w:rPr>
              <w:t>+/- 20% of 0.94</w:t>
            </w:r>
          </w:p>
        </w:tc>
        <w:tc>
          <w:tcPr>
            <w:tcW w:w="4477" w:type="dxa"/>
          </w:tcPr>
          <w:p w14:paraId="4F83BD91" w14:textId="407BD728" w:rsidR="00634539" w:rsidRPr="00073E2C" w:rsidRDefault="00AA3E94"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asciiTheme="minorHAnsi" w:eastAsia="PMingLiU" w:hAnsiTheme="minorHAnsi" w:cstheme="minorHAnsi"/>
                <w:sz w:val="22"/>
                <w:szCs w:val="22"/>
              </w:rPr>
              <w:t>The further review level is based on a three-year national average.  The range of acceptable data not requiring further review is from 0.75 to 1.12 for OTS.</w:t>
            </w:r>
          </w:p>
        </w:tc>
      </w:tr>
      <w:tr w:rsidR="00634539" w:rsidRPr="001C1E47" w14:paraId="73051CF9" w14:textId="77777777" w:rsidTr="002245EE">
        <w:tc>
          <w:tcPr>
            <w:cnfStyle w:val="001000000000" w:firstRow="0" w:lastRow="0" w:firstColumn="1" w:lastColumn="0" w:oddVBand="0" w:evenVBand="0" w:oddHBand="0" w:evenHBand="0" w:firstRowFirstColumn="0" w:firstRowLastColumn="0" w:lastRowFirstColumn="0" w:lastRowLastColumn="0"/>
            <w:tcW w:w="965" w:type="dxa"/>
          </w:tcPr>
          <w:p w14:paraId="4B4D91E3" w14:textId="77777777" w:rsidR="00634539" w:rsidRPr="00073E2C"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r w:rsidRPr="00073E2C">
              <w:rPr>
                <w:rFonts w:eastAsia="PMingLiU" w:cs="Calibri"/>
                <w:sz w:val="22"/>
                <w:szCs w:val="22"/>
              </w:rPr>
              <w:t>6</w:t>
            </w:r>
          </w:p>
        </w:tc>
        <w:tc>
          <w:tcPr>
            <w:tcW w:w="2508" w:type="dxa"/>
          </w:tcPr>
          <w:p w14:paraId="79E27E6A" w14:textId="77777777" w:rsidR="00634539" w:rsidRPr="00073E2C"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cs="Calibri"/>
                <w:sz w:val="22"/>
                <w:szCs w:val="22"/>
              </w:rPr>
              <w:t>Percent of total inspections in state and local government workplaces</w:t>
            </w:r>
          </w:p>
        </w:tc>
        <w:tc>
          <w:tcPr>
            <w:tcW w:w="1107" w:type="dxa"/>
          </w:tcPr>
          <w:p w14:paraId="01189742" w14:textId="67D1E204" w:rsidR="00634539" w:rsidRPr="00073E2C" w:rsidRDefault="004C48CE" w:rsidP="006D20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cs="Calibri"/>
                <w:sz w:val="22"/>
                <w:szCs w:val="22"/>
              </w:rPr>
              <w:t>3.02</w:t>
            </w:r>
            <w:r w:rsidR="00634539" w:rsidRPr="00073E2C">
              <w:rPr>
                <w:rFonts w:cs="Calibri"/>
                <w:sz w:val="22"/>
                <w:szCs w:val="22"/>
              </w:rPr>
              <w:t>%</w:t>
            </w:r>
          </w:p>
        </w:tc>
        <w:tc>
          <w:tcPr>
            <w:tcW w:w="1293" w:type="dxa"/>
          </w:tcPr>
          <w:p w14:paraId="276F5E13" w14:textId="77777777" w:rsidR="00634539" w:rsidRPr="00073E2C" w:rsidRDefault="00634539" w:rsidP="006D20BF">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073E2C">
              <w:rPr>
                <w:rFonts w:cs="Calibri"/>
                <w:sz w:val="22"/>
                <w:szCs w:val="22"/>
              </w:rPr>
              <w:t>+/- 5% of</w:t>
            </w:r>
          </w:p>
          <w:p w14:paraId="7678C0FD" w14:textId="1F7AF9D2" w:rsidR="00634539" w:rsidRPr="00073E2C" w:rsidRDefault="00B3574A" w:rsidP="006D20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cs="Calibri"/>
                <w:sz w:val="22"/>
                <w:szCs w:val="22"/>
              </w:rPr>
              <w:t>6.19</w:t>
            </w:r>
            <w:r w:rsidR="00634539" w:rsidRPr="00073E2C">
              <w:rPr>
                <w:rFonts w:cs="Calibri"/>
                <w:sz w:val="22"/>
                <w:szCs w:val="22"/>
              </w:rPr>
              <w:t>%</w:t>
            </w:r>
          </w:p>
        </w:tc>
        <w:tc>
          <w:tcPr>
            <w:tcW w:w="4477" w:type="dxa"/>
          </w:tcPr>
          <w:p w14:paraId="11909732" w14:textId="2D5C5436" w:rsidR="00634539" w:rsidRPr="00073E2C"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eastAsia="PMingLiU" w:cs="Calibri"/>
                <w:sz w:val="22"/>
                <w:szCs w:val="22"/>
              </w:rPr>
              <w:t xml:space="preserve">The further review level is based on a number negotiated by OSHA and the State Plan through the grant application.  The range of acceptable data not requiring further review is from </w:t>
            </w:r>
            <w:r w:rsidR="00F54EB2" w:rsidRPr="00073E2C">
              <w:rPr>
                <w:rFonts w:eastAsia="PMingLiU" w:cs="Calibri"/>
                <w:sz w:val="22"/>
                <w:szCs w:val="22"/>
              </w:rPr>
              <w:t>5.88</w:t>
            </w:r>
            <w:r w:rsidRPr="00073E2C">
              <w:rPr>
                <w:rFonts w:eastAsia="PMingLiU" w:cs="Calibri"/>
                <w:sz w:val="22"/>
                <w:szCs w:val="22"/>
              </w:rPr>
              <w:t xml:space="preserve">% to </w:t>
            </w:r>
            <w:r w:rsidR="00F54EB2" w:rsidRPr="00073E2C">
              <w:rPr>
                <w:rFonts w:eastAsia="PMingLiU" w:cs="Calibri"/>
                <w:sz w:val="22"/>
                <w:szCs w:val="22"/>
              </w:rPr>
              <w:t>6.50</w:t>
            </w:r>
            <w:r w:rsidRPr="00073E2C">
              <w:rPr>
                <w:rFonts w:eastAsia="PMingLiU" w:cs="Calibri"/>
                <w:sz w:val="22"/>
                <w:szCs w:val="22"/>
              </w:rPr>
              <w:t>%.</w:t>
            </w:r>
          </w:p>
        </w:tc>
      </w:tr>
      <w:tr w:rsidR="00634539" w:rsidRPr="001C1E47" w14:paraId="47E35DEE" w14:textId="77777777" w:rsidTr="002245EE">
        <w:tc>
          <w:tcPr>
            <w:cnfStyle w:val="001000000000" w:firstRow="0" w:lastRow="0" w:firstColumn="1" w:lastColumn="0" w:oddVBand="0" w:evenVBand="0" w:oddHBand="0" w:evenHBand="0" w:firstRowFirstColumn="0" w:firstRowLastColumn="0" w:lastRowFirstColumn="0" w:lastRowLastColumn="0"/>
            <w:tcW w:w="965" w:type="dxa"/>
          </w:tcPr>
          <w:p w14:paraId="2635650F" w14:textId="77777777" w:rsidR="00634539" w:rsidRPr="00073E2C"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r w:rsidRPr="00073E2C">
              <w:rPr>
                <w:rFonts w:eastAsia="PMingLiU" w:cs="Calibri"/>
                <w:sz w:val="22"/>
                <w:szCs w:val="22"/>
              </w:rPr>
              <w:t>7a</w:t>
            </w:r>
          </w:p>
        </w:tc>
        <w:tc>
          <w:tcPr>
            <w:tcW w:w="2508" w:type="dxa"/>
          </w:tcPr>
          <w:p w14:paraId="6972B9CD" w14:textId="3BED009A" w:rsidR="00634539" w:rsidRPr="00073E2C"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cs="Calibri"/>
                <w:sz w:val="22"/>
                <w:szCs w:val="22"/>
              </w:rPr>
              <w:t>Planned v. actual inspections (safety)</w:t>
            </w:r>
          </w:p>
        </w:tc>
        <w:tc>
          <w:tcPr>
            <w:tcW w:w="1107" w:type="dxa"/>
          </w:tcPr>
          <w:p w14:paraId="714EE701" w14:textId="3DCC9DA5" w:rsidR="00634539" w:rsidRPr="00073E2C" w:rsidRDefault="009D7C86" w:rsidP="006D20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eastAsia="PMingLiU" w:cs="Calibri"/>
                <w:sz w:val="22"/>
                <w:szCs w:val="22"/>
              </w:rPr>
              <w:t>669</w:t>
            </w:r>
          </w:p>
        </w:tc>
        <w:tc>
          <w:tcPr>
            <w:tcW w:w="1293" w:type="dxa"/>
          </w:tcPr>
          <w:p w14:paraId="7B010307" w14:textId="648D0A1A" w:rsidR="00634539" w:rsidRPr="00073E2C" w:rsidRDefault="00634539" w:rsidP="006D20BF">
            <w:pPr>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073E2C">
              <w:rPr>
                <w:rFonts w:cs="Calibri"/>
                <w:sz w:val="22"/>
                <w:szCs w:val="22"/>
              </w:rPr>
              <w:t>+/- 5% of</w:t>
            </w:r>
          </w:p>
          <w:p w14:paraId="70DE1282" w14:textId="1D054AB7" w:rsidR="00634539" w:rsidRPr="00073E2C" w:rsidRDefault="008D122C" w:rsidP="006D20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cs="Calibri"/>
                <w:sz w:val="22"/>
                <w:szCs w:val="22"/>
              </w:rPr>
              <w:t>616</w:t>
            </w:r>
          </w:p>
        </w:tc>
        <w:tc>
          <w:tcPr>
            <w:tcW w:w="4477" w:type="dxa"/>
          </w:tcPr>
          <w:p w14:paraId="127905E2" w14:textId="603F3E16" w:rsidR="00634539" w:rsidRPr="00073E2C"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cs="Calibri"/>
                <w:sz w:val="22"/>
                <w:szCs w:val="22"/>
              </w:rPr>
              <w:t xml:space="preserve">The further review level is based on a number negotiated by OSHA and the State Plan through the grant application.  The range of acceptable data not requiring further review is from </w:t>
            </w:r>
            <w:r w:rsidR="004C2FCD" w:rsidRPr="00073E2C">
              <w:rPr>
                <w:rFonts w:cs="Calibri"/>
                <w:sz w:val="22"/>
                <w:szCs w:val="22"/>
              </w:rPr>
              <w:t>585</w:t>
            </w:r>
            <w:r w:rsidRPr="00073E2C">
              <w:rPr>
                <w:rFonts w:cs="Calibri"/>
                <w:sz w:val="22"/>
                <w:szCs w:val="22"/>
              </w:rPr>
              <w:t xml:space="preserve"> to </w:t>
            </w:r>
            <w:r w:rsidR="004C2FCD" w:rsidRPr="00073E2C">
              <w:rPr>
                <w:rFonts w:cs="Calibri"/>
                <w:sz w:val="22"/>
                <w:szCs w:val="22"/>
              </w:rPr>
              <w:t>647</w:t>
            </w:r>
            <w:r w:rsidRPr="00073E2C">
              <w:rPr>
                <w:rFonts w:cs="Calibri"/>
                <w:sz w:val="22"/>
                <w:szCs w:val="22"/>
              </w:rPr>
              <w:t xml:space="preserve"> for safety.</w:t>
            </w:r>
          </w:p>
        </w:tc>
      </w:tr>
      <w:tr w:rsidR="00634539" w:rsidRPr="001C1E47" w14:paraId="41D7E5AF" w14:textId="77777777" w:rsidTr="002245EE">
        <w:tc>
          <w:tcPr>
            <w:cnfStyle w:val="001000000000" w:firstRow="0" w:lastRow="0" w:firstColumn="1" w:lastColumn="0" w:oddVBand="0" w:evenVBand="0" w:oddHBand="0" w:evenHBand="0" w:firstRowFirstColumn="0" w:firstRowLastColumn="0" w:lastRowFirstColumn="0" w:lastRowLastColumn="0"/>
            <w:tcW w:w="965" w:type="dxa"/>
          </w:tcPr>
          <w:p w14:paraId="78976174" w14:textId="77777777" w:rsidR="00634539" w:rsidRPr="00073E2C"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sz w:val="22"/>
                <w:szCs w:val="22"/>
              </w:rPr>
            </w:pPr>
            <w:r w:rsidRPr="00073E2C">
              <w:rPr>
                <w:rFonts w:eastAsia="PMingLiU" w:cs="Calibri"/>
                <w:sz w:val="22"/>
                <w:szCs w:val="22"/>
              </w:rPr>
              <w:lastRenderedPageBreak/>
              <w:t>7b</w:t>
            </w:r>
          </w:p>
        </w:tc>
        <w:tc>
          <w:tcPr>
            <w:tcW w:w="2508" w:type="dxa"/>
          </w:tcPr>
          <w:p w14:paraId="628291DB" w14:textId="4C38D916" w:rsidR="00634539" w:rsidRPr="00073E2C"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073E2C">
              <w:rPr>
                <w:rFonts w:cs="Calibri"/>
                <w:sz w:val="22"/>
                <w:szCs w:val="22"/>
              </w:rPr>
              <w:t>Planned v. actual inspections (health)</w:t>
            </w:r>
          </w:p>
        </w:tc>
        <w:tc>
          <w:tcPr>
            <w:tcW w:w="1107" w:type="dxa"/>
          </w:tcPr>
          <w:p w14:paraId="46225BFE" w14:textId="6F89B587" w:rsidR="00634539" w:rsidRPr="00073E2C" w:rsidRDefault="009D7C86" w:rsidP="006D20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eastAsia="PMingLiU" w:cs="Calibri"/>
                <w:sz w:val="22"/>
                <w:szCs w:val="22"/>
              </w:rPr>
              <w:t>127</w:t>
            </w:r>
          </w:p>
        </w:tc>
        <w:tc>
          <w:tcPr>
            <w:tcW w:w="1293" w:type="dxa"/>
          </w:tcPr>
          <w:p w14:paraId="2F300C85" w14:textId="11C979CA" w:rsidR="00634539" w:rsidRPr="00073E2C" w:rsidRDefault="00634539" w:rsidP="006D20BF">
            <w:pPr>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073E2C">
              <w:rPr>
                <w:rFonts w:cs="Calibri"/>
                <w:sz w:val="22"/>
                <w:szCs w:val="22"/>
              </w:rPr>
              <w:t>+/- 5% of</w:t>
            </w:r>
          </w:p>
          <w:p w14:paraId="615D1DB6" w14:textId="01EA17F3" w:rsidR="00634539" w:rsidRPr="00073E2C" w:rsidRDefault="0086401F" w:rsidP="006D20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cs="Calibri"/>
                <w:sz w:val="22"/>
                <w:szCs w:val="22"/>
              </w:rPr>
              <w:t>159</w:t>
            </w:r>
          </w:p>
        </w:tc>
        <w:tc>
          <w:tcPr>
            <w:tcW w:w="4477" w:type="dxa"/>
          </w:tcPr>
          <w:p w14:paraId="4C49AF53" w14:textId="2FF8F59B" w:rsidR="00634539" w:rsidRPr="00073E2C"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cs="Calibri"/>
                <w:sz w:val="22"/>
                <w:szCs w:val="22"/>
              </w:rPr>
              <w:t xml:space="preserve">The further review level is based on a number negotiated by OSHA and the State Plan through the grant application.  The range of acceptable data not requiring further review is from </w:t>
            </w:r>
            <w:r w:rsidR="008D122C" w:rsidRPr="00073E2C">
              <w:rPr>
                <w:rFonts w:cs="Calibri"/>
                <w:sz w:val="22"/>
                <w:szCs w:val="22"/>
              </w:rPr>
              <w:t>151</w:t>
            </w:r>
            <w:r w:rsidRPr="00073E2C">
              <w:rPr>
                <w:rFonts w:cs="Calibri"/>
                <w:sz w:val="22"/>
                <w:szCs w:val="22"/>
              </w:rPr>
              <w:t xml:space="preserve"> to </w:t>
            </w:r>
            <w:r w:rsidR="008D122C" w:rsidRPr="00073E2C">
              <w:rPr>
                <w:rFonts w:cs="Calibri"/>
                <w:sz w:val="22"/>
                <w:szCs w:val="22"/>
              </w:rPr>
              <w:t>167</w:t>
            </w:r>
            <w:r w:rsidRPr="00073E2C">
              <w:rPr>
                <w:rFonts w:cs="Calibri"/>
                <w:sz w:val="22"/>
                <w:szCs w:val="22"/>
              </w:rPr>
              <w:t xml:space="preserve"> for health.</w:t>
            </w:r>
          </w:p>
        </w:tc>
      </w:tr>
      <w:tr w:rsidR="009D4E59" w:rsidRPr="009D4E59" w14:paraId="00924AD2" w14:textId="77777777" w:rsidTr="002245EE">
        <w:tc>
          <w:tcPr>
            <w:cnfStyle w:val="001000000000" w:firstRow="0" w:lastRow="0" w:firstColumn="1" w:lastColumn="0" w:oddVBand="0" w:evenVBand="0" w:oddHBand="0" w:evenHBand="0" w:firstRowFirstColumn="0" w:firstRowLastColumn="0" w:lastRowFirstColumn="0" w:lastRowLastColumn="0"/>
            <w:tcW w:w="965" w:type="dxa"/>
          </w:tcPr>
          <w:p w14:paraId="166CD8D5" w14:textId="68C4FA10" w:rsidR="009D4E59" w:rsidRPr="00073E2C" w:rsidRDefault="009D4E59" w:rsidP="009D4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r w:rsidRPr="00073E2C">
              <w:rPr>
                <w:rFonts w:eastAsia="PMingLiU" w:cs="Calibri"/>
                <w:sz w:val="22"/>
                <w:szCs w:val="22"/>
              </w:rPr>
              <w:t>8</w:t>
            </w:r>
          </w:p>
        </w:tc>
        <w:tc>
          <w:tcPr>
            <w:tcW w:w="2508" w:type="dxa"/>
          </w:tcPr>
          <w:p w14:paraId="68C7338D" w14:textId="67BA171F" w:rsidR="009D4E59" w:rsidRPr="00073E2C" w:rsidRDefault="009D4E59" w:rsidP="009D4E59">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073E2C">
              <w:rPr>
                <w:rFonts w:asciiTheme="minorHAnsi" w:hAnsiTheme="minorHAnsi" w:cstheme="minorHAnsi"/>
                <w:sz w:val="22"/>
                <w:szCs w:val="22"/>
              </w:rPr>
              <w:t>Average current serious penalty in private sector - total (1 to greater than 250 workers)</w:t>
            </w:r>
          </w:p>
        </w:tc>
        <w:tc>
          <w:tcPr>
            <w:tcW w:w="1107" w:type="dxa"/>
          </w:tcPr>
          <w:p w14:paraId="3D118FB3" w14:textId="6915DBE6" w:rsidR="009D4E59" w:rsidRPr="00073E2C" w:rsidRDefault="009D4E59" w:rsidP="006D20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asciiTheme="minorHAnsi" w:eastAsia="PMingLiU" w:hAnsiTheme="minorHAnsi" w:cstheme="minorHAnsi"/>
                <w:sz w:val="22"/>
                <w:szCs w:val="22"/>
              </w:rPr>
              <w:t>$1,907.50</w:t>
            </w:r>
          </w:p>
        </w:tc>
        <w:tc>
          <w:tcPr>
            <w:tcW w:w="1293" w:type="dxa"/>
          </w:tcPr>
          <w:p w14:paraId="06A1E604" w14:textId="64002D3F" w:rsidR="009D4E59" w:rsidRPr="00073E2C" w:rsidRDefault="009D4E59" w:rsidP="006D20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73E2C">
              <w:rPr>
                <w:rFonts w:asciiTheme="minorHAnsi" w:hAnsiTheme="minorHAnsi" w:cstheme="minorHAnsi"/>
                <w:sz w:val="22"/>
                <w:szCs w:val="22"/>
              </w:rPr>
              <w:t>+/- 25% of</w:t>
            </w:r>
          </w:p>
          <w:p w14:paraId="0C01EAAB" w14:textId="77777777" w:rsidR="009D4E59" w:rsidRPr="00073E2C" w:rsidRDefault="009D4E59" w:rsidP="006D20BF">
            <w:pPr>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073E2C">
              <w:rPr>
                <w:rFonts w:asciiTheme="minorHAnsi" w:eastAsia="PMingLiU" w:hAnsiTheme="minorHAnsi" w:cstheme="minorHAnsi"/>
                <w:sz w:val="22"/>
                <w:szCs w:val="22"/>
              </w:rPr>
              <w:t>$3,793.81</w:t>
            </w:r>
          </w:p>
          <w:p w14:paraId="65C299F2" w14:textId="77777777" w:rsidR="009D4E59" w:rsidRPr="00073E2C" w:rsidRDefault="009D4E59" w:rsidP="006D20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4477" w:type="dxa"/>
          </w:tcPr>
          <w:p w14:paraId="7598C389" w14:textId="409452FA" w:rsidR="009D4E59" w:rsidRPr="00073E2C" w:rsidRDefault="009D4E59" w:rsidP="009D4E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73E2C">
              <w:rPr>
                <w:rFonts w:asciiTheme="minorHAnsi" w:hAnsiTheme="minorHAnsi" w:cstheme="minorHAnsi"/>
                <w:sz w:val="22"/>
                <w:szCs w:val="22"/>
              </w:rPr>
              <w:t>The further review level is based on a three-year national average.  The range of acceptable data not requiring further review is from $2,845.36 to $4,742.27.</w:t>
            </w:r>
          </w:p>
        </w:tc>
      </w:tr>
      <w:tr w:rsidR="00634539" w:rsidRPr="001C1E47" w14:paraId="4CF9D609" w14:textId="77777777" w:rsidTr="002245EE">
        <w:tc>
          <w:tcPr>
            <w:cnfStyle w:val="001000000000" w:firstRow="0" w:lastRow="0" w:firstColumn="1" w:lastColumn="0" w:oddVBand="0" w:evenVBand="0" w:oddHBand="0" w:evenHBand="0" w:firstRowFirstColumn="0" w:firstRowLastColumn="0" w:lastRowFirstColumn="0" w:lastRowLastColumn="0"/>
            <w:tcW w:w="965" w:type="dxa"/>
          </w:tcPr>
          <w:p w14:paraId="0ABEB3DA" w14:textId="6243CDC1" w:rsidR="00634539" w:rsidRPr="00073E2C" w:rsidRDefault="00466F3E"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Cs w:val="0"/>
                <w:sz w:val="22"/>
                <w:szCs w:val="22"/>
              </w:rPr>
            </w:pPr>
            <w:r w:rsidRPr="00073E2C">
              <w:rPr>
                <w:rFonts w:eastAsia="PMingLiU" w:cs="Calibri"/>
                <w:bCs w:val="0"/>
                <w:sz w:val="22"/>
                <w:szCs w:val="22"/>
              </w:rPr>
              <w:t>8a</w:t>
            </w:r>
          </w:p>
        </w:tc>
        <w:tc>
          <w:tcPr>
            <w:tcW w:w="2508" w:type="dxa"/>
          </w:tcPr>
          <w:p w14:paraId="51065DBA" w14:textId="623F0FF3" w:rsidR="00634539" w:rsidRPr="00073E2C" w:rsidRDefault="00634539" w:rsidP="0081441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073E2C">
              <w:rPr>
                <w:rFonts w:cs="Calibri"/>
                <w:sz w:val="22"/>
                <w:szCs w:val="22"/>
              </w:rPr>
              <w:t>Average current serious penalty in private sector</w:t>
            </w:r>
          </w:p>
          <w:p w14:paraId="7C4696DD" w14:textId="77777777" w:rsidR="00634539" w:rsidRPr="00073E2C"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073E2C">
              <w:rPr>
                <w:rFonts w:cs="Calibri"/>
                <w:sz w:val="22"/>
                <w:szCs w:val="22"/>
              </w:rPr>
              <w:t xml:space="preserve"> (1-25 workers)</w:t>
            </w:r>
          </w:p>
        </w:tc>
        <w:tc>
          <w:tcPr>
            <w:tcW w:w="1107" w:type="dxa"/>
          </w:tcPr>
          <w:p w14:paraId="3B168483" w14:textId="1C3101E8" w:rsidR="00634539" w:rsidRPr="00073E2C" w:rsidRDefault="00634539" w:rsidP="006D20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eastAsia="PMingLiU" w:cs="Calibri"/>
                <w:sz w:val="22"/>
                <w:szCs w:val="22"/>
              </w:rPr>
              <w:t>$</w:t>
            </w:r>
            <w:r w:rsidR="007F3086" w:rsidRPr="00073E2C">
              <w:rPr>
                <w:rFonts w:eastAsia="PMingLiU" w:cs="Calibri"/>
                <w:sz w:val="22"/>
                <w:szCs w:val="22"/>
              </w:rPr>
              <w:t>1,167.00</w:t>
            </w:r>
          </w:p>
        </w:tc>
        <w:tc>
          <w:tcPr>
            <w:tcW w:w="1293" w:type="dxa"/>
          </w:tcPr>
          <w:p w14:paraId="454693BE" w14:textId="582D1670" w:rsidR="001603DE" w:rsidRPr="00073E2C" w:rsidRDefault="001603DE" w:rsidP="006D20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73E2C">
              <w:rPr>
                <w:rFonts w:asciiTheme="minorHAnsi" w:hAnsiTheme="minorHAnsi" w:cstheme="minorHAnsi"/>
                <w:sz w:val="22"/>
                <w:szCs w:val="22"/>
              </w:rPr>
              <w:t>+/- 25% of</w:t>
            </w:r>
          </w:p>
          <w:p w14:paraId="3F9EC2B4" w14:textId="77777777" w:rsidR="001603DE" w:rsidRPr="00073E2C" w:rsidRDefault="001603DE" w:rsidP="006D20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73E2C">
              <w:rPr>
                <w:rFonts w:asciiTheme="minorHAnsi" w:hAnsiTheme="minorHAnsi" w:cstheme="minorHAnsi"/>
                <w:sz w:val="22"/>
                <w:szCs w:val="22"/>
              </w:rPr>
              <w:t>$2,498.51</w:t>
            </w:r>
          </w:p>
          <w:p w14:paraId="4DC91B0C" w14:textId="77777777" w:rsidR="00634539" w:rsidRPr="00073E2C" w:rsidRDefault="00634539" w:rsidP="006D20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p>
        </w:tc>
        <w:tc>
          <w:tcPr>
            <w:tcW w:w="4477" w:type="dxa"/>
          </w:tcPr>
          <w:p w14:paraId="371F75E0" w14:textId="389E5B19" w:rsidR="00634539" w:rsidRPr="00073E2C" w:rsidRDefault="00DF2D36"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asciiTheme="minorHAnsi" w:hAnsiTheme="minorHAnsi" w:cstheme="minorHAnsi"/>
                <w:sz w:val="22"/>
                <w:szCs w:val="22"/>
              </w:rPr>
              <w:t>The further review level is based on a three-year national average.  The range of acceptable data not requiring further review is from $1,873.88 to $3,123.14.</w:t>
            </w:r>
          </w:p>
        </w:tc>
      </w:tr>
      <w:tr w:rsidR="00634539" w:rsidRPr="001C1E47" w14:paraId="2F293093" w14:textId="77777777" w:rsidTr="002245EE">
        <w:tc>
          <w:tcPr>
            <w:cnfStyle w:val="001000000000" w:firstRow="0" w:lastRow="0" w:firstColumn="1" w:lastColumn="0" w:oddVBand="0" w:evenVBand="0" w:oddHBand="0" w:evenHBand="0" w:firstRowFirstColumn="0" w:firstRowLastColumn="0" w:lastRowFirstColumn="0" w:lastRowLastColumn="0"/>
            <w:tcW w:w="965" w:type="dxa"/>
          </w:tcPr>
          <w:p w14:paraId="2794F1EF" w14:textId="31E0A653" w:rsidR="00634539" w:rsidRPr="00073E2C" w:rsidRDefault="00466F3E"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Cs w:val="0"/>
                <w:sz w:val="22"/>
                <w:szCs w:val="22"/>
              </w:rPr>
            </w:pPr>
            <w:r w:rsidRPr="00073E2C">
              <w:rPr>
                <w:rFonts w:eastAsia="PMingLiU" w:cs="Calibri"/>
                <w:bCs w:val="0"/>
                <w:sz w:val="22"/>
                <w:szCs w:val="22"/>
              </w:rPr>
              <w:t>8b</w:t>
            </w:r>
          </w:p>
        </w:tc>
        <w:tc>
          <w:tcPr>
            <w:tcW w:w="2508" w:type="dxa"/>
          </w:tcPr>
          <w:p w14:paraId="18122F6D" w14:textId="273C1B16" w:rsidR="00634539" w:rsidRPr="00073E2C" w:rsidRDefault="00634539" w:rsidP="0081441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073E2C">
              <w:rPr>
                <w:rFonts w:cs="Calibri"/>
                <w:sz w:val="22"/>
                <w:szCs w:val="22"/>
              </w:rPr>
              <w:t xml:space="preserve">Average current serious penalty in private sector </w:t>
            </w:r>
          </w:p>
          <w:p w14:paraId="0CB214A9" w14:textId="77777777" w:rsidR="00634539" w:rsidRPr="00073E2C"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073E2C">
              <w:rPr>
                <w:rFonts w:cs="Calibri"/>
                <w:sz w:val="22"/>
                <w:szCs w:val="22"/>
              </w:rPr>
              <w:t>(26-100 workers</w:t>
            </w:r>
            <w:r w:rsidRPr="00073E2C">
              <w:rPr>
                <w:rFonts w:cs="Calibri"/>
                <w:b/>
                <w:sz w:val="22"/>
                <w:szCs w:val="22"/>
              </w:rPr>
              <w:t>)</w:t>
            </w:r>
          </w:p>
        </w:tc>
        <w:tc>
          <w:tcPr>
            <w:tcW w:w="1107" w:type="dxa"/>
          </w:tcPr>
          <w:p w14:paraId="26CF4361" w14:textId="03322885" w:rsidR="00634539" w:rsidRPr="00073E2C" w:rsidRDefault="00634539" w:rsidP="006D20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eastAsia="PMingLiU" w:cs="Calibri"/>
                <w:sz w:val="22"/>
                <w:szCs w:val="22"/>
              </w:rPr>
              <w:t>$</w:t>
            </w:r>
            <w:r w:rsidR="007F3086" w:rsidRPr="00073E2C">
              <w:rPr>
                <w:rFonts w:eastAsia="PMingLiU" w:cs="Calibri"/>
                <w:sz w:val="22"/>
                <w:szCs w:val="22"/>
              </w:rPr>
              <w:t>1,648.49</w:t>
            </w:r>
          </w:p>
        </w:tc>
        <w:tc>
          <w:tcPr>
            <w:tcW w:w="1293" w:type="dxa"/>
          </w:tcPr>
          <w:p w14:paraId="0FD02B4D" w14:textId="54C29C54" w:rsidR="003C2BCC" w:rsidRPr="00073E2C" w:rsidRDefault="003C2BCC" w:rsidP="006D20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73E2C">
              <w:rPr>
                <w:rFonts w:asciiTheme="minorHAnsi" w:hAnsiTheme="minorHAnsi" w:cstheme="minorHAnsi"/>
                <w:sz w:val="22"/>
                <w:szCs w:val="22"/>
              </w:rPr>
              <w:t>+/- 25% of</w:t>
            </w:r>
          </w:p>
          <w:p w14:paraId="4019F301" w14:textId="77777777" w:rsidR="003C2BCC" w:rsidRPr="00073E2C" w:rsidRDefault="003C2BCC" w:rsidP="006D20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73E2C">
              <w:rPr>
                <w:rFonts w:asciiTheme="minorHAnsi" w:hAnsiTheme="minorHAnsi" w:cstheme="minorHAnsi"/>
                <w:sz w:val="22"/>
                <w:szCs w:val="22"/>
              </w:rPr>
              <w:t>$4,322.61</w:t>
            </w:r>
          </w:p>
          <w:p w14:paraId="6AB595C0" w14:textId="77777777" w:rsidR="00634539" w:rsidRPr="00073E2C" w:rsidRDefault="00634539" w:rsidP="006D20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p>
        </w:tc>
        <w:tc>
          <w:tcPr>
            <w:tcW w:w="4477" w:type="dxa"/>
          </w:tcPr>
          <w:p w14:paraId="533EE6CD" w14:textId="241636AA" w:rsidR="00634539" w:rsidRPr="00073E2C" w:rsidRDefault="00466F3E"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asciiTheme="minorHAnsi" w:hAnsiTheme="minorHAnsi" w:cstheme="minorHAnsi"/>
                <w:sz w:val="22"/>
                <w:szCs w:val="22"/>
              </w:rPr>
              <w:t>The further review level is based on a three-year national average.  The range of acceptable data not requiring further review is from $3,241.96 to $5,403.26.</w:t>
            </w:r>
          </w:p>
        </w:tc>
      </w:tr>
      <w:tr w:rsidR="00634539" w:rsidRPr="001C1E47" w14:paraId="786F3F1A" w14:textId="77777777" w:rsidTr="002245EE">
        <w:tc>
          <w:tcPr>
            <w:cnfStyle w:val="001000000000" w:firstRow="0" w:lastRow="0" w:firstColumn="1" w:lastColumn="0" w:oddVBand="0" w:evenVBand="0" w:oddHBand="0" w:evenHBand="0" w:firstRowFirstColumn="0" w:firstRowLastColumn="0" w:lastRowFirstColumn="0" w:lastRowLastColumn="0"/>
            <w:tcW w:w="965" w:type="dxa"/>
          </w:tcPr>
          <w:p w14:paraId="5A3932AB" w14:textId="12737996" w:rsidR="00634539" w:rsidRPr="00073E2C" w:rsidRDefault="00466F3E"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Cs w:val="0"/>
                <w:sz w:val="22"/>
                <w:szCs w:val="22"/>
              </w:rPr>
            </w:pPr>
            <w:r w:rsidRPr="00073E2C">
              <w:rPr>
                <w:rFonts w:eastAsia="PMingLiU" w:cs="Calibri"/>
                <w:bCs w:val="0"/>
                <w:sz w:val="22"/>
                <w:szCs w:val="22"/>
              </w:rPr>
              <w:t>8c</w:t>
            </w:r>
          </w:p>
        </w:tc>
        <w:tc>
          <w:tcPr>
            <w:tcW w:w="2508" w:type="dxa"/>
          </w:tcPr>
          <w:p w14:paraId="5F59BDF5" w14:textId="3F57FC58" w:rsidR="00634539" w:rsidRPr="00073E2C" w:rsidRDefault="00634539" w:rsidP="0081441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073E2C">
              <w:rPr>
                <w:rFonts w:cs="Calibri"/>
                <w:sz w:val="22"/>
                <w:szCs w:val="22"/>
              </w:rPr>
              <w:t>Average current serious penalty in private sector</w:t>
            </w:r>
          </w:p>
          <w:p w14:paraId="10D9592B" w14:textId="77777777" w:rsidR="00634539" w:rsidRPr="00073E2C"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073E2C">
              <w:rPr>
                <w:rFonts w:cs="Calibri"/>
                <w:sz w:val="22"/>
                <w:szCs w:val="22"/>
              </w:rPr>
              <w:t>(101-250 workers)</w:t>
            </w:r>
          </w:p>
        </w:tc>
        <w:tc>
          <w:tcPr>
            <w:tcW w:w="1107" w:type="dxa"/>
          </w:tcPr>
          <w:p w14:paraId="7D3E6F14" w14:textId="714AFDED" w:rsidR="00634539" w:rsidRPr="00073E2C" w:rsidRDefault="00634539" w:rsidP="006D20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eastAsia="PMingLiU" w:cs="Calibri"/>
                <w:sz w:val="22"/>
                <w:szCs w:val="22"/>
              </w:rPr>
              <w:t>$</w:t>
            </w:r>
            <w:r w:rsidR="0013712D" w:rsidRPr="00073E2C">
              <w:rPr>
                <w:rFonts w:eastAsia="PMingLiU" w:cs="Calibri"/>
                <w:sz w:val="22"/>
                <w:szCs w:val="22"/>
              </w:rPr>
              <w:t>2,614.10</w:t>
            </w:r>
          </w:p>
        </w:tc>
        <w:tc>
          <w:tcPr>
            <w:tcW w:w="1293" w:type="dxa"/>
          </w:tcPr>
          <w:p w14:paraId="758574BB" w14:textId="48F433F5" w:rsidR="008A71EA" w:rsidRPr="00073E2C" w:rsidRDefault="008A71EA" w:rsidP="006D20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73E2C">
              <w:rPr>
                <w:rFonts w:asciiTheme="minorHAnsi" w:hAnsiTheme="minorHAnsi" w:cstheme="minorHAnsi"/>
                <w:sz w:val="22"/>
                <w:szCs w:val="22"/>
              </w:rPr>
              <w:t>+/- 25% of</w:t>
            </w:r>
          </w:p>
          <w:p w14:paraId="1BDC25DE" w14:textId="77777777" w:rsidR="008A71EA" w:rsidRPr="00073E2C" w:rsidRDefault="008A71EA" w:rsidP="006D20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73E2C">
              <w:rPr>
                <w:rFonts w:asciiTheme="minorHAnsi" w:hAnsiTheme="minorHAnsi" w:cstheme="minorHAnsi"/>
                <w:sz w:val="22"/>
                <w:szCs w:val="22"/>
              </w:rPr>
              <w:t>$6,114.84</w:t>
            </w:r>
          </w:p>
          <w:p w14:paraId="0194F828" w14:textId="77777777" w:rsidR="00634539" w:rsidRPr="00073E2C" w:rsidRDefault="00634539" w:rsidP="006D20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p>
        </w:tc>
        <w:tc>
          <w:tcPr>
            <w:tcW w:w="4477" w:type="dxa"/>
          </w:tcPr>
          <w:p w14:paraId="4B00CAC2" w14:textId="77FF0254" w:rsidR="00634539" w:rsidRPr="00073E2C" w:rsidRDefault="00F70CB8"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asciiTheme="minorHAnsi" w:hAnsiTheme="minorHAnsi" w:cstheme="minorHAnsi"/>
                <w:sz w:val="22"/>
                <w:szCs w:val="22"/>
              </w:rPr>
              <w:t>The further review level is based on a three-year national average.  The range of acceptable data not requiring further review is from $4,586.13 to $7,643.55.</w:t>
            </w:r>
          </w:p>
        </w:tc>
      </w:tr>
      <w:tr w:rsidR="00634539" w:rsidRPr="001C1E47" w14:paraId="44B346AD" w14:textId="77777777" w:rsidTr="002245EE">
        <w:tc>
          <w:tcPr>
            <w:cnfStyle w:val="001000000000" w:firstRow="0" w:lastRow="0" w:firstColumn="1" w:lastColumn="0" w:oddVBand="0" w:evenVBand="0" w:oddHBand="0" w:evenHBand="0" w:firstRowFirstColumn="0" w:firstRowLastColumn="0" w:lastRowFirstColumn="0" w:lastRowLastColumn="0"/>
            <w:tcW w:w="965" w:type="dxa"/>
          </w:tcPr>
          <w:p w14:paraId="5ED4D0D0" w14:textId="34C5C8D6" w:rsidR="00634539" w:rsidRPr="00073E2C" w:rsidRDefault="00466F3E"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Cs w:val="0"/>
                <w:sz w:val="22"/>
                <w:szCs w:val="22"/>
              </w:rPr>
            </w:pPr>
            <w:r w:rsidRPr="00073E2C">
              <w:rPr>
                <w:rFonts w:eastAsia="PMingLiU" w:cs="Calibri"/>
                <w:bCs w:val="0"/>
                <w:sz w:val="22"/>
                <w:szCs w:val="22"/>
              </w:rPr>
              <w:t>8d</w:t>
            </w:r>
          </w:p>
        </w:tc>
        <w:tc>
          <w:tcPr>
            <w:tcW w:w="2508" w:type="dxa"/>
          </w:tcPr>
          <w:p w14:paraId="255BABE2" w14:textId="0C566A85" w:rsidR="00634539" w:rsidRPr="00073E2C" w:rsidRDefault="00634539" w:rsidP="0081441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073E2C">
              <w:rPr>
                <w:rFonts w:cs="Calibri"/>
                <w:sz w:val="22"/>
                <w:szCs w:val="22"/>
              </w:rPr>
              <w:t>Average current serious penalty in private sector</w:t>
            </w:r>
          </w:p>
          <w:p w14:paraId="48DDBB4B" w14:textId="77777777" w:rsidR="00634539" w:rsidRPr="00073E2C"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073E2C">
              <w:rPr>
                <w:rFonts w:cs="Calibri"/>
                <w:sz w:val="22"/>
                <w:szCs w:val="22"/>
              </w:rPr>
              <w:t>(greater than 250 workers)</w:t>
            </w:r>
          </w:p>
        </w:tc>
        <w:tc>
          <w:tcPr>
            <w:tcW w:w="1107" w:type="dxa"/>
          </w:tcPr>
          <w:p w14:paraId="7D66FCF1" w14:textId="0D6DCC6B" w:rsidR="00634539" w:rsidRPr="00073E2C" w:rsidRDefault="00634539" w:rsidP="006D20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eastAsia="PMingLiU" w:cs="Calibri"/>
                <w:sz w:val="22"/>
                <w:szCs w:val="22"/>
              </w:rPr>
              <w:t>$</w:t>
            </w:r>
            <w:r w:rsidR="0013712D" w:rsidRPr="00073E2C">
              <w:rPr>
                <w:rFonts w:eastAsia="PMingLiU" w:cs="Calibri"/>
                <w:sz w:val="22"/>
                <w:szCs w:val="22"/>
              </w:rPr>
              <w:t>4,291.77</w:t>
            </w:r>
          </w:p>
        </w:tc>
        <w:tc>
          <w:tcPr>
            <w:tcW w:w="1293" w:type="dxa"/>
          </w:tcPr>
          <w:p w14:paraId="09C18555" w14:textId="5B7A17FE" w:rsidR="00C30683" w:rsidRPr="00073E2C" w:rsidRDefault="00C30683" w:rsidP="006D20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73E2C">
              <w:rPr>
                <w:rFonts w:asciiTheme="minorHAnsi" w:hAnsiTheme="minorHAnsi" w:cstheme="minorHAnsi"/>
                <w:sz w:val="22"/>
                <w:szCs w:val="22"/>
              </w:rPr>
              <w:t>+/- 25% of</w:t>
            </w:r>
          </w:p>
          <w:p w14:paraId="6024C699" w14:textId="77777777" w:rsidR="00C30683" w:rsidRPr="00073E2C" w:rsidRDefault="00C30683" w:rsidP="006D20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73E2C">
              <w:rPr>
                <w:rFonts w:asciiTheme="minorHAnsi" w:hAnsiTheme="minorHAnsi" w:cstheme="minorHAnsi"/>
                <w:sz w:val="22"/>
                <w:szCs w:val="22"/>
              </w:rPr>
              <w:t>$7,533.58</w:t>
            </w:r>
          </w:p>
          <w:p w14:paraId="3FB5515E" w14:textId="77777777" w:rsidR="00634539" w:rsidRPr="00073E2C" w:rsidRDefault="00634539" w:rsidP="006D20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p>
        </w:tc>
        <w:tc>
          <w:tcPr>
            <w:tcW w:w="4477" w:type="dxa"/>
          </w:tcPr>
          <w:p w14:paraId="29FF5D83" w14:textId="1BA4D8E0" w:rsidR="00634539" w:rsidRPr="00073E2C" w:rsidRDefault="00865E2A"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asciiTheme="minorHAnsi" w:hAnsiTheme="minorHAnsi" w:cstheme="minorHAnsi"/>
                <w:sz w:val="22"/>
                <w:szCs w:val="22"/>
              </w:rPr>
              <w:t>The further review level is based on a three-year national average.  The range of acceptable data not requiring further review is from $5,650.19 to $9,416.98.</w:t>
            </w:r>
          </w:p>
        </w:tc>
      </w:tr>
      <w:tr w:rsidR="00634539" w:rsidRPr="001C1E47" w14:paraId="6F99001F" w14:textId="77777777" w:rsidTr="002245EE">
        <w:tc>
          <w:tcPr>
            <w:cnfStyle w:val="001000000000" w:firstRow="0" w:lastRow="0" w:firstColumn="1" w:lastColumn="0" w:oddVBand="0" w:evenVBand="0" w:oddHBand="0" w:evenHBand="0" w:firstRowFirstColumn="0" w:firstRowLastColumn="0" w:lastRowFirstColumn="0" w:lastRowLastColumn="0"/>
            <w:tcW w:w="965" w:type="dxa"/>
          </w:tcPr>
          <w:p w14:paraId="2CAB3DC1" w14:textId="77777777" w:rsidR="00634539" w:rsidRPr="00073E2C"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r w:rsidRPr="00073E2C">
              <w:rPr>
                <w:rFonts w:eastAsia="PMingLiU" w:cs="Calibri"/>
                <w:sz w:val="22"/>
                <w:szCs w:val="22"/>
              </w:rPr>
              <w:t>9a</w:t>
            </w:r>
          </w:p>
        </w:tc>
        <w:tc>
          <w:tcPr>
            <w:tcW w:w="2508" w:type="dxa"/>
          </w:tcPr>
          <w:p w14:paraId="406CE5F6" w14:textId="77777777" w:rsidR="00634539" w:rsidRPr="00073E2C"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073E2C">
              <w:rPr>
                <w:rFonts w:cs="Calibri"/>
                <w:sz w:val="22"/>
                <w:szCs w:val="22"/>
              </w:rPr>
              <w:t>Percent in compliance (safety)</w:t>
            </w:r>
          </w:p>
        </w:tc>
        <w:tc>
          <w:tcPr>
            <w:tcW w:w="1107" w:type="dxa"/>
          </w:tcPr>
          <w:p w14:paraId="2CBEE7D5" w14:textId="25351BE7" w:rsidR="00634539" w:rsidRPr="00073E2C" w:rsidRDefault="008B5310" w:rsidP="006D20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eastAsia="PMingLiU" w:cs="Calibri"/>
                <w:sz w:val="22"/>
                <w:szCs w:val="22"/>
              </w:rPr>
              <w:t>42.53</w:t>
            </w:r>
            <w:r w:rsidR="00634539" w:rsidRPr="00073E2C">
              <w:rPr>
                <w:rFonts w:eastAsia="PMingLiU" w:cs="Calibri"/>
                <w:sz w:val="22"/>
                <w:szCs w:val="22"/>
              </w:rPr>
              <w:t>%</w:t>
            </w:r>
          </w:p>
        </w:tc>
        <w:tc>
          <w:tcPr>
            <w:tcW w:w="1293" w:type="dxa"/>
          </w:tcPr>
          <w:p w14:paraId="6FC14EE3" w14:textId="77777777" w:rsidR="0062056B" w:rsidRPr="00073E2C" w:rsidRDefault="0062056B" w:rsidP="006D20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73E2C">
              <w:rPr>
                <w:rFonts w:asciiTheme="minorHAnsi" w:hAnsiTheme="minorHAnsi" w:cstheme="minorHAnsi"/>
                <w:sz w:val="22"/>
                <w:szCs w:val="22"/>
              </w:rPr>
              <w:t>+/- 20% of</w:t>
            </w:r>
          </w:p>
          <w:p w14:paraId="0A52EE0A" w14:textId="65FC3A99" w:rsidR="00634539" w:rsidRPr="00073E2C" w:rsidRDefault="0062056B" w:rsidP="006D20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asciiTheme="minorHAnsi" w:hAnsiTheme="minorHAnsi" w:cstheme="minorHAnsi"/>
                <w:sz w:val="22"/>
                <w:szCs w:val="22"/>
              </w:rPr>
              <w:t>32.83%</w:t>
            </w:r>
          </w:p>
        </w:tc>
        <w:tc>
          <w:tcPr>
            <w:tcW w:w="4477" w:type="dxa"/>
          </w:tcPr>
          <w:p w14:paraId="2A829BA0" w14:textId="0EF9654E" w:rsidR="00634539" w:rsidRPr="00073E2C" w:rsidRDefault="001D42CE"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asciiTheme="minorHAnsi" w:hAnsiTheme="minorHAnsi" w:cstheme="minorHAnsi"/>
                <w:sz w:val="22"/>
                <w:szCs w:val="22"/>
              </w:rPr>
              <w:t>The further review level is based on a three-year national average.  The range of acceptable data not requiring further review is from 26.27% to 39.40% for safety.</w:t>
            </w:r>
          </w:p>
        </w:tc>
      </w:tr>
      <w:tr w:rsidR="00634539" w:rsidRPr="001C1E47" w14:paraId="3EB76E55" w14:textId="77777777" w:rsidTr="002245EE">
        <w:tc>
          <w:tcPr>
            <w:cnfStyle w:val="001000000000" w:firstRow="0" w:lastRow="0" w:firstColumn="1" w:lastColumn="0" w:oddVBand="0" w:evenVBand="0" w:oddHBand="0" w:evenHBand="0" w:firstRowFirstColumn="0" w:firstRowLastColumn="0" w:lastRowFirstColumn="0" w:lastRowLastColumn="0"/>
            <w:tcW w:w="965" w:type="dxa"/>
          </w:tcPr>
          <w:p w14:paraId="5BA68B8A" w14:textId="77777777" w:rsidR="00634539" w:rsidRPr="00073E2C"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r w:rsidRPr="00073E2C">
              <w:rPr>
                <w:rFonts w:eastAsia="PMingLiU" w:cs="Calibri"/>
                <w:sz w:val="22"/>
                <w:szCs w:val="22"/>
              </w:rPr>
              <w:t>9b</w:t>
            </w:r>
          </w:p>
        </w:tc>
        <w:tc>
          <w:tcPr>
            <w:tcW w:w="2508" w:type="dxa"/>
          </w:tcPr>
          <w:p w14:paraId="1F4404BA" w14:textId="77777777" w:rsidR="00634539" w:rsidRPr="00073E2C"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073E2C">
              <w:rPr>
                <w:rFonts w:cs="Calibri"/>
                <w:sz w:val="22"/>
                <w:szCs w:val="22"/>
              </w:rPr>
              <w:t>Percent in compliance (health)</w:t>
            </w:r>
          </w:p>
        </w:tc>
        <w:tc>
          <w:tcPr>
            <w:tcW w:w="1107" w:type="dxa"/>
          </w:tcPr>
          <w:p w14:paraId="0F761403" w14:textId="22CC0C0B" w:rsidR="00634539" w:rsidRPr="00073E2C" w:rsidRDefault="00FE7829" w:rsidP="006D20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eastAsia="PMingLiU" w:cs="Calibri"/>
                <w:sz w:val="22"/>
                <w:szCs w:val="22"/>
              </w:rPr>
              <w:t>53.72</w:t>
            </w:r>
            <w:r w:rsidR="00634539" w:rsidRPr="00073E2C">
              <w:rPr>
                <w:rFonts w:eastAsia="PMingLiU" w:cs="Calibri"/>
                <w:sz w:val="22"/>
                <w:szCs w:val="22"/>
              </w:rPr>
              <w:t>%</w:t>
            </w:r>
          </w:p>
        </w:tc>
        <w:tc>
          <w:tcPr>
            <w:tcW w:w="1293" w:type="dxa"/>
          </w:tcPr>
          <w:p w14:paraId="2FD16911" w14:textId="77777777" w:rsidR="00BC406A" w:rsidRPr="00073E2C" w:rsidRDefault="00BC406A" w:rsidP="006D20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73E2C">
              <w:rPr>
                <w:rFonts w:asciiTheme="minorHAnsi" w:hAnsiTheme="minorHAnsi" w:cstheme="minorHAnsi"/>
                <w:sz w:val="22"/>
                <w:szCs w:val="22"/>
              </w:rPr>
              <w:t>+/- 20% of</w:t>
            </w:r>
          </w:p>
          <w:p w14:paraId="203D8062" w14:textId="0FB87A16" w:rsidR="00634539" w:rsidRPr="00073E2C" w:rsidRDefault="00BC406A" w:rsidP="006D20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asciiTheme="minorHAnsi" w:hAnsiTheme="minorHAnsi" w:cstheme="minorHAnsi"/>
                <w:sz w:val="22"/>
                <w:szCs w:val="22"/>
              </w:rPr>
              <w:t>44.18%</w:t>
            </w:r>
          </w:p>
        </w:tc>
        <w:tc>
          <w:tcPr>
            <w:tcW w:w="4477" w:type="dxa"/>
          </w:tcPr>
          <w:p w14:paraId="7272F1E9" w14:textId="3CC1FDFE" w:rsidR="00634539" w:rsidRPr="00073E2C" w:rsidRDefault="0055613D"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asciiTheme="minorHAnsi" w:hAnsiTheme="minorHAnsi" w:cstheme="minorHAnsi"/>
                <w:sz w:val="22"/>
                <w:szCs w:val="22"/>
              </w:rPr>
              <w:t xml:space="preserve">The further review level is based on a three-year national average.  The range of acceptable data not requiring further review is from </w:t>
            </w:r>
            <w:bookmarkStart w:id="42" w:name="OLE_LINK6"/>
            <w:r w:rsidRPr="00073E2C">
              <w:rPr>
                <w:rFonts w:asciiTheme="minorHAnsi" w:hAnsiTheme="minorHAnsi" w:cstheme="minorHAnsi"/>
                <w:sz w:val="22"/>
                <w:szCs w:val="22"/>
              </w:rPr>
              <w:t xml:space="preserve">35.34% to 53.01% </w:t>
            </w:r>
            <w:bookmarkEnd w:id="42"/>
            <w:r w:rsidRPr="00073E2C">
              <w:rPr>
                <w:rFonts w:asciiTheme="minorHAnsi" w:hAnsiTheme="minorHAnsi" w:cstheme="minorHAnsi"/>
                <w:sz w:val="22"/>
                <w:szCs w:val="22"/>
              </w:rPr>
              <w:t>for health.</w:t>
            </w:r>
          </w:p>
        </w:tc>
      </w:tr>
      <w:tr w:rsidR="00634539" w:rsidRPr="001C1E47" w14:paraId="6BD622B6" w14:textId="77777777" w:rsidTr="002245EE">
        <w:tc>
          <w:tcPr>
            <w:cnfStyle w:val="001000000000" w:firstRow="0" w:lastRow="0" w:firstColumn="1" w:lastColumn="0" w:oddVBand="0" w:evenVBand="0" w:oddHBand="0" w:evenHBand="0" w:firstRowFirstColumn="0" w:firstRowLastColumn="0" w:lastRowFirstColumn="0" w:lastRowLastColumn="0"/>
            <w:tcW w:w="965" w:type="dxa"/>
          </w:tcPr>
          <w:p w14:paraId="1E1081EE" w14:textId="77777777" w:rsidR="00634539" w:rsidRPr="00073E2C"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r w:rsidRPr="00073E2C">
              <w:rPr>
                <w:rFonts w:eastAsia="PMingLiU" w:cs="Calibri"/>
                <w:sz w:val="22"/>
                <w:szCs w:val="22"/>
              </w:rPr>
              <w:t>10</w:t>
            </w:r>
          </w:p>
        </w:tc>
        <w:tc>
          <w:tcPr>
            <w:tcW w:w="2508" w:type="dxa"/>
          </w:tcPr>
          <w:p w14:paraId="7A555323" w14:textId="77777777" w:rsidR="00634539" w:rsidRPr="00073E2C"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073E2C">
              <w:rPr>
                <w:rFonts w:cs="Calibri"/>
                <w:sz w:val="22"/>
                <w:szCs w:val="22"/>
              </w:rPr>
              <w:t>Percent of work-related fatalities responded to in one workday</w:t>
            </w:r>
          </w:p>
        </w:tc>
        <w:tc>
          <w:tcPr>
            <w:tcW w:w="1107" w:type="dxa"/>
          </w:tcPr>
          <w:p w14:paraId="36635117" w14:textId="08FDD82E" w:rsidR="00634539" w:rsidRPr="00073E2C" w:rsidRDefault="0011239B" w:rsidP="006D20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eastAsia="PMingLiU" w:cs="Calibri"/>
                <w:sz w:val="22"/>
                <w:szCs w:val="22"/>
              </w:rPr>
              <w:t>100</w:t>
            </w:r>
            <w:r w:rsidR="00634539" w:rsidRPr="00073E2C">
              <w:rPr>
                <w:rFonts w:eastAsia="PMingLiU" w:cs="Calibri"/>
                <w:sz w:val="22"/>
                <w:szCs w:val="22"/>
              </w:rPr>
              <w:t>%</w:t>
            </w:r>
          </w:p>
        </w:tc>
        <w:tc>
          <w:tcPr>
            <w:tcW w:w="1293" w:type="dxa"/>
          </w:tcPr>
          <w:p w14:paraId="1B2A9E13" w14:textId="77777777" w:rsidR="00634539" w:rsidRPr="00073E2C" w:rsidRDefault="00634539" w:rsidP="006D20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eastAsia="PMingLiU" w:cs="Calibri"/>
                <w:sz w:val="22"/>
                <w:szCs w:val="22"/>
              </w:rPr>
              <w:t>100%</w:t>
            </w:r>
          </w:p>
        </w:tc>
        <w:tc>
          <w:tcPr>
            <w:tcW w:w="4477" w:type="dxa"/>
          </w:tcPr>
          <w:p w14:paraId="4CFEF3A7" w14:textId="77777777" w:rsidR="00634539" w:rsidRPr="00073E2C"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cs="Calibri"/>
                <w:sz w:val="22"/>
                <w:szCs w:val="22"/>
              </w:rPr>
              <w:t>The further review level is fixed for all State Plans.</w:t>
            </w:r>
          </w:p>
        </w:tc>
      </w:tr>
      <w:tr w:rsidR="008532B5" w:rsidRPr="001C1E47" w14:paraId="015629DC" w14:textId="77777777" w:rsidTr="002245EE">
        <w:tc>
          <w:tcPr>
            <w:cnfStyle w:val="001000000000" w:firstRow="0" w:lastRow="0" w:firstColumn="1" w:lastColumn="0" w:oddVBand="0" w:evenVBand="0" w:oddHBand="0" w:evenHBand="0" w:firstRowFirstColumn="0" w:firstRowLastColumn="0" w:lastRowFirstColumn="0" w:lastRowLastColumn="0"/>
            <w:tcW w:w="965" w:type="dxa"/>
          </w:tcPr>
          <w:p w14:paraId="5A8640F7" w14:textId="0CEC5B5B" w:rsidR="008532B5" w:rsidRPr="00073E2C" w:rsidRDefault="008532B5" w:rsidP="008532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r w:rsidRPr="00073E2C">
              <w:rPr>
                <w:rFonts w:eastAsia="PMingLiU" w:cs="Calibri"/>
                <w:sz w:val="22"/>
                <w:szCs w:val="22"/>
              </w:rPr>
              <w:t>11a</w:t>
            </w:r>
          </w:p>
        </w:tc>
        <w:tc>
          <w:tcPr>
            <w:tcW w:w="2508" w:type="dxa"/>
          </w:tcPr>
          <w:p w14:paraId="6B772DD4" w14:textId="627970B2" w:rsidR="008532B5" w:rsidRPr="00073E2C" w:rsidRDefault="008532B5" w:rsidP="008532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073E2C">
              <w:rPr>
                <w:rFonts w:asciiTheme="minorHAnsi" w:hAnsiTheme="minorHAnsi" w:cstheme="minorHAnsi"/>
                <w:sz w:val="22"/>
                <w:szCs w:val="22"/>
              </w:rPr>
              <w:t>Average lapse time (safety)</w:t>
            </w:r>
          </w:p>
        </w:tc>
        <w:tc>
          <w:tcPr>
            <w:tcW w:w="1107" w:type="dxa"/>
          </w:tcPr>
          <w:p w14:paraId="5625FFA5" w14:textId="67E5572B" w:rsidR="008532B5" w:rsidRPr="00073E2C" w:rsidRDefault="008532B5" w:rsidP="006D20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asciiTheme="minorHAnsi" w:eastAsia="PMingLiU" w:hAnsiTheme="minorHAnsi" w:cstheme="minorHAnsi"/>
                <w:sz w:val="22"/>
                <w:szCs w:val="22"/>
              </w:rPr>
              <w:t>28.08</w:t>
            </w:r>
          </w:p>
        </w:tc>
        <w:tc>
          <w:tcPr>
            <w:tcW w:w="1293" w:type="dxa"/>
          </w:tcPr>
          <w:p w14:paraId="644E0C26" w14:textId="77777777" w:rsidR="008532B5" w:rsidRPr="00073E2C" w:rsidRDefault="008532B5" w:rsidP="006D20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73E2C">
              <w:rPr>
                <w:rFonts w:asciiTheme="minorHAnsi" w:hAnsiTheme="minorHAnsi" w:cstheme="minorHAnsi"/>
                <w:sz w:val="22"/>
                <w:szCs w:val="22"/>
              </w:rPr>
              <w:t>+/- 20% of 56.02</w:t>
            </w:r>
          </w:p>
          <w:p w14:paraId="0ACD50DC" w14:textId="77777777" w:rsidR="008532B5" w:rsidRPr="00073E2C" w:rsidRDefault="008532B5" w:rsidP="006D20BF">
            <w:pPr>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4477" w:type="dxa"/>
          </w:tcPr>
          <w:p w14:paraId="01A3BB54" w14:textId="0CE5771A" w:rsidR="008532B5" w:rsidRPr="00073E2C" w:rsidRDefault="008532B5" w:rsidP="008532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073E2C">
              <w:rPr>
                <w:rFonts w:asciiTheme="minorHAnsi" w:hAnsiTheme="minorHAnsi" w:cstheme="minorHAnsi"/>
                <w:sz w:val="22"/>
                <w:szCs w:val="22"/>
              </w:rPr>
              <w:t>The further review level is based on a three-year national average.  The range of acceptable data not requiring further review is from 44.82 to 67.23 for safety.</w:t>
            </w:r>
          </w:p>
        </w:tc>
      </w:tr>
      <w:tr w:rsidR="00721A54" w:rsidRPr="001C1E47" w14:paraId="71994532" w14:textId="77777777" w:rsidTr="002245EE">
        <w:tc>
          <w:tcPr>
            <w:cnfStyle w:val="001000000000" w:firstRow="0" w:lastRow="0" w:firstColumn="1" w:lastColumn="0" w:oddVBand="0" w:evenVBand="0" w:oddHBand="0" w:evenHBand="0" w:firstRowFirstColumn="0" w:firstRowLastColumn="0" w:lastRowFirstColumn="0" w:lastRowLastColumn="0"/>
            <w:tcW w:w="965" w:type="dxa"/>
          </w:tcPr>
          <w:p w14:paraId="4A315A6E" w14:textId="77777777" w:rsidR="00721A54" w:rsidRPr="00073E2C" w:rsidRDefault="00721A54" w:rsidP="00721A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r w:rsidRPr="00073E2C">
              <w:rPr>
                <w:rFonts w:eastAsia="PMingLiU" w:cs="Calibri"/>
                <w:sz w:val="22"/>
                <w:szCs w:val="22"/>
              </w:rPr>
              <w:t>11b</w:t>
            </w:r>
          </w:p>
        </w:tc>
        <w:tc>
          <w:tcPr>
            <w:tcW w:w="2508" w:type="dxa"/>
          </w:tcPr>
          <w:p w14:paraId="62670A92" w14:textId="77777777" w:rsidR="00721A54" w:rsidRPr="00073E2C" w:rsidRDefault="00721A54" w:rsidP="00721A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073E2C">
              <w:rPr>
                <w:rFonts w:cs="Calibri"/>
                <w:sz w:val="22"/>
                <w:szCs w:val="22"/>
              </w:rPr>
              <w:t>Average lapse time (health)</w:t>
            </w:r>
          </w:p>
        </w:tc>
        <w:tc>
          <w:tcPr>
            <w:tcW w:w="1107" w:type="dxa"/>
          </w:tcPr>
          <w:p w14:paraId="260D705D" w14:textId="6B5A9579" w:rsidR="00721A54" w:rsidRPr="00073E2C" w:rsidRDefault="00721A54" w:rsidP="006D20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eastAsia="PMingLiU" w:cs="Calibri"/>
                <w:sz w:val="22"/>
                <w:szCs w:val="22"/>
              </w:rPr>
              <w:t>30.30</w:t>
            </w:r>
          </w:p>
        </w:tc>
        <w:tc>
          <w:tcPr>
            <w:tcW w:w="1293" w:type="dxa"/>
          </w:tcPr>
          <w:p w14:paraId="5F9C1F1D" w14:textId="77777777" w:rsidR="00721A54" w:rsidRPr="00073E2C" w:rsidRDefault="00721A54" w:rsidP="006D20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73E2C">
              <w:rPr>
                <w:rFonts w:asciiTheme="minorHAnsi" w:hAnsiTheme="minorHAnsi" w:cstheme="minorHAnsi"/>
                <w:sz w:val="22"/>
                <w:szCs w:val="22"/>
              </w:rPr>
              <w:t>+/- 20% of 67.21</w:t>
            </w:r>
          </w:p>
          <w:p w14:paraId="4447221B" w14:textId="604203E4" w:rsidR="00721A54" w:rsidRPr="00073E2C" w:rsidRDefault="00721A54" w:rsidP="006D20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p>
        </w:tc>
        <w:tc>
          <w:tcPr>
            <w:tcW w:w="4477" w:type="dxa"/>
          </w:tcPr>
          <w:p w14:paraId="77F448C9" w14:textId="740F8C1A" w:rsidR="00721A54" w:rsidRPr="00073E2C" w:rsidRDefault="00721A54" w:rsidP="00721A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asciiTheme="minorHAnsi" w:hAnsiTheme="minorHAnsi" w:cstheme="minorHAnsi"/>
                <w:sz w:val="22"/>
                <w:szCs w:val="22"/>
              </w:rPr>
              <w:t xml:space="preserve">The further review level is based on a three-year national average.  The range of acceptable data not requiring further review is from </w:t>
            </w:r>
            <w:bookmarkStart w:id="43" w:name="OLE_LINK5"/>
            <w:r w:rsidRPr="00073E2C">
              <w:rPr>
                <w:rFonts w:asciiTheme="minorHAnsi" w:hAnsiTheme="minorHAnsi" w:cstheme="minorHAnsi"/>
                <w:sz w:val="22"/>
                <w:szCs w:val="22"/>
              </w:rPr>
              <w:t xml:space="preserve">53.77 to 80.65 </w:t>
            </w:r>
            <w:bookmarkEnd w:id="43"/>
            <w:r w:rsidRPr="00073E2C">
              <w:rPr>
                <w:rFonts w:asciiTheme="minorHAnsi" w:hAnsiTheme="minorHAnsi" w:cstheme="minorHAnsi"/>
                <w:sz w:val="22"/>
                <w:szCs w:val="22"/>
              </w:rPr>
              <w:t>for health.</w:t>
            </w:r>
          </w:p>
        </w:tc>
      </w:tr>
      <w:tr w:rsidR="00D97399" w:rsidRPr="001C1E47" w14:paraId="13BCA211" w14:textId="77777777" w:rsidTr="002245EE">
        <w:tc>
          <w:tcPr>
            <w:cnfStyle w:val="001000000000" w:firstRow="0" w:lastRow="0" w:firstColumn="1" w:lastColumn="0" w:oddVBand="0" w:evenVBand="0" w:oddHBand="0" w:evenHBand="0" w:firstRowFirstColumn="0" w:firstRowLastColumn="0" w:lastRowFirstColumn="0" w:lastRowLastColumn="0"/>
            <w:tcW w:w="965" w:type="dxa"/>
          </w:tcPr>
          <w:p w14:paraId="20008ADF" w14:textId="77777777" w:rsidR="00D97399" w:rsidRPr="00073E2C" w:rsidRDefault="00D97399" w:rsidP="00D9739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r w:rsidRPr="00073E2C">
              <w:rPr>
                <w:rFonts w:eastAsia="PMingLiU" w:cs="Calibri"/>
                <w:sz w:val="22"/>
                <w:szCs w:val="22"/>
              </w:rPr>
              <w:lastRenderedPageBreak/>
              <w:t>12</w:t>
            </w:r>
          </w:p>
        </w:tc>
        <w:tc>
          <w:tcPr>
            <w:tcW w:w="2508" w:type="dxa"/>
          </w:tcPr>
          <w:p w14:paraId="4FDC62A7" w14:textId="77777777" w:rsidR="00D97399" w:rsidRPr="00073E2C" w:rsidRDefault="00D97399" w:rsidP="00D9739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073E2C">
              <w:rPr>
                <w:rFonts w:cs="Calibri"/>
                <w:sz w:val="22"/>
                <w:szCs w:val="22"/>
              </w:rPr>
              <w:t>Percent penalty retained</w:t>
            </w:r>
          </w:p>
        </w:tc>
        <w:tc>
          <w:tcPr>
            <w:tcW w:w="1107" w:type="dxa"/>
          </w:tcPr>
          <w:p w14:paraId="54C1921C" w14:textId="6B94C485" w:rsidR="00D97399" w:rsidRPr="00073E2C" w:rsidRDefault="00D97399" w:rsidP="006D20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cs="Calibri"/>
                <w:sz w:val="22"/>
                <w:szCs w:val="22"/>
              </w:rPr>
              <w:t>65.41%</w:t>
            </w:r>
          </w:p>
        </w:tc>
        <w:tc>
          <w:tcPr>
            <w:tcW w:w="1293" w:type="dxa"/>
          </w:tcPr>
          <w:p w14:paraId="7BC6E7A7" w14:textId="77777777" w:rsidR="00D97399" w:rsidRPr="00073E2C" w:rsidRDefault="00D97399" w:rsidP="006D20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73E2C">
              <w:rPr>
                <w:rFonts w:asciiTheme="minorHAnsi" w:hAnsiTheme="minorHAnsi" w:cstheme="minorHAnsi"/>
                <w:sz w:val="22"/>
                <w:szCs w:val="22"/>
              </w:rPr>
              <w:t>+/- 15% of</w:t>
            </w:r>
          </w:p>
          <w:p w14:paraId="5AD20280" w14:textId="18B1EA3B" w:rsidR="00D97399" w:rsidRPr="00073E2C" w:rsidRDefault="00D97399" w:rsidP="006D20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asciiTheme="minorHAnsi" w:hAnsiTheme="minorHAnsi" w:cstheme="minorHAnsi"/>
                <w:sz w:val="22"/>
                <w:szCs w:val="22"/>
              </w:rPr>
              <w:t>70.81%</w:t>
            </w:r>
          </w:p>
        </w:tc>
        <w:tc>
          <w:tcPr>
            <w:tcW w:w="4477" w:type="dxa"/>
          </w:tcPr>
          <w:p w14:paraId="45B6E003" w14:textId="7972C6FC" w:rsidR="00D97399" w:rsidRPr="00073E2C" w:rsidRDefault="00D97399" w:rsidP="00D9739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asciiTheme="minorHAnsi" w:hAnsiTheme="minorHAnsi" w:cstheme="minorHAnsi"/>
                <w:sz w:val="22"/>
                <w:szCs w:val="22"/>
              </w:rPr>
              <w:t>The further review level is based on a three-year national average.  The range of acceptable data not requiring further review is from 60.19% to 81.44%.</w:t>
            </w:r>
          </w:p>
        </w:tc>
      </w:tr>
      <w:tr w:rsidR="00634539" w:rsidRPr="001C1E47" w14:paraId="2EAC34D6" w14:textId="77777777" w:rsidTr="002245EE">
        <w:tc>
          <w:tcPr>
            <w:cnfStyle w:val="001000000000" w:firstRow="0" w:lastRow="0" w:firstColumn="1" w:lastColumn="0" w:oddVBand="0" w:evenVBand="0" w:oddHBand="0" w:evenHBand="0" w:firstRowFirstColumn="0" w:firstRowLastColumn="0" w:lastRowFirstColumn="0" w:lastRowLastColumn="0"/>
            <w:tcW w:w="965" w:type="dxa"/>
          </w:tcPr>
          <w:p w14:paraId="46A22AE3" w14:textId="77777777" w:rsidR="00634539" w:rsidRPr="00073E2C"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r w:rsidRPr="00073E2C">
              <w:rPr>
                <w:rFonts w:eastAsia="PMingLiU" w:cs="Calibri"/>
                <w:sz w:val="22"/>
                <w:szCs w:val="22"/>
              </w:rPr>
              <w:t>13</w:t>
            </w:r>
          </w:p>
        </w:tc>
        <w:tc>
          <w:tcPr>
            <w:tcW w:w="2508" w:type="dxa"/>
          </w:tcPr>
          <w:p w14:paraId="56540F98" w14:textId="77777777" w:rsidR="00634539" w:rsidRPr="00073E2C"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073E2C">
              <w:rPr>
                <w:rFonts w:cs="Calibri"/>
                <w:sz w:val="22"/>
                <w:szCs w:val="22"/>
              </w:rPr>
              <w:t>Percent of initial inspections with worker walk-around representation or worker interview</w:t>
            </w:r>
          </w:p>
        </w:tc>
        <w:tc>
          <w:tcPr>
            <w:tcW w:w="1107" w:type="dxa"/>
          </w:tcPr>
          <w:p w14:paraId="71E71ED8" w14:textId="09B20503" w:rsidR="00634539" w:rsidRPr="00073E2C" w:rsidRDefault="00023E20" w:rsidP="006D20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cs="Calibri"/>
                <w:sz w:val="22"/>
                <w:szCs w:val="22"/>
              </w:rPr>
              <w:t>100</w:t>
            </w:r>
            <w:r w:rsidR="00634539" w:rsidRPr="00073E2C">
              <w:rPr>
                <w:rFonts w:cs="Calibri"/>
                <w:sz w:val="22"/>
                <w:szCs w:val="22"/>
              </w:rPr>
              <w:t>%</w:t>
            </w:r>
          </w:p>
        </w:tc>
        <w:tc>
          <w:tcPr>
            <w:tcW w:w="1293" w:type="dxa"/>
          </w:tcPr>
          <w:p w14:paraId="4A97427F" w14:textId="77777777" w:rsidR="00634539" w:rsidRPr="00073E2C" w:rsidRDefault="00634539" w:rsidP="006D20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cs="Calibri"/>
                <w:sz w:val="22"/>
                <w:szCs w:val="22"/>
              </w:rPr>
              <w:t>100%</w:t>
            </w:r>
          </w:p>
        </w:tc>
        <w:tc>
          <w:tcPr>
            <w:tcW w:w="4477" w:type="dxa"/>
          </w:tcPr>
          <w:p w14:paraId="27DEF00F" w14:textId="77777777" w:rsidR="00634539" w:rsidRPr="00073E2C"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cs="Calibri"/>
                <w:sz w:val="22"/>
                <w:szCs w:val="22"/>
              </w:rPr>
              <w:t>The further review level is fixed for all State Plans.</w:t>
            </w:r>
          </w:p>
        </w:tc>
      </w:tr>
      <w:tr w:rsidR="00166CC2" w:rsidRPr="001C1E47" w14:paraId="0083664F" w14:textId="77777777" w:rsidTr="002245EE">
        <w:tc>
          <w:tcPr>
            <w:cnfStyle w:val="001000000000" w:firstRow="0" w:lastRow="0" w:firstColumn="1" w:lastColumn="0" w:oddVBand="0" w:evenVBand="0" w:oddHBand="0" w:evenHBand="0" w:firstRowFirstColumn="0" w:firstRowLastColumn="0" w:lastRowFirstColumn="0" w:lastRowLastColumn="0"/>
            <w:tcW w:w="965" w:type="dxa"/>
          </w:tcPr>
          <w:p w14:paraId="1F73B0DD" w14:textId="77777777" w:rsidR="00166CC2" w:rsidRPr="00073E2C" w:rsidRDefault="00166CC2" w:rsidP="00166CC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r w:rsidRPr="00073E2C">
              <w:rPr>
                <w:rFonts w:eastAsia="PMingLiU" w:cs="Calibri"/>
                <w:sz w:val="22"/>
                <w:szCs w:val="22"/>
              </w:rPr>
              <w:t>14</w:t>
            </w:r>
          </w:p>
        </w:tc>
        <w:tc>
          <w:tcPr>
            <w:tcW w:w="2508" w:type="dxa"/>
          </w:tcPr>
          <w:p w14:paraId="3454CDD3" w14:textId="02ABED91" w:rsidR="00166CC2" w:rsidRPr="00073E2C" w:rsidRDefault="00166CC2" w:rsidP="00166CC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073E2C">
              <w:rPr>
                <w:rFonts w:asciiTheme="minorHAnsi" w:hAnsiTheme="minorHAnsi" w:cstheme="minorHAnsi"/>
                <w:sz w:val="22"/>
                <w:szCs w:val="22"/>
              </w:rPr>
              <w:t>Percent of 11(c) investigations completed within 90 days</w:t>
            </w:r>
          </w:p>
        </w:tc>
        <w:tc>
          <w:tcPr>
            <w:tcW w:w="1107" w:type="dxa"/>
          </w:tcPr>
          <w:p w14:paraId="3468F2B1" w14:textId="479CA0EB" w:rsidR="00166CC2" w:rsidRPr="00073E2C" w:rsidRDefault="00166CC2" w:rsidP="006D20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asciiTheme="minorHAnsi" w:hAnsiTheme="minorHAnsi" w:cstheme="minorHAnsi"/>
                <w:sz w:val="22"/>
                <w:szCs w:val="22"/>
              </w:rPr>
              <w:t>N/A</w:t>
            </w:r>
          </w:p>
        </w:tc>
        <w:tc>
          <w:tcPr>
            <w:tcW w:w="1293" w:type="dxa"/>
          </w:tcPr>
          <w:p w14:paraId="39333E60" w14:textId="277B1F16" w:rsidR="00166CC2" w:rsidRPr="00073E2C" w:rsidRDefault="00166CC2" w:rsidP="006D20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asciiTheme="minorHAnsi" w:eastAsia="PMingLiU" w:hAnsiTheme="minorHAnsi" w:cstheme="minorHAnsi"/>
                <w:sz w:val="22"/>
                <w:szCs w:val="22"/>
              </w:rPr>
              <w:t>N/A</w:t>
            </w:r>
          </w:p>
        </w:tc>
        <w:tc>
          <w:tcPr>
            <w:tcW w:w="4477" w:type="dxa"/>
          </w:tcPr>
          <w:p w14:paraId="7DECCD0D" w14:textId="3158BBBB" w:rsidR="00166CC2" w:rsidRPr="00073E2C" w:rsidRDefault="00166CC2" w:rsidP="00166CC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asciiTheme="minorHAnsi" w:eastAsia="PMingLiU" w:hAnsiTheme="minorHAnsi" w:cstheme="minorHAnsi"/>
                <w:sz w:val="22"/>
                <w:szCs w:val="22"/>
              </w:rPr>
              <w:t>This measure is not being reported for FY 2024 due to the transition to the new SAMM measures starting in FY 2025.</w:t>
            </w:r>
          </w:p>
        </w:tc>
      </w:tr>
      <w:tr w:rsidR="00166CC2" w:rsidRPr="001C1E47" w14:paraId="570F3912" w14:textId="77777777" w:rsidTr="002245EE">
        <w:tc>
          <w:tcPr>
            <w:cnfStyle w:val="001000000000" w:firstRow="0" w:lastRow="0" w:firstColumn="1" w:lastColumn="0" w:oddVBand="0" w:evenVBand="0" w:oddHBand="0" w:evenHBand="0" w:firstRowFirstColumn="0" w:firstRowLastColumn="0" w:lastRowFirstColumn="0" w:lastRowLastColumn="0"/>
            <w:tcW w:w="965" w:type="dxa"/>
          </w:tcPr>
          <w:p w14:paraId="4BF89E78" w14:textId="77777777" w:rsidR="00166CC2" w:rsidRPr="00073E2C" w:rsidRDefault="00166CC2" w:rsidP="00166CC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r w:rsidRPr="00073E2C">
              <w:rPr>
                <w:rFonts w:eastAsia="PMingLiU" w:cs="Calibri"/>
                <w:sz w:val="22"/>
                <w:szCs w:val="22"/>
              </w:rPr>
              <w:t>15</w:t>
            </w:r>
          </w:p>
        </w:tc>
        <w:tc>
          <w:tcPr>
            <w:tcW w:w="2508" w:type="dxa"/>
          </w:tcPr>
          <w:p w14:paraId="1BE43D29" w14:textId="4F393AB7" w:rsidR="00166CC2" w:rsidRPr="00073E2C" w:rsidRDefault="00166CC2" w:rsidP="00166CC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073E2C">
              <w:rPr>
                <w:rFonts w:asciiTheme="minorHAnsi" w:hAnsiTheme="minorHAnsi" w:cstheme="minorHAnsi"/>
                <w:sz w:val="22"/>
                <w:szCs w:val="22"/>
              </w:rPr>
              <w:t>Percent of 11(c) complaints that are meritorious</w:t>
            </w:r>
          </w:p>
        </w:tc>
        <w:tc>
          <w:tcPr>
            <w:tcW w:w="1107" w:type="dxa"/>
          </w:tcPr>
          <w:p w14:paraId="1E0B0B7D" w14:textId="0E15E7A8" w:rsidR="00166CC2" w:rsidRPr="00073E2C" w:rsidRDefault="00166CC2" w:rsidP="006D20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asciiTheme="minorHAnsi" w:hAnsiTheme="minorHAnsi" w:cstheme="minorHAnsi"/>
                <w:sz w:val="22"/>
                <w:szCs w:val="22"/>
              </w:rPr>
              <w:t>N/A</w:t>
            </w:r>
          </w:p>
        </w:tc>
        <w:tc>
          <w:tcPr>
            <w:tcW w:w="1293" w:type="dxa"/>
          </w:tcPr>
          <w:p w14:paraId="147E9AB5" w14:textId="789D531F" w:rsidR="00166CC2" w:rsidRPr="00073E2C" w:rsidRDefault="00166CC2" w:rsidP="006D20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asciiTheme="minorHAnsi" w:eastAsia="PMingLiU" w:hAnsiTheme="minorHAnsi" w:cstheme="minorHAnsi"/>
                <w:sz w:val="22"/>
                <w:szCs w:val="22"/>
              </w:rPr>
              <w:t>N/A</w:t>
            </w:r>
          </w:p>
        </w:tc>
        <w:tc>
          <w:tcPr>
            <w:tcW w:w="4477" w:type="dxa"/>
          </w:tcPr>
          <w:p w14:paraId="5801C5D4" w14:textId="139016E1" w:rsidR="00166CC2" w:rsidRPr="00073E2C" w:rsidRDefault="00166CC2" w:rsidP="00166CC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asciiTheme="minorHAnsi" w:eastAsia="PMingLiU" w:hAnsiTheme="minorHAnsi" w:cstheme="minorHAnsi"/>
                <w:sz w:val="22"/>
                <w:szCs w:val="22"/>
              </w:rPr>
              <w:t>This measure is not being reported for FY 2024 due to the transition to the new SAMM measures starting in FY 2025.</w:t>
            </w:r>
          </w:p>
        </w:tc>
      </w:tr>
      <w:tr w:rsidR="00166CC2" w:rsidRPr="001C1E47" w14:paraId="06EFF7B6" w14:textId="77777777" w:rsidTr="002245EE">
        <w:tc>
          <w:tcPr>
            <w:cnfStyle w:val="001000000000" w:firstRow="0" w:lastRow="0" w:firstColumn="1" w:lastColumn="0" w:oddVBand="0" w:evenVBand="0" w:oddHBand="0" w:evenHBand="0" w:firstRowFirstColumn="0" w:firstRowLastColumn="0" w:lastRowFirstColumn="0" w:lastRowLastColumn="0"/>
            <w:tcW w:w="965" w:type="dxa"/>
          </w:tcPr>
          <w:p w14:paraId="7E0D4652" w14:textId="77777777" w:rsidR="00166CC2" w:rsidRPr="00073E2C" w:rsidRDefault="00166CC2" w:rsidP="00166CC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r w:rsidRPr="00073E2C">
              <w:rPr>
                <w:rFonts w:eastAsia="PMingLiU" w:cs="Calibri"/>
                <w:sz w:val="22"/>
                <w:szCs w:val="22"/>
              </w:rPr>
              <w:t>16</w:t>
            </w:r>
          </w:p>
        </w:tc>
        <w:tc>
          <w:tcPr>
            <w:tcW w:w="2508" w:type="dxa"/>
          </w:tcPr>
          <w:p w14:paraId="5E4FAF60" w14:textId="089FED36" w:rsidR="00166CC2" w:rsidRPr="00073E2C" w:rsidRDefault="00166CC2" w:rsidP="00166CC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073E2C">
              <w:rPr>
                <w:rFonts w:asciiTheme="minorHAnsi" w:hAnsiTheme="minorHAnsi" w:cstheme="minorHAnsi"/>
                <w:sz w:val="22"/>
                <w:szCs w:val="22"/>
              </w:rPr>
              <w:t>Average number of calendar days to complete an 11(c) investigation</w:t>
            </w:r>
          </w:p>
        </w:tc>
        <w:tc>
          <w:tcPr>
            <w:tcW w:w="1107" w:type="dxa"/>
          </w:tcPr>
          <w:p w14:paraId="3207CBD2" w14:textId="5C199018" w:rsidR="00166CC2" w:rsidRPr="00073E2C" w:rsidRDefault="00166CC2" w:rsidP="006D20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asciiTheme="minorHAnsi" w:eastAsia="PMingLiU" w:hAnsiTheme="minorHAnsi" w:cstheme="minorHAnsi"/>
                <w:sz w:val="22"/>
                <w:szCs w:val="22"/>
              </w:rPr>
              <w:t>N/A</w:t>
            </w:r>
          </w:p>
        </w:tc>
        <w:tc>
          <w:tcPr>
            <w:tcW w:w="1293" w:type="dxa"/>
            <w:shd w:val="clear" w:color="auto" w:fill="auto"/>
          </w:tcPr>
          <w:p w14:paraId="7022F7E0" w14:textId="10B5C156" w:rsidR="00166CC2" w:rsidRPr="00073E2C" w:rsidRDefault="00166CC2" w:rsidP="006D20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asciiTheme="minorHAnsi" w:hAnsiTheme="minorHAnsi" w:cstheme="minorHAnsi"/>
                <w:sz w:val="22"/>
                <w:szCs w:val="22"/>
              </w:rPr>
              <w:t>N/A</w:t>
            </w:r>
          </w:p>
        </w:tc>
        <w:tc>
          <w:tcPr>
            <w:tcW w:w="4477" w:type="dxa"/>
          </w:tcPr>
          <w:p w14:paraId="088C3C3F" w14:textId="35A6579E" w:rsidR="00166CC2" w:rsidRPr="00073E2C" w:rsidRDefault="00166CC2" w:rsidP="00166CC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asciiTheme="minorHAnsi" w:eastAsia="PMingLiU" w:hAnsiTheme="minorHAnsi" w:cstheme="minorHAnsi"/>
                <w:sz w:val="22"/>
                <w:szCs w:val="22"/>
              </w:rPr>
              <w:t>This measure is not being reported for FY 2024 due to the transition to the new SAMM measures starting in FY 2025.</w:t>
            </w:r>
          </w:p>
        </w:tc>
      </w:tr>
      <w:tr w:rsidR="00280230" w:rsidRPr="001C1E47" w14:paraId="464BCA80" w14:textId="77777777" w:rsidTr="002245EE">
        <w:tc>
          <w:tcPr>
            <w:cnfStyle w:val="001000000000" w:firstRow="0" w:lastRow="0" w:firstColumn="1" w:lastColumn="0" w:oddVBand="0" w:evenVBand="0" w:oddHBand="0" w:evenHBand="0" w:firstRowFirstColumn="0" w:firstRowLastColumn="0" w:lastRowFirstColumn="0" w:lastRowLastColumn="0"/>
            <w:tcW w:w="965" w:type="dxa"/>
          </w:tcPr>
          <w:p w14:paraId="3EFEA4C9" w14:textId="77777777" w:rsidR="00280230" w:rsidRPr="00073E2C" w:rsidRDefault="00280230" w:rsidP="0028023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r w:rsidRPr="00073E2C">
              <w:rPr>
                <w:rFonts w:eastAsia="PMingLiU" w:cs="Calibri"/>
                <w:sz w:val="22"/>
                <w:szCs w:val="22"/>
              </w:rPr>
              <w:t>17</w:t>
            </w:r>
          </w:p>
        </w:tc>
        <w:tc>
          <w:tcPr>
            <w:tcW w:w="2508" w:type="dxa"/>
          </w:tcPr>
          <w:p w14:paraId="4A04782E" w14:textId="77777777" w:rsidR="00280230" w:rsidRPr="00073E2C" w:rsidRDefault="00280230" w:rsidP="0028023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073E2C">
              <w:rPr>
                <w:rFonts w:cs="Calibri"/>
                <w:sz w:val="22"/>
                <w:szCs w:val="22"/>
              </w:rPr>
              <w:t>Percent of enforcement presence</w:t>
            </w:r>
          </w:p>
        </w:tc>
        <w:tc>
          <w:tcPr>
            <w:tcW w:w="1107" w:type="dxa"/>
          </w:tcPr>
          <w:p w14:paraId="2883494A" w14:textId="10CD72A3" w:rsidR="00280230" w:rsidRPr="00073E2C" w:rsidRDefault="00280230" w:rsidP="006D20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asciiTheme="minorHAnsi" w:hAnsiTheme="minorHAnsi" w:cstheme="minorHAnsi"/>
                <w:sz w:val="22"/>
                <w:szCs w:val="22"/>
              </w:rPr>
              <w:t>1.09%</w:t>
            </w:r>
          </w:p>
        </w:tc>
        <w:tc>
          <w:tcPr>
            <w:tcW w:w="1293" w:type="dxa"/>
          </w:tcPr>
          <w:p w14:paraId="670D57C6" w14:textId="77777777" w:rsidR="00280230" w:rsidRPr="00073E2C" w:rsidRDefault="00280230" w:rsidP="006D20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73E2C">
              <w:rPr>
                <w:rFonts w:asciiTheme="minorHAnsi" w:hAnsiTheme="minorHAnsi" w:cstheme="minorHAnsi"/>
                <w:sz w:val="22"/>
                <w:szCs w:val="22"/>
              </w:rPr>
              <w:t>+/- 25% of</w:t>
            </w:r>
          </w:p>
          <w:p w14:paraId="315D63EF" w14:textId="05ED26FE" w:rsidR="00280230" w:rsidRPr="00073E2C" w:rsidRDefault="00280230" w:rsidP="006D20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asciiTheme="minorHAnsi" w:hAnsiTheme="minorHAnsi" w:cstheme="minorHAnsi"/>
                <w:sz w:val="22"/>
                <w:szCs w:val="22"/>
              </w:rPr>
              <w:t>1.00%</w:t>
            </w:r>
          </w:p>
        </w:tc>
        <w:tc>
          <w:tcPr>
            <w:tcW w:w="4477" w:type="dxa"/>
          </w:tcPr>
          <w:p w14:paraId="66CFA076" w14:textId="1B040D7A" w:rsidR="00280230" w:rsidRPr="00073E2C" w:rsidRDefault="00280230" w:rsidP="0028023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073E2C">
              <w:rPr>
                <w:rFonts w:asciiTheme="minorHAnsi" w:hAnsiTheme="minorHAnsi" w:cstheme="minorHAnsi"/>
                <w:sz w:val="22"/>
                <w:szCs w:val="22"/>
              </w:rPr>
              <w:t>The further review level is based on a three-year national average.  The range of acceptable data not requiring further review is from 0.75% to 1.25%.</w:t>
            </w:r>
          </w:p>
        </w:tc>
      </w:tr>
      <w:bookmarkEnd w:id="41"/>
    </w:tbl>
    <w:p w14:paraId="723E33DA" w14:textId="77777777" w:rsidR="005128CD" w:rsidRPr="001C1E47" w:rsidRDefault="005128CD" w:rsidP="007A71AC">
      <w:pPr>
        <w:widowControl/>
        <w:autoSpaceDE/>
        <w:autoSpaceDN/>
        <w:adjustRightInd/>
        <w:rPr>
          <w:rFonts w:cs="Calibri"/>
          <w:b/>
          <w:color w:val="1F497D"/>
          <w:sz w:val="28"/>
          <w:szCs w:val="28"/>
        </w:rPr>
      </w:pPr>
    </w:p>
    <w:p w14:paraId="0A470C61" w14:textId="360F011F" w:rsidR="005128CD" w:rsidRPr="00C002BB" w:rsidRDefault="005358C4" w:rsidP="00C002BB">
      <w:pPr>
        <w:rPr>
          <w:sz w:val="22"/>
          <w:szCs w:val="22"/>
        </w:rPr>
        <w:sectPr w:rsidR="005128CD" w:rsidRPr="00C002BB" w:rsidSect="00A41D69">
          <w:headerReference w:type="default" r:id="rId21"/>
          <w:footerReference w:type="default" r:id="rId22"/>
          <w:pgSz w:w="12240" w:h="15840" w:code="1"/>
          <w:pgMar w:top="1440" w:right="1440" w:bottom="1440" w:left="1440" w:header="720" w:footer="720" w:gutter="0"/>
          <w:cols w:space="720"/>
          <w:noEndnote/>
          <w:docGrid w:linePitch="326"/>
        </w:sectPr>
      </w:pPr>
      <w:r w:rsidRPr="005358C4">
        <w:rPr>
          <w:sz w:val="22"/>
          <w:szCs w:val="22"/>
        </w:rPr>
        <w:t xml:space="preserve">NOTE: The national averages in this report are three-year rolling averages.  Unless otherwise noted, the data contained in this Appendix D is pulled from the State Activity Mandated Measures (SAMM) Report in OIS and the State Plan </w:t>
      </w:r>
      <w:proofErr w:type="spellStart"/>
      <w:r w:rsidRPr="005358C4">
        <w:rPr>
          <w:sz w:val="22"/>
          <w:szCs w:val="22"/>
        </w:rPr>
        <w:t>WebIMIS</w:t>
      </w:r>
      <w:proofErr w:type="spellEnd"/>
      <w:r w:rsidRPr="005358C4">
        <w:rPr>
          <w:sz w:val="22"/>
          <w:szCs w:val="22"/>
        </w:rPr>
        <w:t xml:space="preserve"> report run on November 12, 2024, as part of OSHA’s official end-of-year data run</w:t>
      </w:r>
      <w:r w:rsidR="009D7047">
        <w:rPr>
          <w:sz w:val="22"/>
          <w:szCs w:val="22"/>
        </w:rPr>
        <w:t>.</w:t>
      </w:r>
    </w:p>
    <w:p w14:paraId="6573BAF6" w14:textId="3FAD77B0" w:rsidR="00634539" w:rsidRPr="00C002BB" w:rsidRDefault="00634539" w:rsidP="00634539">
      <w:pPr>
        <w:tabs>
          <w:tab w:val="left" w:pos="3405"/>
        </w:tabs>
        <w:rPr>
          <w:rFonts w:cs="Calibri"/>
        </w:rPr>
      </w:pPr>
    </w:p>
    <w:sectPr w:rsidR="00634539" w:rsidRPr="00C002BB" w:rsidSect="005128CD">
      <w:headerReference w:type="default" r:id="rId23"/>
      <w:footerReference w:type="default" r:id="rId24"/>
      <w:type w:val="continuous"/>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A26CC" w14:textId="77777777" w:rsidR="00C917BB" w:rsidRDefault="00C917BB" w:rsidP="00C872A0">
      <w:r>
        <w:separator/>
      </w:r>
    </w:p>
  </w:endnote>
  <w:endnote w:type="continuationSeparator" w:id="0">
    <w:p w14:paraId="4C2B9ADA" w14:textId="77777777" w:rsidR="00C917BB" w:rsidRDefault="00C917BB" w:rsidP="00C8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B2"/>
    <w:family w:val="auto"/>
    <w:pitch w:val="variable"/>
    <w:sig w:usb0="8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0161F" w14:textId="77777777" w:rsidR="00001001" w:rsidRDefault="00001001">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5B8D9A52" w14:textId="77777777" w:rsidR="00001001" w:rsidRDefault="00001001">
    <w:pPr>
      <w:pBdr>
        <w:top w:val="nil"/>
        <w:left w:val="nil"/>
        <w:bottom w:val="nil"/>
        <w:right w:val="nil"/>
        <w:between w:val="nil"/>
      </w:pBdr>
      <w:tabs>
        <w:tab w:val="center" w:pos="4680"/>
        <w:tab w:val="right" w:pos="9360"/>
      </w:tabs>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62985" w14:textId="77777777" w:rsidR="00001001" w:rsidRDefault="00001001">
    <w:pPr>
      <w:pBdr>
        <w:top w:val="nil"/>
        <w:left w:val="nil"/>
        <w:bottom w:val="nil"/>
        <w:right w:val="nil"/>
        <w:between w:val="nil"/>
      </w:pBdr>
      <w:tabs>
        <w:tab w:val="center" w:pos="4680"/>
        <w:tab w:val="right" w:pos="9360"/>
      </w:tabs>
      <w:jc w:val="center"/>
      <w:rPr>
        <w:color w:val="000000"/>
      </w:rPr>
    </w:pPr>
  </w:p>
  <w:p w14:paraId="72A39613" w14:textId="77777777" w:rsidR="00001001" w:rsidRDefault="00001001">
    <w:pPr>
      <w:pBdr>
        <w:top w:val="nil"/>
        <w:left w:val="nil"/>
        <w:bottom w:val="nil"/>
        <w:right w:val="nil"/>
        <w:between w:val="nil"/>
      </w:pBdr>
      <w:tabs>
        <w:tab w:val="center" w:pos="4680"/>
        <w:tab w:val="right" w:pos="9360"/>
        <w:tab w:val="left" w:pos="327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048562"/>
      <w:docPartObj>
        <w:docPartGallery w:val="Page Numbers (Bottom of Page)"/>
        <w:docPartUnique/>
      </w:docPartObj>
    </w:sdtPr>
    <w:sdtEndPr>
      <w:rPr>
        <w:noProof/>
      </w:rPr>
    </w:sdtEndPr>
    <w:sdtContent>
      <w:p w14:paraId="4BC72A5B" w14:textId="406F7F50"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A6DEBE" w14:textId="77777777" w:rsidR="00E61319" w:rsidRDefault="00E6131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6046971"/>
      <w:docPartObj>
        <w:docPartGallery w:val="Page Numbers (Bottom of Page)"/>
        <w:docPartUnique/>
      </w:docPartObj>
    </w:sdtPr>
    <w:sdtEndPr>
      <w:rPr>
        <w:noProof/>
      </w:rPr>
    </w:sdtEndPr>
    <w:sdtContent>
      <w:p w14:paraId="62D46706" w14:textId="58BDEC49"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B6D71E" w14:textId="77777777" w:rsidR="00780E29" w:rsidRDefault="00780E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80D64" w14:textId="77777777" w:rsidR="00780E29" w:rsidRDefault="00780E29">
    <w:pPr>
      <w:pStyle w:val="Footer"/>
      <w:jc w:val="center"/>
    </w:pPr>
    <w:r>
      <w:t>B-1</w:t>
    </w:r>
  </w:p>
  <w:p w14:paraId="1056AAF8" w14:textId="77777777" w:rsidR="00780E29" w:rsidRDefault="00780E2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5072240"/>
      <w:docPartObj>
        <w:docPartGallery w:val="Page Numbers (Bottom of Page)"/>
        <w:docPartUnique/>
      </w:docPartObj>
    </w:sdtPr>
    <w:sdtEndPr>
      <w:rPr>
        <w:noProof/>
      </w:rPr>
    </w:sdtEndPr>
    <w:sdtContent>
      <w:p w14:paraId="7413F5BF" w14:textId="25062137"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09E6FE" w14:textId="77777777" w:rsidR="00780E29" w:rsidRDefault="00780E2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5475891"/>
      <w:docPartObj>
        <w:docPartGallery w:val="Page Numbers (Bottom of Page)"/>
        <w:docPartUnique/>
      </w:docPartObj>
    </w:sdtPr>
    <w:sdtEndPr>
      <w:rPr>
        <w:noProof/>
      </w:rPr>
    </w:sdtEndPr>
    <w:sdtContent>
      <w:p w14:paraId="2EB48E40" w14:textId="55C41B5C"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E3659E" w14:textId="1668AEAF" w:rsidR="00780E29" w:rsidRPr="00E20610" w:rsidRDefault="00780E29" w:rsidP="00E2061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9AADA" w14:textId="7AB042DC" w:rsidR="00780E29" w:rsidRPr="000E07E7" w:rsidRDefault="00780E29" w:rsidP="00F54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1DBED" w14:textId="77777777" w:rsidR="00C917BB" w:rsidRDefault="00C917BB" w:rsidP="00C872A0">
      <w:r>
        <w:separator/>
      </w:r>
    </w:p>
  </w:footnote>
  <w:footnote w:type="continuationSeparator" w:id="0">
    <w:p w14:paraId="59A3D291" w14:textId="77777777" w:rsidR="00C917BB" w:rsidRDefault="00C917BB" w:rsidP="00C87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059F0" w14:textId="574F2C4F" w:rsidR="00780E29" w:rsidRPr="00B6741C" w:rsidRDefault="00780E29" w:rsidP="00B674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7A15F" w14:textId="0461E266" w:rsidR="00780E29" w:rsidRPr="00B6741C" w:rsidRDefault="00780E29" w:rsidP="00B674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FCA39" w14:textId="77777777" w:rsidR="00780E29" w:rsidRPr="00283FF9" w:rsidRDefault="00780E29" w:rsidP="00485C57">
    <w:pPr>
      <w:pStyle w:val="Heading2"/>
    </w:pPr>
    <w:r w:rsidRPr="00283FF9">
      <w:t>Appendix B – Observations and Federal Monitoring Plans</w:t>
    </w:r>
  </w:p>
  <w:p w14:paraId="5EEDD947" w14:textId="7B32B4C1" w:rsidR="00780E29" w:rsidRDefault="00780E29" w:rsidP="000A134A">
    <w:pPr>
      <w:jc w:val="center"/>
    </w:pPr>
    <w:r>
      <w:t>FY 20</w:t>
    </w:r>
    <w:r w:rsidR="00F54BE0">
      <w:t>22</w:t>
    </w:r>
    <w:r>
      <w:t xml:space="preserve"> [</w:t>
    </w:r>
    <w:r>
      <w:rPr>
        <w:i/>
      </w:rPr>
      <w:t>State Plan Name</w:t>
    </w:r>
    <w:r w:rsidRPr="001056A7">
      <w:t>]</w:t>
    </w:r>
    <w:r w:rsidRPr="003E7A6E">
      <w:t xml:space="preserve"> </w:t>
    </w:r>
    <w:r>
      <w:t>Follow-up FAME Report</w:t>
    </w:r>
  </w:p>
  <w:p w14:paraId="65B55A33" w14:textId="77777777" w:rsidR="00780E29" w:rsidRDefault="00780E29" w:rsidP="000A134A">
    <w:pPr>
      <w:jc w:val="center"/>
    </w:pPr>
  </w:p>
  <w:p w14:paraId="79523575" w14:textId="77777777" w:rsidR="00780E29" w:rsidRDefault="00780E29" w:rsidP="000A134A">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0B8D7" w14:textId="77777777" w:rsidR="00780E29" w:rsidRDefault="00780E29" w:rsidP="009A2ED6">
    <w:pPr>
      <w:pStyle w:val="Header"/>
      <w:jc w:val="center"/>
      <w:rPr>
        <w:b/>
      </w:rPr>
    </w:pPr>
  </w:p>
  <w:p w14:paraId="2DCFF2A3" w14:textId="77777777" w:rsidR="00780E29" w:rsidRPr="009A2ED6" w:rsidRDefault="00780E29" w:rsidP="009A2ED6">
    <w:pPr>
      <w:pStyle w:val="Header"/>
      <w:jc w:val="center"/>
      <w:rPr>
        <w:b/>
      </w:rPr>
    </w:pPr>
  </w:p>
  <w:p w14:paraId="1D9C2B96" w14:textId="77777777" w:rsidR="00780E29" w:rsidRPr="000767C0" w:rsidRDefault="00780E29" w:rsidP="009A2ED6">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692CC" w14:textId="0A117B51" w:rsidR="00780E29" w:rsidRPr="006F2309" w:rsidRDefault="00780E29" w:rsidP="006F2309">
    <w:pPr>
      <w:pStyle w:val="Header"/>
    </w:pPr>
    <w:r w:rsidRPr="006F2309">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FA0A7" w14:textId="11A2137F" w:rsidR="00780E29" w:rsidRPr="00D2585B" w:rsidRDefault="00780E29" w:rsidP="00D2585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AE7B3" w14:textId="2FA7B352" w:rsidR="00780E29" w:rsidRPr="000767C0" w:rsidRDefault="00780E29" w:rsidP="009A2ED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CD56A17"/>
    <w:multiLevelType w:val="hybridMultilevel"/>
    <w:tmpl w:val="43A21032"/>
    <w:lvl w:ilvl="0" w:tplc="04090013">
      <w:start w:val="1"/>
      <w:numFmt w:val="upperRoman"/>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4" w15:restartNumberingAfterBreak="0">
    <w:nsid w:val="1E8935DA"/>
    <w:multiLevelType w:val="hybridMultilevel"/>
    <w:tmpl w:val="549EBF12"/>
    <w:lvl w:ilvl="0" w:tplc="B2AC059A">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6D47E6"/>
    <w:multiLevelType w:val="hybridMultilevel"/>
    <w:tmpl w:val="FF70EFE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6" w15:restartNumberingAfterBreak="0">
    <w:nsid w:val="1F9B3E10"/>
    <w:multiLevelType w:val="hybridMultilevel"/>
    <w:tmpl w:val="BE8A3B6C"/>
    <w:lvl w:ilvl="0" w:tplc="12EA0D7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BB477B"/>
    <w:multiLevelType w:val="hybridMultilevel"/>
    <w:tmpl w:val="AE78A71C"/>
    <w:lvl w:ilvl="0" w:tplc="799264F2">
      <w:start w:val="1"/>
      <w:numFmt w:val="upperLetter"/>
      <w:pStyle w:val="Heading3"/>
      <w:lvlText w:val="%1."/>
      <w:lvlJc w:val="left"/>
      <w:pPr>
        <w:ind w:left="720" w:hanging="360"/>
      </w:pPr>
      <w:rPr>
        <w:rFonts w:ascii="Calibri" w:hAnsi="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C5467A"/>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5BCF6043"/>
    <w:multiLevelType w:val="hybridMultilevel"/>
    <w:tmpl w:val="58D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03320DA"/>
    <w:multiLevelType w:val="hybridMultilevel"/>
    <w:tmpl w:val="41F6FED6"/>
    <w:lvl w:ilvl="0" w:tplc="EA58EA52">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10850163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189250049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1149781258">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1129668191">
    <w:abstractNumId w:val="30"/>
  </w:num>
  <w:num w:numId="5" w16cid:durableId="437339714">
    <w:abstractNumId w:val="28"/>
  </w:num>
  <w:num w:numId="6" w16cid:durableId="1373268660">
    <w:abstractNumId w:val="25"/>
  </w:num>
  <w:num w:numId="7" w16cid:durableId="1614284284">
    <w:abstractNumId w:val="26"/>
  </w:num>
  <w:num w:numId="8" w16cid:durableId="1901401974">
    <w:abstractNumId w:val="29"/>
  </w:num>
  <w:num w:numId="9" w16cid:durableId="340623116">
    <w:abstractNumId w:val="27"/>
  </w:num>
  <w:num w:numId="10" w16cid:durableId="1713532647">
    <w:abstractNumId w:val="31"/>
  </w:num>
  <w:num w:numId="11" w16cid:durableId="247546233">
    <w:abstractNumId w:val="23"/>
  </w:num>
  <w:num w:numId="12" w16cid:durableId="1587691524">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0"/>
    <w:rsid w:val="000003C7"/>
    <w:rsid w:val="00001001"/>
    <w:rsid w:val="000011DF"/>
    <w:rsid w:val="0000133C"/>
    <w:rsid w:val="0000201A"/>
    <w:rsid w:val="00002805"/>
    <w:rsid w:val="00002B73"/>
    <w:rsid w:val="000036AB"/>
    <w:rsid w:val="00003ED2"/>
    <w:rsid w:val="00004200"/>
    <w:rsid w:val="00006515"/>
    <w:rsid w:val="000068B4"/>
    <w:rsid w:val="00007781"/>
    <w:rsid w:val="000116C0"/>
    <w:rsid w:val="00012AC3"/>
    <w:rsid w:val="000141B9"/>
    <w:rsid w:val="00014C7A"/>
    <w:rsid w:val="00014FC7"/>
    <w:rsid w:val="00015457"/>
    <w:rsid w:val="000161F6"/>
    <w:rsid w:val="00016214"/>
    <w:rsid w:val="00016803"/>
    <w:rsid w:val="00016877"/>
    <w:rsid w:val="00016ADA"/>
    <w:rsid w:val="0001706D"/>
    <w:rsid w:val="00017349"/>
    <w:rsid w:val="0001766E"/>
    <w:rsid w:val="00021274"/>
    <w:rsid w:val="0002147B"/>
    <w:rsid w:val="00021643"/>
    <w:rsid w:val="000217D1"/>
    <w:rsid w:val="00021FE0"/>
    <w:rsid w:val="000226B9"/>
    <w:rsid w:val="00022BEE"/>
    <w:rsid w:val="00023E20"/>
    <w:rsid w:val="00023E67"/>
    <w:rsid w:val="0002455F"/>
    <w:rsid w:val="000248F0"/>
    <w:rsid w:val="0002572C"/>
    <w:rsid w:val="00025F57"/>
    <w:rsid w:val="00026D63"/>
    <w:rsid w:val="00027093"/>
    <w:rsid w:val="00033539"/>
    <w:rsid w:val="0003442F"/>
    <w:rsid w:val="00034A4E"/>
    <w:rsid w:val="00035083"/>
    <w:rsid w:val="0003567C"/>
    <w:rsid w:val="00036865"/>
    <w:rsid w:val="00036A74"/>
    <w:rsid w:val="00036BF8"/>
    <w:rsid w:val="00036EB4"/>
    <w:rsid w:val="00036F0D"/>
    <w:rsid w:val="0003783D"/>
    <w:rsid w:val="00037F48"/>
    <w:rsid w:val="000404ED"/>
    <w:rsid w:val="00040E4A"/>
    <w:rsid w:val="000417CC"/>
    <w:rsid w:val="00041A67"/>
    <w:rsid w:val="00042327"/>
    <w:rsid w:val="0004246B"/>
    <w:rsid w:val="00043515"/>
    <w:rsid w:val="00044436"/>
    <w:rsid w:val="0004454D"/>
    <w:rsid w:val="000447C9"/>
    <w:rsid w:val="000449F8"/>
    <w:rsid w:val="00045020"/>
    <w:rsid w:val="00045348"/>
    <w:rsid w:val="00045479"/>
    <w:rsid w:val="00045BD6"/>
    <w:rsid w:val="00045C51"/>
    <w:rsid w:val="00046151"/>
    <w:rsid w:val="000467E3"/>
    <w:rsid w:val="000468C6"/>
    <w:rsid w:val="00046BEE"/>
    <w:rsid w:val="00046E13"/>
    <w:rsid w:val="000470EE"/>
    <w:rsid w:val="00047750"/>
    <w:rsid w:val="00047D3D"/>
    <w:rsid w:val="0005007B"/>
    <w:rsid w:val="00050ABB"/>
    <w:rsid w:val="00050FEB"/>
    <w:rsid w:val="000517FA"/>
    <w:rsid w:val="000521E0"/>
    <w:rsid w:val="00052B36"/>
    <w:rsid w:val="00053A2C"/>
    <w:rsid w:val="00054416"/>
    <w:rsid w:val="00054900"/>
    <w:rsid w:val="00055243"/>
    <w:rsid w:val="0005558E"/>
    <w:rsid w:val="00055A0B"/>
    <w:rsid w:val="00055B40"/>
    <w:rsid w:val="00055F2C"/>
    <w:rsid w:val="00057840"/>
    <w:rsid w:val="00060D39"/>
    <w:rsid w:val="00061856"/>
    <w:rsid w:val="00061875"/>
    <w:rsid w:val="000625FB"/>
    <w:rsid w:val="00062CF3"/>
    <w:rsid w:val="0006398D"/>
    <w:rsid w:val="000639EE"/>
    <w:rsid w:val="00065AB2"/>
    <w:rsid w:val="0006611A"/>
    <w:rsid w:val="00066925"/>
    <w:rsid w:val="00066A7B"/>
    <w:rsid w:val="00066C52"/>
    <w:rsid w:val="00066F5A"/>
    <w:rsid w:val="000701E4"/>
    <w:rsid w:val="0007073F"/>
    <w:rsid w:val="0007157F"/>
    <w:rsid w:val="00071E71"/>
    <w:rsid w:val="000724F1"/>
    <w:rsid w:val="0007306B"/>
    <w:rsid w:val="00073E2C"/>
    <w:rsid w:val="00074254"/>
    <w:rsid w:val="000743D1"/>
    <w:rsid w:val="00074876"/>
    <w:rsid w:val="000751E0"/>
    <w:rsid w:val="00075387"/>
    <w:rsid w:val="000760CB"/>
    <w:rsid w:val="00076601"/>
    <w:rsid w:val="000767C0"/>
    <w:rsid w:val="0007718C"/>
    <w:rsid w:val="00077410"/>
    <w:rsid w:val="000777D6"/>
    <w:rsid w:val="00080BD6"/>
    <w:rsid w:val="00083A76"/>
    <w:rsid w:val="00083CA6"/>
    <w:rsid w:val="00084F17"/>
    <w:rsid w:val="00085230"/>
    <w:rsid w:val="00085B00"/>
    <w:rsid w:val="00086F2F"/>
    <w:rsid w:val="0008759E"/>
    <w:rsid w:val="00087EE9"/>
    <w:rsid w:val="00090155"/>
    <w:rsid w:val="000902ED"/>
    <w:rsid w:val="0009134A"/>
    <w:rsid w:val="00091500"/>
    <w:rsid w:val="00091ABD"/>
    <w:rsid w:val="00091AE2"/>
    <w:rsid w:val="00091B54"/>
    <w:rsid w:val="000923E0"/>
    <w:rsid w:val="00092555"/>
    <w:rsid w:val="000928F1"/>
    <w:rsid w:val="000929B5"/>
    <w:rsid w:val="00092F1B"/>
    <w:rsid w:val="00093239"/>
    <w:rsid w:val="0009535D"/>
    <w:rsid w:val="0009583F"/>
    <w:rsid w:val="000961A3"/>
    <w:rsid w:val="000964DC"/>
    <w:rsid w:val="000969E2"/>
    <w:rsid w:val="000A134A"/>
    <w:rsid w:val="000A1CE9"/>
    <w:rsid w:val="000A2DE7"/>
    <w:rsid w:val="000A3878"/>
    <w:rsid w:val="000A40EC"/>
    <w:rsid w:val="000A45AB"/>
    <w:rsid w:val="000A4BE9"/>
    <w:rsid w:val="000A5552"/>
    <w:rsid w:val="000A55DB"/>
    <w:rsid w:val="000A57AB"/>
    <w:rsid w:val="000A658C"/>
    <w:rsid w:val="000A7279"/>
    <w:rsid w:val="000A76D8"/>
    <w:rsid w:val="000A7A05"/>
    <w:rsid w:val="000A7C5F"/>
    <w:rsid w:val="000B07D7"/>
    <w:rsid w:val="000B1A1A"/>
    <w:rsid w:val="000B1A5B"/>
    <w:rsid w:val="000B1ECC"/>
    <w:rsid w:val="000B22E4"/>
    <w:rsid w:val="000B2D5C"/>
    <w:rsid w:val="000B3A37"/>
    <w:rsid w:val="000B440B"/>
    <w:rsid w:val="000B4852"/>
    <w:rsid w:val="000B4CA8"/>
    <w:rsid w:val="000B5ED5"/>
    <w:rsid w:val="000B6A8A"/>
    <w:rsid w:val="000B6D2E"/>
    <w:rsid w:val="000B7D5D"/>
    <w:rsid w:val="000C04C6"/>
    <w:rsid w:val="000C0E15"/>
    <w:rsid w:val="000C0E53"/>
    <w:rsid w:val="000C12C6"/>
    <w:rsid w:val="000C1882"/>
    <w:rsid w:val="000C1ED8"/>
    <w:rsid w:val="000C1F7D"/>
    <w:rsid w:val="000C295F"/>
    <w:rsid w:val="000C2E74"/>
    <w:rsid w:val="000C368E"/>
    <w:rsid w:val="000C38BD"/>
    <w:rsid w:val="000C4141"/>
    <w:rsid w:val="000C43DE"/>
    <w:rsid w:val="000C46E4"/>
    <w:rsid w:val="000C54AF"/>
    <w:rsid w:val="000C5A83"/>
    <w:rsid w:val="000C5C82"/>
    <w:rsid w:val="000C6405"/>
    <w:rsid w:val="000C7C9A"/>
    <w:rsid w:val="000C7DA4"/>
    <w:rsid w:val="000D0B15"/>
    <w:rsid w:val="000D1C8D"/>
    <w:rsid w:val="000D28F8"/>
    <w:rsid w:val="000D2E3D"/>
    <w:rsid w:val="000D343F"/>
    <w:rsid w:val="000D3EE7"/>
    <w:rsid w:val="000D4560"/>
    <w:rsid w:val="000D4A64"/>
    <w:rsid w:val="000D6646"/>
    <w:rsid w:val="000D750A"/>
    <w:rsid w:val="000D7AAD"/>
    <w:rsid w:val="000D7DA6"/>
    <w:rsid w:val="000E03F9"/>
    <w:rsid w:val="000E0408"/>
    <w:rsid w:val="000E07E7"/>
    <w:rsid w:val="000E0DD1"/>
    <w:rsid w:val="000E1AA2"/>
    <w:rsid w:val="000E20A2"/>
    <w:rsid w:val="000E25C7"/>
    <w:rsid w:val="000E46F3"/>
    <w:rsid w:val="000E4BCC"/>
    <w:rsid w:val="000E4E94"/>
    <w:rsid w:val="000E5C64"/>
    <w:rsid w:val="000E6466"/>
    <w:rsid w:val="000E7DC6"/>
    <w:rsid w:val="000E7F42"/>
    <w:rsid w:val="000F1D68"/>
    <w:rsid w:val="000F1E49"/>
    <w:rsid w:val="000F46ED"/>
    <w:rsid w:val="000F4DA3"/>
    <w:rsid w:val="000F5103"/>
    <w:rsid w:val="000F5344"/>
    <w:rsid w:val="000F5631"/>
    <w:rsid w:val="000F5A36"/>
    <w:rsid w:val="000F63C1"/>
    <w:rsid w:val="000F6A5C"/>
    <w:rsid w:val="000F7ECC"/>
    <w:rsid w:val="00100A0A"/>
    <w:rsid w:val="001039FA"/>
    <w:rsid w:val="001044A1"/>
    <w:rsid w:val="001056A7"/>
    <w:rsid w:val="00106B2A"/>
    <w:rsid w:val="00106B97"/>
    <w:rsid w:val="0010721A"/>
    <w:rsid w:val="001100DE"/>
    <w:rsid w:val="0011011A"/>
    <w:rsid w:val="00110CB0"/>
    <w:rsid w:val="001113A1"/>
    <w:rsid w:val="00111FC9"/>
    <w:rsid w:val="00111FF4"/>
    <w:rsid w:val="0011239B"/>
    <w:rsid w:val="00112C81"/>
    <w:rsid w:val="00113129"/>
    <w:rsid w:val="0011326F"/>
    <w:rsid w:val="0011492C"/>
    <w:rsid w:val="0011522A"/>
    <w:rsid w:val="00115B48"/>
    <w:rsid w:val="00115DF5"/>
    <w:rsid w:val="00116055"/>
    <w:rsid w:val="001170E4"/>
    <w:rsid w:val="00117115"/>
    <w:rsid w:val="001174A0"/>
    <w:rsid w:val="00117A77"/>
    <w:rsid w:val="00117D70"/>
    <w:rsid w:val="00117DAF"/>
    <w:rsid w:val="0012013C"/>
    <w:rsid w:val="001206B1"/>
    <w:rsid w:val="00120A78"/>
    <w:rsid w:val="0012164B"/>
    <w:rsid w:val="00122228"/>
    <w:rsid w:val="0012279E"/>
    <w:rsid w:val="00122839"/>
    <w:rsid w:val="00122BD3"/>
    <w:rsid w:val="001236BE"/>
    <w:rsid w:val="00123AC4"/>
    <w:rsid w:val="00125065"/>
    <w:rsid w:val="00125345"/>
    <w:rsid w:val="00125C8A"/>
    <w:rsid w:val="001261C2"/>
    <w:rsid w:val="00126880"/>
    <w:rsid w:val="00130267"/>
    <w:rsid w:val="00130D50"/>
    <w:rsid w:val="00132862"/>
    <w:rsid w:val="00132E36"/>
    <w:rsid w:val="00132F71"/>
    <w:rsid w:val="001330E6"/>
    <w:rsid w:val="001341FE"/>
    <w:rsid w:val="00134F5C"/>
    <w:rsid w:val="00134F5D"/>
    <w:rsid w:val="001358F0"/>
    <w:rsid w:val="00136DA3"/>
    <w:rsid w:val="0013712D"/>
    <w:rsid w:val="001376D1"/>
    <w:rsid w:val="00140C21"/>
    <w:rsid w:val="00140EC2"/>
    <w:rsid w:val="00140F01"/>
    <w:rsid w:val="00141758"/>
    <w:rsid w:val="0014199D"/>
    <w:rsid w:val="00142198"/>
    <w:rsid w:val="0014255E"/>
    <w:rsid w:val="001427C6"/>
    <w:rsid w:val="0014304D"/>
    <w:rsid w:val="00143A22"/>
    <w:rsid w:val="00143ACD"/>
    <w:rsid w:val="0014420A"/>
    <w:rsid w:val="00144A53"/>
    <w:rsid w:val="00145BC1"/>
    <w:rsid w:val="001469F6"/>
    <w:rsid w:val="00146C7C"/>
    <w:rsid w:val="001471B8"/>
    <w:rsid w:val="00147B01"/>
    <w:rsid w:val="00147F8B"/>
    <w:rsid w:val="00150035"/>
    <w:rsid w:val="00150F03"/>
    <w:rsid w:val="001515BB"/>
    <w:rsid w:val="00151CFD"/>
    <w:rsid w:val="00152207"/>
    <w:rsid w:val="001537CE"/>
    <w:rsid w:val="00154447"/>
    <w:rsid w:val="00155591"/>
    <w:rsid w:val="00155CFC"/>
    <w:rsid w:val="00156CD6"/>
    <w:rsid w:val="00156E0C"/>
    <w:rsid w:val="00156E4D"/>
    <w:rsid w:val="00157520"/>
    <w:rsid w:val="001603DE"/>
    <w:rsid w:val="00161740"/>
    <w:rsid w:val="0016336D"/>
    <w:rsid w:val="00163E90"/>
    <w:rsid w:val="00164A9B"/>
    <w:rsid w:val="00165F22"/>
    <w:rsid w:val="00166CC2"/>
    <w:rsid w:val="00172085"/>
    <w:rsid w:val="0017376B"/>
    <w:rsid w:val="00173853"/>
    <w:rsid w:val="00174A4C"/>
    <w:rsid w:val="0017552C"/>
    <w:rsid w:val="00175894"/>
    <w:rsid w:val="0017590A"/>
    <w:rsid w:val="001762C6"/>
    <w:rsid w:val="00176DF8"/>
    <w:rsid w:val="00177666"/>
    <w:rsid w:val="001776F0"/>
    <w:rsid w:val="00177A1E"/>
    <w:rsid w:val="00177D70"/>
    <w:rsid w:val="00181B63"/>
    <w:rsid w:val="00182B5C"/>
    <w:rsid w:val="00182CE0"/>
    <w:rsid w:val="001839C9"/>
    <w:rsid w:val="001843E2"/>
    <w:rsid w:val="00184E43"/>
    <w:rsid w:val="00185C7D"/>
    <w:rsid w:val="00185E50"/>
    <w:rsid w:val="001861B8"/>
    <w:rsid w:val="0018653A"/>
    <w:rsid w:val="00186C46"/>
    <w:rsid w:val="00187065"/>
    <w:rsid w:val="00187182"/>
    <w:rsid w:val="00187D96"/>
    <w:rsid w:val="001902FE"/>
    <w:rsid w:val="00190770"/>
    <w:rsid w:val="0019199A"/>
    <w:rsid w:val="001925FE"/>
    <w:rsid w:val="001927A4"/>
    <w:rsid w:val="00192881"/>
    <w:rsid w:val="00192C14"/>
    <w:rsid w:val="00192C97"/>
    <w:rsid w:val="00193E53"/>
    <w:rsid w:val="001941DE"/>
    <w:rsid w:val="0019511B"/>
    <w:rsid w:val="00195153"/>
    <w:rsid w:val="001958C8"/>
    <w:rsid w:val="001A180D"/>
    <w:rsid w:val="001A2967"/>
    <w:rsid w:val="001A2A9C"/>
    <w:rsid w:val="001A335E"/>
    <w:rsid w:val="001A3671"/>
    <w:rsid w:val="001A4D77"/>
    <w:rsid w:val="001A6B79"/>
    <w:rsid w:val="001A74C9"/>
    <w:rsid w:val="001A7608"/>
    <w:rsid w:val="001A7BB9"/>
    <w:rsid w:val="001A7F60"/>
    <w:rsid w:val="001B0219"/>
    <w:rsid w:val="001B02D7"/>
    <w:rsid w:val="001B0562"/>
    <w:rsid w:val="001B0632"/>
    <w:rsid w:val="001B0AF1"/>
    <w:rsid w:val="001B160F"/>
    <w:rsid w:val="001B184D"/>
    <w:rsid w:val="001B284A"/>
    <w:rsid w:val="001B346B"/>
    <w:rsid w:val="001B3A6D"/>
    <w:rsid w:val="001B4794"/>
    <w:rsid w:val="001B5A05"/>
    <w:rsid w:val="001B63E2"/>
    <w:rsid w:val="001B65B8"/>
    <w:rsid w:val="001B6644"/>
    <w:rsid w:val="001B6DA7"/>
    <w:rsid w:val="001B759A"/>
    <w:rsid w:val="001B77A2"/>
    <w:rsid w:val="001B7FA0"/>
    <w:rsid w:val="001C154D"/>
    <w:rsid w:val="001C191F"/>
    <w:rsid w:val="001C1E47"/>
    <w:rsid w:val="001C22B8"/>
    <w:rsid w:val="001C262E"/>
    <w:rsid w:val="001C2B11"/>
    <w:rsid w:val="001C2D6F"/>
    <w:rsid w:val="001C3276"/>
    <w:rsid w:val="001C3EC2"/>
    <w:rsid w:val="001C44E8"/>
    <w:rsid w:val="001C560E"/>
    <w:rsid w:val="001C58C2"/>
    <w:rsid w:val="001C620B"/>
    <w:rsid w:val="001C64AA"/>
    <w:rsid w:val="001D0C27"/>
    <w:rsid w:val="001D1819"/>
    <w:rsid w:val="001D1A16"/>
    <w:rsid w:val="001D326F"/>
    <w:rsid w:val="001D3D5A"/>
    <w:rsid w:val="001D42CE"/>
    <w:rsid w:val="001D45C8"/>
    <w:rsid w:val="001D4762"/>
    <w:rsid w:val="001D6530"/>
    <w:rsid w:val="001D681F"/>
    <w:rsid w:val="001D6D59"/>
    <w:rsid w:val="001D7428"/>
    <w:rsid w:val="001D7613"/>
    <w:rsid w:val="001E0EFF"/>
    <w:rsid w:val="001E1905"/>
    <w:rsid w:val="001E1B35"/>
    <w:rsid w:val="001E1C5D"/>
    <w:rsid w:val="001E1FD1"/>
    <w:rsid w:val="001E2D62"/>
    <w:rsid w:val="001E2FBB"/>
    <w:rsid w:val="001E3578"/>
    <w:rsid w:val="001E4453"/>
    <w:rsid w:val="001E4F8A"/>
    <w:rsid w:val="001E54DD"/>
    <w:rsid w:val="001E5ABD"/>
    <w:rsid w:val="001E5C43"/>
    <w:rsid w:val="001E5FE4"/>
    <w:rsid w:val="001E71BA"/>
    <w:rsid w:val="001F0B51"/>
    <w:rsid w:val="001F1D8A"/>
    <w:rsid w:val="001F30D4"/>
    <w:rsid w:val="001F359C"/>
    <w:rsid w:val="001F3750"/>
    <w:rsid w:val="001F40E1"/>
    <w:rsid w:val="001F58B8"/>
    <w:rsid w:val="001F59A8"/>
    <w:rsid w:val="001F6503"/>
    <w:rsid w:val="00200D27"/>
    <w:rsid w:val="002011AC"/>
    <w:rsid w:val="0020125D"/>
    <w:rsid w:val="00201EB9"/>
    <w:rsid w:val="00202BD7"/>
    <w:rsid w:val="002048CC"/>
    <w:rsid w:val="0020506D"/>
    <w:rsid w:val="00205391"/>
    <w:rsid w:val="00205A99"/>
    <w:rsid w:val="00205B95"/>
    <w:rsid w:val="0020733F"/>
    <w:rsid w:val="00207761"/>
    <w:rsid w:val="00207B94"/>
    <w:rsid w:val="00210157"/>
    <w:rsid w:val="002107CF"/>
    <w:rsid w:val="00210E15"/>
    <w:rsid w:val="00211626"/>
    <w:rsid w:val="0021277A"/>
    <w:rsid w:val="00212BC7"/>
    <w:rsid w:val="0021380C"/>
    <w:rsid w:val="00213FCA"/>
    <w:rsid w:val="002148B5"/>
    <w:rsid w:val="00215A79"/>
    <w:rsid w:val="00216621"/>
    <w:rsid w:val="0021692C"/>
    <w:rsid w:val="00216B0E"/>
    <w:rsid w:val="00217433"/>
    <w:rsid w:val="00217437"/>
    <w:rsid w:val="0022016A"/>
    <w:rsid w:val="0022017B"/>
    <w:rsid w:val="002204EA"/>
    <w:rsid w:val="00222350"/>
    <w:rsid w:val="00222691"/>
    <w:rsid w:val="002231D3"/>
    <w:rsid w:val="002235F3"/>
    <w:rsid w:val="002245EE"/>
    <w:rsid w:val="00224606"/>
    <w:rsid w:val="002247E7"/>
    <w:rsid w:val="0022537C"/>
    <w:rsid w:val="00225F67"/>
    <w:rsid w:val="0022685E"/>
    <w:rsid w:val="00226D64"/>
    <w:rsid w:val="00227868"/>
    <w:rsid w:val="00230915"/>
    <w:rsid w:val="00230D53"/>
    <w:rsid w:val="00231484"/>
    <w:rsid w:val="0023191B"/>
    <w:rsid w:val="00231E21"/>
    <w:rsid w:val="002337B2"/>
    <w:rsid w:val="00233C64"/>
    <w:rsid w:val="00236567"/>
    <w:rsid w:val="002404BA"/>
    <w:rsid w:val="002427F7"/>
    <w:rsid w:val="00242B0C"/>
    <w:rsid w:val="00243015"/>
    <w:rsid w:val="0024338F"/>
    <w:rsid w:val="00245C17"/>
    <w:rsid w:val="002511A8"/>
    <w:rsid w:val="002511E9"/>
    <w:rsid w:val="002512E8"/>
    <w:rsid w:val="00251AD0"/>
    <w:rsid w:val="00251FA2"/>
    <w:rsid w:val="002523FB"/>
    <w:rsid w:val="002529E8"/>
    <w:rsid w:val="00253249"/>
    <w:rsid w:val="002536CB"/>
    <w:rsid w:val="00254776"/>
    <w:rsid w:val="002550D2"/>
    <w:rsid w:val="0025526A"/>
    <w:rsid w:val="002553B4"/>
    <w:rsid w:val="00255493"/>
    <w:rsid w:val="00255729"/>
    <w:rsid w:val="00255EA4"/>
    <w:rsid w:val="002609A8"/>
    <w:rsid w:val="00260A89"/>
    <w:rsid w:val="00260C9F"/>
    <w:rsid w:val="002616DF"/>
    <w:rsid w:val="00261A11"/>
    <w:rsid w:val="00261FE1"/>
    <w:rsid w:val="00262A51"/>
    <w:rsid w:val="00262DDC"/>
    <w:rsid w:val="002644F6"/>
    <w:rsid w:val="002648FC"/>
    <w:rsid w:val="00265442"/>
    <w:rsid w:val="00265778"/>
    <w:rsid w:val="002658D0"/>
    <w:rsid w:val="002668C0"/>
    <w:rsid w:val="002668F9"/>
    <w:rsid w:val="00267441"/>
    <w:rsid w:val="002679E5"/>
    <w:rsid w:val="00270695"/>
    <w:rsid w:val="002707B8"/>
    <w:rsid w:val="0027084D"/>
    <w:rsid w:val="002725BC"/>
    <w:rsid w:val="00272EC4"/>
    <w:rsid w:val="002731DE"/>
    <w:rsid w:val="002735F9"/>
    <w:rsid w:val="00273CD1"/>
    <w:rsid w:val="00273EA8"/>
    <w:rsid w:val="00274463"/>
    <w:rsid w:val="002744AB"/>
    <w:rsid w:val="00274FF1"/>
    <w:rsid w:val="0027502F"/>
    <w:rsid w:val="00275637"/>
    <w:rsid w:val="002758D4"/>
    <w:rsid w:val="00277933"/>
    <w:rsid w:val="00277C24"/>
    <w:rsid w:val="00280230"/>
    <w:rsid w:val="0028166F"/>
    <w:rsid w:val="00281733"/>
    <w:rsid w:val="0028174D"/>
    <w:rsid w:val="00281A30"/>
    <w:rsid w:val="002823D9"/>
    <w:rsid w:val="002831C6"/>
    <w:rsid w:val="00283FF9"/>
    <w:rsid w:val="00284E03"/>
    <w:rsid w:val="00287E43"/>
    <w:rsid w:val="00290B29"/>
    <w:rsid w:val="00290F10"/>
    <w:rsid w:val="00292313"/>
    <w:rsid w:val="002929FD"/>
    <w:rsid w:val="00292DC5"/>
    <w:rsid w:val="00292F79"/>
    <w:rsid w:val="00294168"/>
    <w:rsid w:val="00294245"/>
    <w:rsid w:val="002948AE"/>
    <w:rsid w:val="00294FD0"/>
    <w:rsid w:val="002954DC"/>
    <w:rsid w:val="00295D74"/>
    <w:rsid w:val="00295ED6"/>
    <w:rsid w:val="0029647F"/>
    <w:rsid w:val="002966F6"/>
    <w:rsid w:val="00296B1E"/>
    <w:rsid w:val="0029773E"/>
    <w:rsid w:val="00297ABC"/>
    <w:rsid w:val="002A2421"/>
    <w:rsid w:val="002A39F7"/>
    <w:rsid w:val="002A3A5E"/>
    <w:rsid w:val="002A40A1"/>
    <w:rsid w:val="002A4594"/>
    <w:rsid w:val="002A4934"/>
    <w:rsid w:val="002A50A7"/>
    <w:rsid w:val="002A65C4"/>
    <w:rsid w:val="002A6751"/>
    <w:rsid w:val="002A6CAA"/>
    <w:rsid w:val="002A6EA8"/>
    <w:rsid w:val="002B020A"/>
    <w:rsid w:val="002B20CB"/>
    <w:rsid w:val="002B228C"/>
    <w:rsid w:val="002B3322"/>
    <w:rsid w:val="002B334F"/>
    <w:rsid w:val="002B3E37"/>
    <w:rsid w:val="002B4100"/>
    <w:rsid w:val="002B4250"/>
    <w:rsid w:val="002B429D"/>
    <w:rsid w:val="002B43F3"/>
    <w:rsid w:val="002B4830"/>
    <w:rsid w:val="002B4F49"/>
    <w:rsid w:val="002B5CB3"/>
    <w:rsid w:val="002B63FA"/>
    <w:rsid w:val="002B7D36"/>
    <w:rsid w:val="002C0B34"/>
    <w:rsid w:val="002C1346"/>
    <w:rsid w:val="002C1E78"/>
    <w:rsid w:val="002C21A1"/>
    <w:rsid w:val="002C44B3"/>
    <w:rsid w:val="002C46E8"/>
    <w:rsid w:val="002C4E8C"/>
    <w:rsid w:val="002C5CAA"/>
    <w:rsid w:val="002C65D1"/>
    <w:rsid w:val="002C6F06"/>
    <w:rsid w:val="002C73A1"/>
    <w:rsid w:val="002D0261"/>
    <w:rsid w:val="002D1B61"/>
    <w:rsid w:val="002D1D1E"/>
    <w:rsid w:val="002D473A"/>
    <w:rsid w:val="002D4F37"/>
    <w:rsid w:val="002D54B7"/>
    <w:rsid w:val="002D61CE"/>
    <w:rsid w:val="002D6E03"/>
    <w:rsid w:val="002E030B"/>
    <w:rsid w:val="002E211F"/>
    <w:rsid w:val="002E30E4"/>
    <w:rsid w:val="002E397D"/>
    <w:rsid w:val="002E3ED7"/>
    <w:rsid w:val="002E43B7"/>
    <w:rsid w:val="002E4405"/>
    <w:rsid w:val="002E4FDC"/>
    <w:rsid w:val="002E50F9"/>
    <w:rsid w:val="002E516E"/>
    <w:rsid w:val="002E5F0C"/>
    <w:rsid w:val="002E6386"/>
    <w:rsid w:val="002E6E73"/>
    <w:rsid w:val="002E799C"/>
    <w:rsid w:val="002F09E2"/>
    <w:rsid w:val="002F140C"/>
    <w:rsid w:val="002F2887"/>
    <w:rsid w:val="002F313C"/>
    <w:rsid w:val="002F4FA0"/>
    <w:rsid w:val="002F5F07"/>
    <w:rsid w:val="002F7420"/>
    <w:rsid w:val="002F78C9"/>
    <w:rsid w:val="002F7F47"/>
    <w:rsid w:val="0030105C"/>
    <w:rsid w:val="00302F54"/>
    <w:rsid w:val="00304846"/>
    <w:rsid w:val="00304930"/>
    <w:rsid w:val="0030523E"/>
    <w:rsid w:val="003056E7"/>
    <w:rsid w:val="003056F6"/>
    <w:rsid w:val="00305AB3"/>
    <w:rsid w:val="00306137"/>
    <w:rsid w:val="0031155C"/>
    <w:rsid w:val="00311EEC"/>
    <w:rsid w:val="00312084"/>
    <w:rsid w:val="00312D97"/>
    <w:rsid w:val="00312FDE"/>
    <w:rsid w:val="003139AD"/>
    <w:rsid w:val="00314593"/>
    <w:rsid w:val="0031493F"/>
    <w:rsid w:val="003151A1"/>
    <w:rsid w:val="00315E58"/>
    <w:rsid w:val="00320A32"/>
    <w:rsid w:val="00322518"/>
    <w:rsid w:val="00322C51"/>
    <w:rsid w:val="003235C8"/>
    <w:rsid w:val="003249AC"/>
    <w:rsid w:val="00324B71"/>
    <w:rsid w:val="0032597C"/>
    <w:rsid w:val="003259E3"/>
    <w:rsid w:val="0032662E"/>
    <w:rsid w:val="00327926"/>
    <w:rsid w:val="00327E12"/>
    <w:rsid w:val="0033027F"/>
    <w:rsid w:val="003306BF"/>
    <w:rsid w:val="003307AB"/>
    <w:rsid w:val="00330C82"/>
    <w:rsid w:val="00330D6C"/>
    <w:rsid w:val="00331F49"/>
    <w:rsid w:val="00332611"/>
    <w:rsid w:val="00334155"/>
    <w:rsid w:val="0033567A"/>
    <w:rsid w:val="00335C20"/>
    <w:rsid w:val="00336613"/>
    <w:rsid w:val="00336FF6"/>
    <w:rsid w:val="0033715B"/>
    <w:rsid w:val="003377B5"/>
    <w:rsid w:val="0033786F"/>
    <w:rsid w:val="003400CE"/>
    <w:rsid w:val="00340DD2"/>
    <w:rsid w:val="00340E6B"/>
    <w:rsid w:val="00340ED2"/>
    <w:rsid w:val="00341DD1"/>
    <w:rsid w:val="003425AA"/>
    <w:rsid w:val="00343604"/>
    <w:rsid w:val="00344186"/>
    <w:rsid w:val="003448F5"/>
    <w:rsid w:val="00344D3F"/>
    <w:rsid w:val="0034504D"/>
    <w:rsid w:val="00345174"/>
    <w:rsid w:val="0034562A"/>
    <w:rsid w:val="0034566A"/>
    <w:rsid w:val="003478A8"/>
    <w:rsid w:val="00347A03"/>
    <w:rsid w:val="00347D0B"/>
    <w:rsid w:val="00347E2E"/>
    <w:rsid w:val="00351ABE"/>
    <w:rsid w:val="00351DAD"/>
    <w:rsid w:val="00353C01"/>
    <w:rsid w:val="0035483B"/>
    <w:rsid w:val="00354843"/>
    <w:rsid w:val="00355962"/>
    <w:rsid w:val="0035620E"/>
    <w:rsid w:val="0035765D"/>
    <w:rsid w:val="00360CDE"/>
    <w:rsid w:val="00361A57"/>
    <w:rsid w:val="00361C3D"/>
    <w:rsid w:val="003625AF"/>
    <w:rsid w:val="00363176"/>
    <w:rsid w:val="00363AF6"/>
    <w:rsid w:val="0036420B"/>
    <w:rsid w:val="00364D79"/>
    <w:rsid w:val="00364EBE"/>
    <w:rsid w:val="00366780"/>
    <w:rsid w:val="0036681B"/>
    <w:rsid w:val="00366E7C"/>
    <w:rsid w:val="00366FCA"/>
    <w:rsid w:val="003675BA"/>
    <w:rsid w:val="00371330"/>
    <w:rsid w:val="0037264B"/>
    <w:rsid w:val="00373067"/>
    <w:rsid w:val="00373624"/>
    <w:rsid w:val="0037417C"/>
    <w:rsid w:val="00374643"/>
    <w:rsid w:val="00374E61"/>
    <w:rsid w:val="0037554E"/>
    <w:rsid w:val="003759CE"/>
    <w:rsid w:val="00375AFE"/>
    <w:rsid w:val="00380246"/>
    <w:rsid w:val="0038038C"/>
    <w:rsid w:val="00380769"/>
    <w:rsid w:val="00380DBE"/>
    <w:rsid w:val="003810F0"/>
    <w:rsid w:val="00381AA6"/>
    <w:rsid w:val="003822A8"/>
    <w:rsid w:val="00382350"/>
    <w:rsid w:val="00382632"/>
    <w:rsid w:val="00383151"/>
    <w:rsid w:val="00383223"/>
    <w:rsid w:val="00384D3F"/>
    <w:rsid w:val="00386009"/>
    <w:rsid w:val="003861AB"/>
    <w:rsid w:val="0038622A"/>
    <w:rsid w:val="003863A9"/>
    <w:rsid w:val="00386A92"/>
    <w:rsid w:val="00387B03"/>
    <w:rsid w:val="00387C8A"/>
    <w:rsid w:val="0039036E"/>
    <w:rsid w:val="00390C71"/>
    <w:rsid w:val="00391D6F"/>
    <w:rsid w:val="003921BA"/>
    <w:rsid w:val="00392C0A"/>
    <w:rsid w:val="003936F3"/>
    <w:rsid w:val="003944BD"/>
    <w:rsid w:val="0039497C"/>
    <w:rsid w:val="00395A18"/>
    <w:rsid w:val="00395FE6"/>
    <w:rsid w:val="0039632A"/>
    <w:rsid w:val="00396CFB"/>
    <w:rsid w:val="003977C7"/>
    <w:rsid w:val="003A0860"/>
    <w:rsid w:val="003A15AE"/>
    <w:rsid w:val="003A1E5E"/>
    <w:rsid w:val="003A1F58"/>
    <w:rsid w:val="003A20DA"/>
    <w:rsid w:val="003A2119"/>
    <w:rsid w:val="003A32F1"/>
    <w:rsid w:val="003A3CB8"/>
    <w:rsid w:val="003A4F3E"/>
    <w:rsid w:val="003A53CD"/>
    <w:rsid w:val="003A6DB0"/>
    <w:rsid w:val="003A6E9B"/>
    <w:rsid w:val="003A79DB"/>
    <w:rsid w:val="003B022E"/>
    <w:rsid w:val="003B288C"/>
    <w:rsid w:val="003B2977"/>
    <w:rsid w:val="003B3314"/>
    <w:rsid w:val="003B3D85"/>
    <w:rsid w:val="003B3DD0"/>
    <w:rsid w:val="003B572B"/>
    <w:rsid w:val="003B5B99"/>
    <w:rsid w:val="003B61CB"/>
    <w:rsid w:val="003B7931"/>
    <w:rsid w:val="003C0593"/>
    <w:rsid w:val="003C24E4"/>
    <w:rsid w:val="003C25AC"/>
    <w:rsid w:val="003C2BCC"/>
    <w:rsid w:val="003C2CC1"/>
    <w:rsid w:val="003C45C1"/>
    <w:rsid w:val="003C511A"/>
    <w:rsid w:val="003C553A"/>
    <w:rsid w:val="003C5C8B"/>
    <w:rsid w:val="003C664A"/>
    <w:rsid w:val="003C70C3"/>
    <w:rsid w:val="003D0779"/>
    <w:rsid w:val="003D0C21"/>
    <w:rsid w:val="003D14A8"/>
    <w:rsid w:val="003D1CA8"/>
    <w:rsid w:val="003D248B"/>
    <w:rsid w:val="003D2742"/>
    <w:rsid w:val="003D2F9B"/>
    <w:rsid w:val="003D42D4"/>
    <w:rsid w:val="003D4ED4"/>
    <w:rsid w:val="003D53B8"/>
    <w:rsid w:val="003D5D7B"/>
    <w:rsid w:val="003D6D33"/>
    <w:rsid w:val="003D750D"/>
    <w:rsid w:val="003E01A1"/>
    <w:rsid w:val="003E1251"/>
    <w:rsid w:val="003E2063"/>
    <w:rsid w:val="003E2170"/>
    <w:rsid w:val="003E375A"/>
    <w:rsid w:val="003E4294"/>
    <w:rsid w:val="003E4B5E"/>
    <w:rsid w:val="003E5DD1"/>
    <w:rsid w:val="003E6165"/>
    <w:rsid w:val="003E628A"/>
    <w:rsid w:val="003E6A82"/>
    <w:rsid w:val="003E6A8F"/>
    <w:rsid w:val="003E6E8B"/>
    <w:rsid w:val="003E7A6E"/>
    <w:rsid w:val="003E7AEA"/>
    <w:rsid w:val="003F0169"/>
    <w:rsid w:val="003F01C0"/>
    <w:rsid w:val="003F0994"/>
    <w:rsid w:val="003F0BDE"/>
    <w:rsid w:val="003F0FB1"/>
    <w:rsid w:val="003F2C9D"/>
    <w:rsid w:val="003F2E2D"/>
    <w:rsid w:val="003F326A"/>
    <w:rsid w:val="003F3CA1"/>
    <w:rsid w:val="003F46FA"/>
    <w:rsid w:val="003F53A0"/>
    <w:rsid w:val="003F5525"/>
    <w:rsid w:val="003F591D"/>
    <w:rsid w:val="003F6C61"/>
    <w:rsid w:val="003F7844"/>
    <w:rsid w:val="003F78C1"/>
    <w:rsid w:val="003F7A1E"/>
    <w:rsid w:val="004002EE"/>
    <w:rsid w:val="004007AC"/>
    <w:rsid w:val="00401AD3"/>
    <w:rsid w:val="00401AF2"/>
    <w:rsid w:val="00401DF0"/>
    <w:rsid w:val="0040227E"/>
    <w:rsid w:val="00403973"/>
    <w:rsid w:val="00403ADC"/>
    <w:rsid w:val="0040424A"/>
    <w:rsid w:val="004103CD"/>
    <w:rsid w:val="00410A18"/>
    <w:rsid w:val="00410B0E"/>
    <w:rsid w:val="00410CBE"/>
    <w:rsid w:val="00411536"/>
    <w:rsid w:val="004119E7"/>
    <w:rsid w:val="004119E8"/>
    <w:rsid w:val="00411E44"/>
    <w:rsid w:val="00412C61"/>
    <w:rsid w:val="00412E58"/>
    <w:rsid w:val="004134D7"/>
    <w:rsid w:val="004138A5"/>
    <w:rsid w:val="00414046"/>
    <w:rsid w:val="00414885"/>
    <w:rsid w:val="004148C0"/>
    <w:rsid w:val="00414F98"/>
    <w:rsid w:val="00414FBD"/>
    <w:rsid w:val="0041560D"/>
    <w:rsid w:val="00416112"/>
    <w:rsid w:val="00416B61"/>
    <w:rsid w:val="00416C6C"/>
    <w:rsid w:val="0041747A"/>
    <w:rsid w:val="00422070"/>
    <w:rsid w:val="00422C7A"/>
    <w:rsid w:val="0042395F"/>
    <w:rsid w:val="0042568D"/>
    <w:rsid w:val="00425EE1"/>
    <w:rsid w:val="00426918"/>
    <w:rsid w:val="0042694A"/>
    <w:rsid w:val="00427523"/>
    <w:rsid w:val="00430741"/>
    <w:rsid w:val="00430AE7"/>
    <w:rsid w:val="00431115"/>
    <w:rsid w:val="00431754"/>
    <w:rsid w:val="00431F6C"/>
    <w:rsid w:val="00433700"/>
    <w:rsid w:val="00433A53"/>
    <w:rsid w:val="00435253"/>
    <w:rsid w:val="0043594B"/>
    <w:rsid w:val="004359BB"/>
    <w:rsid w:val="004370E1"/>
    <w:rsid w:val="00437EB8"/>
    <w:rsid w:val="00440BC7"/>
    <w:rsid w:val="00440DF1"/>
    <w:rsid w:val="004419F6"/>
    <w:rsid w:val="004419FD"/>
    <w:rsid w:val="00441D73"/>
    <w:rsid w:val="004427D9"/>
    <w:rsid w:val="00443054"/>
    <w:rsid w:val="00443D46"/>
    <w:rsid w:val="00445650"/>
    <w:rsid w:val="004463CD"/>
    <w:rsid w:val="00446455"/>
    <w:rsid w:val="00447A99"/>
    <w:rsid w:val="0045049B"/>
    <w:rsid w:val="00451D3D"/>
    <w:rsid w:val="00451DA6"/>
    <w:rsid w:val="0045418A"/>
    <w:rsid w:val="00454277"/>
    <w:rsid w:val="00454C77"/>
    <w:rsid w:val="00454FE1"/>
    <w:rsid w:val="0045509E"/>
    <w:rsid w:val="00455FE6"/>
    <w:rsid w:val="00456025"/>
    <w:rsid w:val="00456A58"/>
    <w:rsid w:val="00456AB3"/>
    <w:rsid w:val="00456C45"/>
    <w:rsid w:val="00457149"/>
    <w:rsid w:val="0046047E"/>
    <w:rsid w:val="00460732"/>
    <w:rsid w:val="00460E43"/>
    <w:rsid w:val="00461A73"/>
    <w:rsid w:val="0046323D"/>
    <w:rsid w:val="0046369B"/>
    <w:rsid w:val="00464590"/>
    <w:rsid w:val="00464C75"/>
    <w:rsid w:val="004658D1"/>
    <w:rsid w:val="00466B8D"/>
    <w:rsid w:val="00466F3E"/>
    <w:rsid w:val="00470794"/>
    <w:rsid w:val="00470BE2"/>
    <w:rsid w:val="00471153"/>
    <w:rsid w:val="00471DCC"/>
    <w:rsid w:val="004729E0"/>
    <w:rsid w:val="00473850"/>
    <w:rsid w:val="00473A4D"/>
    <w:rsid w:val="00473DD7"/>
    <w:rsid w:val="00473E98"/>
    <w:rsid w:val="004740E8"/>
    <w:rsid w:val="00474125"/>
    <w:rsid w:val="004745DA"/>
    <w:rsid w:val="00474896"/>
    <w:rsid w:val="00475E79"/>
    <w:rsid w:val="00476B19"/>
    <w:rsid w:val="00476C08"/>
    <w:rsid w:val="004771B7"/>
    <w:rsid w:val="0047789A"/>
    <w:rsid w:val="00477AEE"/>
    <w:rsid w:val="00480BEA"/>
    <w:rsid w:val="0048100A"/>
    <w:rsid w:val="004811CE"/>
    <w:rsid w:val="00483334"/>
    <w:rsid w:val="004834B7"/>
    <w:rsid w:val="004834FC"/>
    <w:rsid w:val="00483779"/>
    <w:rsid w:val="0048380E"/>
    <w:rsid w:val="0048390D"/>
    <w:rsid w:val="00484297"/>
    <w:rsid w:val="0048585A"/>
    <w:rsid w:val="00485C57"/>
    <w:rsid w:val="00486665"/>
    <w:rsid w:val="0048668C"/>
    <w:rsid w:val="00486971"/>
    <w:rsid w:val="00486BE3"/>
    <w:rsid w:val="00486E76"/>
    <w:rsid w:val="00486FDB"/>
    <w:rsid w:val="00486FF5"/>
    <w:rsid w:val="0048777A"/>
    <w:rsid w:val="00487D91"/>
    <w:rsid w:val="0049021D"/>
    <w:rsid w:val="00490395"/>
    <w:rsid w:val="004903B3"/>
    <w:rsid w:val="00490572"/>
    <w:rsid w:val="0049137F"/>
    <w:rsid w:val="00491ECF"/>
    <w:rsid w:val="0049210A"/>
    <w:rsid w:val="00492379"/>
    <w:rsid w:val="004923EB"/>
    <w:rsid w:val="0049240B"/>
    <w:rsid w:val="0049342D"/>
    <w:rsid w:val="0049420B"/>
    <w:rsid w:val="0049474F"/>
    <w:rsid w:val="00494AE1"/>
    <w:rsid w:val="004952E3"/>
    <w:rsid w:val="004954D4"/>
    <w:rsid w:val="00496760"/>
    <w:rsid w:val="00497316"/>
    <w:rsid w:val="00497C0D"/>
    <w:rsid w:val="00497CF7"/>
    <w:rsid w:val="004A17E0"/>
    <w:rsid w:val="004A2624"/>
    <w:rsid w:val="004A35BA"/>
    <w:rsid w:val="004A57F6"/>
    <w:rsid w:val="004A5A2F"/>
    <w:rsid w:val="004A613F"/>
    <w:rsid w:val="004A7342"/>
    <w:rsid w:val="004A7377"/>
    <w:rsid w:val="004A739B"/>
    <w:rsid w:val="004B0D97"/>
    <w:rsid w:val="004B106A"/>
    <w:rsid w:val="004B23ED"/>
    <w:rsid w:val="004B2F6D"/>
    <w:rsid w:val="004B31ED"/>
    <w:rsid w:val="004B3377"/>
    <w:rsid w:val="004B394F"/>
    <w:rsid w:val="004B3D81"/>
    <w:rsid w:val="004B41C3"/>
    <w:rsid w:val="004B4BB1"/>
    <w:rsid w:val="004C0ACB"/>
    <w:rsid w:val="004C0CB3"/>
    <w:rsid w:val="004C0EB6"/>
    <w:rsid w:val="004C1432"/>
    <w:rsid w:val="004C2FCD"/>
    <w:rsid w:val="004C39F3"/>
    <w:rsid w:val="004C3ECD"/>
    <w:rsid w:val="004C4576"/>
    <w:rsid w:val="004C48CE"/>
    <w:rsid w:val="004C5E86"/>
    <w:rsid w:val="004C641B"/>
    <w:rsid w:val="004C67CB"/>
    <w:rsid w:val="004C7081"/>
    <w:rsid w:val="004C7EFC"/>
    <w:rsid w:val="004D0505"/>
    <w:rsid w:val="004D05C8"/>
    <w:rsid w:val="004D0B18"/>
    <w:rsid w:val="004D0DD0"/>
    <w:rsid w:val="004D194A"/>
    <w:rsid w:val="004D1A0B"/>
    <w:rsid w:val="004D2808"/>
    <w:rsid w:val="004D4A2C"/>
    <w:rsid w:val="004D5124"/>
    <w:rsid w:val="004D5E8F"/>
    <w:rsid w:val="004D7611"/>
    <w:rsid w:val="004E11D8"/>
    <w:rsid w:val="004E22AA"/>
    <w:rsid w:val="004E2945"/>
    <w:rsid w:val="004E3225"/>
    <w:rsid w:val="004E40FD"/>
    <w:rsid w:val="004E43D9"/>
    <w:rsid w:val="004E4C79"/>
    <w:rsid w:val="004E505A"/>
    <w:rsid w:val="004E58BC"/>
    <w:rsid w:val="004E6043"/>
    <w:rsid w:val="004E72DE"/>
    <w:rsid w:val="004E7417"/>
    <w:rsid w:val="004E7689"/>
    <w:rsid w:val="004F02C6"/>
    <w:rsid w:val="004F4B9A"/>
    <w:rsid w:val="004F4D40"/>
    <w:rsid w:val="004F4D6A"/>
    <w:rsid w:val="004F5900"/>
    <w:rsid w:val="004F5FF4"/>
    <w:rsid w:val="004F6A3E"/>
    <w:rsid w:val="004F706D"/>
    <w:rsid w:val="004F7483"/>
    <w:rsid w:val="004F7758"/>
    <w:rsid w:val="0050077F"/>
    <w:rsid w:val="00500DEF"/>
    <w:rsid w:val="00501CB0"/>
    <w:rsid w:val="00502D50"/>
    <w:rsid w:val="00507DB5"/>
    <w:rsid w:val="00510256"/>
    <w:rsid w:val="0051107A"/>
    <w:rsid w:val="00511BBB"/>
    <w:rsid w:val="00512339"/>
    <w:rsid w:val="005128CD"/>
    <w:rsid w:val="005129C3"/>
    <w:rsid w:val="005133E4"/>
    <w:rsid w:val="005136B3"/>
    <w:rsid w:val="00513906"/>
    <w:rsid w:val="00513BF3"/>
    <w:rsid w:val="005143A8"/>
    <w:rsid w:val="005143EF"/>
    <w:rsid w:val="0051489E"/>
    <w:rsid w:val="00514AFF"/>
    <w:rsid w:val="00516517"/>
    <w:rsid w:val="005175EF"/>
    <w:rsid w:val="005179A1"/>
    <w:rsid w:val="00517EE8"/>
    <w:rsid w:val="00521191"/>
    <w:rsid w:val="005218C3"/>
    <w:rsid w:val="00521951"/>
    <w:rsid w:val="00522159"/>
    <w:rsid w:val="00522A76"/>
    <w:rsid w:val="00524378"/>
    <w:rsid w:val="0052483D"/>
    <w:rsid w:val="00525619"/>
    <w:rsid w:val="00525623"/>
    <w:rsid w:val="0052604A"/>
    <w:rsid w:val="0052767B"/>
    <w:rsid w:val="00530E84"/>
    <w:rsid w:val="00530F36"/>
    <w:rsid w:val="00531978"/>
    <w:rsid w:val="00531FB5"/>
    <w:rsid w:val="00533B3B"/>
    <w:rsid w:val="005353EA"/>
    <w:rsid w:val="005358C4"/>
    <w:rsid w:val="005367D5"/>
    <w:rsid w:val="00536835"/>
    <w:rsid w:val="00536FF5"/>
    <w:rsid w:val="00537E35"/>
    <w:rsid w:val="00537FF5"/>
    <w:rsid w:val="00540A1E"/>
    <w:rsid w:val="00540D4C"/>
    <w:rsid w:val="0054188D"/>
    <w:rsid w:val="00541BE6"/>
    <w:rsid w:val="00542950"/>
    <w:rsid w:val="00542FFC"/>
    <w:rsid w:val="00543D20"/>
    <w:rsid w:val="00543E70"/>
    <w:rsid w:val="00543F37"/>
    <w:rsid w:val="00545AD4"/>
    <w:rsid w:val="005461C0"/>
    <w:rsid w:val="00547B1C"/>
    <w:rsid w:val="00550399"/>
    <w:rsid w:val="005504BC"/>
    <w:rsid w:val="00551791"/>
    <w:rsid w:val="00552EB3"/>
    <w:rsid w:val="00553AA5"/>
    <w:rsid w:val="00554025"/>
    <w:rsid w:val="005543E0"/>
    <w:rsid w:val="005545E0"/>
    <w:rsid w:val="00555259"/>
    <w:rsid w:val="005556B2"/>
    <w:rsid w:val="0055613D"/>
    <w:rsid w:val="00561459"/>
    <w:rsid w:val="00561B12"/>
    <w:rsid w:val="0056204C"/>
    <w:rsid w:val="00562433"/>
    <w:rsid w:val="00562F0E"/>
    <w:rsid w:val="0056408A"/>
    <w:rsid w:val="005647C8"/>
    <w:rsid w:val="005651C8"/>
    <w:rsid w:val="00565D72"/>
    <w:rsid w:val="00565F80"/>
    <w:rsid w:val="005660FD"/>
    <w:rsid w:val="00566163"/>
    <w:rsid w:val="005672B5"/>
    <w:rsid w:val="00567A3D"/>
    <w:rsid w:val="005700FC"/>
    <w:rsid w:val="0057028A"/>
    <w:rsid w:val="00570AA6"/>
    <w:rsid w:val="005710A4"/>
    <w:rsid w:val="00571660"/>
    <w:rsid w:val="00571D8B"/>
    <w:rsid w:val="0057283B"/>
    <w:rsid w:val="0057367E"/>
    <w:rsid w:val="00575914"/>
    <w:rsid w:val="005759AA"/>
    <w:rsid w:val="00575B51"/>
    <w:rsid w:val="00576178"/>
    <w:rsid w:val="0057789C"/>
    <w:rsid w:val="005778DD"/>
    <w:rsid w:val="005819C5"/>
    <w:rsid w:val="005824E9"/>
    <w:rsid w:val="005837BD"/>
    <w:rsid w:val="0058464C"/>
    <w:rsid w:val="00584756"/>
    <w:rsid w:val="005855FB"/>
    <w:rsid w:val="005860FD"/>
    <w:rsid w:val="00586FA1"/>
    <w:rsid w:val="00587725"/>
    <w:rsid w:val="00587EE4"/>
    <w:rsid w:val="00590091"/>
    <w:rsid w:val="0059044C"/>
    <w:rsid w:val="0059072C"/>
    <w:rsid w:val="005915D6"/>
    <w:rsid w:val="00591A40"/>
    <w:rsid w:val="00591C6B"/>
    <w:rsid w:val="00591F96"/>
    <w:rsid w:val="005943D4"/>
    <w:rsid w:val="00594F37"/>
    <w:rsid w:val="005958EE"/>
    <w:rsid w:val="00597441"/>
    <w:rsid w:val="005A0888"/>
    <w:rsid w:val="005A1AFE"/>
    <w:rsid w:val="005A1B76"/>
    <w:rsid w:val="005A25AB"/>
    <w:rsid w:val="005A2A13"/>
    <w:rsid w:val="005A2F63"/>
    <w:rsid w:val="005A2F6F"/>
    <w:rsid w:val="005A3581"/>
    <w:rsid w:val="005A4182"/>
    <w:rsid w:val="005A573D"/>
    <w:rsid w:val="005A59F4"/>
    <w:rsid w:val="005A5B9A"/>
    <w:rsid w:val="005A5C27"/>
    <w:rsid w:val="005A5EEE"/>
    <w:rsid w:val="005A6B9B"/>
    <w:rsid w:val="005A7708"/>
    <w:rsid w:val="005B0440"/>
    <w:rsid w:val="005B0F17"/>
    <w:rsid w:val="005B368D"/>
    <w:rsid w:val="005B3C6F"/>
    <w:rsid w:val="005B3E85"/>
    <w:rsid w:val="005B50B8"/>
    <w:rsid w:val="005B5B2D"/>
    <w:rsid w:val="005B5B7C"/>
    <w:rsid w:val="005B5BFC"/>
    <w:rsid w:val="005B6903"/>
    <w:rsid w:val="005B74C3"/>
    <w:rsid w:val="005B7C09"/>
    <w:rsid w:val="005C138B"/>
    <w:rsid w:val="005C1BFC"/>
    <w:rsid w:val="005C2060"/>
    <w:rsid w:val="005C2C7A"/>
    <w:rsid w:val="005C3F96"/>
    <w:rsid w:val="005C489D"/>
    <w:rsid w:val="005C4C7B"/>
    <w:rsid w:val="005C59CE"/>
    <w:rsid w:val="005C5F99"/>
    <w:rsid w:val="005C62DC"/>
    <w:rsid w:val="005C6529"/>
    <w:rsid w:val="005C6852"/>
    <w:rsid w:val="005C6C2F"/>
    <w:rsid w:val="005C753C"/>
    <w:rsid w:val="005C7B33"/>
    <w:rsid w:val="005C7B4C"/>
    <w:rsid w:val="005D027D"/>
    <w:rsid w:val="005D1428"/>
    <w:rsid w:val="005D1758"/>
    <w:rsid w:val="005D1B1B"/>
    <w:rsid w:val="005D1F76"/>
    <w:rsid w:val="005D1FFE"/>
    <w:rsid w:val="005D2126"/>
    <w:rsid w:val="005D25EC"/>
    <w:rsid w:val="005D2ABC"/>
    <w:rsid w:val="005D2D13"/>
    <w:rsid w:val="005D48B5"/>
    <w:rsid w:val="005D494D"/>
    <w:rsid w:val="005D4D53"/>
    <w:rsid w:val="005D4D80"/>
    <w:rsid w:val="005D51D0"/>
    <w:rsid w:val="005D5383"/>
    <w:rsid w:val="005D54CA"/>
    <w:rsid w:val="005D5717"/>
    <w:rsid w:val="005D5CD7"/>
    <w:rsid w:val="005D5F06"/>
    <w:rsid w:val="005D6827"/>
    <w:rsid w:val="005D7D4E"/>
    <w:rsid w:val="005D7FB3"/>
    <w:rsid w:val="005E038B"/>
    <w:rsid w:val="005E1543"/>
    <w:rsid w:val="005E18EB"/>
    <w:rsid w:val="005E1D1F"/>
    <w:rsid w:val="005E20BF"/>
    <w:rsid w:val="005E2179"/>
    <w:rsid w:val="005E2589"/>
    <w:rsid w:val="005E2647"/>
    <w:rsid w:val="005E28CB"/>
    <w:rsid w:val="005E3EFB"/>
    <w:rsid w:val="005E471F"/>
    <w:rsid w:val="005E56E6"/>
    <w:rsid w:val="005E61ED"/>
    <w:rsid w:val="005E6331"/>
    <w:rsid w:val="005E7AA9"/>
    <w:rsid w:val="005E7E85"/>
    <w:rsid w:val="005F02A2"/>
    <w:rsid w:val="005F128A"/>
    <w:rsid w:val="005F1373"/>
    <w:rsid w:val="005F3020"/>
    <w:rsid w:val="005F3A49"/>
    <w:rsid w:val="005F3C6A"/>
    <w:rsid w:val="005F3DE4"/>
    <w:rsid w:val="005F4085"/>
    <w:rsid w:val="005F4762"/>
    <w:rsid w:val="005F70AA"/>
    <w:rsid w:val="005F77E4"/>
    <w:rsid w:val="00600B02"/>
    <w:rsid w:val="00600D22"/>
    <w:rsid w:val="00601444"/>
    <w:rsid w:val="006025A4"/>
    <w:rsid w:val="006029A4"/>
    <w:rsid w:val="00602EF3"/>
    <w:rsid w:val="006036FD"/>
    <w:rsid w:val="006049B0"/>
    <w:rsid w:val="006059D2"/>
    <w:rsid w:val="00605BD2"/>
    <w:rsid w:val="00607546"/>
    <w:rsid w:val="006109F6"/>
    <w:rsid w:val="00610B69"/>
    <w:rsid w:val="0061177B"/>
    <w:rsid w:val="006124DB"/>
    <w:rsid w:val="0061276B"/>
    <w:rsid w:val="006128E8"/>
    <w:rsid w:val="00612B10"/>
    <w:rsid w:val="0061362E"/>
    <w:rsid w:val="0061404B"/>
    <w:rsid w:val="00614DB1"/>
    <w:rsid w:val="00615341"/>
    <w:rsid w:val="006160BF"/>
    <w:rsid w:val="0061616D"/>
    <w:rsid w:val="006163AE"/>
    <w:rsid w:val="00616ADA"/>
    <w:rsid w:val="006175A7"/>
    <w:rsid w:val="0062056B"/>
    <w:rsid w:val="00620DE4"/>
    <w:rsid w:val="006220FA"/>
    <w:rsid w:val="006239C7"/>
    <w:rsid w:val="00623BE6"/>
    <w:rsid w:val="00623FF9"/>
    <w:rsid w:val="0062404B"/>
    <w:rsid w:val="006243AD"/>
    <w:rsid w:val="0062454B"/>
    <w:rsid w:val="006252C6"/>
    <w:rsid w:val="0062576C"/>
    <w:rsid w:val="00626033"/>
    <w:rsid w:val="00627865"/>
    <w:rsid w:val="006278E6"/>
    <w:rsid w:val="0063006A"/>
    <w:rsid w:val="00630347"/>
    <w:rsid w:val="00630505"/>
    <w:rsid w:val="00630922"/>
    <w:rsid w:val="00630E11"/>
    <w:rsid w:val="00630F64"/>
    <w:rsid w:val="0063103F"/>
    <w:rsid w:val="00631143"/>
    <w:rsid w:val="00631459"/>
    <w:rsid w:val="00631C17"/>
    <w:rsid w:val="0063248E"/>
    <w:rsid w:val="006324CB"/>
    <w:rsid w:val="00632CF0"/>
    <w:rsid w:val="00632E7D"/>
    <w:rsid w:val="006331B0"/>
    <w:rsid w:val="0063415D"/>
    <w:rsid w:val="00634539"/>
    <w:rsid w:val="006345B2"/>
    <w:rsid w:val="006351F1"/>
    <w:rsid w:val="006360DB"/>
    <w:rsid w:val="00636B85"/>
    <w:rsid w:val="006375CA"/>
    <w:rsid w:val="00643DC9"/>
    <w:rsid w:val="00644587"/>
    <w:rsid w:val="00644887"/>
    <w:rsid w:val="006460B7"/>
    <w:rsid w:val="006460B8"/>
    <w:rsid w:val="0064646B"/>
    <w:rsid w:val="00646B10"/>
    <w:rsid w:val="0064759D"/>
    <w:rsid w:val="006479EF"/>
    <w:rsid w:val="00650085"/>
    <w:rsid w:val="00650392"/>
    <w:rsid w:val="00650A8F"/>
    <w:rsid w:val="006514A3"/>
    <w:rsid w:val="006525FC"/>
    <w:rsid w:val="006529AA"/>
    <w:rsid w:val="006540C4"/>
    <w:rsid w:val="00654707"/>
    <w:rsid w:val="0065591D"/>
    <w:rsid w:val="006560F3"/>
    <w:rsid w:val="0066010E"/>
    <w:rsid w:val="0066039D"/>
    <w:rsid w:val="00660D00"/>
    <w:rsid w:val="00661206"/>
    <w:rsid w:val="00664020"/>
    <w:rsid w:val="0066470B"/>
    <w:rsid w:val="00664D23"/>
    <w:rsid w:val="00666435"/>
    <w:rsid w:val="0066658E"/>
    <w:rsid w:val="006668D8"/>
    <w:rsid w:val="00666D5A"/>
    <w:rsid w:val="006672E3"/>
    <w:rsid w:val="00667656"/>
    <w:rsid w:val="00667874"/>
    <w:rsid w:val="00670051"/>
    <w:rsid w:val="006703EE"/>
    <w:rsid w:val="00670523"/>
    <w:rsid w:val="00670587"/>
    <w:rsid w:val="006707CF"/>
    <w:rsid w:val="00671EF8"/>
    <w:rsid w:val="00672D7A"/>
    <w:rsid w:val="00672E10"/>
    <w:rsid w:val="0067419C"/>
    <w:rsid w:val="00674289"/>
    <w:rsid w:val="00675794"/>
    <w:rsid w:val="006765F9"/>
    <w:rsid w:val="00680333"/>
    <w:rsid w:val="006806DD"/>
    <w:rsid w:val="00680E08"/>
    <w:rsid w:val="00681DA9"/>
    <w:rsid w:val="006822C8"/>
    <w:rsid w:val="00683C7D"/>
    <w:rsid w:val="00684378"/>
    <w:rsid w:val="00684C8F"/>
    <w:rsid w:val="006856D8"/>
    <w:rsid w:val="00686D1E"/>
    <w:rsid w:val="00686E4E"/>
    <w:rsid w:val="00686E84"/>
    <w:rsid w:val="00687CD0"/>
    <w:rsid w:val="00687F36"/>
    <w:rsid w:val="00690C0D"/>
    <w:rsid w:val="006915C5"/>
    <w:rsid w:val="00691E0E"/>
    <w:rsid w:val="00692151"/>
    <w:rsid w:val="00692678"/>
    <w:rsid w:val="00692B5D"/>
    <w:rsid w:val="00693E90"/>
    <w:rsid w:val="00694365"/>
    <w:rsid w:val="0069437A"/>
    <w:rsid w:val="00695011"/>
    <w:rsid w:val="00696392"/>
    <w:rsid w:val="00696E76"/>
    <w:rsid w:val="00697198"/>
    <w:rsid w:val="00697AE2"/>
    <w:rsid w:val="006A01D7"/>
    <w:rsid w:val="006A0248"/>
    <w:rsid w:val="006A1FB6"/>
    <w:rsid w:val="006A424B"/>
    <w:rsid w:val="006A59FE"/>
    <w:rsid w:val="006A6EF2"/>
    <w:rsid w:val="006A7B6C"/>
    <w:rsid w:val="006A7D9C"/>
    <w:rsid w:val="006B16CD"/>
    <w:rsid w:val="006B2299"/>
    <w:rsid w:val="006B22CB"/>
    <w:rsid w:val="006B2AB9"/>
    <w:rsid w:val="006B2C36"/>
    <w:rsid w:val="006B4C20"/>
    <w:rsid w:val="006B5FC7"/>
    <w:rsid w:val="006B664F"/>
    <w:rsid w:val="006B6A9F"/>
    <w:rsid w:val="006B72DC"/>
    <w:rsid w:val="006C0489"/>
    <w:rsid w:val="006C0DF1"/>
    <w:rsid w:val="006C19FF"/>
    <w:rsid w:val="006C4152"/>
    <w:rsid w:val="006C491F"/>
    <w:rsid w:val="006C4B0D"/>
    <w:rsid w:val="006C4BC5"/>
    <w:rsid w:val="006C5C95"/>
    <w:rsid w:val="006C70ED"/>
    <w:rsid w:val="006D00C7"/>
    <w:rsid w:val="006D045D"/>
    <w:rsid w:val="006D04E7"/>
    <w:rsid w:val="006D05F8"/>
    <w:rsid w:val="006D17A3"/>
    <w:rsid w:val="006D20BF"/>
    <w:rsid w:val="006D219A"/>
    <w:rsid w:val="006D2FB2"/>
    <w:rsid w:val="006D2FCF"/>
    <w:rsid w:val="006D3126"/>
    <w:rsid w:val="006D3407"/>
    <w:rsid w:val="006D34ED"/>
    <w:rsid w:val="006D3648"/>
    <w:rsid w:val="006D44D3"/>
    <w:rsid w:val="006D485A"/>
    <w:rsid w:val="006D49F8"/>
    <w:rsid w:val="006D526E"/>
    <w:rsid w:val="006D52C6"/>
    <w:rsid w:val="006D5511"/>
    <w:rsid w:val="006D5ED9"/>
    <w:rsid w:val="006D64A8"/>
    <w:rsid w:val="006D68FE"/>
    <w:rsid w:val="006D6F0C"/>
    <w:rsid w:val="006E02C8"/>
    <w:rsid w:val="006E0832"/>
    <w:rsid w:val="006E11C5"/>
    <w:rsid w:val="006E16A0"/>
    <w:rsid w:val="006E2139"/>
    <w:rsid w:val="006E24C9"/>
    <w:rsid w:val="006E2E58"/>
    <w:rsid w:val="006E2E96"/>
    <w:rsid w:val="006E31DC"/>
    <w:rsid w:val="006E3730"/>
    <w:rsid w:val="006E41D2"/>
    <w:rsid w:val="006E4ADC"/>
    <w:rsid w:val="006E4E71"/>
    <w:rsid w:val="006E5B1C"/>
    <w:rsid w:val="006E643C"/>
    <w:rsid w:val="006E6CC3"/>
    <w:rsid w:val="006E6D12"/>
    <w:rsid w:val="006E6F1E"/>
    <w:rsid w:val="006F01DD"/>
    <w:rsid w:val="006F0832"/>
    <w:rsid w:val="006F0885"/>
    <w:rsid w:val="006F10FB"/>
    <w:rsid w:val="006F1799"/>
    <w:rsid w:val="006F1912"/>
    <w:rsid w:val="006F1CC3"/>
    <w:rsid w:val="006F22ED"/>
    <w:rsid w:val="006F2309"/>
    <w:rsid w:val="006F3F20"/>
    <w:rsid w:val="006F4D78"/>
    <w:rsid w:val="006F511E"/>
    <w:rsid w:val="006F5CBA"/>
    <w:rsid w:val="006F5D72"/>
    <w:rsid w:val="0070011D"/>
    <w:rsid w:val="00700807"/>
    <w:rsid w:val="007020CC"/>
    <w:rsid w:val="00702538"/>
    <w:rsid w:val="007025D9"/>
    <w:rsid w:val="0070369D"/>
    <w:rsid w:val="00704431"/>
    <w:rsid w:val="007052B7"/>
    <w:rsid w:val="00705A09"/>
    <w:rsid w:val="00707138"/>
    <w:rsid w:val="00707B39"/>
    <w:rsid w:val="00710360"/>
    <w:rsid w:val="00710614"/>
    <w:rsid w:val="00711266"/>
    <w:rsid w:val="00711680"/>
    <w:rsid w:val="00711B31"/>
    <w:rsid w:val="007145DC"/>
    <w:rsid w:val="00714CC3"/>
    <w:rsid w:val="00715BB2"/>
    <w:rsid w:val="00716505"/>
    <w:rsid w:val="0072002A"/>
    <w:rsid w:val="0072015A"/>
    <w:rsid w:val="00720230"/>
    <w:rsid w:val="00720865"/>
    <w:rsid w:val="00721A54"/>
    <w:rsid w:val="00723121"/>
    <w:rsid w:val="007232E0"/>
    <w:rsid w:val="00723327"/>
    <w:rsid w:val="007249B2"/>
    <w:rsid w:val="00724A9A"/>
    <w:rsid w:val="00725142"/>
    <w:rsid w:val="00725BBB"/>
    <w:rsid w:val="007264D2"/>
    <w:rsid w:val="00726A78"/>
    <w:rsid w:val="00726CEC"/>
    <w:rsid w:val="007270F4"/>
    <w:rsid w:val="0073022D"/>
    <w:rsid w:val="00731276"/>
    <w:rsid w:val="007324F0"/>
    <w:rsid w:val="007326DF"/>
    <w:rsid w:val="007331CE"/>
    <w:rsid w:val="00733729"/>
    <w:rsid w:val="00733D36"/>
    <w:rsid w:val="007340FB"/>
    <w:rsid w:val="00737B21"/>
    <w:rsid w:val="00737EBF"/>
    <w:rsid w:val="007408CB"/>
    <w:rsid w:val="00740F2A"/>
    <w:rsid w:val="007414D0"/>
    <w:rsid w:val="00742148"/>
    <w:rsid w:val="0074312B"/>
    <w:rsid w:val="007443F6"/>
    <w:rsid w:val="007453B6"/>
    <w:rsid w:val="007458FA"/>
    <w:rsid w:val="00745C49"/>
    <w:rsid w:val="007467DE"/>
    <w:rsid w:val="00746DB7"/>
    <w:rsid w:val="00746E7D"/>
    <w:rsid w:val="00747710"/>
    <w:rsid w:val="00747CDC"/>
    <w:rsid w:val="00747E84"/>
    <w:rsid w:val="00750ADF"/>
    <w:rsid w:val="00751B62"/>
    <w:rsid w:val="0075313E"/>
    <w:rsid w:val="00753357"/>
    <w:rsid w:val="00753F45"/>
    <w:rsid w:val="00755256"/>
    <w:rsid w:val="007552CC"/>
    <w:rsid w:val="00755665"/>
    <w:rsid w:val="00755907"/>
    <w:rsid w:val="007562DA"/>
    <w:rsid w:val="0075756B"/>
    <w:rsid w:val="00757C70"/>
    <w:rsid w:val="0076059A"/>
    <w:rsid w:val="007627D2"/>
    <w:rsid w:val="00762C7C"/>
    <w:rsid w:val="00762FBE"/>
    <w:rsid w:val="007634A9"/>
    <w:rsid w:val="0076356B"/>
    <w:rsid w:val="00763CEF"/>
    <w:rsid w:val="007651EA"/>
    <w:rsid w:val="007664E4"/>
    <w:rsid w:val="00766A7A"/>
    <w:rsid w:val="00771BAB"/>
    <w:rsid w:val="00771C54"/>
    <w:rsid w:val="007734F5"/>
    <w:rsid w:val="0077362D"/>
    <w:rsid w:val="007740BD"/>
    <w:rsid w:val="007747BE"/>
    <w:rsid w:val="00775886"/>
    <w:rsid w:val="00775DFA"/>
    <w:rsid w:val="007768DF"/>
    <w:rsid w:val="007768FB"/>
    <w:rsid w:val="00776F99"/>
    <w:rsid w:val="00777C67"/>
    <w:rsid w:val="007802AD"/>
    <w:rsid w:val="0078047F"/>
    <w:rsid w:val="00780E29"/>
    <w:rsid w:val="00781203"/>
    <w:rsid w:val="00781312"/>
    <w:rsid w:val="00781CA6"/>
    <w:rsid w:val="00781F73"/>
    <w:rsid w:val="00782FF3"/>
    <w:rsid w:val="00783189"/>
    <w:rsid w:val="00783766"/>
    <w:rsid w:val="007845E1"/>
    <w:rsid w:val="00784ACA"/>
    <w:rsid w:val="00784B67"/>
    <w:rsid w:val="00784C55"/>
    <w:rsid w:val="00785339"/>
    <w:rsid w:val="007854C6"/>
    <w:rsid w:val="00785927"/>
    <w:rsid w:val="00785982"/>
    <w:rsid w:val="00785B2E"/>
    <w:rsid w:val="00786AAE"/>
    <w:rsid w:val="00786BCB"/>
    <w:rsid w:val="0078743C"/>
    <w:rsid w:val="00787686"/>
    <w:rsid w:val="00787850"/>
    <w:rsid w:val="00787E50"/>
    <w:rsid w:val="0079063F"/>
    <w:rsid w:val="00792B0A"/>
    <w:rsid w:val="00793D12"/>
    <w:rsid w:val="00793D9F"/>
    <w:rsid w:val="00794DAB"/>
    <w:rsid w:val="007955D1"/>
    <w:rsid w:val="00795EF2"/>
    <w:rsid w:val="007968B8"/>
    <w:rsid w:val="00796B1B"/>
    <w:rsid w:val="0079783F"/>
    <w:rsid w:val="007A0B2C"/>
    <w:rsid w:val="007A0FEC"/>
    <w:rsid w:val="007A12C9"/>
    <w:rsid w:val="007A1785"/>
    <w:rsid w:val="007A17BB"/>
    <w:rsid w:val="007A272C"/>
    <w:rsid w:val="007A275A"/>
    <w:rsid w:val="007A2B3E"/>
    <w:rsid w:val="007A2EE6"/>
    <w:rsid w:val="007A440E"/>
    <w:rsid w:val="007A584C"/>
    <w:rsid w:val="007A59FB"/>
    <w:rsid w:val="007A60B2"/>
    <w:rsid w:val="007A682C"/>
    <w:rsid w:val="007A6B11"/>
    <w:rsid w:val="007A6C48"/>
    <w:rsid w:val="007A6EEF"/>
    <w:rsid w:val="007A71AC"/>
    <w:rsid w:val="007A78F3"/>
    <w:rsid w:val="007A7AF1"/>
    <w:rsid w:val="007B18D0"/>
    <w:rsid w:val="007B1F3E"/>
    <w:rsid w:val="007B21AB"/>
    <w:rsid w:val="007B2E9D"/>
    <w:rsid w:val="007B37EE"/>
    <w:rsid w:val="007B3BE5"/>
    <w:rsid w:val="007B4080"/>
    <w:rsid w:val="007B4463"/>
    <w:rsid w:val="007B5E8E"/>
    <w:rsid w:val="007B6843"/>
    <w:rsid w:val="007B6FC1"/>
    <w:rsid w:val="007B7D25"/>
    <w:rsid w:val="007C0155"/>
    <w:rsid w:val="007C0A36"/>
    <w:rsid w:val="007C0B6B"/>
    <w:rsid w:val="007C0D75"/>
    <w:rsid w:val="007C126B"/>
    <w:rsid w:val="007C13B8"/>
    <w:rsid w:val="007C1C19"/>
    <w:rsid w:val="007C241A"/>
    <w:rsid w:val="007C2617"/>
    <w:rsid w:val="007C2B88"/>
    <w:rsid w:val="007C2FE3"/>
    <w:rsid w:val="007C3072"/>
    <w:rsid w:val="007C35A9"/>
    <w:rsid w:val="007C38C6"/>
    <w:rsid w:val="007C4D6B"/>
    <w:rsid w:val="007C4FEE"/>
    <w:rsid w:val="007C68B5"/>
    <w:rsid w:val="007C6A83"/>
    <w:rsid w:val="007C6BCE"/>
    <w:rsid w:val="007C79A2"/>
    <w:rsid w:val="007D13A9"/>
    <w:rsid w:val="007D1457"/>
    <w:rsid w:val="007D1D5D"/>
    <w:rsid w:val="007D2511"/>
    <w:rsid w:val="007D354A"/>
    <w:rsid w:val="007D41D8"/>
    <w:rsid w:val="007D4FDA"/>
    <w:rsid w:val="007D5AD8"/>
    <w:rsid w:val="007D6269"/>
    <w:rsid w:val="007D62F3"/>
    <w:rsid w:val="007D6425"/>
    <w:rsid w:val="007D7696"/>
    <w:rsid w:val="007E01D5"/>
    <w:rsid w:val="007E029E"/>
    <w:rsid w:val="007E054B"/>
    <w:rsid w:val="007E0933"/>
    <w:rsid w:val="007E120E"/>
    <w:rsid w:val="007E48CF"/>
    <w:rsid w:val="007F00FF"/>
    <w:rsid w:val="007F035B"/>
    <w:rsid w:val="007F1946"/>
    <w:rsid w:val="007F2D88"/>
    <w:rsid w:val="007F3086"/>
    <w:rsid w:val="007F31B2"/>
    <w:rsid w:val="007F34B6"/>
    <w:rsid w:val="007F352D"/>
    <w:rsid w:val="007F3C03"/>
    <w:rsid w:val="007F424C"/>
    <w:rsid w:val="007F446E"/>
    <w:rsid w:val="007F497E"/>
    <w:rsid w:val="007F520B"/>
    <w:rsid w:val="007F549E"/>
    <w:rsid w:val="007F58D9"/>
    <w:rsid w:val="007F607A"/>
    <w:rsid w:val="007F610F"/>
    <w:rsid w:val="007F6FB1"/>
    <w:rsid w:val="007F71DF"/>
    <w:rsid w:val="007F728F"/>
    <w:rsid w:val="007F7356"/>
    <w:rsid w:val="0080076A"/>
    <w:rsid w:val="00800BCA"/>
    <w:rsid w:val="00800F5F"/>
    <w:rsid w:val="00801EB3"/>
    <w:rsid w:val="00803052"/>
    <w:rsid w:val="008033C2"/>
    <w:rsid w:val="0080342B"/>
    <w:rsid w:val="00803AF3"/>
    <w:rsid w:val="00803DB8"/>
    <w:rsid w:val="00804AA4"/>
    <w:rsid w:val="00805D08"/>
    <w:rsid w:val="00805FBE"/>
    <w:rsid w:val="00806170"/>
    <w:rsid w:val="00806A19"/>
    <w:rsid w:val="00806A3A"/>
    <w:rsid w:val="00806C5E"/>
    <w:rsid w:val="00806FAF"/>
    <w:rsid w:val="00810570"/>
    <w:rsid w:val="00812232"/>
    <w:rsid w:val="00812AA1"/>
    <w:rsid w:val="008131FA"/>
    <w:rsid w:val="008133C0"/>
    <w:rsid w:val="0081379D"/>
    <w:rsid w:val="008139F6"/>
    <w:rsid w:val="00813F93"/>
    <w:rsid w:val="00814A3A"/>
    <w:rsid w:val="00815A3E"/>
    <w:rsid w:val="008164E8"/>
    <w:rsid w:val="00816813"/>
    <w:rsid w:val="008177EE"/>
    <w:rsid w:val="00820BED"/>
    <w:rsid w:val="0082106E"/>
    <w:rsid w:val="00821692"/>
    <w:rsid w:val="00821B54"/>
    <w:rsid w:val="00822091"/>
    <w:rsid w:val="00822725"/>
    <w:rsid w:val="00822A6D"/>
    <w:rsid w:val="00823311"/>
    <w:rsid w:val="00823AD4"/>
    <w:rsid w:val="00823C69"/>
    <w:rsid w:val="008246E3"/>
    <w:rsid w:val="00824B4D"/>
    <w:rsid w:val="00824FDB"/>
    <w:rsid w:val="008259CF"/>
    <w:rsid w:val="00825E35"/>
    <w:rsid w:val="0082711E"/>
    <w:rsid w:val="00827686"/>
    <w:rsid w:val="00827EC4"/>
    <w:rsid w:val="00830CC4"/>
    <w:rsid w:val="0083168B"/>
    <w:rsid w:val="00831D33"/>
    <w:rsid w:val="00832D88"/>
    <w:rsid w:val="00832F6E"/>
    <w:rsid w:val="0083338D"/>
    <w:rsid w:val="00833722"/>
    <w:rsid w:val="008337CF"/>
    <w:rsid w:val="00833FB6"/>
    <w:rsid w:val="00834BC3"/>
    <w:rsid w:val="008351A9"/>
    <w:rsid w:val="00835C31"/>
    <w:rsid w:val="00836E36"/>
    <w:rsid w:val="0084229B"/>
    <w:rsid w:val="008429DF"/>
    <w:rsid w:val="00842FE7"/>
    <w:rsid w:val="008440D9"/>
    <w:rsid w:val="00844277"/>
    <w:rsid w:val="0084429D"/>
    <w:rsid w:val="00844434"/>
    <w:rsid w:val="00844BB3"/>
    <w:rsid w:val="00844F3B"/>
    <w:rsid w:val="008455EF"/>
    <w:rsid w:val="00845891"/>
    <w:rsid w:val="00846631"/>
    <w:rsid w:val="0084695A"/>
    <w:rsid w:val="00846C69"/>
    <w:rsid w:val="00850E16"/>
    <w:rsid w:val="00852018"/>
    <w:rsid w:val="00852226"/>
    <w:rsid w:val="008532B5"/>
    <w:rsid w:val="008535F1"/>
    <w:rsid w:val="008543E8"/>
    <w:rsid w:val="00856121"/>
    <w:rsid w:val="008568B6"/>
    <w:rsid w:val="008601F9"/>
    <w:rsid w:val="00860AF0"/>
    <w:rsid w:val="008618B2"/>
    <w:rsid w:val="008626CE"/>
    <w:rsid w:val="00862760"/>
    <w:rsid w:val="0086401F"/>
    <w:rsid w:val="0086516E"/>
    <w:rsid w:val="00865E2A"/>
    <w:rsid w:val="00867A25"/>
    <w:rsid w:val="008700BA"/>
    <w:rsid w:val="00870472"/>
    <w:rsid w:val="00871AAF"/>
    <w:rsid w:val="00873666"/>
    <w:rsid w:val="0087426E"/>
    <w:rsid w:val="00874736"/>
    <w:rsid w:val="008748B4"/>
    <w:rsid w:val="00874D26"/>
    <w:rsid w:val="008751F6"/>
    <w:rsid w:val="00875CD5"/>
    <w:rsid w:val="008762F7"/>
    <w:rsid w:val="00876854"/>
    <w:rsid w:val="00876986"/>
    <w:rsid w:val="008769F5"/>
    <w:rsid w:val="00877649"/>
    <w:rsid w:val="0088025F"/>
    <w:rsid w:val="008804BC"/>
    <w:rsid w:val="008809E5"/>
    <w:rsid w:val="00880D1A"/>
    <w:rsid w:val="00880D91"/>
    <w:rsid w:val="00881D81"/>
    <w:rsid w:val="00881E2C"/>
    <w:rsid w:val="00882F2B"/>
    <w:rsid w:val="008831E3"/>
    <w:rsid w:val="00883566"/>
    <w:rsid w:val="008849FF"/>
    <w:rsid w:val="00884ED9"/>
    <w:rsid w:val="008859AC"/>
    <w:rsid w:val="00885A13"/>
    <w:rsid w:val="0088666D"/>
    <w:rsid w:val="008869C8"/>
    <w:rsid w:val="00886AC3"/>
    <w:rsid w:val="008917E0"/>
    <w:rsid w:val="00892274"/>
    <w:rsid w:val="00892D3A"/>
    <w:rsid w:val="008960B9"/>
    <w:rsid w:val="00896574"/>
    <w:rsid w:val="008979C1"/>
    <w:rsid w:val="00897D47"/>
    <w:rsid w:val="008A0025"/>
    <w:rsid w:val="008A026A"/>
    <w:rsid w:val="008A2094"/>
    <w:rsid w:val="008A2249"/>
    <w:rsid w:val="008A337D"/>
    <w:rsid w:val="008A338C"/>
    <w:rsid w:val="008A37BA"/>
    <w:rsid w:val="008A3C90"/>
    <w:rsid w:val="008A3DCB"/>
    <w:rsid w:val="008A4178"/>
    <w:rsid w:val="008A41C7"/>
    <w:rsid w:val="008A4E18"/>
    <w:rsid w:val="008A558F"/>
    <w:rsid w:val="008A571F"/>
    <w:rsid w:val="008A64F4"/>
    <w:rsid w:val="008A674D"/>
    <w:rsid w:val="008A6887"/>
    <w:rsid w:val="008A6F12"/>
    <w:rsid w:val="008A71EA"/>
    <w:rsid w:val="008A78EC"/>
    <w:rsid w:val="008A7991"/>
    <w:rsid w:val="008A7C07"/>
    <w:rsid w:val="008B0E67"/>
    <w:rsid w:val="008B11C9"/>
    <w:rsid w:val="008B155F"/>
    <w:rsid w:val="008B1863"/>
    <w:rsid w:val="008B1BC6"/>
    <w:rsid w:val="008B36C2"/>
    <w:rsid w:val="008B39DB"/>
    <w:rsid w:val="008B4898"/>
    <w:rsid w:val="008B5310"/>
    <w:rsid w:val="008B6B71"/>
    <w:rsid w:val="008C0158"/>
    <w:rsid w:val="008C174F"/>
    <w:rsid w:val="008C2344"/>
    <w:rsid w:val="008C26EF"/>
    <w:rsid w:val="008C2751"/>
    <w:rsid w:val="008C34F1"/>
    <w:rsid w:val="008C3F3A"/>
    <w:rsid w:val="008C419E"/>
    <w:rsid w:val="008C4465"/>
    <w:rsid w:val="008C4902"/>
    <w:rsid w:val="008C5042"/>
    <w:rsid w:val="008C5186"/>
    <w:rsid w:val="008C544B"/>
    <w:rsid w:val="008C7DED"/>
    <w:rsid w:val="008D122C"/>
    <w:rsid w:val="008D1581"/>
    <w:rsid w:val="008D1875"/>
    <w:rsid w:val="008D1BAD"/>
    <w:rsid w:val="008D1C55"/>
    <w:rsid w:val="008D33CA"/>
    <w:rsid w:val="008D33E2"/>
    <w:rsid w:val="008D4019"/>
    <w:rsid w:val="008D4C03"/>
    <w:rsid w:val="008D51F3"/>
    <w:rsid w:val="008D5A18"/>
    <w:rsid w:val="008D6922"/>
    <w:rsid w:val="008E051D"/>
    <w:rsid w:val="008E0F34"/>
    <w:rsid w:val="008E1668"/>
    <w:rsid w:val="008E1E03"/>
    <w:rsid w:val="008E2B3B"/>
    <w:rsid w:val="008E335B"/>
    <w:rsid w:val="008E341E"/>
    <w:rsid w:val="008E3688"/>
    <w:rsid w:val="008E4054"/>
    <w:rsid w:val="008E4A0D"/>
    <w:rsid w:val="008E5AD9"/>
    <w:rsid w:val="008E5B0F"/>
    <w:rsid w:val="008E5FDE"/>
    <w:rsid w:val="008E628D"/>
    <w:rsid w:val="008E679D"/>
    <w:rsid w:val="008E7142"/>
    <w:rsid w:val="008E7C8A"/>
    <w:rsid w:val="008F093F"/>
    <w:rsid w:val="008F0B2A"/>
    <w:rsid w:val="008F1B64"/>
    <w:rsid w:val="008F2A12"/>
    <w:rsid w:val="008F2B61"/>
    <w:rsid w:val="008F3767"/>
    <w:rsid w:val="008F431C"/>
    <w:rsid w:val="008F43B7"/>
    <w:rsid w:val="008F4901"/>
    <w:rsid w:val="008F5289"/>
    <w:rsid w:val="008F53D7"/>
    <w:rsid w:val="008F5430"/>
    <w:rsid w:val="008F6947"/>
    <w:rsid w:val="008F6AD8"/>
    <w:rsid w:val="008F79E8"/>
    <w:rsid w:val="008F7EF6"/>
    <w:rsid w:val="0090108A"/>
    <w:rsid w:val="00901219"/>
    <w:rsid w:val="00901BA6"/>
    <w:rsid w:val="009042CC"/>
    <w:rsid w:val="00904571"/>
    <w:rsid w:val="00905D10"/>
    <w:rsid w:val="00906134"/>
    <w:rsid w:val="00906C19"/>
    <w:rsid w:val="00907160"/>
    <w:rsid w:val="00907162"/>
    <w:rsid w:val="009076A8"/>
    <w:rsid w:val="00907EF2"/>
    <w:rsid w:val="00910D95"/>
    <w:rsid w:val="009127A4"/>
    <w:rsid w:val="00912AE9"/>
    <w:rsid w:val="00913D5F"/>
    <w:rsid w:val="00913FC6"/>
    <w:rsid w:val="00914A3B"/>
    <w:rsid w:val="009159B2"/>
    <w:rsid w:val="009161F1"/>
    <w:rsid w:val="0091695C"/>
    <w:rsid w:val="00916A3B"/>
    <w:rsid w:val="009172E0"/>
    <w:rsid w:val="009179D3"/>
    <w:rsid w:val="00917B96"/>
    <w:rsid w:val="00917F8F"/>
    <w:rsid w:val="00920195"/>
    <w:rsid w:val="00920A04"/>
    <w:rsid w:val="00920BBD"/>
    <w:rsid w:val="00921D13"/>
    <w:rsid w:val="009235FE"/>
    <w:rsid w:val="00924145"/>
    <w:rsid w:val="0092562E"/>
    <w:rsid w:val="00925876"/>
    <w:rsid w:val="0092646E"/>
    <w:rsid w:val="009310B5"/>
    <w:rsid w:val="00931611"/>
    <w:rsid w:val="00931668"/>
    <w:rsid w:val="009329AE"/>
    <w:rsid w:val="009332EF"/>
    <w:rsid w:val="00933C53"/>
    <w:rsid w:val="00934C83"/>
    <w:rsid w:val="009369AE"/>
    <w:rsid w:val="00941B11"/>
    <w:rsid w:val="009432BC"/>
    <w:rsid w:val="0094387D"/>
    <w:rsid w:val="009440B3"/>
    <w:rsid w:val="0094439D"/>
    <w:rsid w:val="00944AFA"/>
    <w:rsid w:val="00945650"/>
    <w:rsid w:val="00945FE2"/>
    <w:rsid w:val="0094621D"/>
    <w:rsid w:val="009470B8"/>
    <w:rsid w:val="00950727"/>
    <w:rsid w:val="009508E4"/>
    <w:rsid w:val="00951FDB"/>
    <w:rsid w:val="009522DA"/>
    <w:rsid w:val="00953E02"/>
    <w:rsid w:val="00954323"/>
    <w:rsid w:val="00954812"/>
    <w:rsid w:val="00954BC2"/>
    <w:rsid w:val="009567B8"/>
    <w:rsid w:val="00957E7E"/>
    <w:rsid w:val="00960D34"/>
    <w:rsid w:val="009611D2"/>
    <w:rsid w:val="0096202E"/>
    <w:rsid w:val="009621A0"/>
    <w:rsid w:val="00962BC2"/>
    <w:rsid w:val="00962CB8"/>
    <w:rsid w:val="00963D5E"/>
    <w:rsid w:val="00964224"/>
    <w:rsid w:val="0096439D"/>
    <w:rsid w:val="00964449"/>
    <w:rsid w:val="00964C1F"/>
    <w:rsid w:val="00965A56"/>
    <w:rsid w:val="00965E90"/>
    <w:rsid w:val="0096696A"/>
    <w:rsid w:val="00967201"/>
    <w:rsid w:val="0096725B"/>
    <w:rsid w:val="00967C74"/>
    <w:rsid w:val="00971FDA"/>
    <w:rsid w:val="009722A8"/>
    <w:rsid w:val="00972548"/>
    <w:rsid w:val="009725E4"/>
    <w:rsid w:val="009728FF"/>
    <w:rsid w:val="00974888"/>
    <w:rsid w:val="00974B47"/>
    <w:rsid w:val="00974D53"/>
    <w:rsid w:val="00974D5D"/>
    <w:rsid w:val="009760C4"/>
    <w:rsid w:val="00976E27"/>
    <w:rsid w:val="00977063"/>
    <w:rsid w:val="009772A5"/>
    <w:rsid w:val="00977550"/>
    <w:rsid w:val="00980763"/>
    <w:rsid w:val="00980B5D"/>
    <w:rsid w:val="00981173"/>
    <w:rsid w:val="00981A75"/>
    <w:rsid w:val="00981F83"/>
    <w:rsid w:val="00982885"/>
    <w:rsid w:val="00982F22"/>
    <w:rsid w:val="009841A8"/>
    <w:rsid w:val="0098444E"/>
    <w:rsid w:val="009868BE"/>
    <w:rsid w:val="00986B64"/>
    <w:rsid w:val="00986EFA"/>
    <w:rsid w:val="0098724F"/>
    <w:rsid w:val="009876A4"/>
    <w:rsid w:val="009917E9"/>
    <w:rsid w:val="0099198F"/>
    <w:rsid w:val="00992416"/>
    <w:rsid w:val="00993789"/>
    <w:rsid w:val="00994B4C"/>
    <w:rsid w:val="00994F61"/>
    <w:rsid w:val="00996057"/>
    <w:rsid w:val="00996394"/>
    <w:rsid w:val="00996C89"/>
    <w:rsid w:val="00996CB7"/>
    <w:rsid w:val="009970B7"/>
    <w:rsid w:val="009979B9"/>
    <w:rsid w:val="009A03C7"/>
    <w:rsid w:val="009A0703"/>
    <w:rsid w:val="009A1399"/>
    <w:rsid w:val="009A1B30"/>
    <w:rsid w:val="009A22FD"/>
    <w:rsid w:val="009A2ED6"/>
    <w:rsid w:val="009A31E7"/>
    <w:rsid w:val="009A4F7F"/>
    <w:rsid w:val="009A546A"/>
    <w:rsid w:val="009A621C"/>
    <w:rsid w:val="009A6656"/>
    <w:rsid w:val="009A6677"/>
    <w:rsid w:val="009A6C66"/>
    <w:rsid w:val="009A6EF9"/>
    <w:rsid w:val="009A7164"/>
    <w:rsid w:val="009A7BBC"/>
    <w:rsid w:val="009B0E67"/>
    <w:rsid w:val="009B1B01"/>
    <w:rsid w:val="009B1BA6"/>
    <w:rsid w:val="009B1E1C"/>
    <w:rsid w:val="009B27F1"/>
    <w:rsid w:val="009B2A11"/>
    <w:rsid w:val="009B5581"/>
    <w:rsid w:val="009B5940"/>
    <w:rsid w:val="009B5EB0"/>
    <w:rsid w:val="009B63ED"/>
    <w:rsid w:val="009B710D"/>
    <w:rsid w:val="009B72BD"/>
    <w:rsid w:val="009B73FB"/>
    <w:rsid w:val="009B7BE0"/>
    <w:rsid w:val="009C1B9C"/>
    <w:rsid w:val="009C3862"/>
    <w:rsid w:val="009C4171"/>
    <w:rsid w:val="009C475C"/>
    <w:rsid w:val="009C4A1D"/>
    <w:rsid w:val="009C4A4D"/>
    <w:rsid w:val="009C5878"/>
    <w:rsid w:val="009C60A5"/>
    <w:rsid w:val="009C6FF1"/>
    <w:rsid w:val="009C75C9"/>
    <w:rsid w:val="009C782D"/>
    <w:rsid w:val="009C7885"/>
    <w:rsid w:val="009D0963"/>
    <w:rsid w:val="009D1492"/>
    <w:rsid w:val="009D1640"/>
    <w:rsid w:val="009D169E"/>
    <w:rsid w:val="009D17E7"/>
    <w:rsid w:val="009D2602"/>
    <w:rsid w:val="009D2F34"/>
    <w:rsid w:val="009D3234"/>
    <w:rsid w:val="009D346D"/>
    <w:rsid w:val="009D41B7"/>
    <w:rsid w:val="009D4E59"/>
    <w:rsid w:val="009D50B5"/>
    <w:rsid w:val="009D5CA7"/>
    <w:rsid w:val="009D6053"/>
    <w:rsid w:val="009D6278"/>
    <w:rsid w:val="009D6474"/>
    <w:rsid w:val="009D65CD"/>
    <w:rsid w:val="009D6E2E"/>
    <w:rsid w:val="009D7047"/>
    <w:rsid w:val="009D7298"/>
    <w:rsid w:val="009D7C86"/>
    <w:rsid w:val="009E03C7"/>
    <w:rsid w:val="009E12B5"/>
    <w:rsid w:val="009E1E35"/>
    <w:rsid w:val="009E1F99"/>
    <w:rsid w:val="009E3C1C"/>
    <w:rsid w:val="009E3F6F"/>
    <w:rsid w:val="009E6ACB"/>
    <w:rsid w:val="009E6F32"/>
    <w:rsid w:val="009F1043"/>
    <w:rsid w:val="009F289D"/>
    <w:rsid w:val="009F2D78"/>
    <w:rsid w:val="009F36CA"/>
    <w:rsid w:val="009F4FE2"/>
    <w:rsid w:val="009F58F9"/>
    <w:rsid w:val="009F6167"/>
    <w:rsid w:val="009F752A"/>
    <w:rsid w:val="009F7595"/>
    <w:rsid w:val="009F7597"/>
    <w:rsid w:val="009F7F06"/>
    <w:rsid w:val="00A003BE"/>
    <w:rsid w:val="00A00EE1"/>
    <w:rsid w:val="00A022AB"/>
    <w:rsid w:val="00A02873"/>
    <w:rsid w:val="00A02B33"/>
    <w:rsid w:val="00A03435"/>
    <w:rsid w:val="00A03567"/>
    <w:rsid w:val="00A0385F"/>
    <w:rsid w:val="00A05CC3"/>
    <w:rsid w:val="00A06C2D"/>
    <w:rsid w:val="00A06DC2"/>
    <w:rsid w:val="00A07561"/>
    <w:rsid w:val="00A079D0"/>
    <w:rsid w:val="00A11132"/>
    <w:rsid w:val="00A11756"/>
    <w:rsid w:val="00A11969"/>
    <w:rsid w:val="00A12C95"/>
    <w:rsid w:val="00A12DE8"/>
    <w:rsid w:val="00A142B4"/>
    <w:rsid w:val="00A150C3"/>
    <w:rsid w:val="00A157B9"/>
    <w:rsid w:val="00A158FB"/>
    <w:rsid w:val="00A1601A"/>
    <w:rsid w:val="00A16AE2"/>
    <w:rsid w:val="00A1712E"/>
    <w:rsid w:val="00A1774F"/>
    <w:rsid w:val="00A17F2D"/>
    <w:rsid w:val="00A20195"/>
    <w:rsid w:val="00A20667"/>
    <w:rsid w:val="00A21EFC"/>
    <w:rsid w:val="00A22348"/>
    <w:rsid w:val="00A243D6"/>
    <w:rsid w:val="00A24456"/>
    <w:rsid w:val="00A2471B"/>
    <w:rsid w:val="00A24C62"/>
    <w:rsid w:val="00A254EC"/>
    <w:rsid w:val="00A25F51"/>
    <w:rsid w:val="00A26182"/>
    <w:rsid w:val="00A2783A"/>
    <w:rsid w:val="00A30382"/>
    <w:rsid w:val="00A30564"/>
    <w:rsid w:val="00A30CEC"/>
    <w:rsid w:val="00A30DF4"/>
    <w:rsid w:val="00A3188E"/>
    <w:rsid w:val="00A32604"/>
    <w:rsid w:val="00A32709"/>
    <w:rsid w:val="00A32EF3"/>
    <w:rsid w:val="00A33959"/>
    <w:rsid w:val="00A35312"/>
    <w:rsid w:val="00A354C8"/>
    <w:rsid w:val="00A407E6"/>
    <w:rsid w:val="00A40E00"/>
    <w:rsid w:val="00A417AE"/>
    <w:rsid w:val="00A41D69"/>
    <w:rsid w:val="00A42104"/>
    <w:rsid w:val="00A421D9"/>
    <w:rsid w:val="00A43345"/>
    <w:rsid w:val="00A4432E"/>
    <w:rsid w:val="00A447E6"/>
    <w:rsid w:val="00A463E3"/>
    <w:rsid w:val="00A468B0"/>
    <w:rsid w:val="00A46C5A"/>
    <w:rsid w:val="00A50475"/>
    <w:rsid w:val="00A50823"/>
    <w:rsid w:val="00A50AD6"/>
    <w:rsid w:val="00A50D0F"/>
    <w:rsid w:val="00A50E2B"/>
    <w:rsid w:val="00A51495"/>
    <w:rsid w:val="00A54097"/>
    <w:rsid w:val="00A54DAA"/>
    <w:rsid w:val="00A57661"/>
    <w:rsid w:val="00A577F8"/>
    <w:rsid w:val="00A60272"/>
    <w:rsid w:val="00A60C6C"/>
    <w:rsid w:val="00A60E34"/>
    <w:rsid w:val="00A62074"/>
    <w:rsid w:val="00A62606"/>
    <w:rsid w:val="00A62EA7"/>
    <w:rsid w:val="00A64513"/>
    <w:rsid w:val="00A6459E"/>
    <w:rsid w:val="00A64686"/>
    <w:rsid w:val="00A64CAE"/>
    <w:rsid w:val="00A6578C"/>
    <w:rsid w:val="00A6605D"/>
    <w:rsid w:val="00A66093"/>
    <w:rsid w:val="00A674F5"/>
    <w:rsid w:val="00A67821"/>
    <w:rsid w:val="00A71A0A"/>
    <w:rsid w:val="00A72227"/>
    <w:rsid w:val="00A72BF1"/>
    <w:rsid w:val="00A72CC1"/>
    <w:rsid w:val="00A736EE"/>
    <w:rsid w:val="00A73E12"/>
    <w:rsid w:val="00A73EE0"/>
    <w:rsid w:val="00A748F2"/>
    <w:rsid w:val="00A74939"/>
    <w:rsid w:val="00A76AED"/>
    <w:rsid w:val="00A771A0"/>
    <w:rsid w:val="00A77B52"/>
    <w:rsid w:val="00A77BE7"/>
    <w:rsid w:val="00A77E59"/>
    <w:rsid w:val="00A80044"/>
    <w:rsid w:val="00A8024B"/>
    <w:rsid w:val="00A81845"/>
    <w:rsid w:val="00A8271D"/>
    <w:rsid w:val="00A82B34"/>
    <w:rsid w:val="00A83611"/>
    <w:rsid w:val="00A84B21"/>
    <w:rsid w:val="00A8580C"/>
    <w:rsid w:val="00A85A45"/>
    <w:rsid w:val="00A85F3E"/>
    <w:rsid w:val="00A85FAF"/>
    <w:rsid w:val="00A86A92"/>
    <w:rsid w:val="00A86CEB"/>
    <w:rsid w:val="00A86E44"/>
    <w:rsid w:val="00A905F2"/>
    <w:rsid w:val="00A90AA5"/>
    <w:rsid w:val="00A912BA"/>
    <w:rsid w:val="00A924F3"/>
    <w:rsid w:val="00A92AF0"/>
    <w:rsid w:val="00A935C9"/>
    <w:rsid w:val="00A94369"/>
    <w:rsid w:val="00A97923"/>
    <w:rsid w:val="00AA0E31"/>
    <w:rsid w:val="00AA138C"/>
    <w:rsid w:val="00AA150D"/>
    <w:rsid w:val="00AA1795"/>
    <w:rsid w:val="00AA1803"/>
    <w:rsid w:val="00AA1ABC"/>
    <w:rsid w:val="00AA20EA"/>
    <w:rsid w:val="00AA3E94"/>
    <w:rsid w:val="00AA446F"/>
    <w:rsid w:val="00AA59A6"/>
    <w:rsid w:val="00AA67F0"/>
    <w:rsid w:val="00AA6E1A"/>
    <w:rsid w:val="00AA739B"/>
    <w:rsid w:val="00AA7859"/>
    <w:rsid w:val="00AB00E9"/>
    <w:rsid w:val="00AB0D80"/>
    <w:rsid w:val="00AB16D9"/>
    <w:rsid w:val="00AB1C49"/>
    <w:rsid w:val="00AB1FC8"/>
    <w:rsid w:val="00AB284D"/>
    <w:rsid w:val="00AB2F02"/>
    <w:rsid w:val="00AB304E"/>
    <w:rsid w:val="00AB3A9B"/>
    <w:rsid w:val="00AB4930"/>
    <w:rsid w:val="00AB52EF"/>
    <w:rsid w:val="00AB535C"/>
    <w:rsid w:val="00AB5A04"/>
    <w:rsid w:val="00AB6C17"/>
    <w:rsid w:val="00AC0A9D"/>
    <w:rsid w:val="00AC0C9E"/>
    <w:rsid w:val="00AC20C0"/>
    <w:rsid w:val="00AC24AE"/>
    <w:rsid w:val="00AC2876"/>
    <w:rsid w:val="00AC3349"/>
    <w:rsid w:val="00AC33C8"/>
    <w:rsid w:val="00AC3A55"/>
    <w:rsid w:val="00AC449A"/>
    <w:rsid w:val="00AC4C13"/>
    <w:rsid w:val="00AC4C74"/>
    <w:rsid w:val="00AC4CD2"/>
    <w:rsid w:val="00AC4EFA"/>
    <w:rsid w:val="00AC53E5"/>
    <w:rsid w:val="00AC5D5B"/>
    <w:rsid w:val="00AC6045"/>
    <w:rsid w:val="00AC7BE1"/>
    <w:rsid w:val="00AD005A"/>
    <w:rsid w:val="00AD059B"/>
    <w:rsid w:val="00AD102A"/>
    <w:rsid w:val="00AD14A5"/>
    <w:rsid w:val="00AD1502"/>
    <w:rsid w:val="00AD1796"/>
    <w:rsid w:val="00AD1974"/>
    <w:rsid w:val="00AD2353"/>
    <w:rsid w:val="00AD239A"/>
    <w:rsid w:val="00AD26D4"/>
    <w:rsid w:val="00AD3102"/>
    <w:rsid w:val="00AD3EDC"/>
    <w:rsid w:val="00AD4BF1"/>
    <w:rsid w:val="00AD505E"/>
    <w:rsid w:val="00AD5096"/>
    <w:rsid w:val="00AD5CCC"/>
    <w:rsid w:val="00AD69D5"/>
    <w:rsid w:val="00AD6CC5"/>
    <w:rsid w:val="00AD6E99"/>
    <w:rsid w:val="00AD713A"/>
    <w:rsid w:val="00AD7E0B"/>
    <w:rsid w:val="00AE0E58"/>
    <w:rsid w:val="00AE25DC"/>
    <w:rsid w:val="00AE594A"/>
    <w:rsid w:val="00AF0189"/>
    <w:rsid w:val="00AF061D"/>
    <w:rsid w:val="00AF12CE"/>
    <w:rsid w:val="00AF1811"/>
    <w:rsid w:val="00AF3E6C"/>
    <w:rsid w:val="00AF3FE0"/>
    <w:rsid w:val="00AF45EB"/>
    <w:rsid w:val="00AF4794"/>
    <w:rsid w:val="00AF695E"/>
    <w:rsid w:val="00AF7191"/>
    <w:rsid w:val="00AF72E7"/>
    <w:rsid w:val="00AF73FC"/>
    <w:rsid w:val="00AF7C74"/>
    <w:rsid w:val="00B001EB"/>
    <w:rsid w:val="00B004D7"/>
    <w:rsid w:val="00B00586"/>
    <w:rsid w:val="00B00972"/>
    <w:rsid w:val="00B0098B"/>
    <w:rsid w:val="00B009D2"/>
    <w:rsid w:val="00B02008"/>
    <w:rsid w:val="00B02679"/>
    <w:rsid w:val="00B0271B"/>
    <w:rsid w:val="00B041BF"/>
    <w:rsid w:val="00B044EF"/>
    <w:rsid w:val="00B04CCF"/>
    <w:rsid w:val="00B06B70"/>
    <w:rsid w:val="00B07C21"/>
    <w:rsid w:val="00B107B8"/>
    <w:rsid w:val="00B10A04"/>
    <w:rsid w:val="00B1126C"/>
    <w:rsid w:val="00B11865"/>
    <w:rsid w:val="00B13CF3"/>
    <w:rsid w:val="00B14447"/>
    <w:rsid w:val="00B14CE9"/>
    <w:rsid w:val="00B16A33"/>
    <w:rsid w:val="00B16AAD"/>
    <w:rsid w:val="00B1788B"/>
    <w:rsid w:val="00B17AC0"/>
    <w:rsid w:val="00B17B7B"/>
    <w:rsid w:val="00B17D41"/>
    <w:rsid w:val="00B21333"/>
    <w:rsid w:val="00B21DBC"/>
    <w:rsid w:val="00B22F06"/>
    <w:rsid w:val="00B24AD9"/>
    <w:rsid w:val="00B25959"/>
    <w:rsid w:val="00B262EB"/>
    <w:rsid w:val="00B267CA"/>
    <w:rsid w:val="00B3210D"/>
    <w:rsid w:val="00B3228D"/>
    <w:rsid w:val="00B32A7C"/>
    <w:rsid w:val="00B33C86"/>
    <w:rsid w:val="00B3572E"/>
    <w:rsid w:val="00B3574A"/>
    <w:rsid w:val="00B35801"/>
    <w:rsid w:val="00B40734"/>
    <w:rsid w:val="00B409DC"/>
    <w:rsid w:val="00B40C90"/>
    <w:rsid w:val="00B41136"/>
    <w:rsid w:val="00B41FAA"/>
    <w:rsid w:val="00B4249D"/>
    <w:rsid w:val="00B43B01"/>
    <w:rsid w:val="00B44EFF"/>
    <w:rsid w:val="00B45820"/>
    <w:rsid w:val="00B46F12"/>
    <w:rsid w:val="00B4744B"/>
    <w:rsid w:val="00B50299"/>
    <w:rsid w:val="00B50CE8"/>
    <w:rsid w:val="00B51009"/>
    <w:rsid w:val="00B5134D"/>
    <w:rsid w:val="00B51573"/>
    <w:rsid w:val="00B516F5"/>
    <w:rsid w:val="00B51BBE"/>
    <w:rsid w:val="00B5382A"/>
    <w:rsid w:val="00B53F78"/>
    <w:rsid w:val="00B5413B"/>
    <w:rsid w:val="00B54341"/>
    <w:rsid w:val="00B559F2"/>
    <w:rsid w:val="00B57130"/>
    <w:rsid w:val="00B576F9"/>
    <w:rsid w:val="00B57816"/>
    <w:rsid w:val="00B57D82"/>
    <w:rsid w:val="00B6087C"/>
    <w:rsid w:val="00B60E4E"/>
    <w:rsid w:val="00B61973"/>
    <w:rsid w:val="00B61ED6"/>
    <w:rsid w:val="00B61F1A"/>
    <w:rsid w:val="00B62E41"/>
    <w:rsid w:val="00B6403E"/>
    <w:rsid w:val="00B64D66"/>
    <w:rsid w:val="00B64F1A"/>
    <w:rsid w:val="00B65E5A"/>
    <w:rsid w:val="00B668CB"/>
    <w:rsid w:val="00B66C2A"/>
    <w:rsid w:val="00B6741C"/>
    <w:rsid w:val="00B70AD6"/>
    <w:rsid w:val="00B710C6"/>
    <w:rsid w:val="00B714D3"/>
    <w:rsid w:val="00B7182A"/>
    <w:rsid w:val="00B7193B"/>
    <w:rsid w:val="00B71940"/>
    <w:rsid w:val="00B7242F"/>
    <w:rsid w:val="00B72D36"/>
    <w:rsid w:val="00B73342"/>
    <w:rsid w:val="00B735E5"/>
    <w:rsid w:val="00B743E8"/>
    <w:rsid w:val="00B74D32"/>
    <w:rsid w:val="00B75D8B"/>
    <w:rsid w:val="00B75FEC"/>
    <w:rsid w:val="00B76239"/>
    <w:rsid w:val="00B775F5"/>
    <w:rsid w:val="00B77E25"/>
    <w:rsid w:val="00B808E4"/>
    <w:rsid w:val="00B810C9"/>
    <w:rsid w:val="00B81A7D"/>
    <w:rsid w:val="00B81B74"/>
    <w:rsid w:val="00B81F8E"/>
    <w:rsid w:val="00B823A3"/>
    <w:rsid w:val="00B83729"/>
    <w:rsid w:val="00B839FB"/>
    <w:rsid w:val="00B83DFF"/>
    <w:rsid w:val="00B84446"/>
    <w:rsid w:val="00B84A79"/>
    <w:rsid w:val="00B84A9F"/>
    <w:rsid w:val="00B85C12"/>
    <w:rsid w:val="00B8620B"/>
    <w:rsid w:val="00B86B5F"/>
    <w:rsid w:val="00B87911"/>
    <w:rsid w:val="00B909F2"/>
    <w:rsid w:val="00B915B8"/>
    <w:rsid w:val="00B91983"/>
    <w:rsid w:val="00B91C60"/>
    <w:rsid w:val="00B928DE"/>
    <w:rsid w:val="00B92912"/>
    <w:rsid w:val="00B92BEA"/>
    <w:rsid w:val="00B92C4A"/>
    <w:rsid w:val="00B95605"/>
    <w:rsid w:val="00B95853"/>
    <w:rsid w:val="00B968AA"/>
    <w:rsid w:val="00B96B6A"/>
    <w:rsid w:val="00BA0943"/>
    <w:rsid w:val="00BA0C81"/>
    <w:rsid w:val="00BA1F04"/>
    <w:rsid w:val="00BA21E1"/>
    <w:rsid w:val="00BA23ED"/>
    <w:rsid w:val="00BA2444"/>
    <w:rsid w:val="00BA423F"/>
    <w:rsid w:val="00BA64E8"/>
    <w:rsid w:val="00BA6512"/>
    <w:rsid w:val="00BA75BB"/>
    <w:rsid w:val="00BA7CD8"/>
    <w:rsid w:val="00BB0343"/>
    <w:rsid w:val="00BB09F8"/>
    <w:rsid w:val="00BB0A7D"/>
    <w:rsid w:val="00BB0DDB"/>
    <w:rsid w:val="00BB235B"/>
    <w:rsid w:val="00BB27EB"/>
    <w:rsid w:val="00BB344E"/>
    <w:rsid w:val="00BB3CBD"/>
    <w:rsid w:val="00BB4189"/>
    <w:rsid w:val="00BB458D"/>
    <w:rsid w:val="00BB4D9B"/>
    <w:rsid w:val="00BB5CDE"/>
    <w:rsid w:val="00BB6000"/>
    <w:rsid w:val="00BB600D"/>
    <w:rsid w:val="00BB72F4"/>
    <w:rsid w:val="00BB7D5B"/>
    <w:rsid w:val="00BC0BB3"/>
    <w:rsid w:val="00BC0E8D"/>
    <w:rsid w:val="00BC10BC"/>
    <w:rsid w:val="00BC17C3"/>
    <w:rsid w:val="00BC1FF2"/>
    <w:rsid w:val="00BC23FB"/>
    <w:rsid w:val="00BC2458"/>
    <w:rsid w:val="00BC33F3"/>
    <w:rsid w:val="00BC406A"/>
    <w:rsid w:val="00BC6254"/>
    <w:rsid w:val="00BC69A4"/>
    <w:rsid w:val="00BC7CB3"/>
    <w:rsid w:val="00BD0358"/>
    <w:rsid w:val="00BD050F"/>
    <w:rsid w:val="00BD05FC"/>
    <w:rsid w:val="00BD2B8D"/>
    <w:rsid w:val="00BD3834"/>
    <w:rsid w:val="00BD4941"/>
    <w:rsid w:val="00BD5923"/>
    <w:rsid w:val="00BD6750"/>
    <w:rsid w:val="00BD7018"/>
    <w:rsid w:val="00BD7A6B"/>
    <w:rsid w:val="00BD7BA3"/>
    <w:rsid w:val="00BD7D58"/>
    <w:rsid w:val="00BD7DD0"/>
    <w:rsid w:val="00BE0493"/>
    <w:rsid w:val="00BF09E1"/>
    <w:rsid w:val="00BF0B83"/>
    <w:rsid w:val="00BF128B"/>
    <w:rsid w:val="00BF2ABC"/>
    <w:rsid w:val="00BF4442"/>
    <w:rsid w:val="00BF487A"/>
    <w:rsid w:val="00BF5642"/>
    <w:rsid w:val="00BF61C3"/>
    <w:rsid w:val="00BF623D"/>
    <w:rsid w:val="00BF640F"/>
    <w:rsid w:val="00BF649B"/>
    <w:rsid w:val="00BF683B"/>
    <w:rsid w:val="00BF6B52"/>
    <w:rsid w:val="00BF7129"/>
    <w:rsid w:val="00BF7218"/>
    <w:rsid w:val="00C002BB"/>
    <w:rsid w:val="00C033E7"/>
    <w:rsid w:val="00C0341C"/>
    <w:rsid w:val="00C035D3"/>
    <w:rsid w:val="00C037AE"/>
    <w:rsid w:val="00C03DD6"/>
    <w:rsid w:val="00C04166"/>
    <w:rsid w:val="00C066A1"/>
    <w:rsid w:val="00C06D54"/>
    <w:rsid w:val="00C07D9D"/>
    <w:rsid w:val="00C07DF4"/>
    <w:rsid w:val="00C07E87"/>
    <w:rsid w:val="00C10836"/>
    <w:rsid w:val="00C113A2"/>
    <w:rsid w:val="00C117B4"/>
    <w:rsid w:val="00C11DB0"/>
    <w:rsid w:val="00C11FD0"/>
    <w:rsid w:val="00C122BA"/>
    <w:rsid w:val="00C12986"/>
    <w:rsid w:val="00C12D78"/>
    <w:rsid w:val="00C13A7E"/>
    <w:rsid w:val="00C14885"/>
    <w:rsid w:val="00C15234"/>
    <w:rsid w:val="00C15A52"/>
    <w:rsid w:val="00C15E83"/>
    <w:rsid w:val="00C1632D"/>
    <w:rsid w:val="00C170C0"/>
    <w:rsid w:val="00C17DE9"/>
    <w:rsid w:val="00C204A6"/>
    <w:rsid w:val="00C2197D"/>
    <w:rsid w:val="00C21EF0"/>
    <w:rsid w:val="00C225C5"/>
    <w:rsid w:val="00C22DAC"/>
    <w:rsid w:val="00C2352A"/>
    <w:rsid w:val="00C23767"/>
    <w:rsid w:val="00C23BD1"/>
    <w:rsid w:val="00C253DF"/>
    <w:rsid w:val="00C255E7"/>
    <w:rsid w:val="00C256AC"/>
    <w:rsid w:val="00C266CB"/>
    <w:rsid w:val="00C300E4"/>
    <w:rsid w:val="00C30119"/>
    <w:rsid w:val="00C303A9"/>
    <w:rsid w:val="00C303F0"/>
    <w:rsid w:val="00C30683"/>
    <w:rsid w:val="00C306A7"/>
    <w:rsid w:val="00C30ADE"/>
    <w:rsid w:val="00C30CD3"/>
    <w:rsid w:val="00C310C0"/>
    <w:rsid w:val="00C31569"/>
    <w:rsid w:val="00C31905"/>
    <w:rsid w:val="00C31AF7"/>
    <w:rsid w:val="00C333A1"/>
    <w:rsid w:val="00C33CFA"/>
    <w:rsid w:val="00C344E9"/>
    <w:rsid w:val="00C35B2A"/>
    <w:rsid w:val="00C35F90"/>
    <w:rsid w:val="00C36BFD"/>
    <w:rsid w:val="00C37C60"/>
    <w:rsid w:val="00C41C5E"/>
    <w:rsid w:val="00C41EDC"/>
    <w:rsid w:val="00C42588"/>
    <w:rsid w:val="00C42A82"/>
    <w:rsid w:val="00C42A90"/>
    <w:rsid w:val="00C433BC"/>
    <w:rsid w:val="00C43B57"/>
    <w:rsid w:val="00C44142"/>
    <w:rsid w:val="00C443EA"/>
    <w:rsid w:val="00C4441A"/>
    <w:rsid w:val="00C449C8"/>
    <w:rsid w:val="00C451D8"/>
    <w:rsid w:val="00C4636A"/>
    <w:rsid w:val="00C4663F"/>
    <w:rsid w:val="00C50104"/>
    <w:rsid w:val="00C51EEC"/>
    <w:rsid w:val="00C5303D"/>
    <w:rsid w:val="00C53328"/>
    <w:rsid w:val="00C53760"/>
    <w:rsid w:val="00C53BC4"/>
    <w:rsid w:val="00C5409D"/>
    <w:rsid w:val="00C55A51"/>
    <w:rsid w:val="00C55A71"/>
    <w:rsid w:val="00C608B8"/>
    <w:rsid w:val="00C610FD"/>
    <w:rsid w:val="00C62E19"/>
    <w:rsid w:val="00C632AD"/>
    <w:rsid w:val="00C6348B"/>
    <w:rsid w:val="00C63620"/>
    <w:rsid w:val="00C64526"/>
    <w:rsid w:val="00C64C93"/>
    <w:rsid w:val="00C6576E"/>
    <w:rsid w:val="00C65CCA"/>
    <w:rsid w:val="00C65E62"/>
    <w:rsid w:val="00C667BA"/>
    <w:rsid w:val="00C66BC5"/>
    <w:rsid w:val="00C66F3D"/>
    <w:rsid w:val="00C67434"/>
    <w:rsid w:val="00C70077"/>
    <w:rsid w:val="00C704AA"/>
    <w:rsid w:val="00C70908"/>
    <w:rsid w:val="00C71652"/>
    <w:rsid w:val="00C7184D"/>
    <w:rsid w:val="00C71DE0"/>
    <w:rsid w:val="00C72DC0"/>
    <w:rsid w:val="00C73330"/>
    <w:rsid w:val="00C74699"/>
    <w:rsid w:val="00C74FDD"/>
    <w:rsid w:val="00C757D2"/>
    <w:rsid w:val="00C76AC4"/>
    <w:rsid w:val="00C779B2"/>
    <w:rsid w:val="00C77F54"/>
    <w:rsid w:val="00C80798"/>
    <w:rsid w:val="00C81344"/>
    <w:rsid w:val="00C818BD"/>
    <w:rsid w:val="00C81B55"/>
    <w:rsid w:val="00C822E1"/>
    <w:rsid w:val="00C82687"/>
    <w:rsid w:val="00C82969"/>
    <w:rsid w:val="00C82A5B"/>
    <w:rsid w:val="00C84DE1"/>
    <w:rsid w:val="00C8517B"/>
    <w:rsid w:val="00C85395"/>
    <w:rsid w:val="00C8599D"/>
    <w:rsid w:val="00C85CAB"/>
    <w:rsid w:val="00C85F05"/>
    <w:rsid w:val="00C865A9"/>
    <w:rsid w:val="00C86CC2"/>
    <w:rsid w:val="00C872A0"/>
    <w:rsid w:val="00C87714"/>
    <w:rsid w:val="00C90DCE"/>
    <w:rsid w:val="00C90DFF"/>
    <w:rsid w:val="00C90E02"/>
    <w:rsid w:val="00C90EE5"/>
    <w:rsid w:val="00C917BB"/>
    <w:rsid w:val="00C93677"/>
    <w:rsid w:val="00C9478F"/>
    <w:rsid w:val="00C94FA3"/>
    <w:rsid w:val="00C9589E"/>
    <w:rsid w:val="00C95F1F"/>
    <w:rsid w:val="00C95FC8"/>
    <w:rsid w:val="00C96EF0"/>
    <w:rsid w:val="00C97809"/>
    <w:rsid w:val="00C97DDC"/>
    <w:rsid w:val="00CA1905"/>
    <w:rsid w:val="00CA2E36"/>
    <w:rsid w:val="00CA312E"/>
    <w:rsid w:val="00CA396C"/>
    <w:rsid w:val="00CA3C82"/>
    <w:rsid w:val="00CA3D17"/>
    <w:rsid w:val="00CA5380"/>
    <w:rsid w:val="00CA5A31"/>
    <w:rsid w:val="00CB04A3"/>
    <w:rsid w:val="00CB0B25"/>
    <w:rsid w:val="00CB1B3B"/>
    <w:rsid w:val="00CB28CD"/>
    <w:rsid w:val="00CB376E"/>
    <w:rsid w:val="00CB456F"/>
    <w:rsid w:val="00CB5257"/>
    <w:rsid w:val="00CB52E3"/>
    <w:rsid w:val="00CB540B"/>
    <w:rsid w:val="00CB6FC2"/>
    <w:rsid w:val="00CC014E"/>
    <w:rsid w:val="00CC1054"/>
    <w:rsid w:val="00CC15F0"/>
    <w:rsid w:val="00CC22A8"/>
    <w:rsid w:val="00CC27EE"/>
    <w:rsid w:val="00CC3E60"/>
    <w:rsid w:val="00CC4104"/>
    <w:rsid w:val="00CC46FC"/>
    <w:rsid w:val="00CC58EC"/>
    <w:rsid w:val="00CC6240"/>
    <w:rsid w:val="00CC665E"/>
    <w:rsid w:val="00CC6922"/>
    <w:rsid w:val="00CC6E87"/>
    <w:rsid w:val="00CC79E0"/>
    <w:rsid w:val="00CD059B"/>
    <w:rsid w:val="00CD1748"/>
    <w:rsid w:val="00CD1BB9"/>
    <w:rsid w:val="00CD251B"/>
    <w:rsid w:val="00CD25B8"/>
    <w:rsid w:val="00CD47CA"/>
    <w:rsid w:val="00CD5137"/>
    <w:rsid w:val="00CD5E06"/>
    <w:rsid w:val="00CD64FC"/>
    <w:rsid w:val="00CD670F"/>
    <w:rsid w:val="00CD7949"/>
    <w:rsid w:val="00CD7CA6"/>
    <w:rsid w:val="00CE0290"/>
    <w:rsid w:val="00CE02F1"/>
    <w:rsid w:val="00CE0BF0"/>
    <w:rsid w:val="00CE0EF4"/>
    <w:rsid w:val="00CE0FA9"/>
    <w:rsid w:val="00CE1258"/>
    <w:rsid w:val="00CE1676"/>
    <w:rsid w:val="00CE2BEB"/>
    <w:rsid w:val="00CE3842"/>
    <w:rsid w:val="00CE4800"/>
    <w:rsid w:val="00CE51EE"/>
    <w:rsid w:val="00CE57AA"/>
    <w:rsid w:val="00CE5948"/>
    <w:rsid w:val="00CE5CA6"/>
    <w:rsid w:val="00CE6F27"/>
    <w:rsid w:val="00CE7F54"/>
    <w:rsid w:val="00CF0214"/>
    <w:rsid w:val="00CF09AC"/>
    <w:rsid w:val="00CF0BB6"/>
    <w:rsid w:val="00CF1B67"/>
    <w:rsid w:val="00CF2BA3"/>
    <w:rsid w:val="00CF3423"/>
    <w:rsid w:val="00CF420D"/>
    <w:rsid w:val="00CF4C38"/>
    <w:rsid w:val="00CF76CC"/>
    <w:rsid w:val="00CF79A0"/>
    <w:rsid w:val="00D00330"/>
    <w:rsid w:val="00D0089D"/>
    <w:rsid w:val="00D00FD6"/>
    <w:rsid w:val="00D012B0"/>
    <w:rsid w:val="00D027E6"/>
    <w:rsid w:val="00D02E83"/>
    <w:rsid w:val="00D03079"/>
    <w:rsid w:val="00D03616"/>
    <w:rsid w:val="00D03AD2"/>
    <w:rsid w:val="00D03F7E"/>
    <w:rsid w:val="00D04573"/>
    <w:rsid w:val="00D05841"/>
    <w:rsid w:val="00D05C27"/>
    <w:rsid w:val="00D05D30"/>
    <w:rsid w:val="00D05F8E"/>
    <w:rsid w:val="00D06BBC"/>
    <w:rsid w:val="00D07BB7"/>
    <w:rsid w:val="00D10BDF"/>
    <w:rsid w:val="00D110CF"/>
    <w:rsid w:val="00D1186B"/>
    <w:rsid w:val="00D11C10"/>
    <w:rsid w:val="00D11C43"/>
    <w:rsid w:val="00D12059"/>
    <w:rsid w:val="00D121D2"/>
    <w:rsid w:val="00D12DCB"/>
    <w:rsid w:val="00D132FA"/>
    <w:rsid w:val="00D144D9"/>
    <w:rsid w:val="00D1582D"/>
    <w:rsid w:val="00D15D33"/>
    <w:rsid w:val="00D1749C"/>
    <w:rsid w:val="00D178AB"/>
    <w:rsid w:val="00D202A1"/>
    <w:rsid w:val="00D203DE"/>
    <w:rsid w:val="00D20CE3"/>
    <w:rsid w:val="00D20DCC"/>
    <w:rsid w:val="00D214C1"/>
    <w:rsid w:val="00D21B9E"/>
    <w:rsid w:val="00D21F98"/>
    <w:rsid w:val="00D228CE"/>
    <w:rsid w:val="00D23477"/>
    <w:rsid w:val="00D235EA"/>
    <w:rsid w:val="00D23754"/>
    <w:rsid w:val="00D23D81"/>
    <w:rsid w:val="00D24728"/>
    <w:rsid w:val="00D25027"/>
    <w:rsid w:val="00D254BA"/>
    <w:rsid w:val="00D256CC"/>
    <w:rsid w:val="00D2585B"/>
    <w:rsid w:val="00D25BE3"/>
    <w:rsid w:val="00D2709C"/>
    <w:rsid w:val="00D305E7"/>
    <w:rsid w:val="00D30D98"/>
    <w:rsid w:val="00D31519"/>
    <w:rsid w:val="00D31E7C"/>
    <w:rsid w:val="00D32C28"/>
    <w:rsid w:val="00D33B82"/>
    <w:rsid w:val="00D3428F"/>
    <w:rsid w:val="00D3493F"/>
    <w:rsid w:val="00D34D18"/>
    <w:rsid w:val="00D35071"/>
    <w:rsid w:val="00D35C3D"/>
    <w:rsid w:val="00D36BE2"/>
    <w:rsid w:val="00D37B8F"/>
    <w:rsid w:val="00D37D8A"/>
    <w:rsid w:val="00D40574"/>
    <w:rsid w:val="00D40ACB"/>
    <w:rsid w:val="00D40E05"/>
    <w:rsid w:val="00D41521"/>
    <w:rsid w:val="00D41A52"/>
    <w:rsid w:val="00D41B13"/>
    <w:rsid w:val="00D42C0B"/>
    <w:rsid w:val="00D44789"/>
    <w:rsid w:val="00D46117"/>
    <w:rsid w:val="00D46800"/>
    <w:rsid w:val="00D46C7E"/>
    <w:rsid w:val="00D46D6E"/>
    <w:rsid w:val="00D46EFA"/>
    <w:rsid w:val="00D4786B"/>
    <w:rsid w:val="00D50B41"/>
    <w:rsid w:val="00D50E0E"/>
    <w:rsid w:val="00D51662"/>
    <w:rsid w:val="00D519B7"/>
    <w:rsid w:val="00D51D7E"/>
    <w:rsid w:val="00D529F5"/>
    <w:rsid w:val="00D53722"/>
    <w:rsid w:val="00D54C49"/>
    <w:rsid w:val="00D55598"/>
    <w:rsid w:val="00D557BF"/>
    <w:rsid w:val="00D55CB0"/>
    <w:rsid w:val="00D56517"/>
    <w:rsid w:val="00D571B4"/>
    <w:rsid w:val="00D60C9C"/>
    <w:rsid w:val="00D6149B"/>
    <w:rsid w:val="00D6289E"/>
    <w:rsid w:val="00D6337A"/>
    <w:rsid w:val="00D63C8B"/>
    <w:rsid w:val="00D63CFD"/>
    <w:rsid w:val="00D641D6"/>
    <w:rsid w:val="00D64BCF"/>
    <w:rsid w:val="00D65888"/>
    <w:rsid w:val="00D65A5C"/>
    <w:rsid w:val="00D66301"/>
    <w:rsid w:val="00D701DD"/>
    <w:rsid w:val="00D70495"/>
    <w:rsid w:val="00D70B1F"/>
    <w:rsid w:val="00D717AD"/>
    <w:rsid w:val="00D72659"/>
    <w:rsid w:val="00D72C6E"/>
    <w:rsid w:val="00D72DDD"/>
    <w:rsid w:val="00D7419B"/>
    <w:rsid w:val="00D742B5"/>
    <w:rsid w:val="00D7558C"/>
    <w:rsid w:val="00D75C8A"/>
    <w:rsid w:val="00D7654E"/>
    <w:rsid w:val="00D76DAA"/>
    <w:rsid w:val="00D76F04"/>
    <w:rsid w:val="00D80209"/>
    <w:rsid w:val="00D8037B"/>
    <w:rsid w:val="00D8047B"/>
    <w:rsid w:val="00D81445"/>
    <w:rsid w:val="00D816B3"/>
    <w:rsid w:val="00D82509"/>
    <w:rsid w:val="00D825EA"/>
    <w:rsid w:val="00D82A17"/>
    <w:rsid w:val="00D835DB"/>
    <w:rsid w:val="00D83995"/>
    <w:rsid w:val="00D83CC0"/>
    <w:rsid w:val="00D83D8F"/>
    <w:rsid w:val="00D84607"/>
    <w:rsid w:val="00D84901"/>
    <w:rsid w:val="00D855F2"/>
    <w:rsid w:val="00D86250"/>
    <w:rsid w:val="00D8651C"/>
    <w:rsid w:val="00D86879"/>
    <w:rsid w:val="00D86B50"/>
    <w:rsid w:val="00D8710E"/>
    <w:rsid w:val="00D87EFC"/>
    <w:rsid w:val="00D90684"/>
    <w:rsid w:val="00D91654"/>
    <w:rsid w:val="00D924DC"/>
    <w:rsid w:val="00D92DEB"/>
    <w:rsid w:val="00D931C3"/>
    <w:rsid w:val="00D93CB3"/>
    <w:rsid w:val="00D95665"/>
    <w:rsid w:val="00D95A11"/>
    <w:rsid w:val="00D96D6A"/>
    <w:rsid w:val="00D96F97"/>
    <w:rsid w:val="00D97086"/>
    <w:rsid w:val="00D97399"/>
    <w:rsid w:val="00D97421"/>
    <w:rsid w:val="00D97481"/>
    <w:rsid w:val="00D97C66"/>
    <w:rsid w:val="00DA10A4"/>
    <w:rsid w:val="00DA1B90"/>
    <w:rsid w:val="00DA429D"/>
    <w:rsid w:val="00DA42B5"/>
    <w:rsid w:val="00DA5B20"/>
    <w:rsid w:val="00DA67A5"/>
    <w:rsid w:val="00DA70B4"/>
    <w:rsid w:val="00DA78F5"/>
    <w:rsid w:val="00DA7BAF"/>
    <w:rsid w:val="00DB0CC6"/>
    <w:rsid w:val="00DB1937"/>
    <w:rsid w:val="00DB278E"/>
    <w:rsid w:val="00DB2859"/>
    <w:rsid w:val="00DB32BF"/>
    <w:rsid w:val="00DB378B"/>
    <w:rsid w:val="00DB3ABE"/>
    <w:rsid w:val="00DB3B0B"/>
    <w:rsid w:val="00DB3CB9"/>
    <w:rsid w:val="00DB4CE4"/>
    <w:rsid w:val="00DB5B03"/>
    <w:rsid w:val="00DB6078"/>
    <w:rsid w:val="00DB63A4"/>
    <w:rsid w:val="00DB75BC"/>
    <w:rsid w:val="00DB76D9"/>
    <w:rsid w:val="00DB7A60"/>
    <w:rsid w:val="00DC0E99"/>
    <w:rsid w:val="00DC162F"/>
    <w:rsid w:val="00DC2E09"/>
    <w:rsid w:val="00DC330A"/>
    <w:rsid w:val="00DC3787"/>
    <w:rsid w:val="00DC4A62"/>
    <w:rsid w:val="00DC5BFD"/>
    <w:rsid w:val="00DC6559"/>
    <w:rsid w:val="00DC6563"/>
    <w:rsid w:val="00DC6A5E"/>
    <w:rsid w:val="00DC7221"/>
    <w:rsid w:val="00DC7673"/>
    <w:rsid w:val="00DD0F62"/>
    <w:rsid w:val="00DD20B7"/>
    <w:rsid w:val="00DD233A"/>
    <w:rsid w:val="00DD254F"/>
    <w:rsid w:val="00DD2588"/>
    <w:rsid w:val="00DD2792"/>
    <w:rsid w:val="00DD2820"/>
    <w:rsid w:val="00DD2851"/>
    <w:rsid w:val="00DD3657"/>
    <w:rsid w:val="00DD54CA"/>
    <w:rsid w:val="00DD57EB"/>
    <w:rsid w:val="00DD5DE3"/>
    <w:rsid w:val="00DD5F50"/>
    <w:rsid w:val="00DD7206"/>
    <w:rsid w:val="00DD7D54"/>
    <w:rsid w:val="00DE04F8"/>
    <w:rsid w:val="00DE069B"/>
    <w:rsid w:val="00DE096C"/>
    <w:rsid w:val="00DE171D"/>
    <w:rsid w:val="00DE1FFC"/>
    <w:rsid w:val="00DE2791"/>
    <w:rsid w:val="00DE2D03"/>
    <w:rsid w:val="00DE368D"/>
    <w:rsid w:val="00DE38DF"/>
    <w:rsid w:val="00DE3B47"/>
    <w:rsid w:val="00DE3BFE"/>
    <w:rsid w:val="00DE3D20"/>
    <w:rsid w:val="00DE4028"/>
    <w:rsid w:val="00DE43D9"/>
    <w:rsid w:val="00DE4AD1"/>
    <w:rsid w:val="00DE4C45"/>
    <w:rsid w:val="00DE54F8"/>
    <w:rsid w:val="00DE5C05"/>
    <w:rsid w:val="00DE6CFB"/>
    <w:rsid w:val="00DE7017"/>
    <w:rsid w:val="00DE76B9"/>
    <w:rsid w:val="00DE788A"/>
    <w:rsid w:val="00DF0540"/>
    <w:rsid w:val="00DF1356"/>
    <w:rsid w:val="00DF2D36"/>
    <w:rsid w:val="00DF41B5"/>
    <w:rsid w:val="00DF505B"/>
    <w:rsid w:val="00DF561B"/>
    <w:rsid w:val="00DF631B"/>
    <w:rsid w:val="00DF756F"/>
    <w:rsid w:val="00DF78FB"/>
    <w:rsid w:val="00E005BB"/>
    <w:rsid w:val="00E006CC"/>
    <w:rsid w:val="00E00849"/>
    <w:rsid w:val="00E019D5"/>
    <w:rsid w:val="00E02095"/>
    <w:rsid w:val="00E03EEA"/>
    <w:rsid w:val="00E047DD"/>
    <w:rsid w:val="00E05350"/>
    <w:rsid w:val="00E057CB"/>
    <w:rsid w:val="00E05851"/>
    <w:rsid w:val="00E05AD0"/>
    <w:rsid w:val="00E06144"/>
    <w:rsid w:val="00E068F9"/>
    <w:rsid w:val="00E1068F"/>
    <w:rsid w:val="00E11D1C"/>
    <w:rsid w:val="00E11F9C"/>
    <w:rsid w:val="00E12347"/>
    <w:rsid w:val="00E125C6"/>
    <w:rsid w:val="00E128DF"/>
    <w:rsid w:val="00E12C36"/>
    <w:rsid w:val="00E137D5"/>
    <w:rsid w:val="00E139DB"/>
    <w:rsid w:val="00E14551"/>
    <w:rsid w:val="00E14F90"/>
    <w:rsid w:val="00E155B1"/>
    <w:rsid w:val="00E1562C"/>
    <w:rsid w:val="00E161B2"/>
    <w:rsid w:val="00E162B6"/>
    <w:rsid w:val="00E1739F"/>
    <w:rsid w:val="00E1762B"/>
    <w:rsid w:val="00E179DC"/>
    <w:rsid w:val="00E20610"/>
    <w:rsid w:val="00E2453B"/>
    <w:rsid w:val="00E247D0"/>
    <w:rsid w:val="00E24AAC"/>
    <w:rsid w:val="00E258BC"/>
    <w:rsid w:val="00E25EE0"/>
    <w:rsid w:val="00E25FA3"/>
    <w:rsid w:val="00E260A1"/>
    <w:rsid w:val="00E30C19"/>
    <w:rsid w:val="00E3116D"/>
    <w:rsid w:val="00E35E8A"/>
    <w:rsid w:val="00E368C9"/>
    <w:rsid w:val="00E37663"/>
    <w:rsid w:val="00E3787C"/>
    <w:rsid w:val="00E37E61"/>
    <w:rsid w:val="00E43E68"/>
    <w:rsid w:val="00E44227"/>
    <w:rsid w:val="00E44556"/>
    <w:rsid w:val="00E44D46"/>
    <w:rsid w:val="00E454E2"/>
    <w:rsid w:val="00E458FF"/>
    <w:rsid w:val="00E4639C"/>
    <w:rsid w:val="00E46472"/>
    <w:rsid w:val="00E465A3"/>
    <w:rsid w:val="00E46890"/>
    <w:rsid w:val="00E46CAD"/>
    <w:rsid w:val="00E46E66"/>
    <w:rsid w:val="00E4787F"/>
    <w:rsid w:val="00E50592"/>
    <w:rsid w:val="00E50A96"/>
    <w:rsid w:val="00E50ECC"/>
    <w:rsid w:val="00E51C70"/>
    <w:rsid w:val="00E51D09"/>
    <w:rsid w:val="00E523AE"/>
    <w:rsid w:val="00E52E82"/>
    <w:rsid w:val="00E52F76"/>
    <w:rsid w:val="00E536C0"/>
    <w:rsid w:val="00E537FF"/>
    <w:rsid w:val="00E54BFE"/>
    <w:rsid w:val="00E556FA"/>
    <w:rsid w:val="00E557C1"/>
    <w:rsid w:val="00E557F3"/>
    <w:rsid w:val="00E5590F"/>
    <w:rsid w:val="00E55AA1"/>
    <w:rsid w:val="00E565FB"/>
    <w:rsid w:val="00E56885"/>
    <w:rsid w:val="00E56AC9"/>
    <w:rsid w:val="00E5734D"/>
    <w:rsid w:val="00E577BF"/>
    <w:rsid w:val="00E57F0A"/>
    <w:rsid w:val="00E60DC6"/>
    <w:rsid w:val="00E6127E"/>
    <w:rsid w:val="00E61319"/>
    <w:rsid w:val="00E61BEC"/>
    <w:rsid w:val="00E631D8"/>
    <w:rsid w:val="00E65071"/>
    <w:rsid w:val="00E65DDE"/>
    <w:rsid w:val="00E669C4"/>
    <w:rsid w:val="00E66EAD"/>
    <w:rsid w:val="00E6740C"/>
    <w:rsid w:val="00E7030A"/>
    <w:rsid w:val="00E70897"/>
    <w:rsid w:val="00E70C21"/>
    <w:rsid w:val="00E70DF0"/>
    <w:rsid w:val="00E70E21"/>
    <w:rsid w:val="00E70FCB"/>
    <w:rsid w:val="00E71027"/>
    <w:rsid w:val="00E71691"/>
    <w:rsid w:val="00E71D99"/>
    <w:rsid w:val="00E71FB7"/>
    <w:rsid w:val="00E72466"/>
    <w:rsid w:val="00E725B6"/>
    <w:rsid w:val="00E726F6"/>
    <w:rsid w:val="00E72E5E"/>
    <w:rsid w:val="00E72ED0"/>
    <w:rsid w:val="00E759AB"/>
    <w:rsid w:val="00E75ACD"/>
    <w:rsid w:val="00E76ADF"/>
    <w:rsid w:val="00E778F8"/>
    <w:rsid w:val="00E77D82"/>
    <w:rsid w:val="00E81966"/>
    <w:rsid w:val="00E81AA1"/>
    <w:rsid w:val="00E821BF"/>
    <w:rsid w:val="00E83319"/>
    <w:rsid w:val="00E835E9"/>
    <w:rsid w:val="00E83969"/>
    <w:rsid w:val="00E83E74"/>
    <w:rsid w:val="00E840AA"/>
    <w:rsid w:val="00E85252"/>
    <w:rsid w:val="00E85665"/>
    <w:rsid w:val="00E858C0"/>
    <w:rsid w:val="00E8692D"/>
    <w:rsid w:val="00E87299"/>
    <w:rsid w:val="00E909DF"/>
    <w:rsid w:val="00E90EE0"/>
    <w:rsid w:val="00E922CA"/>
    <w:rsid w:val="00E92647"/>
    <w:rsid w:val="00E92FC5"/>
    <w:rsid w:val="00E940B0"/>
    <w:rsid w:val="00E950BC"/>
    <w:rsid w:val="00E95510"/>
    <w:rsid w:val="00E9587C"/>
    <w:rsid w:val="00E95D32"/>
    <w:rsid w:val="00E95FC7"/>
    <w:rsid w:val="00E9730C"/>
    <w:rsid w:val="00EA0C8A"/>
    <w:rsid w:val="00EA120A"/>
    <w:rsid w:val="00EA1480"/>
    <w:rsid w:val="00EA2A53"/>
    <w:rsid w:val="00EA2ABA"/>
    <w:rsid w:val="00EA2E7A"/>
    <w:rsid w:val="00EA3BAC"/>
    <w:rsid w:val="00EA4B05"/>
    <w:rsid w:val="00EA5046"/>
    <w:rsid w:val="00EA546C"/>
    <w:rsid w:val="00EA5653"/>
    <w:rsid w:val="00EA5B26"/>
    <w:rsid w:val="00EA5B42"/>
    <w:rsid w:val="00EA70FF"/>
    <w:rsid w:val="00EA7888"/>
    <w:rsid w:val="00EA7911"/>
    <w:rsid w:val="00EA7C36"/>
    <w:rsid w:val="00EB1B8C"/>
    <w:rsid w:val="00EB1EB7"/>
    <w:rsid w:val="00EB25A5"/>
    <w:rsid w:val="00EB264B"/>
    <w:rsid w:val="00EB2A67"/>
    <w:rsid w:val="00EB30C9"/>
    <w:rsid w:val="00EB30DF"/>
    <w:rsid w:val="00EB31F4"/>
    <w:rsid w:val="00EB37BB"/>
    <w:rsid w:val="00EB4212"/>
    <w:rsid w:val="00EB4370"/>
    <w:rsid w:val="00EB4D61"/>
    <w:rsid w:val="00EB5A71"/>
    <w:rsid w:val="00EB6734"/>
    <w:rsid w:val="00EB6B5D"/>
    <w:rsid w:val="00EB6D36"/>
    <w:rsid w:val="00EC26B0"/>
    <w:rsid w:val="00EC2B95"/>
    <w:rsid w:val="00EC3897"/>
    <w:rsid w:val="00EC3E42"/>
    <w:rsid w:val="00EC3E4C"/>
    <w:rsid w:val="00EC3EF8"/>
    <w:rsid w:val="00EC473E"/>
    <w:rsid w:val="00EC4745"/>
    <w:rsid w:val="00EC4FED"/>
    <w:rsid w:val="00EC5358"/>
    <w:rsid w:val="00EC5A36"/>
    <w:rsid w:val="00EC6B24"/>
    <w:rsid w:val="00EC7073"/>
    <w:rsid w:val="00EC7600"/>
    <w:rsid w:val="00EC7EFF"/>
    <w:rsid w:val="00ED12C0"/>
    <w:rsid w:val="00ED3388"/>
    <w:rsid w:val="00ED440C"/>
    <w:rsid w:val="00ED5817"/>
    <w:rsid w:val="00ED62A8"/>
    <w:rsid w:val="00ED6A76"/>
    <w:rsid w:val="00EE15CE"/>
    <w:rsid w:val="00EE1C69"/>
    <w:rsid w:val="00EE1CE7"/>
    <w:rsid w:val="00EE2BC4"/>
    <w:rsid w:val="00EE332F"/>
    <w:rsid w:val="00EE3379"/>
    <w:rsid w:val="00EE3540"/>
    <w:rsid w:val="00EE3713"/>
    <w:rsid w:val="00EE52D6"/>
    <w:rsid w:val="00EE5D45"/>
    <w:rsid w:val="00EE6C9E"/>
    <w:rsid w:val="00EE77F7"/>
    <w:rsid w:val="00EE7DB4"/>
    <w:rsid w:val="00EF0435"/>
    <w:rsid w:val="00EF11AE"/>
    <w:rsid w:val="00EF1969"/>
    <w:rsid w:val="00EF1C5E"/>
    <w:rsid w:val="00EF1E9D"/>
    <w:rsid w:val="00EF2589"/>
    <w:rsid w:val="00EF25EC"/>
    <w:rsid w:val="00EF2681"/>
    <w:rsid w:val="00EF2BFD"/>
    <w:rsid w:val="00EF34B9"/>
    <w:rsid w:val="00EF383F"/>
    <w:rsid w:val="00EF38F8"/>
    <w:rsid w:val="00EF4D92"/>
    <w:rsid w:val="00EF5378"/>
    <w:rsid w:val="00EF573C"/>
    <w:rsid w:val="00EF5ED3"/>
    <w:rsid w:val="00EF6541"/>
    <w:rsid w:val="00EF6550"/>
    <w:rsid w:val="00EF77CA"/>
    <w:rsid w:val="00F0091B"/>
    <w:rsid w:val="00F01CC5"/>
    <w:rsid w:val="00F02B7B"/>
    <w:rsid w:val="00F04175"/>
    <w:rsid w:val="00F05771"/>
    <w:rsid w:val="00F0678A"/>
    <w:rsid w:val="00F074BF"/>
    <w:rsid w:val="00F077A8"/>
    <w:rsid w:val="00F07B5E"/>
    <w:rsid w:val="00F102CD"/>
    <w:rsid w:val="00F1048B"/>
    <w:rsid w:val="00F10951"/>
    <w:rsid w:val="00F10B61"/>
    <w:rsid w:val="00F132A8"/>
    <w:rsid w:val="00F1394D"/>
    <w:rsid w:val="00F13C56"/>
    <w:rsid w:val="00F13FEC"/>
    <w:rsid w:val="00F142FD"/>
    <w:rsid w:val="00F155CA"/>
    <w:rsid w:val="00F15947"/>
    <w:rsid w:val="00F1670A"/>
    <w:rsid w:val="00F177C2"/>
    <w:rsid w:val="00F201B9"/>
    <w:rsid w:val="00F21585"/>
    <w:rsid w:val="00F218B7"/>
    <w:rsid w:val="00F21A48"/>
    <w:rsid w:val="00F22EAF"/>
    <w:rsid w:val="00F24E6F"/>
    <w:rsid w:val="00F250C0"/>
    <w:rsid w:val="00F25BBC"/>
    <w:rsid w:val="00F26294"/>
    <w:rsid w:val="00F306EC"/>
    <w:rsid w:val="00F31884"/>
    <w:rsid w:val="00F31BDD"/>
    <w:rsid w:val="00F32508"/>
    <w:rsid w:val="00F33550"/>
    <w:rsid w:val="00F338E7"/>
    <w:rsid w:val="00F33973"/>
    <w:rsid w:val="00F3433B"/>
    <w:rsid w:val="00F35F04"/>
    <w:rsid w:val="00F35F68"/>
    <w:rsid w:val="00F3679A"/>
    <w:rsid w:val="00F36AA5"/>
    <w:rsid w:val="00F3765A"/>
    <w:rsid w:val="00F40413"/>
    <w:rsid w:val="00F40E31"/>
    <w:rsid w:val="00F413FC"/>
    <w:rsid w:val="00F427CA"/>
    <w:rsid w:val="00F42E3D"/>
    <w:rsid w:val="00F4339D"/>
    <w:rsid w:val="00F43B23"/>
    <w:rsid w:val="00F44FC3"/>
    <w:rsid w:val="00F456D9"/>
    <w:rsid w:val="00F5030C"/>
    <w:rsid w:val="00F52A49"/>
    <w:rsid w:val="00F52C95"/>
    <w:rsid w:val="00F5367B"/>
    <w:rsid w:val="00F5387B"/>
    <w:rsid w:val="00F5467E"/>
    <w:rsid w:val="00F54BA5"/>
    <w:rsid w:val="00F54BE0"/>
    <w:rsid w:val="00F54EB2"/>
    <w:rsid w:val="00F54FF0"/>
    <w:rsid w:val="00F564C6"/>
    <w:rsid w:val="00F56FF4"/>
    <w:rsid w:val="00F57AB2"/>
    <w:rsid w:val="00F57CFE"/>
    <w:rsid w:val="00F57E5D"/>
    <w:rsid w:val="00F60A49"/>
    <w:rsid w:val="00F60F45"/>
    <w:rsid w:val="00F61D8F"/>
    <w:rsid w:val="00F621C1"/>
    <w:rsid w:val="00F63864"/>
    <w:rsid w:val="00F6407E"/>
    <w:rsid w:val="00F646EE"/>
    <w:rsid w:val="00F65257"/>
    <w:rsid w:val="00F65676"/>
    <w:rsid w:val="00F65AF5"/>
    <w:rsid w:val="00F66D2D"/>
    <w:rsid w:val="00F70CB8"/>
    <w:rsid w:val="00F71596"/>
    <w:rsid w:val="00F7399D"/>
    <w:rsid w:val="00F73E5E"/>
    <w:rsid w:val="00F74C40"/>
    <w:rsid w:val="00F74E37"/>
    <w:rsid w:val="00F74FD6"/>
    <w:rsid w:val="00F76033"/>
    <w:rsid w:val="00F7618B"/>
    <w:rsid w:val="00F7699A"/>
    <w:rsid w:val="00F80CE5"/>
    <w:rsid w:val="00F82427"/>
    <w:rsid w:val="00F8252F"/>
    <w:rsid w:val="00F838EF"/>
    <w:rsid w:val="00F8391F"/>
    <w:rsid w:val="00F83B13"/>
    <w:rsid w:val="00F84339"/>
    <w:rsid w:val="00F846A9"/>
    <w:rsid w:val="00F8554C"/>
    <w:rsid w:val="00F856E9"/>
    <w:rsid w:val="00F85F2D"/>
    <w:rsid w:val="00F862D0"/>
    <w:rsid w:val="00F86355"/>
    <w:rsid w:val="00F869A4"/>
    <w:rsid w:val="00F86D4B"/>
    <w:rsid w:val="00F90909"/>
    <w:rsid w:val="00F926BC"/>
    <w:rsid w:val="00F92CA5"/>
    <w:rsid w:val="00F93B5C"/>
    <w:rsid w:val="00F93C4D"/>
    <w:rsid w:val="00F93EFA"/>
    <w:rsid w:val="00F94116"/>
    <w:rsid w:val="00F94453"/>
    <w:rsid w:val="00F94B4B"/>
    <w:rsid w:val="00F95126"/>
    <w:rsid w:val="00F9513A"/>
    <w:rsid w:val="00F95B7B"/>
    <w:rsid w:val="00F95D6A"/>
    <w:rsid w:val="00F962F3"/>
    <w:rsid w:val="00F96371"/>
    <w:rsid w:val="00F96718"/>
    <w:rsid w:val="00F97A5E"/>
    <w:rsid w:val="00FA04AD"/>
    <w:rsid w:val="00FA19CC"/>
    <w:rsid w:val="00FA1DC6"/>
    <w:rsid w:val="00FA2035"/>
    <w:rsid w:val="00FA296B"/>
    <w:rsid w:val="00FA2C37"/>
    <w:rsid w:val="00FA3CD6"/>
    <w:rsid w:val="00FA41CF"/>
    <w:rsid w:val="00FA467D"/>
    <w:rsid w:val="00FA69A5"/>
    <w:rsid w:val="00FA6B86"/>
    <w:rsid w:val="00FA759D"/>
    <w:rsid w:val="00FB0361"/>
    <w:rsid w:val="00FB064B"/>
    <w:rsid w:val="00FB0CE7"/>
    <w:rsid w:val="00FB155E"/>
    <w:rsid w:val="00FB1C1B"/>
    <w:rsid w:val="00FB220B"/>
    <w:rsid w:val="00FB22F8"/>
    <w:rsid w:val="00FB2C32"/>
    <w:rsid w:val="00FB2C74"/>
    <w:rsid w:val="00FB37FF"/>
    <w:rsid w:val="00FB4147"/>
    <w:rsid w:val="00FB5436"/>
    <w:rsid w:val="00FB57A6"/>
    <w:rsid w:val="00FB5905"/>
    <w:rsid w:val="00FB619D"/>
    <w:rsid w:val="00FB7DD0"/>
    <w:rsid w:val="00FC0D89"/>
    <w:rsid w:val="00FC0FA3"/>
    <w:rsid w:val="00FC1E77"/>
    <w:rsid w:val="00FC3FB4"/>
    <w:rsid w:val="00FC41C1"/>
    <w:rsid w:val="00FC4360"/>
    <w:rsid w:val="00FC6328"/>
    <w:rsid w:val="00FC6F91"/>
    <w:rsid w:val="00FC6FB3"/>
    <w:rsid w:val="00FC725B"/>
    <w:rsid w:val="00FD0ADC"/>
    <w:rsid w:val="00FD0B7B"/>
    <w:rsid w:val="00FD1787"/>
    <w:rsid w:val="00FD20F9"/>
    <w:rsid w:val="00FD2772"/>
    <w:rsid w:val="00FD31FF"/>
    <w:rsid w:val="00FD43AF"/>
    <w:rsid w:val="00FD4C73"/>
    <w:rsid w:val="00FD626C"/>
    <w:rsid w:val="00FD7183"/>
    <w:rsid w:val="00FD745A"/>
    <w:rsid w:val="00FE00B5"/>
    <w:rsid w:val="00FE027F"/>
    <w:rsid w:val="00FE2EE5"/>
    <w:rsid w:val="00FE32C0"/>
    <w:rsid w:val="00FE35DB"/>
    <w:rsid w:val="00FE39BD"/>
    <w:rsid w:val="00FE6F63"/>
    <w:rsid w:val="00FE71B9"/>
    <w:rsid w:val="00FE76F1"/>
    <w:rsid w:val="00FE7800"/>
    <w:rsid w:val="00FE7829"/>
    <w:rsid w:val="00FF01BC"/>
    <w:rsid w:val="00FF15AD"/>
    <w:rsid w:val="00FF1BB7"/>
    <w:rsid w:val="00FF21EA"/>
    <w:rsid w:val="00FF2778"/>
    <w:rsid w:val="00FF2BC5"/>
    <w:rsid w:val="00FF3188"/>
    <w:rsid w:val="00FF4422"/>
    <w:rsid w:val="00FF4AE2"/>
    <w:rsid w:val="00FF50FC"/>
    <w:rsid w:val="00FF60AD"/>
    <w:rsid w:val="00FF6828"/>
    <w:rsid w:val="00FF6C47"/>
    <w:rsid w:val="00FF7058"/>
    <w:rsid w:val="00FF738C"/>
    <w:rsid w:val="00FF7832"/>
    <w:rsid w:val="00FF7B28"/>
    <w:rsid w:val="00FF7DEE"/>
    <w:rsid w:val="00FF7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7E10BE"/>
  <w15:docId w15:val="{A92907F9-3C28-471A-9C73-7A757ADC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AA9"/>
    <w:pPr>
      <w:widowControl w:val="0"/>
      <w:autoSpaceDE w:val="0"/>
      <w:autoSpaceDN w:val="0"/>
      <w:adjustRightInd w:val="0"/>
    </w:pPr>
    <w:rPr>
      <w:sz w:val="24"/>
      <w:szCs w:val="24"/>
    </w:rPr>
  </w:style>
  <w:style w:type="paragraph" w:styleId="Heading1">
    <w:name w:val="heading 1"/>
    <w:basedOn w:val="Normal"/>
    <w:next w:val="Normal"/>
    <w:link w:val="Heading1Char"/>
    <w:autoRedefine/>
    <w:uiPriority w:val="99"/>
    <w:qFormat/>
    <w:locked/>
    <w:rsid w:val="004F4D40"/>
    <w:pPr>
      <w:keepNext/>
      <w:keepLines/>
      <w:widowControl/>
      <w:autoSpaceDE/>
      <w:autoSpaceDN/>
      <w:adjustRightInd/>
      <w:spacing w:before="480" w:line="276" w:lineRule="auto"/>
      <w:outlineLvl w:val="0"/>
    </w:pPr>
    <w:rPr>
      <w:b/>
      <w:bCs/>
      <w:iCs/>
      <w:sz w:val="28"/>
      <w:szCs w:val="28"/>
    </w:rPr>
  </w:style>
  <w:style w:type="paragraph" w:styleId="Heading2">
    <w:name w:val="heading 2"/>
    <w:basedOn w:val="Normal"/>
    <w:next w:val="Normal"/>
    <w:link w:val="Heading2Char"/>
    <w:autoRedefine/>
    <w:uiPriority w:val="99"/>
    <w:qFormat/>
    <w:locked/>
    <w:rsid w:val="00485C57"/>
    <w:pPr>
      <w:keepNext/>
      <w:keepLines/>
      <w:numPr>
        <w:numId w:val="12"/>
      </w:numPr>
      <w:spacing w:before="120"/>
      <w:ind w:left="360"/>
      <w:outlineLvl w:val="1"/>
    </w:pPr>
    <w:rPr>
      <w:rFonts w:asciiTheme="minorHAnsi" w:hAnsiTheme="minorHAnsi" w:cstheme="minorHAnsi"/>
      <w:b/>
      <w:bCs/>
      <w:sz w:val="32"/>
      <w:szCs w:val="32"/>
    </w:rPr>
  </w:style>
  <w:style w:type="paragraph" w:styleId="Heading3">
    <w:name w:val="heading 3"/>
    <w:basedOn w:val="Normal"/>
    <w:next w:val="Normal"/>
    <w:link w:val="Heading3Char"/>
    <w:autoRedefine/>
    <w:uiPriority w:val="99"/>
    <w:qFormat/>
    <w:locked/>
    <w:rsid w:val="001D45C8"/>
    <w:pPr>
      <w:keepNext/>
      <w:keepLines/>
      <w:numPr>
        <w:numId w:val="9"/>
      </w:numPr>
      <w:spacing w:before="120"/>
      <w:ind w:left="360"/>
      <w:outlineLvl w:val="2"/>
    </w:pPr>
    <w:rPr>
      <w:rFonts w:asciiTheme="minorHAnsi" w:hAnsiTheme="minorHAnsi" w:cstheme="minorHAnsi"/>
      <w:b/>
      <w:bCs/>
      <w:sz w:val="28"/>
      <w:szCs w:val="28"/>
    </w:rPr>
  </w:style>
  <w:style w:type="paragraph" w:styleId="Heading4">
    <w:name w:val="heading 4"/>
    <w:basedOn w:val="Normal"/>
    <w:next w:val="Normal"/>
    <w:link w:val="Heading4Char"/>
    <w:autoRedefine/>
    <w:uiPriority w:val="9"/>
    <w:unhideWhenUsed/>
    <w:qFormat/>
    <w:locked/>
    <w:rsid w:val="00E44D46"/>
    <w:pPr>
      <w:keepNext/>
      <w:keepLines/>
      <w:spacing w:before="40"/>
      <w:outlineLvl w:val="3"/>
    </w:pPr>
    <w:rPr>
      <w:rFonts w:eastAsiaTheme="majorEastAsia" w:cstheme="majorBidi"/>
      <w:b/>
      <w:iCs/>
    </w:rPr>
  </w:style>
  <w:style w:type="paragraph" w:styleId="Heading5">
    <w:name w:val="heading 5"/>
    <w:basedOn w:val="Normal"/>
    <w:next w:val="Normal"/>
    <w:link w:val="Heading5Char"/>
    <w:unhideWhenUsed/>
    <w:qFormat/>
    <w:locked/>
    <w:rsid w:val="00D93CB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4D40"/>
    <w:rPr>
      <w:b/>
      <w:bCs/>
      <w:iCs/>
      <w:sz w:val="28"/>
      <w:szCs w:val="28"/>
    </w:rPr>
  </w:style>
  <w:style w:type="character" w:customStyle="1" w:styleId="Heading2Char">
    <w:name w:val="Heading 2 Char"/>
    <w:basedOn w:val="DefaultParagraphFont"/>
    <w:link w:val="Heading2"/>
    <w:uiPriority w:val="99"/>
    <w:locked/>
    <w:rsid w:val="00485C57"/>
    <w:rPr>
      <w:rFonts w:asciiTheme="minorHAnsi" w:hAnsiTheme="minorHAnsi" w:cstheme="minorHAnsi"/>
      <w:b/>
      <w:bCs/>
      <w:sz w:val="32"/>
      <w:szCs w:val="32"/>
    </w:rPr>
  </w:style>
  <w:style w:type="character" w:customStyle="1" w:styleId="Heading3Char">
    <w:name w:val="Heading 3 Char"/>
    <w:basedOn w:val="DefaultParagraphFont"/>
    <w:link w:val="Heading3"/>
    <w:uiPriority w:val="99"/>
    <w:locked/>
    <w:rsid w:val="001D45C8"/>
    <w:rPr>
      <w:rFonts w:asciiTheme="minorHAnsi" w:hAnsiTheme="minorHAnsi" w:cstheme="minorHAnsi"/>
      <w:b/>
      <w:bCs/>
      <w:sz w:val="28"/>
      <w:szCs w:val="28"/>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39"/>
    <w:rsid w:val="006B4C20"/>
    <w:pPr>
      <w:spacing w:before="360"/>
    </w:pPr>
    <w:rPr>
      <w:rFonts w:asciiTheme="majorHAnsi" w:hAnsiTheme="majorHAnsi"/>
      <w:b/>
      <w:bCs/>
      <w:caps/>
    </w:rPr>
  </w:style>
  <w:style w:type="paragraph" w:styleId="TOC2">
    <w:name w:val="toc 2"/>
    <w:basedOn w:val="Normal"/>
    <w:next w:val="Normal"/>
    <w:link w:val="TOC2Char"/>
    <w:autoRedefine/>
    <w:uiPriority w:val="39"/>
    <w:rsid w:val="00F43B23"/>
    <w:pPr>
      <w:spacing w:before="240"/>
    </w:pPr>
    <w:rPr>
      <w:rFonts w:asciiTheme="minorHAnsi" w:hAnsiTheme="minorHAnsi" w:cstheme="minorHAnsi"/>
      <w:bCs/>
      <w:sz w:val="28"/>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34"/>
    <w:qFormat/>
    <w:rsid w:val="00F5367B"/>
    <w:pPr>
      <w:widowControl/>
      <w:autoSpaceDE/>
      <w:autoSpaceDN/>
      <w:adjustRightInd/>
      <w:spacing w:after="200" w:line="276" w:lineRule="auto"/>
      <w:ind w:left="720"/>
      <w:contextualSpacing/>
    </w:pPr>
    <w:rPr>
      <w:rFonts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3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39"/>
    <w:locked/>
    <w:rsid w:val="00F43B23"/>
    <w:pPr>
      <w:ind w:left="240"/>
    </w:pPr>
    <w:rPr>
      <w:rFonts w:asciiTheme="minorHAnsi" w:hAnsiTheme="minorHAnsi" w:cstheme="minorHAnsi"/>
      <w:szCs w:val="20"/>
    </w:rPr>
  </w:style>
  <w:style w:type="paragraph" w:styleId="TOC4">
    <w:name w:val="toc 4"/>
    <w:basedOn w:val="Normal"/>
    <w:next w:val="Normal"/>
    <w:autoRedefine/>
    <w:uiPriority w:val="39"/>
    <w:locked/>
    <w:rsid w:val="003C664A"/>
    <w:pPr>
      <w:ind w:left="480"/>
    </w:pPr>
    <w:rPr>
      <w:rFonts w:asciiTheme="minorHAnsi" w:hAnsiTheme="minorHAnsi" w:cstheme="minorHAnsi"/>
      <w:sz w:val="20"/>
      <w:szCs w:val="20"/>
    </w:rPr>
  </w:style>
  <w:style w:type="paragraph" w:styleId="TOC5">
    <w:name w:val="toc 5"/>
    <w:basedOn w:val="Normal"/>
    <w:next w:val="Normal"/>
    <w:autoRedefine/>
    <w:uiPriority w:val="99"/>
    <w:locked/>
    <w:rsid w:val="003C664A"/>
    <w:pPr>
      <w:ind w:left="720"/>
    </w:pPr>
    <w:rPr>
      <w:rFonts w:asciiTheme="minorHAnsi" w:hAnsiTheme="minorHAnsi" w:cstheme="minorHAnsi"/>
      <w:sz w:val="20"/>
      <w:szCs w:val="20"/>
    </w:rPr>
  </w:style>
  <w:style w:type="paragraph" w:styleId="TOC6">
    <w:name w:val="toc 6"/>
    <w:basedOn w:val="Normal"/>
    <w:next w:val="Normal"/>
    <w:autoRedefine/>
    <w:uiPriority w:val="99"/>
    <w:locked/>
    <w:rsid w:val="003C664A"/>
    <w:pPr>
      <w:ind w:left="960"/>
    </w:pPr>
    <w:rPr>
      <w:rFonts w:asciiTheme="minorHAnsi" w:hAnsiTheme="minorHAnsi" w:cstheme="minorHAnsi"/>
      <w:sz w:val="20"/>
      <w:szCs w:val="20"/>
    </w:rPr>
  </w:style>
  <w:style w:type="paragraph" w:styleId="TOC7">
    <w:name w:val="toc 7"/>
    <w:basedOn w:val="Normal"/>
    <w:next w:val="Normal"/>
    <w:autoRedefine/>
    <w:uiPriority w:val="99"/>
    <w:locked/>
    <w:rsid w:val="003C664A"/>
    <w:pPr>
      <w:ind w:left="1200"/>
    </w:pPr>
    <w:rPr>
      <w:rFonts w:asciiTheme="minorHAnsi" w:hAnsiTheme="minorHAnsi" w:cstheme="minorHAnsi"/>
      <w:sz w:val="20"/>
      <w:szCs w:val="20"/>
    </w:rPr>
  </w:style>
  <w:style w:type="paragraph" w:styleId="TOC8">
    <w:name w:val="toc 8"/>
    <w:basedOn w:val="Normal"/>
    <w:next w:val="Normal"/>
    <w:autoRedefine/>
    <w:uiPriority w:val="99"/>
    <w:locked/>
    <w:rsid w:val="003C664A"/>
    <w:pPr>
      <w:ind w:left="1440"/>
    </w:pPr>
    <w:rPr>
      <w:rFonts w:asciiTheme="minorHAnsi" w:hAnsiTheme="minorHAnsi" w:cstheme="minorHAnsi"/>
      <w:sz w:val="20"/>
      <w:szCs w:val="20"/>
    </w:rPr>
  </w:style>
  <w:style w:type="paragraph" w:styleId="TOC9">
    <w:name w:val="toc 9"/>
    <w:basedOn w:val="Normal"/>
    <w:next w:val="Normal"/>
    <w:autoRedefine/>
    <w:uiPriority w:val="99"/>
    <w:locked/>
    <w:rsid w:val="003C664A"/>
    <w:pPr>
      <w:ind w:left="1680"/>
    </w:pPr>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783189"/>
  </w:style>
  <w:style w:type="table" w:styleId="TableGridLight">
    <w:name w:val="Grid Table Light"/>
    <w:basedOn w:val="TableNormal"/>
    <w:uiPriority w:val="40"/>
    <w:rsid w:val="00185C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345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rsid w:val="00E44D46"/>
    <w:rPr>
      <w:rFonts w:eastAsiaTheme="majorEastAsia" w:cstheme="majorBidi"/>
      <w:b/>
      <w:iCs/>
      <w:sz w:val="24"/>
      <w:szCs w:val="24"/>
    </w:rPr>
  </w:style>
  <w:style w:type="character" w:customStyle="1" w:styleId="Heading5Char">
    <w:name w:val="Heading 5 Char"/>
    <w:basedOn w:val="DefaultParagraphFont"/>
    <w:link w:val="Heading5"/>
    <w:rsid w:val="00D93CB3"/>
    <w:rPr>
      <w:rFonts w:asciiTheme="majorHAnsi" w:eastAsiaTheme="majorEastAsia" w:hAnsiTheme="majorHAnsi" w:cstheme="majorBidi"/>
      <w:color w:val="365F91" w:themeColor="accent1" w:themeShade="BF"/>
      <w:sz w:val="24"/>
      <w:szCs w:val="24"/>
    </w:rPr>
  </w:style>
  <w:style w:type="paragraph" w:customStyle="1" w:styleId="HeadingLevel3Appendices">
    <w:name w:val="Heading Level 3 Appendices"/>
    <w:basedOn w:val="Normal"/>
    <w:link w:val="HeadingLevel3AppendicesChar"/>
    <w:qFormat/>
    <w:rsid w:val="00C303F0"/>
    <w:pPr>
      <w:tabs>
        <w:tab w:val="right" w:leader="dot" w:pos="9530"/>
      </w:tabs>
    </w:pPr>
    <w:rPr>
      <w:noProof/>
    </w:rPr>
  </w:style>
  <w:style w:type="character" w:customStyle="1" w:styleId="TOC2Char">
    <w:name w:val="TOC 2 Char"/>
    <w:basedOn w:val="DefaultParagraphFont"/>
    <w:link w:val="TOC2"/>
    <w:uiPriority w:val="39"/>
    <w:rsid w:val="00F43B23"/>
    <w:rPr>
      <w:rFonts w:asciiTheme="minorHAnsi" w:hAnsiTheme="minorHAnsi" w:cstheme="minorHAnsi"/>
      <w:bCs/>
      <w:sz w:val="28"/>
      <w:szCs w:val="20"/>
    </w:rPr>
  </w:style>
  <w:style w:type="character" w:customStyle="1" w:styleId="HeadingLevel3AppendicesChar">
    <w:name w:val="Heading Level 3 Appendices Char"/>
    <w:basedOn w:val="TOC2Char"/>
    <w:link w:val="HeadingLevel3Appendices"/>
    <w:rsid w:val="00C303F0"/>
    <w:rPr>
      <w:rFonts w:asciiTheme="minorHAnsi" w:hAnsiTheme="minorHAnsi" w:cstheme="minorHAnsi"/>
      <w:bCs/>
      <w:smallCaps/>
      <w:noProof/>
      <w:sz w:val="24"/>
      <w:szCs w:val="24"/>
    </w:rPr>
  </w:style>
  <w:style w:type="character" w:customStyle="1" w:styleId="cf01">
    <w:name w:val="cf01"/>
    <w:basedOn w:val="DefaultParagraphFont"/>
    <w:rsid w:val="00996CB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295343">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787431808">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33B0D-8D02-461B-AD51-358F7422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5924</Words>
  <Characters>33772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39617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dgibbs</dc:creator>
  <cp:lastModifiedBy>Eccles, Tanesha - OSHA</cp:lastModifiedBy>
  <cp:revision>2</cp:revision>
  <cp:lastPrinted>2017-07-11T15:59:00Z</cp:lastPrinted>
  <dcterms:created xsi:type="dcterms:W3CDTF">2025-06-05T12:37:00Z</dcterms:created>
  <dcterms:modified xsi:type="dcterms:W3CDTF">2025-06-05T12:37:00Z</dcterms:modified>
</cp:coreProperties>
</file>