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DDC" w14:textId="19FDC7E8" w:rsidR="005E1653" w:rsidRPr="008A082C" w:rsidRDefault="005E1653" w:rsidP="008A082C">
      <w:pPr>
        <w:adjustRightInd/>
        <w:spacing w:before="68"/>
        <w:ind w:right="90"/>
        <w:jc w:val="both"/>
        <w:outlineLvl w:val="0"/>
        <w:rPr>
          <w:rFonts w:asciiTheme="minorHAnsi" w:hAnsiTheme="minorHAnsi" w:cstheme="minorHAnsi"/>
          <w:b/>
          <w:bCs/>
          <w:sz w:val="28"/>
          <w:szCs w:val="28"/>
        </w:rPr>
      </w:pPr>
      <w:bookmarkStart w:id="0" w:name="_Toc118900169"/>
      <w:bookmarkStart w:id="1" w:name="_Toc118905008"/>
      <w:r w:rsidRPr="008A082C">
        <w:rPr>
          <w:rFonts w:asciiTheme="minorHAnsi" w:hAnsiTheme="minorHAnsi" w:cstheme="minorHAnsi"/>
          <w:b/>
          <w:bCs/>
          <w:sz w:val="28"/>
          <w:szCs w:val="28"/>
        </w:rPr>
        <w:t>FY</w:t>
      </w:r>
      <w:r w:rsidRPr="008A082C">
        <w:rPr>
          <w:rFonts w:asciiTheme="minorHAnsi" w:hAnsiTheme="minorHAnsi" w:cstheme="minorHAnsi"/>
          <w:b/>
          <w:bCs/>
          <w:spacing w:val="-11"/>
          <w:sz w:val="28"/>
          <w:szCs w:val="28"/>
        </w:rPr>
        <w:t xml:space="preserve"> </w:t>
      </w:r>
      <w:r w:rsidR="008E0C50" w:rsidRPr="008A082C">
        <w:rPr>
          <w:rFonts w:asciiTheme="minorHAnsi" w:hAnsiTheme="minorHAnsi" w:cstheme="minorHAnsi"/>
          <w:b/>
          <w:bCs/>
          <w:sz w:val="28"/>
          <w:szCs w:val="28"/>
        </w:rPr>
        <w:t>202</w:t>
      </w:r>
      <w:r w:rsidR="008E0C50">
        <w:rPr>
          <w:rFonts w:asciiTheme="minorHAnsi" w:hAnsiTheme="minorHAnsi" w:cstheme="minorHAnsi"/>
          <w:b/>
          <w:bCs/>
          <w:sz w:val="28"/>
          <w:szCs w:val="28"/>
        </w:rPr>
        <w:t>4</w:t>
      </w:r>
      <w:r w:rsidR="008E0C50" w:rsidRPr="008A082C">
        <w:rPr>
          <w:rFonts w:asciiTheme="minorHAnsi" w:hAnsiTheme="minorHAnsi" w:cstheme="minorHAnsi"/>
          <w:b/>
          <w:bCs/>
          <w:sz w:val="28"/>
          <w:szCs w:val="28"/>
        </w:rPr>
        <w:t xml:space="preserve"> </w:t>
      </w:r>
      <w:r w:rsidRPr="008A082C">
        <w:rPr>
          <w:rFonts w:asciiTheme="minorHAnsi" w:hAnsiTheme="minorHAnsi" w:cstheme="minorHAnsi"/>
          <w:b/>
          <w:bCs/>
          <w:sz w:val="28"/>
          <w:szCs w:val="28"/>
        </w:rPr>
        <w:t>Follow-up</w:t>
      </w:r>
      <w:r w:rsidR="008A082C" w:rsidRPr="008A082C">
        <w:rPr>
          <w:rFonts w:asciiTheme="minorHAnsi" w:hAnsiTheme="minorHAnsi" w:cstheme="minorHAnsi"/>
          <w:b/>
          <w:bCs/>
          <w:sz w:val="28"/>
          <w:szCs w:val="28"/>
        </w:rPr>
        <w:t xml:space="preserve"> </w:t>
      </w:r>
      <w:r w:rsidRPr="008A082C">
        <w:rPr>
          <w:rFonts w:asciiTheme="minorHAnsi" w:hAnsiTheme="minorHAnsi" w:cstheme="minorHAnsi"/>
          <w:b/>
          <w:spacing w:val="-2"/>
          <w:sz w:val="28"/>
          <w:szCs w:val="28"/>
        </w:rPr>
        <w:t>Federal</w:t>
      </w:r>
      <w:r w:rsidRPr="008A082C">
        <w:rPr>
          <w:rFonts w:asciiTheme="minorHAnsi" w:hAnsiTheme="minorHAnsi" w:cstheme="minorHAnsi"/>
          <w:b/>
          <w:spacing w:val="-8"/>
          <w:sz w:val="28"/>
          <w:szCs w:val="28"/>
        </w:rPr>
        <w:t xml:space="preserve"> </w:t>
      </w:r>
      <w:r w:rsidRPr="008A082C">
        <w:rPr>
          <w:rFonts w:asciiTheme="minorHAnsi" w:hAnsiTheme="minorHAnsi" w:cstheme="minorHAnsi"/>
          <w:b/>
          <w:spacing w:val="-2"/>
          <w:sz w:val="28"/>
          <w:szCs w:val="28"/>
        </w:rPr>
        <w:t>Annual</w:t>
      </w:r>
      <w:r w:rsidRPr="008A082C">
        <w:rPr>
          <w:rFonts w:asciiTheme="minorHAnsi" w:hAnsiTheme="minorHAnsi" w:cstheme="minorHAnsi"/>
          <w:b/>
          <w:spacing w:val="-5"/>
          <w:sz w:val="28"/>
          <w:szCs w:val="28"/>
        </w:rPr>
        <w:t xml:space="preserve"> </w:t>
      </w:r>
      <w:r w:rsidRPr="008A082C">
        <w:rPr>
          <w:rFonts w:asciiTheme="minorHAnsi" w:hAnsiTheme="minorHAnsi" w:cstheme="minorHAnsi"/>
          <w:b/>
          <w:spacing w:val="-2"/>
          <w:sz w:val="28"/>
          <w:szCs w:val="28"/>
        </w:rPr>
        <w:t>Monitoring</w:t>
      </w:r>
      <w:r w:rsidRPr="008A082C">
        <w:rPr>
          <w:rFonts w:asciiTheme="minorHAnsi" w:hAnsiTheme="minorHAnsi" w:cstheme="minorHAnsi"/>
          <w:b/>
          <w:spacing w:val="-9"/>
          <w:sz w:val="28"/>
          <w:szCs w:val="28"/>
        </w:rPr>
        <w:t xml:space="preserve"> </w:t>
      </w:r>
      <w:r w:rsidRPr="008A082C">
        <w:rPr>
          <w:rFonts w:asciiTheme="minorHAnsi" w:hAnsiTheme="minorHAnsi" w:cstheme="minorHAnsi"/>
          <w:b/>
          <w:spacing w:val="-2"/>
          <w:sz w:val="28"/>
          <w:szCs w:val="28"/>
        </w:rPr>
        <w:t>Evaluation</w:t>
      </w:r>
      <w:r w:rsidRPr="008A082C">
        <w:rPr>
          <w:rFonts w:asciiTheme="minorHAnsi" w:hAnsiTheme="minorHAnsi" w:cstheme="minorHAnsi"/>
          <w:b/>
          <w:spacing w:val="-9"/>
          <w:sz w:val="28"/>
          <w:szCs w:val="28"/>
        </w:rPr>
        <w:t xml:space="preserve"> </w:t>
      </w:r>
      <w:r w:rsidRPr="008A082C">
        <w:rPr>
          <w:rFonts w:asciiTheme="minorHAnsi" w:hAnsiTheme="minorHAnsi" w:cstheme="minorHAnsi"/>
          <w:b/>
          <w:spacing w:val="-2"/>
          <w:sz w:val="28"/>
          <w:szCs w:val="28"/>
        </w:rPr>
        <w:t>(FAME)</w:t>
      </w:r>
      <w:r w:rsidR="008A082C">
        <w:rPr>
          <w:rFonts w:asciiTheme="minorHAnsi" w:hAnsiTheme="minorHAnsi" w:cstheme="minorHAnsi"/>
          <w:b/>
          <w:spacing w:val="-11"/>
          <w:sz w:val="28"/>
          <w:szCs w:val="28"/>
        </w:rPr>
        <w:t xml:space="preserve"> </w:t>
      </w:r>
      <w:r w:rsidRPr="008A082C">
        <w:rPr>
          <w:rFonts w:asciiTheme="minorHAnsi" w:hAnsiTheme="minorHAnsi" w:cstheme="minorHAnsi"/>
          <w:b/>
          <w:spacing w:val="-2"/>
          <w:sz w:val="28"/>
          <w:szCs w:val="28"/>
        </w:rPr>
        <w:t>Report</w:t>
      </w:r>
    </w:p>
    <w:p w14:paraId="521A3374" w14:textId="6EA6ADE3" w:rsidR="008A082C" w:rsidRDefault="008A082C" w:rsidP="008A082C">
      <w:pPr>
        <w:adjustRightInd/>
        <w:spacing w:line="242" w:lineRule="auto"/>
        <w:ind w:right="1197"/>
        <w:rPr>
          <w:rFonts w:asciiTheme="minorHAnsi" w:hAnsiTheme="minorHAnsi" w:cstheme="minorHAnsi"/>
          <w:b/>
          <w:sz w:val="47"/>
        </w:rPr>
      </w:pPr>
    </w:p>
    <w:p w14:paraId="68E5088C" w14:textId="77777777" w:rsidR="00802DF9" w:rsidRDefault="00802DF9" w:rsidP="008A082C">
      <w:pPr>
        <w:adjustRightInd/>
        <w:spacing w:line="242" w:lineRule="auto"/>
        <w:rPr>
          <w:rFonts w:asciiTheme="minorHAnsi" w:hAnsiTheme="minorHAnsi" w:cstheme="minorHAnsi"/>
          <w:b/>
          <w:bCs/>
          <w:sz w:val="28"/>
          <w:szCs w:val="28"/>
        </w:rPr>
      </w:pPr>
      <w:r>
        <w:rPr>
          <w:rFonts w:asciiTheme="minorHAnsi" w:hAnsiTheme="minorHAnsi" w:cstheme="minorHAnsi"/>
          <w:b/>
          <w:bCs/>
          <w:sz w:val="28"/>
          <w:szCs w:val="28"/>
        </w:rPr>
        <w:t>State of Oregon</w:t>
      </w:r>
    </w:p>
    <w:p w14:paraId="401E1D9D" w14:textId="2F18E3B9" w:rsidR="00110323" w:rsidRDefault="005E1653" w:rsidP="008A082C">
      <w:pPr>
        <w:adjustRightInd/>
        <w:spacing w:line="242" w:lineRule="auto"/>
        <w:rPr>
          <w:rFonts w:asciiTheme="minorHAnsi" w:hAnsiTheme="minorHAnsi" w:cstheme="minorHAnsi"/>
          <w:b/>
          <w:bCs/>
          <w:sz w:val="28"/>
          <w:szCs w:val="28"/>
        </w:rPr>
      </w:pPr>
      <w:r w:rsidRPr="00E87236">
        <w:rPr>
          <w:rFonts w:asciiTheme="minorHAnsi" w:hAnsiTheme="minorHAnsi" w:cstheme="minorHAnsi"/>
          <w:b/>
          <w:bCs/>
          <w:sz w:val="28"/>
          <w:szCs w:val="28"/>
        </w:rPr>
        <w:t>Oregon</w:t>
      </w:r>
      <w:r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Department</w:t>
      </w:r>
      <w:r w:rsidRPr="00E87236">
        <w:rPr>
          <w:rFonts w:asciiTheme="minorHAnsi" w:hAnsiTheme="minorHAnsi" w:cstheme="minorHAnsi"/>
          <w:b/>
          <w:bCs/>
          <w:spacing w:val="-15"/>
          <w:sz w:val="28"/>
          <w:szCs w:val="28"/>
        </w:rPr>
        <w:t xml:space="preserve"> </w:t>
      </w:r>
      <w:r w:rsidRPr="00E87236">
        <w:rPr>
          <w:rFonts w:asciiTheme="minorHAnsi" w:hAnsiTheme="minorHAnsi" w:cstheme="minorHAnsi"/>
          <w:b/>
          <w:bCs/>
          <w:sz w:val="28"/>
          <w:szCs w:val="28"/>
        </w:rPr>
        <w:t>of</w:t>
      </w:r>
      <w:r w:rsidRPr="00E87236">
        <w:rPr>
          <w:rFonts w:asciiTheme="minorHAnsi" w:hAnsiTheme="minorHAnsi" w:cstheme="minorHAnsi"/>
          <w:b/>
          <w:bCs/>
          <w:spacing w:val="-14"/>
          <w:sz w:val="28"/>
          <w:szCs w:val="28"/>
        </w:rPr>
        <w:t xml:space="preserve"> </w:t>
      </w:r>
      <w:r w:rsidRPr="00E87236">
        <w:rPr>
          <w:rFonts w:asciiTheme="minorHAnsi" w:hAnsiTheme="minorHAnsi" w:cstheme="minorHAnsi"/>
          <w:b/>
          <w:bCs/>
          <w:sz w:val="28"/>
          <w:szCs w:val="28"/>
        </w:rPr>
        <w:t>Consumer</w:t>
      </w:r>
      <w:r w:rsidRPr="00E87236">
        <w:rPr>
          <w:rFonts w:asciiTheme="minorHAnsi" w:hAnsiTheme="minorHAnsi" w:cstheme="minorHAnsi"/>
          <w:b/>
          <w:bCs/>
          <w:spacing w:val="-14"/>
          <w:sz w:val="28"/>
          <w:szCs w:val="28"/>
        </w:rPr>
        <w:t xml:space="preserve"> </w:t>
      </w:r>
      <w:r w:rsidRPr="00E87236">
        <w:rPr>
          <w:rFonts w:asciiTheme="minorHAnsi" w:hAnsiTheme="minorHAnsi" w:cstheme="minorHAnsi"/>
          <w:b/>
          <w:bCs/>
          <w:sz w:val="28"/>
          <w:szCs w:val="28"/>
        </w:rPr>
        <w:t>and</w:t>
      </w:r>
      <w:r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Business</w:t>
      </w:r>
      <w:r w:rsidR="008A082C" w:rsidRPr="00E87236">
        <w:rPr>
          <w:rFonts w:asciiTheme="minorHAnsi" w:hAnsiTheme="minorHAnsi" w:cstheme="minorHAnsi"/>
          <w:b/>
          <w:bCs/>
          <w:spacing w:val="-13"/>
          <w:sz w:val="28"/>
          <w:szCs w:val="28"/>
        </w:rPr>
        <w:t xml:space="preserve"> </w:t>
      </w:r>
      <w:r w:rsidRPr="00E87236">
        <w:rPr>
          <w:rFonts w:asciiTheme="minorHAnsi" w:hAnsiTheme="minorHAnsi" w:cstheme="minorHAnsi"/>
          <w:b/>
          <w:bCs/>
          <w:sz w:val="28"/>
          <w:szCs w:val="28"/>
        </w:rPr>
        <w:t xml:space="preserve">Services </w:t>
      </w:r>
    </w:p>
    <w:p w14:paraId="32E3558A" w14:textId="48D8CC30" w:rsidR="005E1653" w:rsidRDefault="005E1653" w:rsidP="008A082C">
      <w:pPr>
        <w:adjustRightInd/>
        <w:spacing w:line="242" w:lineRule="auto"/>
        <w:rPr>
          <w:rFonts w:asciiTheme="minorHAnsi" w:hAnsiTheme="minorHAnsi" w:cstheme="minorHAnsi"/>
          <w:b/>
          <w:bCs/>
          <w:spacing w:val="-4"/>
          <w:sz w:val="28"/>
          <w:szCs w:val="28"/>
        </w:rPr>
      </w:pPr>
      <w:r w:rsidRPr="00E87236">
        <w:rPr>
          <w:rFonts w:asciiTheme="minorHAnsi" w:hAnsiTheme="minorHAnsi" w:cstheme="minorHAnsi"/>
          <w:b/>
          <w:bCs/>
          <w:sz w:val="28"/>
          <w:szCs w:val="28"/>
        </w:rPr>
        <w:t>Occupational Safety and Health Divisio</w:t>
      </w:r>
      <w:r w:rsidR="008A082C" w:rsidRPr="00E87236">
        <w:rPr>
          <w:rFonts w:asciiTheme="minorHAnsi" w:hAnsiTheme="minorHAnsi" w:cstheme="minorHAnsi"/>
          <w:b/>
          <w:bCs/>
          <w:sz w:val="28"/>
          <w:szCs w:val="28"/>
        </w:rPr>
        <w:t xml:space="preserve">n </w:t>
      </w:r>
      <w:r w:rsidRPr="00E87236">
        <w:rPr>
          <w:rFonts w:asciiTheme="minorHAnsi" w:hAnsiTheme="minorHAnsi" w:cstheme="minorHAnsi"/>
          <w:b/>
          <w:bCs/>
          <w:sz w:val="28"/>
          <w:szCs w:val="28"/>
        </w:rPr>
        <w:t>(Oregon</w:t>
      </w:r>
      <w:r w:rsidRPr="00E87236">
        <w:rPr>
          <w:rFonts w:asciiTheme="minorHAnsi" w:hAnsiTheme="minorHAnsi" w:cstheme="minorHAnsi"/>
          <w:b/>
          <w:bCs/>
          <w:spacing w:val="-9"/>
          <w:sz w:val="28"/>
          <w:szCs w:val="28"/>
        </w:rPr>
        <w:t xml:space="preserve"> </w:t>
      </w:r>
      <w:r w:rsidRPr="00E87236">
        <w:rPr>
          <w:rFonts w:asciiTheme="minorHAnsi" w:hAnsiTheme="minorHAnsi" w:cstheme="minorHAnsi"/>
          <w:b/>
          <w:bCs/>
          <w:spacing w:val="-4"/>
          <w:sz w:val="28"/>
          <w:szCs w:val="28"/>
        </w:rPr>
        <w:t>OSHA)</w:t>
      </w:r>
    </w:p>
    <w:p w14:paraId="2BA68869" w14:textId="77777777" w:rsidR="00B935D6" w:rsidRPr="00E87236" w:rsidRDefault="00B935D6" w:rsidP="008A082C">
      <w:pPr>
        <w:adjustRightInd/>
        <w:spacing w:line="242" w:lineRule="auto"/>
        <w:rPr>
          <w:rFonts w:asciiTheme="minorHAnsi" w:hAnsiTheme="minorHAnsi" w:cstheme="minorHAnsi"/>
          <w:b/>
          <w:bCs/>
          <w:sz w:val="28"/>
          <w:szCs w:val="28"/>
        </w:rPr>
      </w:pPr>
    </w:p>
    <w:p w14:paraId="56555856" w14:textId="4A2EBF0D" w:rsidR="005E1653" w:rsidRPr="005E1653" w:rsidRDefault="005E1653" w:rsidP="005E1653">
      <w:pPr>
        <w:adjustRightInd/>
        <w:rPr>
          <w:rFonts w:asciiTheme="minorHAnsi" w:hAnsiTheme="minorHAnsi" w:cstheme="minorHAnsi"/>
          <w:sz w:val="20"/>
        </w:rPr>
      </w:pPr>
    </w:p>
    <w:p w14:paraId="232AC6D7" w14:textId="3FD740D6" w:rsidR="005E1653" w:rsidRPr="005E1653" w:rsidRDefault="00B935D6" w:rsidP="005E1653">
      <w:pPr>
        <w:adjustRightInd/>
        <w:spacing w:before="4"/>
        <w:rPr>
          <w:rFonts w:asciiTheme="minorHAnsi" w:hAnsiTheme="minorHAnsi" w:cstheme="minorHAnsi"/>
          <w:sz w:val="14"/>
        </w:rPr>
      </w:pPr>
      <w:r>
        <w:rPr>
          <w:rFonts w:asciiTheme="minorHAnsi" w:hAnsiTheme="minorHAnsi" w:cstheme="minorHAnsi"/>
          <w:noProof/>
          <w:sz w:val="14"/>
        </w:rPr>
        <w:drawing>
          <wp:inline distT="0" distB="0" distL="0" distR="0" wp14:anchorId="3FDF25F6" wp14:editId="6EC02E7F">
            <wp:extent cx="2317898" cy="2317898"/>
            <wp:effectExtent l="0" t="0" r="6350" b="6350"/>
            <wp:docPr id="1853700220" name="Picture 1853700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00220" name="Picture 1853700220">
                      <a:extLst>
                        <a:ext uri="{C183D7F6-B498-43B3-948B-1728B52AA6E4}">
                          <adec:decorative xmlns:adec="http://schemas.microsoft.com/office/drawing/2017/decorative" val="1"/>
                        </a:ext>
                      </a:extLst>
                    </pic:cNvPr>
                    <pic:cNvPicPr/>
                  </pic:nvPicPr>
                  <pic:blipFill>
                    <a:blip r:embed="rId11"/>
                    <a:stretch>
                      <a:fillRect/>
                    </a:stretch>
                  </pic:blipFill>
                  <pic:spPr>
                    <a:xfrm>
                      <a:off x="0" y="0"/>
                      <a:ext cx="2330250" cy="2330250"/>
                    </a:xfrm>
                    <a:prstGeom prst="rect">
                      <a:avLst/>
                    </a:prstGeom>
                  </pic:spPr>
                </pic:pic>
              </a:graphicData>
            </a:graphic>
          </wp:inline>
        </w:drawing>
      </w:r>
    </w:p>
    <w:p w14:paraId="3B1AF9A7" w14:textId="77777777" w:rsidR="005E1653" w:rsidRPr="005E1653" w:rsidRDefault="005E1653" w:rsidP="005E1653">
      <w:pPr>
        <w:adjustRightInd/>
        <w:rPr>
          <w:rFonts w:asciiTheme="minorHAnsi" w:hAnsiTheme="minorHAnsi" w:cstheme="minorHAnsi"/>
          <w:sz w:val="30"/>
        </w:rPr>
      </w:pPr>
    </w:p>
    <w:p w14:paraId="14E84374" w14:textId="77777777" w:rsidR="005E1653" w:rsidRPr="008A082C" w:rsidRDefault="005E1653" w:rsidP="005E1653">
      <w:pPr>
        <w:adjustRightInd/>
        <w:spacing w:before="10"/>
        <w:rPr>
          <w:rFonts w:asciiTheme="minorHAnsi" w:hAnsiTheme="minorHAnsi" w:cstheme="minorHAnsi"/>
          <w:sz w:val="28"/>
          <w:szCs w:val="28"/>
        </w:rPr>
      </w:pPr>
    </w:p>
    <w:p w14:paraId="2D706D11" w14:textId="2B9D0888" w:rsidR="005E1653" w:rsidRPr="00E87236" w:rsidRDefault="005E1653" w:rsidP="008A082C">
      <w:pPr>
        <w:rPr>
          <w:b/>
          <w:bCs/>
          <w:sz w:val="28"/>
          <w:szCs w:val="28"/>
        </w:rPr>
      </w:pPr>
      <w:bookmarkStart w:id="2" w:name="Evaluation_Period:_October_1,_2020_–_Sep"/>
      <w:bookmarkEnd w:id="2"/>
      <w:r w:rsidRPr="00E87236">
        <w:rPr>
          <w:b/>
          <w:bCs/>
          <w:sz w:val="28"/>
          <w:szCs w:val="28"/>
        </w:rPr>
        <w:t>Evaluation</w:t>
      </w:r>
      <w:r w:rsidRPr="00E87236">
        <w:rPr>
          <w:b/>
          <w:bCs/>
          <w:spacing w:val="-11"/>
          <w:sz w:val="28"/>
          <w:szCs w:val="28"/>
        </w:rPr>
        <w:t xml:space="preserve"> </w:t>
      </w:r>
      <w:r w:rsidRPr="00E87236">
        <w:rPr>
          <w:b/>
          <w:bCs/>
          <w:sz w:val="28"/>
          <w:szCs w:val="28"/>
        </w:rPr>
        <w:t>Period:</w:t>
      </w:r>
      <w:r w:rsidRPr="00E87236">
        <w:rPr>
          <w:b/>
          <w:bCs/>
          <w:spacing w:val="-10"/>
          <w:sz w:val="28"/>
          <w:szCs w:val="28"/>
        </w:rPr>
        <w:t xml:space="preserve"> </w:t>
      </w:r>
      <w:r w:rsidRPr="00E87236">
        <w:rPr>
          <w:b/>
          <w:bCs/>
          <w:sz w:val="28"/>
          <w:szCs w:val="28"/>
        </w:rPr>
        <w:t>October</w:t>
      </w:r>
      <w:r w:rsidRPr="00E87236">
        <w:rPr>
          <w:b/>
          <w:bCs/>
          <w:spacing w:val="-8"/>
          <w:sz w:val="28"/>
          <w:szCs w:val="28"/>
        </w:rPr>
        <w:t xml:space="preserve"> </w:t>
      </w:r>
      <w:r w:rsidRPr="00E87236">
        <w:rPr>
          <w:b/>
          <w:bCs/>
          <w:sz w:val="28"/>
          <w:szCs w:val="28"/>
        </w:rPr>
        <w:t>1,</w:t>
      </w:r>
      <w:r w:rsidRPr="00E87236">
        <w:rPr>
          <w:b/>
          <w:bCs/>
          <w:spacing w:val="-11"/>
          <w:sz w:val="28"/>
          <w:szCs w:val="28"/>
        </w:rPr>
        <w:t xml:space="preserve"> </w:t>
      </w:r>
      <w:r w:rsidR="008E0C50" w:rsidRPr="00E87236">
        <w:rPr>
          <w:b/>
          <w:bCs/>
          <w:sz w:val="28"/>
          <w:szCs w:val="28"/>
        </w:rPr>
        <w:t>202</w:t>
      </w:r>
      <w:r w:rsidR="008E0C50">
        <w:rPr>
          <w:b/>
          <w:bCs/>
          <w:sz w:val="28"/>
          <w:szCs w:val="28"/>
        </w:rPr>
        <w:t>3</w:t>
      </w:r>
      <w:r w:rsidR="008E0C50" w:rsidRPr="00E87236">
        <w:rPr>
          <w:b/>
          <w:bCs/>
          <w:spacing w:val="-8"/>
          <w:sz w:val="28"/>
          <w:szCs w:val="28"/>
        </w:rPr>
        <w:t xml:space="preserve"> </w:t>
      </w:r>
      <w:r w:rsidRPr="00E87236">
        <w:rPr>
          <w:b/>
          <w:bCs/>
          <w:sz w:val="28"/>
          <w:szCs w:val="28"/>
        </w:rPr>
        <w:t>–</w:t>
      </w:r>
      <w:r w:rsidRPr="00E87236">
        <w:rPr>
          <w:b/>
          <w:bCs/>
          <w:spacing w:val="-4"/>
          <w:sz w:val="28"/>
          <w:szCs w:val="28"/>
        </w:rPr>
        <w:t xml:space="preserve"> </w:t>
      </w:r>
      <w:r w:rsidRPr="00E87236">
        <w:rPr>
          <w:b/>
          <w:bCs/>
          <w:sz w:val="28"/>
          <w:szCs w:val="28"/>
        </w:rPr>
        <w:t>September</w:t>
      </w:r>
      <w:r w:rsidRPr="00E87236">
        <w:rPr>
          <w:b/>
          <w:bCs/>
          <w:spacing w:val="-8"/>
          <w:sz w:val="28"/>
          <w:szCs w:val="28"/>
        </w:rPr>
        <w:t xml:space="preserve"> </w:t>
      </w:r>
      <w:r w:rsidRPr="00E87236">
        <w:rPr>
          <w:b/>
          <w:bCs/>
          <w:sz w:val="28"/>
          <w:szCs w:val="28"/>
        </w:rPr>
        <w:t>30,</w:t>
      </w:r>
      <w:r w:rsidRPr="00E87236">
        <w:rPr>
          <w:b/>
          <w:bCs/>
          <w:spacing w:val="-6"/>
          <w:sz w:val="28"/>
          <w:szCs w:val="28"/>
        </w:rPr>
        <w:t xml:space="preserve"> </w:t>
      </w:r>
      <w:r w:rsidR="008E0C50" w:rsidRPr="00E87236">
        <w:rPr>
          <w:b/>
          <w:bCs/>
          <w:spacing w:val="-4"/>
          <w:sz w:val="28"/>
          <w:szCs w:val="28"/>
        </w:rPr>
        <w:t>202</w:t>
      </w:r>
      <w:r w:rsidR="008E0C50">
        <w:rPr>
          <w:b/>
          <w:bCs/>
          <w:spacing w:val="-4"/>
          <w:sz w:val="28"/>
          <w:szCs w:val="28"/>
        </w:rPr>
        <w:t>4</w:t>
      </w:r>
    </w:p>
    <w:p w14:paraId="3026E758" w14:textId="3B712C45" w:rsidR="008A082C" w:rsidRDefault="008A082C" w:rsidP="008A082C">
      <w:pPr>
        <w:adjustRightInd/>
        <w:ind w:right="1944"/>
        <w:jc w:val="center"/>
        <w:rPr>
          <w:rFonts w:asciiTheme="minorHAnsi" w:hAnsiTheme="minorHAnsi" w:cstheme="minorHAnsi"/>
          <w:b/>
          <w:sz w:val="30"/>
        </w:rPr>
      </w:pPr>
    </w:p>
    <w:p w14:paraId="7FBC1CB8" w14:textId="77777777" w:rsidR="00E81BFA" w:rsidRDefault="00E81BFA" w:rsidP="008A082C">
      <w:pPr>
        <w:adjustRightInd/>
        <w:ind w:right="1944"/>
        <w:jc w:val="center"/>
        <w:rPr>
          <w:rFonts w:asciiTheme="minorHAnsi" w:hAnsiTheme="minorHAnsi" w:cstheme="minorHAnsi"/>
          <w:b/>
          <w:sz w:val="30"/>
        </w:rPr>
      </w:pPr>
    </w:p>
    <w:p w14:paraId="2F588E88" w14:textId="77777777" w:rsidR="008A082C" w:rsidRDefault="008A082C" w:rsidP="008A082C">
      <w:pPr>
        <w:adjustRightInd/>
        <w:ind w:right="1944"/>
        <w:jc w:val="center"/>
        <w:rPr>
          <w:rFonts w:asciiTheme="minorHAnsi" w:hAnsiTheme="minorHAnsi" w:cstheme="minorHAnsi"/>
          <w:b/>
          <w:sz w:val="30"/>
        </w:rPr>
      </w:pPr>
    </w:p>
    <w:p w14:paraId="103EABE8" w14:textId="5F85E96B" w:rsidR="005E1653" w:rsidRPr="008A082C" w:rsidRDefault="005E1653" w:rsidP="008A082C">
      <w:pPr>
        <w:adjustRightInd/>
        <w:ind w:right="1944"/>
        <w:rPr>
          <w:rFonts w:asciiTheme="minorHAnsi" w:hAnsiTheme="minorHAnsi" w:cstheme="minorHAnsi"/>
          <w:b/>
          <w:bCs/>
        </w:rPr>
      </w:pPr>
      <w:r w:rsidRPr="008A082C">
        <w:rPr>
          <w:rFonts w:asciiTheme="minorHAnsi" w:hAnsiTheme="minorHAnsi" w:cstheme="minorHAnsi"/>
          <w:b/>
          <w:bCs/>
        </w:rPr>
        <w:t>Initial</w:t>
      </w:r>
      <w:r w:rsidRPr="008A082C">
        <w:rPr>
          <w:rFonts w:asciiTheme="minorHAnsi" w:hAnsiTheme="minorHAnsi" w:cstheme="minorHAnsi"/>
          <w:b/>
          <w:bCs/>
          <w:spacing w:val="-7"/>
        </w:rPr>
        <w:t xml:space="preserve"> </w:t>
      </w:r>
      <w:r w:rsidRPr="008A082C">
        <w:rPr>
          <w:rFonts w:asciiTheme="minorHAnsi" w:hAnsiTheme="minorHAnsi" w:cstheme="minorHAnsi"/>
          <w:b/>
          <w:bCs/>
        </w:rPr>
        <w:t>Approval</w:t>
      </w:r>
      <w:r w:rsidRPr="008A082C">
        <w:rPr>
          <w:rFonts w:asciiTheme="minorHAnsi" w:hAnsiTheme="minorHAnsi" w:cstheme="minorHAnsi"/>
          <w:b/>
          <w:bCs/>
          <w:spacing w:val="-7"/>
        </w:rPr>
        <w:t xml:space="preserve"> </w:t>
      </w:r>
      <w:r w:rsidRPr="008A082C">
        <w:rPr>
          <w:rFonts w:asciiTheme="minorHAnsi" w:hAnsiTheme="minorHAnsi" w:cstheme="minorHAnsi"/>
          <w:b/>
          <w:bCs/>
        </w:rPr>
        <w:t>Date:</w:t>
      </w:r>
      <w:r w:rsidRPr="008A082C">
        <w:rPr>
          <w:rFonts w:asciiTheme="minorHAnsi" w:hAnsiTheme="minorHAnsi" w:cstheme="minorHAnsi"/>
          <w:b/>
          <w:bCs/>
          <w:spacing w:val="47"/>
        </w:rPr>
        <w:t xml:space="preserve"> </w:t>
      </w:r>
      <w:r w:rsidRPr="008A082C">
        <w:rPr>
          <w:rFonts w:asciiTheme="minorHAnsi" w:hAnsiTheme="minorHAnsi" w:cstheme="minorHAnsi"/>
          <w:b/>
          <w:bCs/>
        </w:rPr>
        <w:t>December</w:t>
      </w:r>
      <w:r w:rsidRPr="008A082C">
        <w:rPr>
          <w:rFonts w:asciiTheme="minorHAnsi" w:hAnsiTheme="minorHAnsi" w:cstheme="minorHAnsi"/>
          <w:b/>
          <w:bCs/>
          <w:spacing w:val="-8"/>
        </w:rPr>
        <w:t xml:space="preserve"> </w:t>
      </w:r>
      <w:r w:rsidRPr="008A082C">
        <w:rPr>
          <w:rFonts w:asciiTheme="minorHAnsi" w:hAnsiTheme="minorHAnsi" w:cstheme="minorHAnsi"/>
          <w:b/>
          <w:bCs/>
        </w:rPr>
        <w:t>28,</w:t>
      </w:r>
      <w:r w:rsidRPr="008A082C">
        <w:rPr>
          <w:rFonts w:asciiTheme="minorHAnsi" w:hAnsiTheme="minorHAnsi" w:cstheme="minorHAnsi"/>
          <w:b/>
          <w:bCs/>
          <w:spacing w:val="-6"/>
        </w:rPr>
        <w:t xml:space="preserve"> </w:t>
      </w:r>
      <w:r w:rsidRPr="008A082C">
        <w:rPr>
          <w:rFonts w:asciiTheme="minorHAnsi" w:hAnsiTheme="minorHAnsi" w:cstheme="minorHAnsi"/>
          <w:b/>
          <w:bCs/>
          <w:spacing w:val="-4"/>
        </w:rPr>
        <w:t>1972</w:t>
      </w:r>
    </w:p>
    <w:p w14:paraId="4F5599E7" w14:textId="77777777" w:rsidR="005E1653" w:rsidRPr="008A082C" w:rsidRDefault="005E1653" w:rsidP="008A082C">
      <w:pPr>
        <w:adjustRightInd/>
        <w:ind w:right="1944"/>
        <w:rPr>
          <w:rFonts w:asciiTheme="minorHAnsi" w:hAnsiTheme="minorHAnsi" w:cstheme="minorHAnsi"/>
          <w:b/>
          <w:bCs/>
        </w:rPr>
      </w:pPr>
      <w:r w:rsidRPr="008A082C">
        <w:rPr>
          <w:rFonts w:asciiTheme="minorHAnsi" w:hAnsiTheme="minorHAnsi" w:cstheme="minorHAnsi"/>
          <w:b/>
          <w:bCs/>
        </w:rPr>
        <w:t>Program</w:t>
      </w:r>
      <w:r w:rsidRPr="008A082C">
        <w:rPr>
          <w:rFonts w:asciiTheme="minorHAnsi" w:hAnsiTheme="minorHAnsi" w:cstheme="minorHAnsi"/>
          <w:b/>
          <w:bCs/>
          <w:spacing w:val="-9"/>
        </w:rPr>
        <w:t xml:space="preserve"> </w:t>
      </w:r>
      <w:r w:rsidRPr="008A082C">
        <w:rPr>
          <w:rFonts w:asciiTheme="minorHAnsi" w:hAnsiTheme="minorHAnsi" w:cstheme="minorHAnsi"/>
          <w:b/>
          <w:bCs/>
        </w:rPr>
        <w:t>Certification</w:t>
      </w:r>
      <w:r w:rsidRPr="008A082C">
        <w:rPr>
          <w:rFonts w:asciiTheme="minorHAnsi" w:hAnsiTheme="minorHAnsi" w:cstheme="minorHAnsi"/>
          <w:b/>
          <w:bCs/>
          <w:spacing w:val="-10"/>
        </w:rPr>
        <w:t xml:space="preserve"> </w:t>
      </w:r>
      <w:r w:rsidRPr="008A082C">
        <w:rPr>
          <w:rFonts w:asciiTheme="minorHAnsi" w:hAnsiTheme="minorHAnsi" w:cstheme="minorHAnsi"/>
          <w:b/>
          <w:bCs/>
        </w:rPr>
        <w:t>Date:</w:t>
      </w:r>
      <w:r w:rsidRPr="008A082C">
        <w:rPr>
          <w:rFonts w:asciiTheme="minorHAnsi" w:hAnsiTheme="minorHAnsi" w:cstheme="minorHAnsi"/>
          <w:b/>
          <w:bCs/>
          <w:spacing w:val="45"/>
        </w:rPr>
        <w:t xml:space="preserve"> </w:t>
      </w:r>
      <w:r w:rsidRPr="008A082C">
        <w:rPr>
          <w:rFonts w:asciiTheme="minorHAnsi" w:hAnsiTheme="minorHAnsi" w:cstheme="minorHAnsi"/>
          <w:b/>
          <w:bCs/>
        </w:rPr>
        <w:t>September</w:t>
      </w:r>
      <w:r w:rsidRPr="008A082C">
        <w:rPr>
          <w:rFonts w:asciiTheme="minorHAnsi" w:hAnsiTheme="minorHAnsi" w:cstheme="minorHAnsi"/>
          <w:b/>
          <w:bCs/>
          <w:spacing w:val="-10"/>
        </w:rPr>
        <w:t xml:space="preserve"> </w:t>
      </w:r>
      <w:r w:rsidRPr="008A082C">
        <w:rPr>
          <w:rFonts w:asciiTheme="minorHAnsi" w:hAnsiTheme="minorHAnsi" w:cstheme="minorHAnsi"/>
          <w:b/>
          <w:bCs/>
        </w:rPr>
        <w:t>24,</w:t>
      </w:r>
      <w:r w:rsidRPr="008A082C">
        <w:rPr>
          <w:rFonts w:asciiTheme="minorHAnsi" w:hAnsiTheme="minorHAnsi" w:cstheme="minorHAnsi"/>
          <w:b/>
          <w:bCs/>
          <w:spacing w:val="-6"/>
        </w:rPr>
        <w:t xml:space="preserve"> </w:t>
      </w:r>
      <w:r w:rsidRPr="008A082C">
        <w:rPr>
          <w:rFonts w:asciiTheme="minorHAnsi" w:hAnsiTheme="minorHAnsi" w:cstheme="minorHAnsi"/>
          <w:b/>
          <w:bCs/>
          <w:spacing w:val="-4"/>
        </w:rPr>
        <w:t>1982</w:t>
      </w:r>
    </w:p>
    <w:p w14:paraId="21FE1CB8" w14:textId="77777777" w:rsidR="005E1653" w:rsidRPr="008A082C" w:rsidRDefault="005E1653" w:rsidP="008A082C">
      <w:pPr>
        <w:adjustRightInd/>
        <w:spacing w:before="2"/>
        <w:ind w:right="1944"/>
        <w:rPr>
          <w:rFonts w:asciiTheme="minorHAnsi" w:hAnsiTheme="minorHAnsi" w:cstheme="minorHAnsi"/>
          <w:b/>
          <w:bCs/>
        </w:rPr>
      </w:pPr>
      <w:r w:rsidRPr="008A082C">
        <w:rPr>
          <w:rFonts w:asciiTheme="minorHAnsi" w:hAnsiTheme="minorHAnsi" w:cstheme="minorHAnsi"/>
          <w:b/>
          <w:bCs/>
        </w:rPr>
        <w:t>Final</w:t>
      </w:r>
      <w:r w:rsidRPr="008A082C">
        <w:rPr>
          <w:rFonts w:asciiTheme="minorHAnsi" w:hAnsiTheme="minorHAnsi" w:cstheme="minorHAnsi"/>
          <w:b/>
          <w:bCs/>
          <w:spacing w:val="-9"/>
        </w:rPr>
        <w:t xml:space="preserve"> </w:t>
      </w:r>
      <w:r w:rsidRPr="008A082C">
        <w:rPr>
          <w:rFonts w:asciiTheme="minorHAnsi" w:hAnsiTheme="minorHAnsi" w:cstheme="minorHAnsi"/>
          <w:b/>
          <w:bCs/>
        </w:rPr>
        <w:t>Approval</w:t>
      </w:r>
      <w:r w:rsidRPr="008A082C">
        <w:rPr>
          <w:rFonts w:asciiTheme="minorHAnsi" w:hAnsiTheme="minorHAnsi" w:cstheme="minorHAnsi"/>
          <w:b/>
          <w:bCs/>
          <w:spacing w:val="-3"/>
        </w:rPr>
        <w:t xml:space="preserve"> </w:t>
      </w:r>
      <w:r w:rsidRPr="008A082C">
        <w:rPr>
          <w:rFonts w:asciiTheme="minorHAnsi" w:hAnsiTheme="minorHAnsi" w:cstheme="minorHAnsi"/>
          <w:b/>
          <w:bCs/>
        </w:rPr>
        <w:t>Date:</w:t>
      </w:r>
      <w:r w:rsidRPr="008A082C">
        <w:rPr>
          <w:rFonts w:asciiTheme="minorHAnsi" w:hAnsiTheme="minorHAnsi" w:cstheme="minorHAnsi"/>
          <w:b/>
          <w:bCs/>
          <w:spacing w:val="52"/>
        </w:rPr>
        <w:t xml:space="preserve"> </w:t>
      </w:r>
      <w:r w:rsidRPr="008A082C">
        <w:rPr>
          <w:rFonts w:asciiTheme="minorHAnsi" w:hAnsiTheme="minorHAnsi" w:cstheme="minorHAnsi"/>
          <w:b/>
          <w:bCs/>
        </w:rPr>
        <w:t>May</w:t>
      </w:r>
      <w:r w:rsidRPr="008A082C">
        <w:rPr>
          <w:rFonts w:asciiTheme="minorHAnsi" w:hAnsiTheme="minorHAnsi" w:cstheme="minorHAnsi"/>
          <w:b/>
          <w:bCs/>
          <w:spacing w:val="-9"/>
        </w:rPr>
        <w:t xml:space="preserve"> </w:t>
      </w:r>
      <w:r w:rsidRPr="008A082C">
        <w:rPr>
          <w:rFonts w:asciiTheme="minorHAnsi" w:hAnsiTheme="minorHAnsi" w:cstheme="minorHAnsi"/>
          <w:b/>
          <w:bCs/>
        </w:rPr>
        <w:t>12,</w:t>
      </w:r>
      <w:r w:rsidRPr="008A082C">
        <w:rPr>
          <w:rFonts w:asciiTheme="minorHAnsi" w:hAnsiTheme="minorHAnsi" w:cstheme="minorHAnsi"/>
          <w:b/>
          <w:bCs/>
          <w:spacing w:val="-4"/>
        </w:rPr>
        <w:t xml:space="preserve"> 2005</w:t>
      </w:r>
    </w:p>
    <w:p w14:paraId="2CA0849A" w14:textId="77777777" w:rsidR="005E1653" w:rsidRPr="008A082C" w:rsidRDefault="005E1653" w:rsidP="008A082C">
      <w:pPr>
        <w:adjustRightInd/>
        <w:jc w:val="center"/>
        <w:rPr>
          <w:rFonts w:asciiTheme="minorHAnsi" w:hAnsiTheme="minorHAnsi" w:cstheme="minorHAnsi"/>
          <w:b/>
          <w:bCs/>
          <w:sz w:val="26"/>
        </w:rPr>
      </w:pPr>
    </w:p>
    <w:p w14:paraId="01FA9174" w14:textId="77777777" w:rsidR="008A082C" w:rsidRDefault="008A082C" w:rsidP="008A082C">
      <w:pPr>
        <w:adjustRightInd/>
        <w:spacing w:before="1"/>
        <w:rPr>
          <w:rFonts w:asciiTheme="minorHAnsi" w:hAnsiTheme="minorHAnsi" w:cstheme="minorHAnsi"/>
          <w:b/>
          <w:bCs/>
          <w:sz w:val="23"/>
        </w:rPr>
      </w:pPr>
    </w:p>
    <w:p w14:paraId="27072CEB" w14:textId="72C97026" w:rsidR="008A082C" w:rsidRDefault="008A082C" w:rsidP="008A082C">
      <w:pPr>
        <w:adjustRightInd/>
        <w:spacing w:before="1"/>
        <w:rPr>
          <w:rFonts w:asciiTheme="minorHAnsi" w:hAnsiTheme="minorHAnsi" w:cstheme="minorHAnsi"/>
          <w:b/>
          <w:bCs/>
          <w:sz w:val="23"/>
        </w:rPr>
      </w:pPr>
    </w:p>
    <w:p w14:paraId="34E04C0E" w14:textId="77777777" w:rsidR="00E81BFA" w:rsidRDefault="00E81BFA" w:rsidP="008A082C">
      <w:pPr>
        <w:adjustRightInd/>
        <w:spacing w:before="1"/>
        <w:rPr>
          <w:rFonts w:asciiTheme="minorHAnsi" w:hAnsiTheme="minorHAnsi" w:cstheme="minorHAnsi"/>
          <w:b/>
          <w:bCs/>
          <w:sz w:val="23"/>
        </w:rPr>
      </w:pPr>
    </w:p>
    <w:p w14:paraId="250BE5E8" w14:textId="04AAC9AA"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Prepared by:</w:t>
      </w:r>
    </w:p>
    <w:p w14:paraId="547FC694" w14:textId="2A79F239"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U.S. Department of Labor</w:t>
      </w:r>
    </w:p>
    <w:p w14:paraId="44F1F8AD" w14:textId="77777777" w:rsidR="005E1653" w:rsidRPr="00E81BFA" w:rsidRDefault="005E1653" w:rsidP="008A082C">
      <w:pPr>
        <w:adjustRightInd/>
        <w:spacing w:before="1"/>
        <w:rPr>
          <w:rFonts w:asciiTheme="minorHAnsi" w:hAnsiTheme="minorHAnsi" w:cstheme="minorHAnsi"/>
          <w:b/>
          <w:bCs/>
        </w:rPr>
      </w:pPr>
      <w:r w:rsidRPr="00E81BFA">
        <w:rPr>
          <w:rFonts w:asciiTheme="minorHAnsi" w:hAnsiTheme="minorHAnsi" w:cstheme="minorHAnsi"/>
          <w:b/>
          <w:bCs/>
        </w:rPr>
        <w:t>Occupational Safety and Health Administration</w:t>
      </w:r>
    </w:p>
    <w:p w14:paraId="11DDE7AE" w14:textId="2C23EF44" w:rsidR="005E1653" w:rsidRPr="00E81BFA" w:rsidRDefault="008E0C50" w:rsidP="008A082C">
      <w:pPr>
        <w:adjustRightInd/>
        <w:spacing w:before="1"/>
        <w:rPr>
          <w:rFonts w:asciiTheme="minorHAnsi" w:hAnsiTheme="minorHAnsi" w:cstheme="minorHAnsi"/>
          <w:b/>
          <w:bCs/>
        </w:rPr>
      </w:pPr>
      <w:r>
        <w:rPr>
          <w:rFonts w:asciiTheme="minorHAnsi" w:hAnsiTheme="minorHAnsi" w:cstheme="minorHAnsi"/>
          <w:b/>
          <w:bCs/>
        </w:rPr>
        <w:t>San Francisco Region</w:t>
      </w:r>
    </w:p>
    <w:p w14:paraId="090DC818" w14:textId="54780188" w:rsidR="005E1653" w:rsidRPr="00E81BFA" w:rsidRDefault="008E0C50" w:rsidP="008A082C">
      <w:pPr>
        <w:adjustRightInd/>
        <w:spacing w:before="1"/>
        <w:rPr>
          <w:rFonts w:asciiTheme="minorHAnsi" w:hAnsiTheme="minorHAnsi" w:cstheme="minorHAnsi"/>
          <w:b/>
          <w:bCs/>
        </w:rPr>
      </w:pPr>
      <w:r>
        <w:rPr>
          <w:rFonts w:asciiTheme="minorHAnsi" w:hAnsiTheme="minorHAnsi" w:cstheme="minorHAnsi"/>
          <w:b/>
          <w:bCs/>
        </w:rPr>
        <w:t>San Francisco, CA</w:t>
      </w:r>
    </w:p>
    <w:p w14:paraId="70C1F7F0" w14:textId="77777777" w:rsidR="005E1653" w:rsidRPr="005E1653" w:rsidRDefault="005E1653" w:rsidP="005E1653">
      <w:pPr>
        <w:adjustRightInd/>
        <w:rPr>
          <w:rFonts w:asciiTheme="minorHAnsi" w:hAnsiTheme="minorHAnsi" w:cstheme="minorHAnsi"/>
          <w:sz w:val="20"/>
        </w:rPr>
      </w:pPr>
    </w:p>
    <w:p w14:paraId="5C51AD5E" w14:textId="77777777" w:rsidR="005E1653" w:rsidRPr="005E1653" w:rsidRDefault="005E1653" w:rsidP="005E1653">
      <w:pPr>
        <w:adjustRightInd/>
        <w:rPr>
          <w:rFonts w:asciiTheme="minorHAnsi" w:hAnsiTheme="minorHAnsi" w:cstheme="minorHAnsi"/>
          <w:sz w:val="20"/>
        </w:rPr>
      </w:pPr>
    </w:p>
    <w:p w14:paraId="4474E0AA" w14:textId="00FC8907" w:rsidR="005E1653" w:rsidRDefault="005E1653" w:rsidP="005E1653">
      <w:pPr>
        <w:adjustRightInd/>
        <w:rPr>
          <w:rFonts w:asciiTheme="minorHAnsi" w:hAnsiTheme="minorHAnsi" w:cstheme="minorHAnsi"/>
          <w:sz w:val="20"/>
        </w:rPr>
      </w:pPr>
    </w:p>
    <w:p w14:paraId="73218FBB" w14:textId="6993EFFE" w:rsidR="00B8197F" w:rsidRDefault="00B8197F" w:rsidP="005E1653">
      <w:pPr>
        <w:adjustRightInd/>
        <w:rPr>
          <w:rFonts w:asciiTheme="minorHAnsi" w:hAnsiTheme="minorHAnsi" w:cstheme="minorHAnsi"/>
          <w:sz w:val="20"/>
        </w:rPr>
      </w:pPr>
    </w:p>
    <w:p w14:paraId="6B6AE0C7" w14:textId="7620885C" w:rsidR="00B8197F" w:rsidRDefault="00B8197F" w:rsidP="005E1653">
      <w:pPr>
        <w:adjustRightInd/>
        <w:rPr>
          <w:rFonts w:asciiTheme="minorHAnsi" w:hAnsiTheme="minorHAnsi" w:cstheme="minorHAnsi"/>
          <w:sz w:val="20"/>
        </w:rPr>
      </w:pPr>
    </w:p>
    <w:p w14:paraId="591C36A5" w14:textId="2A693049" w:rsidR="00B8197F" w:rsidRDefault="00B8197F" w:rsidP="005E1653">
      <w:pPr>
        <w:adjustRightInd/>
        <w:rPr>
          <w:rFonts w:asciiTheme="minorHAnsi" w:hAnsiTheme="minorHAnsi" w:cstheme="minorHAnsi"/>
          <w:sz w:val="20"/>
        </w:rPr>
      </w:pPr>
    </w:p>
    <w:p w14:paraId="206E19EB" w14:textId="3AE50518" w:rsidR="00B8197F" w:rsidRDefault="00B8197F" w:rsidP="005E1653">
      <w:pPr>
        <w:adjustRightInd/>
        <w:rPr>
          <w:rFonts w:asciiTheme="minorHAnsi" w:hAnsiTheme="minorHAnsi" w:cstheme="minorHAnsi"/>
          <w:sz w:val="20"/>
        </w:rPr>
      </w:pPr>
    </w:p>
    <w:p w14:paraId="7F013073" w14:textId="77777777" w:rsidR="00B8197F" w:rsidRDefault="00B8197F" w:rsidP="005E1653">
      <w:pPr>
        <w:adjustRightInd/>
        <w:rPr>
          <w:rFonts w:asciiTheme="minorHAnsi" w:hAnsiTheme="minorHAnsi" w:cstheme="minorHAnsi"/>
          <w:sz w:val="20"/>
        </w:rPr>
      </w:pPr>
    </w:p>
    <w:p w14:paraId="2ED155C0" w14:textId="77777777" w:rsidR="00B8197F" w:rsidRPr="005E1653" w:rsidRDefault="00B8197F" w:rsidP="005E1653">
      <w:pPr>
        <w:adjustRightInd/>
        <w:rPr>
          <w:rFonts w:asciiTheme="minorHAnsi" w:hAnsiTheme="minorHAnsi" w:cstheme="minorHAnsi"/>
          <w:sz w:val="20"/>
        </w:rPr>
      </w:pPr>
    </w:p>
    <w:p w14:paraId="52DBBAB7" w14:textId="77777777" w:rsidR="00703D01" w:rsidRPr="00045F2E" w:rsidRDefault="005E1653" w:rsidP="00E6478A">
      <w:pPr>
        <w:adjustRightInd/>
        <w:spacing w:before="9"/>
        <w:jc w:val="center"/>
        <w:rPr>
          <w:rFonts w:asciiTheme="minorHAnsi" w:hAnsiTheme="minorHAnsi" w:cstheme="minorHAnsi"/>
          <w:sz w:val="26"/>
        </w:rPr>
      </w:pPr>
      <w:r w:rsidRPr="005E1653">
        <w:rPr>
          <w:rFonts w:asciiTheme="minorHAnsi" w:hAnsiTheme="minorHAnsi" w:cstheme="minorHAnsi"/>
          <w:noProof/>
        </w:rPr>
        <w:drawing>
          <wp:inline distT="0" distB="0" distL="0" distR="0" wp14:anchorId="43FE1728" wp14:editId="47FDC21C">
            <wp:extent cx="1380463" cy="725233"/>
            <wp:effectExtent l="0" t="0" r="0" b="0"/>
            <wp:docPr id="3" name="image2.png" descr="O S H 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80463" cy="725233"/>
                    </a:xfrm>
                    <a:prstGeom prst="rect">
                      <a:avLst/>
                    </a:prstGeom>
                  </pic:spPr>
                </pic:pic>
              </a:graphicData>
            </a:graphic>
          </wp:inline>
        </w:drawing>
      </w:r>
    </w:p>
    <w:p w14:paraId="5296D9F8" w14:textId="77777777" w:rsidR="00703D01" w:rsidRDefault="00703D01" w:rsidP="007764DE">
      <w:pPr>
        <w:pStyle w:val="Heading1"/>
        <w:rPr>
          <w:iCs/>
        </w:rPr>
      </w:pPr>
    </w:p>
    <w:p w14:paraId="0034D09F" w14:textId="77777777" w:rsidR="00045F2E" w:rsidRDefault="00045F2E" w:rsidP="00045F2E"/>
    <w:p w14:paraId="053408DB" w14:textId="77777777" w:rsidR="00045F2E" w:rsidRDefault="00045F2E" w:rsidP="00045F2E"/>
    <w:p w14:paraId="384469AA" w14:textId="77777777" w:rsidR="00045F2E" w:rsidRPr="00045F2E" w:rsidRDefault="00045F2E" w:rsidP="00045F2E"/>
    <w:bookmarkEnd w:id="0"/>
    <w:bookmarkEnd w:id="1"/>
    <w:p w14:paraId="142596E4" w14:textId="2FD37580" w:rsidR="00697AB0" w:rsidRDefault="00697AB0">
      <w:pPr>
        <w:widowControl/>
        <w:autoSpaceDE/>
        <w:autoSpaceDN/>
        <w:adjustRightInd/>
        <w:rPr>
          <w:rFonts w:cs="Calibri"/>
          <w:b/>
          <w:sz w:val="28"/>
          <w:szCs w:val="28"/>
        </w:rPr>
      </w:pPr>
    </w:p>
    <w:p w14:paraId="5E4F85AA" w14:textId="2BC7C69E" w:rsidR="00B8197F" w:rsidRDefault="00B8197F">
      <w:pPr>
        <w:widowControl/>
        <w:autoSpaceDE/>
        <w:autoSpaceDN/>
        <w:adjustRightInd/>
        <w:rPr>
          <w:rFonts w:cs="Calibri"/>
          <w:b/>
          <w:sz w:val="28"/>
          <w:szCs w:val="28"/>
        </w:rPr>
      </w:pPr>
    </w:p>
    <w:p w14:paraId="011A7782" w14:textId="77777777" w:rsidR="00697AB0" w:rsidRDefault="00697AB0">
      <w:pPr>
        <w:widowControl/>
        <w:autoSpaceDE/>
        <w:autoSpaceDN/>
        <w:adjustRightInd/>
        <w:rPr>
          <w:rFonts w:cs="Calibri"/>
          <w:b/>
          <w:sz w:val="28"/>
          <w:szCs w:val="28"/>
        </w:rPr>
      </w:pPr>
    </w:p>
    <w:p w14:paraId="135AD4EB" w14:textId="77777777" w:rsidR="008A082C" w:rsidRDefault="008A082C">
      <w:pPr>
        <w:widowControl/>
        <w:autoSpaceDE/>
        <w:autoSpaceDN/>
        <w:adjustRightInd/>
        <w:rPr>
          <w:rFonts w:cs="Calibri"/>
          <w:b/>
          <w:sz w:val="28"/>
          <w:szCs w:val="28"/>
        </w:rPr>
      </w:pPr>
    </w:p>
    <w:p w14:paraId="6F675F0F" w14:textId="5546ACAA" w:rsidR="002A6CAA" w:rsidRPr="00FF5F16" w:rsidRDefault="00F43B23">
      <w:pPr>
        <w:widowControl/>
        <w:autoSpaceDE/>
        <w:autoSpaceDN/>
        <w:adjustRightInd/>
        <w:rPr>
          <w:rFonts w:cs="Calibri"/>
          <w:b/>
          <w:sz w:val="28"/>
          <w:szCs w:val="28"/>
        </w:rPr>
      </w:pPr>
      <w:r w:rsidRPr="00FF5F16">
        <w:rPr>
          <w:rFonts w:cs="Calibri"/>
          <w:b/>
          <w:sz w:val="28"/>
          <w:szCs w:val="28"/>
        </w:rPr>
        <w:t>Table of Contents</w:t>
      </w:r>
    </w:p>
    <w:p w14:paraId="4BA2DAD7" w14:textId="50C0992A" w:rsidR="006E7711" w:rsidRPr="006E7711" w:rsidRDefault="000F63C1">
      <w:pPr>
        <w:pStyle w:val="TOC2"/>
        <w:rPr>
          <w:rFonts w:eastAsiaTheme="minorEastAsia" w:cstheme="minorBidi"/>
          <w:bCs w:val="0"/>
          <w:noProof/>
          <w:kern w:val="2"/>
          <w:szCs w:val="28"/>
          <w14:ligatures w14:val="standardContextual"/>
        </w:rPr>
      </w:pPr>
      <w:r w:rsidRPr="00FF5F16">
        <w:rPr>
          <w:szCs w:val="28"/>
        </w:rPr>
        <w:fldChar w:fldCharType="begin"/>
      </w:r>
      <w:r w:rsidRPr="00FF5F16">
        <w:rPr>
          <w:szCs w:val="28"/>
        </w:rPr>
        <w:instrText xml:space="preserve"> TOC \o "2-3" \h \z \u \t "Level 1,1" </w:instrText>
      </w:r>
      <w:r w:rsidRPr="00FF5F16">
        <w:rPr>
          <w:szCs w:val="28"/>
        </w:rPr>
        <w:fldChar w:fldCharType="separate"/>
      </w:r>
      <w:hyperlink w:anchor="_Toc190095683" w:history="1">
        <w:r w:rsidR="006E7711" w:rsidRPr="006E7711">
          <w:rPr>
            <w:rStyle w:val="Hyperlink"/>
            <w:noProof/>
            <w:szCs w:val="28"/>
          </w:rPr>
          <w:t>I.</w:t>
        </w:r>
        <w:r w:rsidR="006E7711" w:rsidRPr="006E7711">
          <w:rPr>
            <w:rFonts w:eastAsiaTheme="minorEastAsia" w:cstheme="minorBidi"/>
            <w:bCs w:val="0"/>
            <w:noProof/>
            <w:kern w:val="2"/>
            <w:szCs w:val="28"/>
            <w14:ligatures w14:val="standardContextual"/>
          </w:rPr>
          <w:tab/>
        </w:r>
        <w:r w:rsidR="006E7711" w:rsidRPr="006E7711">
          <w:rPr>
            <w:rStyle w:val="Hyperlink"/>
            <w:noProof/>
            <w:szCs w:val="28"/>
          </w:rPr>
          <w:t>Executive Summary</w:t>
        </w:r>
        <w:r w:rsidR="006E7711" w:rsidRPr="006E7711">
          <w:rPr>
            <w:noProof/>
            <w:webHidden/>
            <w:szCs w:val="28"/>
          </w:rPr>
          <w:tab/>
        </w:r>
        <w:r w:rsidR="006E7711" w:rsidRPr="006E7711">
          <w:rPr>
            <w:noProof/>
            <w:webHidden/>
            <w:szCs w:val="28"/>
          </w:rPr>
          <w:fldChar w:fldCharType="begin"/>
        </w:r>
        <w:r w:rsidR="006E7711" w:rsidRPr="006E7711">
          <w:rPr>
            <w:noProof/>
            <w:webHidden/>
            <w:szCs w:val="28"/>
          </w:rPr>
          <w:instrText xml:space="preserve"> PAGEREF _Toc190095683 \h </w:instrText>
        </w:r>
        <w:r w:rsidR="006E7711" w:rsidRPr="006E7711">
          <w:rPr>
            <w:noProof/>
            <w:webHidden/>
            <w:szCs w:val="28"/>
          </w:rPr>
        </w:r>
        <w:r w:rsidR="006E7711" w:rsidRPr="006E7711">
          <w:rPr>
            <w:noProof/>
            <w:webHidden/>
            <w:szCs w:val="28"/>
          </w:rPr>
          <w:fldChar w:fldCharType="separate"/>
        </w:r>
        <w:r w:rsidR="00E337AF">
          <w:rPr>
            <w:noProof/>
            <w:webHidden/>
            <w:szCs w:val="28"/>
          </w:rPr>
          <w:t>3</w:t>
        </w:r>
        <w:r w:rsidR="006E7711" w:rsidRPr="006E7711">
          <w:rPr>
            <w:noProof/>
            <w:webHidden/>
            <w:szCs w:val="28"/>
          </w:rPr>
          <w:fldChar w:fldCharType="end"/>
        </w:r>
      </w:hyperlink>
    </w:p>
    <w:p w14:paraId="41B2382E" w14:textId="0950F001" w:rsidR="006E7711" w:rsidRPr="006E7711" w:rsidRDefault="006E7711">
      <w:pPr>
        <w:pStyle w:val="TOC2"/>
        <w:rPr>
          <w:rFonts w:eastAsiaTheme="minorEastAsia" w:cstheme="minorBidi"/>
          <w:bCs w:val="0"/>
          <w:noProof/>
          <w:kern w:val="2"/>
          <w:szCs w:val="28"/>
          <w14:ligatures w14:val="standardContextual"/>
        </w:rPr>
      </w:pPr>
      <w:hyperlink w:anchor="_Toc190095684" w:history="1">
        <w:r w:rsidRPr="006E7711">
          <w:rPr>
            <w:rStyle w:val="Hyperlink"/>
            <w:noProof/>
            <w:szCs w:val="28"/>
          </w:rPr>
          <w:t>II.</w:t>
        </w:r>
        <w:r w:rsidRPr="006E7711">
          <w:rPr>
            <w:rFonts w:eastAsiaTheme="minorEastAsia" w:cstheme="minorBidi"/>
            <w:bCs w:val="0"/>
            <w:noProof/>
            <w:kern w:val="2"/>
            <w:szCs w:val="28"/>
            <w14:ligatures w14:val="standardContextual"/>
          </w:rPr>
          <w:tab/>
        </w:r>
        <w:r w:rsidRPr="006E7711">
          <w:rPr>
            <w:rStyle w:val="Hyperlink"/>
            <w:noProof/>
            <w:szCs w:val="28"/>
          </w:rPr>
          <w:t>State Plan Background</w:t>
        </w:r>
        <w:r w:rsidRPr="006E7711">
          <w:rPr>
            <w:noProof/>
            <w:webHidden/>
            <w:szCs w:val="28"/>
          </w:rPr>
          <w:tab/>
        </w:r>
        <w:r w:rsidRPr="006E7711">
          <w:rPr>
            <w:noProof/>
            <w:webHidden/>
            <w:szCs w:val="28"/>
          </w:rPr>
          <w:fldChar w:fldCharType="begin"/>
        </w:r>
        <w:r w:rsidRPr="006E7711">
          <w:rPr>
            <w:noProof/>
            <w:webHidden/>
            <w:szCs w:val="28"/>
          </w:rPr>
          <w:instrText xml:space="preserve"> PAGEREF _Toc190095684 \h </w:instrText>
        </w:r>
        <w:r w:rsidRPr="006E7711">
          <w:rPr>
            <w:noProof/>
            <w:webHidden/>
            <w:szCs w:val="28"/>
          </w:rPr>
        </w:r>
        <w:r w:rsidRPr="006E7711">
          <w:rPr>
            <w:noProof/>
            <w:webHidden/>
            <w:szCs w:val="28"/>
          </w:rPr>
          <w:fldChar w:fldCharType="separate"/>
        </w:r>
        <w:r w:rsidR="00E337AF">
          <w:rPr>
            <w:noProof/>
            <w:webHidden/>
            <w:szCs w:val="28"/>
          </w:rPr>
          <w:t>3</w:t>
        </w:r>
        <w:r w:rsidRPr="006E7711">
          <w:rPr>
            <w:noProof/>
            <w:webHidden/>
            <w:szCs w:val="28"/>
          </w:rPr>
          <w:fldChar w:fldCharType="end"/>
        </w:r>
      </w:hyperlink>
    </w:p>
    <w:p w14:paraId="6D2220E3" w14:textId="7B28D37C" w:rsidR="006E7711" w:rsidRPr="006E7711" w:rsidRDefault="006E7711">
      <w:pPr>
        <w:pStyle w:val="TOC2"/>
        <w:rPr>
          <w:rFonts w:eastAsiaTheme="minorEastAsia" w:cstheme="minorBidi"/>
          <w:bCs w:val="0"/>
          <w:noProof/>
          <w:kern w:val="2"/>
          <w:szCs w:val="28"/>
          <w14:ligatures w14:val="standardContextual"/>
        </w:rPr>
      </w:pPr>
      <w:hyperlink w:anchor="_Toc190095685" w:history="1">
        <w:r w:rsidRPr="006E7711">
          <w:rPr>
            <w:rStyle w:val="Hyperlink"/>
            <w:noProof/>
            <w:szCs w:val="28"/>
          </w:rPr>
          <w:t>III.</w:t>
        </w:r>
        <w:r w:rsidRPr="006E7711">
          <w:rPr>
            <w:rFonts w:eastAsiaTheme="minorEastAsia" w:cstheme="minorBidi"/>
            <w:bCs w:val="0"/>
            <w:noProof/>
            <w:kern w:val="2"/>
            <w:szCs w:val="28"/>
            <w14:ligatures w14:val="standardContextual"/>
          </w:rPr>
          <w:tab/>
        </w:r>
        <w:r w:rsidRPr="006E7711">
          <w:rPr>
            <w:rStyle w:val="Hyperlink"/>
            <w:noProof/>
            <w:szCs w:val="28"/>
          </w:rPr>
          <w:t>Assessment of State Plan Progress and Performance</w:t>
        </w:r>
        <w:r w:rsidRPr="006E7711">
          <w:rPr>
            <w:noProof/>
            <w:webHidden/>
            <w:szCs w:val="28"/>
          </w:rPr>
          <w:tab/>
        </w:r>
        <w:r w:rsidRPr="006E7711">
          <w:rPr>
            <w:noProof/>
            <w:webHidden/>
            <w:szCs w:val="28"/>
          </w:rPr>
          <w:fldChar w:fldCharType="begin"/>
        </w:r>
        <w:r w:rsidRPr="006E7711">
          <w:rPr>
            <w:noProof/>
            <w:webHidden/>
            <w:szCs w:val="28"/>
          </w:rPr>
          <w:instrText xml:space="preserve"> PAGEREF _Toc190095685 \h </w:instrText>
        </w:r>
        <w:r w:rsidRPr="006E7711">
          <w:rPr>
            <w:noProof/>
            <w:webHidden/>
            <w:szCs w:val="28"/>
          </w:rPr>
        </w:r>
        <w:r w:rsidRPr="006E7711">
          <w:rPr>
            <w:noProof/>
            <w:webHidden/>
            <w:szCs w:val="28"/>
          </w:rPr>
          <w:fldChar w:fldCharType="separate"/>
        </w:r>
        <w:r w:rsidR="00E337AF">
          <w:rPr>
            <w:noProof/>
            <w:webHidden/>
            <w:szCs w:val="28"/>
          </w:rPr>
          <w:t>4</w:t>
        </w:r>
        <w:r w:rsidRPr="006E7711">
          <w:rPr>
            <w:noProof/>
            <w:webHidden/>
            <w:szCs w:val="28"/>
          </w:rPr>
          <w:fldChar w:fldCharType="end"/>
        </w:r>
      </w:hyperlink>
    </w:p>
    <w:p w14:paraId="51549F0C" w14:textId="6B5C8B1F" w:rsidR="006E7711" w:rsidRPr="006E7711" w:rsidRDefault="006E7711">
      <w:pPr>
        <w:pStyle w:val="TOC3"/>
        <w:tabs>
          <w:tab w:val="left" w:pos="960"/>
        </w:tabs>
        <w:rPr>
          <w:rFonts w:eastAsiaTheme="minorEastAsia" w:cstheme="minorBidi"/>
          <w:noProof/>
          <w:kern w:val="2"/>
          <w:sz w:val="28"/>
          <w:szCs w:val="28"/>
          <w14:ligatures w14:val="standardContextual"/>
        </w:rPr>
      </w:pPr>
      <w:hyperlink w:anchor="_Toc190095686" w:history="1">
        <w:r w:rsidRPr="006E7711">
          <w:rPr>
            <w:rStyle w:val="Hyperlink"/>
            <w:noProof/>
            <w:sz w:val="28"/>
            <w:szCs w:val="28"/>
          </w:rPr>
          <w:t>A.</w:t>
        </w:r>
        <w:r w:rsidRPr="006E7711">
          <w:rPr>
            <w:rFonts w:eastAsiaTheme="minorEastAsia" w:cstheme="minorBidi"/>
            <w:noProof/>
            <w:kern w:val="2"/>
            <w:sz w:val="28"/>
            <w:szCs w:val="28"/>
            <w14:ligatures w14:val="standardContextual"/>
          </w:rPr>
          <w:tab/>
        </w:r>
        <w:r w:rsidRPr="006E7711">
          <w:rPr>
            <w:rStyle w:val="Hyperlink"/>
            <w:noProof/>
            <w:sz w:val="28"/>
            <w:szCs w:val="28"/>
          </w:rPr>
          <w:t>Data and Methodology</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_Toc190095686 \h </w:instrText>
        </w:r>
        <w:r w:rsidRPr="006E7711">
          <w:rPr>
            <w:noProof/>
            <w:webHidden/>
            <w:sz w:val="28"/>
            <w:szCs w:val="28"/>
          </w:rPr>
        </w:r>
        <w:r w:rsidRPr="006E7711">
          <w:rPr>
            <w:noProof/>
            <w:webHidden/>
            <w:sz w:val="28"/>
            <w:szCs w:val="28"/>
          </w:rPr>
          <w:fldChar w:fldCharType="separate"/>
        </w:r>
        <w:r w:rsidR="00E337AF">
          <w:rPr>
            <w:noProof/>
            <w:webHidden/>
            <w:sz w:val="28"/>
            <w:szCs w:val="28"/>
          </w:rPr>
          <w:t>4</w:t>
        </w:r>
        <w:r w:rsidRPr="006E7711">
          <w:rPr>
            <w:noProof/>
            <w:webHidden/>
            <w:sz w:val="28"/>
            <w:szCs w:val="28"/>
          </w:rPr>
          <w:fldChar w:fldCharType="end"/>
        </w:r>
      </w:hyperlink>
    </w:p>
    <w:p w14:paraId="36666F7E" w14:textId="5DE9CD78" w:rsidR="006E7711" w:rsidRPr="006E7711" w:rsidRDefault="006E7711">
      <w:pPr>
        <w:pStyle w:val="TOC3"/>
        <w:tabs>
          <w:tab w:val="left" w:pos="960"/>
        </w:tabs>
        <w:rPr>
          <w:rFonts w:eastAsiaTheme="minorEastAsia" w:cstheme="minorBidi"/>
          <w:noProof/>
          <w:kern w:val="2"/>
          <w:sz w:val="28"/>
          <w:szCs w:val="28"/>
          <w14:ligatures w14:val="standardContextual"/>
        </w:rPr>
      </w:pPr>
      <w:hyperlink w:anchor="_Toc190095687" w:history="1">
        <w:r w:rsidRPr="006E7711">
          <w:rPr>
            <w:rStyle w:val="Hyperlink"/>
            <w:noProof/>
            <w:sz w:val="28"/>
            <w:szCs w:val="28"/>
          </w:rPr>
          <w:t>B.</w:t>
        </w:r>
        <w:r w:rsidRPr="006E7711">
          <w:rPr>
            <w:rFonts w:eastAsiaTheme="minorEastAsia" w:cstheme="minorBidi"/>
            <w:noProof/>
            <w:kern w:val="2"/>
            <w:sz w:val="28"/>
            <w:szCs w:val="28"/>
            <w14:ligatures w14:val="standardContextual"/>
          </w:rPr>
          <w:tab/>
        </w:r>
        <w:r w:rsidRPr="006E7711">
          <w:rPr>
            <w:rStyle w:val="Hyperlink"/>
            <w:noProof/>
            <w:sz w:val="28"/>
            <w:szCs w:val="28"/>
          </w:rPr>
          <w:t>Findings and Observations</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_Toc190095687 \h </w:instrText>
        </w:r>
        <w:r w:rsidRPr="006E7711">
          <w:rPr>
            <w:noProof/>
            <w:webHidden/>
            <w:sz w:val="28"/>
            <w:szCs w:val="28"/>
          </w:rPr>
        </w:r>
        <w:r w:rsidRPr="006E7711">
          <w:rPr>
            <w:noProof/>
            <w:webHidden/>
            <w:sz w:val="28"/>
            <w:szCs w:val="28"/>
          </w:rPr>
          <w:fldChar w:fldCharType="separate"/>
        </w:r>
        <w:r w:rsidR="00E337AF">
          <w:rPr>
            <w:noProof/>
            <w:webHidden/>
            <w:sz w:val="28"/>
            <w:szCs w:val="28"/>
          </w:rPr>
          <w:t>5</w:t>
        </w:r>
        <w:r w:rsidRPr="006E7711">
          <w:rPr>
            <w:noProof/>
            <w:webHidden/>
            <w:sz w:val="28"/>
            <w:szCs w:val="28"/>
          </w:rPr>
          <w:fldChar w:fldCharType="end"/>
        </w:r>
      </w:hyperlink>
    </w:p>
    <w:p w14:paraId="12D01057" w14:textId="54CB6AA4" w:rsidR="006E7711" w:rsidRPr="006E7711" w:rsidRDefault="006E7711">
      <w:pPr>
        <w:pStyle w:val="TOC3"/>
        <w:tabs>
          <w:tab w:val="left" w:pos="960"/>
        </w:tabs>
        <w:rPr>
          <w:rFonts w:eastAsiaTheme="minorEastAsia" w:cstheme="minorBidi"/>
          <w:noProof/>
          <w:kern w:val="2"/>
          <w:sz w:val="28"/>
          <w:szCs w:val="28"/>
          <w14:ligatures w14:val="standardContextual"/>
        </w:rPr>
      </w:pPr>
      <w:hyperlink w:anchor="_Toc190095688" w:history="1">
        <w:r w:rsidRPr="006E7711">
          <w:rPr>
            <w:rStyle w:val="Hyperlink"/>
            <w:noProof/>
            <w:sz w:val="28"/>
            <w:szCs w:val="28"/>
          </w:rPr>
          <w:t>C.</w:t>
        </w:r>
        <w:r w:rsidRPr="006E7711">
          <w:rPr>
            <w:rFonts w:eastAsiaTheme="minorEastAsia" w:cstheme="minorBidi"/>
            <w:noProof/>
            <w:kern w:val="2"/>
            <w:sz w:val="28"/>
            <w:szCs w:val="28"/>
            <w14:ligatures w14:val="standardContextual"/>
          </w:rPr>
          <w:tab/>
        </w:r>
        <w:r w:rsidRPr="006E7711">
          <w:rPr>
            <w:rStyle w:val="Hyperlink"/>
            <w:noProof/>
            <w:sz w:val="28"/>
            <w:szCs w:val="28"/>
          </w:rPr>
          <w:t>State Activity Mandated Measures (SAMM) Highlights</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_Toc190095688 \h </w:instrText>
        </w:r>
        <w:r w:rsidRPr="006E7711">
          <w:rPr>
            <w:noProof/>
            <w:webHidden/>
            <w:sz w:val="28"/>
            <w:szCs w:val="28"/>
          </w:rPr>
        </w:r>
        <w:r w:rsidRPr="006E7711">
          <w:rPr>
            <w:noProof/>
            <w:webHidden/>
            <w:sz w:val="28"/>
            <w:szCs w:val="28"/>
          </w:rPr>
          <w:fldChar w:fldCharType="separate"/>
        </w:r>
        <w:r w:rsidR="00E337AF">
          <w:rPr>
            <w:noProof/>
            <w:webHidden/>
            <w:sz w:val="28"/>
            <w:szCs w:val="28"/>
          </w:rPr>
          <w:t>7</w:t>
        </w:r>
        <w:r w:rsidRPr="006E7711">
          <w:rPr>
            <w:noProof/>
            <w:webHidden/>
            <w:sz w:val="28"/>
            <w:szCs w:val="28"/>
          </w:rPr>
          <w:fldChar w:fldCharType="end"/>
        </w:r>
      </w:hyperlink>
    </w:p>
    <w:p w14:paraId="530F8BBB" w14:textId="5FE3CAA0" w:rsidR="006E7711" w:rsidRPr="006E7711" w:rsidRDefault="006E7711">
      <w:pPr>
        <w:pStyle w:val="TOC3"/>
        <w:rPr>
          <w:rFonts w:eastAsiaTheme="minorEastAsia" w:cstheme="minorBidi"/>
          <w:noProof/>
          <w:kern w:val="2"/>
          <w:sz w:val="28"/>
          <w:szCs w:val="28"/>
          <w14:ligatures w14:val="standardContextual"/>
        </w:rPr>
      </w:pPr>
      <w:hyperlink w:anchor="_Toc190095689" w:history="1">
        <w:r w:rsidRPr="006E7711">
          <w:rPr>
            <w:rStyle w:val="Hyperlink"/>
            <w:noProof/>
            <w:sz w:val="28"/>
            <w:szCs w:val="28"/>
          </w:rPr>
          <w:t>Appendix A – New and Continued Findings and Recommendations</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_Toc190095689 \h </w:instrText>
        </w:r>
        <w:r w:rsidRPr="006E7711">
          <w:rPr>
            <w:noProof/>
            <w:webHidden/>
            <w:sz w:val="28"/>
            <w:szCs w:val="28"/>
          </w:rPr>
        </w:r>
        <w:r w:rsidRPr="006E7711">
          <w:rPr>
            <w:noProof/>
            <w:webHidden/>
            <w:sz w:val="28"/>
            <w:szCs w:val="28"/>
          </w:rPr>
          <w:fldChar w:fldCharType="separate"/>
        </w:r>
        <w:r w:rsidR="00E337AF">
          <w:rPr>
            <w:noProof/>
            <w:webHidden/>
            <w:sz w:val="28"/>
            <w:szCs w:val="28"/>
          </w:rPr>
          <w:t>10</w:t>
        </w:r>
        <w:r w:rsidRPr="006E7711">
          <w:rPr>
            <w:noProof/>
            <w:webHidden/>
            <w:sz w:val="28"/>
            <w:szCs w:val="28"/>
          </w:rPr>
          <w:fldChar w:fldCharType="end"/>
        </w:r>
      </w:hyperlink>
    </w:p>
    <w:p w14:paraId="167072A2" w14:textId="1AC91771" w:rsidR="006E7711" w:rsidRPr="006E7711" w:rsidRDefault="006E7711">
      <w:pPr>
        <w:pStyle w:val="TOC3"/>
        <w:rPr>
          <w:rFonts w:eastAsiaTheme="minorEastAsia" w:cstheme="minorBidi"/>
          <w:noProof/>
          <w:kern w:val="2"/>
          <w:sz w:val="28"/>
          <w:szCs w:val="28"/>
          <w14:ligatures w14:val="standardContextual"/>
        </w:rPr>
      </w:pPr>
      <w:hyperlink w:anchor="_Toc190095690" w:history="1">
        <w:r w:rsidRPr="006E7711">
          <w:rPr>
            <w:rStyle w:val="Hyperlink"/>
            <w:noProof/>
            <w:sz w:val="28"/>
            <w:szCs w:val="28"/>
          </w:rPr>
          <w:t>Appendix B – Observations Subject to Continued Monitoring</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_Toc190095690 \h </w:instrText>
        </w:r>
        <w:r w:rsidRPr="006E7711">
          <w:rPr>
            <w:noProof/>
            <w:webHidden/>
            <w:sz w:val="28"/>
            <w:szCs w:val="28"/>
          </w:rPr>
        </w:r>
        <w:r w:rsidRPr="006E7711">
          <w:rPr>
            <w:noProof/>
            <w:webHidden/>
            <w:sz w:val="28"/>
            <w:szCs w:val="28"/>
          </w:rPr>
          <w:fldChar w:fldCharType="separate"/>
        </w:r>
        <w:r w:rsidR="00E337AF">
          <w:rPr>
            <w:noProof/>
            <w:webHidden/>
            <w:sz w:val="28"/>
            <w:szCs w:val="28"/>
          </w:rPr>
          <w:t>11</w:t>
        </w:r>
        <w:r w:rsidRPr="006E7711">
          <w:rPr>
            <w:noProof/>
            <w:webHidden/>
            <w:sz w:val="28"/>
            <w:szCs w:val="28"/>
          </w:rPr>
          <w:fldChar w:fldCharType="end"/>
        </w:r>
      </w:hyperlink>
    </w:p>
    <w:p w14:paraId="72EA6154" w14:textId="00EEBFCE" w:rsidR="006E7711" w:rsidRPr="006E7711" w:rsidRDefault="006E7711">
      <w:pPr>
        <w:pStyle w:val="TOC3"/>
        <w:rPr>
          <w:rFonts w:eastAsiaTheme="minorEastAsia" w:cstheme="minorBidi"/>
          <w:noProof/>
          <w:kern w:val="2"/>
          <w:sz w:val="28"/>
          <w:szCs w:val="28"/>
          <w14:ligatures w14:val="standardContextual"/>
        </w:rPr>
      </w:pPr>
      <w:hyperlink w:anchor="_Toc190095691" w:history="1">
        <w:r w:rsidRPr="006E7711">
          <w:rPr>
            <w:rStyle w:val="Hyperlink"/>
            <w:noProof/>
            <w:sz w:val="28"/>
            <w:szCs w:val="28"/>
          </w:rPr>
          <w:t>Appendix C - Status of FY 2023 Findings and Recommendations</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_Toc190095691 \h </w:instrText>
        </w:r>
        <w:r w:rsidRPr="006E7711">
          <w:rPr>
            <w:noProof/>
            <w:webHidden/>
            <w:sz w:val="28"/>
            <w:szCs w:val="28"/>
          </w:rPr>
        </w:r>
        <w:r w:rsidRPr="006E7711">
          <w:rPr>
            <w:noProof/>
            <w:webHidden/>
            <w:sz w:val="28"/>
            <w:szCs w:val="28"/>
          </w:rPr>
          <w:fldChar w:fldCharType="separate"/>
        </w:r>
        <w:r w:rsidR="00E337AF">
          <w:rPr>
            <w:noProof/>
            <w:webHidden/>
            <w:sz w:val="28"/>
            <w:szCs w:val="28"/>
          </w:rPr>
          <w:t>14</w:t>
        </w:r>
        <w:r w:rsidRPr="006E7711">
          <w:rPr>
            <w:noProof/>
            <w:webHidden/>
            <w:sz w:val="28"/>
            <w:szCs w:val="28"/>
          </w:rPr>
          <w:fldChar w:fldCharType="end"/>
        </w:r>
      </w:hyperlink>
    </w:p>
    <w:p w14:paraId="24A4C15D" w14:textId="732C376B" w:rsidR="006E7711" w:rsidRDefault="006E7711">
      <w:pPr>
        <w:pStyle w:val="TOC3"/>
        <w:rPr>
          <w:rFonts w:eastAsiaTheme="minorEastAsia" w:cstheme="minorBidi"/>
          <w:noProof/>
          <w:kern w:val="2"/>
          <w:szCs w:val="24"/>
          <w14:ligatures w14:val="standardContextual"/>
        </w:rPr>
      </w:pPr>
      <w:hyperlink w:anchor="_Toc190095692" w:history="1">
        <w:r w:rsidRPr="006E7711">
          <w:rPr>
            <w:rStyle w:val="Hyperlink"/>
            <w:rFonts w:eastAsia="Calibri"/>
            <w:noProof/>
            <w:sz w:val="28"/>
            <w:szCs w:val="28"/>
          </w:rPr>
          <w:t>Appendix D – FY 2024 State Activity Mandated Measures (SAMM) Report</w:t>
        </w:r>
        <w:r w:rsidRPr="006E7711">
          <w:rPr>
            <w:noProof/>
            <w:webHidden/>
            <w:sz w:val="28"/>
            <w:szCs w:val="28"/>
          </w:rPr>
          <w:tab/>
        </w:r>
        <w:r w:rsidRPr="006E7711">
          <w:rPr>
            <w:noProof/>
            <w:webHidden/>
            <w:sz w:val="28"/>
            <w:szCs w:val="28"/>
          </w:rPr>
          <w:fldChar w:fldCharType="begin"/>
        </w:r>
        <w:r w:rsidRPr="006E7711">
          <w:rPr>
            <w:noProof/>
            <w:webHidden/>
            <w:sz w:val="28"/>
            <w:szCs w:val="28"/>
          </w:rPr>
          <w:instrText xml:space="preserve"> PAGEREF _Toc190095692 \h </w:instrText>
        </w:r>
        <w:r w:rsidRPr="006E7711">
          <w:rPr>
            <w:noProof/>
            <w:webHidden/>
            <w:sz w:val="28"/>
            <w:szCs w:val="28"/>
          </w:rPr>
        </w:r>
        <w:r w:rsidRPr="006E7711">
          <w:rPr>
            <w:noProof/>
            <w:webHidden/>
            <w:sz w:val="28"/>
            <w:szCs w:val="28"/>
          </w:rPr>
          <w:fldChar w:fldCharType="separate"/>
        </w:r>
        <w:r w:rsidR="00E337AF">
          <w:rPr>
            <w:noProof/>
            <w:webHidden/>
            <w:sz w:val="28"/>
            <w:szCs w:val="28"/>
          </w:rPr>
          <w:t>16</w:t>
        </w:r>
        <w:r w:rsidRPr="006E7711">
          <w:rPr>
            <w:noProof/>
            <w:webHidden/>
            <w:sz w:val="28"/>
            <w:szCs w:val="28"/>
          </w:rPr>
          <w:fldChar w:fldCharType="end"/>
        </w:r>
      </w:hyperlink>
    </w:p>
    <w:p w14:paraId="2E818254" w14:textId="5F9ACB59" w:rsidR="00B823A3" w:rsidRDefault="000F63C1" w:rsidP="000F63C1">
      <w:r w:rsidRPr="00FF5F16">
        <w:rPr>
          <w:sz w:val="28"/>
          <w:szCs w:val="28"/>
        </w:rPr>
        <w:fldChar w:fldCharType="end"/>
      </w:r>
      <w:r w:rsidR="00B823A3">
        <w:br w:type="page"/>
      </w:r>
    </w:p>
    <w:p w14:paraId="39718DF5" w14:textId="77777777" w:rsidR="000A134A" w:rsidRPr="001C1E47" w:rsidRDefault="000A134A" w:rsidP="001C39E1">
      <w:pPr>
        <w:pStyle w:val="Heading2"/>
      </w:pPr>
      <w:bookmarkStart w:id="3" w:name="_Toc338764303"/>
      <w:bookmarkStart w:id="4" w:name="_Toc118900170"/>
      <w:bookmarkStart w:id="5" w:name="_Toc118905009"/>
      <w:bookmarkStart w:id="6" w:name="_Toc190095683"/>
      <w:r w:rsidRPr="001C1E47">
        <w:t>Executive Summary</w:t>
      </w:r>
      <w:bookmarkEnd w:id="3"/>
      <w:bookmarkEnd w:id="4"/>
      <w:bookmarkEnd w:id="5"/>
      <w:bookmarkEnd w:id="6"/>
    </w:p>
    <w:p w14:paraId="604DCEAB" w14:textId="77777777" w:rsidR="00AB4785" w:rsidRDefault="00AB4785" w:rsidP="006C5858">
      <w:pPr>
        <w:pStyle w:val="BodyText"/>
        <w:rPr>
          <w:rFonts w:ascii="Calibri" w:hAnsi="Calibri" w:cs="Calibri"/>
          <w:spacing w:val="-4"/>
        </w:rPr>
      </w:pPr>
    </w:p>
    <w:p w14:paraId="545FC7BE" w14:textId="6BCE317F" w:rsidR="000F07C7" w:rsidRDefault="000F07C7" w:rsidP="006C5858">
      <w:pPr>
        <w:pStyle w:val="BodyText"/>
        <w:rPr>
          <w:rFonts w:ascii="Calibri" w:hAnsi="Calibri" w:cs="Calibri"/>
          <w:color w:val="000000" w:themeColor="text1"/>
          <w:spacing w:val="-5"/>
        </w:rPr>
      </w:pPr>
      <w:r w:rsidRPr="000F07C7">
        <w:rPr>
          <w:rFonts w:ascii="Calibri" w:hAnsi="Calibri" w:cs="Calibri"/>
          <w:spacing w:val="-4"/>
        </w:rPr>
        <w:t xml:space="preserve">The purpose </w:t>
      </w:r>
      <w:r w:rsidRPr="000F07C7">
        <w:rPr>
          <w:rFonts w:ascii="Calibri" w:hAnsi="Calibri" w:cs="Calibri"/>
        </w:rPr>
        <w:t xml:space="preserve">of </w:t>
      </w:r>
      <w:r w:rsidRPr="000F07C7">
        <w:rPr>
          <w:rFonts w:ascii="Calibri" w:hAnsi="Calibri" w:cs="Calibri"/>
          <w:spacing w:val="-4"/>
        </w:rPr>
        <w:t xml:space="preserve">this report </w:t>
      </w:r>
      <w:r w:rsidRPr="000F07C7">
        <w:rPr>
          <w:rFonts w:ascii="Calibri" w:hAnsi="Calibri" w:cs="Calibri"/>
          <w:spacing w:val="-3"/>
        </w:rPr>
        <w:t xml:space="preserve">is to </w:t>
      </w:r>
      <w:r w:rsidRPr="000F07C7">
        <w:rPr>
          <w:rFonts w:ascii="Calibri" w:hAnsi="Calibri" w:cs="Calibri"/>
          <w:spacing w:val="-4"/>
        </w:rPr>
        <w:t xml:space="preserve">assess </w:t>
      </w:r>
      <w:r w:rsidRPr="000F07C7">
        <w:rPr>
          <w:rFonts w:ascii="Calibri" w:hAnsi="Calibri" w:cs="Calibri"/>
          <w:spacing w:val="-3"/>
        </w:rPr>
        <w:t>the</w:t>
      </w:r>
      <w:r w:rsidRPr="000F07C7">
        <w:rPr>
          <w:rFonts w:ascii="Calibri" w:hAnsi="Calibri" w:cs="Calibri"/>
          <w:spacing w:val="-5"/>
        </w:rPr>
        <w:t xml:space="preserve"> activities </w:t>
      </w:r>
      <w:r w:rsidRPr="000F07C7">
        <w:rPr>
          <w:rFonts w:ascii="Calibri" w:hAnsi="Calibri" w:cs="Calibri"/>
        </w:rPr>
        <w:t xml:space="preserve">of </w:t>
      </w:r>
      <w:r w:rsidRPr="000F07C7">
        <w:rPr>
          <w:rFonts w:ascii="Calibri" w:hAnsi="Calibri" w:cs="Calibri"/>
          <w:spacing w:val="-3"/>
        </w:rPr>
        <w:t xml:space="preserve">the </w:t>
      </w:r>
      <w:r w:rsidRPr="000F07C7">
        <w:rPr>
          <w:rFonts w:ascii="Calibri" w:hAnsi="Calibri" w:cs="Calibri"/>
          <w:spacing w:val="-4"/>
        </w:rPr>
        <w:t xml:space="preserve">Oregon Occupational Safety </w:t>
      </w:r>
      <w:r w:rsidRPr="000F07C7">
        <w:rPr>
          <w:rFonts w:ascii="Calibri" w:hAnsi="Calibri" w:cs="Calibri"/>
          <w:spacing w:val="-3"/>
        </w:rPr>
        <w:t xml:space="preserve">and </w:t>
      </w:r>
      <w:r w:rsidRPr="000F07C7">
        <w:rPr>
          <w:rFonts w:ascii="Calibri" w:hAnsi="Calibri" w:cs="Calibri"/>
          <w:spacing w:val="-4"/>
        </w:rPr>
        <w:t xml:space="preserve">Health </w:t>
      </w:r>
      <w:r w:rsidRPr="000F07C7">
        <w:rPr>
          <w:rFonts w:ascii="Calibri" w:hAnsi="Calibri" w:cs="Calibri"/>
          <w:spacing w:val="-5"/>
        </w:rPr>
        <w:t xml:space="preserve">Division </w:t>
      </w:r>
      <w:r w:rsidRPr="000F07C7">
        <w:rPr>
          <w:rFonts w:ascii="Calibri" w:hAnsi="Calibri" w:cs="Calibri"/>
          <w:spacing w:val="-4"/>
        </w:rPr>
        <w:t xml:space="preserve">(Oregon OSHA) </w:t>
      </w:r>
      <w:r w:rsidRPr="000F07C7">
        <w:rPr>
          <w:rFonts w:ascii="Calibri" w:hAnsi="Calibri" w:cs="Calibri"/>
          <w:spacing w:val="-3"/>
        </w:rPr>
        <w:t xml:space="preserve">for </w:t>
      </w:r>
      <w:r w:rsidRPr="000F07C7">
        <w:rPr>
          <w:rFonts w:ascii="Calibri" w:hAnsi="Calibri" w:cs="Calibri"/>
          <w:spacing w:val="-5"/>
        </w:rPr>
        <w:t xml:space="preserve">Fiscal </w:t>
      </w:r>
      <w:r w:rsidRPr="000F07C7">
        <w:rPr>
          <w:rFonts w:ascii="Calibri" w:hAnsi="Calibri" w:cs="Calibri"/>
          <w:spacing w:val="-4"/>
        </w:rPr>
        <w:t xml:space="preserve">Year (FY) </w:t>
      </w:r>
      <w:r w:rsidR="008E0C50" w:rsidRPr="000F07C7">
        <w:rPr>
          <w:rFonts w:ascii="Calibri" w:hAnsi="Calibri" w:cs="Calibri"/>
          <w:spacing w:val="-4"/>
        </w:rPr>
        <w:t>202</w:t>
      </w:r>
      <w:r w:rsidR="008E0C50">
        <w:rPr>
          <w:rFonts w:ascii="Calibri" w:hAnsi="Calibri" w:cs="Calibri"/>
          <w:spacing w:val="-4"/>
        </w:rPr>
        <w:t>4</w:t>
      </w:r>
      <w:r w:rsidR="008E0C50" w:rsidRPr="000F07C7">
        <w:rPr>
          <w:rFonts w:ascii="Calibri" w:hAnsi="Calibri" w:cs="Calibri"/>
          <w:spacing w:val="-4"/>
        </w:rPr>
        <w:t xml:space="preserve"> </w:t>
      </w:r>
      <w:r w:rsidRPr="000F07C7">
        <w:rPr>
          <w:rFonts w:ascii="Calibri" w:hAnsi="Calibri" w:cs="Calibri"/>
          <w:spacing w:val="-4"/>
        </w:rPr>
        <w:t>regarding</w:t>
      </w:r>
      <w:r w:rsidRPr="000F07C7">
        <w:rPr>
          <w:rFonts w:ascii="Calibri" w:hAnsi="Calibri" w:cs="Calibri"/>
          <w:color w:val="000000" w:themeColor="text1"/>
          <w:spacing w:val="-3"/>
        </w:rPr>
        <w:t xml:space="preserve"> </w:t>
      </w:r>
      <w:r w:rsidRPr="000F07C7">
        <w:rPr>
          <w:rFonts w:ascii="Calibri" w:hAnsi="Calibri" w:cs="Calibri"/>
          <w:color w:val="000000" w:themeColor="text1"/>
          <w:spacing w:val="-5"/>
        </w:rPr>
        <w:t xml:space="preserve">activities mandated </w:t>
      </w:r>
      <w:r w:rsidRPr="000F07C7">
        <w:rPr>
          <w:rFonts w:ascii="Calibri" w:hAnsi="Calibri" w:cs="Calibri"/>
          <w:color w:val="000000" w:themeColor="text1"/>
        </w:rPr>
        <w:t xml:space="preserve">by </w:t>
      </w:r>
      <w:r w:rsidRPr="000F07C7">
        <w:rPr>
          <w:rFonts w:ascii="Calibri" w:hAnsi="Calibri" w:cs="Calibri"/>
          <w:color w:val="000000" w:themeColor="text1"/>
          <w:spacing w:val="-3"/>
        </w:rPr>
        <w:t xml:space="preserve">the </w:t>
      </w:r>
      <w:r w:rsidRPr="000F07C7">
        <w:rPr>
          <w:rFonts w:ascii="Calibri" w:hAnsi="Calibri" w:cs="Calibri"/>
          <w:color w:val="000000" w:themeColor="text1"/>
          <w:spacing w:val="-5"/>
        </w:rPr>
        <w:t xml:space="preserve">Occupational </w:t>
      </w:r>
      <w:r w:rsidRPr="000F07C7">
        <w:rPr>
          <w:rFonts w:ascii="Calibri" w:hAnsi="Calibri" w:cs="Calibri"/>
          <w:color w:val="000000" w:themeColor="text1"/>
          <w:spacing w:val="-3"/>
        </w:rPr>
        <w:t xml:space="preserve">Safety and </w:t>
      </w:r>
      <w:r w:rsidRPr="000F07C7">
        <w:rPr>
          <w:rFonts w:ascii="Calibri" w:hAnsi="Calibri" w:cs="Calibri"/>
          <w:color w:val="000000" w:themeColor="text1"/>
          <w:spacing w:val="-4"/>
        </w:rPr>
        <w:t xml:space="preserve">Health </w:t>
      </w:r>
      <w:r w:rsidRPr="000F07C7">
        <w:rPr>
          <w:rFonts w:ascii="Calibri" w:hAnsi="Calibri" w:cs="Calibri"/>
          <w:color w:val="000000" w:themeColor="text1"/>
          <w:spacing w:val="-5"/>
        </w:rPr>
        <w:t xml:space="preserve">Administration </w:t>
      </w:r>
      <w:r w:rsidRPr="000F07C7">
        <w:rPr>
          <w:rFonts w:ascii="Calibri" w:hAnsi="Calibri" w:cs="Calibri"/>
          <w:color w:val="000000" w:themeColor="text1"/>
          <w:spacing w:val="-4"/>
        </w:rPr>
        <w:t xml:space="preserve">(OSHA).  In addition, this report gauges </w:t>
      </w:r>
      <w:r w:rsidRPr="000F07C7">
        <w:rPr>
          <w:rFonts w:ascii="Calibri" w:hAnsi="Calibri" w:cs="Calibri"/>
          <w:color w:val="000000" w:themeColor="text1"/>
        </w:rPr>
        <w:t xml:space="preserve">the </w:t>
      </w:r>
      <w:r w:rsidRPr="000F07C7">
        <w:rPr>
          <w:rFonts w:ascii="Calibri" w:hAnsi="Calibri" w:cs="Calibri"/>
          <w:color w:val="000000" w:themeColor="text1"/>
          <w:spacing w:val="-3"/>
        </w:rPr>
        <w:t xml:space="preserve">State </w:t>
      </w:r>
      <w:r w:rsidRPr="000F07C7">
        <w:rPr>
          <w:rFonts w:ascii="Calibri" w:hAnsi="Calibri" w:cs="Calibri"/>
          <w:color w:val="000000" w:themeColor="text1"/>
          <w:spacing w:val="-4"/>
        </w:rPr>
        <w:t xml:space="preserve">Plan’s progress </w:t>
      </w:r>
      <w:r w:rsidRPr="000F07C7">
        <w:rPr>
          <w:rFonts w:ascii="Calibri" w:hAnsi="Calibri" w:cs="Calibri"/>
          <w:color w:val="000000" w:themeColor="text1"/>
        </w:rPr>
        <w:t xml:space="preserve">in </w:t>
      </w:r>
      <w:r w:rsidRPr="000F07C7">
        <w:rPr>
          <w:rFonts w:ascii="Calibri" w:hAnsi="Calibri" w:cs="Calibri"/>
          <w:color w:val="000000" w:themeColor="text1"/>
          <w:spacing w:val="-4"/>
        </w:rPr>
        <w:t xml:space="preserve">resolving </w:t>
      </w:r>
      <w:r w:rsidRPr="000F07C7">
        <w:rPr>
          <w:rFonts w:ascii="Calibri" w:hAnsi="Calibri" w:cs="Calibri"/>
          <w:color w:val="000000" w:themeColor="text1"/>
        </w:rPr>
        <w:t xml:space="preserve">any </w:t>
      </w:r>
      <w:r w:rsidRPr="000F07C7">
        <w:rPr>
          <w:rFonts w:ascii="Calibri" w:hAnsi="Calibri" w:cs="Calibri"/>
          <w:color w:val="000000" w:themeColor="text1"/>
          <w:spacing w:val="-4"/>
        </w:rPr>
        <w:t xml:space="preserve">outstanding findings and </w:t>
      </w:r>
      <w:r w:rsidRPr="000F07C7">
        <w:rPr>
          <w:rFonts w:ascii="Calibri" w:hAnsi="Calibri" w:cs="Calibri"/>
          <w:color w:val="000000" w:themeColor="text1"/>
          <w:spacing w:val="-5"/>
        </w:rPr>
        <w:t xml:space="preserve">observations </w:t>
      </w:r>
      <w:r w:rsidRPr="000F07C7">
        <w:rPr>
          <w:rFonts w:ascii="Calibri" w:hAnsi="Calibri" w:cs="Calibri"/>
          <w:color w:val="000000" w:themeColor="text1"/>
          <w:spacing w:val="-4"/>
        </w:rPr>
        <w:t xml:space="preserve">from </w:t>
      </w:r>
      <w:r w:rsidRPr="000F07C7">
        <w:rPr>
          <w:rFonts w:ascii="Calibri" w:hAnsi="Calibri" w:cs="Calibri"/>
          <w:color w:val="000000" w:themeColor="text1"/>
          <w:spacing w:val="-3"/>
        </w:rPr>
        <w:t xml:space="preserve">the </w:t>
      </w:r>
      <w:r w:rsidRPr="000F07C7">
        <w:rPr>
          <w:rFonts w:ascii="Calibri" w:hAnsi="Calibri" w:cs="Calibri"/>
          <w:color w:val="000000" w:themeColor="text1"/>
          <w:spacing w:val="-4"/>
        </w:rPr>
        <w:t xml:space="preserve">previous FY </w:t>
      </w:r>
      <w:r w:rsidR="008E0C50" w:rsidRPr="000F07C7">
        <w:rPr>
          <w:rFonts w:ascii="Calibri" w:hAnsi="Calibri" w:cs="Calibri"/>
          <w:color w:val="000000" w:themeColor="text1"/>
          <w:spacing w:val="-4"/>
        </w:rPr>
        <w:t>20</w:t>
      </w:r>
      <w:r w:rsidR="008E0C50">
        <w:rPr>
          <w:rFonts w:ascii="Calibri" w:hAnsi="Calibri" w:cs="Calibri"/>
          <w:color w:val="000000" w:themeColor="text1"/>
          <w:spacing w:val="-4"/>
        </w:rPr>
        <w:t>23</w:t>
      </w:r>
      <w:r w:rsidR="008E0C50" w:rsidRPr="000F07C7">
        <w:rPr>
          <w:rFonts w:ascii="Calibri" w:hAnsi="Calibri" w:cs="Calibri"/>
          <w:color w:val="000000" w:themeColor="text1"/>
          <w:spacing w:val="-4"/>
        </w:rPr>
        <w:t xml:space="preserve"> </w:t>
      </w:r>
      <w:r w:rsidRPr="000F07C7">
        <w:rPr>
          <w:rFonts w:ascii="Calibri" w:hAnsi="Calibri" w:cs="Calibri"/>
          <w:color w:val="000000" w:themeColor="text1"/>
          <w:spacing w:val="-4"/>
        </w:rPr>
        <w:t xml:space="preserve">Comprehensive </w:t>
      </w:r>
      <w:r w:rsidRPr="000F07C7">
        <w:rPr>
          <w:rFonts w:ascii="Calibri" w:hAnsi="Calibri" w:cs="Calibri"/>
          <w:color w:val="000000" w:themeColor="text1"/>
          <w:spacing w:val="-5"/>
        </w:rPr>
        <w:t xml:space="preserve">Federal Annual </w:t>
      </w:r>
      <w:r w:rsidRPr="000F07C7">
        <w:rPr>
          <w:rFonts w:ascii="Calibri" w:hAnsi="Calibri" w:cs="Calibri"/>
          <w:color w:val="000000" w:themeColor="text1"/>
          <w:spacing w:val="-4"/>
        </w:rPr>
        <w:t xml:space="preserve">Monitoring </w:t>
      </w:r>
      <w:r w:rsidRPr="000F07C7">
        <w:rPr>
          <w:rFonts w:ascii="Calibri" w:hAnsi="Calibri" w:cs="Calibri"/>
          <w:color w:val="000000" w:themeColor="text1"/>
          <w:spacing w:val="-5"/>
        </w:rPr>
        <w:t xml:space="preserve">Evaluation </w:t>
      </w:r>
      <w:r w:rsidRPr="000F07C7">
        <w:rPr>
          <w:rFonts w:ascii="Calibri" w:hAnsi="Calibri" w:cs="Calibri"/>
          <w:color w:val="000000" w:themeColor="text1"/>
          <w:spacing w:val="-4"/>
        </w:rPr>
        <w:t xml:space="preserve">(FAME) </w:t>
      </w:r>
      <w:r w:rsidRPr="000F07C7">
        <w:rPr>
          <w:rFonts w:ascii="Calibri" w:hAnsi="Calibri" w:cs="Calibri"/>
          <w:color w:val="000000" w:themeColor="text1"/>
          <w:spacing w:val="-5"/>
        </w:rPr>
        <w:t>Report.</w:t>
      </w:r>
    </w:p>
    <w:p w14:paraId="4F74EFFF" w14:textId="77777777" w:rsidR="006C5858" w:rsidRPr="000F07C7" w:rsidRDefault="006C5858" w:rsidP="006C5858">
      <w:pPr>
        <w:pStyle w:val="BodyText"/>
        <w:rPr>
          <w:rFonts w:ascii="Calibri" w:hAnsi="Calibri" w:cs="Calibri"/>
          <w:color w:val="000000" w:themeColor="text1"/>
          <w:spacing w:val="-5"/>
        </w:rPr>
      </w:pPr>
    </w:p>
    <w:p w14:paraId="7D87AD31" w14:textId="6882811D" w:rsidR="00F37866" w:rsidRDefault="000F07C7" w:rsidP="006C5858">
      <w:pPr>
        <w:pStyle w:val="BodyText"/>
        <w:rPr>
          <w:rFonts w:ascii="Calibri" w:hAnsi="Calibri" w:cs="Calibri"/>
          <w:spacing w:val="-4"/>
        </w:rPr>
      </w:pPr>
      <w:r w:rsidRPr="00D572B9">
        <w:rPr>
          <w:rFonts w:ascii="Calibri" w:hAnsi="Calibri" w:cs="Calibri"/>
          <w:spacing w:val="-4"/>
        </w:rPr>
        <w:t xml:space="preserve">Oregon OSHA maintained </w:t>
      </w:r>
      <w:r w:rsidRPr="00D572B9">
        <w:rPr>
          <w:rFonts w:ascii="Calibri" w:hAnsi="Calibri" w:cs="Calibri"/>
        </w:rPr>
        <w:t xml:space="preserve">a </w:t>
      </w:r>
      <w:r w:rsidRPr="00D572B9">
        <w:rPr>
          <w:rFonts w:ascii="Calibri" w:hAnsi="Calibri" w:cs="Calibri"/>
          <w:spacing w:val="-3"/>
        </w:rPr>
        <w:t xml:space="preserve">high </w:t>
      </w:r>
      <w:r w:rsidRPr="00D572B9">
        <w:rPr>
          <w:rFonts w:ascii="Calibri" w:hAnsi="Calibri" w:cs="Calibri"/>
          <w:spacing w:val="-4"/>
        </w:rPr>
        <w:t xml:space="preserve">level </w:t>
      </w:r>
      <w:r w:rsidRPr="00D572B9">
        <w:rPr>
          <w:rFonts w:ascii="Calibri" w:hAnsi="Calibri" w:cs="Calibri"/>
        </w:rPr>
        <w:t xml:space="preserve">of </w:t>
      </w:r>
      <w:r w:rsidRPr="00D572B9">
        <w:rPr>
          <w:rFonts w:ascii="Calibri" w:hAnsi="Calibri" w:cs="Calibri"/>
          <w:spacing w:val="-4"/>
        </w:rPr>
        <w:t xml:space="preserve">program </w:t>
      </w:r>
      <w:r w:rsidRPr="00D572B9">
        <w:rPr>
          <w:rFonts w:ascii="Calibri" w:hAnsi="Calibri" w:cs="Calibri"/>
          <w:spacing w:val="-5"/>
        </w:rPr>
        <w:t xml:space="preserve">performance </w:t>
      </w:r>
      <w:r w:rsidRPr="00D572B9">
        <w:rPr>
          <w:rFonts w:ascii="Calibri" w:hAnsi="Calibri" w:cs="Calibri"/>
          <w:spacing w:val="-4"/>
        </w:rPr>
        <w:t xml:space="preserve">during </w:t>
      </w:r>
      <w:r w:rsidRPr="00D572B9">
        <w:rPr>
          <w:rFonts w:ascii="Calibri" w:hAnsi="Calibri" w:cs="Calibri"/>
          <w:spacing w:val="-3"/>
        </w:rPr>
        <w:t xml:space="preserve">the </w:t>
      </w:r>
      <w:r w:rsidRPr="00D572B9">
        <w:rPr>
          <w:rFonts w:ascii="Calibri" w:hAnsi="Calibri" w:cs="Calibri"/>
          <w:spacing w:val="-4"/>
        </w:rPr>
        <w:t xml:space="preserve">review period.  </w:t>
      </w:r>
      <w:r w:rsidR="00D572B9" w:rsidRPr="00D572B9">
        <w:rPr>
          <w:rFonts w:ascii="Calibri" w:hAnsi="Calibri" w:cs="Calibri"/>
          <w:spacing w:val="-4"/>
        </w:rPr>
        <w:t>The State Plan exceeded</w:t>
      </w:r>
      <w:r w:rsidR="00090C1B">
        <w:rPr>
          <w:rFonts w:ascii="Calibri" w:hAnsi="Calibri" w:cs="Calibri"/>
          <w:spacing w:val="-4"/>
        </w:rPr>
        <w:t xml:space="preserve"> safety and health</w:t>
      </w:r>
      <w:r w:rsidR="00D572B9" w:rsidRPr="00D572B9">
        <w:rPr>
          <w:rFonts w:ascii="Calibri" w:hAnsi="Calibri" w:cs="Calibri"/>
          <w:spacing w:val="-4"/>
        </w:rPr>
        <w:t xml:space="preserve"> inspection goals, </w:t>
      </w:r>
      <w:r w:rsidR="00090C1B">
        <w:rPr>
          <w:rFonts w:ascii="Calibri" w:hAnsi="Calibri" w:cs="Calibri"/>
          <w:spacing w:val="-4"/>
        </w:rPr>
        <w:t xml:space="preserve">maintained collaborative relationships with partners and alliances, </w:t>
      </w:r>
      <w:r w:rsidR="00D5450B">
        <w:rPr>
          <w:rFonts w:ascii="Calibri" w:hAnsi="Calibri" w:cs="Calibri"/>
          <w:spacing w:val="-4"/>
        </w:rPr>
        <w:t>implemented an extensive training program for its staff,</w:t>
      </w:r>
      <w:r w:rsidR="005D14A0">
        <w:rPr>
          <w:rFonts w:ascii="Calibri" w:hAnsi="Calibri" w:cs="Calibri"/>
          <w:spacing w:val="-4"/>
        </w:rPr>
        <w:t xml:space="preserve"> </w:t>
      </w:r>
      <w:r w:rsidR="008E6D34">
        <w:rPr>
          <w:rFonts w:ascii="Calibri" w:hAnsi="Calibri" w:cs="Calibri"/>
          <w:spacing w:val="-4"/>
        </w:rPr>
        <w:t>adopted and implemented a new</w:t>
      </w:r>
      <w:r w:rsidR="00897AB4">
        <w:rPr>
          <w:rFonts w:ascii="Calibri" w:hAnsi="Calibri" w:cs="Calibri"/>
          <w:spacing w:val="-4"/>
        </w:rPr>
        <w:t xml:space="preserve"> </w:t>
      </w:r>
      <w:r w:rsidR="00F37866">
        <w:rPr>
          <w:rFonts w:ascii="Calibri" w:hAnsi="Calibri" w:cs="Calibri"/>
          <w:spacing w:val="-4"/>
        </w:rPr>
        <w:t>penalty st</w:t>
      </w:r>
      <w:r w:rsidR="00897AB4">
        <w:rPr>
          <w:rFonts w:ascii="Calibri" w:hAnsi="Calibri" w:cs="Calibri"/>
          <w:spacing w:val="-4"/>
        </w:rPr>
        <w:t xml:space="preserve">ructure to align with </w:t>
      </w:r>
      <w:proofErr w:type="gramStart"/>
      <w:r w:rsidR="00897AB4">
        <w:rPr>
          <w:rFonts w:ascii="Calibri" w:hAnsi="Calibri" w:cs="Calibri"/>
          <w:spacing w:val="-4"/>
        </w:rPr>
        <w:t>OSHA’s</w:t>
      </w:r>
      <w:proofErr w:type="gramEnd"/>
      <w:r w:rsidR="00F30998">
        <w:rPr>
          <w:rFonts w:ascii="Calibri" w:hAnsi="Calibri" w:cs="Calibri"/>
          <w:spacing w:val="-4"/>
        </w:rPr>
        <w:t xml:space="preserve">, and </w:t>
      </w:r>
      <w:r w:rsidR="00697DAB">
        <w:rPr>
          <w:rFonts w:ascii="Calibri" w:hAnsi="Calibri" w:cs="Calibri"/>
          <w:spacing w:val="-4"/>
        </w:rPr>
        <w:t xml:space="preserve">continued to </w:t>
      </w:r>
      <w:r w:rsidR="00117C27">
        <w:rPr>
          <w:rFonts w:ascii="Calibri" w:hAnsi="Calibri" w:cs="Calibri"/>
          <w:spacing w:val="-4"/>
        </w:rPr>
        <w:t>implement program changes for new</w:t>
      </w:r>
      <w:r w:rsidR="0031431D">
        <w:rPr>
          <w:rFonts w:ascii="Calibri" w:hAnsi="Calibri" w:cs="Calibri"/>
          <w:spacing w:val="-4"/>
        </w:rPr>
        <w:t xml:space="preserve"> </w:t>
      </w:r>
      <w:r w:rsidR="00117C27">
        <w:rPr>
          <w:rFonts w:ascii="Calibri" w:hAnsi="Calibri" w:cs="Calibri"/>
          <w:spacing w:val="-4"/>
        </w:rPr>
        <w:t>standards</w:t>
      </w:r>
      <w:r w:rsidR="0031431D">
        <w:rPr>
          <w:rFonts w:ascii="Calibri" w:hAnsi="Calibri" w:cs="Calibri"/>
          <w:spacing w:val="-4"/>
        </w:rPr>
        <w:t xml:space="preserve"> and/or OSHA directives</w:t>
      </w:r>
      <w:r w:rsidR="00117C27">
        <w:rPr>
          <w:rFonts w:ascii="Calibri" w:hAnsi="Calibri" w:cs="Calibri"/>
          <w:spacing w:val="-4"/>
        </w:rPr>
        <w:t xml:space="preserve"> adoption. </w:t>
      </w:r>
      <w:r w:rsidR="00531237">
        <w:rPr>
          <w:rFonts w:ascii="Calibri" w:hAnsi="Calibri" w:cs="Calibri"/>
          <w:spacing w:val="-4"/>
        </w:rPr>
        <w:t xml:space="preserve"> </w:t>
      </w:r>
      <w:r w:rsidR="00C91B19">
        <w:rPr>
          <w:rFonts w:ascii="Calibri" w:hAnsi="Calibri" w:cs="Calibri"/>
          <w:spacing w:val="-4"/>
        </w:rPr>
        <w:t xml:space="preserve">In November of 2023, Oregon OSHA adopted changes to civil penalty and work refusal in response to Oregon </w:t>
      </w:r>
      <w:r w:rsidR="00663954">
        <w:rPr>
          <w:rFonts w:ascii="Calibri" w:hAnsi="Calibri" w:cs="Calibri"/>
          <w:spacing w:val="-4"/>
        </w:rPr>
        <w:t>S</w:t>
      </w:r>
      <w:r w:rsidR="00C91B19">
        <w:rPr>
          <w:rFonts w:ascii="Calibri" w:hAnsi="Calibri" w:cs="Calibri"/>
          <w:spacing w:val="-4"/>
        </w:rPr>
        <w:t xml:space="preserve">enate </w:t>
      </w:r>
      <w:r w:rsidR="00663954">
        <w:rPr>
          <w:rFonts w:ascii="Calibri" w:hAnsi="Calibri" w:cs="Calibri"/>
          <w:spacing w:val="-4"/>
        </w:rPr>
        <w:t>B</w:t>
      </w:r>
      <w:r w:rsidR="00C91B19">
        <w:rPr>
          <w:rFonts w:ascii="Calibri" w:hAnsi="Calibri" w:cs="Calibri"/>
          <w:spacing w:val="-4"/>
        </w:rPr>
        <w:t>ills</w:t>
      </w:r>
      <w:r w:rsidR="00663954">
        <w:rPr>
          <w:rFonts w:ascii="Calibri" w:hAnsi="Calibri" w:cs="Calibri"/>
          <w:spacing w:val="-4"/>
        </w:rPr>
        <w:t xml:space="preserve"> (SB)</w:t>
      </w:r>
      <w:r w:rsidR="00C91B19">
        <w:rPr>
          <w:rFonts w:ascii="Calibri" w:hAnsi="Calibri" w:cs="Calibri"/>
          <w:spacing w:val="-4"/>
        </w:rPr>
        <w:t xml:space="preserve"> 592 and 907.  </w:t>
      </w:r>
      <w:r w:rsidR="00531237">
        <w:rPr>
          <w:rFonts w:ascii="Calibri" w:hAnsi="Calibri" w:cs="Calibri"/>
          <w:spacing w:val="-4"/>
        </w:rPr>
        <w:t xml:space="preserve">In addition, </w:t>
      </w:r>
      <w:r w:rsidR="00383FA6">
        <w:rPr>
          <w:rFonts w:ascii="Calibri" w:hAnsi="Calibri" w:cs="Calibri"/>
          <w:spacing w:val="-4"/>
        </w:rPr>
        <w:t xml:space="preserve">Oregon OSHA proposed comprehensive amendments to its Agriculture Labor Housing (ALH) rules, which has been </w:t>
      </w:r>
      <w:r w:rsidR="00B16A4E">
        <w:rPr>
          <w:rFonts w:ascii="Calibri" w:hAnsi="Calibri" w:cs="Calibri"/>
          <w:spacing w:val="-4"/>
        </w:rPr>
        <w:t xml:space="preserve">ongoing for </w:t>
      </w:r>
      <w:r w:rsidR="00B81CF6">
        <w:rPr>
          <w:rFonts w:ascii="Calibri" w:hAnsi="Calibri" w:cs="Calibri"/>
          <w:spacing w:val="-4"/>
        </w:rPr>
        <w:t>six</w:t>
      </w:r>
      <w:r w:rsidR="005E1C27">
        <w:rPr>
          <w:rFonts w:ascii="Calibri" w:hAnsi="Calibri" w:cs="Calibri"/>
          <w:spacing w:val="-4"/>
        </w:rPr>
        <w:t xml:space="preserve"> years in the </w:t>
      </w:r>
      <w:r w:rsidR="00383FA6">
        <w:rPr>
          <w:rFonts w:ascii="Calibri" w:hAnsi="Calibri" w:cs="Calibri"/>
          <w:spacing w:val="-4"/>
        </w:rPr>
        <w:t xml:space="preserve">state.  </w:t>
      </w:r>
      <w:r w:rsidR="00117C27">
        <w:rPr>
          <w:rFonts w:ascii="Calibri" w:hAnsi="Calibri" w:cs="Calibri"/>
          <w:spacing w:val="-4"/>
        </w:rPr>
        <w:t xml:space="preserve"> </w:t>
      </w:r>
    </w:p>
    <w:p w14:paraId="409EC91E" w14:textId="77777777" w:rsidR="00F37866" w:rsidRDefault="00F37866" w:rsidP="006C5858">
      <w:pPr>
        <w:pStyle w:val="BodyText"/>
        <w:rPr>
          <w:rFonts w:ascii="Calibri" w:hAnsi="Calibri" w:cs="Calibri"/>
          <w:spacing w:val="-4"/>
        </w:rPr>
      </w:pPr>
    </w:p>
    <w:p w14:paraId="2235F7DA" w14:textId="3DE0F4E3" w:rsidR="003D419B" w:rsidRDefault="0098730F" w:rsidP="006C5858">
      <w:pPr>
        <w:pStyle w:val="BodyText"/>
        <w:rPr>
          <w:rFonts w:ascii="Calibri" w:hAnsi="Calibri" w:cs="Calibri"/>
          <w:spacing w:val="-5"/>
        </w:rPr>
      </w:pPr>
      <w:r>
        <w:rPr>
          <w:rFonts w:ascii="Calibri" w:hAnsi="Calibri" w:cs="Calibri"/>
          <w:spacing w:val="-5"/>
        </w:rPr>
        <w:t xml:space="preserve">Overall, the Oregon State Plan made progress to address two findings and seven observations from the FY 2023 </w:t>
      </w:r>
      <w:r w:rsidR="00A443BD">
        <w:rPr>
          <w:rFonts w:ascii="Calibri" w:hAnsi="Calibri" w:cs="Calibri"/>
          <w:spacing w:val="-5"/>
        </w:rPr>
        <w:t>C</w:t>
      </w:r>
      <w:r>
        <w:rPr>
          <w:rFonts w:ascii="Calibri" w:hAnsi="Calibri" w:cs="Calibri"/>
          <w:spacing w:val="-5"/>
        </w:rPr>
        <w:t>omprehensive FAME report.</w:t>
      </w:r>
      <w:r w:rsidR="00CD4FD7">
        <w:rPr>
          <w:rFonts w:ascii="Calibri" w:hAnsi="Calibri" w:cs="Calibri"/>
          <w:spacing w:val="-5"/>
        </w:rPr>
        <w:t xml:space="preserve">  In F</w:t>
      </w:r>
      <w:r w:rsidR="003B7C02">
        <w:rPr>
          <w:rFonts w:ascii="Calibri" w:hAnsi="Calibri" w:cs="Calibri"/>
          <w:spacing w:val="-5"/>
        </w:rPr>
        <w:t>Y</w:t>
      </w:r>
      <w:r w:rsidR="00CD4FD7">
        <w:rPr>
          <w:rFonts w:ascii="Calibri" w:hAnsi="Calibri" w:cs="Calibri"/>
          <w:spacing w:val="-5"/>
        </w:rPr>
        <w:t xml:space="preserve"> 2024, </w:t>
      </w:r>
      <w:r w:rsidR="002B5EF1">
        <w:rPr>
          <w:rFonts w:ascii="Calibri" w:hAnsi="Calibri" w:cs="Calibri"/>
          <w:spacing w:val="-5"/>
        </w:rPr>
        <w:t xml:space="preserve">two findings and </w:t>
      </w:r>
      <w:r w:rsidR="001F54B6" w:rsidRPr="001F54B6">
        <w:rPr>
          <w:rFonts w:ascii="Calibri" w:hAnsi="Calibri" w:cs="Calibri"/>
          <w:spacing w:val="-5"/>
        </w:rPr>
        <w:t>seven</w:t>
      </w:r>
      <w:r w:rsidR="002B5EF1">
        <w:rPr>
          <w:rFonts w:ascii="Calibri" w:hAnsi="Calibri" w:cs="Calibri"/>
          <w:spacing w:val="-5"/>
        </w:rPr>
        <w:t xml:space="preserve"> </w:t>
      </w:r>
      <w:r w:rsidR="00DC501F" w:rsidRPr="001F54B6">
        <w:rPr>
          <w:rFonts w:ascii="Calibri" w:hAnsi="Calibri" w:cs="Calibri"/>
          <w:spacing w:val="-5"/>
        </w:rPr>
        <w:t>observations</w:t>
      </w:r>
      <w:r w:rsidR="00CD4FD7">
        <w:rPr>
          <w:rFonts w:ascii="Calibri" w:hAnsi="Calibri" w:cs="Calibri"/>
          <w:spacing w:val="-5"/>
        </w:rPr>
        <w:t xml:space="preserve"> were continued</w:t>
      </w:r>
      <w:r w:rsidR="002B5EF1">
        <w:rPr>
          <w:rFonts w:ascii="Calibri" w:hAnsi="Calibri" w:cs="Calibri"/>
          <w:spacing w:val="-5"/>
        </w:rPr>
        <w:t xml:space="preserve">.  No findings or observations were </w:t>
      </w:r>
      <w:r w:rsidR="00062027">
        <w:rPr>
          <w:rFonts w:ascii="Calibri" w:hAnsi="Calibri" w:cs="Calibri"/>
          <w:spacing w:val="-5"/>
        </w:rPr>
        <w:t xml:space="preserve">completed or </w:t>
      </w:r>
      <w:r w:rsidR="002B5EF1">
        <w:rPr>
          <w:rFonts w:ascii="Calibri" w:hAnsi="Calibri" w:cs="Calibri"/>
          <w:spacing w:val="-5"/>
        </w:rPr>
        <w:t>closed from the previous year</w:t>
      </w:r>
      <w:r w:rsidR="006C5858">
        <w:rPr>
          <w:rFonts w:ascii="Calibri" w:hAnsi="Calibri" w:cs="Calibri"/>
          <w:spacing w:val="-5"/>
        </w:rPr>
        <w:t>, and t</w:t>
      </w:r>
      <w:r w:rsidR="000F07C7" w:rsidRPr="002B5EF1">
        <w:rPr>
          <w:rFonts w:ascii="Calibri" w:hAnsi="Calibri" w:cs="Calibri"/>
          <w:spacing w:val="-5"/>
        </w:rPr>
        <w:t>here were no new findings or observations</w:t>
      </w:r>
      <w:r w:rsidR="006C5858">
        <w:rPr>
          <w:rFonts w:ascii="Calibri" w:hAnsi="Calibri" w:cs="Calibri"/>
          <w:spacing w:val="-5"/>
        </w:rPr>
        <w:t xml:space="preserve"> resulting from this review period.</w:t>
      </w:r>
    </w:p>
    <w:p w14:paraId="011BAF19" w14:textId="77777777" w:rsidR="006C5858" w:rsidRPr="00C53328" w:rsidRDefault="006C5858" w:rsidP="00D041C0">
      <w:pPr>
        <w:pStyle w:val="BodyText"/>
        <w:rPr>
          <w:rFonts w:cs="Calibri"/>
          <w:iCs/>
          <w:color w:val="0070C0"/>
        </w:rPr>
      </w:pPr>
    </w:p>
    <w:p w14:paraId="726C2737" w14:textId="77777777" w:rsidR="000A134A" w:rsidRPr="001C1E47" w:rsidRDefault="001E71BA" w:rsidP="001C39E1">
      <w:pPr>
        <w:pStyle w:val="Heading2"/>
      </w:pPr>
      <w:bookmarkStart w:id="7" w:name="_Toc118900171"/>
      <w:bookmarkStart w:id="8" w:name="_Toc118905010"/>
      <w:bookmarkStart w:id="9" w:name="_Toc190095684"/>
      <w:r w:rsidRPr="001C1E47">
        <w:t>State Plan Background</w:t>
      </w:r>
      <w:bookmarkEnd w:id="7"/>
      <w:bookmarkEnd w:id="8"/>
      <w:bookmarkEnd w:id="9"/>
    </w:p>
    <w:p w14:paraId="71E638A7" w14:textId="77777777" w:rsidR="00AB4785" w:rsidRDefault="00AB4785" w:rsidP="00B14728">
      <w:pPr>
        <w:widowControl/>
        <w:autoSpaceDE/>
        <w:autoSpaceDN/>
        <w:adjustRightInd/>
        <w:rPr>
          <w:rFonts w:cs="Calibri"/>
          <w:iCs/>
        </w:rPr>
      </w:pPr>
    </w:p>
    <w:p w14:paraId="5E2B8A7B" w14:textId="620753F0" w:rsidR="006D2091" w:rsidRDefault="00B14728" w:rsidP="00B14728">
      <w:pPr>
        <w:widowControl/>
        <w:autoSpaceDE/>
        <w:autoSpaceDN/>
        <w:adjustRightInd/>
        <w:rPr>
          <w:rFonts w:cs="Calibri"/>
          <w:iCs/>
        </w:rPr>
      </w:pPr>
      <w:r w:rsidRPr="00B14728">
        <w:rPr>
          <w:rFonts w:cs="Calibri"/>
          <w:iCs/>
        </w:rPr>
        <w:t xml:space="preserve">The State of Oregon, under an agreement with OSHA, operates an occupational safety and health program through the Oregon Consumer and Business Services Department, Occupational Safety and Health Division (Oregon OSHA). </w:t>
      </w:r>
      <w:r w:rsidR="002363B9">
        <w:rPr>
          <w:rFonts w:cs="Calibri"/>
          <w:iCs/>
        </w:rPr>
        <w:t xml:space="preserve"> </w:t>
      </w:r>
      <w:r w:rsidRPr="00B14728">
        <w:rPr>
          <w:rFonts w:cs="Calibri"/>
          <w:iCs/>
        </w:rPr>
        <w:t>The Oregon State Plan received initial approval on December 28, 1972</w:t>
      </w:r>
      <w:r w:rsidR="00013950">
        <w:rPr>
          <w:rFonts w:cs="Calibri"/>
          <w:iCs/>
        </w:rPr>
        <w:t>,</w:t>
      </w:r>
      <w:r w:rsidRPr="00B14728">
        <w:rPr>
          <w:rFonts w:cs="Calibri"/>
          <w:iCs/>
        </w:rPr>
        <w:t xml:space="preserve"> and was certified on September 24, 1982</w:t>
      </w:r>
      <w:r w:rsidR="00013950">
        <w:rPr>
          <w:rFonts w:cs="Calibri"/>
          <w:iCs/>
        </w:rPr>
        <w:t>,</w:t>
      </w:r>
      <w:r w:rsidRPr="00B14728">
        <w:rPr>
          <w:rFonts w:cs="Calibri"/>
          <w:iCs/>
        </w:rPr>
        <w:t xml:space="preserve"> after all developmental steps, as specified in the plan, had been completed. </w:t>
      </w:r>
      <w:r w:rsidR="008A742C">
        <w:rPr>
          <w:rFonts w:cs="Calibri"/>
          <w:iCs/>
        </w:rPr>
        <w:t xml:space="preserve"> </w:t>
      </w:r>
      <w:r w:rsidRPr="00B14728">
        <w:rPr>
          <w:rFonts w:cs="Calibri"/>
          <w:iCs/>
        </w:rPr>
        <w:t xml:space="preserve">In May of 2005, after a full opportunity for public review and comment, and a comprehensive program evaluation, OSHA granted final approval to the Oregon State Plan </w:t>
      </w:r>
      <w:r w:rsidR="006D2091" w:rsidRPr="00B14728">
        <w:rPr>
          <w:rFonts w:cs="Calibri"/>
          <w:iCs/>
        </w:rPr>
        <w:t>except for</w:t>
      </w:r>
      <w:r w:rsidRPr="00B14728">
        <w:rPr>
          <w:rFonts w:cs="Calibri"/>
          <w:iCs/>
        </w:rPr>
        <w:t xml:space="preserve"> temporary labor camp enforcement. </w:t>
      </w:r>
      <w:r w:rsidR="002363B9">
        <w:rPr>
          <w:rFonts w:cs="Calibri"/>
          <w:iCs/>
        </w:rPr>
        <w:t xml:space="preserve"> </w:t>
      </w:r>
      <w:r w:rsidR="003A118B">
        <w:rPr>
          <w:rFonts w:cs="Calibri"/>
          <w:iCs/>
        </w:rPr>
        <w:t>O</w:t>
      </w:r>
      <w:r w:rsidR="00A154D9">
        <w:rPr>
          <w:rFonts w:cs="Calibri"/>
          <w:iCs/>
        </w:rPr>
        <w:t>n August 30, 2023</w:t>
      </w:r>
      <w:r w:rsidR="008018E2">
        <w:rPr>
          <w:rFonts w:cs="Calibri"/>
          <w:iCs/>
        </w:rPr>
        <w:t xml:space="preserve">, the </w:t>
      </w:r>
      <w:r w:rsidR="00CF15E7">
        <w:rPr>
          <w:rFonts w:cs="Calibri"/>
          <w:iCs/>
        </w:rPr>
        <w:t>final approval exception for Oregon’s</w:t>
      </w:r>
      <w:r w:rsidR="008018E2">
        <w:rPr>
          <w:rFonts w:cs="Calibri"/>
          <w:iCs/>
        </w:rPr>
        <w:t xml:space="preserve"> </w:t>
      </w:r>
      <w:r w:rsidR="00DE5B7D">
        <w:rPr>
          <w:rFonts w:cs="Calibri"/>
          <w:iCs/>
        </w:rPr>
        <w:t xml:space="preserve">state plan </w:t>
      </w:r>
      <w:r w:rsidR="00441ADF">
        <w:rPr>
          <w:rFonts w:cs="Calibri"/>
          <w:iCs/>
        </w:rPr>
        <w:t xml:space="preserve">was </w:t>
      </w:r>
      <w:r w:rsidR="00310078">
        <w:rPr>
          <w:rFonts w:cs="Calibri"/>
          <w:iCs/>
        </w:rPr>
        <w:t>removed (</w:t>
      </w:r>
      <w:hyperlink r:id="rId13" w:history="1">
        <w:r w:rsidR="00310078" w:rsidRPr="003A2A63">
          <w:rPr>
            <w:rStyle w:val="Hyperlink"/>
            <w:rFonts w:cs="Calibri"/>
            <w:iCs/>
          </w:rPr>
          <w:t>FRN 2023-18717</w:t>
        </w:r>
      </w:hyperlink>
      <w:r w:rsidR="00310078">
        <w:rPr>
          <w:rFonts w:cs="Calibri"/>
          <w:iCs/>
        </w:rPr>
        <w:t>)</w:t>
      </w:r>
      <w:r w:rsidR="008018E2">
        <w:rPr>
          <w:rFonts w:cs="Calibri"/>
          <w:iCs/>
        </w:rPr>
        <w:t xml:space="preserve">. </w:t>
      </w:r>
      <w:r w:rsidR="000D4F1E">
        <w:rPr>
          <w:rFonts w:cs="Calibri"/>
          <w:iCs/>
        </w:rPr>
        <w:t xml:space="preserve"> </w:t>
      </w:r>
      <w:r w:rsidR="000C01CF">
        <w:rPr>
          <w:rFonts w:cs="Calibri"/>
          <w:iCs/>
        </w:rPr>
        <w:t>Notably, in 2018</w:t>
      </w:r>
      <w:r w:rsidR="007D7577">
        <w:rPr>
          <w:rFonts w:cs="Calibri"/>
          <w:iCs/>
        </w:rPr>
        <w:t>, O</w:t>
      </w:r>
      <w:r w:rsidR="00441ADF">
        <w:rPr>
          <w:rFonts w:cs="Calibri"/>
          <w:iCs/>
        </w:rPr>
        <w:t xml:space="preserve">regon </w:t>
      </w:r>
      <w:r w:rsidR="00175BFA">
        <w:rPr>
          <w:rFonts w:cs="Calibri"/>
          <w:iCs/>
        </w:rPr>
        <w:t>initiated a comprehensive review of</w:t>
      </w:r>
      <w:r w:rsidR="00441ADF">
        <w:rPr>
          <w:rFonts w:cs="Calibri"/>
          <w:iCs/>
        </w:rPr>
        <w:t xml:space="preserve"> Agriculture Labor Housing</w:t>
      </w:r>
      <w:r w:rsidR="00DE5B7D">
        <w:rPr>
          <w:rFonts w:cs="Calibri"/>
          <w:iCs/>
        </w:rPr>
        <w:t xml:space="preserve"> rules</w:t>
      </w:r>
      <w:r w:rsidR="00753E27">
        <w:rPr>
          <w:rFonts w:cs="Calibri"/>
          <w:iCs/>
        </w:rPr>
        <w:t xml:space="preserve">. </w:t>
      </w:r>
      <w:r w:rsidR="000D4F1E">
        <w:rPr>
          <w:rFonts w:cs="Calibri"/>
          <w:iCs/>
        </w:rPr>
        <w:t xml:space="preserve"> </w:t>
      </w:r>
      <w:r w:rsidR="00753E27">
        <w:rPr>
          <w:rFonts w:cs="Calibri"/>
          <w:iCs/>
        </w:rPr>
        <w:t xml:space="preserve">After </w:t>
      </w:r>
      <w:r w:rsidR="008F25F8">
        <w:rPr>
          <w:rFonts w:cs="Calibri"/>
          <w:iCs/>
        </w:rPr>
        <w:t xml:space="preserve">six </w:t>
      </w:r>
      <w:r w:rsidR="00753E27">
        <w:rPr>
          <w:rFonts w:cs="Calibri"/>
          <w:iCs/>
        </w:rPr>
        <w:t xml:space="preserve">years of stakeholder meetings, Oregon OSHA </w:t>
      </w:r>
      <w:r w:rsidR="00DE5B7D">
        <w:rPr>
          <w:rFonts w:cs="Calibri"/>
          <w:iCs/>
        </w:rPr>
        <w:t xml:space="preserve">adopted </w:t>
      </w:r>
      <w:r w:rsidR="00486B98">
        <w:rPr>
          <w:rFonts w:cs="Calibri"/>
          <w:iCs/>
        </w:rPr>
        <w:t xml:space="preserve">comprehensive amendments to ALH rules on January 8, 2025. </w:t>
      </w:r>
    </w:p>
    <w:p w14:paraId="7BCE3E85" w14:textId="77777777" w:rsidR="000D4F1E" w:rsidRDefault="000D4F1E" w:rsidP="00B14728">
      <w:pPr>
        <w:widowControl/>
        <w:autoSpaceDE/>
        <w:autoSpaceDN/>
        <w:adjustRightInd/>
        <w:rPr>
          <w:rFonts w:cs="Calibri"/>
          <w:iCs/>
        </w:rPr>
      </w:pPr>
    </w:p>
    <w:p w14:paraId="29FF51A6" w14:textId="1261C052" w:rsidR="00B14728" w:rsidRPr="00B14728" w:rsidRDefault="001C5F1F" w:rsidP="00B14728">
      <w:pPr>
        <w:widowControl/>
        <w:autoSpaceDE/>
        <w:autoSpaceDN/>
        <w:adjustRightInd/>
        <w:rPr>
          <w:rFonts w:cs="Calibri"/>
          <w:iCs/>
        </w:rPr>
      </w:pPr>
      <w:r>
        <w:rPr>
          <w:rFonts w:cs="Calibri"/>
          <w:iCs/>
        </w:rPr>
        <w:t xml:space="preserve">Renée Stapleton </w:t>
      </w:r>
      <w:r w:rsidR="00EE65EF">
        <w:rPr>
          <w:rFonts w:cs="Calibri"/>
          <w:iCs/>
        </w:rPr>
        <w:t xml:space="preserve">served as the </w:t>
      </w:r>
      <w:r w:rsidR="00B14728" w:rsidRPr="00B14728">
        <w:rPr>
          <w:rFonts w:cs="Calibri"/>
          <w:iCs/>
        </w:rPr>
        <w:t xml:space="preserve">Administrator of Oregon OSHA </w:t>
      </w:r>
      <w:r w:rsidR="00EE65EF">
        <w:rPr>
          <w:rFonts w:cs="Calibri"/>
          <w:iCs/>
        </w:rPr>
        <w:t xml:space="preserve">and the State Plan Designee.  </w:t>
      </w:r>
      <w:r w:rsidR="00305FB5">
        <w:rPr>
          <w:rFonts w:cs="Calibri"/>
          <w:iCs/>
        </w:rPr>
        <w:t xml:space="preserve">Julie Love </w:t>
      </w:r>
      <w:r w:rsidR="00AC3856">
        <w:rPr>
          <w:rFonts w:cs="Calibri"/>
          <w:iCs/>
        </w:rPr>
        <w:t xml:space="preserve">served as the Deputy Administrator, Bryon Snapp </w:t>
      </w:r>
      <w:r w:rsidR="00C87E81">
        <w:rPr>
          <w:rFonts w:cs="Calibri"/>
          <w:iCs/>
        </w:rPr>
        <w:t xml:space="preserve">was the Statewide Safety Enforcement Manager, </w:t>
      </w:r>
      <w:r w:rsidR="00351B01">
        <w:rPr>
          <w:rFonts w:cs="Calibri"/>
          <w:iCs/>
        </w:rPr>
        <w:t xml:space="preserve">and </w:t>
      </w:r>
      <w:r w:rsidR="00C87E81">
        <w:rPr>
          <w:rFonts w:cs="Calibri"/>
          <w:iCs/>
        </w:rPr>
        <w:t>Penny Wolf-McCormick was the Statewide Health Enforcement Manager</w:t>
      </w:r>
      <w:r w:rsidR="00351B01">
        <w:rPr>
          <w:rFonts w:cs="Calibri"/>
          <w:iCs/>
        </w:rPr>
        <w:t xml:space="preserve">.  </w:t>
      </w:r>
      <w:r w:rsidR="00C87E81">
        <w:rPr>
          <w:rFonts w:cs="Calibri"/>
          <w:iCs/>
        </w:rPr>
        <w:t>Holt Andron was the Consultation Manager</w:t>
      </w:r>
      <w:r w:rsidR="00612567">
        <w:rPr>
          <w:rFonts w:cs="Calibri"/>
          <w:iCs/>
        </w:rPr>
        <w:t xml:space="preserve"> </w:t>
      </w:r>
      <w:r w:rsidR="00F744FC">
        <w:rPr>
          <w:rFonts w:cs="Calibri"/>
          <w:iCs/>
        </w:rPr>
        <w:t>through November 2023</w:t>
      </w:r>
      <w:r w:rsidR="00873FB4">
        <w:rPr>
          <w:rFonts w:cs="Calibri"/>
          <w:iCs/>
        </w:rPr>
        <w:t>,</w:t>
      </w:r>
      <w:r w:rsidR="003C516E">
        <w:rPr>
          <w:rFonts w:cs="Calibri"/>
          <w:iCs/>
        </w:rPr>
        <w:t xml:space="preserve"> and the position remained vacant </w:t>
      </w:r>
      <w:r w:rsidR="000A66B3">
        <w:rPr>
          <w:rFonts w:cs="Calibri"/>
          <w:iCs/>
        </w:rPr>
        <w:t xml:space="preserve">through </w:t>
      </w:r>
      <w:r w:rsidR="006D3E2D">
        <w:rPr>
          <w:rFonts w:cs="Calibri"/>
          <w:iCs/>
        </w:rPr>
        <w:t>January 2024</w:t>
      </w:r>
      <w:r w:rsidR="006526D9">
        <w:rPr>
          <w:rFonts w:cs="Calibri"/>
          <w:iCs/>
        </w:rPr>
        <w:t xml:space="preserve"> when </w:t>
      </w:r>
      <w:r w:rsidR="003C516E">
        <w:rPr>
          <w:rFonts w:cs="Calibri"/>
          <w:iCs/>
        </w:rPr>
        <w:t>G</w:t>
      </w:r>
      <w:r w:rsidR="009F30BA">
        <w:rPr>
          <w:rFonts w:cs="Calibri"/>
          <w:iCs/>
        </w:rPr>
        <w:t>re</w:t>
      </w:r>
      <w:r w:rsidR="00435144">
        <w:rPr>
          <w:rFonts w:cs="Calibri"/>
          <w:iCs/>
        </w:rPr>
        <w:t>i</w:t>
      </w:r>
      <w:r w:rsidR="009F30BA">
        <w:rPr>
          <w:rFonts w:cs="Calibri"/>
          <w:iCs/>
        </w:rPr>
        <w:t xml:space="preserve">g Lowell </w:t>
      </w:r>
      <w:r w:rsidR="003C516E">
        <w:rPr>
          <w:rFonts w:cs="Calibri"/>
          <w:iCs/>
        </w:rPr>
        <w:t>filled the role.</w:t>
      </w:r>
      <w:r w:rsidR="001E15E5">
        <w:rPr>
          <w:rFonts w:cs="Calibri"/>
          <w:iCs/>
        </w:rPr>
        <w:t xml:space="preserve">  </w:t>
      </w:r>
    </w:p>
    <w:p w14:paraId="42EC15D6" w14:textId="77777777" w:rsidR="00B14728" w:rsidRPr="00B14728" w:rsidRDefault="00B14728" w:rsidP="00B14728">
      <w:pPr>
        <w:widowControl/>
        <w:autoSpaceDE/>
        <w:autoSpaceDN/>
        <w:adjustRightInd/>
        <w:rPr>
          <w:rFonts w:cs="Calibri"/>
          <w:iCs/>
        </w:rPr>
      </w:pPr>
    </w:p>
    <w:p w14:paraId="760E85FC" w14:textId="44E99AAD" w:rsidR="00B14728" w:rsidRPr="00B14728" w:rsidRDefault="00B14728" w:rsidP="00B14728">
      <w:pPr>
        <w:widowControl/>
        <w:autoSpaceDE/>
        <w:autoSpaceDN/>
        <w:adjustRightInd/>
        <w:rPr>
          <w:rFonts w:cs="Calibri"/>
          <w:iCs/>
        </w:rPr>
      </w:pPr>
      <w:r w:rsidRPr="00B14728">
        <w:rPr>
          <w:rFonts w:cs="Calibri"/>
          <w:iCs/>
        </w:rPr>
        <w:t xml:space="preserve">In Oregon, the Bureau of Labor and Industries (BOLI) has statutory responsibility for accepting, processing, and making determinations on complaints alleging occupational safety and health workplace retaliation. </w:t>
      </w:r>
      <w:r w:rsidR="002363B9">
        <w:rPr>
          <w:rFonts w:cs="Calibri"/>
          <w:iCs/>
        </w:rPr>
        <w:t xml:space="preserve"> </w:t>
      </w:r>
      <w:r w:rsidRPr="00B14728">
        <w:rPr>
          <w:rFonts w:cs="Calibri"/>
          <w:iCs/>
        </w:rPr>
        <w:t xml:space="preserve">Rules pertaining to the processing of these complaints, also known as whistleblower protection complaints, are contained in Division 438 of Oregon’s Administrative Rules. </w:t>
      </w:r>
      <w:r w:rsidR="002363B9">
        <w:rPr>
          <w:rFonts w:cs="Calibri"/>
          <w:iCs/>
        </w:rPr>
        <w:t xml:space="preserve"> </w:t>
      </w:r>
      <w:r w:rsidRPr="00B14728">
        <w:rPr>
          <w:rFonts w:cs="Calibri"/>
          <w:iCs/>
        </w:rPr>
        <w:t>Oregon OSHA reimburses BOLI for costs associated with conducting retaliation investigations.</w:t>
      </w:r>
    </w:p>
    <w:p w14:paraId="26370D2F" w14:textId="77777777" w:rsidR="00B14728" w:rsidRPr="00B14728" w:rsidRDefault="00B14728" w:rsidP="00B14728">
      <w:pPr>
        <w:widowControl/>
        <w:autoSpaceDE/>
        <w:autoSpaceDN/>
        <w:adjustRightInd/>
        <w:rPr>
          <w:rFonts w:cs="Calibri"/>
          <w:iCs/>
        </w:rPr>
      </w:pPr>
    </w:p>
    <w:p w14:paraId="68A007DA" w14:textId="059B1770" w:rsidR="00854D9E" w:rsidRDefault="00B14728" w:rsidP="00854D9E">
      <w:pPr>
        <w:widowControl/>
        <w:autoSpaceDE/>
        <w:autoSpaceDN/>
        <w:adjustRightInd/>
        <w:rPr>
          <w:rFonts w:cs="Calibri"/>
          <w:iCs/>
        </w:rPr>
      </w:pPr>
      <w:r w:rsidRPr="00B14728">
        <w:rPr>
          <w:rFonts w:cs="Calibri"/>
          <w:iCs/>
        </w:rPr>
        <w:t>Oregon OSHA exercises jurisdiction over state and local government</w:t>
      </w:r>
      <w:r w:rsidR="006A5214">
        <w:rPr>
          <w:rFonts w:cs="Calibri"/>
          <w:iCs/>
        </w:rPr>
        <w:t xml:space="preserve"> </w:t>
      </w:r>
      <w:r w:rsidRPr="00B14728">
        <w:rPr>
          <w:rFonts w:cs="Calibri"/>
          <w:iCs/>
        </w:rPr>
        <w:t xml:space="preserve">workplaces and private sector employers not covered by OSHA. </w:t>
      </w:r>
      <w:r w:rsidR="002363B9">
        <w:rPr>
          <w:rFonts w:cs="Calibri"/>
          <w:iCs/>
        </w:rPr>
        <w:t xml:space="preserve"> </w:t>
      </w:r>
      <w:r w:rsidRPr="00B14728">
        <w:rPr>
          <w:rFonts w:cs="Calibri"/>
          <w:iCs/>
        </w:rPr>
        <w:t xml:space="preserve">OSHA’s inspection authority is limited to federal agencies, the United States (U.S.) Postal Service, contractors on U.S. military reservations, private sector and federal government employers at Crater Lake National Park, and private sector maritime employment on or adjacent to navigable waters, including shipyard operations and marine terminals. </w:t>
      </w:r>
      <w:r w:rsidR="002363B9">
        <w:rPr>
          <w:rFonts w:cs="Calibri"/>
          <w:iCs/>
        </w:rPr>
        <w:t xml:space="preserve"> </w:t>
      </w:r>
      <w:r w:rsidRPr="00B14728">
        <w:rPr>
          <w:rFonts w:cs="Calibri"/>
          <w:iCs/>
        </w:rPr>
        <w:t>OSHA also covers private sector establishments on Native American reservations and tribal trust lands, including Native American-owned enterprises.</w:t>
      </w:r>
      <w:r w:rsidR="00854D9E">
        <w:rPr>
          <w:rFonts w:cs="Calibri"/>
          <w:iCs/>
        </w:rPr>
        <w:t xml:space="preserve">  </w:t>
      </w:r>
      <w:r w:rsidR="47EE6066" w:rsidRPr="3FBCA572">
        <w:rPr>
          <w:rFonts w:cs="Calibri"/>
        </w:rPr>
        <w:t>According to the demographic profile in the FY 2024 23(g) grant application, t</w:t>
      </w:r>
      <w:r w:rsidR="00854D9E" w:rsidRPr="3FBCA572">
        <w:rPr>
          <w:rFonts w:cs="Calibri"/>
        </w:rPr>
        <w:t>here</w:t>
      </w:r>
      <w:r w:rsidR="00854D9E" w:rsidRPr="00A03F76">
        <w:rPr>
          <w:rFonts w:cs="Calibri"/>
          <w:iCs/>
        </w:rPr>
        <w:t xml:space="preserve"> were an </w:t>
      </w:r>
      <w:r w:rsidR="00854D9E" w:rsidRPr="009D15A0">
        <w:rPr>
          <w:rFonts w:cs="Calibri"/>
          <w:iCs/>
        </w:rPr>
        <w:t>estimated</w:t>
      </w:r>
      <w:r w:rsidR="00701A75" w:rsidRPr="00695AEB">
        <w:rPr>
          <w:rStyle w:val="FootnoteReference"/>
          <w:iCs/>
          <w:vertAlign w:val="superscript"/>
        </w:rPr>
        <w:footnoteReference w:id="2"/>
      </w:r>
      <w:r w:rsidR="00854D9E" w:rsidRPr="00695AEB">
        <w:rPr>
          <w:rFonts w:cs="Calibri"/>
          <w:vertAlign w:val="superscript"/>
        </w:rPr>
        <w:t xml:space="preserve"> </w:t>
      </w:r>
      <w:r w:rsidR="00854D9E" w:rsidRPr="009D15A0">
        <w:rPr>
          <w:rFonts w:cs="Calibri"/>
          <w:iCs/>
        </w:rPr>
        <w:t>1,980,500 workers covered by Workers' Compensation insurance employed in Oregon with an estimated 135,400 employers.  These employers operate at approximately 216,509 locations.</w:t>
      </w:r>
      <w:r w:rsidR="00854D9E" w:rsidRPr="00A03F76">
        <w:rPr>
          <w:rFonts w:cs="Calibri"/>
          <w:iCs/>
        </w:rPr>
        <w:t xml:space="preserve">  </w:t>
      </w:r>
      <w:r w:rsidR="00854D9E">
        <w:rPr>
          <w:rFonts w:cs="Calibri"/>
          <w:iCs/>
        </w:rPr>
        <w:t xml:space="preserve"> </w:t>
      </w:r>
    </w:p>
    <w:p w14:paraId="3AE39069" w14:textId="77777777" w:rsidR="00B14728" w:rsidRPr="00B14728" w:rsidRDefault="00B14728" w:rsidP="00B14728">
      <w:pPr>
        <w:widowControl/>
        <w:autoSpaceDE/>
        <w:autoSpaceDN/>
        <w:adjustRightInd/>
        <w:rPr>
          <w:rFonts w:cs="Calibri"/>
          <w:iCs/>
        </w:rPr>
      </w:pPr>
    </w:p>
    <w:p w14:paraId="5AFD23D5" w14:textId="3E51CD2B" w:rsidR="00960026" w:rsidRDefault="00A03F76" w:rsidP="00B14728">
      <w:pPr>
        <w:widowControl/>
        <w:autoSpaceDE/>
        <w:autoSpaceDN/>
        <w:adjustRightInd/>
        <w:rPr>
          <w:rFonts w:cs="Calibri"/>
          <w:iCs/>
        </w:rPr>
      </w:pPr>
      <w:r w:rsidRPr="00A03F76">
        <w:rPr>
          <w:rFonts w:cs="Calibri"/>
          <w:iCs/>
        </w:rPr>
        <w:t xml:space="preserve">In FY </w:t>
      </w:r>
      <w:r w:rsidR="004C704F" w:rsidRPr="00A03F76">
        <w:rPr>
          <w:rFonts w:cs="Calibri"/>
          <w:iCs/>
        </w:rPr>
        <w:t>202</w:t>
      </w:r>
      <w:r w:rsidR="004C704F">
        <w:rPr>
          <w:rFonts w:cs="Calibri"/>
          <w:iCs/>
        </w:rPr>
        <w:t>4</w:t>
      </w:r>
      <w:r w:rsidRPr="00A03F76">
        <w:rPr>
          <w:rFonts w:cs="Calibri"/>
          <w:iCs/>
        </w:rPr>
        <w:t xml:space="preserve">, </w:t>
      </w:r>
      <w:r w:rsidR="00252341">
        <w:rPr>
          <w:rFonts w:cs="Calibri"/>
          <w:iCs/>
        </w:rPr>
        <w:t xml:space="preserve">the </w:t>
      </w:r>
      <w:proofErr w:type="gramStart"/>
      <w:r w:rsidRPr="00A03F76">
        <w:rPr>
          <w:rFonts w:cs="Calibri"/>
          <w:iCs/>
        </w:rPr>
        <w:t>23(g) grant</w:t>
      </w:r>
      <w:proofErr w:type="gramEnd"/>
      <w:r w:rsidR="00252341">
        <w:rPr>
          <w:rFonts w:cs="Calibri"/>
          <w:iCs/>
        </w:rPr>
        <w:t xml:space="preserve"> provided funding for </w:t>
      </w:r>
      <w:r w:rsidR="00D52F83">
        <w:rPr>
          <w:rFonts w:cs="Calibri"/>
          <w:iCs/>
        </w:rPr>
        <w:t xml:space="preserve">a </w:t>
      </w:r>
      <w:r w:rsidR="00252341">
        <w:rPr>
          <w:rFonts w:cs="Calibri"/>
          <w:iCs/>
        </w:rPr>
        <w:t xml:space="preserve">full-time equivalent (FTE) staff comprised of </w:t>
      </w:r>
      <w:r w:rsidR="004A049B">
        <w:rPr>
          <w:rFonts w:cs="Calibri"/>
          <w:iCs/>
        </w:rPr>
        <w:t>6</w:t>
      </w:r>
      <w:r w:rsidR="0087543E">
        <w:rPr>
          <w:rFonts w:cs="Calibri"/>
          <w:iCs/>
        </w:rPr>
        <w:t xml:space="preserve">.00 </w:t>
      </w:r>
      <w:r w:rsidR="00F41A12">
        <w:rPr>
          <w:rFonts w:cs="Calibri"/>
          <w:iCs/>
        </w:rPr>
        <w:t xml:space="preserve">FTE </w:t>
      </w:r>
      <w:r w:rsidR="0087543E">
        <w:rPr>
          <w:rFonts w:cs="Calibri"/>
          <w:iCs/>
        </w:rPr>
        <w:t xml:space="preserve">managers, 10.00 FTE first line supervisors, </w:t>
      </w:r>
      <w:r w:rsidR="005447DD">
        <w:rPr>
          <w:rFonts w:cs="Calibri"/>
          <w:iCs/>
        </w:rPr>
        <w:t xml:space="preserve">56.00 FTE safety compliance officers, 29.00 FTE health compliance officers, </w:t>
      </w:r>
      <w:r w:rsidR="0087543E">
        <w:rPr>
          <w:rFonts w:cs="Calibri"/>
          <w:iCs/>
        </w:rPr>
        <w:t>1.00 FTE compliance assistance specialist, 5.00 FTE trainers, 30.00</w:t>
      </w:r>
      <w:r w:rsidR="001D40FC">
        <w:rPr>
          <w:rFonts w:cs="Calibri"/>
          <w:iCs/>
        </w:rPr>
        <w:t xml:space="preserve"> FTE</w:t>
      </w:r>
      <w:r w:rsidR="0087543E">
        <w:rPr>
          <w:rFonts w:cs="Calibri"/>
          <w:iCs/>
        </w:rPr>
        <w:t xml:space="preserve"> clerical</w:t>
      </w:r>
      <w:r w:rsidR="00FB5D6D">
        <w:rPr>
          <w:rFonts w:cs="Calibri"/>
          <w:iCs/>
        </w:rPr>
        <w:t xml:space="preserve">, and 25.00 </w:t>
      </w:r>
      <w:r w:rsidR="001D40FC">
        <w:rPr>
          <w:rFonts w:cs="Calibri"/>
          <w:iCs/>
        </w:rPr>
        <w:t xml:space="preserve">FTE </w:t>
      </w:r>
      <w:r w:rsidR="00FB5D6D">
        <w:rPr>
          <w:rFonts w:cs="Calibri"/>
          <w:iCs/>
        </w:rPr>
        <w:t xml:space="preserve">other positions. </w:t>
      </w:r>
      <w:r w:rsidR="002363B9">
        <w:rPr>
          <w:rFonts w:cs="Calibri"/>
          <w:iCs/>
        </w:rPr>
        <w:t xml:space="preserve"> </w:t>
      </w:r>
      <w:r w:rsidR="006D1315">
        <w:rPr>
          <w:rFonts w:cs="Calibri"/>
          <w:iCs/>
        </w:rPr>
        <w:t xml:space="preserve">An additional </w:t>
      </w:r>
      <w:r w:rsidR="004E3AC1">
        <w:rPr>
          <w:rFonts w:cs="Calibri"/>
          <w:iCs/>
        </w:rPr>
        <w:t>4.64 FTE</w:t>
      </w:r>
      <w:r w:rsidR="001C6C0D">
        <w:rPr>
          <w:rFonts w:cs="Calibri"/>
          <w:iCs/>
        </w:rPr>
        <w:t xml:space="preserve"> </w:t>
      </w:r>
      <w:r w:rsidR="00156A28">
        <w:rPr>
          <w:rFonts w:cs="Calibri"/>
          <w:iCs/>
        </w:rPr>
        <w:t>provided consultation for state and local government employers</w:t>
      </w:r>
      <w:r w:rsidR="008F30C0">
        <w:rPr>
          <w:rFonts w:cs="Calibri"/>
          <w:iCs/>
        </w:rPr>
        <w:t xml:space="preserve"> and other </w:t>
      </w:r>
      <w:r w:rsidR="007E29A7">
        <w:rPr>
          <w:rFonts w:cs="Calibri"/>
          <w:iCs/>
        </w:rPr>
        <w:t>activities outside of the 23(g) grant</w:t>
      </w:r>
      <w:r w:rsidR="005E6A8A">
        <w:rPr>
          <w:rFonts w:cs="Calibri"/>
          <w:iCs/>
        </w:rPr>
        <w:t xml:space="preserve">. </w:t>
      </w:r>
      <w:r w:rsidR="007E29A7">
        <w:rPr>
          <w:rFonts w:cs="Calibri"/>
          <w:iCs/>
        </w:rPr>
        <w:t xml:space="preserve"> Four </w:t>
      </w:r>
      <w:r w:rsidR="00DC234C">
        <w:rPr>
          <w:rFonts w:cs="Calibri"/>
          <w:iCs/>
        </w:rPr>
        <w:t xml:space="preserve">FTE </w:t>
      </w:r>
      <w:r w:rsidR="006D1273">
        <w:rPr>
          <w:rFonts w:cs="Calibri"/>
          <w:iCs/>
        </w:rPr>
        <w:t xml:space="preserve">provided </w:t>
      </w:r>
      <w:r w:rsidR="00960026">
        <w:rPr>
          <w:rFonts w:cs="Calibri"/>
          <w:iCs/>
        </w:rPr>
        <w:t>private sector consultation activit</w:t>
      </w:r>
      <w:r w:rsidR="007E29A7">
        <w:rPr>
          <w:rFonts w:cs="Calibri"/>
          <w:iCs/>
        </w:rPr>
        <w:t>ies</w:t>
      </w:r>
      <w:r w:rsidR="00C06E40">
        <w:rPr>
          <w:rFonts w:cs="Calibri"/>
          <w:iCs/>
        </w:rPr>
        <w:t xml:space="preserve"> </w:t>
      </w:r>
      <w:r w:rsidR="00596F53">
        <w:rPr>
          <w:rFonts w:cs="Calibri"/>
          <w:iCs/>
        </w:rPr>
        <w:t>and were</w:t>
      </w:r>
      <w:r w:rsidR="00960026">
        <w:rPr>
          <w:rFonts w:cs="Calibri"/>
          <w:iCs/>
        </w:rPr>
        <w:t xml:space="preserve"> covered under a 21(d) cooperative agreement.  </w:t>
      </w:r>
      <w:r w:rsidR="00596F53">
        <w:rPr>
          <w:rFonts w:cs="Calibri"/>
          <w:iCs/>
        </w:rPr>
        <w:t>T</w:t>
      </w:r>
      <w:r w:rsidR="00960026">
        <w:rPr>
          <w:rFonts w:cs="Calibri"/>
          <w:iCs/>
        </w:rPr>
        <w:t xml:space="preserve">he 21(d) program is evaluated separately in the FY 2024 Regional Annual Consultation Evaluation Report (RACER). </w:t>
      </w:r>
    </w:p>
    <w:p w14:paraId="0F7EE9E8" w14:textId="77777777" w:rsidR="00960026" w:rsidRDefault="00960026" w:rsidP="00B14728">
      <w:pPr>
        <w:widowControl/>
        <w:autoSpaceDE/>
        <w:autoSpaceDN/>
        <w:adjustRightInd/>
        <w:rPr>
          <w:rFonts w:cs="Calibri"/>
          <w:iCs/>
        </w:rPr>
      </w:pPr>
    </w:p>
    <w:p w14:paraId="090073F2" w14:textId="7864BB88" w:rsidR="005E243D" w:rsidRPr="00A03F76" w:rsidRDefault="005E243D" w:rsidP="00B14728">
      <w:pPr>
        <w:widowControl/>
        <w:autoSpaceDE/>
        <w:autoSpaceDN/>
        <w:adjustRightInd/>
        <w:rPr>
          <w:rFonts w:cs="Calibri"/>
          <w:iCs/>
        </w:rPr>
      </w:pPr>
      <w:r w:rsidRPr="005E243D">
        <w:rPr>
          <w:rFonts w:cs="Calibri"/>
          <w:iCs/>
        </w:rPr>
        <w:t>In FY 202</w:t>
      </w:r>
      <w:r w:rsidR="00F1386E">
        <w:rPr>
          <w:rFonts w:cs="Calibri"/>
          <w:iCs/>
        </w:rPr>
        <w:t>4</w:t>
      </w:r>
      <w:r w:rsidRPr="005E243D">
        <w:rPr>
          <w:rFonts w:cs="Calibri"/>
          <w:iCs/>
        </w:rPr>
        <w:t xml:space="preserve">, the </w:t>
      </w:r>
      <w:r w:rsidR="006870AE">
        <w:rPr>
          <w:rFonts w:cs="Calibri"/>
          <w:iCs/>
        </w:rPr>
        <w:t>Oregon State Plan</w:t>
      </w:r>
      <w:r w:rsidRPr="005E243D">
        <w:rPr>
          <w:rFonts w:cs="Calibri"/>
          <w:iCs/>
        </w:rPr>
        <w:t xml:space="preserve"> was funded at $</w:t>
      </w:r>
      <w:r w:rsidR="63375C24" w:rsidRPr="71BFB70E">
        <w:rPr>
          <w:rFonts w:cs="Calibri"/>
        </w:rPr>
        <w:t>34,544,241</w:t>
      </w:r>
      <w:r w:rsidRPr="71BFB70E">
        <w:rPr>
          <w:rFonts w:cs="Calibri"/>
        </w:rPr>
        <w:t>.</w:t>
      </w:r>
      <w:r w:rsidRPr="005E243D">
        <w:rPr>
          <w:rFonts w:cs="Calibri"/>
          <w:iCs/>
        </w:rPr>
        <w:t xml:space="preserve"> </w:t>
      </w:r>
      <w:r w:rsidR="002363B9">
        <w:rPr>
          <w:rFonts w:cs="Calibri"/>
          <w:iCs/>
        </w:rPr>
        <w:t xml:space="preserve"> </w:t>
      </w:r>
      <w:r w:rsidRPr="005E243D">
        <w:rPr>
          <w:rFonts w:cs="Calibri"/>
          <w:iCs/>
        </w:rPr>
        <w:t>The state matched the initial federal base award of $</w:t>
      </w:r>
      <w:r w:rsidR="35CEDE48" w:rsidRPr="71BFB70E">
        <w:rPr>
          <w:rFonts w:cs="Calibri"/>
        </w:rPr>
        <w:t>6</w:t>
      </w:r>
      <w:r w:rsidRPr="71BFB70E">
        <w:rPr>
          <w:rFonts w:cs="Calibri"/>
        </w:rPr>
        <w:t>,</w:t>
      </w:r>
      <w:r w:rsidR="22A7D333" w:rsidRPr="71BFB70E">
        <w:rPr>
          <w:rFonts w:cs="Calibri"/>
        </w:rPr>
        <w:t>056,700</w:t>
      </w:r>
      <w:r w:rsidRPr="71BFB70E">
        <w:rPr>
          <w:rFonts w:cs="Calibri"/>
        </w:rPr>
        <w:t>.</w:t>
      </w:r>
      <w:r w:rsidRPr="005E243D">
        <w:rPr>
          <w:rFonts w:cs="Calibri"/>
          <w:iCs/>
        </w:rPr>
        <w:t xml:space="preserve"> </w:t>
      </w:r>
      <w:r w:rsidR="002363B9">
        <w:rPr>
          <w:rFonts w:cs="Calibri"/>
          <w:iCs/>
        </w:rPr>
        <w:t xml:space="preserve"> </w:t>
      </w:r>
      <w:r w:rsidR="521222D6" w:rsidRPr="2476AD2E">
        <w:rPr>
          <w:rFonts w:cs="Calibri"/>
        </w:rPr>
        <w:t xml:space="preserve">Due to the </w:t>
      </w:r>
      <w:r w:rsidR="521222D6" w:rsidRPr="66CADFB7">
        <w:rPr>
          <w:rFonts w:cs="Calibri"/>
        </w:rPr>
        <w:t>fund</w:t>
      </w:r>
      <w:r w:rsidR="006175FF">
        <w:rPr>
          <w:rFonts w:cs="Calibri"/>
        </w:rPr>
        <w:t>ing</w:t>
      </w:r>
      <w:r w:rsidR="521222D6" w:rsidRPr="66CADFB7">
        <w:rPr>
          <w:rFonts w:cs="Calibri"/>
        </w:rPr>
        <w:t xml:space="preserve"> reduction</w:t>
      </w:r>
      <w:r w:rsidR="521222D6" w:rsidRPr="5F1B5804">
        <w:rPr>
          <w:rFonts w:cs="Calibri"/>
        </w:rPr>
        <w:t xml:space="preserve"> of all OSHA</w:t>
      </w:r>
      <w:r w:rsidR="521222D6" w:rsidRPr="66CADFB7">
        <w:rPr>
          <w:rFonts w:cs="Calibri"/>
        </w:rPr>
        <w:t xml:space="preserve"> </w:t>
      </w:r>
      <w:r w:rsidR="521222D6" w:rsidRPr="7DACC79A">
        <w:rPr>
          <w:rFonts w:cs="Calibri"/>
        </w:rPr>
        <w:t xml:space="preserve">23(g) </w:t>
      </w:r>
      <w:r w:rsidR="521222D6" w:rsidRPr="3BAC3BBC">
        <w:rPr>
          <w:rFonts w:cs="Calibri"/>
        </w:rPr>
        <w:t>programs,</w:t>
      </w:r>
      <w:r w:rsidR="521222D6" w:rsidRPr="45A55C27">
        <w:rPr>
          <w:rFonts w:cs="Calibri"/>
        </w:rPr>
        <w:t xml:space="preserve"> </w:t>
      </w:r>
      <w:r w:rsidR="521222D6" w:rsidRPr="0C3F48DB">
        <w:rPr>
          <w:rFonts w:cs="Calibri"/>
        </w:rPr>
        <w:t>the</w:t>
      </w:r>
      <w:r w:rsidRPr="005E243D">
        <w:rPr>
          <w:rFonts w:cs="Calibri"/>
          <w:iCs/>
        </w:rPr>
        <w:t xml:space="preserve"> federal base award was </w:t>
      </w:r>
      <w:r w:rsidR="3D1E3FFC" w:rsidRPr="7C8782AB">
        <w:rPr>
          <w:rFonts w:cs="Calibri"/>
        </w:rPr>
        <w:t>de</w:t>
      </w:r>
      <w:r w:rsidRPr="7C8782AB">
        <w:rPr>
          <w:rFonts w:cs="Calibri"/>
        </w:rPr>
        <w:t>creased</w:t>
      </w:r>
      <w:r w:rsidRPr="005E243D">
        <w:rPr>
          <w:rFonts w:cs="Calibri"/>
          <w:iCs/>
        </w:rPr>
        <w:t xml:space="preserve"> by</w:t>
      </w:r>
      <w:r w:rsidR="209FB341" w:rsidRPr="1F0BBAF0">
        <w:rPr>
          <w:rFonts w:cs="Calibri"/>
        </w:rPr>
        <w:t xml:space="preserve"> </w:t>
      </w:r>
      <w:r w:rsidRPr="005E243D">
        <w:rPr>
          <w:rFonts w:cs="Calibri"/>
          <w:iCs/>
        </w:rPr>
        <w:t>$</w:t>
      </w:r>
      <w:r w:rsidR="653360D0" w:rsidRPr="0BF575F1">
        <w:rPr>
          <w:rFonts w:cs="Calibri"/>
        </w:rPr>
        <w:t>218</w:t>
      </w:r>
      <w:r w:rsidRPr="0BF575F1">
        <w:rPr>
          <w:rFonts w:cs="Calibri"/>
        </w:rPr>
        <w:t>,</w:t>
      </w:r>
      <w:r w:rsidR="30FBE90B" w:rsidRPr="0BF575F1">
        <w:rPr>
          <w:rFonts w:cs="Calibri"/>
        </w:rPr>
        <w:t>0</w:t>
      </w:r>
      <w:r w:rsidRPr="0BF575F1">
        <w:rPr>
          <w:rFonts w:cs="Calibri"/>
        </w:rPr>
        <w:t>00</w:t>
      </w:r>
      <w:r w:rsidRPr="005E243D">
        <w:rPr>
          <w:rFonts w:cs="Calibri"/>
          <w:iCs/>
        </w:rPr>
        <w:t xml:space="preserve"> in July</w:t>
      </w:r>
      <w:r w:rsidR="006870AE">
        <w:rPr>
          <w:rFonts w:cs="Calibri"/>
          <w:iCs/>
        </w:rPr>
        <w:t xml:space="preserve"> 2024</w:t>
      </w:r>
      <w:r w:rsidRPr="005E243D">
        <w:rPr>
          <w:rFonts w:cs="Calibri"/>
          <w:iCs/>
        </w:rPr>
        <w:t xml:space="preserve">. </w:t>
      </w:r>
      <w:r w:rsidR="002363B9">
        <w:rPr>
          <w:rFonts w:cs="Calibri"/>
          <w:iCs/>
        </w:rPr>
        <w:t xml:space="preserve"> </w:t>
      </w:r>
      <w:r w:rsidRPr="005E243D">
        <w:rPr>
          <w:rFonts w:cs="Calibri"/>
          <w:iCs/>
        </w:rPr>
        <w:t>A one-time only award of $</w:t>
      </w:r>
      <w:r w:rsidR="6B4F5580" w:rsidRPr="3AA617DB">
        <w:rPr>
          <w:rFonts w:cs="Calibri"/>
        </w:rPr>
        <w:t>74,815</w:t>
      </w:r>
      <w:r w:rsidRPr="005E243D">
        <w:rPr>
          <w:rFonts w:cs="Calibri"/>
          <w:iCs/>
        </w:rPr>
        <w:t xml:space="preserve"> in </w:t>
      </w:r>
      <w:r w:rsidR="4A0B2662" w:rsidRPr="222CDF7D">
        <w:rPr>
          <w:rFonts w:cs="Calibri"/>
        </w:rPr>
        <w:t>August</w:t>
      </w:r>
      <w:r w:rsidRPr="005E243D">
        <w:rPr>
          <w:rFonts w:cs="Calibri"/>
          <w:iCs/>
        </w:rPr>
        <w:t xml:space="preserve"> contributed to the total federal grant of $</w:t>
      </w:r>
      <w:r w:rsidR="626464FB" w:rsidRPr="2F818161">
        <w:rPr>
          <w:rFonts w:cs="Calibri"/>
        </w:rPr>
        <w:t>5,913,515</w:t>
      </w:r>
      <w:r w:rsidRPr="2F818161">
        <w:rPr>
          <w:rFonts w:cs="Calibri"/>
        </w:rPr>
        <w:t>.</w:t>
      </w:r>
      <w:r w:rsidRPr="005E243D">
        <w:rPr>
          <w:rFonts w:cs="Calibri"/>
          <w:iCs/>
        </w:rPr>
        <w:t xml:space="preserve"> </w:t>
      </w:r>
      <w:r w:rsidR="002363B9">
        <w:rPr>
          <w:rFonts w:cs="Calibri"/>
          <w:iCs/>
        </w:rPr>
        <w:t xml:space="preserve"> </w:t>
      </w:r>
      <w:r w:rsidRPr="005E243D">
        <w:rPr>
          <w:rFonts w:cs="Calibri"/>
          <w:iCs/>
        </w:rPr>
        <w:t>The state matched the total federal grant of $</w:t>
      </w:r>
      <w:r w:rsidR="69347AAE" w:rsidRPr="2F818161">
        <w:rPr>
          <w:rFonts w:cs="Calibri"/>
        </w:rPr>
        <w:t>5,913,515</w:t>
      </w:r>
      <w:r w:rsidRPr="005E243D">
        <w:rPr>
          <w:rFonts w:cs="Calibri"/>
          <w:iCs/>
        </w:rPr>
        <w:t xml:space="preserve"> and added an additional $</w:t>
      </w:r>
      <w:r w:rsidR="4FC5D146" w:rsidRPr="2F818161">
        <w:rPr>
          <w:rFonts w:cs="Calibri"/>
        </w:rPr>
        <w:t>22</w:t>
      </w:r>
      <w:r w:rsidRPr="2F818161">
        <w:rPr>
          <w:rFonts w:cs="Calibri"/>
        </w:rPr>
        <w:t>,</w:t>
      </w:r>
      <w:r w:rsidR="5B7D5C77" w:rsidRPr="2F818161">
        <w:rPr>
          <w:rFonts w:cs="Calibri"/>
        </w:rPr>
        <w:t>717,211</w:t>
      </w:r>
      <w:r w:rsidRPr="005E243D">
        <w:rPr>
          <w:rFonts w:cs="Calibri"/>
          <w:iCs/>
        </w:rPr>
        <w:t xml:space="preserve"> in 100% state funds. </w:t>
      </w:r>
      <w:r w:rsidR="00D87127">
        <w:rPr>
          <w:rFonts w:cs="Calibri"/>
          <w:iCs/>
        </w:rPr>
        <w:t xml:space="preserve"> </w:t>
      </w:r>
      <w:r w:rsidRPr="005E243D">
        <w:rPr>
          <w:rFonts w:cs="Calibri"/>
          <w:iCs/>
        </w:rPr>
        <w:t>The state reported final expenditures to be $</w:t>
      </w:r>
      <w:r w:rsidR="7EF08C3C" w:rsidRPr="075B003E">
        <w:rPr>
          <w:rFonts w:cs="Calibri"/>
        </w:rPr>
        <w:t>36</w:t>
      </w:r>
      <w:r w:rsidRPr="075B003E">
        <w:rPr>
          <w:rFonts w:cs="Calibri"/>
        </w:rPr>
        <w:t>,</w:t>
      </w:r>
      <w:r w:rsidR="27BB9D16" w:rsidRPr="725C6CE5">
        <w:rPr>
          <w:rFonts w:cs="Calibri"/>
        </w:rPr>
        <w:t>516,</w:t>
      </w:r>
      <w:r w:rsidR="27BB9D16" w:rsidRPr="5FCB660F">
        <w:rPr>
          <w:rFonts w:cs="Calibri"/>
        </w:rPr>
        <w:t>097.04</w:t>
      </w:r>
      <w:r w:rsidRPr="5FCB660F">
        <w:rPr>
          <w:rFonts w:cs="Calibri"/>
        </w:rPr>
        <w:t xml:space="preserve"> ($</w:t>
      </w:r>
      <w:r w:rsidR="3F3C9B70" w:rsidRPr="5FCB660F">
        <w:rPr>
          <w:rFonts w:cs="Calibri"/>
        </w:rPr>
        <w:t>5,913,515</w:t>
      </w:r>
      <w:r w:rsidRPr="005E243D">
        <w:rPr>
          <w:rFonts w:cs="Calibri"/>
          <w:iCs/>
        </w:rPr>
        <w:t xml:space="preserve"> federal, </w:t>
      </w:r>
      <w:r w:rsidRPr="12B2353A">
        <w:rPr>
          <w:rFonts w:cs="Calibri"/>
        </w:rPr>
        <w:t>$</w:t>
      </w:r>
      <w:r w:rsidR="71D71854" w:rsidRPr="12B2353A">
        <w:rPr>
          <w:rFonts w:cs="Calibri"/>
        </w:rPr>
        <w:t>5,913,515</w:t>
      </w:r>
      <w:r w:rsidRPr="005E243D">
        <w:rPr>
          <w:rFonts w:cs="Calibri"/>
          <w:iCs/>
        </w:rPr>
        <w:t xml:space="preserve"> state match, and $</w:t>
      </w:r>
      <w:r w:rsidR="317644F3" w:rsidRPr="12B2353A">
        <w:rPr>
          <w:rFonts w:cs="Calibri"/>
        </w:rPr>
        <w:t>24,689,067</w:t>
      </w:r>
      <w:r w:rsidRPr="005E243D">
        <w:rPr>
          <w:rFonts w:cs="Calibri"/>
          <w:iCs/>
        </w:rPr>
        <w:t xml:space="preserve"> in 100% state funds).  </w:t>
      </w:r>
    </w:p>
    <w:p w14:paraId="716CC535" w14:textId="77777777" w:rsidR="00783189" w:rsidRPr="001C1E47" w:rsidRDefault="00783189" w:rsidP="00783189">
      <w:pPr>
        <w:widowControl/>
        <w:autoSpaceDE/>
        <w:autoSpaceDN/>
        <w:adjustRightInd/>
        <w:contextualSpacing/>
        <w:rPr>
          <w:rFonts w:cs="Calibri"/>
          <w:b/>
        </w:rPr>
      </w:pPr>
    </w:p>
    <w:p w14:paraId="74D6683A"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51156972" w14:textId="77777777" w:rsidR="002A0379" w:rsidRDefault="002A0379" w:rsidP="00783189">
      <w:pPr>
        <w:widowControl/>
        <w:autoSpaceDE/>
        <w:autoSpaceDN/>
        <w:adjustRightInd/>
        <w:rPr>
          <w:rFonts w:cs="Calibri"/>
        </w:rPr>
      </w:pPr>
    </w:p>
    <w:p w14:paraId="1520694A" w14:textId="5B38A519" w:rsidR="005D550A" w:rsidRDefault="00A2048F" w:rsidP="005D550A">
      <w:pPr>
        <w:widowControl/>
        <w:autoSpaceDE/>
        <w:autoSpaceDN/>
        <w:adjustRightInd/>
        <w:rPr>
          <w:rFonts w:cs="Calibri"/>
        </w:rPr>
      </w:pPr>
      <w:r>
        <w:rPr>
          <w:rFonts w:cs="Calibri"/>
        </w:rPr>
        <w:t xml:space="preserve">Oregon </w:t>
      </w:r>
      <w:r w:rsidR="005D550A">
        <w:rPr>
          <w:rFonts w:cs="Calibri"/>
          <w:iCs/>
        </w:rPr>
        <w:t>OSHA</w:t>
      </w:r>
      <w:r w:rsidR="00E92958">
        <w:rPr>
          <w:rFonts w:cs="Calibri"/>
          <w:iCs/>
        </w:rPr>
        <w:t xml:space="preserve"> rulemaking in response to SB 592 and SB 907 </w:t>
      </w:r>
      <w:r w:rsidR="00E92958" w:rsidRPr="00E92958">
        <w:rPr>
          <w:rFonts w:cs="Calibri"/>
          <w:iCs/>
        </w:rPr>
        <w:t>amend</w:t>
      </w:r>
      <w:r w:rsidR="00E92958">
        <w:rPr>
          <w:rFonts w:cs="Calibri"/>
          <w:iCs/>
        </w:rPr>
        <w:t>ed</w:t>
      </w:r>
      <w:r w:rsidR="00E92958" w:rsidRPr="00E92958">
        <w:rPr>
          <w:rFonts w:cs="Calibri"/>
          <w:iCs/>
        </w:rPr>
        <w:t xml:space="preserve"> 15 rules and adopt</w:t>
      </w:r>
      <w:r w:rsidR="00E92958">
        <w:rPr>
          <w:rFonts w:cs="Calibri"/>
          <w:iCs/>
        </w:rPr>
        <w:t>ed</w:t>
      </w:r>
      <w:r w:rsidR="00E92958" w:rsidRPr="00E92958">
        <w:rPr>
          <w:rFonts w:cs="Calibri"/>
          <w:iCs/>
        </w:rPr>
        <w:t xml:space="preserve"> two new rules in Division 1, General Administrative Rules, related to Penalties and Work Refusal to align with the changes made to Oregon Safe Employment Act by </w:t>
      </w:r>
      <w:r w:rsidR="00472174">
        <w:rPr>
          <w:rFonts w:cs="Calibri"/>
          <w:iCs/>
        </w:rPr>
        <w:t>SB</w:t>
      </w:r>
      <w:r w:rsidR="00E92958" w:rsidRPr="00E92958">
        <w:rPr>
          <w:rFonts w:cs="Calibri"/>
          <w:iCs/>
        </w:rPr>
        <w:t xml:space="preserve"> 592 and changes to ORS 654.062 by </w:t>
      </w:r>
      <w:r w:rsidR="00472174">
        <w:rPr>
          <w:rFonts w:cs="Calibri"/>
          <w:iCs/>
        </w:rPr>
        <w:t>SB</w:t>
      </w:r>
      <w:r w:rsidR="00E92958" w:rsidRPr="00E92958">
        <w:rPr>
          <w:rFonts w:cs="Calibri"/>
          <w:iCs/>
        </w:rPr>
        <w:t xml:space="preserve"> 907 in the 2023 Oregon legislative session.</w:t>
      </w:r>
      <w:r w:rsidR="008E4A5F">
        <w:rPr>
          <w:rFonts w:cs="Calibri"/>
          <w:iCs/>
        </w:rPr>
        <w:t xml:space="preserve">  </w:t>
      </w:r>
      <w:r w:rsidR="005D550A">
        <w:rPr>
          <w:rFonts w:cs="Calibri"/>
        </w:rPr>
        <w:t xml:space="preserve">As a result of Oregon’s SB 592, Oregon OSHA’s penalty structure was updated and went into effect for violations issued from inspections opened </w:t>
      </w:r>
      <w:r w:rsidR="00BC4D93">
        <w:rPr>
          <w:rFonts w:cs="Calibri"/>
        </w:rPr>
        <w:t xml:space="preserve">on or </w:t>
      </w:r>
      <w:r w:rsidR="005D550A">
        <w:rPr>
          <w:rFonts w:cs="Calibri"/>
        </w:rPr>
        <w:t xml:space="preserve">after January 1, 2024.  Penalties are set to automatically increase annually according to the Consumer Price Index for Urban Consumers, West Coast Region (CPI-U) published by the Bureau of Labor Statistics. </w:t>
      </w:r>
    </w:p>
    <w:p w14:paraId="4308592F" w14:textId="77777777" w:rsidR="005D550A" w:rsidRPr="000F07C7" w:rsidRDefault="005D550A" w:rsidP="00783189">
      <w:pPr>
        <w:widowControl/>
        <w:autoSpaceDE/>
        <w:autoSpaceDN/>
        <w:adjustRightInd/>
        <w:rPr>
          <w:rFonts w:cs="Calibri"/>
          <w:iCs/>
        </w:rPr>
      </w:pPr>
    </w:p>
    <w:p w14:paraId="34BE2A2A" w14:textId="77777777" w:rsidR="00054900" w:rsidRPr="00476C08" w:rsidRDefault="00054900" w:rsidP="001C39E1">
      <w:pPr>
        <w:pStyle w:val="Heading2"/>
      </w:pPr>
      <w:bookmarkStart w:id="10" w:name="_Toc118900172"/>
      <w:bookmarkStart w:id="11" w:name="_Toc118905011"/>
      <w:bookmarkStart w:id="12" w:name="_Toc190095685"/>
      <w:r w:rsidRPr="00476C08">
        <w:t xml:space="preserve">Assessment of State Plan </w:t>
      </w:r>
      <w:r w:rsidR="001E2FBB" w:rsidRPr="00476C08">
        <w:t xml:space="preserve">Progress and </w:t>
      </w:r>
      <w:r w:rsidRPr="00476C08">
        <w:t>Performance</w:t>
      </w:r>
      <w:bookmarkEnd w:id="10"/>
      <w:bookmarkEnd w:id="11"/>
      <w:bookmarkEnd w:id="12"/>
    </w:p>
    <w:p w14:paraId="7E6455A3" w14:textId="77777777" w:rsidR="00054900" w:rsidRPr="001C1E47" w:rsidRDefault="00054900" w:rsidP="00783189">
      <w:pPr>
        <w:widowControl/>
        <w:autoSpaceDE/>
        <w:autoSpaceDN/>
        <w:adjustRightInd/>
        <w:rPr>
          <w:rFonts w:cs="Calibri"/>
        </w:rPr>
      </w:pPr>
    </w:p>
    <w:p w14:paraId="6A3639E2" w14:textId="45B53224" w:rsidR="000A134A" w:rsidRPr="00723E69" w:rsidRDefault="000A134A" w:rsidP="00723E69">
      <w:pPr>
        <w:pStyle w:val="Heading3"/>
        <w:numPr>
          <w:ilvl w:val="0"/>
          <w:numId w:val="16"/>
        </w:numPr>
      </w:pPr>
      <w:bookmarkStart w:id="13" w:name="_Toc118900173"/>
      <w:bookmarkStart w:id="14" w:name="_Toc118905012"/>
      <w:bookmarkStart w:id="15" w:name="_Toc190095686"/>
      <w:r w:rsidRPr="00723E69">
        <w:t>Data and Methodology</w:t>
      </w:r>
      <w:bookmarkEnd w:id="13"/>
      <w:bookmarkEnd w:id="14"/>
      <w:bookmarkEnd w:id="15"/>
    </w:p>
    <w:p w14:paraId="3D57940E" w14:textId="77777777" w:rsidR="000A134A" w:rsidRPr="001C1E47" w:rsidRDefault="000A134A" w:rsidP="00783189">
      <w:pPr>
        <w:widowControl/>
        <w:autoSpaceDE/>
        <w:autoSpaceDN/>
        <w:adjustRightInd/>
        <w:ind w:left="1440"/>
        <w:rPr>
          <w:rFonts w:cs="Calibri"/>
          <w:bCs/>
        </w:rPr>
      </w:pPr>
    </w:p>
    <w:p w14:paraId="263D2E27" w14:textId="019AE152" w:rsidR="00FF4AE2" w:rsidRPr="001C1E47" w:rsidRDefault="001A335E" w:rsidP="00783189">
      <w:pPr>
        <w:widowControl/>
        <w:autoSpaceDE/>
        <w:autoSpaceDN/>
        <w:adjustRightInd/>
        <w:rPr>
          <w:rFonts w:cs="Calibri"/>
          <w:bCs/>
        </w:rPr>
      </w:pPr>
      <w:r w:rsidRPr="001C1E47">
        <w:rPr>
          <w:rFonts w:cs="Calibri"/>
          <w:bCs/>
        </w:rPr>
        <w:t xml:space="preserve">OSHA established a two-year cycle for the FAME process. </w:t>
      </w:r>
      <w:r w:rsidR="00D87127">
        <w:rPr>
          <w:rFonts w:cs="Calibri"/>
          <w:bCs/>
        </w:rPr>
        <w:t xml:space="preserve"> </w:t>
      </w:r>
      <w:r w:rsidR="00F249B9">
        <w:rPr>
          <w:rFonts w:cs="Calibri"/>
          <w:bCs/>
        </w:rPr>
        <w:t xml:space="preserve">This is the follow-up year, and as such, OSHA did not perform an on-site case file review associated with </w:t>
      </w:r>
      <w:r w:rsidR="00291D9D">
        <w:rPr>
          <w:rFonts w:cs="Calibri"/>
          <w:bCs/>
        </w:rPr>
        <w:t>a</w:t>
      </w:r>
      <w:r w:rsidR="00F249B9">
        <w:rPr>
          <w:rFonts w:cs="Calibri"/>
          <w:bCs/>
        </w:rPr>
        <w:t xml:space="preserve"> comp</w:t>
      </w:r>
      <w:r w:rsidR="00291D9D">
        <w:rPr>
          <w:rFonts w:cs="Calibri"/>
          <w:bCs/>
        </w:rPr>
        <w:t xml:space="preserve">rehensive FAME.  This strategy allows the State Plan to focus on correcting deficiencies identified in the FY 2023 </w:t>
      </w:r>
      <w:r w:rsidR="003C6891">
        <w:rPr>
          <w:rFonts w:cs="Calibri"/>
          <w:bCs/>
        </w:rPr>
        <w:t>C</w:t>
      </w:r>
      <w:r w:rsidR="00291D9D">
        <w:rPr>
          <w:rFonts w:cs="Calibri"/>
          <w:bCs/>
        </w:rPr>
        <w:t>omprehensive FAME</w:t>
      </w:r>
      <w:r w:rsidR="00D041C0">
        <w:rPr>
          <w:rFonts w:cs="Calibri"/>
          <w:bCs/>
        </w:rPr>
        <w:t xml:space="preserve"> report</w:t>
      </w:r>
      <w:r w:rsidR="00291D9D">
        <w:rPr>
          <w:rFonts w:cs="Calibri"/>
          <w:bCs/>
        </w:rPr>
        <w:t xml:space="preserve">.  </w:t>
      </w:r>
      <w:r w:rsidR="00FF4AE2" w:rsidRPr="001C1E47">
        <w:rPr>
          <w:rFonts w:cs="Calibri"/>
          <w:bCs/>
        </w:rPr>
        <w:t>The analyses and conclusions described in this report are based on information obtained from a variety of monitoring sources, including:</w:t>
      </w:r>
    </w:p>
    <w:p w14:paraId="14205D12" w14:textId="77777777" w:rsidR="00FF4AE2" w:rsidRPr="001C1E47" w:rsidRDefault="00FF4AE2" w:rsidP="00783189">
      <w:pPr>
        <w:widowControl/>
        <w:autoSpaceDE/>
        <w:autoSpaceDN/>
        <w:adjustRightInd/>
        <w:rPr>
          <w:rFonts w:cs="Calibri"/>
          <w:bCs/>
        </w:rPr>
      </w:pPr>
    </w:p>
    <w:p w14:paraId="389F3948" w14:textId="2F26221D" w:rsidR="008B38F5" w:rsidRPr="002E06CB" w:rsidRDefault="004B6129" w:rsidP="008B38F5">
      <w:pPr>
        <w:pStyle w:val="ListParagraph"/>
        <w:numPr>
          <w:ilvl w:val="0"/>
          <w:numId w:val="7"/>
        </w:numPr>
        <w:spacing w:after="0" w:line="240" w:lineRule="auto"/>
        <w:rPr>
          <w:rFonts w:asciiTheme="minorHAnsi" w:hAnsiTheme="minorHAnsi" w:cstheme="minorHAnsi"/>
          <w:bCs/>
          <w:sz w:val="24"/>
          <w:szCs w:val="24"/>
        </w:rPr>
      </w:pPr>
      <w:r w:rsidRPr="002E06CB">
        <w:rPr>
          <w:rFonts w:asciiTheme="minorHAnsi" w:hAnsiTheme="minorHAnsi" w:cstheme="minorHAnsi"/>
          <w:bCs/>
          <w:sz w:val="24"/>
          <w:szCs w:val="24"/>
        </w:rPr>
        <w:t>State Activity Mandated Measures</w:t>
      </w:r>
      <w:r w:rsidR="008925B6" w:rsidRPr="002E06CB">
        <w:rPr>
          <w:rFonts w:asciiTheme="minorHAnsi" w:hAnsiTheme="minorHAnsi" w:cstheme="minorHAnsi"/>
          <w:bCs/>
          <w:sz w:val="24"/>
          <w:szCs w:val="24"/>
        </w:rPr>
        <w:t xml:space="preserve"> (SAMM)</w:t>
      </w:r>
      <w:r w:rsidRPr="002E06CB">
        <w:rPr>
          <w:rFonts w:asciiTheme="minorHAnsi" w:hAnsiTheme="minorHAnsi" w:cstheme="minorHAnsi"/>
          <w:bCs/>
          <w:sz w:val="24"/>
          <w:szCs w:val="24"/>
        </w:rPr>
        <w:t xml:space="preserve"> Report </w:t>
      </w:r>
      <w:r w:rsidR="00D84CFC" w:rsidRPr="002E06CB">
        <w:rPr>
          <w:rFonts w:asciiTheme="minorHAnsi" w:hAnsiTheme="minorHAnsi" w:cstheme="minorHAnsi"/>
          <w:bCs/>
          <w:sz w:val="24"/>
          <w:szCs w:val="24"/>
        </w:rPr>
        <w:t>(Appendix</w:t>
      </w:r>
      <w:r w:rsidRPr="002E06CB">
        <w:rPr>
          <w:rFonts w:asciiTheme="minorHAnsi" w:hAnsiTheme="minorHAnsi" w:cstheme="minorHAnsi"/>
          <w:bCs/>
          <w:sz w:val="24"/>
          <w:szCs w:val="24"/>
        </w:rPr>
        <w:t xml:space="preserve"> D</w:t>
      </w:r>
      <w:r w:rsidR="00A96648">
        <w:rPr>
          <w:rFonts w:asciiTheme="minorHAnsi" w:hAnsiTheme="minorHAnsi" w:cstheme="minorHAnsi"/>
          <w:bCs/>
          <w:sz w:val="24"/>
          <w:szCs w:val="24"/>
        </w:rPr>
        <w:t>)</w:t>
      </w:r>
      <w:r w:rsidRPr="002E06CB">
        <w:rPr>
          <w:rFonts w:asciiTheme="minorHAnsi" w:hAnsiTheme="minorHAnsi" w:cstheme="minorHAnsi"/>
          <w:bCs/>
          <w:sz w:val="24"/>
          <w:szCs w:val="24"/>
        </w:rPr>
        <w:t xml:space="preserve">, dated </w:t>
      </w:r>
      <w:r w:rsidR="008B38F5" w:rsidRPr="002E06CB">
        <w:rPr>
          <w:rFonts w:asciiTheme="minorHAnsi" w:hAnsiTheme="minorHAnsi" w:cstheme="minorHAnsi"/>
          <w:bCs/>
          <w:sz w:val="24"/>
          <w:szCs w:val="24"/>
        </w:rPr>
        <w:t>11</w:t>
      </w:r>
      <w:r w:rsidRPr="002E06CB">
        <w:rPr>
          <w:rFonts w:asciiTheme="minorHAnsi" w:hAnsiTheme="minorHAnsi" w:cstheme="minorHAnsi"/>
          <w:bCs/>
          <w:sz w:val="24"/>
          <w:szCs w:val="24"/>
        </w:rPr>
        <w:t>/</w:t>
      </w:r>
      <w:r w:rsidR="00561F90" w:rsidRPr="002E06CB">
        <w:rPr>
          <w:rFonts w:asciiTheme="minorHAnsi" w:hAnsiTheme="minorHAnsi" w:cstheme="minorHAnsi"/>
          <w:bCs/>
          <w:sz w:val="24"/>
          <w:szCs w:val="24"/>
        </w:rPr>
        <w:t>12</w:t>
      </w:r>
      <w:r w:rsidRPr="002E06CB">
        <w:rPr>
          <w:rFonts w:asciiTheme="minorHAnsi" w:hAnsiTheme="minorHAnsi" w:cstheme="minorHAnsi"/>
          <w:bCs/>
          <w:sz w:val="24"/>
          <w:szCs w:val="24"/>
        </w:rPr>
        <w:t>/</w:t>
      </w:r>
      <w:r w:rsidR="004C704F" w:rsidRPr="002E06CB">
        <w:rPr>
          <w:rFonts w:asciiTheme="minorHAnsi" w:hAnsiTheme="minorHAnsi" w:cstheme="minorHAnsi"/>
          <w:bCs/>
          <w:sz w:val="24"/>
          <w:szCs w:val="24"/>
        </w:rPr>
        <w:t>2024</w:t>
      </w:r>
    </w:p>
    <w:p w14:paraId="4F654C68" w14:textId="350A9C91" w:rsidR="004B6129" w:rsidRPr="002E06CB" w:rsidRDefault="004B6129" w:rsidP="008B38F5">
      <w:pPr>
        <w:pStyle w:val="ListParagraph"/>
        <w:numPr>
          <w:ilvl w:val="0"/>
          <w:numId w:val="7"/>
        </w:numPr>
        <w:spacing w:after="0" w:line="240" w:lineRule="auto"/>
        <w:rPr>
          <w:rFonts w:asciiTheme="minorHAnsi" w:hAnsiTheme="minorHAnsi" w:cstheme="minorHAnsi"/>
          <w:bCs/>
          <w:sz w:val="24"/>
          <w:szCs w:val="24"/>
        </w:rPr>
      </w:pPr>
      <w:r w:rsidRPr="002E06CB">
        <w:rPr>
          <w:rFonts w:asciiTheme="minorHAnsi" w:hAnsiTheme="minorHAnsi" w:cstheme="minorHAnsi"/>
          <w:bCs/>
          <w:sz w:val="24"/>
          <w:szCs w:val="24"/>
        </w:rPr>
        <w:t>State Information Report (SIR</w:t>
      </w:r>
      <w:r w:rsidR="00FE62E1">
        <w:rPr>
          <w:rFonts w:asciiTheme="minorHAnsi" w:hAnsiTheme="minorHAnsi" w:cstheme="minorHAnsi"/>
          <w:bCs/>
          <w:sz w:val="24"/>
          <w:szCs w:val="24"/>
        </w:rPr>
        <w:t>)</w:t>
      </w:r>
      <w:r w:rsidRPr="002E06CB">
        <w:rPr>
          <w:rFonts w:asciiTheme="minorHAnsi" w:hAnsiTheme="minorHAnsi" w:cstheme="minorHAnsi"/>
          <w:bCs/>
          <w:sz w:val="24"/>
          <w:szCs w:val="24"/>
        </w:rPr>
        <w:t xml:space="preserve"> dated 1</w:t>
      </w:r>
      <w:r w:rsidR="00561F90" w:rsidRPr="002E06CB">
        <w:rPr>
          <w:rFonts w:asciiTheme="minorHAnsi" w:hAnsiTheme="minorHAnsi" w:cstheme="minorHAnsi"/>
          <w:bCs/>
          <w:sz w:val="24"/>
          <w:szCs w:val="24"/>
        </w:rPr>
        <w:t>1</w:t>
      </w:r>
      <w:r w:rsidRPr="002E06CB">
        <w:rPr>
          <w:rFonts w:asciiTheme="minorHAnsi" w:hAnsiTheme="minorHAnsi" w:cstheme="minorHAnsi"/>
          <w:bCs/>
          <w:sz w:val="24"/>
          <w:szCs w:val="24"/>
        </w:rPr>
        <w:t>/</w:t>
      </w:r>
      <w:r w:rsidR="00561F90" w:rsidRPr="002E06CB">
        <w:rPr>
          <w:rFonts w:asciiTheme="minorHAnsi" w:hAnsiTheme="minorHAnsi" w:cstheme="minorHAnsi"/>
          <w:bCs/>
          <w:sz w:val="24"/>
          <w:szCs w:val="24"/>
        </w:rPr>
        <w:t>12</w:t>
      </w:r>
      <w:r w:rsidRPr="002E06CB">
        <w:rPr>
          <w:rFonts w:asciiTheme="minorHAnsi" w:hAnsiTheme="minorHAnsi" w:cstheme="minorHAnsi"/>
          <w:bCs/>
          <w:sz w:val="24"/>
          <w:szCs w:val="24"/>
        </w:rPr>
        <w:t>/</w:t>
      </w:r>
      <w:r w:rsidR="004C704F" w:rsidRPr="002E06CB">
        <w:rPr>
          <w:rFonts w:asciiTheme="minorHAnsi" w:hAnsiTheme="minorHAnsi" w:cstheme="minorHAnsi"/>
          <w:bCs/>
          <w:sz w:val="24"/>
          <w:szCs w:val="24"/>
        </w:rPr>
        <w:t>2024</w:t>
      </w:r>
    </w:p>
    <w:p w14:paraId="2E74BA4C" w14:textId="4CC6568E" w:rsidR="00742AD4" w:rsidRPr="002E06CB" w:rsidRDefault="003C31D2" w:rsidP="003C31D2">
      <w:pPr>
        <w:pStyle w:val="ListParagraph"/>
        <w:numPr>
          <w:ilvl w:val="0"/>
          <w:numId w:val="7"/>
        </w:numPr>
        <w:rPr>
          <w:rFonts w:asciiTheme="minorHAnsi" w:hAnsiTheme="minorHAnsi" w:cstheme="minorHAnsi"/>
          <w:sz w:val="24"/>
          <w:szCs w:val="24"/>
        </w:rPr>
      </w:pPr>
      <w:r w:rsidRPr="002E06CB">
        <w:rPr>
          <w:rFonts w:asciiTheme="minorHAnsi" w:hAnsiTheme="minorHAnsi" w:cstheme="minorHAnsi"/>
          <w:sz w:val="24"/>
          <w:szCs w:val="24"/>
        </w:rPr>
        <w:t>Whistleblower Application</w:t>
      </w:r>
      <w:r w:rsidR="002E06CB" w:rsidRPr="002E06CB">
        <w:rPr>
          <w:rFonts w:asciiTheme="minorHAnsi" w:hAnsiTheme="minorHAnsi" w:cstheme="minorHAnsi"/>
          <w:sz w:val="24"/>
          <w:szCs w:val="24"/>
        </w:rPr>
        <w:t xml:space="preserve"> in the OSHA IT Support</w:t>
      </w:r>
      <w:r w:rsidRPr="002E06CB">
        <w:rPr>
          <w:rFonts w:asciiTheme="minorHAnsi" w:hAnsiTheme="minorHAnsi" w:cstheme="minorHAnsi"/>
          <w:sz w:val="24"/>
          <w:szCs w:val="24"/>
        </w:rPr>
        <w:t xml:space="preserve"> System (</w:t>
      </w:r>
      <w:r w:rsidR="002E06CB" w:rsidRPr="002E06CB">
        <w:rPr>
          <w:rFonts w:asciiTheme="minorHAnsi" w:hAnsiTheme="minorHAnsi" w:cstheme="minorHAnsi"/>
          <w:sz w:val="24"/>
          <w:szCs w:val="24"/>
        </w:rPr>
        <w:t>OITSS</w:t>
      </w:r>
      <w:r w:rsidRPr="002E06CB">
        <w:rPr>
          <w:rFonts w:asciiTheme="minorHAnsi" w:hAnsiTheme="minorHAnsi" w:cstheme="minorHAnsi"/>
          <w:sz w:val="24"/>
          <w:szCs w:val="24"/>
        </w:rPr>
        <w:t>)</w:t>
      </w:r>
    </w:p>
    <w:p w14:paraId="34C78E97" w14:textId="6E60F116" w:rsidR="004B6129" w:rsidRPr="002E06CB" w:rsidRDefault="004B6129" w:rsidP="004B6129">
      <w:pPr>
        <w:pStyle w:val="ListParagraph"/>
        <w:numPr>
          <w:ilvl w:val="0"/>
          <w:numId w:val="7"/>
        </w:numPr>
        <w:spacing w:after="0" w:line="240" w:lineRule="auto"/>
        <w:rPr>
          <w:rFonts w:asciiTheme="minorHAnsi" w:hAnsiTheme="minorHAnsi" w:cstheme="minorHAnsi"/>
          <w:bCs/>
          <w:sz w:val="24"/>
          <w:szCs w:val="24"/>
        </w:rPr>
      </w:pPr>
      <w:r w:rsidRPr="002E06CB">
        <w:rPr>
          <w:rFonts w:asciiTheme="minorHAnsi" w:hAnsiTheme="minorHAnsi" w:cstheme="minorHAnsi"/>
          <w:bCs/>
          <w:sz w:val="24"/>
          <w:szCs w:val="24"/>
        </w:rPr>
        <w:t>State OSHA Annual Report (SOAR)</w:t>
      </w:r>
    </w:p>
    <w:p w14:paraId="66B619C3" w14:textId="77777777" w:rsidR="004B6129" w:rsidRPr="002E06CB" w:rsidRDefault="004B6129" w:rsidP="004B6129">
      <w:pPr>
        <w:pStyle w:val="ListParagraph"/>
        <w:numPr>
          <w:ilvl w:val="0"/>
          <w:numId w:val="7"/>
        </w:numPr>
        <w:spacing w:after="0" w:line="240" w:lineRule="auto"/>
        <w:rPr>
          <w:rFonts w:asciiTheme="minorHAnsi" w:hAnsiTheme="minorHAnsi" w:cstheme="minorHAnsi"/>
          <w:bCs/>
          <w:sz w:val="24"/>
          <w:szCs w:val="24"/>
        </w:rPr>
      </w:pPr>
      <w:r w:rsidRPr="002E06CB">
        <w:rPr>
          <w:rFonts w:asciiTheme="minorHAnsi" w:hAnsiTheme="minorHAnsi" w:cstheme="minorHAnsi"/>
          <w:sz w:val="24"/>
          <w:szCs w:val="24"/>
        </w:rPr>
        <w:t>Oregon OSHA Annual Performance Plan</w:t>
      </w:r>
    </w:p>
    <w:p w14:paraId="730735B0" w14:textId="180DCB09" w:rsidR="7F55164A" w:rsidRPr="002E06CB" w:rsidRDefault="7F55164A" w:rsidP="1D112021">
      <w:pPr>
        <w:pStyle w:val="ListParagraph"/>
        <w:numPr>
          <w:ilvl w:val="0"/>
          <w:numId w:val="7"/>
        </w:numPr>
        <w:spacing w:after="0" w:line="240" w:lineRule="auto"/>
        <w:rPr>
          <w:rFonts w:asciiTheme="minorHAnsi" w:hAnsiTheme="minorHAnsi" w:cstheme="minorHAnsi"/>
          <w:sz w:val="24"/>
          <w:szCs w:val="24"/>
        </w:rPr>
      </w:pPr>
      <w:r w:rsidRPr="002E06CB">
        <w:rPr>
          <w:rFonts w:asciiTheme="minorHAnsi" w:hAnsiTheme="minorHAnsi" w:cstheme="minorHAnsi"/>
          <w:sz w:val="24"/>
          <w:szCs w:val="24"/>
        </w:rPr>
        <w:t>OSHA Information System (OIS)</w:t>
      </w:r>
    </w:p>
    <w:p w14:paraId="76A397B2" w14:textId="31ECA3F7" w:rsidR="004B6129" w:rsidRPr="002E06CB" w:rsidRDefault="004B6129" w:rsidP="004B6129">
      <w:pPr>
        <w:pStyle w:val="ListParagraph"/>
        <w:numPr>
          <w:ilvl w:val="0"/>
          <w:numId w:val="7"/>
        </w:numPr>
        <w:spacing w:after="0" w:line="240" w:lineRule="auto"/>
        <w:rPr>
          <w:rFonts w:asciiTheme="minorHAnsi" w:hAnsiTheme="minorHAnsi" w:cstheme="minorHAnsi"/>
          <w:bCs/>
          <w:sz w:val="24"/>
          <w:szCs w:val="24"/>
        </w:rPr>
      </w:pPr>
      <w:r w:rsidRPr="002E06CB">
        <w:rPr>
          <w:rFonts w:asciiTheme="minorHAnsi" w:hAnsiTheme="minorHAnsi" w:cstheme="minorHAnsi"/>
          <w:sz w:val="24"/>
          <w:szCs w:val="24"/>
        </w:rPr>
        <w:t>State Plan</w:t>
      </w:r>
      <w:r w:rsidR="00421E2E" w:rsidRPr="002E06CB">
        <w:rPr>
          <w:rFonts w:asciiTheme="minorHAnsi" w:hAnsiTheme="minorHAnsi" w:cstheme="minorHAnsi"/>
          <w:sz w:val="24"/>
          <w:szCs w:val="24"/>
        </w:rPr>
        <w:t xml:space="preserve"> 23(g)</w:t>
      </w:r>
      <w:r w:rsidRPr="002E06CB">
        <w:rPr>
          <w:rFonts w:asciiTheme="minorHAnsi" w:hAnsiTheme="minorHAnsi" w:cstheme="minorHAnsi"/>
          <w:sz w:val="24"/>
          <w:szCs w:val="24"/>
        </w:rPr>
        <w:t xml:space="preserve"> Grant Application </w:t>
      </w:r>
    </w:p>
    <w:p w14:paraId="7CFF841E" w14:textId="77777777" w:rsidR="004B6129" w:rsidRPr="00FE62E1" w:rsidRDefault="004B6129" w:rsidP="004B6129">
      <w:pPr>
        <w:pStyle w:val="ListParagraph"/>
        <w:numPr>
          <w:ilvl w:val="0"/>
          <w:numId w:val="7"/>
        </w:numPr>
        <w:spacing w:after="0" w:line="240" w:lineRule="auto"/>
        <w:rPr>
          <w:rFonts w:asciiTheme="minorHAnsi" w:hAnsiTheme="minorHAnsi" w:cstheme="minorHAnsi"/>
          <w:bCs/>
        </w:rPr>
      </w:pPr>
      <w:r w:rsidRPr="002E06CB">
        <w:rPr>
          <w:rFonts w:asciiTheme="minorHAnsi" w:hAnsiTheme="minorHAnsi" w:cstheme="minorHAnsi"/>
          <w:sz w:val="24"/>
          <w:szCs w:val="24"/>
        </w:rPr>
        <w:t>Quarterly monitoring meetings between OSHA and the State Plan</w:t>
      </w:r>
    </w:p>
    <w:p w14:paraId="79FA56BD" w14:textId="2F610A9C" w:rsidR="00FE62E1" w:rsidRPr="002E06CB" w:rsidRDefault="00FE62E1" w:rsidP="004B6129">
      <w:pPr>
        <w:pStyle w:val="ListParagraph"/>
        <w:numPr>
          <w:ilvl w:val="0"/>
          <w:numId w:val="7"/>
        </w:numPr>
        <w:spacing w:after="0" w:line="240" w:lineRule="auto"/>
        <w:rPr>
          <w:rFonts w:asciiTheme="minorHAnsi" w:hAnsiTheme="minorHAnsi" w:cstheme="minorHAnsi"/>
          <w:bCs/>
        </w:rPr>
      </w:pPr>
      <w:r>
        <w:rPr>
          <w:rFonts w:asciiTheme="minorHAnsi" w:hAnsiTheme="minorHAnsi" w:cstheme="minorHAnsi"/>
          <w:sz w:val="24"/>
          <w:szCs w:val="24"/>
        </w:rPr>
        <w:t>State Plan Application</w:t>
      </w:r>
    </w:p>
    <w:p w14:paraId="4CA95197" w14:textId="77777777" w:rsidR="001E2FBB" w:rsidRDefault="001E2FBB" w:rsidP="00783189">
      <w:pPr>
        <w:widowControl/>
        <w:autoSpaceDE/>
        <w:autoSpaceDN/>
        <w:adjustRightInd/>
        <w:rPr>
          <w:rFonts w:cs="Calibri"/>
          <w:bCs/>
          <w:i/>
        </w:rPr>
      </w:pPr>
    </w:p>
    <w:p w14:paraId="701ABA61" w14:textId="77777777" w:rsidR="004A229C" w:rsidRPr="001C1E47" w:rsidRDefault="004A229C" w:rsidP="00783189">
      <w:pPr>
        <w:widowControl/>
        <w:autoSpaceDE/>
        <w:autoSpaceDN/>
        <w:adjustRightInd/>
        <w:rPr>
          <w:rFonts w:cs="Calibri"/>
          <w:bCs/>
          <w:i/>
        </w:rPr>
      </w:pPr>
    </w:p>
    <w:p w14:paraId="16ABF2A3" w14:textId="3C029C6D" w:rsidR="000A134A" w:rsidRPr="001C1E47" w:rsidRDefault="000A134A" w:rsidP="00723E69">
      <w:pPr>
        <w:pStyle w:val="Heading3"/>
        <w:numPr>
          <w:ilvl w:val="0"/>
          <w:numId w:val="16"/>
        </w:numPr>
      </w:pPr>
      <w:bookmarkStart w:id="16" w:name="_Toc118900174"/>
      <w:bookmarkStart w:id="17" w:name="_Toc118905013"/>
      <w:bookmarkStart w:id="18" w:name="_Toc190095687"/>
      <w:r w:rsidRPr="001C1E47">
        <w:t>Findings and Observations</w:t>
      </w:r>
      <w:bookmarkEnd w:id="16"/>
      <w:bookmarkEnd w:id="17"/>
      <w:bookmarkEnd w:id="18"/>
    </w:p>
    <w:p w14:paraId="45C78FAE" w14:textId="77777777" w:rsidR="00E71FB7" w:rsidRPr="00F55C15" w:rsidRDefault="00E71FB7" w:rsidP="00783189">
      <w:pPr>
        <w:widowControl/>
        <w:autoSpaceDE/>
        <w:autoSpaceDN/>
        <w:adjustRightInd/>
        <w:rPr>
          <w:rFonts w:cs="Calibri"/>
          <w:highlight w:val="yellow"/>
        </w:rPr>
      </w:pPr>
    </w:p>
    <w:p w14:paraId="0FF65523" w14:textId="0B2B4B9D" w:rsidR="004E505A" w:rsidRDefault="00B91DE0" w:rsidP="00783189">
      <w:pPr>
        <w:widowControl/>
        <w:autoSpaceDE/>
        <w:autoSpaceDN/>
        <w:adjustRightInd/>
        <w:rPr>
          <w:rFonts w:cs="Calibri"/>
        </w:rPr>
      </w:pPr>
      <w:r w:rsidRPr="001636E4">
        <w:rPr>
          <w:rFonts w:cs="Calibri"/>
        </w:rPr>
        <w:t xml:space="preserve">The </w:t>
      </w:r>
      <w:r w:rsidR="004668BA" w:rsidRPr="001636E4">
        <w:rPr>
          <w:rFonts w:cs="Calibri"/>
        </w:rPr>
        <w:t xml:space="preserve">Oregon </w:t>
      </w:r>
      <w:r w:rsidRPr="001636E4">
        <w:rPr>
          <w:rFonts w:cs="Calibri"/>
        </w:rPr>
        <w:t xml:space="preserve">State Plan made progress to address </w:t>
      </w:r>
      <w:r w:rsidR="001636E4" w:rsidRPr="001636E4">
        <w:rPr>
          <w:rFonts w:cs="Calibri"/>
        </w:rPr>
        <w:t xml:space="preserve">two </w:t>
      </w:r>
      <w:r w:rsidRPr="001636E4">
        <w:rPr>
          <w:rFonts w:cs="Calibri"/>
        </w:rPr>
        <w:t>previous finding</w:t>
      </w:r>
      <w:r w:rsidR="001636E4" w:rsidRPr="001636E4">
        <w:rPr>
          <w:rFonts w:cs="Calibri"/>
        </w:rPr>
        <w:t xml:space="preserve">s </w:t>
      </w:r>
      <w:r w:rsidRPr="001636E4">
        <w:rPr>
          <w:rFonts w:cs="Calibri"/>
        </w:rPr>
        <w:t xml:space="preserve">and </w:t>
      </w:r>
      <w:r w:rsidR="001636E4" w:rsidRPr="001636E4">
        <w:rPr>
          <w:rFonts w:cs="Calibri"/>
        </w:rPr>
        <w:t>seven</w:t>
      </w:r>
      <w:r w:rsidRPr="001636E4">
        <w:rPr>
          <w:rFonts w:cs="Calibri"/>
        </w:rPr>
        <w:t xml:space="preserve"> observations from the FY 202</w:t>
      </w:r>
      <w:r w:rsidR="0011120B" w:rsidRPr="001636E4">
        <w:rPr>
          <w:rFonts w:cs="Calibri"/>
        </w:rPr>
        <w:t>3</w:t>
      </w:r>
      <w:r w:rsidRPr="001636E4">
        <w:rPr>
          <w:rFonts w:cs="Calibri"/>
        </w:rPr>
        <w:t xml:space="preserve"> Comprehensive FAME</w:t>
      </w:r>
      <w:r w:rsidR="00032551">
        <w:rPr>
          <w:rFonts w:cs="Calibri"/>
        </w:rPr>
        <w:t>.</w:t>
      </w:r>
      <w:r w:rsidRPr="00B91DE0">
        <w:rPr>
          <w:rFonts w:cs="Calibri"/>
        </w:rPr>
        <w:t xml:space="preserve">  </w:t>
      </w:r>
      <w:r w:rsidR="00DB5CA7">
        <w:rPr>
          <w:rFonts w:cs="Calibri"/>
        </w:rPr>
        <w:t>However, t</w:t>
      </w:r>
      <w:r w:rsidR="006C7109">
        <w:rPr>
          <w:rFonts w:cs="Calibri"/>
        </w:rPr>
        <w:t xml:space="preserve">hese findings and observations are continued </w:t>
      </w:r>
      <w:r w:rsidR="00CC5E8A">
        <w:rPr>
          <w:rFonts w:cs="Calibri"/>
        </w:rPr>
        <w:t>and will be re-evaluated during the FY 2025 Comprehensive FAME</w:t>
      </w:r>
      <w:r w:rsidRPr="006C7109">
        <w:rPr>
          <w:rFonts w:cs="Calibri"/>
        </w:rPr>
        <w:t>.</w:t>
      </w:r>
      <w:r w:rsidRPr="00B91DE0">
        <w:rPr>
          <w:rFonts w:cs="Calibri"/>
        </w:rPr>
        <w:t xml:space="preserve">  Appendix A describes the continued findings and recommendations.  Appendix B describes observations subject to continued monitoring and the related federal monitoring plan.  Appendix C describes the status of each FY 202</w:t>
      </w:r>
      <w:r w:rsidR="00DC624C">
        <w:rPr>
          <w:rFonts w:cs="Calibri"/>
        </w:rPr>
        <w:t>3</w:t>
      </w:r>
      <w:r w:rsidRPr="00B91DE0">
        <w:rPr>
          <w:rFonts w:cs="Calibri"/>
        </w:rPr>
        <w:t xml:space="preserve"> finding and recommendation in detail.</w:t>
      </w:r>
    </w:p>
    <w:p w14:paraId="23CAA75C" w14:textId="77777777" w:rsidR="00B91DE0" w:rsidRDefault="00B91DE0" w:rsidP="00783189">
      <w:pPr>
        <w:widowControl/>
        <w:autoSpaceDE/>
        <w:autoSpaceDN/>
        <w:adjustRightInd/>
        <w:rPr>
          <w:rFonts w:cs="Calibri"/>
          <w:highlight w:val="yellow"/>
        </w:rPr>
      </w:pPr>
    </w:p>
    <w:p w14:paraId="1BFA639A" w14:textId="5083025D" w:rsidR="00DD34FD" w:rsidRPr="00EA382A" w:rsidRDefault="00DD34FD" w:rsidP="00783189">
      <w:pPr>
        <w:widowControl/>
        <w:autoSpaceDE/>
        <w:autoSpaceDN/>
        <w:adjustRightInd/>
        <w:rPr>
          <w:rFonts w:cs="Calibri"/>
          <w:b/>
          <w:bCs/>
        </w:rPr>
      </w:pPr>
      <w:r w:rsidRPr="00EA382A">
        <w:rPr>
          <w:rFonts w:cs="Calibri"/>
          <w:b/>
          <w:bCs/>
        </w:rPr>
        <w:t>Findings</w:t>
      </w:r>
      <w:r w:rsidR="00EA382A" w:rsidRPr="00EA382A">
        <w:rPr>
          <w:rFonts w:cs="Calibri"/>
          <w:b/>
          <w:bCs/>
        </w:rPr>
        <w:t xml:space="preserve"> (Status of Previous and New Items)</w:t>
      </w:r>
    </w:p>
    <w:p w14:paraId="637D5108" w14:textId="77777777" w:rsidR="00DD34FD" w:rsidRPr="001C1E47" w:rsidRDefault="00DD34FD" w:rsidP="00783189">
      <w:pPr>
        <w:widowControl/>
        <w:autoSpaceDE/>
        <w:autoSpaceDN/>
        <w:adjustRightInd/>
        <w:rPr>
          <w:rFonts w:cs="Calibri"/>
          <w:highlight w:val="yellow"/>
        </w:rPr>
      </w:pPr>
    </w:p>
    <w:p w14:paraId="782CDF2D" w14:textId="5EDDB6D3" w:rsidR="005C1BFC" w:rsidRDefault="00733D36" w:rsidP="00783189">
      <w:pPr>
        <w:widowControl/>
        <w:autoSpaceDE/>
        <w:autoSpaceDN/>
        <w:adjustRightInd/>
        <w:rPr>
          <w:rFonts w:cs="Calibri"/>
          <w:b/>
          <w:bCs/>
        </w:rPr>
      </w:pPr>
      <w:r w:rsidRPr="0061362E">
        <w:rPr>
          <w:rFonts w:cs="Calibri"/>
          <w:b/>
          <w:bCs/>
        </w:rPr>
        <w:t xml:space="preserve">Completed </w:t>
      </w:r>
      <w:r w:rsidR="007C0A36" w:rsidRPr="0061362E">
        <w:rPr>
          <w:rFonts w:cs="Calibri"/>
          <w:b/>
          <w:bCs/>
        </w:rPr>
        <w:t>Finding</w:t>
      </w:r>
      <w:r w:rsidR="00EA382A">
        <w:rPr>
          <w:rFonts w:cs="Calibri"/>
          <w:b/>
          <w:bCs/>
        </w:rPr>
        <w:t>s</w:t>
      </w:r>
    </w:p>
    <w:p w14:paraId="7C0BDCFD" w14:textId="77777777" w:rsidR="006502E1" w:rsidRDefault="006502E1" w:rsidP="00783189">
      <w:pPr>
        <w:widowControl/>
        <w:autoSpaceDE/>
        <w:autoSpaceDN/>
        <w:adjustRightInd/>
        <w:rPr>
          <w:rFonts w:cs="Calibri"/>
          <w:b/>
          <w:bCs/>
        </w:rPr>
      </w:pPr>
    </w:p>
    <w:p w14:paraId="0EC8D062" w14:textId="59DB9ACD" w:rsidR="006502E1" w:rsidRPr="006502E1" w:rsidRDefault="006502E1" w:rsidP="00783189">
      <w:pPr>
        <w:widowControl/>
        <w:autoSpaceDE/>
        <w:autoSpaceDN/>
        <w:adjustRightInd/>
        <w:rPr>
          <w:rFonts w:cs="Calibri"/>
        </w:rPr>
      </w:pPr>
      <w:r>
        <w:rPr>
          <w:rFonts w:cs="Calibri"/>
        </w:rPr>
        <w:t xml:space="preserve">There were </w:t>
      </w:r>
      <w:r w:rsidR="00E776CC">
        <w:rPr>
          <w:rFonts w:cs="Calibri"/>
        </w:rPr>
        <w:t xml:space="preserve">no completed findings in FY 2024. </w:t>
      </w:r>
    </w:p>
    <w:p w14:paraId="5780776A" w14:textId="77777777" w:rsidR="006502E1" w:rsidRDefault="006502E1" w:rsidP="00783189">
      <w:pPr>
        <w:widowControl/>
        <w:autoSpaceDE/>
        <w:autoSpaceDN/>
        <w:adjustRightInd/>
        <w:rPr>
          <w:rFonts w:cs="Calibri"/>
          <w:b/>
          <w:bCs/>
        </w:rPr>
      </w:pPr>
    </w:p>
    <w:p w14:paraId="2F957057" w14:textId="3652380B" w:rsidR="00083C00" w:rsidRDefault="00083C00" w:rsidP="00783189">
      <w:pPr>
        <w:widowControl/>
        <w:autoSpaceDE/>
        <w:autoSpaceDN/>
        <w:adjustRightInd/>
        <w:rPr>
          <w:rFonts w:cs="Calibri"/>
          <w:b/>
          <w:bCs/>
        </w:rPr>
      </w:pPr>
      <w:r>
        <w:rPr>
          <w:rFonts w:cs="Calibri"/>
          <w:b/>
          <w:bCs/>
        </w:rPr>
        <w:t>Closed</w:t>
      </w:r>
      <w:r w:rsidR="00233483">
        <w:rPr>
          <w:rFonts w:cs="Calibri"/>
          <w:b/>
          <w:bCs/>
        </w:rPr>
        <w:t xml:space="preserve"> </w:t>
      </w:r>
      <w:r>
        <w:rPr>
          <w:rFonts w:cs="Calibri"/>
          <w:b/>
          <w:bCs/>
        </w:rPr>
        <w:t>Findings</w:t>
      </w:r>
    </w:p>
    <w:p w14:paraId="0612BE9A" w14:textId="77777777" w:rsidR="00E776CC" w:rsidRDefault="00E776CC" w:rsidP="00783189">
      <w:pPr>
        <w:widowControl/>
        <w:autoSpaceDE/>
        <w:autoSpaceDN/>
        <w:adjustRightInd/>
        <w:rPr>
          <w:rFonts w:cs="Calibri"/>
          <w:b/>
          <w:bCs/>
        </w:rPr>
      </w:pPr>
    </w:p>
    <w:p w14:paraId="08DF9014" w14:textId="589F4326" w:rsidR="00E776CC" w:rsidRPr="00E776CC" w:rsidRDefault="00E776CC" w:rsidP="00783189">
      <w:pPr>
        <w:widowControl/>
        <w:autoSpaceDE/>
        <w:autoSpaceDN/>
        <w:adjustRightInd/>
        <w:rPr>
          <w:rFonts w:cs="Calibri"/>
        </w:rPr>
      </w:pPr>
      <w:r>
        <w:rPr>
          <w:rFonts w:cs="Calibri"/>
        </w:rPr>
        <w:t xml:space="preserve">There </w:t>
      </w:r>
      <w:r w:rsidR="008F3AAA">
        <w:rPr>
          <w:rFonts w:cs="Calibri"/>
        </w:rPr>
        <w:t xml:space="preserve">were </w:t>
      </w:r>
      <w:r>
        <w:rPr>
          <w:rFonts w:cs="Calibri"/>
        </w:rPr>
        <w:t xml:space="preserve">no closed findings in FY 2024. </w:t>
      </w:r>
    </w:p>
    <w:p w14:paraId="210E57A7" w14:textId="77777777" w:rsidR="00E776CC" w:rsidRDefault="00E776CC" w:rsidP="00783189">
      <w:pPr>
        <w:widowControl/>
        <w:autoSpaceDE/>
        <w:autoSpaceDN/>
        <w:adjustRightInd/>
        <w:rPr>
          <w:rFonts w:cs="Calibri"/>
          <w:b/>
          <w:bCs/>
        </w:rPr>
      </w:pPr>
    </w:p>
    <w:p w14:paraId="062EE79F" w14:textId="0B3CD67D" w:rsidR="00083C00" w:rsidRDefault="00083C00" w:rsidP="00783189">
      <w:pPr>
        <w:widowControl/>
        <w:autoSpaceDE/>
        <w:autoSpaceDN/>
        <w:adjustRightInd/>
        <w:rPr>
          <w:rFonts w:cs="Calibri"/>
          <w:b/>
          <w:bCs/>
        </w:rPr>
      </w:pPr>
      <w:r>
        <w:rPr>
          <w:rFonts w:cs="Calibri"/>
          <w:b/>
          <w:bCs/>
        </w:rPr>
        <w:t>Continued</w:t>
      </w:r>
      <w:r w:rsidR="002F3968">
        <w:rPr>
          <w:rFonts w:cs="Calibri"/>
          <w:b/>
          <w:bCs/>
        </w:rPr>
        <w:t xml:space="preserve"> </w:t>
      </w:r>
      <w:r>
        <w:rPr>
          <w:rFonts w:cs="Calibri"/>
          <w:b/>
          <w:bCs/>
        </w:rPr>
        <w:t>Findings</w:t>
      </w:r>
    </w:p>
    <w:p w14:paraId="34B19F2A" w14:textId="77777777" w:rsidR="00C747E1" w:rsidRDefault="00C747E1" w:rsidP="00C747E1">
      <w:pPr>
        <w:rPr>
          <w:rFonts w:cs="Calibri"/>
          <w:b/>
          <w:bCs/>
        </w:rPr>
      </w:pPr>
    </w:p>
    <w:p w14:paraId="4BBEE453" w14:textId="47640297" w:rsidR="00C747E1" w:rsidRDefault="00C747E1" w:rsidP="00C747E1">
      <w:r>
        <w:rPr>
          <w:b/>
        </w:rPr>
        <w:t>Finding</w:t>
      </w:r>
      <w:r w:rsidRPr="0056572B">
        <w:rPr>
          <w:b/>
          <w:bCs/>
        </w:rPr>
        <w:t xml:space="preserve"> FY 202</w:t>
      </w:r>
      <w:r w:rsidR="00061331">
        <w:rPr>
          <w:b/>
          <w:bCs/>
        </w:rPr>
        <w:t>4</w:t>
      </w:r>
      <w:r w:rsidRPr="0056572B">
        <w:rPr>
          <w:b/>
          <w:bCs/>
        </w:rPr>
        <w:t>-</w:t>
      </w:r>
      <w:r>
        <w:rPr>
          <w:b/>
        </w:rPr>
        <w:t>01 (</w:t>
      </w:r>
      <w:r w:rsidR="00061331">
        <w:rPr>
          <w:b/>
        </w:rPr>
        <w:t xml:space="preserve">FY 2023-01, </w:t>
      </w:r>
      <w:r>
        <w:rPr>
          <w:b/>
        </w:rPr>
        <w:t>FY 2022-</w:t>
      </w:r>
      <w:r w:rsidRPr="0056572B">
        <w:rPr>
          <w:b/>
          <w:bCs/>
        </w:rPr>
        <w:t>OB-04</w:t>
      </w:r>
      <w:r>
        <w:rPr>
          <w:b/>
        </w:rPr>
        <w:t>):</w:t>
      </w:r>
      <w:r>
        <w:t xml:space="preserve"> </w:t>
      </w:r>
      <w:r w:rsidR="00DF3341">
        <w:t>In FY 2023, i</w:t>
      </w:r>
      <w:r>
        <w:t xml:space="preserve">n 100% (76 of 76) retaliation cases, there was no evidence that complainants were advised of their right to dually file with OSHA. </w:t>
      </w:r>
    </w:p>
    <w:p w14:paraId="365F371A" w14:textId="77F28578" w:rsidR="00C747E1" w:rsidRDefault="00C747E1" w:rsidP="00C747E1"/>
    <w:p w14:paraId="0366BE91" w14:textId="1F93955B" w:rsidR="00061331" w:rsidRPr="00061331" w:rsidRDefault="00061331" w:rsidP="00C747E1">
      <w:pPr>
        <w:rPr>
          <w:b/>
          <w:bCs/>
        </w:rPr>
      </w:pPr>
      <w:r>
        <w:rPr>
          <w:b/>
          <w:bCs/>
        </w:rPr>
        <w:t xml:space="preserve">Status: </w:t>
      </w:r>
      <w:r w:rsidR="00051E3A">
        <w:rPr>
          <w:b/>
          <w:bCs/>
        </w:rPr>
        <w:t xml:space="preserve"> </w:t>
      </w:r>
      <w:r w:rsidR="00667C06">
        <w:t xml:space="preserve">According to </w:t>
      </w:r>
      <w:r w:rsidR="007C3F00">
        <w:t>Oregon OSHA</w:t>
      </w:r>
      <w:r w:rsidR="00667C06">
        <w:t xml:space="preserve">, </w:t>
      </w:r>
      <w:r w:rsidR="00F41B1E">
        <w:t>language on dual filing was added to their initial complaint intake questionnaire</w:t>
      </w:r>
      <w:r w:rsidR="008E73C0">
        <w:t xml:space="preserve"> and </w:t>
      </w:r>
      <w:r w:rsidR="00F41B1E">
        <w:t>complainant notification letter</w:t>
      </w:r>
      <w:r w:rsidR="00476FC1">
        <w:t xml:space="preserve">s, including after a complaint </w:t>
      </w:r>
      <w:r w:rsidR="000A068A">
        <w:t>wa</w:t>
      </w:r>
      <w:r w:rsidR="00476FC1">
        <w:t>s docketed and when the retaliation investigation close</w:t>
      </w:r>
      <w:r w:rsidR="000A068A">
        <w:t>d</w:t>
      </w:r>
      <w:r w:rsidR="00476FC1">
        <w:t>.</w:t>
      </w:r>
      <w:r w:rsidR="00F41B1E">
        <w:t xml:space="preserve">  </w:t>
      </w:r>
      <w:r w:rsidR="003F461B">
        <w:t>However, a</w:t>
      </w:r>
      <w:r w:rsidR="00051E3A" w:rsidRPr="00051E3A">
        <w:t xml:space="preserve"> case file review is necessary to gather the facts needed to evaluate progress on this finding.  This will be a focus of next year’s on-site case file review during the FY 2025 </w:t>
      </w:r>
      <w:r w:rsidR="003C6891">
        <w:t>C</w:t>
      </w:r>
      <w:r w:rsidR="00051E3A" w:rsidRPr="00051E3A">
        <w:t>omprehensive FAME.  This finding remains open.</w:t>
      </w:r>
    </w:p>
    <w:p w14:paraId="3EF7D97F" w14:textId="77777777" w:rsidR="008D7074" w:rsidRDefault="008D7074" w:rsidP="00783189">
      <w:pPr>
        <w:widowControl/>
        <w:autoSpaceDE/>
        <w:autoSpaceDN/>
        <w:adjustRightInd/>
        <w:rPr>
          <w:rFonts w:cs="Calibri"/>
          <w:b/>
          <w:bCs/>
        </w:rPr>
      </w:pPr>
    </w:p>
    <w:p w14:paraId="31950E27" w14:textId="47C5E48C" w:rsidR="00126D62" w:rsidRPr="00383046" w:rsidRDefault="00126D62" w:rsidP="00126D62">
      <w:pPr>
        <w:rPr>
          <w:b/>
          <w:bCs/>
        </w:rPr>
      </w:pPr>
      <w:r w:rsidRPr="00383046">
        <w:rPr>
          <w:b/>
          <w:bCs/>
        </w:rPr>
        <w:t>Finding FY 202</w:t>
      </w:r>
      <w:r w:rsidR="00061331">
        <w:rPr>
          <w:b/>
          <w:bCs/>
        </w:rPr>
        <w:t>4</w:t>
      </w:r>
      <w:r w:rsidRPr="00383046">
        <w:rPr>
          <w:b/>
          <w:bCs/>
        </w:rPr>
        <w:t>-0</w:t>
      </w:r>
      <w:r>
        <w:rPr>
          <w:b/>
          <w:bCs/>
        </w:rPr>
        <w:t xml:space="preserve">2 </w:t>
      </w:r>
      <w:r w:rsidRPr="00383046">
        <w:rPr>
          <w:b/>
          <w:bCs/>
        </w:rPr>
        <w:t>(</w:t>
      </w:r>
      <w:r w:rsidR="008654CC">
        <w:rPr>
          <w:b/>
          <w:bCs/>
        </w:rPr>
        <w:t xml:space="preserve">FY 2023-02, </w:t>
      </w:r>
      <w:r w:rsidRPr="00383046">
        <w:rPr>
          <w:b/>
          <w:bCs/>
        </w:rPr>
        <w:t xml:space="preserve">FY 2022-OB-05): </w:t>
      </w:r>
      <w:r w:rsidRPr="00383046">
        <w:t xml:space="preserve"> </w:t>
      </w:r>
      <w:r w:rsidR="00DF3341">
        <w:t>In FY 2023, i</w:t>
      </w:r>
      <w:r w:rsidRPr="00383046">
        <w:t>n 68% (52/76) of retaliation files reviewed, there was inconsistent documentation on allowing complainant to rebut the respondent’s information.</w:t>
      </w:r>
      <w:r w:rsidRPr="00383046">
        <w:rPr>
          <w:b/>
          <w:bCs/>
        </w:rPr>
        <w:t xml:space="preserve"> </w:t>
      </w:r>
    </w:p>
    <w:p w14:paraId="3E4CAD7C" w14:textId="77777777" w:rsidR="00126D62" w:rsidRDefault="00126D62" w:rsidP="00061331">
      <w:pPr>
        <w:rPr>
          <w:b/>
          <w:bCs/>
        </w:rPr>
      </w:pPr>
    </w:p>
    <w:p w14:paraId="24401B38" w14:textId="4B41575F" w:rsidR="00051E3A" w:rsidRPr="00061331" w:rsidRDefault="00061331" w:rsidP="00051E3A">
      <w:pPr>
        <w:rPr>
          <w:b/>
          <w:bCs/>
        </w:rPr>
      </w:pPr>
      <w:r>
        <w:rPr>
          <w:b/>
          <w:bCs/>
        </w:rPr>
        <w:t xml:space="preserve">Status: </w:t>
      </w:r>
      <w:bookmarkStart w:id="19" w:name="_Hlk164155553"/>
      <w:r w:rsidR="00531881">
        <w:t xml:space="preserve">According to </w:t>
      </w:r>
      <w:r w:rsidR="007C3F00">
        <w:t>Oregon OSHA</w:t>
      </w:r>
      <w:r w:rsidR="00531881">
        <w:t xml:space="preserve">, </w:t>
      </w:r>
      <w:r w:rsidR="000D7D3F">
        <w:t xml:space="preserve">specific provisions for complainant rebuttal information was added to closing </w:t>
      </w:r>
      <w:r w:rsidR="002E3BFD">
        <w:t xml:space="preserve">template </w:t>
      </w:r>
      <w:r w:rsidR="00D017B1">
        <w:t>letters</w:t>
      </w:r>
      <w:r w:rsidR="000D7D3F">
        <w:t xml:space="preserve">.  </w:t>
      </w:r>
      <w:r w:rsidR="002E3BFD">
        <w:t>However, a</w:t>
      </w:r>
      <w:r w:rsidR="00051E3A" w:rsidRPr="00051E3A">
        <w:t xml:space="preserve"> case file review is necessary to gather the facts needed to evaluate progress on this finding.  This will be a focus of next year’s on-site case file review during the FY 2025 </w:t>
      </w:r>
      <w:r w:rsidR="003C6891">
        <w:t>C</w:t>
      </w:r>
      <w:r w:rsidR="00051E3A" w:rsidRPr="00051E3A">
        <w:t>omprehensive FAME.  This finding remains open.</w:t>
      </w:r>
    </w:p>
    <w:bookmarkEnd w:id="19"/>
    <w:p w14:paraId="01F8DDA5" w14:textId="77777777" w:rsidR="008D7074" w:rsidRDefault="008D7074" w:rsidP="00783189">
      <w:pPr>
        <w:widowControl/>
        <w:autoSpaceDE/>
        <w:autoSpaceDN/>
        <w:adjustRightInd/>
        <w:rPr>
          <w:rFonts w:cs="Calibri"/>
          <w:b/>
          <w:bCs/>
        </w:rPr>
      </w:pPr>
    </w:p>
    <w:p w14:paraId="61AA09CF" w14:textId="37FD40BE" w:rsidR="00083C00" w:rsidRDefault="00083C00" w:rsidP="00783189">
      <w:pPr>
        <w:widowControl/>
        <w:autoSpaceDE/>
        <w:autoSpaceDN/>
        <w:adjustRightInd/>
        <w:rPr>
          <w:rFonts w:cs="Calibri"/>
          <w:b/>
          <w:bCs/>
        </w:rPr>
      </w:pPr>
      <w:r>
        <w:rPr>
          <w:rFonts w:cs="Calibri"/>
          <w:b/>
          <w:bCs/>
        </w:rPr>
        <w:t>New Findings</w:t>
      </w:r>
    </w:p>
    <w:p w14:paraId="1757A4C7" w14:textId="77777777" w:rsidR="00083C00" w:rsidRDefault="00083C00" w:rsidP="00783189">
      <w:pPr>
        <w:widowControl/>
        <w:autoSpaceDE/>
        <w:autoSpaceDN/>
        <w:adjustRightInd/>
        <w:rPr>
          <w:rFonts w:cs="Calibri"/>
          <w:b/>
          <w:bCs/>
        </w:rPr>
      </w:pPr>
    </w:p>
    <w:p w14:paraId="1C0748FA" w14:textId="43E7E2A8" w:rsidR="00B3236A" w:rsidRPr="00B3236A" w:rsidRDefault="00B3236A" w:rsidP="00783189">
      <w:pPr>
        <w:widowControl/>
        <w:autoSpaceDE/>
        <w:autoSpaceDN/>
        <w:adjustRightInd/>
        <w:rPr>
          <w:rFonts w:cs="Calibri"/>
        </w:rPr>
      </w:pPr>
      <w:r>
        <w:rPr>
          <w:rFonts w:cs="Calibri"/>
        </w:rPr>
        <w:t xml:space="preserve">There were no new findings </w:t>
      </w:r>
      <w:r w:rsidR="000F6720">
        <w:rPr>
          <w:rFonts w:cs="Calibri"/>
        </w:rPr>
        <w:t xml:space="preserve">identified in FY 2024. </w:t>
      </w:r>
    </w:p>
    <w:p w14:paraId="0969F3E7" w14:textId="77777777" w:rsidR="00B3236A" w:rsidRDefault="00B3236A" w:rsidP="00783189">
      <w:pPr>
        <w:widowControl/>
        <w:autoSpaceDE/>
        <w:autoSpaceDN/>
        <w:adjustRightInd/>
        <w:rPr>
          <w:rFonts w:cs="Calibri"/>
          <w:b/>
          <w:bCs/>
        </w:rPr>
      </w:pPr>
    </w:p>
    <w:p w14:paraId="317A1B7C" w14:textId="718C97F5" w:rsidR="00083C00" w:rsidRDefault="00083C00" w:rsidP="00783189">
      <w:pPr>
        <w:widowControl/>
        <w:autoSpaceDE/>
        <w:autoSpaceDN/>
        <w:adjustRightInd/>
        <w:rPr>
          <w:rFonts w:cs="Calibri"/>
          <w:b/>
          <w:bCs/>
        </w:rPr>
      </w:pPr>
      <w:r>
        <w:rPr>
          <w:rFonts w:cs="Calibri"/>
          <w:b/>
          <w:bCs/>
        </w:rPr>
        <w:t>Observations</w:t>
      </w:r>
      <w:r w:rsidR="000F6720">
        <w:rPr>
          <w:rFonts w:cs="Calibri"/>
          <w:b/>
          <w:bCs/>
        </w:rPr>
        <w:t xml:space="preserve"> (Status of Previous and New Items)</w:t>
      </w:r>
    </w:p>
    <w:p w14:paraId="11866DCA" w14:textId="77777777" w:rsidR="00083C00" w:rsidRDefault="00083C00" w:rsidP="00783189">
      <w:pPr>
        <w:widowControl/>
        <w:autoSpaceDE/>
        <w:autoSpaceDN/>
        <w:adjustRightInd/>
        <w:rPr>
          <w:rFonts w:cs="Calibri"/>
          <w:b/>
          <w:bCs/>
        </w:rPr>
      </w:pPr>
    </w:p>
    <w:p w14:paraId="2F5F196F" w14:textId="09A98FDE" w:rsidR="00083C00" w:rsidRDefault="00083C00" w:rsidP="00783189">
      <w:pPr>
        <w:widowControl/>
        <w:autoSpaceDE/>
        <w:autoSpaceDN/>
        <w:adjustRightInd/>
        <w:rPr>
          <w:rFonts w:cs="Calibri"/>
          <w:b/>
          <w:bCs/>
        </w:rPr>
      </w:pPr>
      <w:r>
        <w:rPr>
          <w:rFonts w:cs="Calibri"/>
          <w:b/>
          <w:bCs/>
        </w:rPr>
        <w:t>Closed Observations</w:t>
      </w:r>
    </w:p>
    <w:p w14:paraId="4CD6A462" w14:textId="77777777" w:rsidR="00B0036A" w:rsidRDefault="00B0036A" w:rsidP="00783189">
      <w:pPr>
        <w:widowControl/>
        <w:autoSpaceDE/>
        <w:autoSpaceDN/>
        <w:adjustRightInd/>
        <w:rPr>
          <w:rFonts w:cs="Calibri"/>
          <w:b/>
          <w:bCs/>
        </w:rPr>
      </w:pPr>
    </w:p>
    <w:p w14:paraId="791D34D5" w14:textId="35231CC2" w:rsidR="00B0036A" w:rsidRPr="00B0036A" w:rsidRDefault="00B0036A" w:rsidP="00783189">
      <w:pPr>
        <w:widowControl/>
        <w:autoSpaceDE/>
        <w:autoSpaceDN/>
        <w:adjustRightInd/>
        <w:rPr>
          <w:rFonts w:cs="Calibri"/>
        </w:rPr>
      </w:pPr>
      <w:r>
        <w:rPr>
          <w:rFonts w:cs="Calibri"/>
        </w:rPr>
        <w:t xml:space="preserve">There were </w:t>
      </w:r>
      <w:r w:rsidR="00F336E8">
        <w:rPr>
          <w:rFonts w:cs="Calibri"/>
        </w:rPr>
        <w:t xml:space="preserve">no </w:t>
      </w:r>
      <w:r>
        <w:rPr>
          <w:rFonts w:cs="Calibri"/>
        </w:rPr>
        <w:t xml:space="preserve">previous observations that were closed in FY 2024. </w:t>
      </w:r>
    </w:p>
    <w:p w14:paraId="349BCC5E" w14:textId="77777777" w:rsidR="00B0036A" w:rsidRDefault="00B0036A" w:rsidP="00783189">
      <w:pPr>
        <w:widowControl/>
        <w:autoSpaceDE/>
        <w:autoSpaceDN/>
        <w:adjustRightInd/>
        <w:rPr>
          <w:rFonts w:cs="Calibri"/>
          <w:b/>
          <w:bCs/>
        </w:rPr>
      </w:pPr>
    </w:p>
    <w:p w14:paraId="3D6A7C84" w14:textId="4900FF21" w:rsidR="00083C00" w:rsidRDefault="00083C00" w:rsidP="00783189">
      <w:pPr>
        <w:widowControl/>
        <w:autoSpaceDE/>
        <w:autoSpaceDN/>
        <w:adjustRightInd/>
        <w:rPr>
          <w:rFonts w:cs="Calibri"/>
          <w:b/>
          <w:bCs/>
        </w:rPr>
      </w:pPr>
      <w:r>
        <w:rPr>
          <w:rFonts w:cs="Calibri"/>
          <w:b/>
          <w:bCs/>
        </w:rPr>
        <w:t xml:space="preserve">Continued </w:t>
      </w:r>
      <w:r w:rsidR="004B7484">
        <w:rPr>
          <w:rFonts w:cs="Calibri"/>
          <w:b/>
          <w:bCs/>
        </w:rPr>
        <w:t>Observations</w:t>
      </w:r>
    </w:p>
    <w:p w14:paraId="6D722829" w14:textId="77777777" w:rsidR="003B625A" w:rsidRDefault="003B625A" w:rsidP="00783189">
      <w:pPr>
        <w:widowControl/>
        <w:autoSpaceDE/>
        <w:autoSpaceDN/>
        <w:adjustRightInd/>
        <w:rPr>
          <w:rFonts w:cs="Calibri"/>
          <w:b/>
          <w:bCs/>
        </w:rPr>
      </w:pPr>
    </w:p>
    <w:p w14:paraId="361E559F" w14:textId="539B7C05" w:rsidR="003B625A" w:rsidRDefault="003B625A" w:rsidP="003B625A">
      <w:pPr>
        <w:rPr>
          <w:rFonts w:cs="Calibri"/>
          <w:bCs/>
          <w:iCs/>
        </w:rPr>
      </w:pPr>
      <w:r>
        <w:rPr>
          <w:b/>
          <w:bCs/>
          <w:sz w:val="23"/>
          <w:szCs w:val="23"/>
        </w:rPr>
        <w:t>Observation</w:t>
      </w:r>
      <w:r w:rsidR="006F4626">
        <w:rPr>
          <w:b/>
          <w:bCs/>
          <w:sz w:val="23"/>
          <w:szCs w:val="23"/>
        </w:rPr>
        <w:t xml:space="preserve"> FY 2024-OB-01 (</w:t>
      </w:r>
      <w:r>
        <w:rPr>
          <w:b/>
          <w:bCs/>
          <w:sz w:val="23"/>
          <w:szCs w:val="23"/>
        </w:rPr>
        <w:t>FY 2023-OB-01</w:t>
      </w:r>
      <w:r w:rsidR="006F4626">
        <w:rPr>
          <w:b/>
          <w:bCs/>
          <w:sz w:val="23"/>
          <w:szCs w:val="23"/>
        </w:rPr>
        <w:t xml:space="preserve">, </w:t>
      </w:r>
      <w:r>
        <w:rPr>
          <w:b/>
          <w:bCs/>
          <w:sz w:val="23"/>
          <w:szCs w:val="23"/>
        </w:rPr>
        <w:t xml:space="preserve">FY 2022-OB-02):  </w:t>
      </w:r>
      <w:r w:rsidRPr="00BD0CB5">
        <w:rPr>
          <w:rFonts w:cs="Calibri"/>
          <w:bCs/>
          <w:iCs/>
        </w:rPr>
        <w:t>The confidentiality of employees interviewed during inspections was not ensured during the appeal process.</w:t>
      </w:r>
    </w:p>
    <w:p w14:paraId="566A4CBA" w14:textId="77777777" w:rsidR="003B625A" w:rsidRPr="003B248E" w:rsidRDefault="003B625A" w:rsidP="00783189">
      <w:pPr>
        <w:widowControl/>
        <w:autoSpaceDE/>
        <w:autoSpaceDN/>
        <w:adjustRightInd/>
        <w:rPr>
          <w:rFonts w:cs="Calibri"/>
          <w:b/>
          <w:bCs/>
        </w:rPr>
      </w:pPr>
    </w:p>
    <w:p w14:paraId="6A93FDA0" w14:textId="485EAE4F" w:rsidR="003B625A" w:rsidRDefault="003B625A" w:rsidP="00783189">
      <w:pPr>
        <w:widowControl/>
        <w:autoSpaceDE/>
        <w:autoSpaceDN/>
        <w:adjustRightInd/>
        <w:rPr>
          <w:rFonts w:cs="Calibri"/>
          <w:b/>
          <w:bCs/>
        </w:rPr>
      </w:pPr>
      <w:r w:rsidRPr="003B248E">
        <w:rPr>
          <w:rFonts w:cs="Calibri"/>
          <w:b/>
          <w:bCs/>
        </w:rPr>
        <w:t>Status:</w:t>
      </w:r>
      <w:r w:rsidR="002526C5">
        <w:rPr>
          <w:rFonts w:cs="Calibri"/>
          <w:b/>
          <w:bCs/>
        </w:rPr>
        <w:t xml:space="preserve"> </w:t>
      </w:r>
      <w:r w:rsidR="002526C5">
        <w:rPr>
          <w:rFonts w:cs="Calibri"/>
        </w:rPr>
        <w:t xml:space="preserve">Oregon OSHA </w:t>
      </w:r>
      <w:r w:rsidR="00E653C1">
        <w:rPr>
          <w:rFonts w:cs="Calibri"/>
        </w:rPr>
        <w:t>continued</w:t>
      </w:r>
      <w:r w:rsidR="002526C5">
        <w:rPr>
          <w:rFonts w:cs="Calibri"/>
        </w:rPr>
        <w:t xml:space="preserve"> taking action to address the overall concern of employee confidentiality, not specific to appeals.  </w:t>
      </w:r>
      <w:r w:rsidR="006F2E95">
        <w:rPr>
          <w:rFonts w:cs="Calibri"/>
        </w:rPr>
        <w:t>I</w:t>
      </w:r>
      <w:r w:rsidR="006F0CEE">
        <w:rPr>
          <w:rFonts w:cs="Calibri"/>
        </w:rPr>
        <w:t xml:space="preserve">n 2023, </w:t>
      </w:r>
      <w:r w:rsidR="00060BC4" w:rsidRPr="003B248E">
        <w:rPr>
          <w:rFonts w:cs="Calibri"/>
        </w:rPr>
        <w:t xml:space="preserve">Oregon OSHA </w:t>
      </w:r>
      <w:r w:rsidR="001F08FB" w:rsidRPr="003B248E">
        <w:rPr>
          <w:rFonts w:cs="Calibri"/>
        </w:rPr>
        <w:t>drafted</w:t>
      </w:r>
      <w:r w:rsidR="00C8025F">
        <w:rPr>
          <w:rFonts w:cs="Calibri"/>
        </w:rPr>
        <w:t xml:space="preserve"> and introduced</w:t>
      </w:r>
      <w:r w:rsidR="001F08FB" w:rsidRPr="003B248E">
        <w:rPr>
          <w:rFonts w:cs="Calibri"/>
        </w:rPr>
        <w:t xml:space="preserve"> </w:t>
      </w:r>
      <w:r w:rsidR="00FE7DDE" w:rsidRPr="003B248E">
        <w:rPr>
          <w:rFonts w:cs="Calibri"/>
        </w:rPr>
        <w:t xml:space="preserve">a legislative concept that </w:t>
      </w:r>
      <w:r w:rsidR="001F08FB" w:rsidRPr="003B248E">
        <w:rPr>
          <w:rFonts w:cs="Calibri"/>
        </w:rPr>
        <w:t>addresse</w:t>
      </w:r>
      <w:r w:rsidR="008F2186">
        <w:rPr>
          <w:rFonts w:cs="Calibri"/>
        </w:rPr>
        <w:t>d</w:t>
      </w:r>
      <w:r w:rsidR="002F0597" w:rsidRPr="003B248E">
        <w:rPr>
          <w:rFonts w:cs="Calibri"/>
        </w:rPr>
        <w:t xml:space="preserve"> </w:t>
      </w:r>
      <w:r w:rsidR="001F08FB" w:rsidRPr="003B248E">
        <w:rPr>
          <w:rFonts w:cs="Calibri"/>
        </w:rPr>
        <w:t>employee confidentiality</w:t>
      </w:r>
      <w:r w:rsidR="002F0597" w:rsidRPr="003B248E">
        <w:rPr>
          <w:rFonts w:cs="Calibri"/>
        </w:rPr>
        <w:t xml:space="preserve"> in </w:t>
      </w:r>
      <w:r w:rsidR="002526C5">
        <w:rPr>
          <w:rFonts w:cs="Calibri"/>
        </w:rPr>
        <w:t xml:space="preserve">all </w:t>
      </w:r>
      <w:r w:rsidR="002F0597" w:rsidRPr="003B248E">
        <w:rPr>
          <w:rFonts w:cs="Calibri"/>
        </w:rPr>
        <w:t>public recor</w:t>
      </w:r>
      <w:r w:rsidR="001201B5" w:rsidRPr="003B248E">
        <w:rPr>
          <w:rFonts w:cs="Calibri"/>
        </w:rPr>
        <w:t xml:space="preserve">ds.  </w:t>
      </w:r>
      <w:r w:rsidR="00C8025F">
        <w:rPr>
          <w:rFonts w:cs="Calibri"/>
        </w:rPr>
        <w:t xml:space="preserve">The concept was </w:t>
      </w:r>
      <w:r w:rsidR="009347CB" w:rsidRPr="003B248E">
        <w:rPr>
          <w:rFonts w:cs="Calibri"/>
        </w:rPr>
        <w:t>unable to gain advocate support</w:t>
      </w:r>
      <w:r w:rsidR="00C8025F">
        <w:rPr>
          <w:rFonts w:cs="Calibri"/>
        </w:rPr>
        <w:t xml:space="preserve"> in the state</w:t>
      </w:r>
      <w:r w:rsidR="009347CB" w:rsidRPr="003B248E">
        <w:rPr>
          <w:rFonts w:cs="Calibri"/>
        </w:rPr>
        <w:t xml:space="preserve">.  </w:t>
      </w:r>
      <w:r w:rsidR="008F2186">
        <w:rPr>
          <w:rFonts w:cs="Calibri"/>
        </w:rPr>
        <w:t xml:space="preserve">Since </w:t>
      </w:r>
      <w:r w:rsidR="00234CB1">
        <w:rPr>
          <w:rFonts w:cs="Calibri"/>
        </w:rPr>
        <w:t>Oregon has a two-year legislative cycle</w:t>
      </w:r>
      <w:r w:rsidR="007D58D7">
        <w:rPr>
          <w:rFonts w:cs="Calibri"/>
        </w:rPr>
        <w:t xml:space="preserve">, </w:t>
      </w:r>
      <w:r w:rsidR="002526C5">
        <w:rPr>
          <w:rFonts w:cs="Calibri"/>
        </w:rPr>
        <w:t xml:space="preserve">the concept was </w:t>
      </w:r>
      <w:r w:rsidR="000E1254">
        <w:rPr>
          <w:rFonts w:cs="Calibri"/>
        </w:rPr>
        <w:t xml:space="preserve">updated and scheduled to </w:t>
      </w:r>
      <w:r w:rsidR="00657204" w:rsidRPr="003B248E">
        <w:rPr>
          <w:rFonts w:cs="Calibri"/>
        </w:rPr>
        <w:t>b</w:t>
      </w:r>
      <w:r w:rsidR="003B248E" w:rsidRPr="003B248E">
        <w:rPr>
          <w:rFonts w:cs="Calibri"/>
        </w:rPr>
        <w:t xml:space="preserve">e introduced again in 2025.  </w:t>
      </w:r>
      <w:r w:rsidR="00145F19" w:rsidRPr="003B248E">
        <w:rPr>
          <w:rFonts w:cs="Calibri"/>
        </w:rPr>
        <w:t xml:space="preserve">OSHA will continue to </w:t>
      </w:r>
      <w:r w:rsidR="00420F07" w:rsidRPr="003B248E">
        <w:rPr>
          <w:rFonts w:cs="Calibri"/>
        </w:rPr>
        <w:t>work</w:t>
      </w:r>
      <w:r w:rsidR="00145F19" w:rsidRPr="003B248E">
        <w:rPr>
          <w:rFonts w:cs="Calibri"/>
        </w:rPr>
        <w:t xml:space="preserve"> with Oregon OSHA on the status of this.  </w:t>
      </w:r>
      <w:r w:rsidR="00145F19" w:rsidRPr="003B248E">
        <w:t>In addition, a</w:t>
      </w:r>
      <w:r w:rsidR="00A56543" w:rsidRPr="003B248E">
        <w:t xml:space="preserve"> case file review is necessary </w:t>
      </w:r>
      <w:r w:rsidR="00A56543" w:rsidRPr="00051E3A">
        <w:t xml:space="preserve">to gather the </w:t>
      </w:r>
      <w:r w:rsidR="00145F19">
        <w:t>information</w:t>
      </w:r>
      <w:r w:rsidR="00145F19" w:rsidRPr="00051E3A">
        <w:t xml:space="preserve"> </w:t>
      </w:r>
      <w:r w:rsidR="00A56543" w:rsidRPr="00051E3A">
        <w:t xml:space="preserve">needed to evaluate progress on this </w:t>
      </w:r>
      <w:r w:rsidR="007C3F00">
        <w:t>observation</w:t>
      </w:r>
      <w:r w:rsidR="00A56543" w:rsidRPr="00051E3A">
        <w:t xml:space="preserve">.  This will be a focus of next year’s on-site case file review during the FY 2025 </w:t>
      </w:r>
      <w:r w:rsidR="003C6891">
        <w:t>C</w:t>
      </w:r>
      <w:r w:rsidR="00A56543" w:rsidRPr="00051E3A">
        <w:t xml:space="preserve">omprehensive FAME.  This </w:t>
      </w:r>
      <w:r w:rsidR="00A56543">
        <w:t>observation</w:t>
      </w:r>
      <w:r w:rsidR="00A56543" w:rsidRPr="00051E3A">
        <w:t xml:space="preserve"> remains open.</w:t>
      </w:r>
    </w:p>
    <w:p w14:paraId="22CF6BEA" w14:textId="77777777" w:rsidR="00D31F8C" w:rsidRDefault="00D31F8C" w:rsidP="00783189">
      <w:pPr>
        <w:widowControl/>
        <w:autoSpaceDE/>
        <w:autoSpaceDN/>
        <w:adjustRightInd/>
        <w:rPr>
          <w:rFonts w:cs="Calibri"/>
          <w:b/>
          <w:bCs/>
        </w:rPr>
      </w:pPr>
    </w:p>
    <w:p w14:paraId="78FCB788" w14:textId="498064B8" w:rsidR="00D31F8C" w:rsidRPr="0042056B" w:rsidRDefault="00D31F8C" w:rsidP="00D31F8C">
      <w:pPr>
        <w:widowControl/>
        <w:autoSpaceDE/>
        <w:autoSpaceDN/>
        <w:adjustRightInd/>
        <w:rPr>
          <w:rFonts w:cs="Calibri"/>
        </w:rPr>
      </w:pPr>
      <w:r w:rsidRPr="00E66A7F">
        <w:rPr>
          <w:rFonts w:cs="Calibri"/>
          <w:b/>
          <w:bCs/>
        </w:rPr>
        <w:t xml:space="preserve">Observation </w:t>
      </w:r>
      <w:r w:rsidR="006F4626">
        <w:rPr>
          <w:rFonts w:cs="Calibri"/>
          <w:b/>
          <w:bCs/>
        </w:rPr>
        <w:t>FY 2024-OB-02 (</w:t>
      </w:r>
      <w:r w:rsidRPr="00E66A7F">
        <w:rPr>
          <w:rFonts w:cs="Calibri"/>
          <w:b/>
          <w:bCs/>
        </w:rPr>
        <w:t>FY 2023-OB-02</w:t>
      </w:r>
      <w:r w:rsidR="006F4626">
        <w:rPr>
          <w:rFonts w:cs="Calibri"/>
          <w:b/>
          <w:bCs/>
        </w:rPr>
        <w:t>,</w:t>
      </w:r>
      <w:r w:rsidRPr="00E66A7F">
        <w:rPr>
          <w:rFonts w:cs="Calibri"/>
          <w:b/>
          <w:bCs/>
        </w:rPr>
        <w:t xml:space="preserve"> FY 2022-OB-0</w:t>
      </w:r>
      <w:r>
        <w:rPr>
          <w:rFonts w:cs="Calibri"/>
          <w:b/>
          <w:bCs/>
        </w:rPr>
        <w:t>3</w:t>
      </w:r>
      <w:r w:rsidRPr="00E66A7F">
        <w:rPr>
          <w:rFonts w:cs="Calibri"/>
          <w:b/>
          <w:bCs/>
        </w:rPr>
        <w:t>):</w:t>
      </w:r>
      <w:r w:rsidRPr="00E66A7F">
        <w:rPr>
          <w:rFonts w:cs="Calibri"/>
        </w:rPr>
        <w:t xml:space="preserve"> Oregon OSHA did</w:t>
      </w:r>
      <w:r>
        <w:rPr>
          <w:rFonts w:cs="Calibri"/>
        </w:rPr>
        <w:t xml:space="preserve"> not</w:t>
      </w:r>
      <w:r w:rsidRPr="00E66A7F">
        <w:rPr>
          <w:rFonts w:cs="Calibri"/>
        </w:rPr>
        <w:t xml:space="preserve"> adopt federal program changes timely.</w:t>
      </w:r>
      <w:r>
        <w:rPr>
          <w:rFonts w:cs="Calibri"/>
        </w:rPr>
        <w:t xml:space="preserve"> </w:t>
      </w:r>
    </w:p>
    <w:p w14:paraId="5F9F2FE1" w14:textId="77777777" w:rsidR="00D31F8C" w:rsidRDefault="00D31F8C" w:rsidP="00783189">
      <w:pPr>
        <w:widowControl/>
        <w:autoSpaceDE/>
        <w:autoSpaceDN/>
        <w:adjustRightInd/>
        <w:rPr>
          <w:rFonts w:cs="Calibri"/>
          <w:b/>
          <w:bCs/>
        </w:rPr>
      </w:pPr>
    </w:p>
    <w:p w14:paraId="41244DA2" w14:textId="71DB64E9" w:rsidR="00D31F8C" w:rsidRDefault="00D31F8C" w:rsidP="00783189">
      <w:pPr>
        <w:widowControl/>
        <w:autoSpaceDE/>
        <w:autoSpaceDN/>
        <w:adjustRightInd/>
        <w:rPr>
          <w:rFonts w:cs="Calibri"/>
          <w:b/>
          <w:bCs/>
        </w:rPr>
      </w:pPr>
      <w:r>
        <w:rPr>
          <w:rFonts w:cs="Calibri"/>
          <w:b/>
          <w:bCs/>
        </w:rPr>
        <w:t xml:space="preserve">Status: </w:t>
      </w:r>
      <w:r w:rsidR="00534FC7" w:rsidRPr="003424BB">
        <w:rPr>
          <w:rFonts w:cs="Calibri"/>
        </w:rPr>
        <w:t xml:space="preserve">In FY 2024, </w:t>
      </w:r>
      <w:r w:rsidR="00F17F93" w:rsidRPr="003424BB">
        <w:rPr>
          <w:rFonts w:cs="Calibri"/>
        </w:rPr>
        <w:t xml:space="preserve">Oregon OSHA </w:t>
      </w:r>
      <w:r w:rsidR="00534FC7" w:rsidRPr="003424BB">
        <w:rPr>
          <w:rFonts w:cs="Calibri"/>
        </w:rPr>
        <w:t xml:space="preserve">provided intent to adopt </w:t>
      </w:r>
      <w:r w:rsidR="003424BB" w:rsidRPr="002F0597">
        <w:rPr>
          <w:rFonts w:cs="Calibri"/>
        </w:rPr>
        <w:t>five of the five (100</w:t>
      </w:r>
      <w:r w:rsidR="003424BB" w:rsidRPr="003424BB">
        <w:rPr>
          <w:rFonts w:cs="Calibri"/>
        </w:rPr>
        <w:t>%) federal program changes</w:t>
      </w:r>
      <w:r w:rsidR="003424BB">
        <w:rPr>
          <w:rFonts w:cs="Calibri"/>
        </w:rPr>
        <w:t xml:space="preserve"> in a timely manner.  </w:t>
      </w:r>
      <w:r w:rsidR="008A34C7">
        <w:rPr>
          <w:rFonts w:cs="Calibri"/>
        </w:rPr>
        <w:t xml:space="preserve">However, </w:t>
      </w:r>
      <w:r w:rsidR="000D3E9C">
        <w:rPr>
          <w:rFonts w:cs="Calibri"/>
        </w:rPr>
        <w:t xml:space="preserve">adoption of the Severe Violator Enforcement Program (SVEP) directive </w:t>
      </w:r>
      <w:r w:rsidR="00F95255">
        <w:rPr>
          <w:rFonts w:cs="Calibri"/>
        </w:rPr>
        <w:t xml:space="preserve">was </w:t>
      </w:r>
      <w:r w:rsidR="00DC7514">
        <w:rPr>
          <w:rFonts w:cs="Calibri"/>
        </w:rPr>
        <w:t xml:space="preserve">still </w:t>
      </w:r>
      <w:r w:rsidR="000D3E9C">
        <w:rPr>
          <w:rFonts w:cs="Calibri"/>
        </w:rPr>
        <w:t xml:space="preserve">pending </w:t>
      </w:r>
      <w:r w:rsidR="00DC7514">
        <w:rPr>
          <w:rFonts w:cs="Calibri"/>
        </w:rPr>
        <w:t xml:space="preserve">from </w:t>
      </w:r>
      <w:r w:rsidR="000D3E9C">
        <w:rPr>
          <w:rFonts w:cs="Calibri"/>
        </w:rPr>
        <w:t>FY 2022</w:t>
      </w:r>
      <w:r w:rsidR="003E1FBE">
        <w:rPr>
          <w:rFonts w:cs="Calibri"/>
        </w:rPr>
        <w:t xml:space="preserve"> and</w:t>
      </w:r>
      <w:r w:rsidR="000D3E9C">
        <w:rPr>
          <w:rFonts w:cs="Calibri"/>
        </w:rPr>
        <w:t xml:space="preserve"> </w:t>
      </w:r>
      <w:r w:rsidR="004D37AF">
        <w:rPr>
          <w:rFonts w:cs="Calibri"/>
        </w:rPr>
        <w:t xml:space="preserve">not adopted within six months </w:t>
      </w:r>
      <w:r w:rsidR="0064251B">
        <w:rPr>
          <w:rFonts w:cs="Calibri"/>
        </w:rPr>
        <w:t>of the issuance date</w:t>
      </w:r>
      <w:r w:rsidR="003E1FBE">
        <w:rPr>
          <w:rFonts w:cs="Calibri"/>
        </w:rPr>
        <w:t xml:space="preserve">.  </w:t>
      </w:r>
      <w:r w:rsidR="00BB1775">
        <w:rPr>
          <w:rFonts w:cs="Calibri"/>
        </w:rPr>
        <w:t xml:space="preserve">Oregon OSHA’s PD A-277 SVEP policy from </w:t>
      </w:r>
      <w:r w:rsidR="00BC3266">
        <w:rPr>
          <w:rFonts w:cs="Calibri"/>
        </w:rPr>
        <w:t xml:space="preserve">February 2019 is still in effect.  Oregon was delayed in updating this SVEP directive due to rulemaking associated with penalty legislation that contained overlapping criteria.  </w:t>
      </w:r>
      <w:r w:rsidR="00571E8A">
        <w:rPr>
          <w:rFonts w:cs="Calibri"/>
        </w:rPr>
        <w:t>OSHA continues to monitor th</w:t>
      </w:r>
      <w:r w:rsidR="00957AA2">
        <w:rPr>
          <w:rFonts w:cs="Calibri"/>
        </w:rPr>
        <w:t xml:space="preserve">e status of this </w:t>
      </w:r>
      <w:r w:rsidR="00571E8A">
        <w:rPr>
          <w:rFonts w:cs="Calibri"/>
        </w:rPr>
        <w:t>with Oregon</w:t>
      </w:r>
      <w:r w:rsidR="00957AA2">
        <w:rPr>
          <w:rFonts w:cs="Calibri"/>
        </w:rPr>
        <w:t xml:space="preserve">.  </w:t>
      </w:r>
      <w:r w:rsidR="00B0036A" w:rsidRPr="00051E3A">
        <w:t xml:space="preserve">This </w:t>
      </w:r>
      <w:r w:rsidR="00B0036A">
        <w:t>observation</w:t>
      </w:r>
      <w:r w:rsidR="00B0036A" w:rsidRPr="00051E3A">
        <w:t xml:space="preserve"> remains open.</w:t>
      </w:r>
    </w:p>
    <w:p w14:paraId="652C7B98" w14:textId="77777777" w:rsidR="00FB6C53" w:rsidRDefault="00FB6C53" w:rsidP="00FB6C53">
      <w:pPr>
        <w:rPr>
          <w:rFonts w:cs="Calibri"/>
          <w:b/>
          <w:bCs/>
        </w:rPr>
      </w:pPr>
    </w:p>
    <w:p w14:paraId="7F299780" w14:textId="0D6F57C0" w:rsidR="00FB6C53" w:rsidRDefault="00FB6C53" w:rsidP="00FB6C53">
      <w:r>
        <w:rPr>
          <w:b/>
          <w:bCs/>
        </w:rPr>
        <w:t>Observation</w:t>
      </w:r>
      <w:r>
        <w:t xml:space="preserve"> </w:t>
      </w:r>
      <w:r w:rsidR="006F4626">
        <w:rPr>
          <w:b/>
          <w:bCs/>
        </w:rPr>
        <w:t>FY 2024-OB-03 (</w:t>
      </w:r>
      <w:r w:rsidRPr="009047F4">
        <w:rPr>
          <w:b/>
          <w:bCs/>
        </w:rPr>
        <w:t>FY 2023-OB-0</w:t>
      </w:r>
      <w:r>
        <w:rPr>
          <w:b/>
          <w:bCs/>
        </w:rPr>
        <w:t>3</w:t>
      </w:r>
      <w:r w:rsidR="006F4626">
        <w:rPr>
          <w:b/>
          <w:bCs/>
        </w:rPr>
        <w:t xml:space="preserve">, </w:t>
      </w:r>
      <w:r w:rsidRPr="00D35015">
        <w:rPr>
          <w:b/>
          <w:bCs/>
        </w:rPr>
        <w:t>FY 2022-OB-05):</w:t>
      </w:r>
      <w:r w:rsidRPr="00383046">
        <w:rPr>
          <w:b/>
          <w:bCs/>
        </w:rPr>
        <w:t xml:space="preserve">  </w:t>
      </w:r>
      <w:r w:rsidR="00DF3341" w:rsidRPr="00DF3341">
        <w:t>In FY 2023, i</w:t>
      </w:r>
      <w:r w:rsidRPr="00383046">
        <w:t xml:space="preserve">n 100% (76/76) of retaliation case files reviewed, </w:t>
      </w:r>
      <w:r>
        <w:t xml:space="preserve">although draft letters were present in the file, </w:t>
      </w:r>
      <w:r w:rsidRPr="00383046">
        <w:t xml:space="preserve">there was no </w:t>
      </w:r>
      <w:r>
        <w:t xml:space="preserve">specific </w:t>
      </w:r>
      <w:r w:rsidRPr="00383046">
        <w:t>information on delivery of official letters</w:t>
      </w:r>
      <w:r>
        <w:t xml:space="preserve"> presented for review</w:t>
      </w:r>
      <w:r w:rsidRPr="00383046">
        <w:t>.</w:t>
      </w:r>
    </w:p>
    <w:p w14:paraId="4C4E9EA9" w14:textId="77777777" w:rsidR="00FB6C53" w:rsidRDefault="00FB6C53" w:rsidP="00783189">
      <w:pPr>
        <w:widowControl/>
        <w:autoSpaceDE/>
        <w:autoSpaceDN/>
        <w:adjustRightInd/>
        <w:rPr>
          <w:rFonts w:cs="Calibri"/>
          <w:b/>
          <w:bCs/>
        </w:rPr>
      </w:pPr>
    </w:p>
    <w:p w14:paraId="0E92F06E" w14:textId="60F09AB3" w:rsidR="003B625A" w:rsidRDefault="00FB6C53" w:rsidP="00783189">
      <w:pPr>
        <w:widowControl/>
        <w:autoSpaceDE/>
        <w:autoSpaceDN/>
        <w:adjustRightInd/>
        <w:rPr>
          <w:rFonts w:cs="Calibri"/>
          <w:b/>
          <w:bCs/>
        </w:rPr>
      </w:pPr>
      <w:r>
        <w:rPr>
          <w:rFonts w:cs="Calibri"/>
          <w:b/>
          <w:bCs/>
        </w:rPr>
        <w:t xml:space="preserve">Status: </w:t>
      </w:r>
      <w:r w:rsidR="0073231B" w:rsidRPr="00396DF8">
        <w:rPr>
          <w:rFonts w:cs="Calibri"/>
        </w:rPr>
        <w:t xml:space="preserve">OSHA did not conduct a limited case file review in FY 2024 to determine if </w:t>
      </w:r>
      <w:r w:rsidR="0018727E" w:rsidRPr="00396DF8">
        <w:rPr>
          <w:rFonts w:cs="Calibri"/>
        </w:rPr>
        <w:t>official retaliation letters were</w:t>
      </w:r>
      <w:r w:rsidR="00E4296B" w:rsidRPr="00396DF8">
        <w:rPr>
          <w:rFonts w:cs="Calibri"/>
        </w:rPr>
        <w:t xml:space="preserve"> delivered.  </w:t>
      </w:r>
      <w:r w:rsidR="00083F2B">
        <w:rPr>
          <w:rFonts w:cs="Calibri"/>
        </w:rPr>
        <w:t xml:space="preserve">The activity log documents’ the date the determination letter was mailed, which through the State Internal Evaluation Program (SIEP) verified this date corresponded with the date on the determination letter.  </w:t>
      </w:r>
      <w:r w:rsidR="00E4296B" w:rsidRPr="00396DF8">
        <w:t>A</w:t>
      </w:r>
      <w:r w:rsidR="00A56543" w:rsidRPr="00396DF8">
        <w:t xml:space="preserve"> case file review is necessary to gather the facts needed to evaluate progress on this </w:t>
      </w:r>
      <w:r w:rsidR="007C3F00" w:rsidRPr="00396DF8">
        <w:t>observation</w:t>
      </w:r>
      <w:r w:rsidR="00A56543" w:rsidRPr="00396DF8">
        <w:t xml:space="preserve">.  This </w:t>
      </w:r>
      <w:r w:rsidR="00A56543" w:rsidRPr="00051E3A">
        <w:t xml:space="preserve">will be a focus of next year’s on-site case file review during the FY 2025 </w:t>
      </w:r>
      <w:r w:rsidR="003C6891">
        <w:t>C</w:t>
      </w:r>
      <w:r w:rsidR="00A56543" w:rsidRPr="00051E3A">
        <w:t xml:space="preserve">omprehensive FAME.  This </w:t>
      </w:r>
      <w:r w:rsidR="00A56543">
        <w:t>observation</w:t>
      </w:r>
      <w:r w:rsidR="00A56543" w:rsidRPr="00051E3A">
        <w:t xml:space="preserve"> remains open.</w:t>
      </w:r>
    </w:p>
    <w:p w14:paraId="3E0CC5B8" w14:textId="77777777" w:rsidR="00FB6C53" w:rsidRDefault="00FB6C53" w:rsidP="00783189">
      <w:pPr>
        <w:widowControl/>
        <w:autoSpaceDE/>
        <w:autoSpaceDN/>
        <w:adjustRightInd/>
        <w:rPr>
          <w:rFonts w:cs="Calibri"/>
          <w:b/>
          <w:bCs/>
        </w:rPr>
      </w:pPr>
    </w:p>
    <w:p w14:paraId="38841EEA" w14:textId="0AD3579E" w:rsidR="00675F66" w:rsidRDefault="00675F66" w:rsidP="00675F66">
      <w:r w:rsidRPr="00D35015">
        <w:rPr>
          <w:b/>
          <w:bCs/>
        </w:rPr>
        <w:t>Observation</w:t>
      </w:r>
      <w:r>
        <w:rPr>
          <w:b/>
          <w:bCs/>
        </w:rPr>
        <w:t xml:space="preserve"> </w:t>
      </w:r>
      <w:r w:rsidR="006F4626">
        <w:rPr>
          <w:b/>
          <w:bCs/>
        </w:rPr>
        <w:t>FY 2024-OB-04 (</w:t>
      </w:r>
      <w:r>
        <w:rPr>
          <w:b/>
          <w:bCs/>
        </w:rPr>
        <w:t>FY 2023-OB-04</w:t>
      </w:r>
      <w:r w:rsidR="006F4626">
        <w:rPr>
          <w:b/>
          <w:bCs/>
        </w:rPr>
        <w:t>)</w:t>
      </w:r>
      <w:r w:rsidRPr="00383046">
        <w:rPr>
          <w:b/>
          <w:bCs/>
        </w:rPr>
        <w:t xml:space="preserve">:  </w:t>
      </w:r>
      <w:r w:rsidR="000D1F12" w:rsidRPr="000D1F12">
        <w:t>In FY 2023,</w:t>
      </w:r>
      <w:r w:rsidR="000D1F12">
        <w:rPr>
          <w:b/>
          <w:bCs/>
        </w:rPr>
        <w:t xml:space="preserve"> </w:t>
      </w:r>
      <w:r w:rsidR="000D1F12">
        <w:t>t</w:t>
      </w:r>
      <w:r>
        <w:t>he activity log was not presented for review i</w:t>
      </w:r>
      <w:r w:rsidRPr="00383046">
        <w:t>n 92% (70/76) of retaliation files</w:t>
      </w:r>
      <w:r>
        <w:t>.</w:t>
      </w:r>
    </w:p>
    <w:p w14:paraId="1958D41F" w14:textId="77777777" w:rsidR="00FB6C53" w:rsidRDefault="00FB6C53" w:rsidP="00783189">
      <w:pPr>
        <w:widowControl/>
        <w:autoSpaceDE/>
        <w:autoSpaceDN/>
        <w:adjustRightInd/>
        <w:rPr>
          <w:rFonts w:cs="Calibri"/>
          <w:b/>
          <w:bCs/>
        </w:rPr>
      </w:pPr>
    </w:p>
    <w:p w14:paraId="4FBE744D" w14:textId="03BFA9F3" w:rsidR="00FB6C53" w:rsidRDefault="00675F66" w:rsidP="00783189">
      <w:pPr>
        <w:widowControl/>
        <w:autoSpaceDE/>
        <w:autoSpaceDN/>
        <w:adjustRightInd/>
        <w:rPr>
          <w:rFonts w:cs="Calibri"/>
          <w:b/>
          <w:bCs/>
        </w:rPr>
      </w:pPr>
      <w:r w:rsidRPr="00396DF8">
        <w:rPr>
          <w:rFonts w:cs="Calibri"/>
          <w:b/>
          <w:bCs/>
        </w:rPr>
        <w:t xml:space="preserve">Status: </w:t>
      </w:r>
      <w:r w:rsidR="00880DB2" w:rsidRPr="00396DF8">
        <w:rPr>
          <w:rFonts w:cs="Calibri"/>
        </w:rPr>
        <w:t xml:space="preserve">OSHA did not conduct a limited case file review in FY 2024 to determine if </w:t>
      </w:r>
      <w:r w:rsidR="0018727E" w:rsidRPr="00396DF8">
        <w:rPr>
          <w:rFonts w:cs="Calibri"/>
        </w:rPr>
        <w:t xml:space="preserve">the activity log was maintained in retaliation files. </w:t>
      </w:r>
      <w:r w:rsidR="00A52A36">
        <w:rPr>
          <w:rFonts w:cs="Calibri"/>
        </w:rPr>
        <w:t xml:space="preserve"> However, the SIEP was used to evaluate that case files contained proper </w:t>
      </w:r>
      <w:r w:rsidR="007C7864">
        <w:rPr>
          <w:rFonts w:cs="Calibri"/>
        </w:rPr>
        <w:t>documentation</w:t>
      </w:r>
      <w:r w:rsidR="00083F2B">
        <w:rPr>
          <w:rFonts w:cs="Calibri"/>
        </w:rPr>
        <w:t xml:space="preserve">. </w:t>
      </w:r>
      <w:r w:rsidR="00933FC5">
        <w:rPr>
          <w:rFonts w:cs="Calibri"/>
        </w:rPr>
        <w:t xml:space="preserve"> </w:t>
      </w:r>
      <w:r w:rsidR="00083F2B">
        <w:rPr>
          <w:rFonts w:cs="Calibri"/>
        </w:rPr>
        <w:t>All cases have an electronic activity log when the case is entered into the data system (IMPACT)</w:t>
      </w:r>
      <w:r w:rsidR="00A52A36">
        <w:rPr>
          <w:rFonts w:cs="Calibri"/>
        </w:rPr>
        <w:t xml:space="preserve">.  </w:t>
      </w:r>
      <w:r w:rsidR="0018727E" w:rsidRPr="00396DF8">
        <w:t>A</w:t>
      </w:r>
      <w:r w:rsidR="00A56543" w:rsidRPr="00396DF8">
        <w:t xml:space="preserve"> case file review is necessary to gather the facts needed to evaluate progress on this </w:t>
      </w:r>
      <w:r w:rsidR="007C3F00" w:rsidRPr="00396DF8">
        <w:t>observation</w:t>
      </w:r>
      <w:r w:rsidR="00A56543" w:rsidRPr="00396DF8">
        <w:t xml:space="preserve">.  This </w:t>
      </w:r>
      <w:r w:rsidR="00A56543" w:rsidRPr="00051E3A">
        <w:t xml:space="preserve">will be a focus of next year’s on-site case file review during the FY 2025 </w:t>
      </w:r>
      <w:r w:rsidR="003C6891">
        <w:t xml:space="preserve">Comprehensive </w:t>
      </w:r>
      <w:r w:rsidR="00A56543" w:rsidRPr="00051E3A">
        <w:t xml:space="preserve">FAME.  This </w:t>
      </w:r>
      <w:r w:rsidR="00A56543">
        <w:t>observation</w:t>
      </w:r>
      <w:r w:rsidR="00A56543" w:rsidRPr="00051E3A">
        <w:t xml:space="preserve"> remains open.</w:t>
      </w:r>
    </w:p>
    <w:p w14:paraId="0BA8B01C" w14:textId="77777777" w:rsidR="00C05011" w:rsidRDefault="00C05011" w:rsidP="00783189">
      <w:pPr>
        <w:widowControl/>
        <w:autoSpaceDE/>
        <w:autoSpaceDN/>
        <w:adjustRightInd/>
        <w:rPr>
          <w:rFonts w:cs="Calibri"/>
          <w:b/>
          <w:bCs/>
        </w:rPr>
      </w:pPr>
    </w:p>
    <w:p w14:paraId="55AB02EA" w14:textId="29F2F650" w:rsidR="00C05011" w:rsidRDefault="00C05011" w:rsidP="00C05011">
      <w:pPr>
        <w:widowControl/>
        <w:tabs>
          <w:tab w:val="left" w:pos="1350"/>
        </w:tabs>
        <w:autoSpaceDE/>
        <w:autoSpaceDN/>
        <w:adjustRightInd/>
        <w:spacing w:after="200"/>
        <w:contextualSpacing/>
        <w:rPr>
          <w:rFonts w:asciiTheme="minorHAnsi" w:hAnsiTheme="minorHAnsi" w:cstheme="minorHAnsi"/>
        </w:rPr>
      </w:pPr>
      <w:r w:rsidRPr="00700B9D">
        <w:rPr>
          <w:rFonts w:asciiTheme="minorHAnsi" w:hAnsiTheme="minorHAnsi" w:cstheme="minorHAnsi"/>
          <w:b/>
          <w:bCs/>
        </w:rPr>
        <w:t xml:space="preserve">Observation </w:t>
      </w:r>
      <w:r w:rsidR="006F4626">
        <w:rPr>
          <w:rFonts w:asciiTheme="minorHAnsi" w:hAnsiTheme="minorHAnsi" w:cstheme="minorHAnsi"/>
          <w:b/>
          <w:bCs/>
        </w:rPr>
        <w:t>FY 2024-OB-05 (</w:t>
      </w:r>
      <w:r w:rsidRPr="00700B9D">
        <w:rPr>
          <w:rFonts w:asciiTheme="minorHAnsi" w:hAnsiTheme="minorHAnsi" w:cstheme="minorHAnsi"/>
          <w:b/>
          <w:bCs/>
        </w:rPr>
        <w:t>FY 2023-OB-</w:t>
      </w:r>
      <w:r>
        <w:rPr>
          <w:rFonts w:asciiTheme="minorHAnsi" w:hAnsiTheme="minorHAnsi" w:cstheme="minorHAnsi"/>
          <w:b/>
          <w:bCs/>
        </w:rPr>
        <w:t>05</w:t>
      </w:r>
      <w:r w:rsidR="006F4626">
        <w:rPr>
          <w:rFonts w:asciiTheme="minorHAnsi" w:hAnsiTheme="minorHAnsi" w:cstheme="minorHAnsi"/>
          <w:b/>
          <w:bCs/>
        </w:rPr>
        <w:t>)</w:t>
      </w:r>
      <w:r w:rsidRPr="00700B9D">
        <w:rPr>
          <w:rFonts w:asciiTheme="minorHAnsi" w:hAnsiTheme="minorHAnsi" w:cstheme="minorHAnsi"/>
          <w:b/>
          <w:bCs/>
        </w:rPr>
        <w:t>:</w:t>
      </w:r>
      <w:r>
        <w:rPr>
          <w:rFonts w:asciiTheme="minorHAnsi" w:hAnsiTheme="minorHAnsi" w:cstheme="minorHAnsi"/>
        </w:rPr>
        <w:t xml:space="preserve">  </w:t>
      </w:r>
      <w:r w:rsidR="000D1F12">
        <w:rPr>
          <w:rFonts w:asciiTheme="minorHAnsi" w:hAnsiTheme="minorHAnsi" w:cstheme="minorHAnsi"/>
        </w:rPr>
        <w:t xml:space="preserve">In FY 2023, </w:t>
      </w:r>
      <w:r w:rsidRPr="00D21A93">
        <w:rPr>
          <w:rFonts w:asciiTheme="minorHAnsi" w:hAnsiTheme="minorHAnsi" w:cstheme="minorHAnsi"/>
        </w:rPr>
        <w:t xml:space="preserve">OSHA 300 logs were not in the files in </w:t>
      </w:r>
      <w:r>
        <w:rPr>
          <w:rFonts w:asciiTheme="minorHAnsi" w:hAnsiTheme="minorHAnsi" w:cstheme="minorHAnsi"/>
        </w:rPr>
        <w:t>five</w:t>
      </w:r>
      <w:r w:rsidRPr="00D21A93">
        <w:rPr>
          <w:rFonts w:asciiTheme="minorHAnsi" w:hAnsiTheme="minorHAnsi" w:cstheme="minorHAnsi"/>
        </w:rPr>
        <w:t xml:space="preserve"> of </w:t>
      </w:r>
      <w:r>
        <w:rPr>
          <w:rFonts w:asciiTheme="minorHAnsi" w:hAnsiTheme="minorHAnsi" w:cstheme="minorHAnsi"/>
        </w:rPr>
        <w:t>nine</w:t>
      </w:r>
      <w:r w:rsidRPr="00D21A93">
        <w:rPr>
          <w:rFonts w:asciiTheme="minorHAnsi" w:hAnsiTheme="minorHAnsi" w:cstheme="minorHAnsi"/>
        </w:rPr>
        <w:t xml:space="preserve"> (55%) state and local government consultation files reviewed, for employers with </w:t>
      </w:r>
      <w:r>
        <w:rPr>
          <w:rFonts w:asciiTheme="minorHAnsi" w:hAnsiTheme="minorHAnsi" w:cstheme="minorHAnsi"/>
        </w:rPr>
        <w:t>10</w:t>
      </w:r>
      <w:r w:rsidRPr="00D21A93">
        <w:rPr>
          <w:rFonts w:asciiTheme="minorHAnsi" w:hAnsiTheme="minorHAnsi" w:cstheme="minorHAnsi"/>
        </w:rPr>
        <w:t xml:space="preserve"> or more employees at the worksite</w:t>
      </w:r>
      <w:r>
        <w:rPr>
          <w:rFonts w:asciiTheme="minorHAnsi" w:hAnsiTheme="minorHAnsi" w:cstheme="minorHAnsi"/>
        </w:rPr>
        <w:t>.</w:t>
      </w:r>
    </w:p>
    <w:p w14:paraId="1C9BB93B" w14:textId="77777777" w:rsidR="00C05011" w:rsidRDefault="00C05011" w:rsidP="00C05011">
      <w:pPr>
        <w:widowControl/>
        <w:tabs>
          <w:tab w:val="left" w:pos="1350"/>
        </w:tabs>
        <w:autoSpaceDE/>
        <w:autoSpaceDN/>
        <w:adjustRightInd/>
        <w:spacing w:after="200"/>
        <w:ind w:left="630"/>
        <w:contextualSpacing/>
        <w:rPr>
          <w:rFonts w:asciiTheme="minorHAnsi" w:hAnsiTheme="minorHAnsi" w:cstheme="minorHAnsi"/>
        </w:rPr>
      </w:pPr>
    </w:p>
    <w:p w14:paraId="1D1DC754" w14:textId="18F7C732" w:rsidR="00C05011" w:rsidRDefault="00C05011" w:rsidP="00C05011">
      <w:pPr>
        <w:widowControl/>
        <w:tabs>
          <w:tab w:val="left" w:pos="1350"/>
        </w:tabs>
        <w:autoSpaceDE/>
        <w:autoSpaceDN/>
        <w:adjustRightInd/>
        <w:spacing w:after="200"/>
        <w:contextualSpacing/>
        <w:rPr>
          <w:rFonts w:asciiTheme="minorHAnsi" w:hAnsiTheme="minorHAnsi" w:cstheme="minorHAnsi"/>
        </w:rPr>
      </w:pPr>
      <w:r>
        <w:rPr>
          <w:rFonts w:asciiTheme="minorHAnsi" w:hAnsiTheme="minorHAnsi" w:cstheme="minorHAnsi"/>
          <w:b/>
          <w:bCs/>
        </w:rPr>
        <w:t>Status</w:t>
      </w:r>
      <w:r w:rsidRPr="0086024D">
        <w:rPr>
          <w:rFonts w:asciiTheme="minorHAnsi" w:hAnsiTheme="minorHAnsi" w:cstheme="minorHAnsi"/>
          <w:b/>
          <w:bCs/>
        </w:rPr>
        <w:t>:</w:t>
      </w:r>
      <w:r w:rsidRPr="0086024D">
        <w:rPr>
          <w:rFonts w:asciiTheme="minorHAnsi" w:hAnsiTheme="minorHAnsi" w:cstheme="minorHAnsi"/>
        </w:rPr>
        <w:t xml:space="preserve">  </w:t>
      </w:r>
      <w:r w:rsidR="00AD1AEA" w:rsidRPr="0058A868">
        <w:rPr>
          <w:rFonts w:cs="Calibri"/>
        </w:rPr>
        <w:t>OSHA did not conduct a case file review of state and local government</w:t>
      </w:r>
      <w:r w:rsidR="009F0962">
        <w:rPr>
          <w:rFonts w:cs="Calibri"/>
        </w:rPr>
        <w:t xml:space="preserve"> consultation</w:t>
      </w:r>
      <w:r w:rsidR="00AD1AEA">
        <w:rPr>
          <w:rFonts w:cs="Calibri"/>
        </w:rPr>
        <w:t xml:space="preserve"> </w:t>
      </w:r>
      <w:r w:rsidR="00AD1AEA" w:rsidRPr="0058A868">
        <w:rPr>
          <w:rFonts w:cs="Calibri"/>
        </w:rPr>
        <w:t xml:space="preserve">files </w:t>
      </w:r>
      <w:r w:rsidR="004700D7">
        <w:rPr>
          <w:rFonts w:cs="Calibri"/>
        </w:rPr>
        <w:t xml:space="preserve">during </w:t>
      </w:r>
      <w:r w:rsidR="00AD1AEA" w:rsidRPr="0058A868">
        <w:rPr>
          <w:rFonts w:cs="Calibri"/>
        </w:rPr>
        <w:t xml:space="preserve">this fiscal year.  </w:t>
      </w:r>
      <w:r w:rsidR="00BC7D07">
        <w:t>A</w:t>
      </w:r>
      <w:r w:rsidR="00C54F90" w:rsidRPr="00051E3A">
        <w:t xml:space="preserve"> case file review is necessary to gather the facts needed to evaluate progress on this </w:t>
      </w:r>
      <w:r w:rsidR="007C3F00">
        <w:t>observation</w:t>
      </w:r>
      <w:r w:rsidR="00C54F90" w:rsidRPr="00051E3A">
        <w:t>.  This will be a focus of next year’s on-site case file review during the FY 202</w:t>
      </w:r>
      <w:r w:rsidR="004F75C8">
        <w:t>6</w:t>
      </w:r>
      <w:r w:rsidR="00C54F90" w:rsidRPr="00051E3A">
        <w:t xml:space="preserve"> </w:t>
      </w:r>
      <w:r w:rsidR="00C54F90">
        <w:t>on-site con</w:t>
      </w:r>
      <w:r w:rsidR="00BC7D07">
        <w:t xml:space="preserve">sultation review.  </w:t>
      </w:r>
      <w:r w:rsidR="00C54F90" w:rsidRPr="00051E3A">
        <w:t xml:space="preserve">This </w:t>
      </w:r>
      <w:r w:rsidR="00BC7D07">
        <w:t>observation</w:t>
      </w:r>
      <w:r w:rsidR="00C54F90" w:rsidRPr="00051E3A">
        <w:t xml:space="preserve"> remains open.</w:t>
      </w:r>
    </w:p>
    <w:p w14:paraId="2A4265E0" w14:textId="77777777" w:rsidR="00C05011" w:rsidRDefault="00C05011" w:rsidP="00C05011">
      <w:pPr>
        <w:widowControl/>
        <w:tabs>
          <w:tab w:val="left" w:pos="1350"/>
        </w:tabs>
        <w:autoSpaceDE/>
        <w:autoSpaceDN/>
        <w:adjustRightInd/>
        <w:spacing w:after="200"/>
        <w:contextualSpacing/>
        <w:rPr>
          <w:rFonts w:asciiTheme="minorHAnsi" w:hAnsiTheme="minorHAnsi" w:cstheme="minorHAnsi"/>
        </w:rPr>
      </w:pPr>
    </w:p>
    <w:p w14:paraId="09F132FF" w14:textId="31E329F6" w:rsidR="00C05011" w:rsidRDefault="00C05011" w:rsidP="00C05011">
      <w:pPr>
        <w:widowControl/>
        <w:tabs>
          <w:tab w:val="left" w:pos="1350"/>
        </w:tabs>
        <w:autoSpaceDE/>
        <w:autoSpaceDN/>
        <w:adjustRightInd/>
        <w:spacing w:after="200"/>
        <w:contextualSpacing/>
        <w:rPr>
          <w:rFonts w:asciiTheme="minorHAnsi" w:hAnsiTheme="minorHAnsi" w:cstheme="minorHAnsi"/>
        </w:rPr>
      </w:pPr>
      <w:r w:rsidRPr="00700B9D">
        <w:rPr>
          <w:rFonts w:asciiTheme="minorHAnsi" w:hAnsiTheme="minorHAnsi" w:cstheme="minorHAnsi"/>
          <w:b/>
          <w:bCs/>
        </w:rPr>
        <w:t xml:space="preserve">Observation </w:t>
      </w:r>
      <w:r w:rsidR="006F4626">
        <w:rPr>
          <w:rFonts w:asciiTheme="minorHAnsi" w:hAnsiTheme="minorHAnsi" w:cstheme="minorHAnsi"/>
          <w:b/>
          <w:bCs/>
        </w:rPr>
        <w:t>FY 2024-OB-06 (</w:t>
      </w:r>
      <w:r w:rsidRPr="00700B9D">
        <w:rPr>
          <w:rFonts w:asciiTheme="minorHAnsi" w:hAnsiTheme="minorHAnsi" w:cstheme="minorHAnsi"/>
          <w:b/>
          <w:bCs/>
        </w:rPr>
        <w:t>FY 2023-OB-</w:t>
      </w:r>
      <w:r>
        <w:rPr>
          <w:rFonts w:asciiTheme="minorHAnsi" w:hAnsiTheme="minorHAnsi" w:cstheme="minorHAnsi"/>
          <w:b/>
          <w:bCs/>
        </w:rPr>
        <w:t>06</w:t>
      </w:r>
      <w:r w:rsidR="006F4626">
        <w:rPr>
          <w:rFonts w:asciiTheme="minorHAnsi" w:hAnsiTheme="minorHAnsi" w:cstheme="minorHAnsi"/>
          <w:b/>
          <w:bCs/>
        </w:rPr>
        <w:t xml:space="preserve">, </w:t>
      </w:r>
      <w:r w:rsidRPr="00492E1F">
        <w:rPr>
          <w:rFonts w:asciiTheme="minorHAnsi" w:hAnsiTheme="minorHAnsi" w:cstheme="minorHAnsi"/>
          <w:b/>
          <w:bCs/>
        </w:rPr>
        <w:t>FY 2022-OB-07</w:t>
      </w:r>
      <w:r>
        <w:rPr>
          <w:rFonts w:asciiTheme="minorHAnsi" w:hAnsiTheme="minorHAnsi" w:cstheme="minorHAnsi"/>
          <w:b/>
          <w:bCs/>
        </w:rPr>
        <w:t>)</w:t>
      </w:r>
      <w:r w:rsidRPr="00700B9D">
        <w:rPr>
          <w:rFonts w:asciiTheme="minorHAnsi" w:hAnsiTheme="minorHAnsi" w:cstheme="minorHAnsi"/>
          <w:b/>
          <w:bCs/>
        </w:rPr>
        <w:t>:</w:t>
      </w:r>
      <w:r>
        <w:rPr>
          <w:rFonts w:asciiTheme="minorHAnsi" w:hAnsiTheme="minorHAnsi" w:cstheme="minorHAnsi"/>
        </w:rPr>
        <w:t xml:space="preserve"> </w:t>
      </w:r>
      <w:r w:rsidR="000D1F12">
        <w:rPr>
          <w:rFonts w:asciiTheme="minorHAnsi" w:hAnsiTheme="minorHAnsi" w:cstheme="minorHAnsi"/>
        </w:rPr>
        <w:t>In FY 2023, t</w:t>
      </w:r>
      <w:r w:rsidRPr="008F2D0F">
        <w:rPr>
          <w:rFonts w:asciiTheme="minorHAnsi" w:hAnsiTheme="minorHAnsi" w:cstheme="minorHAnsi"/>
        </w:rPr>
        <w:t xml:space="preserve">he DART rate comparison in the report to the employer was missing in </w:t>
      </w:r>
      <w:r>
        <w:rPr>
          <w:rFonts w:asciiTheme="minorHAnsi" w:hAnsiTheme="minorHAnsi" w:cstheme="minorHAnsi"/>
        </w:rPr>
        <w:t>4</w:t>
      </w:r>
      <w:r w:rsidRPr="008F2D0F">
        <w:rPr>
          <w:rFonts w:asciiTheme="minorHAnsi" w:hAnsiTheme="minorHAnsi" w:cstheme="minorHAnsi"/>
        </w:rPr>
        <w:t xml:space="preserve"> of </w:t>
      </w:r>
      <w:r>
        <w:rPr>
          <w:rFonts w:asciiTheme="minorHAnsi" w:hAnsiTheme="minorHAnsi" w:cstheme="minorHAnsi"/>
        </w:rPr>
        <w:t>9</w:t>
      </w:r>
      <w:r w:rsidRPr="008F2D0F">
        <w:rPr>
          <w:rFonts w:asciiTheme="minorHAnsi" w:hAnsiTheme="minorHAnsi" w:cstheme="minorHAnsi"/>
        </w:rPr>
        <w:t xml:space="preserve"> (44%)</w:t>
      </w:r>
      <w:r>
        <w:rPr>
          <w:rFonts w:asciiTheme="minorHAnsi" w:hAnsiTheme="minorHAnsi" w:cstheme="minorHAnsi"/>
        </w:rPr>
        <w:t xml:space="preserve"> </w:t>
      </w:r>
      <w:r w:rsidRPr="008F2D0F">
        <w:rPr>
          <w:rFonts w:asciiTheme="minorHAnsi" w:hAnsiTheme="minorHAnsi" w:cstheme="minorHAnsi"/>
        </w:rPr>
        <w:t>state and local government consultation files reviewed with 10 or more employees at the worksite</w:t>
      </w:r>
      <w:r>
        <w:rPr>
          <w:rFonts w:asciiTheme="minorHAnsi" w:hAnsiTheme="minorHAnsi" w:cstheme="minorHAnsi"/>
        </w:rPr>
        <w:t xml:space="preserve">. </w:t>
      </w:r>
    </w:p>
    <w:p w14:paraId="749D67FB" w14:textId="77777777" w:rsidR="00C05011" w:rsidRDefault="00C05011" w:rsidP="00783189">
      <w:pPr>
        <w:widowControl/>
        <w:autoSpaceDE/>
        <w:autoSpaceDN/>
        <w:adjustRightInd/>
        <w:rPr>
          <w:rFonts w:cs="Calibri"/>
          <w:b/>
          <w:bCs/>
        </w:rPr>
      </w:pPr>
    </w:p>
    <w:p w14:paraId="6941C149" w14:textId="319D8F18" w:rsidR="00C05011" w:rsidRDefault="00C05011" w:rsidP="00783189">
      <w:pPr>
        <w:widowControl/>
        <w:autoSpaceDE/>
        <w:autoSpaceDN/>
        <w:adjustRightInd/>
        <w:rPr>
          <w:rFonts w:cs="Calibri"/>
          <w:b/>
          <w:bCs/>
        </w:rPr>
      </w:pPr>
      <w:r>
        <w:rPr>
          <w:rFonts w:cs="Calibri"/>
          <w:b/>
          <w:bCs/>
        </w:rPr>
        <w:t xml:space="preserve">Status: </w:t>
      </w:r>
      <w:r w:rsidR="00D40E7E">
        <w:rPr>
          <w:rFonts w:cs="Calibri"/>
          <w:b/>
          <w:bCs/>
        </w:rPr>
        <w:t xml:space="preserve"> </w:t>
      </w:r>
      <w:r w:rsidR="00AD1AEA" w:rsidRPr="0058A868">
        <w:rPr>
          <w:rFonts w:cs="Calibri"/>
        </w:rPr>
        <w:t>OSHA did not conduct a consultation case file review of state and local government</w:t>
      </w:r>
      <w:r w:rsidR="00AD1AEA">
        <w:rPr>
          <w:rFonts w:cs="Calibri"/>
        </w:rPr>
        <w:t xml:space="preserve"> </w:t>
      </w:r>
      <w:r w:rsidR="00AD1AEA" w:rsidRPr="0058A868">
        <w:rPr>
          <w:rFonts w:cs="Calibri"/>
        </w:rPr>
        <w:t xml:space="preserve">files </w:t>
      </w:r>
      <w:r w:rsidR="004700D7">
        <w:rPr>
          <w:rFonts w:cs="Calibri"/>
        </w:rPr>
        <w:t xml:space="preserve">during </w:t>
      </w:r>
      <w:r w:rsidR="00AD1AEA" w:rsidRPr="0058A868">
        <w:rPr>
          <w:rFonts w:cs="Calibri"/>
        </w:rPr>
        <w:t>this fiscal year</w:t>
      </w:r>
      <w:r w:rsidR="004915C1">
        <w:rPr>
          <w:rFonts w:cs="Calibri"/>
        </w:rPr>
        <w:t xml:space="preserve">.  </w:t>
      </w:r>
      <w:r w:rsidR="00D40E7E">
        <w:t>A</w:t>
      </w:r>
      <w:r w:rsidR="00D40E7E" w:rsidRPr="00051E3A">
        <w:t xml:space="preserve"> case file review is necessary to gather the facts needed to evaluate progress on this </w:t>
      </w:r>
      <w:r w:rsidR="00A25CB9">
        <w:t>observation</w:t>
      </w:r>
      <w:r w:rsidR="00D40E7E" w:rsidRPr="00051E3A">
        <w:t>.  This will be a focus of next year’s on-site case file review during the FY 202</w:t>
      </w:r>
      <w:r w:rsidR="004F75C8">
        <w:t>6</w:t>
      </w:r>
      <w:r w:rsidR="00D40E7E" w:rsidRPr="00051E3A">
        <w:t xml:space="preserve"> </w:t>
      </w:r>
      <w:r w:rsidR="00D40E7E">
        <w:t xml:space="preserve">on-site consultation review.  </w:t>
      </w:r>
      <w:r w:rsidR="00D40E7E" w:rsidRPr="00051E3A">
        <w:t xml:space="preserve">This </w:t>
      </w:r>
      <w:r w:rsidR="00D40E7E">
        <w:t>observation</w:t>
      </w:r>
      <w:r w:rsidR="00D40E7E" w:rsidRPr="00051E3A">
        <w:t xml:space="preserve"> remains open.</w:t>
      </w:r>
    </w:p>
    <w:p w14:paraId="740C5CF9" w14:textId="77777777" w:rsidR="00C05011" w:rsidRDefault="00C05011" w:rsidP="00783189">
      <w:pPr>
        <w:widowControl/>
        <w:autoSpaceDE/>
        <w:autoSpaceDN/>
        <w:adjustRightInd/>
        <w:rPr>
          <w:rFonts w:cs="Calibri"/>
          <w:b/>
          <w:bCs/>
        </w:rPr>
      </w:pPr>
    </w:p>
    <w:p w14:paraId="53556EF1" w14:textId="31248601" w:rsidR="00C05011" w:rsidRDefault="00C54F90" w:rsidP="00783189">
      <w:pPr>
        <w:widowControl/>
        <w:autoSpaceDE/>
        <w:autoSpaceDN/>
        <w:adjustRightInd/>
        <w:rPr>
          <w:rFonts w:cs="Calibri"/>
          <w:b/>
          <w:bCs/>
        </w:rPr>
      </w:pPr>
      <w:r w:rsidRPr="002F3938">
        <w:rPr>
          <w:rFonts w:asciiTheme="minorHAnsi" w:hAnsiTheme="minorHAnsi" w:cstheme="minorHAnsi"/>
          <w:b/>
          <w:bCs/>
        </w:rPr>
        <w:t xml:space="preserve">Observation </w:t>
      </w:r>
      <w:r w:rsidR="006F4626">
        <w:rPr>
          <w:rFonts w:asciiTheme="minorHAnsi" w:hAnsiTheme="minorHAnsi" w:cstheme="minorHAnsi"/>
          <w:b/>
          <w:bCs/>
        </w:rPr>
        <w:t>FY 2024-OB-07 (</w:t>
      </w:r>
      <w:r w:rsidRPr="002F3938">
        <w:rPr>
          <w:rFonts w:asciiTheme="minorHAnsi" w:hAnsiTheme="minorHAnsi" w:cstheme="minorHAnsi"/>
          <w:b/>
          <w:bCs/>
        </w:rPr>
        <w:t>FY 2023-OB-</w:t>
      </w:r>
      <w:r>
        <w:rPr>
          <w:rFonts w:asciiTheme="minorHAnsi" w:hAnsiTheme="minorHAnsi" w:cstheme="minorHAnsi"/>
          <w:b/>
          <w:bCs/>
        </w:rPr>
        <w:t>07</w:t>
      </w:r>
      <w:r w:rsidR="006F4626">
        <w:rPr>
          <w:rFonts w:asciiTheme="minorHAnsi" w:hAnsiTheme="minorHAnsi" w:cstheme="minorHAnsi"/>
          <w:b/>
          <w:bCs/>
        </w:rPr>
        <w:t>,</w:t>
      </w:r>
      <w:r>
        <w:rPr>
          <w:rFonts w:asciiTheme="minorHAnsi" w:hAnsiTheme="minorHAnsi" w:cstheme="minorHAnsi"/>
          <w:b/>
          <w:bCs/>
        </w:rPr>
        <w:t xml:space="preserve"> </w:t>
      </w:r>
      <w:r w:rsidRPr="002F3938">
        <w:rPr>
          <w:rFonts w:asciiTheme="minorHAnsi" w:hAnsiTheme="minorHAnsi" w:cstheme="minorHAnsi"/>
          <w:b/>
          <w:bCs/>
        </w:rPr>
        <w:t>FY 2022-OB-06</w:t>
      </w:r>
      <w:r>
        <w:rPr>
          <w:rFonts w:asciiTheme="minorHAnsi" w:hAnsiTheme="minorHAnsi" w:cstheme="minorHAnsi"/>
          <w:b/>
          <w:bCs/>
        </w:rPr>
        <w:t>)</w:t>
      </w:r>
      <w:r w:rsidRPr="002F3938">
        <w:rPr>
          <w:rFonts w:asciiTheme="minorHAnsi" w:hAnsiTheme="minorHAnsi" w:cstheme="minorHAnsi"/>
        </w:rPr>
        <w:t>:  In FY 2023, inadequate abatement documentation for serious hazards was found in 7 of 14 (50%) state and local government consultation files reviewed for employers which had ser</w:t>
      </w:r>
      <w:r>
        <w:rPr>
          <w:rFonts w:asciiTheme="minorHAnsi" w:hAnsiTheme="minorHAnsi" w:cstheme="minorHAnsi"/>
        </w:rPr>
        <w:t>i</w:t>
      </w:r>
      <w:r w:rsidRPr="002F3938">
        <w:rPr>
          <w:rFonts w:asciiTheme="minorHAnsi" w:hAnsiTheme="minorHAnsi" w:cstheme="minorHAnsi"/>
        </w:rPr>
        <w:t>ous hazards at their worksite.</w:t>
      </w:r>
    </w:p>
    <w:p w14:paraId="03D84AEE" w14:textId="77777777" w:rsidR="00675F66" w:rsidRDefault="00675F66" w:rsidP="00783189">
      <w:pPr>
        <w:widowControl/>
        <w:autoSpaceDE/>
        <w:autoSpaceDN/>
        <w:adjustRightInd/>
        <w:rPr>
          <w:rFonts w:cs="Calibri"/>
          <w:b/>
          <w:bCs/>
        </w:rPr>
      </w:pPr>
    </w:p>
    <w:p w14:paraId="028405C8" w14:textId="295F56A3" w:rsidR="00C54F90" w:rsidRDefault="00C54F90" w:rsidP="00783189">
      <w:pPr>
        <w:widowControl/>
        <w:autoSpaceDE/>
        <w:autoSpaceDN/>
        <w:adjustRightInd/>
        <w:rPr>
          <w:rFonts w:cs="Calibri"/>
          <w:b/>
          <w:bCs/>
        </w:rPr>
      </w:pPr>
      <w:r>
        <w:rPr>
          <w:rFonts w:cs="Calibri"/>
          <w:b/>
          <w:bCs/>
        </w:rPr>
        <w:t xml:space="preserve">Status: </w:t>
      </w:r>
      <w:r w:rsidR="00D40E7E">
        <w:rPr>
          <w:rFonts w:cs="Calibri"/>
          <w:b/>
          <w:bCs/>
        </w:rPr>
        <w:t xml:space="preserve"> </w:t>
      </w:r>
      <w:r w:rsidR="00AD1AEA" w:rsidRPr="0058A868">
        <w:rPr>
          <w:rFonts w:cs="Calibri"/>
        </w:rPr>
        <w:t>OSHA did not conduct a consultation case file review of state and local government</w:t>
      </w:r>
      <w:r w:rsidR="00AD1AEA">
        <w:rPr>
          <w:rFonts w:cs="Calibri"/>
        </w:rPr>
        <w:t xml:space="preserve"> </w:t>
      </w:r>
      <w:r w:rsidR="00AD1AEA" w:rsidRPr="0058A868">
        <w:rPr>
          <w:rFonts w:cs="Calibri"/>
        </w:rPr>
        <w:t xml:space="preserve">files this fiscal year.  </w:t>
      </w:r>
      <w:r w:rsidR="00AD1AEA">
        <w:rPr>
          <w:rFonts w:cs="Calibri"/>
        </w:rPr>
        <w:t xml:space="preserve">Oregon OSHA is currently engaged in rulemaking to change the </w:t>
      </w:r>
      <w:r w:rsidR="004915C1">
        <w:rPr>
          <w:rFonts w:cs="Calibri"/>
        </w:rPr>
        <w:t>requirements</w:t>
      </w:r>
      <w:r w:rsidR="00AD1AEA">
        <w:rPr>
          <w:rFonts w:cs="Calibri"/>
        </w:rPr>
        <w:t xml:space="preserve"> </w:t>
      </w:r>
      <w:r w:rsidR="004915C1">
        <w:rPr>
          <w:rFonts w:cs="Calibri"/>
        </w:rPr>
        <w:t>for</w:t>
      </w:r>
      <w:r w:rsidR="00AD1AEA">
        <w:rPr>
          <w:rFonts w:cs="Calibri"/>
        </w:rPr>
        <w:t xml:space="preserve"> serious hazard correction </w:t>
      </w:r>
      <w:r w:rsidR="000D2CC8">
        <w:rPr>
          <w:rFonts w:cs="Calibri"/>
        </w:rPr>
        <w:t xml:space="preserve">as it </w:t>
      </w:r>
      <w:r w:rsidR="004915C1">
        <w:rPr>
          <w:rFonts w:cs="Calibri"/>
        </w:rPr>
        <w:t>relates</w:t>
      </w:r>
      <w:r w:rsidR="00AD1AEA">
        <w:rPr>
          <w:rFonts w:cs="Calibri"/>
        </w:rPr>
        <w:t xml:space="preserve"> to state and local government workplaces.  </w:t>
      </w:r>
      <w:r w:rsidR="004915C1">
        <w:rPr>
          <w:rFonts w:cs="Calibri"/>
        </w:rPr>
        <w:t xml:space="preserve">A </w:t>
      </w:r>
      <w:r w:rsidR="00D40E7E" w:rsidRPr="00051E3A">
        <w:t xml:space="preserve">case file review is necessary to gather the facts needed to evaluate progress on this </w:t>
      </w:r>
      <w:r w:rsidR="00A25CB9">
        <w:t>observation</w:t>
      </w:r>
      <w:r w:rsidR="00D40E7E" w:rsidRPr="00051E3A">
        <w:t>.  This will be a focus of next year’s on-site case file review during the FY 202</w:t>
      </w:r>
      <w:r w:rsidR="004F75C8">
        <w:t>6</w:t>
      </w:r>
      <w:r w:rsidR="00D40E7E" w:rsidRPr="00051E3A">
        <w:t xml:space="preserve"> </w:t>
      </w:r>
      <w:r w:rsidR="00D40E7E">
        <w:t xml:space="preserve">on-site consultation review.  </w:t>
      </w:r>
      <w:r w:rsidR="00D40E7E" w:rsidRPr="00051E3A">
        <w:t xml:space="preserve">This </w:t>
      </w:r>
      <w:r w:rsidR="00D40E7E">
        <w:t>observation</w:t>
      </w:r>
      <w:r w:rsidR="00D40E7E" w:rsidRPr="00051E3A">
        <w:t xml:space="preserve"> remains open.</w:t>
      </w:r>
    </w:p>
    <w:p w14:paraId="7B11976B" w14:textId="77777777" w:rsidR="00C54F90" w:rsidRDefault="00C54F90" w:rsidP="00783189">
      <w:pPr>
        <w:widowControl/>
        <w:autoSpaceDE/>
        <w:autoSpaceDN/>
        <w:adjustRightInd/>
        <w:rPr>
          <w:rFonts w:cs="Calibri"/>
          <w:b/>
          <w:bCs/>
        </w:rPr>
      </w:pPr>
    </w:p>
    <w:p w14:paraId="4E4B9201" w14:textId="657439CE" w:rsidR="004B7484" w:rsidRDefault="004B7484" w:rsidP="00783189">
      <w:pPr>
        <w:widowControl/>
        <w:autoSpaceDE/>
        <w:autoSpaceDN/>
        <w:adjustRightInd/>
        <w:rPr>
          <w:rFonts w:cs="Calibri"/>
          <w:b/>
          <w:bCs/>
        </w:rPr>
      </w:pPr>
      <w:r>
        <w:rPr>
          <w:rFonts w:cs="Calibri"/>
          <w:b/>
          <w:bCs/>
        </w:rPr>
        <w:t>New Observations</w:t>
      </w:r>
    </w:p>
    <w:p w14:paraId="6C7ABBC7" w14:textId="77777777" w:rsidR="001610D5" w:rsidRDefault="001610D5" w:rsidP="00783189">
      <w:pPr>
        <w:widowControl/>
        <w:autoSpaceDE/>
        <w:autoSpaceDN/>
        <w:adjustRightInd/>
        <w:rPr>
          <w:rFonts w:cs="Calibri"/>
          <w:b/>
          <w:bCs/>
        </w:rPr>
      </w:pPr>
    </w:p>
    <w:p w14:paraId="5D9BBF64" w14:textId="426F5406" w:rsidR="006F57E0" w:rsidRDefault="00D40E7E" w:rsidP="00783189">
      <w:pPr>
        <w:rPr>
          <w:rFonts w:cs="Calibri"/>
        </w:rPr>
      </w:pPr>
      <w:r w:rsidRPr="00B0036A">
        <w:rPr>
          <w:rFonts w:cs="Calibri"/>
        </w:rPr>
        <w:t>There were no new observations identified in FY 2024.</w:t>
      </w:r>
      <w:r>
        <w:rPr>
          <w:rFonts w:cs="Calibri"/>
        </w:rPr>
        <w:t xml:space="preserve"> </w:t>
      </w:r>
      <w:r w:rsidR="002027CC" w:rsidRPr="001C1E47" w:rsidDel="002027CC">
        <w:rPr>
          <w:rFonts w:cs="Calibri"/>
        </w:rPr>
        <w:t xml:space="preserve"> </w:t>
      </w:r>
    </w:p>
    <w:p w14:paraId="015A94F3" w14:textId="77777777" w:rsidR="00DE0674" w:rsidRDefault="00DE0674" w:rsidP="00E656DF">
      <w:bookmarkStart w:id="20" w:name="_Toc118900177"/>
      <w:bookmarkStart w:id="21" w:name="_Toc118905016"/>
    </w:p>
    <w:p w14:paraId="623221D8" w14:textId="71A4227D" w:rsidR="00DB72BF" w:rsidRPr="0061362E" w:rsidRDefault="00F132A8" w:rsidP="009816EB">
      <w:pPr>
        <w:pStyle w:val="Heading3"/>
        <w:numPr>
          <w:ilvl w:val="0"/>
          <w:numId w:val="16"/>
        </w:numPr>
      </w:pPr>
      <w:bookmarkStart w:id="22" w:name="_Toc190095688"/>
      <w:r w:rsidRPr="0061362E">
        <w:t>State Activity Mandated Measures (SAMM)</w:t>
      </w:r>
      <w:r w:rsidR="00A243D6" w:rsidRPr="0061362E">
        <w:t xml:space="preserve"> Highlights</w:t>
      </w:r>
      <w:bookmarkEnd w:id="20"/>
      <w:bookmarkEnd w:id="21"/>
      <w:bookmarkEnd w:id="22"/>
    </w:p>
    <w:p w14:paraId="38494A83" w14:textId="77777777" w:rsidR="00DB72BF" w:rsidRPr="001C1E47" w:rsidRDefault="00DB72BF" w:rsidP="00DB72BF">
      <w:pPr>
        <w:widowControl/>
        <w:autoSpaceDE/>
        <w:adjustRightInd/>
        <w:rPr>
          <w:rFonts w:cs="Calibri"/>
          <w:i/>
        </w:rPr>
      </w:pPr>
    </w:p>
    <w:p w14:paraId="6EBC64C5" w14:textId="73AA8EB9" w:rsidR="00D43DCD" w:rsidRDefault="00DB72BF" w:rsidP="00DB72BF">
      <w:pPr>
        <w:widowControl/>
        <w:autoSpaceDE/>
        <w:adjustRightInd/>
        <w:rPr>
          <w:rFonts w:cs="Calibri"/>
        </w:rPr>
      </w:pPr>
      <w:r w:rsidRPr="001C1E47">
        <w:rPr>
          <w:rFonts w:cs="Calibri"/>
        </w:rPr>
        <w:t>Each SAMM has an agreed upon</w:t>
      </w:r>
      <w:r w:rsidR="007B7BCE">
        <w:rPr>
          <w:rFonts w:cs="Calibri"/>
        </w:rPr>
        <w:t xml:space="preserve"> further review level (</w:t>
      </w:r>
      <w:r w:rsidRPr="001C1E47">
        <w:rPr>
          <w:rFonts w:cs="Calibri"/>
        </w:rPr>
        <w:t>FRL</w:t>
      </w:r>
      <w:r w:rsidR="007B7BCE">
        <w:rPr>
          <w:rFonts w:cs="Calibri"/>
        </w:rPr>
        <w:t>)</w:t>
      </w:r>
      <w:r w:rsidRPr="001C1E47">
        <w:rPr>
          <w:rFonts w:cs="Calibri"/>
        </w:rPr>
        <w:t xml:space="preserve"> which can be either a single number, or a range of numbers above and below the national average.  State Plan SAMM data that falls outside the FRL triggers a closer look at the underlying performance of the mandatory activity.  Appendix D presents the State Plan’s FY 20</w:t>
      </w:r>
      <w:r>
        <w:rPr>
          <w:rFonts w:cs="Calibri"/>
        </w:rPr>
        <w:t>2</w:t>
      </w:r>
      <w:r w:rsidR="00C60BB2">
        <w:rPr>
          <w:rFonts w:cs="Calibri"/>
        </w:rPr>
        <w:t>4</w:t>
      </w:r>
      <w:r w:rsidRPr="001C1E47">
        <w:rPr>
          <w:rFonts w:cs="Calibri"/>
        </w:rPr>
        <w:t xml:space="preserve"> SAMM Report and includes the FRLs for each measure. </w:t>
      </w:r>
    </w:p>
    <w:p w14:paraId="4C72C9F5" w14:textId="77777777" w:rsidR="00D43DCD" w:rsidRDefault="00D43DCD" w:rsidP="00DB72BF">
      <w:pPr>
        <w:widowControl/>
        <w:autoSpaceDE/>
        <w:adjustRightInd/>
        <w:rPr>
          <w:rFonts w:cs="Calibri"/>
        </w:rPr>
      </w:pPr>
    </w:p>
    <w:p w14:paraId="6ABAA786" w14:textId="6DAEA81D" w:rsidR="00D43DCD" w:rsidRDefault="00D43DCD" w:rsidP="00DB72BF">
      <w:pPr>
        <w:widowControl/>
        <w:autoSpaceDE/>
        <w:adjustRightInd/>
        <w:rPr>
          <w:rFonts w:cs="Calibri"/>
        </w:rPr>
      </w:pPr>
      <w:r w:rsidRPr="7D10D4CD">
        <w:rPr>
          <w:rFonts w:cs="Calibri"/>
        </w:rPr>
        <w:t xml:space="preserve">It should be noted that OSHA is in the final stages of transitioning from the Whistleblower Application in the OSHA IT Support System (OITSS), a legacy data system, to the Whistleblower module in OIS, a modern data system.  </w:t>
      </w:r>
      <w:r w:rsidR="008901CB">
        <w:rPr>
          <w:rFonts w:cs="Calibri"/>
        </w:rPr>
        <w:t>Only a small portion of State Plan whistleblower data was recorded in OITSS</w:t>
      </w:r>
      <w:r w:rsidR="00FC39CF">
        <w:rPr>
          <w:rFonts w:cs="Calibri"/>
        </w:rPr>
        <w:t xml:space="preserve">; </w:t>
      </w:r>
      <w:r w:rsidR="00725C6C">
        <w:rPr>
          <w:rFonts w:cs="Calibri"/>
        </w:rPr>
        <w:t>Oregon OSHA</w:t>
      </w:r>
      <w:r w:rsidR="004A2EBF">
        <w:rPr>
          <w:rFonts w:cs="Calibri"/>
        </w:rPr>
        <w:t xml:space="preserve"> </w:t>
      </w:r>
      <w:r w:rsidR="00A1243A">
        <w:rPr>
          <w:rFonts w:cs="Calibri"/>
        </w:rPr>
        <w:t>transitioned into</w:t>
      </w:r>
      <w:r w:rsidR="0063455B">
        <w:rPr>
          <w:rFonts w:cs="Calibri"/>
        </w:rPr>
        <w:t xml:space="preserve"> OIS </w:t>
      </w:r>
      <w:r w:rsidR="00BA3759">
        <w:rPr>
          <w:rFonts w:cs="Calibri"/>
        </w:rPr>
        <w:t>in November 2023</w:t>
      </w:r>
      <w:r w:rsidR="002C4C11">
        <w:rPr>
          <w:rFonts w:cs="Calibri"/>
        </w:rPr>
        <w:t xml:space="preserve">.  </w:t>
      </w:r>
      <w:r w:rsidR="004939FB">
        <w:rPr>
          <w:rFonts w:cs="Calibri"/>
        </w:rPr>
        <w:t xml:space="preserve">However, </w:t>
      </w:r>
      <w:r w:rsidRPr="7D10D4CD">
        <w:rPr>
          <w:rFonts w:cs="Calibri"/>
        </w:rPr>
        <w:t>OSHA encountered challenges in combining the report that generates SAMM 14, 15, and 16 from both systems.  As such, OSHA will not be relying on SAMMs 14, 15, or 16 in their evaluation of the State Plans whistleblower programs for FY 202</w:t>
      </w:r>
      <w:r w:rsidR="002545CD" w:rsidRPr="7D10D4CD">
        <w:rPr>
          <w:rFonts w:cs="Calibri"/>
        </w:rPr>
        <w:t>4</w:t>
      </w:r>
      <w:r w:rsidR="00155285" w:rsidRPr="7D10D4CD">
        <w:rPr>
          <w:rFonts w:cs="Calibri"/>
        </w:rPr>
        <w:t>.</w:t>
      </w:r>
    </w:p>
    <w:p w14:paraId="15B9B29F" w14:textId="77777777" w:rsidR="00D43DCD" w:rsidRDefault="00D43DCD" w:rsidP="00DB72BF">
      <w:pPr>
        <w:widowControl/>
        <w:autoSpaceDE/>
        <w:adjustRightInd/>
        <w:rPr>
          <w:rFonts w:cs="Calibri"/>
        </w:rPr>
      </w:pPr>
    </w:p>
    <w:p w14:paraId="100649AB" w14:textId="0247A90C" w:rsidR="00DB72BF" w:rsidRPr="001C1E47" w:rsidRDefault="00DB72BF" w:rsidP="00DB72BF">
      <w:pPr>
        <w:widowControl/>
        <w:autoSpaceDE/>
        <w:adjustRightInd/>
        <w:rPr>
          <w:rFonts w:cs="Calibri"/>
        </w:rPr>
      </w:pPr>
      <w:r w:rsidRPr="001C1E47">
        <w:rPr>
          <w:rFonts w:cs="Calibri"/>
        </w:rPr>
        <w:t xml:space="preserve">The </w:t>
      </w:r>
      <w:r w:rsidR="00E00DA6">
        <w:rPr>
          <w:rFonts w:cs="Calibri"/>
        </w:rPr>
        <w:t xml:space="preserve">Oregon </w:t>
      </w:r>
      <w:r w:rsidRPr="001C1E47">
        <w:rPr>
          <w:rFonts w:cs="Calibri"/>
        </w:rPr>
        <w:t>State Plan was outside the FRL on the following SAMMs</w:t>
      </w:r>
      <w:r w:rsidR="00AF22BC">
        <w:rPr>
          <w:rFonts w:cs="Calibri"/>
        </w:rPr>
        <w:t xml:space="preserve"> </w:t>
      </w:r>
      <w:r w:rsidR="00EB6E58">
        <w:rPr>
          <w:rFonts w:cs="Calibri"/>
        </w:rPr>
        <w:t>which</w:t>
      </w:r>
      <w:r w:rsidR="00E00DA6">
        <w:rPr>
          <w:rFonts w:cs="Calibri"/>
        </w:rPr>
        <w:t xml:space="preserve"> have not been previously address</w:t>
      </w:r>
      <w:r w:rsidR="00AF22BC">
        <w:rPr>
          <w:rFonts w:cs="Calibri"/>
        </w:rPr>
        <w:t xml:space="preserve">ed </w:t>
      </w:r>
      <w:r w:rsidR="00E00DA6">
        <w:rPr>
          <w:rFonts w:cs="Calibri"/>
        </w:rPr>
        <w:t>in this report</w:t>
      </w:r>
      <w:r w:rsidRPr="001C1E47">
        <w:rPr>
          <w:rFonts w:cs="Calibri"/>
        </w:rPr>
        <w:t>:</w:t>
      </w:r>
    </w:p>
    <w:p w14:paraId="5C44D8AC" w14:textId="77777777" w:rsidR="00DB72BF" w:rsidRDefault="00DB72BF" w:rsidP="00DB72BF">
      <w:pPr>
        <w:widowControl/>
        <w:autoSpaceDE/>
        <w:adjustRightInd/>
        <w:rPr>
          <w:rFonts w:cs="Calibri"/>
          <w:b/>
          <w:u w:val="single"/>
        </w:rPr>
      </w:pPr>
    </w:p>
    <w:p w14:paraId="58391720" w14:textId="27C5B9BD" w:rsidR="00045F2E" w:rsidRDefault="00045F2E" w:rsidP="00045F2E">
      <w:pPr>
        <w:widowControl/>
        <w:autoSpaceDE/>
        <w:adjustRightInd/>
        <w:rPr>
          <w:rFonts w:cs="Calibri"/>
          <w:b/>
          <w:u w:val="single"/>
        </w:rPr>
      </w:pPr>
      <w:r w:rsidRPr="00687F72">
        <w:rPr>
          <w:rFonts w:cs="Calibri"/>
          <w:b/>
        </w:rPr>
        <w:t>SAMM 1a -</w:t>
      </w:r>
      <w:r>
        <w:rPr>
          <w:rFonts w:cs="Calibri"/>
          <w:b/>
        </w:rPr>
        <w:t xml:space="preserve"> </w:t>
      </w:r>
      <w:r w:rsidRPr="00687F72">
        <w:rPr>
          <w:rFonts w:asciiTheme="minorHAnsi" w:hAnsiTheme="minorHAnsi" w:cstheme="minorHAnsi"/>
          <w:b/>
          <w:bCs/>
        </w:rPr>
        <w:t xml:space="preserve">Average number of </w:t>
      </w:r>
      <w:proofErr w:type="gramStart"/>
      <w:r w:rsidR="00C92822" w:rsidRPr="00687F72">
        <w:rPr>
          <w:rFonts w:asciiTheme="minorHAnsi" w:hAnsiTheme="minorHAnsi" w:cstheme="minorHAnsi"/>
          <w:b/>
          <w:bCs/>
        </w:rPr>
        <w:t>work</w:t>
      </w:r>
      <w:r w:rsidR="00591BF1">
        <w:rPr>
          <w:rFonts w:asciiTheme="minorHAnsi" w:hAnsiTheme="minorHAnsi" w:cstheme="minorHAnsi"/>
          <w:b/>
          <w:bCs/>
        </w:rPr>
        <w:t xml:space="preserve"> </w:t>
      </w:r>
      <w:r w:rsidR="00C92822" w:rsidRPr="00687F72">
        <w:rPr>
          <w:rFonts w:asciiTheme="minorHAnsi" w:hAnsiTheme="minorHAnsi" w:cstheme="minorHAnsi"/>
          <w:b/>
          <w:bCs/>
        </w:rPr>
        <w:t>days</w:t>
      </w:r>
      <w:proofErr w:type="gramEnd"/>
      <w:r w:rsidRPr="00687F72">
        <w:rPr>
          <w:rFonts w:asciiTheme="minorHAnsi" w:hAnsiTheme="minorHAnsi" w:cstheme="minorHAnsi"/>
          <w:b/>
          <w:bCs/>
        </w:rPr>
        <w:t xml:space="preserve"> to initiate complaint inspections (state formula)</w:t>
      </w:r>
    </w:p>
    <w:p w14:paraId="2138FBE5" w14:textId="77777777" w:rsidR="00045F2E" w:rsidRDefault="00045F2E" w:rsidP="00045F2E">
      <w:pPr>
        <w:widowControl/>
        <w:autoSpaceDE/>
        <w:adjustRightInd/>
        <w:rPr>
          <w:rFonts w:cs="Calibri"/>
          <w:b/>
          <w:u w:val="single"/>
        </w:rPr>
      </w:pPr>
    </w:p>
    <w:p w14:paraId="22244ECB" w14:textId="1FC3BBAE" w:rsidR="00045F2E" w:rsidRDefault="00045F2E" w:rsidP="00045F2E">
      <w:pPr>
        <w:widowControl/>
        <w:autoSpaceDE/>
        <w:adjustRightInd/>
        <w:rPr>
          <w:rFonts w:asciiTheme="minorHAnsi" w:hAnsiTheme="minorHAnsi" w:cstheme="minorBidi"/>
        </w:rPr>
      </w:pPr>
      <w:r w:rsidRPr="007240E4">
        <w:rPr>
          <w:rFonts w:asciiTheme="minorHAnsi" w:hAnsiTheme="minorHAnsi" w:cstheme="minorBidi"/>
          <w:b/>
          <w:bCs/>
        </w:rPr>
        <w:t>Discussion of Oregon OSHA’s data and FRL:</w:t>
      </w:r>
      <w:r>
        <w:rPr>
          <w:rFonts w:asciiTheme="minorHAnsi" w:hAnsiTheme="minorHAnsi" w:cstheme="minorBidi"/>
        </w:rPr>
        <w:t xml:space="preserve">  The </w:t>
      </w:r>
      <w:r w:rsidR="0012079F">
        <w:rPr>
          <w:rFonts w:asciiTheme="minorHAnsi" w:hAnsiTheme="minorHAnsi" w:cstheme="minorBidi"/>
        </w:rPr>
        <w:t>FRL</w:t>
      </w:r>
      <w:r>
        <w:rPr>
          <w:rFonts w:asciiTheme="minorHAnsi" w:hAnsiTheme="minorHAnsi" w:cstheme="minorBidi"/>
        </w:rPr>
        <w:t xml:space="preserve"> for </w:t>
      </w:r>
      <w:r w:rsidR="009A49C9">
        <w:rPr>
          <w:rFonts w:asciiTheme="minorHAnsi" w:hAnsiTheme="minorHAnsi" w:cstheme="minorBidi"/>
        </w:rPr>
        <w:t>average number of work</w:t>
      </w:r>
      <w:r w:rsidR="00E657C7">
        <w:rPr>
          <w:rFonts w:asciiTheme="minorHAnsi" w:hAnsiTheme="minorHAnsi" w:cstheme="minorBidi"/>
        </w:rPr>
        <w:t>ing</w:t>
      </w:r>
      <w:r w:rsidR="00591BF1">
        <w:rPr>
          <w:rFonts w:asciiTheme="minorHAnsi" w:hAnsiTheme="minorHAnsi" w:cstheme="minorBidi"/>
        </w:rPr>
        <w:t xml:space="preserve"> days to initiate complaint inspections (SAMM 1a) was </w:t>
      </w:r>
      <w:r>
        <w:rPr>
          <w:rFonts w:asciiTheme="minorHAnsi" w:hAnsiTheme="minorHAnsi" w:cstheme="minorBidi"/>
        </w:rPr>
        <w:t>5 days for serious hazards and 30 days for</w:t>
      </w:r>
      <w:r w:rsidR="00591BF1">
        <w:rPr>
          <w:rFonts w:asciiTheme="minorHAnsi" w:hAnsiTheme="minorHAnsi" w:cstheme="minorBidi"/>
        </w:rPr>
        <w:t xml:space="preserve"> other-than-serious</w:t>
      </w:r>
      <w:r>
        <w:rPr>
          <w:rFonts w:asciiTheme="minorHAnsi" w:hAnsiTheme="minorHAnsi" w:cstheme="minorBidi"/>
        </w:rPr>
        <w:t xml:space="preserve"> </w:t>
      </w:r>
      <w:r w:rsidR="00C1583B">
        <w:rPr>
          <w:rFonts w:asciiTheme="minorHAnsi" w:hAnsiTheme="minorHAnsi" w:cstheme="minorBidi"/>
        </w:rPr>
        <w:t xml:space="preserve">(OTS) </w:t>
      </w:r>
      <w:r>
        <w:rPr>
          <w:rFonts w:asciiTheme="minorHAnsi" w:hAnsiTheme="minorHAnsi" w:cstheme="minorBidi"/>
        </w:rPr>
        <w:t>hazards</w:t>
      </w:r>
      <w:r w:rsidR="00545CEE">
        <w:rPr>
          <w:rFonts w:asciiTheme="minorHAnsi" w:hAnsiTheme="minorHAnsi" w:cstheme="minorBidi"/>
        </w:rPr>
        <w:t xml:space="preserve"> and was negotiated </w:t>
      </w:r>
      <w:r w:rsidR="00FC5072">
        <w:rPr>
          <w:rFonts w:asciiTheme="minorHAnsi" w:hAnsiTheme="minorHAnsi" w:cstheme="minorBidi"/>
        </w:rPr>
        <w:t xml:space="preserve">by OSHA and Oregon OSHA through the </w:t>
      </w:r>
      <w:proofErr w:type="gramStart"/>
      <w:r w:rsidR="00FC5072">
        <w:rPr>
          <w:rFonts w:asciiTheme="minorHAnsi" w:hAnsiTheme="minorHAnsi" w:cstheme="minorBidi"/>
        </w:rPr>
        <w:t>23(g) grant</w:t>
      </w:r>
      <w:proofErr w:type="gramEnd"/>
      <w:r w:rsidR="00FC5072">
        <w:rPr>
          <w:rFonts w:asciiTheme="minorHAnsi" w:hAnsiTheme="minorHAnsi" w:cstheme="minorBidi"/>
        </w:rPr>
        <w:t xml:space="preserve"> application</w:t>
      </w:r>
      <w:r>
        <w:rPr>
          <w:rFonts w:asciiTheme="minorHAnsi" w:hAnsiTheme="minorHAnsi" w:cstheme="minorBidi"/>
        </w:rPr>
        <w:t xml:space="preserve">. </w:t>
      </w:r>
      <w:r w:rsidR="00D87127">
        <w:rPr>
          <w:rFonts w:asciiTheme="minorHAnsi" w:hAnsiTheme="minorHAnsi" w:cstheme="minorBidi"/>
        </w:rPr>
        <w:t xml:space="preserve"> </w:t>
      </w:r>
      <w:r w:rsidR="00FC5072">
        <w:rPr>
          <w:rFonts w:asciiTheme="minorHAnsi" w:hAnsiTheme="minorHAnsi" w:cstheme="minorBidi"/>
        </w:rPr>
        <w:t xml:space="preserve">According to </w:t>
      </w:r>
      <w:r>
        <w:rPr>
          <w:rFonts w:asciiTheme="minorHAnsi" w:hAnsiTheme="minorHAnsi" w:cstheme="minorBidi"/>
        </w:rPr>
        <w:t>Appendix D</w:t>
      </w:r>
      <w:r w:rsidR="00FC5072">
        <w:rPr>
          <w:rFonts w:asciiTheme="minorHAnsi" w:hAnsiTheme="minorHAnsi" w:cstheme="minorBidi"/>
        </w:rPr>
        <w:t xml:space="preserve">, Oregon’s </w:t>
      </w:r>
      <w:r>
        <w:rPr>
          <w:rFonts w:asciiTheme="minorHAnsi" w:hAnsiTheme="minorHAnsi" w:cstheme="minorBidi"/>
        </w:rPr>
        <w:t>average number of days to initiate complaint inspection</w:t>
      </w:r>
      <w:r w:rsidR="00C0393E">
        <w:rPr>
          <w:rFonts w:asciiTheme="minorHAnsi" w:hAnsiTheme="minorHAnsi" w:cstheme="minorBidi"/>
        </w:rPr>
        <w:t>s</w:t>
      </w:r>
      <w:r>
        <w:rPr>
          <w:rFonts w:asciiTheme="minorHAnsi" w:hAnsiTheme="minorHAnsi" w:cstheme="minorBidi"/>
        </w:rPr>
        <w:t xml:space="preserve"> was </w:t>
      </w:r>
      <w:r w:rsidR="00C21E40">
        <w:rPr>
          <w:rFonts w:asciiTheme="minorHAnsi" w:hAnsiTheme="minorHAnsi" w:cstheme="minorBidi"/>
        </w:rPr>
        <w:t>5.88</w:t>
      </w:r>
      <w:r>
        <w:rPr>
          <w:rFonts w:asciiTheme="minorHAnsi" w:hAnsiTheme="minorHAnsi" w:cstheme="minorBidi"/>
        </w:rPr>
        <w:t xml:space="preserve">.  </w:t>
      </w:r>
    </w:p>
    <w:p w14:paraId="65EF89FA" w14:textId="77777777" w:rsidR="00045F2E" w:rsidRDefault="00045F2E" w:rsidP="00045F2E">
      <w:pPr>
        <w:widowControl/>
        <w:autoSpaceDE/>
        <w:adjustRightInd/>
        <w:rPr>
          <w:rFonts w:asciiTheme="minorHAnsi" w:hAnsiTheme="minorHAnsi" w:cstheme="minorBidi"/>
        </w:rPr>
      </w:pPr>
    </w:p>
    <w:p w14:paraId="318D198F" w14:textId="23BC4764" w:rsidR="00045F2E" w:rsidRPr="00687F72" w:rsidRDefault="00045F2E" w:rsidP="00045F2E">
      <w:pPr>
        <w:widowControl/>
        <w:autoSpaceDE/>
        <w:adjustRightInd/>
        <w:rPr>
          <w:rFonts w:cs="Calibri"/>
          <w:b/>
        </w:rPr>
      </w:pPr>
      <w:r w:rsidRPr="007240E4">
        <w:rPr>
          <w:rFonts w:asciiTheme="minorHAnsi" w:hAnsiTheme="minorHAnsi" w:cstheme="minorBidi"/>
          <w:b/>
          <w:bCs/>
        </w:rPr>
        <w:t xml:space="preserve">Explanation: </w:t>
      </w:r>
      <w:r>
        <w:rPr>
          <w:rFonts w:asciiTheme="minorHAnsi" w:hAnsiTheme="minorHAnsi" w:cstheme="minorBidi"/>
        </w:rPr>
        <w:t xml:space="preserve"> The SAMM report does not differentiate between</w:t>
      </w:r>
      <w:r w:rsidR="00033385">
        <w:rPr>
          <w:rFonts w:asciiTheme="minorHAnsi" w:hAnsiTheme="minorHAnsi" w:cstheme="minorBidi"/>
        </w:rPr>
        <w:t xml:space="preserve"> initiating</w:t>
      </w:r>
      <w:r>
        <w:rPr>
          <w:rFonts w:asciiTheme="minorHAnsi" w:hAnsiTheme="minorHAnsi" w:cstheme="minorBidi"/>
        </w:rPr>
        <w:t xml:space="preserve"> complaint inspections with serious hazards </w:t>
      </w:r>
      <w:r w:rsidR="00033385">
        <w:rPr>
          <w:rFonts w:asciiTheme="minorHAnsi" w:hAnsiTheme="minorHAnsi" w:cstheme="minorBidi"/>
        </w:rPr>
        <w:t>versus</w:t>
      </w:r>
      <w:r>
        <w:rPr>
          <w:rFonts w:asciiTheme="minorHAnsi" w:hAnsiTheme="minorHAnsi" w:cstheme="minorBidi"/>
        </w:rPr>
        <w:t xml:space="preserve"> </w:t>
      </w:r>
      <w:r w:rsidR="00C0393E">
        <w:rPr>
          <w:rFonts w:asciiTheme="minorHAnsi" w:hAnsiTheme="minorHAnsi" w:cstheme="minorBidi"/>
        </w:rPr>
        <w:t>other-than-serious</w:t>
      </w:r>
      <w:r w:rsidR="00C1583B">
        <w:rPr>
          <w:rFonts w:asciiTheme="minorHAnsi" w:hAnsiTheme="minorHAnsi" w:cstheme="minorBidi"/>
        </w:rPr>
        <w:t xml:space="preserve"> </w:t>
      </w:r>
      <w:r>
        <w:rPr>
          <w:rFonts w:asciiTheme="minorHAnsi" w:hAnsiTheme="minorHAnsi" w:cstheme="minorBidi"/>
        </w:rPr>
        <w:t xml:space="preserve">hazards.  </w:t>
      </w:r>
      <w:r w:rsidR="00C0393E">
        <w:rPr>
          <w:rFonts w:asciiTheme="minorHAnsi" w:hAnsiTheme="minorHAnsi" w:cstheme="minorBidi"/>
        </w:rPr>
        <w:t>According to</w:t>
      </w:r>
      <w:r>
        <w:rPr>
          <w:rFonts w:asciiTheme="minorHAnsi" w:hAnsiTheme="minorHAnsi" w:cstheme="minorBidi"/>
        </w:rPr>
        <w:t xml:space="preserve"> Oregon OSHA</w:t>
      </w:r>
      <w:r w:rsidR="00C0393E">
        <w:rPr>
          <w:rFonts w:asciiTheme="minorHAnsi" w:hAnsiTheme="minorHAnsi" w:cstheme="minorBidi"/>
        </w:rPr>
        <w:t xml:space="preserve">’s FY 2024 </w:t>
      </w:r>
      <w:r>
        <w:rPr>
          <w:rFonts w:asciiTheme="minorHAnsi" w:hAnsiTheme="minorHAnsi" w:cstheme="minorBidi"/>
        </w:rPr>
        <w:t>SOAR</w:t>
      </w:r>
      <w:r w:rsidR="00C0393E" w:rsidRPr="00CD0E2D">
        <w:rPr>
          <w:rFonts w:asciiTheme="minorHAnsi" w:hAnsiTheme="minorHAnsi" w:cstheme="minorBidi"/>
        </w:rPr>
        <w:t xml:space="preserve">, </w:t>
      </w:r>
      <w:r w:rsidR="002849E3" w:rsidRPr="00CD0E2D">
        <w:rPr>
          <w:rFonts w:asciiTheme="minorHAnsi" w:hAnsiTheme="minorHAnsi" w:cstheme="minorBidi"/>
        </w:rPr>
        <w:t>1,041 of 1,055</w:t>
      </w:r>
      <w:r w:rsidR="00245702" w:rsidRPr="00CD0E2D">
        <w:rPr>
          <w:rFonts w:asciiTheme="minorHAnsi" w:hAnsiTheme="minorHAnsi" w:cstheme="minorBidi"/>
        </w:rPr>
        <w:t xml:space="preserve"> (98.7%)</w:t>
      </w:r>
      <w:r w:rsidRPr="00CD0E2D">
        <w:rPr>
          <w:rFonts w:asciiTheme="minorHAnsi" w:hAnsiTheme="minorHAnsi" w:cstheme="minorBidi"/>
        </w:rPr>
        <w:t xml:space="preserve"> of serious complaints were initiated within 5 working days and </w:t>
      </w:r>
      <w:r w:rsidR="00245702" w:rsidRPr="00CD0E2D">
        <w:rPr>
          <w:rFonts w:asciiTheme="minorHAnsi" w:hAnsiTheme="minorHAnsi" w:cstheme="minorBidi"/>
        </w:rPr>
        <w:t>388</w:t>
      </w:r>
      <w:r w:rsidRPr="00CD0E2D">
        <w:rPr>
          <w:rFonts w:asciiTheme="minorHAnsi" w:hAnsiTheme="minorHAnsi" w:cstheme="minorBidi"/>
        </w:rPr>
        <w:t xml:space="preserve"> of </w:t>
      </w:r>
      <w:r w:rsidR="00245702" w:rsidRPr="00CD0E2D">
        <w:rPr>
          <w:rFonts w:asciiTheme="minorHAnsi" w:hAnsiTheme="minorHAnsi" w:cstheme="minorBidi"/>
        </w:rPr>
        <w:t>389</w:t>
      </w:r>
      <w:r w:rsidRPr="00CD0E2D">
        <w:rPr>
          <w:rFonts w:asciiTheme="minorHAnsi" w:hAnsiTheme="minorHAnsi" w:cstheme="minorBidi"/>
        </w:rPr>
        <w:t xml:space="preserve"> </w:t>
      </w:r>
      <w:r w:rsidR="00075818" w:rsidRPr="00CD0E2D">
        <w:rPr>
          <w:rFonts w:asciiTheme="minorHAnsi" w:hAnsiTheme="minorHAnsi" w:cstheme="minorBidi"/>
        </w:rPr>
        <w:t xml:space="preserve">(99.7%) </w:t>
      </w:r>
      <w:r w:rsidR="00B97E7C" w:rsidRPr="00CD0E2D">
        <w:rPr>
          <w:rFonts w:asciiTheme="minorHAnsi" w:hAnsiTheme="minorHAnsi" w:cstheme="minorBidi"/>
        </w:rPr>
        <w:t xml:space="preserve">other-than-serious complaints </w:t>
      </w:r>
      <w:r w:rsidRPr="00CD0E2D">
        <w:rPr>
          <w:rFonts w:asciiTheme="minorHAnsi" w:hAnsiTheme="minorHAnsi" w:cstheme="minorBidi"/>
        </w:rPr>
        <w:t>were initiated within 30 working days.</w:t>
      </w:r>
      <w:r>
        <w:rPr>
          <w:rFonts w:asciiTheme="minorHAnsi" w:hAnsiTheme="minorHAnsi" w:cstheme="minorBidi"/>
        </w:rPr>
        <w:t xml:space="preserve"> </w:t>
      </w:r>
      <w:r w:rsidR="00462FFB">
        <w:rPr>
          <w:rFonts w:asciiTheme="minorHAnsi" w:hAnsiTheme="minorHAnsi" w:cstheme="minorBidi"/>
        </w:rPr>
        <w:t xml:space="preserve"> </w:t>
      </w:r>
      <w:r w:rsidR="00E3469C">
        <w:rPr>
          <w:rFonts w:asciiTheme="minorHAnsi" w:hAnsiTheme="minorHAnsi" w:cstheme="minorBidi"/>
        </w:rPr>
        <w:t>Oregon</w:t>
      </w:r>
      <w:r w:rsidR="005967DA">
        <w:rPr>
          <w:rFonts w:asciiTheme="minorHAnsi" w:hAnsiTheme="minorHAnsi" w:cstheme="minorBidi"/>
        </w:rPr>
        <w:t xml:space="preserve"> improved </w:t>
      </w:r>
      <w:r w:rsidR="006638D6">
        <w:rPr>
          <w:rFonts w:asciiTheme="minorHAnsi" w:hAnsiTheme="minorHAnsi" w:cstheme="minorBidi"/>
        </w:rPr>
        <w:t>their</w:t>
      </w:r>
      <w:r w:rsidR="005967DA">
        <w:rPr>
          <w:rFonts w:asciiTheme="minorHAnsi" w:hAnsiTheme="minorHAnsi" w:cstheme="minorBidi"/>
        </w:rPr>
        <w:t xml:space="preserve"> performance</w:t>
      </w:r>
      <w:r w:rsidR="00CE1735">
        <w:rPr>
          <w:rFonts w:asciiTheme="minorHAnsi" w:hAnsiTheme="minorHAnsi" w:cstheme="minorBidi"/>
        </w:rPr>
        <w:t xml:space="preserve"> from </w:t>
      </w:r>
      <w:r w:rsidR="00BD6FA7">
        <w:rPr>
          <w:rFonts w:asciiTheme="minorHAnsi" w:hAnsiTheme="minorHAnsi" w:cstheme="minorBidi"/>
        </w:rPr>
        <w:t xml:space="preserve">the previous review period </w:t>
      </w:r>
      <w:r w:rsidR="00CD0E2D">
        <w:rPr>
          <w:rFonts w:asciiTheme="minorHAnsi" w:hAnsiTheme="minorHAnsi" w:cstheme="minorBidi"/>
        </w:rPr>
        <w:t xml:space="preserve">where </w:t>
      </w:r>
      <w:r w:rsidR="00CE1735">
        <w:rPr>
          <w:rFonts w:asciiTheme="minorHAnsi" w:hAnsiTheme="minorHAnsi" w:cstheme="minorBidi"/>
        </w:rPr>
        <w:t xml:space="preserve">97.7% </w:t>
      </w:r>
      <w:r w:rsidR="00CD0E2D">
        <w:rPr>
          <w:rFonts w:asciiTheme="minorHAnsi" w:hAnsiTheme="minorHAnsi" w:cstheme="minorBidi"/>
        </w:rPr>
        <w:t>of</w:t>
      </w:r>
      <w:r w:rsidR="00CE1735">
        <w:rPr>
          <w:rFonts w:asciiTheme="minorHAnsi" w:hAnsiTheme="minorHAnsi" w:cstheme="minorBidi"/>
        </w:rPr>
        <w:t xml:space="preserve"> serious and </w:t>
      </w:r>
      <w:r w:rsidR="00BD6FA7">
        <w:rPr>
          <w:rFonts w:asciiTheme="minorHAnsi" w:hAnsiTheme="minorHAnsi" w:cstheme="minorBidi"/>
        </w:rPr>
        <w:t xml:space="preserve">96.4% </w:t>
      </w:r>
      <w:r w:rsidR="00CD0E2D">
        <w:rPr>
          <w:rFonts w:asciiTheme="minorHAnsi" w:hAnsiTheme="minorHAnsi" w:cstheme="minorBidi"/>
        </w:rPr>
        <w:t>of</w:t>
      </w:r>
      <w:r w:rsidR="00BD6FA7">
        <w:rPr>
          <w:rFonts w:asciiTheme="minorHAnsi" w:hAnsiTheme="minorHAnsi" w:cstheme="minorBidi"/>
        </w:rPr>
        <w:t xml:space="preserve"> other-than-serious</w:t>
      </w:r>
      <w:r w:rsidR="00CD0E2D">
        <w:rPr>
          <w:rFonts w:asciiTheme="minorHAnsi" w:hAnsiTheme="minorHAnsi" w:cstheme="minorBidi"/>
        </w:rPr>
        <w:t xml:space="preserve"> </w:t>
      </w:r>
      <w:r w:rsidR="005967DA">
        <w:rPr>
          <w:rFonts w:asciiTheme="minorHAnsi" w:hAnsiTheme="minorHAnsi" w:cstheme="minorBidi"/>
        </w:rPr>
        <w:t xml:space="preserve">complaint inspections </w:t>
      </w:r>
      <w:r w:rsidR="00CD0E2D">
        <w:rPr>
          <w:rFonts w:asciiTheme="minorHAnsi" w:hAnsiTheme="minorHAnsi" w:cstheme="minorBidi"/>
        </w:rPr>
        <w:t>were initiated within negotiated timeframes</w:t>
      </w:r>
      <w:r w:rsidR="00BD6FA7">
        <w:rPr>
          <w:rFonts w:asciiTheme="minorHAnsi" w:hAnsiTheme="minorHAnsi" w:cstheme="minorBidi"/>
        </w:rPr>
        <w:t xml:space="preserve">. </w:t>
      </w:r>
      <w:r w:rsidR="00FC66BD">
        <w:rPr>
          <w:rFonts w:asciiTheme="minorHAnsi" w:hAnsiTheme="minorHAnsi" w:cstheme="minorBidi"/>
        </w:rPr>
        <w:t xml:space="preserve"> </w:t>
      </w:r>
      <w:r w:rsidR="00462FFB">
        <w:rPr>
          <w:rFonts w:asciiTheme="minorHAnsi" w:hAnsiTheme="minorHAnsi" w:cstheme="minorBidi"/>
        </w:rPr>
        <w:t>Th</w:t>
      </w:r>
      <w:r w:rsidR="00CD0E2D">
        <w:rPr>
          <w:rFonts w:asciiTheme="minorHAnsi" w:hAnsiTheme="minorHAnsi" w:cstheme="minorBidi"/>
        </w:rPr>
        <w:t>is</w:t>
      </w:r>
      <w:r w:rsidR="00462FFB">
        <w:rPr>
          <w:rFonts w:asciiTheme="minorHAnsi" w:hAnsiTheme="minorHAnsi" w:cstheme="minorBidi"/>
        </w:rPr>
        <w:t xml:space="preserve"> SAMM measure w</w:t>
      </w:r>
      <w:r w:rsidR="00CD0E2D">
        <w:rPr>
          <w:rFonts w:asciiTheme="minorHAnsi" w:hAnsiTheme="minorHAnsi" w:cstheme="minorBidi"/>
        </w:rPr>
        <w:t>as</w:t>
      </w:r>
      <w:r w:rsidR="00462FFB">
        <w:rPr>
          <w:rFonts w:asciiTheme="minorHAnsi" w:hAnsiTheme="minorHAnsi" w:cstheme="minorBidi"/>
        </w:rPr>
        <w:t xml:space="preserve"> updated for FY 2025 to</w:t>
      </w:r>
      <w:r w:rsidR="006638D6">
        <w:rPr>
          <w:rFonts w:asciiTheme="minorHAnsi" w:hAnsiTheme="minorHAnsi" w:cstheme="minorBidi"/>
        </w:rPr>
        <w:t xml:space="preserve"> distinguish</w:t>
      </w:r>
      <w:r w:rsidR="00462FFB">
        <w:rPr>
          <w:rFonts w:asciiTheme="minorHAnsi" w:hAnsiTheme="minorHAnsi" w:cstheme="minorBidi"/>
        </w:rPr>
        <w:t xml:space="preserve"> the average </w:t>
      </w:r>
      <w:r w:rsidR="007D5E42">
        <w:rPr>
          <w:rFonts w:asciiTheme="minorHAnsi" w:hAnsiTheme="minorHAnsi" w:cstheme="minorBidi"/>
        </w:rPr>
        <w:t xml:space="preserve">number of </w:t>
      </w:r>
      <w:r w:rsidR="00462FFB">
        <w:rPr>
          <w:rFonts w:asciiTheme="minorHAnsi" w:hAnsiTheme="minorHAnsi" w:cstheme="minorBidi"/>
        </w:rPr>
        <w:t>work</w:t>
      </w:r>
      <w:r w:rsidR="00FC66BD">
        <w:rPr>
          <w:rFonts w:asciiTheme="minorHAnsi" w:hAnsiTheme="minorHAnsi" w:cstheme="minorBidi"/>
        </w:rPr>
        <w:t>ing</w:t>
      </w:r>
      <w:r w:rsidR="00462FFB">
        <w:rPr>
          <w:rFonts w:asciiTheme="minorHAnsi" w:hAnsiTheme="minorHAnsi" w:cstheme="minorBidi"/>
        </w:rPr>
        <w:t xml:space="preserve"> days to initiate complaint inspections by those with serious and </w:t>
      </w:r>
      <w:r w:rsidR="00FC66BD">
        <w:rPr>
          <w:rFonts w:asciiTheme="minorHAnsi" w:hAnsiTheme="minorHAnsi" w:cstheme="minorBidi"/>
        </w:rPr>
        <w:t xml:space="preserve">those with </w:t>
      </w:r>
      <w:r w:rsidR="00462FFB">
        <w:rPr>
          <w:rFonts w:asciiTheme="minorHAnsi" w:hAnsiTheme="minorHAnsi" w:cstheme="minorBidi"/>
        </w:rPr>
        <w:t>other-than-serious</w:t>
      </w:r>
      <w:r w:rsidR="00FC66BD">
        <w:rPr>
          <w:rFonts w:asciiTheme="minorHAnsi" w:hAnsiTheme="minorHAnsi" w:cstheme="minorBidi"/>
        </w:rPr>
        <w:t xml:space="preserve"> hazards</w:t>
      </w:r>
      <w:r w:rsidR="00462FFB">
        <w:rPr>
          <w:rFonts w:asciiTheme="minorHAnsi" w:hAnsiTheme="minorHAnsi" w:cstheme="minorBidi"/>
        </w:rPr>
        <w:t xml:space="preserve">.  OSHA will monitor this data through the new SAMM report in the next review period.  </w:t>
      </w:r>
    </w:p>
    <w:p w14:paraId="0D1A3F58" w14:textId="77777777" w:rsidR="00D80D79" w:rsidRDefault="00D80D79" w:rsidP="00DB72BF">
      <w:pPr>
        <w:widowControl/>
        <w:autoSpaceDE/>
        <w:autoSpaceDN/>
        <w:adjustRightInd/>
        <w:rPr>
          <w:rFonts w:cs="Calibri"/>
        </w:rPr>
      </w:pPr>
    </w:p>
    <w:p w14:paraId="419029A5" w14:textId="2CA475BB" w:rsidR="0056008A" w:rsidRDefault="0056008A" w:rsidP="00DB72BF">
      <w:pPr>
        <w:widowControl/>
        <w:autoSpaceDE/>
        <w:autoSpaceDN/>
        <w:adjustRightInd/>
        <w:rPr>
          <w:rFonts w:cs="Calibri"/>
          <w:b/>
          <w:bCs/>
        </w:rPr>
      </w:pPr>
      <w:r>
        <w:rPr>
          <w:rFonts w:cs="Calibri"/>
          <w:b/>
          <w:bCs/>
        </w:rPr>
        <w:t xml:space="preserve">SAMM </w:t>
      </w:r>
      <w:r w:rsidR="00AE21F3">
        <w:rPr>
          <w:rFonts w:cs="Calibri"/>
          <w:b/>
          <w:bCs/>
        </w:rPr>
        <w:t>4</w:t>
      </w:r>
      <w:r>
        <w:rPr>
          <w:rFonts w:cs="Calibri"/>
          <w:b/>
          <w:bCs/>
        </w:rPr>
        <w:t xml:space="preserve"> – Number of denials where entry not obtained</w:t>
      </w:r>
    </w:p>
    <w:p w14:paraId="5DBBB4E3" w14:textId="77777777" w:rsidR="00920B85" w:rsidRDefault="00920B85" w:rsidP="00DB72BF">
      <w:pPr>
        <w:widowControl/>
        <w:autoSpaceDE/>
        <w:autoSpaceDN/>
        <w:adjustRightInd/>
        <w:rPr>
          <w:rFonts w:cs="Calibri"/>
          <w:b/>
          <w:bCs/>
        </w:rPr>
      </w:pPr>
    </w:p>
    <w:p w14:paraId="6879FA74" w14:textId="0093B37C" w:rsidR="00920B85" w:rsidRPr="00AD174A" w:rsidRDefault="00F11FFD" w:rsidP="00DB72BF">
      <w:pPr>
        <w:widowControl/>
        <w:autoSpaceDE/>
        <w:autoSpaceDN/>
        <w:adjustRightInd/>
        <w:rPr>
          <w:rFonts w:cs="Calibri"/>
        </w:rPr>
      </w:pPr>
      <w:r>
        <w:rPr>
          <w:rFonts w:cs="Calibri"/>
          <w:b/>
          <w:bCs/>
        </w:rPr>
        <w:t xml:space="preserve">Discussion of </w:t>
      </w:r>
      <w:r w:rsidR="00AD174A">
        <w:rPr>
          <w:rFonts w:cs="Calibri"/>
          <w:b/>
          <w:bCs/>
        </w:rPr>
        <w:t xml:space="preserve">Oregon OSHA’s data and FRL:  </w:t>
      </w:r>
      <w:r w:rsidR="00AD174A">
        <w:rPr>
          <w:rFonts w:cs="Calibri"/>
        </w:rPr>
        <w:t xml:space="preserve">The FRL for this metric is fixed at </w:t>
      </w:r>
      <w:r w:rsidR="0082570F">
        <w:rPr>
          <w:rFonts w:cs="Calibri"/>
        </w:rPr>
        <w:t>zero</w:t>
      </w:r>
      <w:r w:rsidR="00AD174A">
        <w:rPr>
          <w:rFonts w:cs="Calibri"/>
        </w:rPr>
        <w:t xml:space="preserve"> for all state plans.  </w:t>
      </w:r>
      <w:r w:rsidR="00D36606">
        <w:rPr>
          <w:rFonts w:cs="Calibri"/>
        </w:rPr>
        <w:t xml:space="preserve">In FY 2024, </w:t>
      </w:r>
      <w:r w:rsidR="00D2757B">
        <w:rPr>
          <w:rFonts w:cs="Calibri"/>
        </w:rPr>
        <w:t>there were three denial</w:t>
      </w:r>
      <w:r w:rsidR="0015336B">
        <w:rPr>
          <w:rFonts w:cs="Calibri"/>
        </w:rPr>
        <w:t>s</w:t>
      </w:r>
      <w:r w:rsidR="00136663">
        <w:rPr>
          <w:rFonts w:cs="Calibri"/>
        </w:rPr>
        <w:t xml:space="preserve"> </w:t>
      </w:r>
      <w:r w:rsidR="00D2757B">
        <w:rPr>
          <w:rFonts w:cs="Calibri"/>
        </w:rPr>
        <w:t xml:space="preserve">where entry was not obtained.  </w:t>
      </w:r>
    </w:p>
    <w:p w14:paraId="5B917967" w14:textId="77777777" w:rsidR="00AD174A" w:rsidRDefault="00AD174A" w:rsidP="00DB72BF">
      <w:pPr>
        <w:widowControl/>
        <w:autoSpaceDE/>
        <w:autoSpaceDN/>
        <w:adjustRightInd/>
        <w:rPr>
          <w:rFonts w:cs="Calibri"/>
          <w:b/>
          <w:bCs/>
        </w:rPr>
      </w:pPr>
    </w:p>
    <w:p w14:paraId="09B9B21C" w14:textId="7A61F69D" w:rsidR="0056008A" w:rsidRDefault="00AD174A" w:rsidP="00DB72BF">
      <w:pPr>
        <w:widowControl/>
        <w:autoSpaceDE/>
        <w:autoSpaceDN/>
        <w:adjustRightInd/>
        <w:rPr>
          <w:rFonts w:cs="Calibri"/>
        </w:rPr>
      </w:pPr>
      <w:r>
        <w:rPr>
          <w:rFonts w:cs="Calibri"/>
          <w:b/>
          <w:bCs/>
        </w:rPr>
        <w:t xml:space="preserve">Explanation: </w:t>
      </w:r>
      <w:r w:rsidR="00824DED">
        <w:rPr>
          <w:rFonts w:cs="Calibri"/>
          <w:b/>
          <w:bCs/>
        </w:rPr>
        <w:t xml:space="preserve"> </w:t>
      </w:r>
      <w:r w:rsidR="00824DED">
        <w:rPr>
          <w:rFonts w:cs="Calibri"/>
        </w:rPr>
        <w:t xml:space="preserve">Oregon OSHA explained the outliers were </w:t>
      </w:r>
      <w:r w:rsidR="00AE2578">
        <w:rPr>
          <w:rFonts w:cs="Calibri"/>
        </w:rPr>
        <w:t xml:space="preserve">denial of entries where </w:t>
      </w:r>
      <w:r w:rsidR="008721B4">
        <w:rPr>
          <w:rFonts w:cs="Calibri"/>
        </w:rPr>
        <w:t xml:space="preserve">compliance officers </w:t>
      </w:r>
      <w:r w:rsidR="008367FE">
        <w:rPr>
          <w:rFonts w:cs="Calibri"/>
        </w:rPr>
        <w:t xml:space="preserve">later </w:t>
      </w:r>
      <w:r w:rsidR="00DC6B5A">
        <w:rPr>
          <w:rFonts w:cs="Calibri"/>
        </w:rPr>
        <w:t>return</w:t>
      </w:r>
      <w:r w:rsidR="00AE2578">
        <w:rPr>
          <w:rFonts w:cs="Calibri"/>
        </w:rPr>
        <w:t>ed</w:t>
      </w:r>
      <w:r w:rsidR="00DC6B5A">
        <w:rPr>
          <w:rFonts w:cs="Calibri"/>
        </w:rPr>
        <w:t xml:space="preserve"> to the worksite with </w:t>
      </w:r>
      <w:r w:rsidR="008614F2">
        <w:rPr>
          <w:rFonts w:cs="Calibri"/>
        </w:rPr>
        <w:t xml:space="preserve">a </w:t>
      </w:r>
      <w:r w:rsidR="00BA4CC0">
        <w:rPr>
          <w:rFonts w:cs="Calibri"/>
        </w:rPr>
        <w:t>warrant but</w:t>
      </w:r>
      <w:r w:rsidR="00DC6B5A">
        <w:rPr>
          <w:rFonts w:cs="Calibri"/>
        </w:rPr>
        <w:t xml:space="preserve"> were denied entry a second time.</w:t>
      </w:r>
      <w:r w:rsidR="00AE2578">
        <w:rPr>
          <w:rFonts w:cs="Calibri"/>
        </w:rPr>
        <w:t xml:space="preserve"> </w:t>
      </w:r>
      <w:r w:rsidR="008367FE">
        <w:rPr>
          <w:rFonts w:cs="Calibri"/>
        </w:rPr>
        <w:t xml:space="preserve"> In these circumstances, </w:t>
      </w:r>
      <w:r w:rsidR="00DA20D9">
        <w:rPr>
          <w:rFonts w:cs="Calibri"/>
        </w:rPr>
        <w:t>Oregon OSHA</w:t>
      </w:r>
      <w:r w:rsidR="00FD7D50">
        <w:rPr>
          <w:rFonts w:cs="Calibri"/>
        </w:rPr>
        <w:t xml:space="preserve"> </w:t>
      </w:r>
      <w:r w:rsidR="007D5B85">
        <w:rPr>
          <w:rFonts w:cs="Calibri"/>
        </w:rPr>
        <w:t>follow</w:t>
      </w:r>
      <w:r w:rsidR="00BA4CC0">
        <w:rPr>
          <w:rFonts w:cs="Calibri"/>
        </w:rPr>
        <w:t>ed</w:t>
      </w:r>
      <w:r w:rsidR="007D5B85">
        <w:rPr>
          <w:rFonts w:cs="Calibri"/>
        </w:rPr>
        <w:t xml:space="preserve"> established procedures </w:t>
      </w:r>
      <w:r w:rsidR="00DE5116">
        <w:rPr>
          <w:rFonts w:cs="Calibri"/>
        </w:rPr>
        <w:t>and</w:t>
      </w:r>
      <w:r w:rsidR="007D5B85">
        <w:rPr>
          <w:rFonts w:cs="Calibri"/>
        </w:rPr>
        <w:t xml:space="preserve"> </w:t>
      </w:r>
      <w:r w:rsidR="000757BE">
        <w:rPr>
          <w:rFonts w:cs="Calibri"/>
        </w:rPr>
        <w:t>referr</w:t>
      </w:r>
      <w:r w:rsidR="00DE5116">
        <w:rPr>
          <w:rFonts w:cs="Calibri"/>
        </w:rPr>
        <w:t>ed</w:t>
      </w:r>
      <w:r w:rsidR="000757BE">
        <w:rPr>
          <w:rFonts w:cs="Calibri"/>
        </w:rPr>
        <w:t xml:space="preserve"> the matter to the </w:t>
      </w:r>
      <w:r w:rsidR="00BB77E4">
        <w:rPr>
          <w:rFonts w:cs="Calibri"/>
        </w:rPr>
        <w:t>Department of Justice</w:t>
      </w:r>
      <w:r w:rsidR="000F4C55">
        <w:rPr>
          <w:rFonts w:cs="Calibri"/>
        </w:rPr>
        <w:t xml:space="preserve">.  </w:t>
      </w:r>
      <w:r w:rsidR="00DE5116">
        <w:rPr>
          <w:rFonts w:cs="Calibri"/>
        </w:rPr>
        <w:t>The</w:t>
      </w:r>
      <w:r w:rsidR="000757BE">
        <w:rPr>
          <w:rFonts w:cs="Calibri"/>
        </w:rPr>
        <w:t xml:space="preserve"> compliance officers </w:t>
      </w:r>
      <w:r w:rsidR="00140406">
        <w:rPr>
          <w:rFonts w:cs="Calibri"/>
        </w:rPr>
        <w:t>were</w:t>
      </w:r>
      <w:r w:rsidR="00B70FFE">
        <w:rPr>
          <w:rFonts w:cs="Calibri"/>
        </w:rPr>
        <w:t xml:space="preserve"> able to initiate an inspection at a later date.  </w:t>
      </w:r>
      <w:r w:rsidR="00CF6EF6">
        <w:rPr>
          <w:rFonts w:cs="Calibri"/>
        </w:rPr>
        <w:t xml:space="preserve">At this time, this </w:t>
      </w:r>
      <w:r w:rsidR="007B53C5">
        <w:rPr>
          <w:rFonts w:cs="Calibri"/>
        </w:rPr>
        <w:t>is</w:t>
      </w:r>
      <w:r w:rsidR="00CF6EF6">
        <w:rPr>
          <w:rFonts w:cs="Calibri"/>
        </w:rPr>
        <w:t xml:space="preserve"> not cause for concern and OSHA will continue to monitor this </w:t>
      </w:r>
      <w:r w:rsidR="001837A3">
        <w:rPr>
          <w:rFonts w:cs="Calibri"/>
        </w:rPr>
        <w:t xml:space="preserve">with Oregon OSHA. </w:t>
      </w:r>
    </w:p>
    <w:p w14:paraId="7C079EC4" w14:textId="77777777" w:rsidR="0056008A" w:rsidRDefault="0056008A" w:rsidP="00DB72BF">
      <w:pPr>
        <w:widowControl/>
        <w:autoSpaceDE/>
        <w:autoSpaceDN/>
        <w:adjustRightInd/>
        <w:rPr>
          <w:rFonts w:cs="Calibri"/>
        </w:rPr>
      </w:pPr>
    </w:p>
    <w:p w14:paraId="29356D61" w14:textId="1384E50D" w:rsidR="00D061BE" w:rsidRDefault="00D061BE" w:rsidP="00DB72BF">
      <w:pPr>
        <w:widowControl/>
        <w:autoSpaceDE/>
        <w:autoSpaceDN/>
        <w:adjustRightInd/>
        <w:rPr>
          <w:rFonts w:cs="Calibri"/>
          <w:b/>
          <w:bCs/>
        </w:rPr>
      </w:pPr>
      <w:r>
        <w:rPr>
          <w:rFonts w:cs="Calibri"/>
          <w:b/>
          <w:bCs/>
        </w:rPr>
        <w:t xml:space="preserve">SAMM 5a </w:t>
      </w:r>
      <w:r w:rsidR="0018742D">
        <w:rPr>
          <w:rFonts w:cs="Calibri"/>
          <w:b/>
          <w:bCs/>
        </w:rPr>
        <w:t>–</w:t>
      </w:r>
      <w:r>
        <w:rPr>
          <w:rFonts w:cs="Calibri"/>
          <w:b/>
          <w:bCs/>
        </w:rPr>
        <w:t xml:space="preserve"> </w:t>
      </w:r>
      <w:r w:rsidR="0018742D">
        <w:rPr>
          <w:rFonts w:cs="Calibri"/>
          <w:b/>
          <w:bCs/>
        </w:rPr>
        <w:t>Average number of violations per inspection with violations by violation type (SWRU)</w:t>
      </w:r>
    </w:p>
    <w:p w14:paraId="6998987F" w14:textId="77777777" w:rsidR="0018742D" w:rsidRDefault="0018742D" w:rsidP="00DB72BF">
      <w:pPr>
        <w:widowControl/>
        <w:autoSpaceDE/>
        <w:autoSpaceDN/>
        <w:adjustRightInd/>
        <w:rPr>
          <w:rFonts w:cs="Calibri"/>
          <w:b/>
          <w:bCs/>
        </w:rPr>
      </w:pPr>
    </w:p>
    <w:p w14:paraId="0DF12013" w14:textId="34C20A3C" w:rsidR="0018742D" w:rsidRPr="000B0917" w:rsidRDefault="0018742D" w:rsidP="00DB72BF">
      <w:pPr>
        <w:widowControl/>
        <w:autoSpaceDE/>
        <w:autoSpaceDN/>
        <w:adjustRightInd/>
        <w:rPr>
          <w:rFonts w:cs="Calibri"/>
        </w:rPr>
      </w:pPr>
      <w:r>
        <w:rPr>
          <w:rFonts w:cs="Calibri"/>
          <w:b/>
          <w:bCs/>
        </w:rPr>
        <w:t>Discussion of Oregon OSHA’s data and FRL:</w:t>
      </w:r>
      <w:r w:rsidR="000B0917">
        <w:rPr>
          <w:rFonts w:cs="Calibri"/>
          <w:b/>
          <w:bCs/>
        </w:rPr>
        <w:t xml:space="preserve">  </w:t>
      </w:r>
      <w:r w:rsidR="000B0917">
        <w:rPr>
          <w:rFonts w:cs="Calibri"/>
        </w:rPr>
        <w:t xml:space="preserve">The FRL for </w:t>
      </w:r>
      <w:r w:rsidR="00A4407A">
        <w:rPr>
          <w:rFonts w:cs="Calibri"/>
        </w:rPr>
        <w:t xml:space="preserve">the average number </w:t>
      </w:r>
      <w:r w:rsidR="00A53931">
        <w:rPr>
          <w:rFonts w:cs="Calibri"/>
        </w:rPr>
        <w:t xml:space="preserve">of </w:t>
      </w:r>
      <w:r w:rsidR="00A4407A">
        <w:rPr>
          <w:rFonts w:cs="Calibri"/>
        </w:rPr>
        <w:t xml:space="preserve">serious, willful, repeat, and unclassified </w:t>
      </w:r>
      <w:r w:rsidR="00B963A2">
        <w:rPr>
          <w:rFonts w:cs="Calibri"/>
        </w:rPr>
        <w:t xml:space="preserve">(SWRU) violations </w:t>
      </w:r>
      <w:r w:rsidR="00A03541">
        <w:rPr>
          <w:rFonts w:cs="Calibri"/>
        </w:rPr>
        <w:t xml:space="preserve">per inspection </w:t>
      </w:r>
      <w:r w:rsidR="00B963A2">
        <w:rPr>
          <w:rFonts w:cs="Calibri"/>
        </w:rPr>
        <w:t xml:space="preserve">(SAMM 5a) is </w:t>
      </w:r>
      <w:r w:rsidR="00E17525">
        <w:rPr>
          <w:rFonts w:cs="Calibri"/>
        </w:rPr>
        <w:t xml:space="preserve">+/- 20% of </w:t>
      </w:r>
      <w:r w:rsidR="00346487">
        <w:rPr>
          <w:rFonts w:cs="Calibri"/>
        </w:rPr>
        <w:t>the three-</w:t>
      </w:r>
      <w:r w:rsidR="007E50B3">
        <w:rPr>
          <w:rFonts w:cs="Calibri"/>
        </w:rPr>
        <w:t xml:space="preserve">year national average of </w:t>
      </w:r>
      <w:r w:rsidR="00E17525">
        <w:rPr>
          <w:rFonts w:cs="Calibri"/>
        </w:rPr>
        <w:t>1.74</w:t>
      </w:r>
      <w:r w:rsidR="007E50B3">
        <w:rPr>
          <w:rFonts w:cs="Calibri"/>
        </w:rPr>
        <w:t xml:space="preserve"> which provides an acceptable range of </w:t>
      </w:r>
      <w:r w:rsidR="00EB1A50">
        <w:rPr>
          <w:rFonts w:cs="Calibri"/>
        </w:rPr>
        <w:t>1.39 to 2.08.  Oregon OSHA</w:t>
      </w:r>
      <w:r w:rsidR="00F35871">
        <w:rPr>
          <w:rFonts w:cs="Calibri"/>
        </w:rPr>
        <w:t xml:space="preserve">’s average was 1.26 SWRU violations per inspection, which was below the FRL.  </w:t>
      </w:r>
    </w:p>
    <w:p w14:paraId="14F71CDD" w14:textId="77777777" w:rsidR="0018742D" w:rsidRDefault="0018742D" w:rsidP="00DB72BF">
      <w:pPr>
        <w:widowControl/>
        <w:autoSpaceDE/>
        <w:autoSpaceDN/>
        <w:adjustRightInd/>
        <w:rPr>
          <w:rFonts w:cs="Calibri"/>
          <w:b/>
          <w:bCs/>
        </w:rPr>
      </w:pPr>
    </w:p>
    <w:p w14:paraId="1EDC3998" w14:textId="2ED783E4" w:rsidR="00D061BE" w:rsidRDefault="0018742D" w:rsidP="00DB72BF">
      <w:pPr>
        <w:widowControl/>
        <w:autoSpaceDE/>
        <w:autoSpaceDN/>
        <w:adjustRightInd/>
        <w:rPr>
          <w:rFonts w:cs="Calibri"/>
          <w:b/>
          <w:bCs/>
        </w:rPr>
      </w:pPr>
      <w:r>
        <w:rPr>
          <w:rFonts w:cs="Calibri"/>
          <w:b/>
          <w:bCs/>
        </w:rPr>
        <w:t>Explanation:</w:t>
      </w:r>
      <w:r w:rsidR="00D9746D">
        <w:rPr>
          <w:rFonts w:cs="Calibri"/>
          <w:b/>
          <w:bCs/>
        </w:rPr>
        <w:t xml:space="preserve">  </w:t>
      </w:r>
      <w:r w:rsidR="0045510D">
        <w:rPr>
          <w:rFonts w:cs="Calibri"/>
        </w:rPr>
        <w:t xml:space="preserve">Oregon’s SWRU rate decreased from </w:t>
      </w:r>
      <w:r w:rsidR="00E810C0">
        <w:rPr>
          <w:rFonts w:cs="Calibri"/>
        </w:rPr>
        <w:t xml:space="preserve">1.45 the previous review period and could </w:t>
      </w:r>
      <w:r w:rsidR="00A34578">
        <w:rPr>
          <w:rFonts w:cs="Calibri"/>
        </w:rPr>
        <w:t xml:space="preserve">potentially be affected </w:t>
      </w:r>
      <w:r w:rsidR="0060194A">
        <w:rPr>
          <w:rFonts w:cs="Calibri"/>
        </w:rPr>
        <w:t xml:space="preserve">a variety of factors.  </w:t>
      </w:r>
      <w:r w:rsidR="0036498E">
        <w:rPr>
          <w:rFonts w:cs="Calibri"/>
        </w:rPr>
        <w:t xml:space="preserve">In FY 2024, </w:t>
      </w:r>
      <w:r w:rsidR="002909C9">
        <w:rPr>
          <w:rFonts w:cs="Calibri"/>
        </w:rPr>
        <w:t>un</w:t>
      </w:r>
      <w:r w:rsidR="00AE0BFB">
        <w:rPr>
          <w:rFonts w:cs="Calibri"/>
        </w:rPr>
        <w:t>programmed</w:t>
      </w:r>
      <w:r w:rsidR="009F0900">
        <w:rPr>
          <w:rFonts w:cs="Calibri"/>
        </w:rPr>
        <w:t xml:space="preserve"> inspections</w:t>
      </w:r>
      <w:r w:rsidR="0036498E">
        <w:rPr>
          <w:rFonts w:cs="Calibri"/>
        </w:rPr>
        <w:t xml:space="preserve"> were </w:t>
      </w:r>
      <w:r w:rsidR="002909C9">
        <w:rPr>
          <w:rFonts w:cs="Calibri"/>
        </w:rPr>
        <w:t>more</w:t>
      </w:r>
      <w:r w:rsidR="0036498E">
        <w:rPr>
          <w:rFonts w:cs="Calibri"/>
        </w:rPr>
        <w:t xml:space="preserve"> prevalent</w:t>
      </w:r>
      <w:r w:rsidR="005A3579">
        <w:rPr>
          <w:rFonts w:cs="Calibri"/>
        </w:rPr>
        <w:t xml:space="preserve"> and</w:t>
      </w:r>
      <w:r w:rsidR="009F0900">
        <w:rPr>
          <w:rFonts w:cs="Calibri"/>
        </w:rPr>
        <w:t xml:space="preserve"> may result in</w:t>
      </w:r>
      <w:r w:rsidR="00FB61A1">
        <w:rPr>
          <w:rFonts w:cs="Calibri"/>
        </w:rPr>
        <w:t xml:space="preserve"> </w:t>
      </w:r>
      <w:r w:rsidR="00370807">
        <w:rPr>
          <w:rFonts w:cs="Calibri"/>
        </w:rPr>
        <w:t>fewer</w:t>
      </w:r>
      <w:r w:rsidR="00FB61A1">
        <w:rPr>
          <w:rFonts w:cs="Calibri"/>
        </w:rPr>
        <w:t xml:space="preserve"> violations</w:t>
      </w:r>
      <w:r w:rsidR="009F0900">
        <w:rPr>
          <w:rFonts w:cs="Calibri"/>
        </w:rPr>
        <w:t xml:space="preserve"> </w:t>
      </w:r>
      <w:r w:rsidR="0036498E">
        <w:rPr>
          <w:rFonts w:cs="Calibri"/>
        </w:rPr>
        <w:t xml:space="preserve">issued </w:t>
      </w:r>
      <w:r w:rsidR="009F0900">
        <w:rPr>
          <w:rFonts w:cs="Calibri"/>
        </w:rPr>
        <w:t>compared to a comprehensive</w:t>
      </w:r>
      <w:r w:rsidR="005A3579">
        <w:rPr>
          <w:rFonts w:cs="Calibri"/>
        </w:rPr>
        <w:t xml:space="preserve"> or</w:t>
      </w:r>
      <w:r w:rsidR="00B57B9C">
        <w:rPr>
          <w:rFonts w:cs="Calibri"/>
        </w:rPr>
        <w:t xml:space="preserve"> programmed </w:t>
      </w:r>
      <w:r w:rsidR="009F0900">
        <w:rPr>
          <w:rFonts w:cs="Calibri"/>
        </w:rPr>
        <w:t xml:space="preserve">inspection. </w:t>
      </w:r>
      <w:r w:rsidR="00FB61A1">
        <w:rPr>
          <w:rFonts w:cs="Calibri"/>
        </w:rPr>
        <w:t xml:space="preserve"> According to the SIR, Oregon OSHA conducted 49.33% of their safety inspections and </w:t>
      </w:r>
      <w:r w:rsidR="002B6FCF">
        <w:rPr>
          <w:rFonts w:cs="Calibri"/>
        </w:rPr>
        <w:t xml:space="preserve">29.65% of their health inspections as programmed (SIR </w:t>
      </w:r>
      <w:r w:rsidR="00C63F18">
        <w:rPr>
          <w:rFonts w:cs="Calibri"/>
        </w:rPr>
        <w:t>1c)</w:t>
      </w:r>
      <w:r w:rsidR="002B6FCF">
        <w:rPr>
          <w:rFonts w:cs="Calibri"/>
        </w:rPr>
        <w:t xml:space="preserve">.  </w:t>
      </w:r>
      <w:r w:rsidR="006F3106">
        <w:rPr>
          <w:rFonts w:cs="Calibri"/>
        </w:rPr>
        <w:t xml:space="preserve">Oregon OSHA is looking at </w:t>
      </w:r>
      <w:r w:rsidR="004F531F">
        <w:rPr>
          <w:rFonts w:cs="Calibri"/>
        </w:rPr>
        <w:t>increasing</w:t>
      </w:r>
      <w:r w:rsidR="006F3106">
        <w:rPr>
          <w:rFonts w:cs="Calibri"/>
        </w:rPr>
        <w:t xml:space="preserve"> the number of comprehensive inspections and revising </w:t>
      </w:r>
      <w:r w:rsidR="004F531F">
        <w:rPr>
          <w:rFonts w:cs="Calibri"/>
        </w:rPr>
        <w:t>complaint-handling procedures</w:t>
      </w:r>
      <w:r w:rsidR="0036498E">
        <w:rPr>
          <w:rFonts w:cs="Calibri"/>
        </w:rPr>
        <w:t xml:space="preserve"> to address this metric</w:t>
      </w:r>
      <w:r w:rsidR="004F531F">
        <w:rPr>
          <w:rFonts w:cs="Calibri"/>
        </w:rPr>
        <w:t xml:space="preserve">.  </w:t>
      </w:r>
      <w:r w:rsidR="003C7D58">
        <w:rPr>
          <w:rFonts w:cs="Calibri"/>
        </w:rPr>
        <w:t xml:space="preserve">In addition, management </w:t>
      </w:r>
      <w:r w:rsidR="007F670C">
        <w:rPr>
          <w:rFonts w:cs="Calibri"/>
        </w:rPr>
        <w:t xml:space="preserve">is reviewing inspection files to ensure violations are </w:t>
      </w:r>
      <w:r w:rsidR="00C53101">
        <w:rPr>
          <w:rFonts w:cs="Calibri"/>
        </w:rPr>
        <w:t xml:space="preserve">cited and </w:t>
      </w:r>
      <w:r w:rsidR="007F670C">
        <w:rPr>
          <w:rFonts w:cs="Calibri"/>
        </w:rPr>
        <w:t xml:space="preserve">classified appropriately based on the severity of injury that could result from a hazardous condition.  </w:t>
      </w:r>
      <w:r w:rsidR="00486DF3">
        <w:rPr>
          <w:rFonts w:cs="Calibri"/>
        </w:rPr>
        <w:t xml:space="preserve">At this time, this is not cause for concern and will continue to be monitored by OSHA.  </w:t>
      </w:r>
    </w:p>
    <w:p w14:paraId="519DBFAE" w14:textId="77777777" w:rsidR="00762D12" w:rsidRDefault="00762D12" w:rsidP="00DB72BF">
      <w:pPr>
        <w:widowControl/>
        <w:autoSpaceDE/>
        <w:autoSpaceDN/>
        <w:adjustRightInd/>
        <w:rPr>
          <w:rFonts w:cs="Calibri"/>
          <w:b/>
          <w:bCs/>
        </w:rPr>
      </w:pPr>
    </w:p>
    <w:p w14:paraId="19348AE1" w14:textId="7885C05E" w:rsidR="00762D12" w:rsidRDefault="00762D12" w:rsidP="00762D12">
      <w:pPr>
        <w:widowControl/>
        <w:autoSpaceDE/>
        <w:autoSpaceDN/>
        <w:adjustRightInd/>
        <w:rPr>
          <w:rFonts w:cs="Calibri"/>
          <w:b/>
          <w:bCs/>
        </w:rPr>
      </w:pPr>
      <w:r>
        <w:rPr>
          <w:rFonts w:cs="Calibri"/>
          <w:b/>
          <w:bCs/>
        </w:rPr>
        <w:t>SAMM 5b – Average number of violations per inspection with violations by violation type (other)</w:t>
      </w:r>
    </w:p>
    <w:p w14:paraId="0FC09815" w14:textId="77777777" w:rsidR="00762D12" w:rsidRDefault="00762D12" w:rsidP="00762D12">
      <w:pPr>
        <w:widowControl/>
        <w:autoSpaceDE/>
        <w:autoSpaceDN/>
        <w:adjustRightInd/>
        <w:rPr>
          <w:rFonts w:cs="Calibri"/>
          <w:b/>
          <w:bCs/>
        </w:rPr>
      </w:pPr>
    </w:p>
    <w:p w14:paraId="77B3E20A" w14:textId="1F0046E0" w:rsidR="006321B1" w:rsidRPr="000B0917" w:rsidRDefault="00762D12" w:rsidP="006321B1">
      <w:pPr>
        <w:widowControl/>
        <w:autoSpaceDE/>
        <w:autoSpaceDN/>
        <w:adjustRightInd/>
        <w:rPr>
          <w:rFonts w:cs="Calibri"/>
        </w:rPr>
      </w:pPr>
      <w:r>
        <w:rPr>
          <w:rFonts w:cs="Calibri"/>
          <w:b/>
          <w:bCs/>
        </w:rPr>
        <w:t>Discussion of Oregon OSHA’s data and FRL:</w:t>
      </w:r>
      <w:r w:rsidR="006321B1">
        <w:rPr>
          <w:rFonts w:cs="Calibri"/>
          <w:b/>
          <w:bCs/>
        </w:rPr>
        <w:t xml:space="preserve">  </w:t>
      </w:r>
      <w:r w:rsidR="006321B1">
        <w:rPr>
          <w:rFonts w:cs="Calibri"/>
        </w:rPr>
        <w:t xml:space="preserve">The FRL for the average number of other-than-serious violations </w:t>
      </w:r>
      <w:r w:rsidR="00777E07">
        <w:rPr>
          <w:rFonts w:cs="Calibri"/>
        </w:rPr>
        <w:t xml:space="preserve">per inspection </w:t>
      </w:r>
      <w:r w:rsidR="006321B1">
        <w:rPr>
          <w:rFonts w:cs="Calibri"/>
        </w:rPr>
        <w:t xml:space="preserve">(SAMM 5b) is +/- 20% of the three-year national average of </w:t>
      </w:r>
      <w:r w:rsidR="00D11FF2">
        <w:rPr>
          <w:rFonts w:cs="Calibri"/>
        </w:rPr>
        <w:t>0.94</w:t>
      </w:r>
      <w:r w:rsidR="006321B1">
        <w:rPr>
          <w:rFonts w:cs="Calibri"/>
        </w:rPr>
        <w:t xml:space="preserve"> which provides an acceptable range of </w:t>
      </w:r>
      <w:r w:rsidR="00D11FF2">
        <w:rPr>
          <w:rFonts w:cs="Calibri"/>
        </w:rPr>
        <w:t>0.75 to 1.12</w:t>
      </w:r>
      <w:r w:rsidR="006321B1">
        <w:rPr>
          <w:rFonts w:cs="Calibri"/>
        </w:rPr>
        <w:t>.  Oregon OSHA’s average was 1.</w:t>
      </w:r>
      <w:r w:rsidR="00D11FF2">
        <w:rPr>
          <w:rFonts w:cs="Calibri"/>
        </w:rPr>
        <w:t>16</w:t>
      </w:r>
      <w:r w:rsidR="006321B1">
        <w:rPr>
          <w:rFonts w:cs="Calibri"/>
        </w:rPr>
        <w:t xml:space="preserve"> </w:t>
      </w:r>
      <w:r w:rsidR="00D11FF2">
        <w:rPr>
          <w:rFonts w:cs="Calibri"/>
        </w:rPr>
        <w:t>other-than-serious</w:t>
      </w:r>
      <w:r w:rsidR="006321B1">
        <w:rPr>
          <w:rFonts w:cs="Calibri"/>
        </w:rPr>
        <w:t xml:space="preserve"> violations per inspection, which was </w:t>
      </w:r>
      <w:r w:rsidR="00570FE8">
        <w:rPr>
          <w:rFonts w:cs="Calibri"/>
        </w:rPr>
        <w:t>above</w:t>
      </w:r>
      <w:r w:rsidR="006321B1">
        <w:rPr>
          <w:rFonts w:cs="Calibri"/>
        </w:rPr>
        <w:t xml:space="preserve"> the FRL.  </w:t>
      </w:r>
    </w:p>
    <w:p w14:paraId="41300234" w14:textId="77777777" w:rsidR="00762D12" w:rsidRDefault="00762D12" w:rsidP="00762D12">
      <w:pPr>
        <w:widowControl/>
        <w:autoSpaceDE/>
        <w:autoSpaceDN/>
        <w:adjustRightInd/>
        <w:rPr>
          <w:rFonts w:cs="Calibri"/>
          <w:b/>
          <w:bCs/>
        </w:rPr>
      </w:pPr>
    </w:p>
    <w:p w14:paraId="69D16313" w14:textId="74A19118" w:rsidR="00762D12" w:rsidRPr="0072456A" w:rsidRDefault="00762D12" w:rsidP="00762D12">
      <w:pPr>
        <w:widowControl/>
        <w:autoSpaceDE/>
        <w:autoSpaceDN/>
        <w:adjustRightInd/>
        <w:rPr>
          <w:rFonts w:cs="Calibri"/>
        </w:rPr>
      </w:pPr>
      <w:r>
        <w:rPr>
          <w:rFonts w:cs="Calibri"/>
          <w:b/>
          <w:bCs/>
        </w:rPr>
        <w:t>Explanation:</w:t>
      </w:r>
      <w:r w:rsidR="00754EAC">
        <w:rPr>
          <w:rFonts w:cs="Calibri"/>
          <w:b/>
          <w:bCs/>
        </w:rPr>
        <w:t xml:space="preserve">  </w:t>
      </w:r>
      <w:r w:rsidR="00705FBC">
        <w:rPr>
          <w:rFonts w:cs="Calibri"/>
        </w:rPr>
        <w:t xml:space="preserve">Oregon’s other-than-serious violation rate per inspection slightly increased from 1.06 in FY 2023.  </w:t>
      </w:r>
      <w:r w:rsidR="0072456A">
        <w:rPr>
          <w:rFonts w:cs="Calibri"/>
        </w:rPr>
        <w:t xml:space="preserve">Similar to </w:t>
      </w:r>
      <w:r w:rsidR="008B08E2">
        <w:rPr>
          <w:rFonts w:cs="Calibri"/>
        </w:rPr>
        <w:t>SAMM 5a</w:t>
      </w:r>
      <w:r w:rsidR="004B3CA9">
        <w:rPr>
          <w:rFonts w:cs="Calibri"/>
        </w:rPr>
        <w:t xml:space="preserve">, </w:t>
      </w:r>
      <w:r w:rsidR="00CF3977">
        <w:rPr>
          <w:rFonts w:cs="Calibri"/>
        </w:rPr>
        <w:t>m</w:t>
      </w:r>
      <w:r w:rsidR="00E22D38">
        <w:rPr>
          <w:rFonts w:cs="Calibri"/>
        </w:rPr>
        <w:t>anagement is</w:t>
      </w:r>
      <w:r w:rsidR="00FF34D9">
        <w:rPr>
          <w:rFonts w:cs="Calibri"/>
        </w:rPr>
        <w:t xml:space="preserve"> reviewing inspection files </w:t>
      </w:r>
      <w:r w:rsidR="00C53101">
        <w:rPr>
          <w:rFonts w:cs="Calibri"/>
        </w:rPr>
        <w:t xml:space="preserve">to ensure violations are cited and classified appropriately based on the severity of injury that could result from a hazardous condition. </w:t>
      </w:r>
      <w:r w:rsidR="002B586D">
        <w:rPr>
          <w:rFonts w:cs="Calibri"/>
        </w:rPr>
        <w:t xml:space="preserve"> In addition, Oregon </w:t>
      </w:r>
      <w:r w:rsidR="00F16458">
        <w:rPr>
          <w:rFonts w:cs="Calibri"/>
        </w:rPr>
        <w:t>may</w:t>
      </w:r>
      <w:r w:rsidR="00121248">
        <w:rPr>
          <w:rFonts w:cs="Calibri"/>
        </w:rPr>
        <w:t xml:space="preserve"> issue violations for unique, state-specific standards (e.g., </w:t>
      </w:r>
      <w:r w:rsidR="00083F2B">
        <w:rPr>
          <w:rFonts w:cs="Calibri"/>
        </w:rPr>
        <w:t xml:space="preserve">individual provisions of the </w:t>
      </w:r>
      <w:r w:rsidR="00084092">
        <w:rPr>
          <w:rFonts w:cs="Calibri"/>
        </w:rPr>
        <w:t>S</w:t>
      </w:r>
      <w:r w:rsidR="00F16458">
        <w:rPr>
          <w:rFonts w:cs="Calibri"/>
        </w:rPr>
        <w:t xml:space="preserve">afety </w:t>
      </w:r>
      <w:r w:rsidR="00084092">
        <w:rPr>
          <w:rFonts w:cs="Calibri"/>
        </w:rPr>
        <w:t>C</w:t>
      </w:r>
      <w:r w:rsidR="00F16458">
        <w:rPr>
          <w:rFonts w:cs="Calibri"/>
        </w:rPr>
        <w:t>ommittees</w:t>
      </w:r>
      <w:r w:rsidR="00084092">
        <w:rPr>
          <w:rFonts w:cs="Calibri"/>
        </w:rPr>
        <w:t xml:space="preserve"> and Safety Meetings</w:t>
      </w:r>
      <w:r w:rsidR="00083F2B">
        <w:rPr>
          <w:rFonts w:cs="Calibri"/>
        </w:rPr>
        <w:t xml:space="preserve"> requirements</w:t>
      </w:r>
      <w:r w:rsidR="00F16458">
        <w:rPr>
          <w:rFonts w:cs="Calibri"/>
        </w:rPr>
        <w:t>) that are typically not cited as serious and can increase this a</w:t>
      </w:r>
      <w:r w:rsidR="005C3B30">
        <w:rPr>
          <w:rFonts w:cs="Calibri"/>
        </w:rPr>
        <w:t>verage</w:t>
      </w:r>
      <w:r w:rsidR="00F16458">
        <w:rPr>
          <w:rFonts w:cs="Calibri"/>
        </w:rPr>
        <w:t xml:space="preserve">.  </w:t>
      </w:r>
      <w:r w:rsidR="0005055A">
        <w:rPr>
          <w:rFonts w:cs="Calibri"/>
        </w:rPr>
        <w:t>A</w:t>
      </w:r>
      <w:r w:rsidR="002C0818">
        <w:rPr>
          <w:rFonts w:cs="Calibri"/>
        </w:rPr>
        <w:t xml:space="preserve">t this time, </w:t>
      </w:r>
      <w:r w:rsidR="00CD5607">
        <w:rPr>
          <w:rFonts w:cs="Calibri"/>
        </w:rPr>
        <w:t>this is not cause for concern and will continue to be monitored by OSHA.</w:t>
      </w:r>
    </w:p>
    <w:p w14:paraId="67573FB9" w14:textId="77777777" w:rsidR="00762D12" w:rsidRDefault="00762D12" w:rsidP="00DB72BF">
      <w:pPr>
        <w:widowControl/>
        <w:autoSpaceDE/>
        <w:autoSpaceDN/>
        <w:adjustRightInd/>
        <w:rPr>
          <w:rFonts w:cs="Calibri"/>
          <w:b/>
          <w:bCs/>
        </w:rPr>
      </w:pPr>
    </w:p>
    <w:p w14:paraId="5E891396" w14:textId="66DEA9AF" w:rsidR="000E2FEF" w:rsidRDefault="000E2FEF" w:rsidP="00DB72BF">
      <w:pPr>
        <w:widowControl/>
        <w:autoSpaceDE/>
        <w:autoSpaceDN/>
        <w:adjustRightInd/>
        <w:rPr>
          <w:rFonts w:cs="Calibri"/>
          <w:b/>
          <w:bCs/>
        </w:rPr>
      </w:pPr>
      <w:r>
        <w:rPr>
          <w:rFonts w:cs="Calibri"/>
          <w:b/>
          <w:bCs/>
        </w:rPr>
        <w:t>SAMM 6 – Percent of total inspections in state and local government workplaces</w:t>
      </w:r>
    </w:p>
    <w:p w14:paraId="179D0F17" w14:textId="77777777" w:rsidR="009A76D9" w:rsidRDefault="009A76D9" w:rsidP="00DB72BF">
      <w:pPr>
        <w:widowControl/>
        <w:autoSpaceDE/>
        <w:autoSpaceDN/>
        <w:adjustRightInd/>
        <w:rPr>
          <w:rFonts w:cs="Calibri"/>
          <w:b/>
          <w:bCs/>
        </w:rPr>
      </w:pPr>
    </w:p>
    <w:p w14:paraId="05509087" w14:textId="228EB727" w:rsidR="009A76D9" w:rsidRPr="00AB57BB" w:rsidRDefault="009A76D9" w:rsidP="00DB72BF">
      <w:pPr>
        <w:widowControl/>
        <w:autoSpaceDE/>
        <w:autoSpaceDN/>
        <w:adjustRightInd/>
        <w:rPr>
          <w:rFonts w:cs="Calibri"/>
        </w:rPr>
      </w:pPr>
      <w:r>
        <w:rPr>
          <w:rFonts w:cs="Calibri"/>
          <w:b/>
          <w:bCs/>
        </w:rPr>
        <w:t>Discussion of Oregon OSHA’s data and FRL:</w:t>
      </w:r>
      <w:r w:rsidR="00AB57BB">
        <w:rPr>
          <w:rFonts w:cs="Calibri"/>
          <w:b/>
          <w:bCs/>
        </w:rPr>
        <w:t xml:space="preserve">  </w:t>
      </w:r>
      <w:r w:rsidR="00D57E42">
        <w:rPr>
          <w:rFonts w:cs="Calibri"/>
        </w:rPr>
        <w:t xml:space="preserve">The FRL for the percent of total inspections in state and local government workplaces (SAMM 6) is +/- 5% </w:t>
      </w:r>
      <w:r w:rsidR="007125BA">
        <w:rPr>
          <w:rFonts w:cs="Calibri"/>
        </w:rPr>
        <w:t>of</w:t>
      </w:r>
      <w:r w:rsidR="00D57E42">
        <w:rPr>
          <w:rFonts w:cs="Calibri"/>
        </w:rPr>
        <w:t xml:space="preserve"> </w:t>
      </w:r>
      <w:r w:rsidR="007125BA">
        <w:rPr>
          <w:rFonts w:cs="Calibri"/>
        </w:rPr>
        <w:t xml:space="preserve">2.86%, which </w:t>
      </w:r>
      <w:r w:rsidR="004E59A7">
        <w:rPr>
          <w:rFonts w:cs="Calibri"/>
        </w:rPr>
        <w:t xml:space="preserve">was negotiated between OSHA and Oregon OSHA through the </w:t>
      </w:r>
      <w:proofErr w:type="gramStart"/>
      <w:r w:rsidR="004E59A7">
        <w:rPr>
          <w:rFonts w:cs="Calibri"/>
        </w:rPr>
        <w:t>23(g) grant</w:t>
      </w:r>
      <w:proofErr w:type="gramEnd"/>
      <w:r w:rsidR="004E59A7">
        <w:rPr>
          <w:rFonts w:cs="Calibri"/>
        </w:rPr>
        <w:t xml:space="preserve"> application</w:t>
      </w:r>
      <w:r w:rsidR="007125BA">
        <w:rPr>
          <w:rFonts w:cs="Calibri"/>
        </w:rPr>
        <w:t xml:space="preserve"> and provides an acceptable range of </w:t>
      </w:r>
      <w:r w:rsidR="0033051C">
        <w:rPr>
          <w:rFonts w:cs="Calibri"/>
        </w:rPr>
        <w:t>2.71% to 3.00%</w:t>
      </w:r>
      <w:r w:rsidR="004E59A7">
        <w:rPr>
          <w:rFonts w:cs="Calibri"/>
        </w:rPr>
        <w:t xml:space="preserve">. </w:t>
      </w:r>
      <w:r w:rsidR="008F3164">
        <w:rPr>
          <w:rFonts w:cs="Calibri"/>
        </w:rPr>
        <w:t xml:space="preserve"> </w:t>
      </w:r>
      <w:r w:rsidR="00BA7CBF">
        <w:rPr>
          <w:rFonts w:cs="Calibri"/>
        </w:rPr>
        <w:t xml:space="preserve">According to the SAMM report, </w:t>
      </w:r>
      <w:r w:rsidR="008F3164">
        <w:rPr>
          <w:rFonts w:cs="Calibri"/>
        </w:rPr>
        <w:t xml:space="preserve">Oregon conducted </w:t>
      </w:r>
      <w:r w:rsidR="00BA7CBF">
        <w:rPr>
          <w:rFonts w:cs="Calibri"/>
        </w:rPr>
        <w:t>105 of 3,199 (</w:t>
      </w:r>
      <w:r w:rsidR="009523D1">
        <w:rPr>
          <w:rFonts w:cs="Calibri"/>
        </w:rPr>
        <w:t>3.28%</w:t>
      </w:r>
      <w:r w:rsidR="00BA7CBF">
        <w:rPr>
          <w:rFonts w:cs="Calibri"/>
        </w:rPr>
        <w:t>) inspections in state and local government workplaces</w:t>
      </w:r>
      <w:r w:rsidR="0033051C">
        <w:rPr>
          <w:rFonts w:cs="Calibri"/>
        </w:rPr>
        <w:t>, exceeding the FRL</w:t>
      </w:r>
      <w:r w:rsidR="00D57E42">
        <w:rPr>
          <w:rFonts w:cs="Calibri"/>
        </w:rPr>
        <w:t xml:space="preserve">.  </w:t>
      </w:r>
    </w:p>
    <w:p w14:paraId="5E546D18" w14:textId="77777777" w:rsidR="009A76D9" w:rsidRDefault="009A76D9" w:rsidP="00DB72BF">
      <w:pPr>
        <w:widowControl/>
        <w:autoSpaceDE/>
        <w:autoSpaceDN/>
        <w:adjustRightInd/>
        <w:rPr>
          <w:rFonts w:cs="Calibri"/>
          <w:b/>
          <w:bCs/>
        </w:rPr>
      </w:pPr>
    </w:p>
    <w:p w14:paraId="18E13D97" w14:textId="3D18F0E8" w:rsidR="009A76D9" w:rsidRPr="00A4537D" w:rsidRDefault="009A76D9" w:rsidP="00DB72BF">
      <w:pPr>
        <w:widowControl/>
        <w:autoSpaceDE/>
        <w:autoSpaceDN/>
        <w:adjustRightInd/>
        <w:rPr>
          <w:rFonts w:cs="Calibri"/>
        </w:rPr>
      </w:pPr>
      <w:r>
        <w:rPr>
          <w:rFonts w:cs="Calibri"/>
          <w:b/>
          <w:bCs/>
        </w:rPr>
        <w:t>Explanation:</w:t>
      </w:r>
      <w:r w:rsidR="00A4537D">
        <w:rPr>
          <w:rFonts w:cs="Calibri"/>
          <w:b/>
          <w:bCs/>
        </w:rPr>
        <w:t xml:space="preserve">  </w:t>
      </w:r>
      <w:r w:rsidR="00A4537D">
        <w:rPr>
          <w:rFonts w:cs="Calibri"/>
        </w:rPr>
        <w:t>Oregon projected 70 inspections in state and local government agency workplaces</w:t>
      </w:r>
      <w:r w:rsidR="0033051C">
        <w:rPr>
          <w:rFonts w:cs="Calibri"/>
        </w:rPr>
        <w:t xml:space="preserve">, </w:t>
      </w:r>
      <w:r w:rsidR="003A37C8">
        <w:rPr>
          <w:rFonts w:cs="Calibri"/>
        </w:rPr>
        <w:t xml:space="preserve">27 safety and 43 health.  </w:t>
      </w:r>
      <w:r w:rsidR="005D10A7">
        <w:rPr>
          <w:rFonts w:cs="Calibri"/>
        </w:rPr>
        <w:t xml:space="preserve">Oregon exceeded </w:t>
      </w:r>
      <w:r w:rsidR="0059462F">
        <w:rPr>
          <w:rFonts w:cs="Calibri"/>
        </w:rPr>
        <w:t>their</w:t>
      </w:r>
      <w:r w:rsidR="005D10A7">
        <w:rPr>
          <w:rFonts w:cs="Calibri"/>
        </w:rPr>
        <w:t xml:space="preserve"> </w:t>
      </w:r>
      <w:r w:rsidR="005F49FD">
        <w:rPr>
          <w:rFonts w:cs="Calibri"/>
        </w:rPr>
        <w:t xml:space="preserve">annual </w:t>
      </w:r>
      <w:r w:rsidR="009B47C9">
        <w:rPr>
          <w:rFonts w:cs="Calibri"/>
        </w:rPr>
        <w:t>inspection goals, including in state and local government agency workplaces</w:t>
      </w:r>
      <w:r w:rsidR="005D10A7">
        <w:rPr>
          <w:rFonts w:cs="Calibri"/>
        </w:rPr>
        <w:t>, which was not cause for concern</w:t>
      </w:r>
      <w:r w:rsidR="0059462F">
        <w:rPr>
          <w:rFonts w:cs="Calibri"/>
        </w:rPr>
        <w:t xml:space="preserve">. </w:t>
      </w:r>
    </w:p>
    <w:p w14:paraId="65D18A79" w14:textId="77777777" w:rsidR="009A76D9" w:rsidRDefault="009A76D9" w:rsidP="00DB72BF">
      <w:pPr>
        <w:widowControl/>
        <w:autoSpaceDE/>
        <w:autoSpaceDN/>
        <w:adjustRightInd/>
        <w:rPr>
          <w:rFonts w:cs="Calibri"/>
          <w:b/>
          <w:bCs/>
        </w:rPr>
      </w:pPr>
    </w:p>
    <w:p w14:paraId="2177B52F" w14:textId="5ADAF5F3" w:rsidR="009A76D9" w:rsidRDefault="009A76D9" w:rsidP="00DB72BF">
      <w:pPr>
        <w:widowControl/>
        <w:autoSpaceDE/>
        <w:autoSpaceDN/>
        <w:adjustRightInd/>
        <w:rPr>
          <w:rFonts w:cs="Calibri"/>
          <w:b/>
          <w:bCs/>
        </w:rPr>
      </w:pPr>
      <w:r>
        <w:rPr>
          <w:rFonts w:cs="Calibri"/>
          <w:b/>
          <w:bCs/>
        </w:rPr>
        <w:t>SAMM 7a – Planned v. actual inspections (safety)</w:t>
      </w:r>
    </w:p>
    <w:p w14:paraId="57990D78" w14:textId="77777777" w:rsidR="005F49FD" w:rsidRDefault="005F49FD" w:rsidP="00DB72BF">
      <w:pPr>
        <w:widowControl/>
        <w:autoSpaceDE/>
        <w:autoSpaceDN/>
        <w:adjustRightInd/>
        <w:rPr>
          <w:rFonts w:cs="Calibri"/>
          <w:b/>
          <w:bCs/>
        </w:rPr>
      </w:pPr>
    </w:p>
    <w:p w14:paraId="6FAECBEA" w14:textId="0AF9831B" w:rsidR="00403C8A" w:rsidRDefault="00403C8A" w:rsidP="00403C8A">
      <w:pPr>
        <w:widowControl/>
        <w:autoSpaceDE/>
        <w:autoSpaceDN/>
        <w:adjustRightInd/>
        <w:rPr>
          <w:rFonts w:cs="Calibri"/>
          <w:b/>
          <w:bCs/>
        </w:rPr>
      </w:pPr>
      <w:r>
        <w:rPr>
          <w:rFonts w:cs="Calibri"/>
          <w:b/>
          <w:bCs/>
        </w:rPr>
        <w:t>Discussion of Oregon OSHA’s data and FRL:</w:t>
      </w:r>
      <w:r w:rsidR="005F49FD">
        <w:rPr>
          <w:rFonts w:cs="Calibri"/>
          <w:b/>
          <w:bCs/>
        </w:rPr>
        <w:t xml:space="preserve">  </w:t>
      </w:r>
      <w:r w:rsidR="005F49FD">
        <w:rPr>
          <w:rFonts w:cs="Calibri"/>
        </w:rPr>
        <w:t xml:space="preserve">The FRL for </w:t>
      </w:r>
      <w:r w:rsidR="00F16F31">
        <w:rPr>
          <w:rFonts w:cs="Calibri"/>
        </w:rPr>
        <w:t>planned versus actual safety inspections</w:t>
      </w:r>
      <w:r w:rsidR="005F49FD">
        <w:rPr>
          <w:rFonts w:cs="Calibri"/>
        </w:rPr>
        <w:t xml:space="preserve"> (SAMM </w:t>
      </w:r>
      <w:r w:rsidR="00F16F31">
        <w:rPr>
          <w:rFonts w:cs="Calibri"/>
        </w:rPr>
        <w:t>7a</w:t>
      </w:r>
      <w:r w:rsidR="005F49FD">
        <w:rPr>
          <w:rFonts w:cs="Calibri"/>
        </w:rPr>
        <w:t xml:space="preserve">) is +/- 5% of </w:t>
      </w:r>
      <w:r w:rsidR="00E123D0">
        <w:rPr>
          <w:rFonts w:cs="Calibri"/>
        </w:rPr>
        <w:t>1,800</w:t>
      </w:r>
      <w:r w:rsidR="005F49FD">
        <w:rPr>
          <w:rFonts w:cs="Calibri"/>
        </w:rPr>
        <w:t xml:space="preserve">, which was negotiated between OSHA and Oregon OSHA through the </w:t>
      </w:r>
      <w:proofErr w:type="gramStart"/>
      <w:r w:rsidR="005F49FD">
        <w:rPr>
          <w:rFonts w:cs="Calibri"/>
        </w:rPr>
        <w:t>23(g) grant</w:t>
      </w:r>
      <w:proofErr w:type="gramEnd"/>
      <w:r w:rsidR="005F49FD">
        <w:rPr>
          <w:rFonts w:cs="Calibri"/>
        </w:rPr>
        <w:t xml:space="preserve"> application and </w:t>
      </w:r>
      <w:r w:rsidR="005F49FD" w:rsidRPr="60C5FEF4">
        <w:rPr>
          <w:rFonts w:cs="Calibri"/>
        </w:rPr>
        <w:t>provide</w:t>
      </w:r>
      <w:r w:rsidR="6CE3263B" w:rsidRPr="60C5FEF4">
        <w:rPr>
          <w:rFonts w:cs="Calibri"/>
        </w:rPr>
        <w:t>s</w:t>
      </w:r>
      <w:r w:rsidR="005F49FD">
        <w:rPr>
          <w:rFonts w:cs="Calibri"/>
        </w:rPr>
        <w:t xml:space="preserve"> </w:t>
      </w:r>
      <w:r w:rsidR="005F49FD" w:rsidRPr="1193F635">
        <w:rPr>
          <w:rFonts w:cs="Calibri"/>
        </w:rPr>
        <w:t>a</w:t>
      </w:r>
      <w:r w:rsidR="04847DC4" w:rsidRPr="1193F635">
        <w:rPr>
          <w:rFonts w:cs="Calibri"/>
        </w:rPr>
        <w:t xml:space="preserve"> </w:t>
      </w:r>
      <w:r w:rsidR="005F49FD">
        <w:rPr>
          <w:rFonts w:cs="Calibri"/>
        </w:rPr>
        <w:t xml:space="preserve">range of </w:t>
      </w:r>
      <w:r w:rsidR="00AF5C58">
        <w:rPr>
          <w:rFonts w:cs="Calibri"/>
        </w:rPr>
        <w:t xml:space="preserve">1,710 to 1,890.  A total of </w:t>
      </w:r>
      <w:r w:rsidR="00573FC2">
        <w:rPr>
          <w:rFonts w:cs="Calibri"/>
        </w:rPr>
        <w:t xml:space="preserve">2,376 safety inspections were conducted, which exceeded the FRL.  </w:t>
      </w:r>
    </w:p>
    <w:p w14:paraId="1FD1BDB5" w14:textId="77777777" w:rsidR="00403C8A" w:rsidRDefault="00403C8A" w:rsidP="00403C8A">
      <w:pPr>
        <w:widowControl/>
        <w:autoSpaceDE/>
        <w:autoSpaceDN/>
        <w:adjustRightInd/>
        <w:rPr>
          <w:rFonts w:cs="Calibri"/>
          <w:b/>
          <w:bCs/>
        </w:rPr>
      </w:pPr>
    </w:p>
    <w:p w14:paraId="299FE693" w14:textId="6596CE70" w:rsidR="009A76D9" w:rsidRDefault="00403C8A" w:rsidP="00DB72BF">
      <w:pPr>
        <w:widowControl/>
        <w:autoSpaceDE/>
        <w:autoSpaceDN/>
        <w:adjustRightInd/>
        <w:rPr>
          <w:rFonts w:cs="Calibri"/>
          <w:b/>
          <w:bCs/>
        </w:rPr>
      </w:pPr>
      <w:r>
        <w:rPr>
          <w:rFonts w:cs="Calibri"/>
          <w:b/>
          <w:bCs/>
        </w:rPr>
        <w:t>Explanation:</w:t>
      </w:r>
      <w:r w:rsidR="00316D8F">
        <w:rPr>
          <w:rFonts w:cs="Calibri"/>
          <w:b/>
          <w:bCs/>
        </w:rPr>
        <w:t xml:space="preserve"> </w:t>
      </w:r>
      <w:r w:rsidR="00F869EC">
        <w:rPr>
          <w:rFonts w:cs="Calibri"/>
        </w:rPr>
        <w:t xml:space="preserve">Oregon’s </w:t>
      </w:r>
      <w:r w:rsidR="002E26AF">
        <w:rPr>
          <w:rFonts w:cs="Calibri"/>
        </w:rPr>
        <w:t xml:space="preserve">inspection numbers were </w:t>
      </w:r>
      <w:r w:rsidR="00B60465">
        <w:rPr>
          <w:rFonts w:cs="Calibri"/>
        </w:rPr>
        <w:t xml:space="preserve">at </w:t>
      </w:r>
      <w:r w:rsidR="002E26AF">
        <w:rPr>
          <w:rFonts w:cs="Calibri"/>
        </w:rPr>
        <w:t xml:space="preserve">the highest </w:t>
      </w:r>
      <w:r w:rsidR="00B60465">
        <w:rPr>
          <w:rFonts w:cs="Calibri"/>
        </w:rPr>
        <w:t xml:space="preserve">number </w:t>
      </w:r>
      <w:r w:rsidR="002E26AF">
        <w:rPr>
          <w:rFonts w:cs="Calibri"/>
        </w:rPr>
        <w:t xml:space="preserve">since </w:t>
      </w:r>
      <w:r w:rsidR="00222D86">
        <w:rPr>
          <w:rFonts w:cs="Calibri"/>
        </w:rPr>
        <w:t>FY 2019.  S</w:t>
      </w:r>
      <w:r w:rsidR="00F869EC">
        <w:rPr>
          <w:rFonts w:cs="Calibri"/>
        </w:rPr>
        <w:t xml:space="preserve">afety inspection numbers increased from </w:t>
      </w:r>
      <w:r w:rsidR="003E6AD0">
        <w:rPr>
          <w:rFonts w:cs="Calibri"/>
        </w:rPr>
        <w:t>1,967 in FY 2023</w:t>
      </w:r>
      <w:r w:rsidR="00222D86">
        <w:rPr>
          <w:rFonts w:cs="Calibri"/>
        </w:rPr>
        <w:t xml:space="preserve">.  </w:t>
      </w:r>
      <w:r w:rsidR="008A0B86" w:rsidRPr="008A0B86">
        <w:rPr>
          <w:rFonts w:cs="Calibri"/>
        </w:rPr>
        <w:t xml:space="preserve">Exceeding inspection goals shows that Oregon was able to bring </w:t>
      </w:r>
      <w:r w:rsidR="004C348D">
        <w:rPr>
          <w:rFonts w:cs="Calibri"/>
        </w:rPr>
        <w:t>compliance officers</w:t>
      </w:r>
      <w:r w:rsidR="008A0B86" w:rsidRPr="008A0B86">
        <w:rPr>
          <w:rFonts w:cs="Calibri"/>
        </w:rPr>
        <w:t xml:space="preserve"> </w:t>
      </w:r>
      <w:r w:rsidR="00AF6C81">
        <w:rPr>
          <w:rFonts w:cs="Calibri"/>
        </w:rPr>
        <w:t>in</w:t>
      </w:r>
      <w:r w:rsidR="008A0B86" w:rsidRPr="008A0B86">
        <w:rPr>
          <w:rFonts w:cs="Calibri"/>
        </w:rPr>
        <w:t>to more workplaces than anticipated</w:t>
      </w:r>
      <w:r w:rsidR="004C348D">
        <w:rPr>
          <w:rFonts w:cs="Calibri"/>
        </w:rPr>
        <w:t xml:space="preserve">. </w:t>
      </w:r>
    </w:p>
    <w:p w14:paraId="3384D75F" w14:textId="77777777" w:rsidR="00403C8A" w:rsidRDefault="00403C8A" w:rsidP="00DB72BF">
      <w:pPr>
        <w:widowControl/>
        <w:autoSpaceDE/>
        <w:autoSpaceDN/>
        <w:adjustRightInd/>
        <w:rPr>
          <w:rFonts w:cs="Calibri"/>
          <w:b/>
          <w:bCs/>
        </w:rPr>
      </w:pPr>
    </w:p>
    <w:p w14:paraId="63D08E52" w14:textId="283EAA7F" w:rsidR="00403C8A" w:rsidRDefault="00403C8A" w:rsidP="00DB72BF">
      <w:pPr>
        <w:widowControl/>
        <w:autoSpaceDE/>
        <w:autoSpaceDN/>
        <w:adjustRightInd/>
        <w:rPr>
          <w:rFonts w:cs="Calibri"/>
          <w:b/>
          <w:bCs/>
        </w:rPr>
      </w:pPr>
      <w:r>
        <w:rPr>
          <w:rFonts w:cs="Calibri"/>
          <w:b/>
          <w:bCs/>
        </w:rPr>
        <w:t>SAMM 7b – Planned v. actual inspections (health)</w:t>
      </w:r>
    </w:p>
    <w:p w14:paraId="094ADA9E" w14:textId="77777777" w:rsidR="00403C8A" w:rsidRDefault="00403C8A" w:rsidP="00403C8A">
      <w:pPr>
        <w:widowControl/>
        <w:autoSpaceDE/>
        <w:autoSpaceDN/>
        <w:adjustRightInd/>
        <w:rPr>
          <w:rFonts w:cs="Calibri"/>
          <w:b/>
          <w:bCs/>
        </w:rPr>
      </w:pPr>
    </w:p>
    <w:p w14:paraId="0D21A9CE" w14:textId="44A9A730" w:rsidR="00403C8A" w:rsidRDefault="00403C8A" w:rsidP="00403C8A">
      <w:pPr>
        <w:widowControl/>
        <w:autoSpaceDE/>
        <w:autoSpaceDN/>
        <w:adjustRightInd/>
        <w:rPr>
          <w:rFonts w:cs="Calibri"/>
          <w:b/>
          <w:bCs/>
        </w:rPr>
      </w:pPr>
      <w:r>
        <w:rPr>
          <w:rFonts w:cs="Calibri"/>
          <w:b/>
          <w:bCs/>
        </w:rPr>
        <w:t>Discussion of Oregon OSHA’s data and FRL:</w:t>
      </w:r>
      <w:r w:rsidR="00573FC2">
        <w:rPr>
          <w:rFonts w:cs="Calibri"/>
          <w:b/>
          <w:bCs/>
        </w:rPr>
        <w:t xml:space="preserve">  </w:t>
      </w:r>
      <w:r w:rsidR="00573FC2">
        <w:rPr>
          <w:rFonts w:cs="Calibri"/>
        </w:rPr>
        <w:t>The FRL for planned versus actual health inspections (SAMM 7</w:t>
      </w:r>
      <w:r w:rsidR="0053411F">
        <w:rPr>
          <w:rFonts w:cs="Calibri"/>
        </w:rPr>
        <w:t>b</w:t>
      </w:r>
      <w:r w:rsidR="00573FC2">
        <w:rPr>
          <w:rFonts w:cs="Calibri"/>
        </w:rPr>
        <w:t xml:space="preserve">) is +/- 5% of </w:t>
      </w:r>
      <w:r w:rsidR="0053411F">
        <w:rPr>
          <w:rFonts w:cs="Calibri"/>
        </w:rPr>
        <w:t>650</w:t>
      </w:r>
      <w:r w:rsidR="00573FC2">
        <w:rPr>
          <w:rFonts w:cs="Calibri"/>
        </w:rPr>
        <w:t xml:space="preserve">, which was negotiated between OSHA and Oregon OSHA through the </w:t>
      </w:r>
      <w:proofErr w:type="gramStart"/>
      <w:r w:rsidR="00573FC2">
        <w:rPr>
          <w:rFonts w:cs="Calibri"/>
        </w:rPr>
        <w:t>23(g) grant</w:t>
      </w:r>
      <w:proofErr w:type="gramEnd"/>
      <w:r w:rsidR="00573FC2">
        <w:rPr>
          <w:rFonts w:cs="Calibri"/>
        </w:rPr>
        <w:t xml:space="preserve"> application and provides an acceptable range of </w:t>
      </w:r>
      <w:r w:rsidR="00A309EF">
        <w:rPr>
          <w:rFonts w:cs="Calibri"/>
        </w:rPr>
        <w:t>618</w:t>
      </w:r>
      <w:r w:rsidR="00573FC2">
        <w:rPr>
          <w:rFonts w:cs="Calibri"/>
        </w:rPr>
        <w:t xml:space="preserve"> to </w:t>
      </w:r>
      <w:r w:rsidR="00A309EF">
        <w:rPr>
          <w:rFonts w:cs="Calibri"/>
        </w:rPr>
        <w:t>683</w:t>
      </w:r>
      <w:r w:rsidR="00573FC2">
        <w:rPr>
          <w:rFonts w:cs="Calibri"/>
        </w:rPr>
        <w:t xml:space="preserve">.  A total of </w:t>
      </w:r>
      <w:r w:rsidR="00A309EF">
        <w:rPr>
          <w:rFonts w:cs="Calibri"/>
        </w:rPr>
        <w:t>823</w:t>
      </w:r>
      <w:r w:rsidR="00573FC2">
        <w:rPr>
          <w:rFonts w:cs="Calibri"/>
        </w:rPr>
        <w:t xml:space="preserve"> </w:t>
      </w:r>
      <w:r w:rsidR="00A309EF">
        <w:rPr>
          <w:rFonts w:cs="Calibri"/>
        </w:rPr>
        <w:t>health</w:t>
      </w:r>
      <w:r w:rsidR="00573FC2">
        <w:rPr>
          <w:rFonts w:cs="Calibri"/>
        </w:rPr>
        <w:t xml:space="preserve"> inspections were conducted, which exceeded the FRL.  </w:t>
      </w:r>
    </w:p>
    <w:p w14:paraId="5F7C0C71" w14:textId="77777777" w:rsidR="00403C8A" w:rsidRDefault="00403C8A" w:rsidP="00403C8A">
      <w:pPr>
        <w:widowControl/>
        <w:autoSpaceDE/>
        <w:autoSpaceDN/>
        <w:adjustRightInd/>
        <w:rPr>
          <w:rFonts w:cs="Calibri"/>
          <w:b/>
          <w:bCs/>
        </w:rPr>
      </w:pPr>
    </w:p>
    <w:p w14:paraId="34F62544" w14:textId="3A7F47DA" w:rsidR="00403C8A" w:rsidRPr="003E6AD0" w:rsidRDefault="00403C8A" w:rsidP="00403C8A">
      <w:pPr>
        <w:widowControl/>
        <w:autoSpaceDE/>
        <w:autoSpaceDN/>
        <w:adjustRightInd/>
        <w:rPr>
          <w:rFonts w:cs="Calibri"/>
        </w:rPr>
      </w:pPr>
      <w:r>
        <w:rPr>
          <w:rFonts w:cs="Calibri"/>
          <w:b/>
          <w:bCs/>
        </w:rPr>
        <w:t>Explanation:</w:t>
      </w:r>
      <w:r w:rsidR="003E6AD0">
        <w:rPr>
          <w:rFonts w:cs="Calibri"/>
          <w:b/>
          <w:bCs/>
        </w:rPr>
        <w:t xml:space="preserve"> </w:t>
      </w:r>
      <w:r w:rsidR="00700462">
        <w:rPr>
          <w:rFonts w:cs="Calibri"/>
        </w:rPr>
        <w:t xml:space="preserve"> Similar to SAMM 7a, </w:t>
      </w:r>
      <w:r w:rsidR="003E6AD0">
        <w:rPr>
          <w:rFonts w:cs="Calibri"/>
        </w:rPr>
        <w:t xml:space="preserve">Oregon’s health inspection numbers increased from </w:t>
      </w:r>
      <w:r w:rsidR="00AD64B2">
        <w:rPr>
          <w:rFonts w:cs="Calibri"/>
        </w:rPr>
        <w:t xml:space="preserve">705 in FY </w:t>
      </w:r>
      <w:r w:rsidR="00932FD9">
        <w:rPr>
          <w:rFonts w:cs="Calibri"/>
        </w:rPr>
        <w:t>2023,</w:t>
      </w:r>
      <w:r w:rsidR="003A53EF">
        <w:rPr>
          <w:rFonts w:cs="Calibri"/>
        </w:rPr>
        <w:t xml:space="preserve"> </w:t>
      </w:r>
      <w:r w:rsidR="00932FD9">
        <w:rPr>
          <w:rFonts w:cs="Calibri"/>
        </w:rPr>
        <w:t xml:space="preserve">and </w:t>
      </w:r>
      <w:r w:rsidR="009B4277">
        <w:rPr>
          <w:rFonts w:cs="Calibri"/>
        </w:rPr>
        <w:t xml:space="preserve">they surpassed their goal.  </w:t>
      </w:r>
      <w:r w:rsidR="00216DA1">
        <w:rPr>
          <w:rFonts w:cs="Calibri"/>
        </w:rPr>
        <w:t xml:space="preserve">Similar to SAMM 7a, </w:t>
      </w:r>
      <w:r w:rsidR="00DD5DB1" w:rsidRPr="00DD5DB1">
        <w:rPr>
          <w:rFonts w:cs="Calibri"/>
        </w:rPr>
        <w:t xml:space="preserve">Oregon was able to </w:t>
      </w:r>
      <w:r w:rsidR="00051150">
        <w:rPr>
          <w:rFonts w:cs="Calibri"/>
        </w:rPr>
        <w:t>enforce</w:t>
      </w:r>
      <w:r w:rsidR="00DD5DB1" w:rsidRPr="00DD5DB1">
        <w:rPr>
          <w:rFonts w:cs="Calibri"/>
        </w:rPr>
        <w:t xml:space="preserve"> safety and health </w:t>
      </w:r>
      <w:r w:rsidR="00051150">
        <w:rPr>
          <w:rFonts w:cs="Calibri"/>
        </w:rPr>
        <w:t>in</w:t>
      </w:r>
      <w:r w:rsidR="00DD5DB1" w:rsidRPr="00DD5DB1">
        <w:rPr>
          <w:rFonts w:cs="Calibri"/>
        </w:rPr>
        <w:t xml:space="preserve"> more workplaces than anticipated</w:t>
      </w:r>
      <w:r w:rsidR="00DD5DB1">
        <w:rPr>
          <w:rFonts w:cs="Calibri"/>
        </w:rPr>
        <w:t>.</w:t>
      </w:r>
    </w:p>
    <w:p w14:paraId="14D4D099" w14:textId="77777777" w:rsidR="00403C8A" w:rsidRDefault="00403C8A" w:rsidP="00DB72BF">
      <w:pPr>
        <w:widowControl/>
        <w:autoSpaceDE/>
        <w:autoSpaceDN/>
        <w:adjustRightInd/>
        <w:rPr>
          <w:rFonts w:cs="Calibri"/>
          <w:b/>
          <w:bCs/>
        </w:rPr>
      </w:pPr>
    </w:p>
    <w:p w14:paraId="6B990695" w14:textId="7B233555" w:rsidR="00403C8A" w:rsidRDefault="00AD4E14" w:rsidP="00DB72BF">
      <w:pPr>
        <w:widowControl/>
        <w:autoSpaceDE/>
        <w:autoSpaceDN/>
        <w:adjustRightInd/>
        <w:rPr>
          <w:rFonts w:cs="Calibri"/>
          <w:b/>
          <w:bCs/>
        </w:rPr>
      </w:pPr>
      <w:r w:rsidRPr="00AD4E14">
        <w:rPr>
          <w:rFonts w:cs="Calibri"/>
          <w:b/>
          <w:bCs/>
        </w:rPr>
        <w:t>SAMM 8 - Average current serious penalty in private sector – total (1 to greater than 250 workers) </w:t>
      </w:r>
    </w:p>
    <w:p w14:paraId="7CA2F625" w14:textId="77777777" w:rsidR="00AD4E14" w:rsidRDefault="00AD4E14" w:rsidP="00DB72BF">
      <w:pPr>
        <w:widowControl/>
        <w:autoSpaceDE/>
        <w:autoSpaceDN/>
        <w:adjustRightInd/>
        <w:rPr>
          <w:rFonts w:cs="Calibri"/>
          <w:b/>
          <w:bCs/>
        </w:rPr>
      </w:pPr>
    </w:p>
    <w:p w14:paraId="552BB075" w14:textId="2C6ACD4C" w:rsidR="00C50190" w:rsidRDefault="00C50190" w:rsidP="00C50190">
      <w:pPr>
        <w:widowControl/>
        <w:autoSpaceDE/>
        <w:autoSpaceDN/>
        <w:adjustRightInd/>
        <w:rPr>
          <w:rFonts w:cs="Calibri"/>
          <w:b/>
          <w:bCs/>
        </w:rPr>
      </w:pPr>
      <w:r>
        <w:rPr>
          <w:rFonts w:cs="Calibri"/>
          <w:b/>
          <w:bCs/>
        </w:rPr>
        <w:t>Discussion of Oregon OSHA’s data and FRL:</w:t>
      </w:r>
      <w:r w:rsidR="008C33A6">
        <w:rPr>
          <w:rFonts w:cs="Calibri"/>
          <w:b/>
          <w:bCs/>
        </w:rPr>
        <w:t xml:space="preserve"> </w:t>
      </w:r>
      <w:r w:rsidR="008C33A6" w:rsidRPr="008C33A6">
        <w:rPr>
          <w:rFonts w:cs="Calibri"/>
        </w:rPr>
        <w:t xml:space="preserve">The FRL for the average current penalty for 1-250+ workers was +/- 25% of $3,793.81, which was based on a three-year national average and provides a range of $2,845.36 to $4,742.27.  In </w:t>
      </w:r>
      <w:r w:rsidR="006349C1">
        <w:rPr>
          <w:rFonts w:cs="Calibri"/>
        </w:rPr>
        <w:t>Oregon</w:t>
      </w:r>
      <w:r w:rsidR="008C33A6" w:rsidRPr="008C33A6">
        <w:rPr>
          <w:rFonts w:cs="Calibri"/>
        </w:rPr>
        <w:t>, employers with 1-250+ workers were penalized at an average of $</w:t>
      </w:r>
      <w:r w:rsidR="006349C1">
        <w:rPr>
          <w:rFonts w:cs="Calibri"/>
        </w:rPr>
        <w:t>1,581.75</w:t>
      </w:r>
      <w:r w:rsidR="008C33A6" w:rsidRPr="008C33A6">
        <w:rPr>
          <w:rFonts w:cs="Calibri"/>
        </w:rPr>
        <w:t xml:space="preserve"> per serious violation, which was </w:t>
      </w:r>
      <w:r w:rsidR="006349C1">
        <w:rPr>
          <w:rFonts w:cs="Calibri"/>
        </w:rPr>
        <w:t>below</w:t>
      </w:r>
      <w:r w:rsidR="008C33A6" w:rsidRPr="008C33A6">
        <w:rPr>
          <w:rFonts w:cs="Calibri"/>
        </w:rPr>
        <w:t xml:space="preserve"> the FRL range.   </w:t>
      </w:r>
    </w:p>
    <w:p w14:paraId="081D58A4" w14:textId="77777777" w:rsidR="00C50190" w:rsidRDefault="00C50190" w:rsidP="00C50190">
      <w:pPr>
        <w:widowControl/>
        <w:autoSpaceDE/>
        <w:autoSpaceDN/>
        <w:adjustRightInd/>
        <w:rPr>
          <w:rFonts w:cs="Calibri"/>
          <w:b/>
          <w:bCs/>
        </w:rPr>
      </w:pPr>
    </w:p>
    <w:p w14:paraId="765D90A3" w14:textId="21078424" w:rsidR="00C50190" w:rsidRDefault="00C50190" w:rsidP="00DB72BF">
      <w:pPr>
        <w:widowControl/>
        <w:autoSpaceDE/>
        <w:autoSpaceDN/>
        <w:adjustRightInd/>
        <w:rPr>
          <w:rFonts w:cs="Calibri"/>
          <w:b/>
          <w:bCs/>
        </w:rPr>
      </w:pPr>
      <w:r>
        <w:rPr>
          <w:rFonts w:cs="Calibri"/>
          <w:b/>
          <w:bCs/>
        </w:rPr>
        <w:t>Explanation:</w:t>
      </w:r>
      <w:r w:rsidR="00FB0307">
        <w:rPr>
          <w:rFonts w:cs="Calibri"/>
          <w:b/>
          <w:bCs/>
        </w:rPr>
        <w:t xml:space="preserve">  </w:t>
      </w:r>
      <w:r w:rsidR="005050B3">
        <w:rPr>
          <w:rFonts w:cs="Calibri"/>
        </w:rPr>
        <w:t xml:space="preserve">In 2023, </w:t>
      </w:r>
      <w:r w:rsidR="00333777">
        <w:rPr>
          <w:rFonts w:cs="Calibri"/>
        </w:rPr>
        <w:t xml:space="preserve">the </w:t>
      </w:r>
      <w:r w:rsidR="005050B3">
        <w:rPr>
          <w:rFonts w:cs="Calibri"/>
        </w:rPr>
        <w:t>Oregon</w:t>
      </w:r>
      <w:r w:rsidR="00333777">
        <w:rPr>
          <w:rFonts w:cs="Calibri"/>
        </w:rPr>
        <w:t xml:space="preserve"> Legislature</w:t>
      </w:r>
      <w:r w:rsidR="002F5B44">
        <w:rPr>
          <w:rFonts w:cs="Calibri"/>
        </w:rPr>
        <w:t xml:space="preserve"> passed</w:t>
      </w:r>
      <w:r w:rsidR="005050B3">
        <w:rPr>
          <w:rFonts w:cs="Calibri"/>
        </w:rPr>
        <w:t xml:space="preserve"> </w:t>
      </w:r>
      <w:r w:rsidR="00CD7DFE">
        <w:rPr>
          <w:rFonts w:cs="Calibri"/>
        </w:rPr>
        <w:t>SB 592</w:t>
      </w:r>
      <w:r w:rsidR="00B76D8C">
        <w:rPr>
          <w:rFonts w:cs="Calibri"/>
        </w:rPr>
        <w:t xml:space="preserve"> </w:t>
      </w:r>
      <w:r w:rsidR="00040631">
        <w:rPr>
          <w:rFonts w:cs="Calibri"/>
        </w:rPr>
        <w:t xml:space="preserve">to increase penalties </w:t>
      </w:r>
      <w:r w:rsidR="00CD7DFE">
        <w:rPr>
          <w:rFonts w:cs="Calibri"/>
        </w:rPr>
        <w:t>and</w:t>
      </w:r>
      <w:r w:rsidR="00040631">
        <w:rPr>
          <w:rFonts w:cs="Calibri"/>
        </w:rPr>
        <w:t xml:space="preserve"> align with OSHA’s penalty structure</w:t>
      </w:r>
      <w:r w:rsidR="000A668E">
        <w:rPr>
          <w:rFonts w:cs="Calibri"/>
        </w:rPr>
        <w:t xml:space="preserve">.  </w:t>
      </w:r>
      <w:r w:rsidR="00E10D78">
        <w:rPr>
          <w:rFonts w:cs="Calibri"/>
        </w:rPr>
        <w:t xml:space="preserve">Penalties </w:t>
      </w:r>
      <w:r w:rsidR="00CD7DFE">
        <w:rPr>
          <w:rFonts w:cs="Calibri"/>
        </w:rPr>
        <w:t>are set to</w:t>
      </w:r>
      <w:r w:rsidR="00E10D78">
        <w:rPr>
          <w:rFonts w:cs="Calibri"/>
        </w:rPr>
        <w:t xml:space="preserve"> </w:t>
      </w:r>
      <w:r w:rsidR="00835BE6">
        <w:rPr>
          <w:rFonts w:cs="Calibri"/>
        </w:rPr>
        <w:t>update</w:t>
      </w:r>
      <w:r w:rsidR="000A668E">
        <w:rPr>
          <w:rFonts w:cs="Calibri"/>
        </w:rPr>
        <w:t xml:space="preserve"> annually based on the Western Region Consumer Price Index.  </w:t>
      </w:r>
      <w:r w:rsidR="00CD7DFE">
        <w:rPr>
          <w:rFonts w:cs="Calibri"/>
        </w:rPr>
        <w:t xml:space="preserve">After </w:t>
      </w:r>
      <w:r w:rsidR="005050B3">
        <w:rPr>
          <w:rFonts w:cs="Calibri"/>
        </w:rPr>
        <w:t>SB</w:t>
      </w:r>
      <w:r w:rsidR="008B2DD4">
        <w:rPr>
          <w:rFonts w:cs="Calibri"/>
        </w:rPr>
        <w:t xml:space="preserve"> </w:t>
      </w:r>
      <w:r w:rsidR="005050B3">
        <w:rPr>
          <w:rFonts w:cs="Calibri"/>
        </w:rPr>
        <w:t>592 went into effect</w:t>
      </w:r>
      <w:r w:rsidR="002E7C4C">
        <w:rPr>
          <w:rFonts w:cs="Calibri"/>
        </w:rPr>
        <w:t xml:space="preserve">, violations issued </w:t>
      </w:r>
      <w:r w:rsidR="00F05917">
        <w:rPr>
          <w:rFonts w:cs="Calibri"/>
        </w:rPr>
        <w:t>for</w:t>
      </w:r>
      <w:r w:rsidR="00F16987">
        <w:rPr>
          <w:rFonts w:cs="Calibri"/>
        </w:rPr>
        <w:t xml:space="preserve"> inspections </w:t>
      </w:r>
      <w:r w:rsidR="00F05917">
        <w:rPr>
          <w:rFonts w:cs="Calibri"/>
        </w:rPr>
        <w:t xml:space="preserve">that were </w:t>
      </w:r>
      <w:r w:rsidR="00F16987">
        <w:rPr>
          <w:rFonts w:cs="Calibri"/>
        </w:rPr>
        <w:t xml:space="preserve">opened </w:t>
      </w:r>
      <w:r w:rsidR="00BC4D93">
        <w:rPr>
          <w:rFonts w:cs="Calibri"/>
        </w:rPr>
        <w:t xml:space="preserve">on or </w:t>
      </w:r>
      <w:r w:rsidR="00F16987">
        <w:rPr>
          <w:rFonts w:cs="Calibri"/>
        </w:rPr>
        <w:t xml:space="preserve">after </w:t>
      </w:r>
      <w:r w:rsidR="005050B3">
        <w:rPr>
          <w:rFonts w:cs="Calibri"/>
        </w:rPr>
        <w:t>January 1, 2024</w:t>
      </w:r>
      <w:r w:rsidR="00F6335C">
        <w:rPr>
          <w:rFonts w:cs="Calibri"/>
        </w:rPr>
        <w:t>,</w:t>
      </w:r>
      <w:r w:rsidR="002E7C4C">
        <w:rPr>
          <w:rFonts w:cs="Calibri"/>
        </w:rPr>
        <w:t xml:space="preserve"> would be under the new penalty structure</w:t>
      </w:r>
      <w:r w:rsidR="005050B3">
        <w:rPr>
          <w:rFonts w:cs="Calibri"/>
        </w:rPr>
        <w:t xml:space="preserve">.  </w:t>
      </w:r>
      <w:r w:rsidR="00B76D8C">
        <w:rPr>
          <w:rFonts w:cs="Calibri"/>
        </w:rPr>
        <w:t>However, a</w:t>
      </w:r>
      <w:r w:rsidR="005050B3">
        <w:rPr>
          <w:rFonts w:cs="Calibri"/>
        </w:rPr>
        <w:t xml:space="preserve">ny penalty imposed </w:t>
      </w:r>
      <w:r w:rsidR="00B76D8C">
        <w:rPr>
          <w:rFonts w:cs="Calibri"/>
        </w:rPr>
        <w:t>related to</w:t>
      </w:r>
      <w:r w:rsidR="002D78EE">
        <w:rPr>
          <w:rFonts w:cs="Calibri"/>
        </w:rPr>
        <w:t xml:space="preserve"> an inspection opened </w:t>
      </w:r>
      <w:r w:rsidR="00F741ED">
        <w:rPr>
          <w:rFonts w:cs="Calibri"/>
        </w:rPr>
        <w:t xml:space="preserve">prior </w:t>
      </w:r>
      <w:r w:rsidR="000F0106">
        <w:rPr>
          <w:rFonts w:cs="Calibri"/>
        </w:rPr>
        <w:t xml:space="preserve">to that date </w:t>
      </w:r>
      <w:r w:rsidR="005050B3">
        <w:rPr>
          <w:rFonts w:cs="Calibri"/>
        </w:rPr>
        <w:t>was under the previous penalty structure</w:t>
      </w:r>
      <w:r w:rsidR="00F741ED">
        <w:rPr>
          <w:rFonts w:cs="Calibri"/>
        </w:rPr>
        <w:t xml:space="preserve">, which </w:t>
      </w:r>
      <w:r w:rsidR="000F0106">
        <w:rPr>
          <w:rFonts w:cs="Calibri"/>
        </w:rPr>
        <w:t>impacted</w:t>
      </w:r>
      <w:r w:rsidR="00F741ED">
        <w:rPr>
          <w:rFonts w:cs="Calibri"/>
        </w:rPr>
        <w:t xml:space="preserve"> </w:t>
      </w:r>
      <w:r w:rsidR="00B54598">
        <w:rPr>
          <w:rFonts w:cs="Calibri"/>
        </w:rPr>
        <w:t xml:space="preserve">penalties for </w:t>
      </w:r>
      <w:r w:rsidR="00B11F90">
        <w:rPr>
          <w:rFonts w:cs="Calibri"/>
        </w:rPr>
        <w:t xml:space="preserve">inspections </w:t>
      </w:r>
      <w:r w:rsidR="004F4DE0">
        <w:rPr>
          <w:rFonts w:cs="Calibri"/>
        </w:rPr>
        <w:t xml:space="preserve">that were opened </w:t>
      </w:r>
      <w:r w:rsidR="00B11F90">
        <w:rPr>
          <w:rFonts w:cs="Calibri"/>
        </w:rPr>
        <w:t>in</w:t>
      </w:r>
      <w:r w:rsidR="00F741ED">
        <w:rPr>
          <w:rFonts w:cs="Calibri"/>
        </w:rPr>
        <w:t xml:space="preserve"> </w:t>
      </w:r>
      <w:r w:rsidR="004F4DE0">
        <w:rPr>
          <w:rFonts w:cs="Calibri"/>
        </w:rPr>
        <w:t xml:space="preserve">the </w:t>
      </w:r>
      <w:r w:rsidR="00F741ED">
        <w:rPr>
          <w:rFonts w:cs="Calibri"/>
        </w:rPr>
        <w:t>first quarter</w:t>
      </w:r>
      <w:r w:rsidR="004F4DE0">
        <w:rPr>
          <w:rFonts w:cs="Calibri"/>
        </w:rPr>
        <w:t xml:space="preserve"> of</w:t>
      </w:r>
      <w:r w:rsidR="00F741ED">
        <w:rPr>
          <w:rFonts w:cs="Calibri"/>
        </w:rPr>
        <w:t xml:space="preserve"> FY 2024</w:t>
      </w:r>
      <w:r w:rsidR="005050B3">
        <w:rPr>
          <w:rFonts w:cs="Calibri"/>
        </w:rPr>
        <w:t xml:space="preserve">. </w:t>
      </w:r>
      <w:r w:rsidR="00F741ED">
        <w:rPr>
          <w:rFonts w:cs="Calibri"/>
        </w:rPr>
        <w:t xml:space="preserve"> </w:t>
      </w:r>
      <w:r w:rsidR="00CC0DC4">
        <w:rPr>
          <w:rFonts w:cs="Calibri"/>
        </w:rPr>
        <w:t>As a result of SB</w:t>
      </w:r>
      <w:r w:rsidR="008B2DD4">
        <w:rPr>
          <w:rFonts w:cs="Calibri"/>
        </w:rPr>
        <w:t xml:space="preserve"> </w:t>
      </w:r>
      <w:r w:rsidR="00CC0DC4">
        <w:rPr>
          <w:rFonts w:cs="Calibri"/>
        </w:rPr>
        <w:t xml:space="preserve">592, </w:t>
      </w:r>
      <w:r w:rsidR="005578AD">
        <w:rPr>
          <w:rFonts w:cs="Calibri"/>
        </w:rPr>
        <w:t>Oregon OSHA’s total average penalty increased from $604.08 in FY 2023</w:t>
      </w:r>
      <w:r w:rsidR="00FE2585">
        <w:rPr>
          <w:rFonts w:cs="Calibri"/>
        </w:rPr>
        <w:t xml:space="preserve">. </w:t>
      </w:r>
      <w:r w:rsidR="004F4DE0">
        <w:rPr>
          <w:rFonts w:cs="Calibri"/>
        </w:rPr>
        <w:t xml:space="preserve"> In addition, Oregon OSHA issue</w:t>
      </w:r>
      <w:r w:rsidR="000C36EF">
        <w:rPr>
          <w:rFonts w:cs="Calibri"/>
        </w:rPr>
        <w:t>d</w:t>
      </w:r>
      <w:r w:rsidR="004F4DE0">
        <w:rPr>
          <w:rFonts w:cs="Calibri"/>
        </w:rPr>
        <w:t xml:space="preserve"> a large quantity of repeat classification violations, which is not captured in this metric.  </w:t>
      </w:r>
      <w:r w:rsidR="00513D3A">
        <w:rPr>
          <w:rFonts w:cs="Calibri"/>
        </w:rPr>
        <w:t>Lastly, the majority of establishments that are inspected are small employers</w:t>
      </w:r>
      <w:r w:rsidR="00BA53F7">
        <w:rPr>
          <w:rFonts w:cs="Calibri"/>
        </w:rPr>
        <w:t xml:space="preserve">, which may affect the average penalties </w:t>
      </w:r>
      <w:r w:rsidR="00AF09C3">
        <w:rPr>
          <w:rFonts w:cs="Calibri"/>
        </w:rPr>
        <w:t>overall</w:t>
      </w:r>
      <w:r w:rsidR="00BA53F7">
        <w:rPr>
          <w:rFonts w:cs="Calibri"/>
        </w:rPr>
        <w:t xml:space="preserve">.  </w:t>
      </w:r>
      <w:r w:rsidR="009505A3">
        <w:rPr>
          <w:rFonts w:cs="Calibri"/>
        </w:rPr>
        <w:t xml:space="preserve">OSHA will continue to monitor total average penalties for serious </w:t>
      </w:r>
      <w:r w:rsidR="00FE2585">
        <w:rPr>
          <w:rFonts w:cs="Calibri"/>
        </w:rPr>
        <w:t xml:space="preserve">citations into the next review period.  </w:t>
      </w:r>
    </w:p>
    <w:p w14:paraId="791C7E71" w14:textId="77777777" w:rsidR="00C50190" w:rsidRDefault="00C50190" w:rsidP="00DB72BF">
      <w:pPr>
        <w:widowControl/>
        <w:autoSpaceDE/>
        <w:autoSpaceDN/>
        <w:adjustRightInd/>
        <w:rPr>
          <w:rFonts w:cs="Calibri"/>
          <w:b/>
          <w:bCs/>
        </w:rPr>
      </w:pPr>
    </w:p>
    <w:p w14:paraId="66EA128D" w14:textId="30338CDD" w:rsidR="00AD4E14" w:rsidRDefault="00EF24F9" w:rsidP="00DB72BF">
      <w:pPr>
        <w:widowControl/>
        <w:autoSpaceDE/>
        <w:autoSpaceDN/>
        <w:adjustRightInd/>
        <w:rPr>
          <w:rFonts w:cs="Calibri"/>
          <w:b/>
          <w:bCs/>
        </w:rPr>
      </w:pPr>
      <w:r w:rsidRPr="00EF24F9">
        <w:rPr>
          <w:rFonts w:cs="Calibri"/>
          <w:b/>
          <w:bCs/>
        </w:rPr>
        <w:t>SAMM 8a - Average current serious penalty in private sector – total (1-25 workers) </w:t>
      </w:r>
    </w:p>
    <w:p w14:paraId="488C8F01" w14:textId="77777777" w:rsidR="00EF24F9" w:rsidRDefault="00EF24F9" w:rsidP="00DB72BF">
      <w:pPr>
        <w:widowControl/>
        <w:autoSpaceDE/>
        <w:autoSpaceDN/>
        <w:adjustRightInd/>
        <w:rPr>
          <w:rFonts w:cs="Calibri"/>
          <w:b/>
          <w:bCs/>
        </w:rPr>
      </w:pPr>
    </w:p>
    <w:p w14:paraId="642F1E00" w14:textId="7F5E51DC" w:rsidR="00C50190" w:rsidRDefault="00C50190" w:rsidP="00C50190">
      <w:pPr>
        <w:widowControl/>
        <w:autoSpaceDE/>
        <w:autoSpaceDN/>
        <w:adjustRightInd/>
        <w:rPr>
          <w:rFonts w:cs="Calibri"/>
          <w:b/>
          <w:bCs/>
        </w:rPr>
      </w:pPr>
      <w:r>
        <w:rPr>
          <w:rFonts w:cs="Calibri"/>
          <w:b/>
          <w:bCs/>
        </w:rPr>
        <w:t>Discussion of Oregon OSHA’s data and FRL:</w:t>
      </w:r>
      <w:r w:rsidR="00724F7E">
        <w:rPr>
          <w:rFonts w:cs="Calibri"/>
          <w:b/>
          <w:bCs/>
        </w:rPr>
        <w:t xml:space="preserve">  </w:t>
      </w:r>
      <w:r w:rsidR="00724F7E" w:rsidRPr="00D25715">
        <w:rPr>
          <w:rFonts w:cs="Calibri"/>
        </w:rPr>
        <w:t xml:space="preserve">The FRL for the average current penalty for 1-25 workers was +/- 25% of $2,498.51, which was based on a three-year national average and provides a range of $1,873.88 to $3,123.14.  In </w:t>
      </w:r>
      <w:r w:rsidR="002D78EE">
        <w:rPr>
          <w:rFonts w:cs="Calibri"/>
        </w:rPr>
        <w:t>Oregon</w:t>
      </w:r>
      <w:r w:rsidR="00724F7E" w:rsidRPr="00D25715">
        <w:rPr>
          <w:rFonts w:cs="Calibri"/>
        </w:rPr>
        <w:t>, employers with 1-25 workers were penalized at an average of $</w:t>
      </w:r>
      <w:r w:rsidR="002D78EE">
        <w:rPr>
          <w:rFonts w:cs="Calibri"/>
        </w:rPr>
        <w:t>1,123.00</w:t>
      </w:r>
      <w:r w:rsidR="00724F7E" w:rsidRPr="00D25715">
        <w:rPr>
          <w:rFonts w:cs="Calibri"/>
        </w:rPr>
        <w:t xml:space="preserve"> per serious violation, which was </w:t>
      </w:r>
      <w:r w:rsidR="002D78EE">
        <w:rPr>
          <w:rFonts w:cs="Calibri"/>
        </w:rPr>
        <w:t>below</w:t>
      </w:r>
      <w:r w:rsidR="00724F7E" w:rsidRPr="00D25715">
        <w:rPr>
          <w:rFonts w:cs="Calibri"/>
        </w:rPr>
        <w:t xml:space="preserve"> the FRL range.</w:t>
      </w:r>
    </w:p>
    <w:p w14:paraId="7E9ECEBF" w14:textId="77777777" w:rsidR="00C50190" w:rsidRDefault="00C50190" w:rsidP="00C50190">
      <w:pPr>
        <w:widowControl/>
        <w:autoSpaceDE/>
        <w:autoSpaceDN/>
        <w:adjustRightInd/>
        <w:rPr>
          <w:rFonts w:cs="Calibri"/>
          <w:b/>
          <w:bCs/>
        </w:rPr>
      </w:pPr>
    </w:p>
    <w:p w14:paraId="2D6E730B" w14:textId="3E226CF2" w:rsidR="00C50190" w:rsidRPr="00FE2585" w:rsidRDefault="00C50190" w:rsidP="00C50190">
      <w:pPr>
        <w:widowControl/>
        <w:autoSpaceDE/>
        <w:autoSpaceDN/>
        <w:adjustRightInd/>
        <w:rPr>
          <w:rFonts w:cs="Calibri"/>
        </w:rPr>
      </w:pPr>
      <w:r>
        <w:rPr>
          <w:rFonts w:cs="Calibri"/>
          <w:b/>
          <w:bCs/>
        </w:rPr>
        <w:t>Explanation:</w:t>
      </w:r>
      <w:r w:rsidR="00FE2585">
        <w:rPr>
          <w:rFonts w:cs="Calibri"/>
        </w:rPr>
        <w:t xml:space="preserve">  As a result of SB</w:t>
      </w:r>
      <w:r w:rsidR="008B2DD4">
        <w:rPr>
          <w:rFonts w:cs="Calibri"/>
        </w:rPr>
        <w:t xml:space="preserve"> </w:t>
      </w:r>
      <w:r w:rsidR="00FE2585">
        <w:rPr>
          <w:rFonts w:cs="Calibri"/>
        </w:rPr>
        <w:t xml:space="preserve">592, Oregon’s </w:t>
      </w:r>
      <w:r w:rsidR="00FE2DD7">
        <w:rPr>
          <w:rFonts w:cs="Calibri"/>
        </w:rPr>
        <w:t xml:space="preserve">average serious penalty for employers with 1-25 workers increased from </w:t>
      </w:r>
      <w:r w:rsidR="00712F04">
        <w:rPr>
          <w:rFonts w:cs="Calibri"/>
        </w:rPr>
        <w:t xml:space="preserve">$457.00 in FY 2023.  </w:t>
      </w:r>
      <w:r w:rsidR="002C0D03">
        <w:rPr>
          <w:rFonts w:cs="Calibri"/>
        </w:rPr>
        <w:t xml:space="preserve">It is expected that the </w:t>
      </w:r>
      <w:r w:rsidR="00C952AD">
        <w:rPr>
          <w:rFonts w:cs="Calibri"/>
        </w:rPr>
        <w:t xml:space="preserve">penalty </w:t>
      </w:r>
      <w:r w:rsidR="002C0D03">
        <w:rPr>
          <w:rFonts w:cs="Calibri"/>
        </w:rPr>
        <w:t xml:space="preserve">averages will continue to </w:t>
      </w:r>
      <w:r w:rsidR="00C952AD">
        <w:rPr>
          <w:rFonts w:cs="Calibri"/>
        </w:rPr>
        <w:t xml:space="preserve">increase </w:t>
      </w:r>
      <w:r w:rsidR="00464C84">
        <w:rPr>
          <w:rFonts w:cs="Calibri"/>
        </w:rPr>
        <w:t>as it aligns with</w:t>
      </w:r>
      <w:r w:rsidR="00C952AD">
        <w:rPr>
          <w:rFonts w:cs="Calibri"/>
        </w:rPr>
        <w:t xml:space="preserve"> OSHA’s.  </w:t>
      </w:r>
      <w:r w:rsidR="002C0D03">
        <w:rPr>
          <w:rFonts w:cs="Calibri"/>
        </w:rPr>
        <w:t xml:space="preserve">OSHA will continue to monitor average penalties for serious citations into the next review period.  </w:t>
      </w:r>
    </w:p>
    <w:p w14:paraId="26A0F2BE" w14:textId="77777777" w:rsidR="00C50190" w:rsidRDefault="00C50190" w:rsidP="00DB72BF">
      <w:pPr>
        <w:widowControl/>
        <w:autoSpaceDE/>
        <w:autoSpaceDN/>
        <w:adjustRightInd/>
        <w:rPr>
          <w:rFonts w:cs="Calibri"/>
          <w:b/>
          <w:bCs/>
        </w:rPr>
      </w:pPr>
    </w:p>
    <w:p w14:paraId="49190AEF" w14:textId="3C0BAAB7" w:rsidR="00EF24F9" w:rsidRDefault="00EF24F9" w:rsidP="00DB72BF">
      <w:pPr>
        <w:widowControl/>
        <w:autoSpaceDE/>
        <w:autoSpaceDN/>
        <w:adjustRightInd/>
        <w:rPr>
          <w:rFonts w:cs="Calibri"/>
          <w:b/>
          <w:bCs/>
        </w:rPr>
      </w:pPr>
      <w:r w:rsidRPr="00EF24F9">
        <w:rPr>
          <w:rFonts w:cs="Calibri"/>
          <w:b/>
          <w:bCs/>
        </w:rPr>
        <w:t>SAMM 8b - Average current serious penalty in private sector – total (26-100 workers)</w:t>
      </w:r>
    </w:p>
    <w:p w14:paraId="6A3D969F" w14:textId="77777777" w:rsidR="00EF24F9" w:rsidRDefault="00EF24F9" w:rsidP="00DB72BF">
      <w:pPr>
        <w:widowControl/>
        <w:autoSpaceDE/>
        <w:autoSpaceDN/>
        <w:adjustRightInd/>
        <w:rPr>
          <w:rFonts w:cs="Calibri"/>
          <w:b/>
          <w:bCs/>
        </w:rPr>
      </w:pPr>
    </w:p>
    <w:p w14:paraId="557786E7" w14:textId="09A6EE32" w:rsidR="00C50190" w:rsidRDefault="00C50190" w:rsidP="00C50190">
      <w:pPr>
        <w:widowControl/>
        <w:autoSpaceDE/>
        <w:autoSpaceDN/>
        <w:adjustRightInd/>
        <w:rPr>
          <w:rFonts w:cs="Calibri"/>
          <w:b/>
          <w:bCs/>
        </w:rPr>
      </w:pPr>
      <w:r>
        <w:rPr>
          <w:rFonts w:cs="Calibri"/>
          <w:b/>
          <w:bCs/>
        </w:rPr>
        <w:t>Discussion of Oregon OSHA’s data and FRL:</w:t>
      </w:r>
      <w:r w:rsidR="00676B57">
        <w:rPr>
          <w:rFonts w:cs="Calibri"/>
          <w:b/>
          <w:bCs/>
        </w:rPr>
        <w:t xml:space="preserve"> </w:t>
      </w:r>
      <w:r w:rsidR="00676B57" w:rsidRPr="00676B57">
        <w:rPr>
          <w:rFonts w:cs="Calibri"/>
        </w:rPr>
        <w:t xml:space="preserve">The FRL for the average current penalty for 26-100 workers was +/- 25% of $4,322.61, which was based on a three-year national average and provides a range of $3,241.96 to $5,403.26.  In </w:t>
      </w:r>
      <w:r w:rsidR="00676B57">
        <w:rPr>
          <w:rFonts w:cs="Calibri"/>
        </w:rPr>
        <w:t>Oregon</w:t>
      </w:r>
      <w:r w:rsidR="00676B57" w:rsidRPr="00676B57">
        <w:rPr>
          <w:rFonts w:cs="Calibri"/>
        </w:rPr>
        <w:t>, employers with 101-250 workers were penalized at an average of $</w:t>
      </w:r>
      <w:r w:rsidR="00676B57">
        <w:rPr>
          <w:rFonts w:cs="Calibri"/>
        </w:rPr>
        <w:t>1,910.45</w:t>
      </w:r>
      <w:r w:rsidR="00676B57" w:rsidRPr="00676B57">
        <w:rPr>
          <w:rFonts w:cs="Calibri"/>
        </w:rPr>
        <w:t xml:space="preserve"> per serious violation, which was </w:t>
      </w:r>
      <w:r w:rsidR="00676B57">
        <w:rPr>
          <w:rFonts w:cs="Calibri"/>
        </w:rPr>
        <w:t>below</w:t>
      </w:r>
      <w:r w:rsidR="00676B57" w:rsidRPr="00676B57">
        <w:rPr>
          <w:rFonts w:cs="Calibri"/>
        </w:rPr>
        <w:t xml:space="preserve"> the FRL range.</w:t>
      </w:r>
      <w:r w:rsidR="00676B57" w:rsidRPr="00676B57">
        <w:rPr>
          <w:rFonts w:cs="Calibri"/>
          <w:b/>
          <w:bCs/>
        </w:rPr>
        <w:t> </w:t>
      </w:r>
    </w:p>
    <w:p w14:paraId="657F33EB" w14:textId="77777777" w:rsidR="00C50190" w:rsidRDefault="00C50190" w:rsidP="00C50190">
      <w:pPr>
        <w:widowControl/>
        <w:autoSpaceDE/>
        <w:autoSpaceDN/>
        <w:adjustRightInd/>
        <w:rPr>
          <w:rFonts w:cs="Calibri"/>
          <w:b/>
          <w:bCs/>
        </w:rPr>
      </w:pPr>
    </w:p>
    <w:p w14:paraId="5BF79CB4" w14:textId="1DF2C299" w:rsidR="00C50190" w:rsidRDefault="00C50190" w:rsidP="00C50190">
      <w:pPr>
        <w:widowControl/>
        <w:autoSpaceDE/>
        <w:autoSpaceDN/>
        <w:adjustRightInd/>
        <w:rPr>
          <w:rFonts w:cs="Calibri"/>
          <w:b/>
          <w:bCs/>
        </w:rPr>
      </w:pPr>
      <w:r>
        <w:rPr>
          <w:rFonts w:cs="Calibri"/>
          <w:b/>
          <w:bCs/>
        </w:rPr>
        <w:t>Explanation:</w:t>
      </w:r>
      <w:r w:rsidR="00B16147">
        <w:rPr>
          <w:rFonts w:cs="Calibri"/>
          <w:b/>
          <w:bCs/>
        </w:rPr>
        <w:t xml:space="preserve"> </w:t>
      </w:r>
      <w:r w:rsidR="00B16147">
        <w:rPr>
          <w:rFonts w:cs="Calibri"/>
        </w:rPr>
        <w:t xml:space="preserve">As a result of </w:t>
      </w:r>
      <w:r w:rsidR="008133C2">
        <w:rPr>
          <w:rFonts w:cs="Calibri"/>
        </w:rPr>
        <w:t>SB 592</w:t>
      </w:r>
      <w:r w:rsidR="00B16147">
        <w:rPr>
          <w:rFonts w:cs="Calibri"/>
        </w:rPr>
        <w:t>, Oregon’s average serious penalty for employers with 26-100 workers increased from $</w:t>
      </w:r>
      <w:r w:rsidR="009B126C">
        <w:rPr>
          <w:rFonts w:cs="Calibri"/>
        </w:rPr>
        <w:t>711.16</w:t>
      </w:r>
      <w:r w:rsidR="00B16147">
        <w:rPr>
          <w:rFonts w:cs="Calibri"/>
        </w:rPr>
        <w:t xml:space="preserve"> in FY 2023.  It is expected that the penalty averages will continue to increase as it aligns with OSHA’s.  OSHA will continue to monitor average penalties for serious citations into the next review period.  </w:t>
      </w:r>
    </w:p>
    <w:p w14:paraId="2CBBCF47" w14:textId="77777777" w:rsidR="00C50190" w:rsidRDefault="00C50190" w:rsidP="00DB72BF">
      <w:pPr>
        <w:widowControl/>
        <w:autoSpaceDE/>
        <w:autoSpaceDN/>
        <w:adjustRightInd/>
        <w:rPr>
          <w:rFonts w:cs="Calibri"/>
          <w:b/>
          <w:bCs/>
        </w:rPr>
      </w:pPr>
    </w:p>
    <w:p w14:paraId="36F550D5" w14:textId="1CACD032" w:rsidR="00EF24F9" w:rsidRDefault="008E3ADF" w:rsidP="00DB72BF">
      <w:pPr>
        <w:widowControl/>
        <w:autoSpaceDE/>
        <w:autoSpaceDN/>
        <w:adjustRightInd/>
        <w:rPr>
          <w:rFonts w:cs="Calibri"/>
          <w:b/>
          <w:bCs/>
        </w:rPr>
      </w:pPr>
      <w:r w:rsidRPr="008E3ADF">
        <w:rPr>
          <w:rFonts w:cs="Calibri"/>
          <w:b/>
          <w:bCs/>
        </w:rPr>
        <w:t>SAMM 8c - Average current serious penalty in private sector – total (101-250 workers) </w:t>
      </w:r>
    </w:p>
    <w:p w14:paraId="21320E49" w14:textId="77777777" w:rsidR="008E3ADF" w:rsidRDefault="008E3ADF" w:rsidP="00DB72BF">
      <w:pPr>
        <w:widowControl/>
        <w:autoSpaceDE/>
        <w:autoSpaceDN/>
        <w:adjustRightInd/>
        <w:rPr>
          <w:rFonts w:cs="Calibri"/>
          <w:b/>
          <w:bCs/>
        </w:rPr>
      </w:pPr>
    </w:p>
    <w:p w14:paraId="4797CEC9" w14:textId="055A7B9F" w:rsidR="00C50190" w:rsidRDefault="00C50190" w:rsidP="00C50190">
      <w:pPr>
        <w:widowControl/>
        <w:autoSpaceDE/>
        <w:autoSpaceDN/>
        <w:adjustRightInd/>
        <w:rPr>
          <w:rFonts w:cs="Calibri"/>
          <w:b/>
          <w:bCs/>
        </w:rPr>
      </w:pPr>
      <w:r>
        <w:rPr>
          <w:rFonts w:cs="Calibri"/>
          <w:b/>
          <w:bCs/>
        </w:rPr>
        <w:t>Discussion of Oregon OSHA’s data and FRL:</w:t>
      </w:r>
      <w:r w:rsidR="0011674E">
        <w:rPr>
          <w:rFonts w:cs="Calibri"/>
          <w:b/>
          <w:bCs/>
        </w:rPr>
        <w:t xml:space="preserve"> </w:t>
      </w:r>
      <w:r w:rsidR="0011674E" w:rsidRPr="0011674E">
        <w:rPr>
          <w:rFonts w:cs="Calibri"/>
        </w:rPr>
        <w:t xml:space="preserve">The FRL for the average current penalty for 101-250 workers was +/- 25% of $6,114.84, which was based on a three-year national average and provides a range of $4,586.13 to $7,643.55.  In </w:t>
      </w:r>
      <w:r w:rsidR="0011674E">
        <w:rPr>
          <w:rFonts w:cs="Calibri"/>
        </w:rPr>
        <w:t>Oregon</w:t>
      </w:r>
      <w:r w:rsidR="0011674E" w:rsidRPr="0011674E">
        <w:rPr>
          <w:rFonts w:cs="Calibri"/>
        </w:rPr>
        <w:t>, employers with 101-250 workers were penalized at an average of $</w:t>
      </w:r>
      <w:r w:rsidR="0011674E">
        <w:rPr>
          <w:rFonts w:cs="Calibri"/>
        </w:rPr>
        <w:t>2,934.70</w:t>
      </w:r>
      <w:r w:rsidR="0011674E" w:rsidRPr="0011674E">
        <w:rPr>
          <w:rFonts w:cs="Calibri"/>
        </w:rPr>
        <w:t xml:space="preserve"> per serious violation, which was </w:t>
      </w:r>
      <w:r w:rsidR="0011674E">
        <w:rPr>
          <w:rFonts w:cs="Calibri"/>
        </w:rPr>
        <w:t>below</w:t>
      </w:r>
      <w:r w:rsidR="0011674E" w:rsidRPr="0011674E">
        <w:rPr>
          <w:rFonts w:cs="Calibri"/>
        </w:rPr>
        <w:t xml:space="preserve"> the FRL range.  </w:t>
      </w:r>
    </w:p>
    <w:p w14:paraId="25E4DB4C" w14:textId="77777777" w:rsidR="00C50190" w:rsidRDefault="00C50190" w:rsidP="00C50190">
      <w:pPr>
        <w:widowControl/>
        <w:autoSpaceDE/>
        <w:autoSpaceDN/>
        <w:adjustRightInd/>
        <w:rPr>
          <w:rFonts w:cs="Calibri"/>
          <w:b/>
          <w:bCs/>
        </w:rPr>
      </w:pPr>
    </w:p>
    <w:p w14:paraId="57BDCA20" w14:textId="3FF96F3C" w:rsidR="00C50190" w:rsidRDefault="00C50190" w:rsidP="00C50190">
      <w:pPr>
        <w:widowControl/>
        <w:autoSpaceDE/>
        <w:autoSpaceDN/>
        <w:adjustRightInd/>
        <w:rPr>
          <w:rFonts w:cs="Calibri"/>
          <w:b/>
          <w:bCs/>
        </w:rPr>
      </w:pPr>
      <w:r>
        <w:rPr>
          <w:rFonts w:cs="Calibri"/>
          <w:b/>
          <w:bCs/>
        </w:rPr>
        <w:t>Explanation:</w:t>
      </w:r>
      <w:r w:rsidR="007859B2">
        <w:rPr>
          <w:rFonts w:cs="Calibri"/>
          <w:b/>
          <w:bCs/>
        </w:rPr>
        <w:t xml:space="preserve"> </w:t>
      </w:r>
      <w:r w:rsidR="007859B2">
        <w:rPr>
          <w:rFonts w:cs="Calibri"/>
        </w:rPr>
        <w:t xml:space="preserve">As a result of </w:t>
      </w:r>
      <w:r w:rsidR="008133C2">
        <w:rPr>
          <w:rFonts w:cs="Calibri"/>
        </w:rPr>
        <w:t>SB 592</w:t>
      </w:r>
      <w:r w:rsidR="007859B2">
        <w:rPr>
          <w:rFonts w:cs="Calibri"/>
        </w:rPr>
        <w:t xml:space="preserve">, Oregon’s average serious penalty for employers with 101-250 workers increased from $926.99 in FY 2023.  It is expected that the penalty averages will continue to increase as it aligns with OSHA’s.  OSHA will continue to monitor average penalties for serious citations into the next review period.  </w:t>
      </w:r>
    </w:p>
    <w:p w14:paraId="518955C9" w14:textId="77777777" w:rsidR="00C50190" w:rsidRDefault="00C50190" w:rsidP="00DB72BF">
      <w:pPr>
        <w:widowControl/>
        <w:autoSpaceDE/>
        <w:autoSpaceDN/>
        <w:adjustRightInd/>
        <w:rPr>
          <w:rFonts w:cs="Calibri"/>
          <w:b/>
          <w:bCs/>
        </w:rPr>
      </w:pPr>
    </w:p>
    <w:p w14:paraId="6CDA6F15" w14:textId="428DB5EE" w:rsidR="008E3ADF" w:rsidRDefault="008E3ADF" w:rsidP="00DB72BF">
      <w:pPr>
        <w:widowControl/>
        <w:autoSpaceDE/>
        <w:autoSpaceDN/>
        <w:adjustRightInd/>
        <w:rPr>
          <w:rFonts w:cs="Calibri"/>
          <w:b/>
          <w:bCs/>
        </w:rPr>
      </w:pPr>
      <w:r w:rsidRPr="008E3ADF">
        <w:rPr>
          <w:rFonts w:cs="Calibri"/>
          <w:b/>
          <w:bCs/>
        </w:rPr>
        <w:t>SAMM 8d - Average current serious penalty in private sector – total (greater than 250 workers) </w:t>
      </w:r>
    </w:p>
    <w:p w14:paraId="788A3A50" w14:textId="77777777" w:rsidR="009A76D9" w:rsidRDefault="009A76D9" w:rsidP="00DB72BF">
      <w:pPr>
        <w:widowControl/>
        <w:autoSpaceDE/>
        <w:autoSpaceDN/>
        <w:adjustRightInd/>
        <w:rPr>
          <w:rFonts w:cs="Calibri"/>
          <w:b/>
          <w:bCs/>
        </w:rPr>
      </w:pPr>
    </w:p>
    <w:p w14:paraId="67B52AB0" w14:textId="78739C30" w:rsidR="00C50190" w:rsidRDefault="00C50190" w:rsidP="00C50190">
      <w:pPr>
        <w:widowControl/>
        <w:autoSpaceDE/>
        <w:autoSpaceDN/>
        <w:adjustRightInd/>
        <w:rPr>
          <w:rFonts w:cs="Calibri"/>
          <w:b/>
          <w:bCs/>
        </w:rPr>
      </w:pPr>
      <w:r>
        <w:rPr>
          <w:rFonts w:cs="Calibri"/>
          <w:b/>
          <w:bCs/>
        </w:rPr>
        <w:t>Discussion of Oregon OSHA’s data and FRL:</w:t>
      </w:r>
      <w:r w:rsidR="009E5EC5">
        <w:rPr>
          <w:rFonts w:cs="Calibri"/>
          <w:b/>
          <w:bCs/>
        </w:rPr>
        <w:t xml:space="preserve"> </w:t>
      </w:r>
      <w:r w:rsidR="009E5EC5" w:rsidRPr="009E5EC5">
        <w:rPr>
          <w:rFonts w:cs="Calibri"/>
        </w:rPr>
        <w:t>The FRL for the average current penalty for 250</w:t>
      </w:r>
      <w:r w:rsidR="00806136">
        <w:rPr>
          <w:rFonts w:cs="Calibri"/>
        </w:rPr>
        <w:t xml:space="preserve"> or more</w:t>
      </w:r>
      <w:r w:rsidR="009E5EC5" w:rsidRPr="009E5EC5">
        <w:rPr>
          <w:rFonts w:cs="Calibri"/>
        </w:rPr>
        <w:t xml:space="preserve"> workers was +/- 25% of $7,533.58, which was based on a three-year national average and provides a range of $5,650.19 to $9,416.98.  In </w:t>
      </w:r>
      <w:r w:rsidR="0000770F">
        <w:rPr>
          <w:rFonts w:cs="Calibri"/>
        </w:rPr>
        <w:t>Oregon</w:t>
      </w:r>
      <w:r w:rsidR="009E5EC5" w:rsidRPr="009E5EC5">
        <w:rPr>
          <w:rFonts w:cs="Calibri"/>
        </w:rPr>
        <w:t>, employers with greater than 250 workers were penalized at an average of $</w:t>
      </w:r>
      <w:r w:rsidR="009E5EC5">
        <w:rPr>
          <w:rFonts w:cs="Calibri"/>
        </w:rPr>
        <w:t>2,298.18</w:t>
      </w:r>
      <w:r w:rsidR="009E5EC5" w:rsidRPr="009E5EC5">
        <w:rPr>
          <w:rFonts w:cs="Calibri"/>
        </w:rPr>
        <w:t xml:space="preserve"> per serious violation, which was </w:t>
      </w:r>
      <w:r w:rsidR="009E5EC5">
        <w:rPr>
          <w:rFonts w:cs="Calibri"/>
        </w:rPr>
        <w:t>below</w:t>
      </w:r>
      <w:r w:rsidR="009E5EC5" w:rsidRPr="009E5EC5">
        <w:rPr>
          <w:rFonts w:cs="Calibri"/>
        </w:rPr>
        <w:t xml:space="preserve"> the FRL range.  </w:t>
      </w:r>
    </w:p>
    <w:p w14:paraId="2C337F3A" w14:textId="77777777" w:rsidR="00C50190" w:rsidRDefault="00C50190" w:rsidP="00C50190">
      <w:pPr>
        <w:widowControl/>
        <w:autoSpaceDE/>
        <w:autoSpaceDN/>
        <w:adjustRightInd/>
        <w:rPr>
          <w:rFonts w:cs="Calibri"/>
          <w:b/>
          <w:bCs/>
        </w:rPr>
      </w:pPr>
    </w:p>
    <w:p w14:paraId="4EA48D04" w14:textId="64FCE789" w:rsidR="00C50190" w:rsidRDefault="00C50190" w:rsidP="00C50190">
      <w:pPr>
        <w:widowControl/>
        <w:autoSpaceDE/>
        <w:autoSpaceDN/>
        <w:adjustRightInd/>
        <w:rPr>
          <w:rFonts w:cs="Calibri"/>
          <w:b/>
          <w:bCs/>
        </w:rPr>
      </w:pPr>
      <w:r>
        <w:rPr>
          <w:rFonts w:cs="Calibri"/>
          <w:b/>
          <w:bCs/>
        </w:rPr>
        <w:t>Explanation:</w:t>
      </w:r>
      <w:r w:rsidR="007859B2">
        <w:rPr>
          <w:rFonts w:cs="Calibri"/>
          <w:b/>
          <w:bCs/>
        </w:rPr>
        <w:t xml:space="preserve"> </w:t>
      </w:r>
      <w:r w:rsidR="007859B2">
        <w:rPr>
          <w:rFonts w:cs="Calibri"/>
        </w:rPr>
        <w:t xml:space="preserve">As a result of </w:t>
      </w:r>
      <w:r w:rsidR="008133C2">
        <w:rPr>
          <w:rFonts w:cs="Calibri"/>
        </w:rPr>
        <w:t>SB 592</w:t>
      </w:r>
      <w:r w:rsidR="007859B2">
        <w:rPr>
          <w:rFonts w:cs="Calibri"/>
        </w:rPr>
        <w:t xml:space="preserve">, Oregon’s average serious penalty for employers with </w:t>
      </w:r>
      <w:r w:rsidR="00A53DAE">
        <w:rPr>
          <w:rFonts w:cs="Calibri"/>
        </w:rPr>
        <w:t>250 or more</w:t>
      </w:r>
      <w:r w:rsidR="007859B2">
        <w:rPr>
          <w:rFonts w:cs="Calibri"/>
        </w:rPr>
        <w:t xml:space="preserve"> workers increased from $</w:t>
      </w:r>
      <w:r w:rsidR="00A53DAE">
        <w:rPr>
          <w:rFonts w:cs="Calibri"/>
        </w:rPr>
        <w:t>1,000.67</w:t>
      </w:r>
      <w:r w:rsidR="007859B2">
        <w:rPr>
          <w:rFonts w:cs="Calibri"/>
        </w:rPr>
        <w:t xml:space="preserve"> in FY 2023.  It is expected that the penalty averages will continue to increase as it aligns with OSHA’s.  OSHA will continue to monitor average penalties for serious citations into the next review period.  </w:t>
      </w:r>
    </w:p>
    <w:p w14:paraId="215FE673" w14:textId="77777777" w:rsidR="009A76D9" w:rsidRDefault="009A76D9" w:rsidP="00DB72BF">
      <w:pPr>
        <w:widowControl/>
        <w:autoSpaceDE/>
        <w:autoSpaceDN/>
        <w:adjustRightInd/>
        <w:rPr>
          <w:rFonts w:cs="Calibri"/>
          <w:b/>
          <w:bCs/>
        </w:rPr>
      </w:pPr>
    </w:p>
    <w:p w14:paraId="40905B76" w14:textId="07D03D94" w:rsidR="00806136" w:rsidRDefault="00806136" w:rsidP="00DB72BF">
      <w:pPr>
        <w:widowControl/>
        <w:autoSpaceDE/>
        <w:autoSpaceDN/>
        <w:adjustRightInd/>
        <w:rPr>
          <w:rFonts w:cs="Calibri"/>
          <w:b/>
          <w:bCs/>
        </w:rPr>
      </w:pPr>
      <w:r>
        <w:rPr>
          <w:rFonts w:cs="Calibri"/>
          <w:b/>
          <w:bCs/>
        </w:rPr>
        <w:t>SAMM 9b – Percent in compliance (health)</w:t>
      </w:r>
    </w:p>
    <w:p w14:paraId="068E3FC0" w14:textId="77777777" w:rsidR="00806136" w:rsidRDefault="00806136" w:rsidP="00DB72BF">
      <w:pPr>
        <w:widowControl/>
        <w:autoSpaceDE/>
        <w:autoSpaceDN/>
        <w:adjustRightInd/>
        <w:rPr>
          <w:rFonts w:cs="Calibri"/>
          <w:b/>
          <w:bCs/>
        </w:rPr>
      </w:pPr>
    </w:p>
    <w:p w14:paraId="4DE71C61" w14:textId="5FB1E273" w:rsidR="00806136" w:rsidRDefault="00806136" w:rsidP="00DB72BF">
      <w:pPr>
        <w:widowControl/>
        <w:autoSpaceDE/>
        <w:autoSpaceDN/>
        <w:adjustRightInd/>
        <w:rPr>
          <w:rFonts w:cs="Calibri"/>
          <w:b/>
          <w:bCs/>
        </w:rPr>
      </w:pPr>
      <w:r>
        <w:rPr>
          <w:rFonts w:cs="Calibri"/>
          <w:b/>
          <w:bCs/>
        </w:rPr>
        <w:t>Discussion of Oregon OSHA</w:t>
      </w:r>
      <w:r w:rsidR="00F90809">
        <w:rPr>
          <w:rFonts w:cs="Calibri"/>
          <w:b/>
          <w:bCs/>
        </w:rPr>
        <w:t>’</w:t>
      </w:r>
      <w:r>
        <w:rPr>
          <w:rFonts w:cs="Calibri"/>
          <w:b/>
          <w:bCs/>
        </w:rPr>
        <w:t>s data and FRL:</w:t>
      </w:r>
      <w:r w:rsidR="00F90809">
        <w:rPr>
          <w:rFonts w:cs="Calibri"/>
          <w:b/>
          <w:bCs/>
        </w:rPr>
        <w:t xml:space="preserve"> </w:t>
      </w:r>
      <w:r w:rsidR="00F90809" w:rsidRPr="00F90809">
        <w:rPr>
          <w:rFonts w:cs="Calibri"/>
        </w:rPr>
        <w:t xml:space="preserve">The FRL for percent in compliance for health inspections (SAMM 9b) is +/- 20% of 44.18%, which was based on a three-year national average and provides an acceptable range of 35.34% to 53.01%.  According to Appendix D, </w:t>
      </w:r>
      <w:r w:rsidR="00AA0171">
        <w:rPr>
          <w:rFonts w:cs="Calibri"/>
        </w:rPr>
        <w:t>Oregon’s</w:t>
      </w:r>
      <w:r w:rsidR="00F90809" w:rsidRPr="00F90809">
        <w:rPr>
          <w:rFonts w:cs="Calibri"/>
        </w:rPr>
        <w:t xml:space="preserve"> percent in compliance for health inspections was </w:t>
      </w:r>
      <w:r w:rsidR="00AA0171">
        <w:rPr>
          <w:rFonts w:cs="Calibri"/>
        </w:rPr>
        <w:t>33.48</w:t>
      </w:r>
      <w:r w:rsidR="00F90809" w:rsidRPr="00F90809">
        <w:rPr>
          <w:rFonts w:cs="Calibri"/>
        </w:rPr>
        <w:t>% and below the FRL. </w:t>
      </w:r>
    </w:p>
    <w:p w14:paraId="434C30AC" w14:textId="77777777" w:rsidR="00806136" w:rsidRDefault="00806136" w:rsidP="00DB72BF">
      <w:pPr>
        <w:widowControl/>
        <w:autoSpaceDE/>
        <w:autoSpaceDN/>
        <w:adjustRightInd/>
        <w:rPr>
          <w:rFonts w:cs="Calibri"/>
          <w:b/>
          <w:bCs/>
        </w:rPr>
      </w:pPr>
    </w:p>
    <w:p w14:paraId="281DDF1B" w14:textId="41E7F1B8" w:rsidR="00806136" w:rsidRDefault="00806136" w:rsidP="003C071A">
      <w:pPr>
        <w:widowControl/>
        <w:tabs>
          <w:tab w:val="left" w:pos="1853"/>
        </w:tabs>
        <w:autoSpaceDE/>
        <w:autoSpaceDN/>
        <w:adjustRightInd/>
        <w:rPr>
          <w:rFonts w:cs="Calibri"/>
          <w:b/>
          <w:bCs/>
        </w:rPr>
      </w:pPr>
      <w:r>
        <w:rPr>
          <w:rFonts w:cs="Calibri"/>
          <w:b/>
          <w:bCs/>
        </w:rPr>
        <w:t>Explanation:</w:t>
      </w:r>
      <w:r w:rsidR="00202E1F">
        <w:rPr>
          <w:rFonts w:cs="Calibri"/>
          <w:b/>
          <w:bCs/>
        </w:rPr>
        <w:t xml:space="preserve"> </w:t>
      </w:r>
      <w:r w:rsidR="00202E1F" w:rsidRPr="00202E1F">
        <w:rPr>
          <w:rFonts w:cs="Calibri"/>
        </w:rPr>
        <w:t xml:space="preserve">In FY 2024, </w:t>
      </w:r>
      <w:r w:rsidR="00202E1F">
        <w:rPr>
          <w:rFonts w:cs="Calibri"/>
        </w:rPr>
        <w:t>Oregon</w:t>
      </w:r>
      <w:r w:rsidR="00202E1F" w:rsidRPr="00202E1F">
        <w:rPr>
          <w:rFonts w:cs="Calibri"/>
        </w:rPr>
        <w:t xml:space="preserve"> issued citations in a greater number of health inspections</w:t>
      </w:r>
      <w:r w:rsidR="00202E1F">
        <w:rPr>
          <w:rFonts w:cs="Calibri"/>
        </w:rPr>
        <w:t xml:space="preserve">, lowering the </w:t>
      </w:r>
      <w:r w:rsidR="003C071A">
        <w:rPr>
          <w:rFonts w:cs="Calibri"/>
        </w:rPr>
        <w:t>in-compliance</w:t>
      </w:r>
      <w:r w:rsidR="00202E1F">
        <w:rPr>
          <w:rFonts w:cs="Calibri"/>
        </w:rPr>
        <w:t xml:space="preserve"> rate</w:t>
      </w:r>
      <w:r w:rsidR="00202E1F" w:rsidRPr="00202E1F">
        <w:rPr>
          <w:rFonts w:cs="Calibri"/>
        </w:rPr>
        <w:t>.  </w:t>
      </w:r>
      <w:r w:rsidR="005F5C7E">
        <w:rPr>
          <w:rFonts w:cs="Calibri"/>
        </w:rPr>
        <w:t>This indicates that Oregon performed better than the national average</w:t>
      </w:r>
      <w:r w:rsidR="00202E1F" w:rsidRPr="00202E1F">
        <w:rPr>
          <w:rFonts w:cs="Calibri"/>
        </w:rPr>
        <w:t>.</w:t>
      </w:r>
      <w:r w:rsidR="00202E1F" w:rsidRPr="00202E1F">
        <w:rPr>
          <w:rFonts w:cs="Calibri"/>
          <w:b/>
          <w:bCs/>
        </w:rPr>
        <w:t xml:space="preserve">  </w:t>
      </w:r>
    </w:p>
    <w:p w14:paraId="5FF0BEE4" w14:textId="77777777" w:rsidR="00806136" w:rsidRDefault="00806136" w:rsidP="00DB72BF">
      <w:pPr>
        <w:widowControl/>
        <w:autoSpaceDE/>
        <w:autoSpaceDN/>
        <w:adjustRightInd/>
        <w:rPr>
          <w:rFonts w:cs="Calibri"/>
          <w:b/>
          <w:bCs/>
        </w:rPr>
      </w:pPr>
    </w:p>
    <w:p w14:paraId="42FCD5E1" w14:textId="019A3DDD" w:rsidR="009345D3" w:rsidRDefault="004D377F" w:rsidP="00DB72BF">
      <w:pPr>
        <w:widowControl/>
        <w:autoSpaceDE/>
        <w:autoSpaceDN/>
        <w:adjustRightInd/>
        <w:rPr>
          <w:rFonts w:asciiTheme="minorHAnsi" w:hAnsiTheme="minorHAnsi" w:cstheme="minorBidi"/>
          <w:b/>
          <w:bCs/>
        </w:rPr>
      </w:pPr>
      <w:r w:rsidRPr="00D9350C">
        <w:rPr>
          <w:rFonts w:cs="Calibri"/>
          <w:b/>
          <w:bCs/>
        </w:rPr>
        <w:t xml:space="preserve">SAMM 10 - </w:t>
      </w:r>
      <w:r w:rsidR="008D368A" w:rsidRPr="00D9350C">
        <w:rPr>
          <w:rFonts w:asciiTheme="minorHAnsi" w:hAnsiTheme="minorHAnsi" w:cstheme="minorBidi"/>
          <w:b/>
          <w:bCs/>
        </w:rPr>
        <w:t>Percent of work-related fatalities responded to in one workday</w:t>
      </w:r>
      <w:r w:rsidR="009345D3">
        <w:rPr>
          <w:rFonts w:asciiTheme="minorHAnsi" w:hAnsiTheme="minorHAnsi" w:cstheme="minorBidi"/>
          <w:b/>
          <w:bCs/>
        </w:rPr>
        <w:t xml:space="preserve"> </w:t>
      </w:r>
    </w:p>
    <w:p w14:paraId="78A5FA71" w14:textId="77777777" w:rsidR="009345D3" w:rsidRDefault="009345D3" w:rsidP="00DB72BF">
      <w:pPr>
        <w:widowControl/>
        <w:autoSpaceDE/>
        <w:autoSpaceDN/>
        <w:adjustRightInd/>
        <w:rPr>
          <w:rFonts w:asciiTheme="minorHAnsi" w:hAnsiTheme="minorHAnsi" w:cstheme="minorBidi"/>
          <w:b/>
          <w:bCs/>
        </w:rPr>
      </w:pPr>
    </w:p>
    <w:p w14:paraId="1285BBDD" w14:textId="15D52C1F" w:rsidR="00562FE3" w:rsidRDefault="009345D3" w:rsidP="00DB72BF">
      <w:pPr>
        <w:widowControl/>
        <w:autoSpaceDE/>
        <w:autoSpaceDN/>
        <w:adjustRightInd/>
        <w:rPr>
          <w:rFonts w:asciiTheme="minorHAnsi" w:hAnsiTheme="minorHAnsi" w:cstheme="minorBidi"/>
        </w:rPr>
      </w:pPr>
      <w:r w:rsidRPr="00E862A6">
        <w:rPr>
          <w:rFonts w:asciiTheme="minorHAnsi" w:hAnsiTheme="minorHAnsi" w:cstheme="minorBidi"/>
          <w:b/>
          <w:bCs/>
        </w:rPr>
        <w:t xml:space="preserve">Discussion of Oregon OSHA’s </w:t>
      </w:r>
      <w:r w:rsidR="00B12FE0" w:rsidRPr="00E862A6">
        <w:rPr>
          <w:rFonts w:asciiTheme="minorHAnsi" w:hAnsiTheme="minorHAnsi" w:cstheme="minorBidi"/>
          <w:b/>
          <w:bCs/>
        </w:rPr>
        <w:t>data and FRL:</w:t>
      </w:r>
      <w:r w:rsidR="00B12FE0">
        <w:rPr>
          <w:rFonts w:asciiTheme="minorHAnsi" w:hAnsiTheme="minorHAnsi" w:cstheme="minorBidi"/>
        </w:rPr>
        <w:t xml:space="preserve"> The FRL for fatalities responded to in one workday is </w:t>
      </w:r>
      <w:r w:rsidR="00C42850">
        <w:rPr>
          <w:rFonts w:asciiTheme="minorHAnsi" w:hAnsiTheme="minorHAnsi" w:cstheme="minorBidi"/>
        </w:rPr>
        <w:t xml:space="preserve">fixed for all state plans at </w:t>
      </w:r>
      <w:r w:rsidR="00B12FE0">
        <w:rPr>
          <w:rFonts w:asciiTheme="minorHAnsi" w:hAnsiTheme="minorHAnsi" w:cstheme="minorBidi"/>
        </w:rPr>
        <w:t xml:space="preserve">100%.  </w:t>
      </w:r>
      <w:r w:rsidR="00C42850">
        <w:rPr>
          <w:rFonts w:asciiTheme="minorHAnsi" w:hAnsiTheme="minorHAnsi" w:cstheme="minorBidi"/>
        </w:rPr>
        <w:t xml:space="preserve">According to Appendix D, </w:t>
      </w:r>
      <w:r w:rsidR="00554C8E">
        <w:rPr>
          <w:rFonts w:asciiTheme="minorHAnsi" w:hAnsiTheme="minorHAnsi" w:cstheme="minorBidi"/>
        </w:rPr>
        <w:t>Oregon OSHA</w:t>
      </w:r>
      <w:r w:rsidR="009F6ED4">
        <w:rPr>
          <w:rFonts w:asciiTheme="minorHAnsi" w:hAnsiTheme="minorHAnsi" w:cstheme="minorBidi"/>
        </w:rPr>
        <w:t xml:space="preserve"> responded to fatalities </w:t>
      </w:r>
      <w:r w:rsidR="00C42850">
        <w:rPr>
          <w:rFonts w:asciiTheme="minorHAnsi" w:hAnsiTheme="minorHAnsi" w:cstheme="minorBidi"/>
        </w:rPr>
        <w:t xml:space="preserve">within </w:t>
      </w:r>
      <w:r w:rsidR="009F6ED4">
        <w:rPr>
          <w:rFonts w:asciiTheme="minorHAnsi" w:hAnsiTheme="minorHAnsi" w:cstheme="minorBidi"/>
        </w:rPr>
        <w:t>one work</w:t>
      </w:r>
      <w:r w:rsidR="00C42850">
        <w:rPr>
          <w:rFonts w:asciiTheme="minorHAnsi" w:hAnsiTheme="minorHAnsi" w:cstheme="minorBidi"/>
        </w:rPr>
        <w:t xml:space="preserve">ing </w:t>
      </w:r>
      <w:r w:rsidR="009F6ED4">
        <w:rPr>
          <w:rFonts w:asciiTheme="minorHAnsi" w:hAnsiTheme="minorHAnsi" w:cstheme="minorBidi"/>
        </w:rPr>
        <w:t>day</w:t>
      </w:r>
      <w:r w:rsidR="00FF5BF5">
        <w:rPr>
          <w:rFonts w:asciiTheme="minorHAnsi" w:hAnsiTheme="minorHAnsi" w:cstheme="minorBidi"/>
        </w:rPr>
        <w:t xml:space="preserve"> (SAMM 10)</w:t>
      </w:r>
      <w:r w:rsidR="009F6ED4">
        <w:rPr>
          <w:rFonts w:asciiTheme="minorHAnsi" w:hAnsiTheme="minorHAnsi" w:cstheme="minorBidi"/>
        </w:rPr>
        <w:t xml:space="preserve"> in </w:t>
      </w:r>
      <w:r w:rsidR="00C31326">
        <w:rPr>
          <w:rFonts w:asciiTheme="minorHAnsi" w:hAnsiTheme="minorHAnsi" w:cstheme="minorBidi"/>
        </w:rPr>
        <w:t>87.50</w:t>
      </w:r>
      <w:r w:rsidR="007F6B86">
        <w:rPr>
          <w:rFonts w:asciiTheme="minorHAnsi" w:hAnsiTheme="minorHAnsi" w:cstheme="minorBidi"/>
        </w:rPr>
        <w:t>% of cases</w:t>
      </w:r>
      <w:r w:rsidR="00E862A6">
        <w:rPr>
          <w:rFonts w:asciiTheme="minorHAnsi" w:hAnsiTheme="minorHAnsi" w:cstheme="minorBidi"/>
        </w:rPr>
        <w:t>, falling below the FRL</w:t>
      </w:r>
      <w:r w:rsidR="007F6B86">
        <w:rPr>
          <w:rFonts w:asciiTheme="minorHAnsi" w:hAnsiTheme="minorHAnsi" w:cstheme="minorBidi"/>
        </w:rPr>
        <w:t xml:space="preserve">.  </w:t>
      </w:r>
    </w:p>
    <w:p w14:paraId="2F84B5AC" w14:textId="77777777" w:rsidR="00562FE3" w:rsidRDefault="00562FE3" w:rsidP="00DB72BF">
      <w:pPr>
        <w:widowControl/>
        <w:autoSpaceDE/>
        <w:autoSpaceDN/>
        <w:adjustRightInd/>
        <w:rPr>
          <w:rFonts w:asciiTheme="minorHAnsi" w:hAnsiTheme="minorHAnsi" w:cstheme="minorBidi"/>
        </w:rPr>
      </w:pPr>
    </w:p>
    <w:p w14:paraId="48291F40" w14:textId="22C0EFD0" w:rsidR="00B546ED" w:rsidRDefault="00562FE3" w:rsidP="00DB72BF">
      <w:pPr>
        <w:widowControl/>
        <w:autoSpaceDE/>
        <w:autoSpaceDN/>
        <w:adjustRightInd/>
        <w:rPr>
          <w:rFonts w:asciiTheme="minorHAnsi" w:hAnsiTheme="minorHAnsi" w:cstheme="minorBidi"/>
        </w:rPr>
      </w:pPr>
      <w:r w:rsidRPr="00E862A6">
        <w:rPr>
          <w:rFonts w:asciiTheme="minorHAnsi" w:hAnsiTheme="minorHAnsi" w:cstheme="minorBidi"/>
          <w:b/>
          <w:bCs/>
        </w:rPr>
        <w:t>Explanation</w:t>
      </w:r>
      <w:r w:rsidR="00E862A6" w:rsidRPr="00E862A6">
        <w:rPr>
          <w:rFonts w:asciiTheme="minorHAnsi" w:hAnsiTheme="minorHAnsi" w:cstheme="minorBidi"/>
          <w:b/>
          <w:bCs/>
        </w:rPr>
        <w:t>:</w:t>
      </w:r>
      <w:r>
        <w:rPr>
          <w:rFonts w:asciiTheme="minorHAnsi" w:hAnsiTheme="minorHAnsi" w:cstheme="minorBidi"/>
        </w:rPr>
        <w:t xml:space="preserve">  </w:t>
      </w:r>
      <w:r w:rsidR="00C13257">
        <w:rPr>
          <w:rFonts w:asciiTheme="minorHAnsi" w:hAnsiTheme="minorHAnsi" w:cstheme="minorBidi"/>
        </w:rPr>
        <w:t>Oregon OSHA</w:t>
      </w:r>
      <w:r w:rsidR="00D27AFE">
        <w:rPr>
          <w:rFonts w:asciiTheme="minorHAnsi" w:hAnsiTheme="minorHAnsi" w:cstheme="minorBidi"/>
        </w:rPr>
        <w:t xml:space="preserve"> generally </w:t>
      </w:r>
      <w:r w:rsidR="00316D14">
        <w:rPr>
          <w:rFonts w:asciiTheme="minorHAnsi" w:hAnsiTheme="minorHAnsi" w:cstheme="minorBidi"/>
        </w:rPr>
        <w:t>respond</w:t>
      </w:r>
      <w:r w:rsidR="002D3290">
        <w:rPr>
          <w:rFonts w:asciiTheme="minorHAnsi" w:hAnsiTheme="minorHAnsi" w:cstheme="minorBidi"/>
        </w:rPr>
        <w:t>ed</w:t>
      </w:r>
      <w:r w:rsidR="00316D14">
        <w:rPr>
          <w:rFonts w:asciiTheme="minorHAnsi" w:hAnsiTheme="minorHAnsi" w:cstheme="minorBidi"/>
        </w:rPr>
        <w:t xml:space="preserve"> to fatalities within one working </w:t>
      </w:r>
      <w:r w:rsidR="005F2316">
        <w:rPr>
          <w:rFonts w:asciiTheme="minorHAnsi" w:hAnsiTheme="minorHAnsi" w:cstheme="minorBidi"/>
        </w:rPr>
        <w:t>day</w:t>
      </w:r>
      <w:r w:rsidR="00316D14">
        <w:rPr>
          <w:rFonts w:asciiTheme="minorHAnsi" w:hAnsiTheme="minorHAnsi" w:cstheme="minorBidi"/>
        </w:rPr>
        <w:t xml:space="preserve">. </w:t>
      </w:r>
      <w:r w:rsidR="00FF5BF5">
        <w:rPr>
          <w:rFonts w:asciiTheme="minorHAnsi" w:hAnsiTheme="minorHAnsi" w:cstheme="minorBidi"/>
        </w:rPr>
        <w:t xml:space="preserve"> According to the SAMM report, </w:t>
      </w:r>
      <w:r w:rsidR="00D34E5F">
        <w:rPr>
          <w:rFonts w:asciiTheme="minorHAnsi" w:hAnsiTheme="minorHAnsi" w:cstheme="minorBidi"/>
        </w:rPr>
        <w:t xml:space="preserve">in FY 2024, </w:t>
      </w:r>
      <w:r w:rsidR="00FF5BF5">
        <w:rPr>
          <w:rFonts w:asciiTheme="minorHAnsi" w:hAnsiTheme="minorHAnsi" w:cstheme="minorBidi"/>
        </w:rPr>
        <w:t>28 of 32</w:t>
      </w:r>
      <w:r w:rsidR="00FE1A13">
        <w:rPr>
          <w:rFonts w:asciiTheme="minorHAnsi" w:hAnsiTheme="minorHAnsi" w:cstheme="minorBidi"/>
        </w:rPr>
        <w:t xml:space="preserve"> </w:t>
      </w:r>
      <w:r w:rsidR="003940FA">
        <w:rPr>
          <w:rFonts w:asciiTheme="minorHAnsi" w:hAnsiTheme="minorHAnsi" w:cstheme="minorBidi"/>
        </w:rPr>
        <w:t xml:space="preserve">(87.50%) </w:t>
      </w:r>
      <w:r w:rsidR="00FF5BF5">
        <w:rPr>
          <w:rFonts w:asciiTheme="minorHAnsi" w:hAnsiTheme="minorHAnsi" w:cstheme="minorBidi"/>
        </w:rPr>
        <w:t>inspection</w:t>
      </w:r>
      <w:r w:rsidR="00FE1A13">
        <w:rPr>
          <w:rFonts w:asciiTheme="minorHAnsi" w:hAnsiTheme="minorHAnsi" w:cstheme="minorBidi"/>
        </w:rPr>
        <w:t>s</w:t>
      </w:r>
      <w:r w:rsidR="00FF5BF5">
        <w:rPr>
          <w:rFonts w:asciiTheme="minorHAnsi" w:hAnsiTheme="minorHAnsi" w:cstheme="minorBidi"/>
        </w:rPr>
        <w:t xml:space="preserve"> </w:t>
      </w:r>
      <w:r w:rsidR="00FE1A13">
        <w:rPr>
          <w:rFonts w:asciiTheme="minorHAnsi" w:hAnsiTheme="minorHAnsi" w:cstheme="minorBidi"/>
        </w:rPr>
        <w:t xml:space="preserve">were initiated </w:t>
      </w:r>
      <w:r w:rsidR="00FF5BF5">
        <w:rPr>
          <w:rFonts w:asciiTheme="minorHAnsi" w:hAnsiTheme="minorHAnsi" w:cstheme="minorBidi"/>
        </w:rPr>
        <w:t>with</w:t>
      </w:r>
      <w:r w:rsidR="00AA37BE">
        <w:rPr>
          <w:rFonts w:asciiTheme="minorHAnsi" w:hAnsiTheme="minorHAnsi" w:cstheme="minorBidi"/>
        </w:rPr>
        <w:t xml:space="preserve">in </w:t>
      </w:r>
      <w:r w:rsidR="005F2316">
        <w:rPr>
          <w:rFonts w:asciiTheme="minorHAnsi" w:hAnsiTheme="minorHAnsi" w:cstheme="minorBidi"/>
        </w:rPr>
        <w:t>one-day</w:t>
      </w:r>
      <w:r w:rsidR="00FE1A13">
        <w:rPr>
          <w:rFonts w:asciiTheme="minorHAnsi" w:hAnsiTheme="minorHAnsi" w:cstheme="minorBidi"/>
        </w:rPr>
        <w:t xml:space="preserve"> of the fatal event</w:t>
      </w:r>
      <w:r w:rsidR="004056E5">
        <w:rPr>
          <w:rFonts w:asciiTheme="minorHAnsi" w:hAnsiTheme="minorHAnsi" w:cstheme="minorBidi"/>
        </w:rPr>
        <w:t xml:space="preserve"> and below the FRL</w:t>
      </w:r>
      <w:r w:rsidR="00AA37BE">
        <w:rPr>
          <w:rFonts w:asciiTheme="minorHAnsi" w:hAnsiTheme="minorHAnsi" w:cstheme="minorBidi"/>
        </w:rPr>
        <w:t xml:space="preserve">. </w:t>
      </w:r>
      <w:r w:rsidR="00AC5FC2">
        <w:rPr>
          <w:rFonts w:asciiTheme="minorHAnsi" w:hAnsiTheme="minorHAnsi" w:cstheme="minorBidi"/>
        </w:rPr>
        <w:t xml:space="preserve"> </w:t>
      </w:r>
      <w:r w:rsidR="004056E5">
        <w:rPr>
          <w:rFonts w:asciiTheme="minorHAnsi" w:hAnsiTheme="minorHAnsi" w:cstheme="minorBidi"/>
        </w:rPr>
        <w:t xml:space="preserve">The outliers are explained below. </w:t>
      </w:r>
    </w:p>
    <w:p w14:paraId="6B327326" w14:textId="77777777" w:rsidR="00B546ED" w:rsidRDefault="00B546ED" w:rsidP="00DB72BF">
      <w:pPr>
        <w:widowControl/>
        <w:autoSpaceDE/>
        <w:autoSpaceDN/>
        <w:adjustRightInd/>
        <w:rPr>
          <w:rFonts w:asciiTheme="minorHAnsi" w:hAnsiTheme="minorHAnsi" w:cstheme="minorBidi"/>
        </w:rPr>
      </w:pPr>
    </w:p>
    <w:p w14:paraId="6A77C173" w14:textId="7B3145D7" w:rsidR="00ED2D4C" w:rsidRDefault="00B546ED" w:rsidP="00ED2D4C">
      <w:pPr>
        <w:widowControl/>
        <w:autoSpaceDE/>
        <w:autoSpaceDN/>
        <w:adjustRightInd/>
        <w:rPr>
          <w:rFonts w:asciiTheme="minorHAnsi" w:hAnsiTheme="minorHAnsi" w:cstheme="minorBidi"/>
        </w:rPr>
      </w:pPr>
      <w:r>
        <w:rPr>
          <w:rFonts w:asciiTheme="minorHAnsi" w:hAnsiTheme="minorHAnsi" w:cstheme="minorBidi"/>
        </w:rPr>
        <w:t>In one case, a</w:t>
      </w:r>
      <w:r w:rsidR="001910F7">
        <w:rPr>
          <w:rFonts w:asciiTheme="minorHAnsi" w:hAnsiTheme="minorHAnsi" w:cstheme="minorBidi"/>
        </w:rPr>
        <w:t>n event</w:t>
      </w:r>
      <w:r>
        <w:rPr>
          <w:rFonts w:asciiTheme="minorHAnsi" w:hAnsiTheme="minorHAnsi" w:cstheme="minorBidi"/>
        </w:rPr>
        <w:t xml:space="preserve"> was</w:t>
      </w:r>
      <w:r w:rsidR="00EA0BAA">
        <w:rPr>
          <w:rFonts w:asciiTheme="minorHAnsi" w:hAnsiTheme="minorHAnsi" w:cstheme="minorBidi"/>
        </w:rPr>
        <w:t xml:space="preserve"> </w:t>
      </w:r>
      <w:r w:rsidR="00302D02">
        <w:rPr>
          <w:rFonts w:asciiTheme="minorHAnsi" w:hAnsiTheme="minorHAnsi" w:cstheme="minorBidi"/>
        </w:rPr>
        <w:t xml:space="preserve">originally reported </w:t>
      </w:r>
      <w:r>
        <w:rPr>
          <w:rFonts w:asciiTheme="minorHAnsi" w:hAnsiTheme="minorHAnsi" w:cstheme="minorBidi"/>
        </w:rPr>
        <w:t xml:space="preserve">to Oregon OSHA </w:t>
      </w:r>
      <w:r w:rsidR="00302D02">
        <w:rPr>
          <w:rFonts w:asciiTheme="minorHAnsi" w:hAnsiTheme="minorHAnsi" w:cstheme="minorBidi"/>
        </w:rPr>
        <w:t xml:space="preserve">as a hospitalization </w:t>
      </w:r>
      <w:r w:rsidR="001910F7">
        <w:rPr>
          <w:rFonts w:asciiTheme="minorHAnsi" w:hAnsiTheme="minorHAnsi" w:cstheme="minorBidi"/>
        </w:rPr>
        <w:t>and</w:t>
      </w:r>
      <w:r>
        <w:rPr>
          <w:rFonts w:asciiTheme="minorHAnsi" w:hAnsiTheme="minorHAnsi" w:cstheme="minorBidi"/>
        </w:rPr>
        <w:t xml:space="preserve"> later </w:t>
      </w:r>
      <w:r w:rsidR="00302D02">
        <w:rPr>
          <w:rFonts w:asciiTheme="minorHAnsi" w:hAnsiTheme="minorHAnsi" w:cstheme="minorBidi"/>
        </w:rPr>
        <w:t>resulted in a fatality</w:t>
      </w:r>
      <w:r>
        <w:rPr>
          <w:rFonts w:asciiTheme="minorHAnsi" w:hAnsiTheme="minorHAnsi" w:cstheme="minorBidi"/>
        </w:rPr>
        <w:t>.  The</w:t>
      </w:r>
      <w:r w:rsidR="00EA0BAA">
        <w:rPr>
          <w:rFonts w:asciiTheme="minorHAnsi" w:hAnsiTheme="minorHAnsi" w:cstheme="minorBidi"/>
        </w:rPr>
        <w:t xml:space="preserve"> </w:t>
      </w:r>
      <w:r w:rsidR="00FF70E2">
        <w:rPr>
          <w:rFonts w:asciiTheme="minorHAnsi" w:hAnsiTheme="minorHAnsi" w:cstheme="minorBidi"/>
        </w:rPr>
        <w:t xml:space="preserve">employer notified </w:t>
      </w:r>
      <w:r>
        <w:rPr>
          <w:rFonts w:asciiTheme="minorHAnsi" w:hAnsiTheme="minorHAnsi" w:cstheme="minorBidi"/>
        </w:rPr>
        <w:t xml:space="preserve">the compliance officer and </w:t>
      </w:r>
      <w:r w:rsidR="001910F7">
        <w:rPr>
          <w:rFonts w:asciiTheme="minorHAnsi" w:hAnsiTheme="minorHAnsi" w:cstheme="minorBidi"/>
        </w:rPr>
        <w:t xml:space="preserve">Oregon OSHA </w:t>
      </w:r>
      <w:r>
        <w:rPr>
          <w:rFonts w:asciiTheme="minorHAnsi" w:hAnsiTheme="minorHAnsi" w:cstheme="minorBidi"/>
        </w:rPr>
        <w:t>manager</w:t>
      </w:r>
      <w:r w:rsidR="00FF70E2">
        <w:rPr>
          <w:rFonts w:asciiTheme="minorHAnsi" w:hAnsiTheme="minorHAnsi" w:cstheme="minorBidi"/>
        </w:rPr>
        <w:t xml:space="preserve"> via email of the update</w:t>
      </w:r>
      <w:r>
        <w:rPr>
          <w:rFonts w:asciiTheme="minorHAnsi" w:hAnsiTheme="minorHAnsi" w:cstheme="minorBidi"/>
        </w:rPr>
        <w:t>; h</w:t>
      </w:r>
      <w:r w:rsidR="00FF70E2">
        <w:rPr>
          <w:rFonts w:asciiTheme="minorHAnsi" w:hAnsiTheme="minorHAnsi" w:cstheme="minorBidi"/>
        </w:rPr>
        <w:t xml:space="preserve">owever, </w:t>
      </w:r>
      <w:r>
        <w:rPr>
          <w:rFonts w:asciiTheme="minorHAnsi" w:hAnsiTheme="minorHAnsi" w:cstheme="minorBidi"/>
        </w:rPr>
        <w:t>both</w:t>
      </w:r>
      <w:r w:rsidR="00FF70E2">
        <w:rPr>
          <w:rFonts w:asciiTheme="minorHAnsi" w:hAnsiTheme="minorHAnsi" w:cstheme="minorBidi"/>
        </w:rPr>
        <w:t xml:space="preserve"> point</w:t>
      </w:r>
      <w:r>
        <w:rPr>
          <w:rFonts w:asciiTheme="minorHAnsi" w:hAnsiTheme="minorHAnsi" w:cstheme="minorBidi"/>
        </w:rPr>
        <w:t>s</w:t>
      </w:r>
      <w:r w:rsidR="00FF70E2">
        <w:rPr>
          <w:rFonts w:asciiTheme="minorHAnsi" w:hAnsiTheme="minorHAnsi" w:cstheme="minorBidi"/>
        </w:rPr>
        <w:t xml:space="preserve"> of contact w</w:t>
      </w:r>
      <w:r w:rsidR="00ED2D4C">
        <w:rPr>
          <w:rFonts w:asciiTheme="minorHAnsi" w:hAnsiTheme="minorHAnsi" w:cstheme="minorBidi"/>
        </w:rPr>
        <w:t>ere</w:t>
      </w:r>
      <w:r w:rsidR="00FF70E2">
        <w:rPr>
          <w:rFonts w:asciiTheme="minorHAnsi" w:hAnsiTheme="minorHAnsi" w:cstheme="minorBidi"/>
        </w:rPr>
        <w:t xml:space="preserve"> out of the office. </w:t>
      </w:r>
      <w:r w:rsidR="00ED2D4C">
        <w:rPr>
          <w:rFonts w:asciiTheme="minorHAnsi" w:hAnsiTheme="minorHAnsi" w:cstheme="minorBidi"/>
        </w:rPr>
        <w:t xml:space="preserve"> Oregon OSHA has since reminded their staff to use out-of-office notifications on their email, including instructions for callers to contact the main office if the matter was urgent or was regarding a fatality.  </w:t>
      </w:r>
    </w:p>
    <w:p w14:paraId="30308631" w14:textId="77777777" w:rsidR="00ED2D4C" w:rsidRDefault="00ED2D4C" w:rsidP="00DB72BF">
      <w:pPr>
        <w:widowControl/>
        <w:autoSpaceDE/>
        <w:autoSpaceDN/>
        <w:adjustRightInd/>
        <w:rPr>
          <w:rFonts w:asciiTheme="minorHAnsi" w:hAnsiTheme="minorHAnsi" w:cstheme="minorBidi"/>
        </w:rPr>
      </w:pPr>
    </w:p>
    <w:p w14:paraId="5013F488" w14:textId="77777777" w:rsidR="006840DD" w:rsidRDefault="00D3673D" w:rsidP="00DB72BF">
      <w:pPr>
        <w:widowControl/>
        <w:autoSpaceDE/>
        <w:autoSpaceDN/>
        <w:adjustRightInd/>
        <w:rPr>
          <w:rFonts w:asciiTheme="minorHAnsi" w:hAnsiTheme="minorHAnsi" w:cstheme="minorBidi"/>
        </w:rPr>
      </w:pPr>
      <w:r>
        <w:rPr>
          <w:rFonts w:asciiTheme="minorHAnsi" w:hAnsiTheme="minorHAnsi" w:cstheme="minorBidi"/>
        </w:rPr>
        <w:t xml:space="preserve">There were three instances where according to the SAMM report, Oregon OSHA did not initiate a fatality investigation timely, but </w:t>
      </w:r>
      <w:r w:rsidR="006840DD">
        <w:rPr>
          <w:rFonts w:asciiTheme="minorHAnsi" w:hAnsiTheme="minorHAnsi" w:cstheme="minorBidi"/>
        </w:rPr>
        <w:t xml:space="preserve">the </w:t>
      </w:r>
      <w:r>
        <w:rPr>
          <w:rFonts w:asciiTheme="minorHAnsi" w:hAnsiTheme="minorHAnsi" w:cstheme="minorBidi"/>
        </w:rPr>
        <w:t xml:space="preserve">circumstances </w:t>
      </w:r>
      <w:r w:rsidR="006840DD">
        <w:rPr>
          <w:rFonts w:asciiTheme="minorHAnsi" w:hAnsiTheme="minorHAnsi" w:cstheme="minorBidi"/>
        </w:rPr>
        <w:t xml:space="preserve">were </w:t>
      </w:r>
      <w:r>
        <w:rPr>
          <w:rFonts w:asciiTheme="minorHAnsi" w:hAnsiTheme="minorHAnsi" w:cstheme="minorBidi"/>
        </w:rPr>
        <w:t xml:space="preserve">out of </w:t>
      </w:r>
      <w:r w:rsidR="006840DD">
        <w:rPr>
          <w:rFonts w:asciiTheme="minorHAnsi" w:hAnsiTheme="minorHAnsi" w:cstheme="minorBidi"/>
        </w:rPr>
        <w:t xml:space="preserve">their control. </w:t>
      </w:r>
    </w:p>
    <w:p w14:paraId="0D517333" w14:textId="77777777" w:rsidR="006840DD" w:rsidRDefault="006840DD" w:rsidP="00DB72BF">
      <w:pPr>
        <w:widowControl/>
        <w:autoSpaceDE/>
        <w:autoSpaceDN/>
        <w:adjustRightInd/>
        <w:rPr>
          <w:rFonts w:asciiTheme="minorHAnsi" w:hAnsiTheme="minorHAnsi" w:cstheme="minorBidi"/>
        </w:rPr>
      </w:pPr>
    </w:p>
    <w:p w14:paraId="69AFB1D6" w14:textId="2E88A6DB" w:rsidR="007D4093" w:rsidRDefault="006840DD" w:rsidP="00DB72BF">
      <w:pPr>
        <w:widowControl/>
        <w:autoSpaceDE/>
        <w:autoSpaceDN/>
        <w:adjustRightInd/>
        <w:rPr>
          <w:rFonts w:asciiTheme="minorHAnsi" w:hAnsiTheme="minorHAnsi" w:cstheme="minorBidi"/>
        </w:rPr>
      </w:pPr>
      <w:r>
        <w:rPr>
          <w:rFonts w:asciiTheme="minorHAnsi" w:hAnsiTheme="minorHAnsi" w:cstheme="minorBidi"/>
        </w:rPr>
        <w:t>In one case,</w:t>
      </w:r>
      <w:r w:rsidR="00BA5961">
        <w:rPr>
          <w:rFonts w:asciiTheme="minorHAnsi" w:hAnsiTheme="minorHAnsi" w:cstheme="minorBidi"/>
        </w:rPr>
        <w:t xml:space="preserve"> an employee was </w:t>
      </w:r>
      <w:r w:rsidR="008A1B97">
        <w:rPr>
          <w:rFonts w:asciiTheme="minorHAnsi" w:hAnsiTheme="minorHAnsi" w:cstheme="minorBidi"/>
        </w:rPr>
        <w:t>found unresponsive at home, and Oregon OSHA determined that no action was necessary</w:t>
      </w:r>
      <w:r>
        <w:rPr>
          <w:rFonts w:asciiTheme="minorHAnsi" w:hAnsiTheme="minorHAnsi" w:cstheme="minorBidi"/>
        </w:rPr>
        <w:t xml:space="preserve"> due to lack of work-relatedness</w:t>
      </w:r>
      <w:r w:rsidR="008A1B97">
        <w:rPr>
          <w:rFonts w:asciiTheme="minorHAnsi" w:hAnsiTheme="minorHAnsi" w:cstheme="minorBidi"/>
        </w:rPr>
        <w:t xml:space="preserve">.  However, six days later, </w:t>
      </w:r>
      <w:r w:rsidR="007D4093">
        <w:rPr>
          <w:rFonts w:asciiTheme="minorHAnsi" w:hAnsiTheme="minorHAnsi" w:cstheme="minorBidi"/>
        </w:rPr>
        <w:t>additional information was provided via a media inquiry</w:t>
      </w:r>
      <w:r w:rsidR="008E79E2">
        <w:rPr>
          <w:rFonts w:asciiTheme="minorHAnsi" w:hAnsiTheme="minorHAnsi" w:cstheme="minorBidi"/>
        </w:rPr>
        <w:t xml:space="preserve"> that suggested</w:t>
      </w:r>
      <w:r>
        <w:rPr>
          <w:rFonts w:asciiTheme="minorHAnsi" w:hAnsiTheme="minorHAnsi" w:cstheme="minorBidi"/>
        </w:rPr>
        <w:t xml:space="preserve"> it was</w:t>
      </w:r>
      <w:r w:rsidR="008E79E2">
        <w:rPr>
          <w:rFonts w:asciiTheme="minorHAnsi" w:hAnsiTheme="minorHAnsi" w:cstheme="minorBidi"/>
        </w:rPr>
        <w:t xml:space="preserve"> work-related</w:t>
      </w:r>
      <w:r>
        <w:rPr>
          <w:rFonts w:asciiTheme="minorHAnsi" w:hAnsiTheme="minorHAnsi" w:cstheme="minorBidi"/>
        </w:rPr>
        <w:t>.  As</w:t>
      </w:r>
      <w:r w:rsidR="005333F3">
        <w:rPr>
          <w:rFonts w:asciiTheme="minorHAnsi" w:hAnsiTheme="minorHAnsi" w:cstheme="minorBidi"/>
        </w:rPr>
        <w:t xml:space="preserve"> a result, </w:t>
      </w:r>
      <w:r w:rsidR="007D4093">
        <w:rPr>
          <w:rFonts w:asciiTheme="minorHAnsi" w:hAnsiTheme="minorHAnsi" w:cstheme="minorBidi"/>
        </w:rPr>
        <w:t xml:space="preserve">Oregon </w:t>
      </w:r>
      <w:r w:rsidR="00307866">
        <w:rPr>
          <w:rFonts w:asciiTheme="minorHAnsi" w:hAnsiTheme="minorHAnsi" w:cstheme="minorBidi"/>
        </w:rPr>
        <w:t>OSHA</w:t>
      </w:r>
      <w:r w:rsidR="007D4093">
        <w:rPr>
          <w:rFonts w:asciiTheme="minorHAnsi" w:hAnsiTheme="minorHAnsi" w:cstheme="minorBidi"/>
        </w:rPr>
        <w:t xml:space="preserve"> initiated an inspection</w:t>
      </w:r>
      <w:r w:rsidR="00166372">
        <w:rPr>
          <w:rFonts w:asciiTheme="minorHAnsi" w:hAnsiTheme="minorHAnsi" w:cstheme="minorBidi"/>
        </w:rPr>
        <w:t xml:space="preserve"> the following day</w:t>
      </w:r>
      <w:r w:rsidR="005333F3">
        <w:rPr>
          <w:rFonts w:asciiTheme="minorHAnsi" w:hAnsiTheme="minorHAnsi" w:cstheme="minorBidi"/>
        </w:rPr>
        <w:t>.</w:t>
      </w:r>
      <w:r w:rsidR="007D4093">
        <w:rPr>
          <w:rFonts w:asciiTheme="minorHAnsi" w:hAnsiTheme="minorHAnsi" w:cstheme="minorBidi"/>
        </w:rPr>
        <w:t xml:space="preserve">  </w:t>
      </w:r>
    </w:p>
    <w:p w14:paraId="49F9F162" w14:textId="77777777" w:rsidR="00760F08" w:rsidRDefault="00760F08" w:rsidP="00DB72BF">
      <w:pPr>
        <w:widowControl/>
        <w:autoSpaceDE/>
        <w:autoSpaceDN/>
        <w:adjustRightInd/>
        <w:rPr>
          <w:rFonts w:asciiTheme="minorHAnsi" w:hAnsiTheme="minorHAnsi" w:cstheme="minorBidi"/>
        </w:rPr>
      </w:pPr>
    </w:p>
    <w:p w14:paraId="749E5561" w14:textId="0041E65E" w:rsidR="00FF5BF5" w:rsidRDefault="00CC7243" w:rsidP="00DB72BF">
      <w:pPr>
        <w:widowControl/>
        <w:autoSpaceDE/>
        <w:autoSpaceDN/>
        <w:adjustRightInd/>
        <w:rPr>
          <w:rFonts w:asciiTheme="minorHAnsi" w:hAnsiTheme="minorHAnsi" w:cstheme="minorBidi"/>
        </w:rPr>
      </w:pPr>
      <w:r>
        <w:rPr>
          <w:rFonts w:asciiTheme="minorHAnsi" w:hAnsiTheme="minorHAnsi" w:cstheme="minorBidi"/>
        </w:rPr>
        <w:t xml:space="preserve">In a </w:t>
      </w:r>
      <w:r w:rsidR="006840DD">
        <w:rPr>
          <w:rFonts w:asciiTheme="minorHAnsi" w:hAnsiTheme="minorHAnsi" w:cstheme="minorBidi"/>
        </w:rPr>
        <w:t>second</w:t>
      </w:r>
      <w:r>
        <w:rPr>
          <w:rFonts w:asciiTheme="minorHAnsi" w:hAnsiTheme="minorHAnsi" w:cstheme="minorBidi"/>
        </w:rPr>
        <w:t xml:space="preserve"> instance</w:t>
      </w:r>
      <w:r w:rsidR="004D58E1">
        <w:rPr>
          <w:rFonts w:asciiTheme="minorHAnsi" w:hAnsiTheme="minorHAnsi" w:cstheme="minorBidi"/>
        </w:rPr>
        <w:t>, a</w:t>
      </w:r>
      <w:r>
        <w:rPr>
          <w:rFonts w:asciiTheme="minorHAnsi" w:hAnsiTheme="minorHAnsi" w:cstheme="minorBidi"/>
        </w:rPr>
        <w:t>fter the</w:t>
      </w:r>
      <w:r w:rsidR="007D4093">
        <w:rPr>
          <w:rFonts w:asciiTheme="minorHAnsi" w:hAnsiTheme="minorHAnsi" w:cstheme="minorBidi"/>
        </w:rPr>
        <w:t xml:space="preserve"> fatal event </w:t>
      </w:r>
      <w:r w:rsidR="004D58E1">
        <w:rPr>
          <w:rFonts w:asciiTheme="minorHAnsi" w:hAnsiTheme="minorHAnsi" w:cstheme="minorBidi"/>
        </w:rPr>
        <w:t>occurred</w:t>
      </w:r>
      <w:r>
        <w:rPr>
          <w:rFonts w:asciiTheme="minorHAnsi" w:hAnsiTheme="minorHAnsi" w:cstheme="minorBidi"/>
        </w:rPr>
        <w:t xml:space="preserve">, </w:t>
      </w:r>
      <w:r w:rsidR="004D58E1">
        <w:rPr>
          <w:rFonts w:asciiTheme="minorHAnsi" w:hAnsiTheme="minorHAnsi" w:cstheme="minorBidi"/>
        </w:rPr>
        <w:t xml:space="preserve">Oregon OSHA </w:t>
      </w:r>
      <w:r w:rsidR="005A1523">
        <w:rPr>
          <w:rFonts w:asciiTheme="minorHAnsi" w:hAnsiTheme="minorHAnsi" w:cstheme="minorBidi"/>
        </w:rPr>
        <w:t>attempted</w:t>
      </w:r>
      <w:r w:rsidR="004D58E1">
        <w:rPr>
          <w:rFonts w:asciiTheme="minorHAnsi" w:hAnsiTheme="minorHAnsi" w:cstheme="minorBidi"/>
        </w:rPr>
        <w:t xml:space="preserve"> communication with the </w:t>
      </w:r>
      <w:r w:rsidR="005A1523">
        <w:rPr>
          <w:rFonts w:asciiTheme="minorHAnsi" w:hAnsiTheme="minorHAnsi" w:cstheme="minorBidi"/>
        </w:rPr>
        <w:t>employer but</w:t>
      </w:r>
      <w:r w:rsidR="006F7266">
        <w:rPr>
          <w:rFonts w:asciiTheme="minorHAnsi" w:hAnsiTheme="minorHAnsi" w:cstheme="minorBidi"/>
        </w:rPr>
        <w:t xml:space="preserve"> was </w:t>
      </w:r>
      <w:r w:rsidR="005A1523">
        <w:rPr>
          <w:rFonts w:asciiTheme="minorHAnsi" w:hAnsiTheme="minorHAnsi" w:cstheme="minorBidi"/>
        </w:rPr>
        <w:t xml:space="preserve">unsuccessful at making contact for </w:t>
      </w:r>
      <w:r w:rsidR="006F7266">
        <w:rPr>
          <w:rFonts w:asciiTheme="minorHAnsi" w:hAnsiTheme="minorHAnsi" w:cstheme="minorBidi"/>
        </w:rPr>
        <w:t>two days</w:t>
      </w:r>
      <w:r w:rsidR="00306DA4">
        <w:rPr>
          <w:rFonts w:asciiTheme="minorHAnsi" w:hAnsiTheme="minorHAnsi" w:cstheme="minorBidi"/>
        </w:rPr>
        <w:t xml:space="preserve">.  </w:t>
      </w:r>
      <w:r w:rsidR="006F7266">
        <w:rPr>
          <w:rFonts w:asciiTheme="minorHAnsi" w:hAnsiTheme="minorHAnsi" w:cstheme="minorBidi"/>
        </w:rPr>
        <w:t xml:space="preserve">After </w:t>
      </w:r>
      <w:r w:rsidR="006840DD">
        <w:rPr>
          <w:rFonts w:asciiTheme="minorHAnsi" w:hAnsiTheme="minorHAnsi" w:cstheme="minorBidi"/>
        </w:rPr>
        <w:t xml:space="preserve">receiving a call back from </w:t>
      </w:r>
      <w:r w:rsidR="005A1523">
        <w:rPr>
          <w:rFonts w:asciiTheme="minorHAnsi" w:hAnsiTheme="minorHAnsi" w:cstheme="minorBidi"/>
        </w:rPr>
        <w:t>the employer</w:t>
      </w:r>
      <w:r w:rsidR="006F7266">
        <w:rPr>
          <w:rFonts w:asciiTheme="minorHAnsi" w:hAnsiTheme="minorHAnsi" w:cstheme="minorBidi"/>
        </w:rPr>
        <w:t xml:space="preserve">, it was identified that the worker belonged to a different employer.  </w:t>
      </w:r>
      <w:r w:rsidR="00810D9B">
        <w:rPr>
          <w:rFonts w:asciiTheme="minorHAnsi" w:hAnsiTheme="minorHAnsi" w:cstheme="minorBidi"/>
        </w:rPr>
        <w:t xml:space="preserve">Oregon OSHA was unable to reach the </w:t>
      </w:r>
      <w:r w:rsidR="006F7266">
        <w:rPr>
          <w:rFonts w:asciiTheme="minorHAnsi" w:hAnsiTheme="minorHAnsi" w:cstheme="minorBidi"/>
        </w:rPr>
        <w:t>correct</w:t>
      </w:r>
      <w:r w:rsidR="00810D9B">
        <w:rPr>
          <w:rFonts w:asciiTheme="minorHAnsi" w:hAnsiTheme="minorHAnsi" w:cstheme="minorBidi"/>
        </w:rPr>
        <w:t xml:space="preserve"> employer that same day</w:t>
      </w:r>
      <w:r w:rsidR="00A55904">
        <w:rPr>
          <w:rFonts w:asciiTheme="minorHAnsi" w:hAnsiTheme="minorHAnsi" w:cstheme="minorBidi"/>
        </w:rPr>
        <w:t xml:space="preserve"> but</w:t>
      </w:r>
      <w:r w:rsidR="00745047">
        <w:rPr>
          <w:rFonts w:asciiTheme="minorHAnsi" w:hAnsiTheme="minorHAnsi" w:cstheme="minorBidi"/>
        </w:rPr>
        <w:t xml:space="preserve"> </w:t>
      </w:r>
      <w:r w:rsidR="00FE335F">
        <w:rPr>
          <w:rFonts w:asciiTheme="minorHAnsi" w:hAnsiTheme="minorHAnsi" w:cstheme="minorBidi"/>
        </w:rPr>
        <w:t xml:space="preserve">was successful </w:t>
      </w:r>
      <w:r w:rsidR="00373D4A">
        <w:rPr>
          <w:rFonts w:asciiTheme="minorHAnsi" w:hAnsiTheme="minorHAnsi" w:cstheme="minorBidi"/>
        </w:rPr>
        <w:t>the following day</w:t>
      </w:r>
      <w:r w:rsidR="00FE335F">
        <w:rPr>
          <w:rFonts w:asciiTheme="minorHAnsi" w:hAnsiTheme="minorHAnsi" w:cstheme="minorBidi"/>
        </w:rPr>
        <w:t>.</w:t>
      </w:r>
      <w:r w:rsidR="00697374">
        <w:rPr>
          <w:rFonts w:asciiTheme="minorHAnsi" w:hAnsiTheme="minorHAnsi" w:cstheme="minorBidi"/>
        </w:rPr>
        <w:t xml:space="preserve">  An inspection was</w:t>
      </w:r>
      <w:r w:rsidR="00FE335F">
        <w:rPr>
          <w:rFonts w:asciiTheme="minorHAnsi" w:hAnsiTheme="minorHAnsi" w:cstheme="minorBidi"/>
        </w:rPr>
        <w:t xml:space="preserve"> subsequently</w:t>
      </w:r>
      <w:r w:rsidR="00697374">
        <w:rPr>
          <w:rFonts w:asciiTheme="minorHAnsi" w:hAnsiTheme="minorHAnsi" w:cstheme="minorBidi"/>
        </w:rPr>
        <w:t xml:space="preserve"> opened</w:t>
      </w:r>
      <w:r w:rsidR="00FE335F">
        <w:rPr>
          <w:rFonts w:asciiTheme="minorHAnsi" w:hAnsiTheme="minorHAnsi" w:cstheme="minorBidi"/>
        </w:rPr>
        <w:t>, but it</w:t>
      </w:r>
      <w:r w:rsidR="00697374">
        <w:rPr>
          <w:rFonts w:asciiTheme="minorHAnsi" w:hAnsiTheme="minorHAnsi" w:cstheme="minorBidi"/>
        </w:rPr>
        <w:t xml:space="preserve"> was </w:t>
      </w:r>
      <w:r w:rsidR="00564EAF">
        <w:rPr>
          <w:rFonts w:asciiTheme="minorHAnsi" w:hAnsiTheme="minorHAnsi" w:cstheme="minorBidi"/>
        </w:rPr>
        <w:t xml:space="preserve">four days beyond the event date. </w:t>
      </w:r>
    </w:p>
    <w:p w14:paraId="13E2647F" w14:textId="77777777" w:rsidR="006840DD" w:rsidRDefault="006840DD" w:rsidP="00DB72BF">
      <w:pPr>
        <w:widowControl/>
        <w:autoSpaceDE/>
        <w:autoSpaceDN/>
        <w:adjustRightInd/>
        <w:rPr>
          <w:rFonts w:asciiTheme="minorHAnsi" w:hAnsiTheme="minorHAnsi" w:cstheme="minorBidi"/>
        </w:rPr>
      </w:pPr>
    </w:p>
    <w:p w14:paraId="3248FA22" w14:textId="6EFB3A0A" w:rsidR="00FF70E2" w:rsidRDefault="00CC7243" w:rsidP="00DB72BF">
      <w:pPr>
        <w:widowControl/>
        <w:autoSpaceDE/>
        <w:autoSpaceDN/>
        <w:adjustRightInd/>
        <w:rPr>
          <w:rFonts w:asciiTheme="minorHAnsi" w:hAnsiTheme="minorHAnsi" w:cstheme="minorBidi"/>
        </w:rPr>
      </w:pPr>
      <w:r>
        <w:rPr>
          <w:rFonts w:asciiTheme="minorHAnsi" w:hAnsiTheme="minorHAnsi" w:cstheme="minorBidi"/>
        </w:rPr>
        <w:t xml:space="preserve">Lastly, </w:t>
      </w:r>
      <w:r w:rsidR="006840DD">
        <w:rPr>
          <w:rFonts w:asciiTheme="minorHAnsi" w:hAnsiTheme="minorHAnsi" w:cstheme="minorBidi"/>
        </w:rPr>
        <w:t>a fatal</w:t>
      </w:r>
      <w:r w:rsidR="009F0A04">
        <w:rPr>
          <w:rFonts w:asciiTheme="minorHAnsi" w:hAnsiTheme="minorHAnsi" w:cstheme="minorBidi"/>
        </w:rPr>
        <w:t xml:space="preserve"> event was originally reported as a hospitalization, but the information provided was incomplete.  </w:t>
      </w:r>
      <w:r w:rsidR="00ED4F56">
        <w:rPr>
          <w:rFonts w:asciiTheme="minorHAnsi" w:hAnsiTheme="minorHAnsi" w:cstheme="minorBidi"/>
        </w:rPr>
        <w:t xml:space="preserve">Oregon OSHA made attempts to contact the employer but was unsuccessful.  Two days later, the employer reported the </w:t>
      </w:r>
      <w:r w:rsidR="006840DD">
        <w:rPr>
          <w:rFonts w:asciiTheme="minorHAnsi" w:hAnsiTheme="minorHAnsi" w:cstheme="minorBidi"/>
        </w:rPr>
        <w:t xml:space="preserve">information as a </w:t>
      </w:r>
      <w:r w:rsidR="00ED4F56">
        <w:rPr>
          <w:rFonts w:asciiTheme="minorHAnsi" w:hAnsiTheme="minorHAnsi" w:cstheme="minorBidi"/>
        </w:rPr>
        <w:t>fatality</w:t>
      </w:r>
      <w:r w:rsidR="006840DD">
        <w:rPr>
          <w:rFonts w:asciiTheme="minorHAnsi" w:hAnsiTheme="minorHAnsi" w:cstheme="minorBidi"/>
        </w:rPr>
        <w:t>,</w:t>
      </w:r>
      <w:r w:rsidR="00ED4F56">
        <w:rPr>
          <w:rFonts w:asciiTheme="minorHAnsi" w:hAnsiTheme="minorHAnsi" w:cstheme="minorBidi"/>
        </w:rPr>
        <w:t xml:space="preserve"> and </w:t>
      </w:r>
      <w:r w:rsidR="006840DD">
        <w:rPr>
          <w:rFonts w:asciiTheme="minorHAnsi" w:hAnsiTheme="minorHAnsi" w:cstheme="minorBidi"/>
        </w:rPr>
        <w:t>an inspection was</w:t>
      </w:r>
      <w:r w:rsidR="00ED4F56">
        <w:rPr>
          <w:rFonts w:asciiTheme="minorHAnsi" w:hAnsiTheme="minorHAnsi" w:cstheme="minorBidi"/>
        </w:rPr>
        <w:t xml:space="preserve"> opened the same day.  </w:t>
      </w:r>
    </w:p>
    <w:p w14:paraId="74677662" w14:textId="77777777" w:rsidR="00CC7243" w:rsidRDefault="00CC7243" w:rsidP="00DB72BF">
      <w:pPr>
        <w:widowControl/>
        <w:autoSpaceDE/>
        <w:autoSpaceDN/>
        <w:adjustRightInd/>
        <w:rPr>
          <w:rFonts w:asciiTheme="minorHAnsi" w:hAnsiTheme="minorHAnsi" w:cstheme="minorBidi"/>
        </w:rPr>
      </w:pPr>
    </w:p>
    <w:p w14:paraId="543A158E" w14:textId="7AC4F19A" w:rsidR="00C44CEF" w:rsidRDefault="005F2316" w:rsidP="00DB72BF">
      <w:pPr>
        <w:widowControl/>
        <w:autoSpaceDE/>
        <w:autoSpaceDN/>
        <w:adjustRightInd/>
        <w:rPr>
          <w:rFonts w:asciiTheme="minorHAnsi" w:hAnsiTheme="minorHAnsi" w:cstheme="minorBidi"/>
        </w:rPr>
      </w:pPr>
      <w:r>
        <w:rPr>
          <w:rFonts w:asciiTheme="minorHAnsi" w:hAnsiTheme="minorHAnsi" w:cstheme="minorBidi"/>
        </w:rPr>
        <w:t>OSHA will continue to monitor this measure with Oregon OSHA</w:t>
      </w:r>
      <w:r w:rsidR="00E701AC">
        <w:rPr>
          <w:rFonts w:asciiTheme="minorHAnsi" w:hAnsiTheme="minorHAnsi" w:cstheme="minorBidi"/>
        </w:rPr>
        <w:t xml:space="preserve"> to ensure</w:t>
      </w:r>
      <w:r w:rsidR="00712E95">
        <w:rPr>
          <w:rFonts w:asciiTheme="minorHAnsi" w:hAnsiTheme="minorHAnsi" w:cstheme="minorBidi"/>
        </w:rPr>
        <w:t xml:space="preserve"> work-related</w:t>
      </w:r>
      <w:r w:rsidR="00E701AC">
        <w:rPr>
          <w:rFonts w:asciiTheme="minorHAnsi" w:hAnsiTheme="minorHAnsi" w:cstheme="minorBidi"/>
        </w:rPr>
        <w:t xml:space="preserve"> </w:t>
      </w:r>
      <w:r w:rsidR="00712E95">
        <w:rPr>
          <w:rFonts w:asciiTheme="minorHAnsi" w:hAnsiTheme="minorHAnsi" w:cstheme="minorBidi"/>
        </w:rPr>
        <w:t>fatalities are responded to timely</w:t>
      </w:r>
      <w:r>
        <w:rPr>
          <w:rFonts w:asciiTheme="minorHAnsi" w:hAnsiTheme="minorHAnsi" w:cstheme="minorBidi"/>
        </w:rPr>
        <w:t xml:space="preserve">.  At this </w:t>
      </w:r>
      <w:r w:rsidR="00224510">
        <w:rPr>
          <w:rFonts w:asciiTheme="minorHAnsi" w:hAnsiTheme="minorHAnsi" w:cstheme="minorBidi"/>
        </w:rPr>
        <w:t>time, this</w:t>
      </w:r>
      <w:r>
        <w:rPr>
          <w:rFonts w:asciiTheme="minorHAnsi" w:hAnsiTheme="minorHAnsi" w:cstheme="minorBidi"/>
        </w:rPr>
        <w:t xml:space="preserve"> does not rise to the level of an observation.  </w:t>
      </w:r>
    </w:p>
    <w:p w14:paraId="0727A52A" w14:textId="77777777" w:rsidR="00CD48BA" w:rsidRDefault="00CD48BA" w:rsidP="00DB72BF">
      <w:pPr>
        <w:widowControl/>
        <w:autoSpaceDE/>
        <w:autoSpaceDN/>
        <w:adjustRightInd/>
        <w:rPr>
          <w:rFonts w:asciiTheme="minorHAnsi" w:hAnsiTheme="minorHAnsi" w:cstheme="minorBidi"/>
        </w:rPr>
      </w:pPr>
    </w:p>
    <w:p w14:paraId="16F7F967" w14:textId="0C0AAA7A" w:rsidR="001C32E0" w:rsidRDefault="00CD48BA" w:rsidP="00DB72BF">
      <w:pPr>
        <w:widowControl/>
        <w:autoSpaceDE/>
        <w:autoSpaceDN/>
        <w:adjustRightInd/>
        <w:rPr>
          <w:rFonts w:cs="Calibri"/>
          <w:b/>
        </w:rPr>
      </w:pPr>
      <w:r w:rsidRPr="00396DF8">
        <w:rPr>
          <w:rFonts w:cs="Calibri"/>
          <w:b/>
          <w:bCs/>
        </w:rPr>
        <w:t>SAMM 11</w:t>
      </w:r>
      <w:r w:rsidR="00333AE1" w:rsidRPr="00396DF8">
        <w:rPr>
          <w:rFonts w:cs="Calibri"/>
          <w:b/>
          <w:bCs/>
        </w:rPr>
        <w:t>a</w:t>
      </w:r>
      <w:r w:rsidRPr="00396DF8">
        <w:rPr>
          <w:rFonts w:cs="Calibri"/>
          <w:b/>
          <w:bCs/>
        </w:rPr>
        <w:t xml:space="preserve"> – Lapse </w:t>
      </w:r>
      <w:r w:rsidR="007E1342" w:rsidRPr="00396DF8">
        <w:rPr>
          <w:rFonts w:cs="Calibri"/>
          <w:b/>
          <w:bCs/>
        </w:rPr>
        <w:t>t</w:t>
      </w:r>
      <w:r w:rsidRPr="00396DF8">
        <w:rPr>
          <w:rFonts w:cs="Calibri"/>
          <w:b/>
          <w:bCs/>
        </w:rPr>
        <w:t>ime</w:t>
      </w:r>
      <w:r w:rsidR="00333AE1" w:rsidRPr="00396DF8">
        <w:rPr>
          <w:rFonts w:cs="Calibri"/>
          <w:b/>
          <w:bCs/>
        </w:rPr>
        <w:t xml:space="preserve"> (safety)</w:t>
      </w:r>
    </w:p>
    <w:p w14:paraId="4227A049" w14:textId="375EB467" w:rsidR="001977C9" w:rsidRDefault="00A23E87" w:rsidP="00A23E87">
      <w:pPr>
        <w:widowControl/>
        <w:tabs>
          <w:tab w:val="left" w:pos="960"/>
          <w:tab w:val="left" w:pos="3330"/>
        </w:tabs>
        <w:autoSpaceDE/>
        <w:autoSpaceDN/>
        <w:adjustRightInd/>
        <w:rPr>
          <w:rFonts w:cs="Calibri"/>
          <w:b/>
          <w:bCs/>
        </w:rPr>
      </w:pPr>
      <w:r>
        <w:rPr>
          <w:rFonts w:cs="Calibri"/>
          <w:b/>
          <w:bCs/>
        </w:rPr>
        <w:tab/>
      </w:r>
      <w:r>
        <w:rPr>
          <w:rFonts w:cs="Calibri"/>
          <w:b/>
          <w:bCs/>
        </w:rPr>
        <w:tab/>
      </w:r>
    </w:p>
    <w:p w14:paraId="053CEF62" w14:textId="1B629340" w:rsidR="00BF70AB" w:rsidRPr="00333AE1" w:rsidRDefault="001977C9" w:rsidP="00DB72BF">
      <w:pPr>
        <w:widowControl/>
        <w:autoSpaceDE/>
        <w:autoSpaceDN/>
        <w:adjustRightInd/>
        <w:rPr>
          <w:rFonts w:cs="Calibri"/>
          <w:b/>
          <w:bCs/>
        </w:rPr>
      </w:pPr>
      <w:r w:rsidRPr="00333AE1">
        <w:rPr>
          <w:rFonts w:cs="Calibri"/>
          <w:b/>
          <w:bCs/>
        </w:rPr>
        <w:t xml:space="preserve">Discussion of Oregon OSHA’s data and FRL:  </w:t>
      </w:r>
      <w:r w:rsidR="00C07A22" w:rsidRPr="00C07A22">
        <w:rPr>
          <w:rFonts w:cs="Calibri"/>
        </w:rPr>
        <w:t xml:space="preserve">The FRL for </w:t>
      </w:r>
      <w:r w:rsidR="00C07A22">
        <w:rPr>
          <w:rFonts w:cs="Calibri"/>
        </w:rPr>
        <w:t>lapse time</w:t>
      </w:r>
      <w:r w:rsidR="00C07A22" w:rsidRPr="00C07A22">
        <w:rPr>
          <w:rFonts w:cs="Calibri"/>
        </w:rPr>
        <w:t xml:space="preserve"> for safety inspections</w:t>
      </w:r>
      <w:r w:rsidR="00C07A22">
        <w:rPr>
          <w:rFonts w:cs="Calibri"/>
        </w:rPr>
        <w:t xml:space="preserve"> (SAMM 11a) </w:t>
      </w:r>
      <w:r w:rsidR="00C07A22" w:rsidRPr="00C07A22">
        <w:rPr>
          <w:rFonts w:cs="Calibri"/>
        </w:rPr>
        <w:t xml:space="preserve">is +/- 20% of </w:t>
      </w:r>
      <w:r w:rsidR="00013D0F">
        <w:rPr>
          <w:rFonts w:cs="Calibri"/>
        </w:rPr>
        <w:t>56.02</w:t>
      </w:r>
      <w:r w:rsidR="00AE372B">
        <w:rPr>
          <w:rFonts w:cs="Calibri"/>
        </w:rPr>
        <w:t xml:space="preserve"> days</w:t>
      </w:r>
      <w:r w:rsidR="00013D0F">
        <w:rPr>
          <w:rFonts w:cs="Calibri"/>
        </w:rPr>
        <w:t>, which is based on a three</w:t>
      </w:r>
      <w:r w:rsidR="00C07A22" w:rsidRPr="00C07A22">
        <w:rPr>
          <w:rFonts w:cs="Calibri"/>
        </w:rPr>
        <w:t xml:space="preserve">-year national average </w:t>
      </w:r>
      <w:r w:rsidR="00013D0F">
        <w:rPr>
          <w:rFonts w:cs="Calibri"/>
        </w:rPr>
        <w:t xml:space="preserve">and provides a </w:t>
      </w:r>
      <w:r w:rsidR="00C07A22" w:rsidRPr="00C07A22">
        <w:rPr>
          <w:rFonts w:cs="Calibri"/>
        </w:rPr>
        <w:t xml:space="preserve">range of </w:t>
      </w:r>
      <w:r w:rsidR="00AE372B">
        <w:rPr>
          <w:rFonts w:cs="Calibri"/>
        </w:rPr>
        <w:t>44.82 to 67.23 days</w:t>
      </w:r>
      <w:r w:rsidR="00C07A22" w:rsidRPr="00C07A22">
        <w:rPr>
          <w:rFonts w:cs="Calibri"/>
        </w:rPr>
        <w:t xml:space="preserve">.  </w:t>
      </w:r>
      <w:r w:rsidR="00AE372B">
        <w:rPr>
          <w:rFonts w:cs="Calibri"/>
        </w:rPr>
        <w:t xml:space="preserve">Oregon lapse time </w:t>
      </w:r>
      <w:r w:rsidR="00C07A22" w:rsidRPr="00C07A22">
        <w:rPr>
          <w:rFonts w:cs="Calibri"/>
        </w:rPr>
        <w:t xml:space="preserve">for safety </w:t>
      </w:r>
      <w:r w:rsidR="00AE372B">
        <w:rPr>
          <w:rFonts w:cs="Calibri"/>
        </w:rPr>
        <w:t xml:space="preserve">inspections is </w:t>
      </w:r>
      <w:r w:rsidR="00B61E27">
        <w:rPr>
          <w:rFonts w:cs="Calibri"/>
        </w:rPr>
        <w:t xml:space="preserve">36.74 days and below the FRL.  </w:t>
      </w:r>
    </w:p>
    <w:p w14:paraId="0DB8346F" w14:textId="77777777" w:rsidR="00BF70AB" w:rsidRPr="00333AE1" w:rsidRDefault="00BF70AB" w:rsidP="00DB72BF">
      <w:pPr>
        <w:widowControl/>
        <w:autoSpaceDE/>
        <w:autoSpaceDN/>
        <w:adjustRightInd/>
        <w:rPr>
          <w:rFonts w:cs="Calibri"/>
          <w:b/>
          <w:bCs/>
        </w:rPr>
      </w:pPr>
    </w:p>
    <w:p w14:paraId="6EC031C8" w14:textId="094E9426" w:rsidR="001977C9" w:rsidRPr="00B61E27" w:rsidRDefault="00BF70AB" w:rsidP="00DB72BF">
      <w:pPr>
        <w:widowControl/>
        <w:autoSpaceDE/>
        <w:autoSpaceDN/>
        <w:adjustRightInd/>
        <w:rPr>
          <w:rFonts w:cs="Calibri"/>
        </w:rPr>
      </w:pPr>
      <w:r w:rsidRPr="00333AE1">
        <w:rPr>
          <w:rFonts w:cs="Calibri"/>
          <w:b/>
          <w:bCs/>
        </w:rPr>
        <w:t xml:space="preserve">Explanation:  </w:t>
      </w:r>
      <w:r w:rsidR="00B61E27">
        <w:rPr>
          <w:rFonts w:cs="Calibri"/>
        </w:rPr>
        <w:t xml:space="preserve">Oregon OSHA </w:t>
      </w:r>
      <w:r w:rsidR="003455AF">
        <w:rPr>
          <w:rFonts w:cs="Calibri"/>
        </w:rPr>
        <w:t>ha</w:t>
      </w:r>
      <w:r w:rsidR="004930A5">
        <w:rPr>
          <w:rFonts w:cs="Calibri"/>
        </w:rPr>
        <w:t>d</w:t>
      </w:r>
      <w:r w:rsidR="003455AF">
        <w:rPr>
          <w:rFonts w:cs="Calibri"/>
        </w:rPr>
        <w:t xml:space="preserve"> a lower average lapse time which indicate</w:t>
      </w:r>
      <w:r w:rsidR="002D3290">
        <w:rPr>
          <w:rFonts w:cs="Calibri"/>
        </w:rPr>
        <w:t>d</w:t>
      </w:r>
      <w:r w:rsidR="000223CA">
        <w:rPr>
          <w:rFonts w:cs="Calibri"/>
        </w:rPr>
        <w:t xml:space="preserve"> safety inspections with</w:t>
      </w:r>
      <w:r w:rsidR="003455AF">
        <w:rPr>
          <w:rFonts w:cs="Calibri"/>
        </w:rPr>
        <w:t xml:space="preserve"> </w:t>
      </w:r>
      <w:r w:rsidR="004930A5">
        <w:rPr>
          <w:rFonts w:cs="Calibri"/>
        </w:rPr>
        <w:t>violations were</w:t>
      </w:r>
      <w:r w:rsidR="003455AF">
        <w:rPr>
          <w:rFonts w:cs="Calibri"/>
        </w:rPr>
        <w:t xml:space="preserve"> issued at a faster rate than the national average</w:t>
      </w:r>
      <w:r w:rsidR="00DC7B9E">
        <w:rPr>
          <w:rFonts w:cs="Calibri"/>
        </w:rPr>
        <w:t xml:space="preserve">.  </w:t>
      </w:r>
      <w:r w:rsidR="00893A2E">
        <w:rPr>
          <w:rFonts w:cs="Calibri"/>
        </w:rPr>
        <w:t>Low lapse time indicates that employers receive written notification of hazards more quickly than the national average</w:t>
      </w:r>
      <w:r w:rsidR="00222C56">
        <w:rPr>
          <w:rFonts w:cs="Calibri"/>
        </w:rPr>
        <w:t>, which</w:t>
      </w:r>
      <w:r w:rsidR="00524FDE">
        <w:rPr>
          <w:rFonts w:cs="Calibri"/>
        </w:rPr>
        <w:t xml:space="preserve"> provides better opportunity for prompt hazard abatement. </w:t>
      </w:r>
    </w:p>
    <w:p w14:paraId="5E42ACFB" w14:textId="77777777" w:rsidR="00CD48BA" w:rsidRPr="00333AE1" w:rsidRDefault="00CD48BA" w:rsidP="00DB72BF">
      <w:pPr>
        <w:widowControl/>
        <w:autoSpaceDE/>
        <w:autoSpaceDN/>
        <w:adjustRightInd/>
        <w:rPr>
          <w:rFonts w:cs="Calibri"/>
        </w:rPr>
      </w:pPr>
    </w:p>
    <w:p w14:paraId="3BB4E892" w14:textId="266D709B" w:rsidR="00333AE1" w:rsidRPr="00333AE1" w:rsidRDefault="00333AE1" w:rsidP="00DB72BF">
      <w:pPr>
        <w:widowControl/>
        <w:autoSpaceDE/>
        <w:autoSpaceDN/>
        <w:adjustRightInd/>
        <w:rPr>
          <w:rFonts w:cs="Calibri"/>
          <w:b/>
          <w:bCs/>
        </w:rPr>
      </w:pPr>
      <w:r w:rsidRPr="00333AE1">
        <w:rPr>
          <w:rFonts w:cs="Calibri"/>
          <w:b/>
          <w:bCs/>
        </w:rPr>
        <w:t>SAMM 11b – Lapse time (health)</w:t>
      </w:r>
    </w:p>
    <w:p w14:paraId="2636095C" w14:textId="77777777" w:rsidR="00333AE1" w:rsidRDefault="00333AE1" w:rsidP="00DB72BF">
      <w:pPr>
        <w:widowControl/>
        <w:autoSpaceDE/>
        <w:autoSpaceDN/>
        <w:adjustRightInd/>
        <w:rPr>
          <w:rFonts w:cs="Calibri"/>
          <w:highlight w:val="yellow"/>
        </w:rPr>
      </w:pPr>
    </w:p>
    <w:p w14:paraId="2CF68BE7" w14:textId="13B884A0" w:rsidR="00333AE1" w:rsidRPr="00333AE1" w:rsidRDefault="00333AE1" w:rsidP="00333AE1">
      <w:pPr>
        <w:widowControl/>
        <w:autoSpaceDE/>
        <w:autoSpaceDN/>
        <w:adjustRightInd/>
        <w:rPr>
          <w:rFonts w:cs="Calibri"/>
          <w:b/>
          <w:bCs/>
        </w:rPr>
      </w:pPr>
      <w:r w:rsidRPr="00333AE1">
        <w:rPr>
          <w:rFonts w:cs="Calibri"/>
          <w:b/>
          <w:bCs/>
        </w:rPr>
        <w:t xml:space="preserve">Discussion of Oregon OSHA’s data and FRL:  </w:t>
      </w:r>
      <w:r w:rsidR="00DC7B9E" w:rsidRPr="00C07A22">
        <w:rPr>
          <w:rFonts w:cs="Calibri"/>
        </w:rPr>
        <w:t xml:space="preserve">The FRL for </w:t>
      </w:r>
      <w:r w:rsidR="00DC7B9E">
        <w:rPr>
          <w:rFonts w:cs="Calibri"/>
        </w:rPr>
        <w:t>lapse time</w:t>
      </w:r>
      <w:r w:rsidR="00DC7B9E" w:rsidRPr="00C07A22">
        <w:rPr>
          <w:rFonts w:cs="Calibri"/>
        </w:rPr>
        <w:t xml:space="preserve"> for </w:t>
      </w:r>
      <w:r w:rsidR="00E42D07">
        <w:rPr>
          <w:rFonts w:cs="Calibri"/>
        </w:rPr>
        <w:t>health</w:t>
      </w:r>
      <w:r w:rsidR="00DC7B9E" w:rsidRPr="00C07A22">
        <w:rPr>
          <w:rFonts w:cs="Calibri"/>
        </w:rPr>
        <w:t xml:space="preserve"> inspections</w:t>
      </w:r>
      <w:r w:rsidR="00DC7B9E">
        <w:rPr>
          <w:rFonts w:cs="Calibri"/>
        </w:rPr>
        <w:t xml:space="preserve"> (SAMM 11</w:t>
      </w:r>
      <w:r w:rsidR="00E42D07">
        <w:rPr>
          <w:rFonts w:cs="Calibri"/>
        </w:rPr>
        <w:t>b</w:t>
      </w:r>
      <w:r w:rsidR="00DC7B9E">
        <w:rPr>
          <w:rFonts w:cs="Calibri"/>
        </w:rPr>
        <w:t xml:space="preserve">) </w:t>
      </w:r>
      <w:r w:rsidR="00DC7B9E" w:rsidRPr="00C07A22">
        <w:rPr>
          <w:rFonts w:cs="Calibri"/>
        </w:rPr>
        <w:t xml:space="preserve">is +/- 20% of </w:t>
      </w:r>
      <w:r w:rsidR="003101F4">
        <w:rPr>
          <w:rFonts w:cs="Calibri"/>
        </w:rPr>
        <w:t>67.21</w:t>
      </w:r>
      <w:r w:rsidR="00DC7B9E">
        <w:rPr>
          <w:rFonts w:cs="Calibri"/>
        </w:rPr>
        <w:t xml:space="preserve"> days, which is based on a three</w:t>
      </w:r>
      <w:r w:rsidR="00DC7B9E" w:rsidRPr="00C07A22">
        <w:rPr>
          <w:rFonts w:cs="Calibri"/>
        </w:rPr>
        <w:t xml:space="preserve">-year national average </w:t>
      </w:r>
      <w:r w:rsidR="00DC7B9E">
        <w:rPr>
          <w:rFonts w:cs="Calibri"/>
        </w:rPr>
        <w:t xml:space="preserve">and provides a </w:t>
      </w:r>
      <w:r w:rsidR="00DC7B9E" w:rsidRPr="00C07A22">
        <w:rPr>
          <w:rFonts w:cs="Calibri"/>
        </w:rPr>
        <w:t xml:space="preserve">range of </w:t>
      </w:r>
      <w:r w:rsidR="003101F4">
        <w:rPr>
          <w:rFonts w:cs="Calibri"/>
        </w:rPr>
        <w:t>53.77</w:t>
      </w:r>
      <w:r w:rsidR="00DC7B9E">
        <w:rPr>
          <w:rFonts w:cs="Calibri"/>
        </w:rPr>
        <w:t xml:space="preserve"> to </w:t>
      </w:r>
      <w:r w:rsidR="003101F4">
        <w:rPr>
          <w:rFonts w:cs="Calibri"/>
        </w:rPr>
        <w:t>80.65</w:t>
      </w:r>
      <w:r w:rsidR="00DC7B9E">
        <w:rPr>
          <w:rFonts w:cs="Calibri"/>
        </w:rPr>
        <w:t xml:space="preserve"> days</w:t>
      </w:r>
      <w:r w:rsidR="00DC7B9E" w:rsidRPr="00C07A22">
        <w:rPr>
          <w:rFonts w:cs="Calibri"/>
        </w:rPr>
        <w:t xml:space="preserve">.  </w:t>
      </w:r>
      <w:r w:rsidR="00DC7B9E">
        <w:rPr>
          <w:rFonts w:cs="Calibri"/>
        </w:rPr>
        <w:t xml:space="preserve">Oregon </w:t>
      </w:r>
      <w:r w:rsidR="0013681B">
        <w:rPr>
          <w:rFonts w:cs="Calibri"/>
        </w:rPr>
        <w:t xml:space="preserve">OSHA’s </w:t>
      </w:r>
      <w:r w:rsidR="00DC7B9E">
        <w:rPr>
          <w:rFonts w:cs="Calibri"/>
        </w:rPr>
        <w:t xml:space="preserve">lapse time </w:t>
      </w:r>
      <w:r w:rsidR="00DC7B9E" w:rsidRPr="00C07A22">
        <w:rPr>
          <w:rFonts w:cs="Calibri"/>
        </w:rPr>
        <w:t xml:space="preserve">for </w:t>
      </w:r>
      <w:r w:rsidR="003101F4">
        <w:rPr>
          <w:rFonts w:cs="Calibri"/>
        </w:rPr>
        <w:t>health</w:t>
      </w:r>
      <w:r w:rsidR="00DC7B9E" w:rsidRPr="00C07A22">
        <w:rPr>
          <w:rFonts w:cs="Calibri"/>
        </w:rPr>
        <w:t xml:space="preserve"> </w:t>
      </w:r>
      <w:r w:rsidR="00DC7B9E">
        <w:rPr>
          <w:rFonts w:cs="Calibri"/>
        </w:rPr>
        <w:t xml:space="preserve">inspections is </w:t>
      </w:r>
      <w:r w:rsidR="003101F4">
        <w:rPr>
          <w:rFonts w:cs="Calibri"/>
        </w:rPr>
        <w:t>49.88</w:t>
      </w:r>
      <w:r w:rsidR="00DC7B9E">
        <w:rPr>
          <w:rFonts w:cs="Calibri"/>
        </w:rPr>
        <w:t xml:space="preserve"> days and below the FRL.  </w:t>
      </w:r>
    </w:p>
    <w:p w14:paraId="0961F603" w14:textId="77777777" w:rsidR="00333AE1" w:rsidRPr="00333AE1" w:rsidRDefault="00333AE1" w:rsidP="00333AE1">
      <w:pPr>
        <w:widowControl/>
        <w:autoSpaceDE/>
        <w:autoSpaceDN/>
        <w:adjustRightInd/>
        <w:rPr>
          <w:rFonts w:cs="Calibri"/>
          <w:b/>
          <w:bCs/>
        </w:rPr>
      </w:pPr>
    </w:p>
    <w:p w14:paraId="7A78EC99" w14:textId="3B06281C" w:rsidR="00333AE1" w:rsidRDefault="00333AE1" w:rsidP="00DB72BF">
      <w:pPr>
        <w:widowControl/>
        <w:autoSpaceDE/>
        <w:autoSpaceDN/>
        <w:adjustRightInd/>
        <w:rPr>
          <w:rFonts w:cs="Calibri"/>
          <w:highlight w:val="yellow"/>
        </w:rPr>
      </w:pPr>
      <w:r w:rsidRPr="00333AE1">
        <w:rPr>
          <w:rFonts w:cs="Calibri"/>
          <w:b/>
          <w:bCs/>
        </w:rPr>
        <w:t xml:space="preserve">Explanation:  </w:t>
      </w:r>
      <w:r w:rsidR="000223CA">
        <w:rPr>
          <w:rFonts w:cs="Calibri"/>
        </w:rPr>
        <w:t xml:space="preserve">Similar to SAMM 11a, Oregon OSHA had a lower average lapse time </w:t>
      </w:r>
      <w:r w:rsidR="0063331E">
        <w:rPr>
          <w:rFonts w:cs="Calibri"/>
        </w:rPr>
        <w:t>for health inspections</w:t>
      </w:r>
      <w:r w:rsidR="000223CA">
        <w:rPr>
          <w:rFonts w:cs="Calibri"/>
        </w:rPr>
        <w:t xml:space="preserve"> </w:t>
      </w:r>
      <w:r w:rsidR="0063331E">
        <w:rPr>
          <w:rFonts w:cs="Calibri"/>
        </w:rPr>
        <w:t>and violations w</w:t>
      </w:r>
      <w:r w:rsidR="000223CA">
        <w:rPr>
          <w:rFonts w:cs="Calibri"/>
        </w:rPr>
        <w:t xml:space="preserve">ere issued </w:t>
      </w:r>
      <w:r w:rsidR="0063331E">
        <w:rPr>
          <w:rFonts w:cs="Calibri"/>
        </w:rPr>
        <w:t>in a faster timeframe</w:t>
      </w:r>
      <w:r w:rsidR="000223CA">
        <w:rPr>
          <w:rFonts w:cs="Calibri"/>
        </w:rPr>
        <w:t xml:space="preserve"> than the national average.  </w:t>
      </w:r>
      <w:r w:rsidR="00A80C29">
        <w:rPr>
          <w:rFonts w:cs="Calibri"/>
        </w:rPr>
        <w:t xml:space="preserve">Low lapse time indicates that employers receive written notification of hazards more quickly than the national average, which provides better opportunity for prompt hazard abatement. </w:t>
      </w:r>
    </w:p>
    <w:p w14:paraId="4B714B8E" w14:textId="77777777" w:rsidR="00A80C29" w:rsidRDefault="00A80C29" w:rsidP="00DB72BF">
      <w:pPr>
        <w:widowControl/>
        <w:autoSpaceDE/>
        <w:autoSpaceDN/>
        <w:adjustRightInd/>
        <w:rPr>
          <w:rFonts w:cs="Calibri"/>
          <w:b/>
          <w:bCs/>
        </w:rPr>
      </w:pPr>
    </w:p>
    <w:p w14:paraId="3EF3059B" w14:textId="7E20CD4F" w:rsidR="007B19B5" w:rsidRDefault="007B19B5" w:rsidP="00DB72BF">
      <w:pPr>
        <w:widowControl/>
        <w:autoSpaceDE/>
        <w:autoSpaceDN/>
        <w:adjustRightInd/>
        <w:rPr>
          <w:rFonts w:cs="Calibri"/>
          <w:b/>
          <w:bCs/>
        </w:rPr>
      </w:pPr>
      <w:r>
        <w:rPr>
          <w:rFonts w:cs="Calibri"/>
          <w:b/>
          <w:bCs/>
        </w:rPr>
        <w:t>SAMM 12 – Percent penalty retained</w:t>
      </w:r>
    </w:p>
    <w:p w14:paraId="0C2ADEC8" w14:textId="77777777" w:rsidR="00FE5DCC" w:rsidRPr="00D9350C" w:rsidRDefault="00FE5DCC" w:rsidP="00DB72BF">
      <w:pPr>
        <w:widowControl/>
        <w:autoSpaceDE/>
        <w:autoSpaceDN/>
        <w:adjustRightInd/>
        <w:rPr>
          <w:rFonts w:cs="Calibri"/>
          <w:b/>
          <w:bCs/>
        </w:rPr>
      </w:pPr>
    </w:p>
    <w:p w14:paraId="63B15F78" w14:textId="4D0B9C00" w:rsidR="00FB53DE" w:rsidRDefault="009D56B0" w:rsidP="00DB72BF">
      <w:pPr>
        <w:widowControl/>
        <w:autoSpaceDE/>
        <w:autoSpaceDN/>
        <w:adjustRightInd/>
        <w:rPr>
          <w:rFonts w:cs="Calibri"/>
        </w:rPr>
      </w:pPr>
      <w:r w:rsidRPr="00E308B9">
        <w:rPr>
          <w:rFonts w:cs="Calibri"/>
          <w:b/>
        </w:rPr>
        <w:t>Discussion of Oregon OSHA’s data and FRL:</w:t>
      </w:r>
      <w:r w:rsidR="007B19B5">
        <w:rPr>
          <w:rFonts w:cs="Calibri"/>
        </w:rPr>
        <w:t xml:space="preserve">  The FRL for penalty </w:t>
      </w:r>
      <w:r w:rsidR="00C4430A">
        <w:rPr>
          <w:rFonts w:cs="Calibri"/>
        </w:rPr>
        <w:t>retention</w:t>
      </w:r>
      <w:r w:rsidR="004509F1">
        <w:rPr>
          <w:rFonts w:cs="Calibri"/>
        </w:rPr>
        <w:t xml:space="preserve"> retained (SAMM 12)</w:t>
      </w:r>
      <w:r w:rsidR="00C4430A">
        <w:rPr>
          <w:rFonts w:cs="Calibri"/>
        </w:rPr>
        <w:t xml:space="preserve"> is +/-15% of </w:t>
      </w:r>
      <w:r w:rsidR="004509F1">
        <w:rPr>
          <w:rFonts w:cs="Calibri"/>
        </w:rPr>
        <w:t>70.81</w:t>
      </w:r>
      <w:r w:rsidR="00DB7515">
        <w:rPr>
          <w:rFonts w:cs="Calibri"/>
        </w:rPr>
        <w:t xml:space="preserve">%, </w:t>
      </w:r>
      <w:r w:rsidR="004509F1">
        <w:rPr>
          <w:rFonts w:cs="Calibri"/>
        </w:rPr>
        <w:t xml:space="preserve">which is based on a three-year national average and provides a range of </w:t>
      </w:r>
      <w:r w:rsidR="0006621A">
        <w:rPr>
          <w:rFonts w:cs="Calibri"/>
        </w:rPr>
        <w:t>60.19</w:t>
      </w:r>
      <w:r w:rsidR="00FC4B42">
        <w:rPr>
          <w:rFonts w:cs="Calibri"/>
        </w:rPr>
        <w:t xml:space="preserve">% to </w:t>
      </w:r>
      <w:r w:rsidR="0006621A">
        <w:rPr>
          <w:rFonts w:cs="Calibri"/>
        </w:rPr>
        <w:t>81.44%</w:t>
      </w:r>
      <w:r w:rsidR="00FC4B42">
        <w:rPr>
          <w:rFonts w:cs="Calibri"/>
        </w:rPr>
        <w:t>.  Oregon OSHA’s penalty retention was 95.</w:t>
      </w:r>
      <w:r w:rsidR="0006621A">
        <w:rPr>
          <w:rFonts w:cs="Calibri"/>
        </w:rPr>
        <w:t>02% which was</w:t>
      </w:r>
      <w:r w:rsidR="00E916C3">
        <w:rPr>
          <w:rFonts w:cs="Calibri"/>
        </w:rPr>
        <w:t xml:space="preserve"> above the FRL</w:t>
      </w:r>
      <w:r w:rsidR="00FB53DE">
        <w:rPr>
          <w:rFonts w:cs="Calibri"/>
        </w:rPr>
        <w:t>.</w:t>
      </w:r>
    </w:p>
    <w:p w14:paraId="26A85D01" w14:textId="77777777" w:rsidR="00FB53DE" w:rsidRDefault="00FB53DE" w:rsidP="00DB72BF">
      <w:pPr>
        <w:widowControl/>
        <w:autoSpaceDE/>
        <w:autoSpaceDN/>
        <w:adjustRightInd/>
        <w:rPr>
          <w:rFonts w:cs="Calibri"/>
        </w:rPr>
      </w:pPr>
    </w:p>
    <w:p w14:paraId="2404C41C" w14:textId="2185E068" w:rsidR="00FB53DE" w:rsidRPr="00FB53DE" w:rsidRDefault="00FB53DE" w:rsidP="00DB72BF">
      <w:pPr>
        <w:widowControl/>
        <w:autoSpaceDE/>
        <w:autoSpaceDN/>
        <w:adjustRightInd/>
        <w:rPr>
          <w:rFonts w:cs="Calibri"/>
        </w:rPr>
      </w:pPr>
      <w:r w:rsidRPr="00E308B9">
        <w:rPr>
          <w:rFonts w:cs="Calibri"/>
          <w:b/>
        </w:rPr>
        <w:t xml:space="preserve">Explanation: </w:t>
      </w:r>
      <w:r>
        <w:rPr>
          <w:rFonts w:cs="Calibri"/>
        </w:rPr>
        <w:t xml:space="preserve"> Oregon OSHA’s penalty retention rate</w:t>
      </w:r>
      <w:r w:rsidR="00361432">
        <w:rPr>
          <w:rFonts w:cs="Calibri"/>
        </w:rPr>
        <w:t xml:space="preserve"> as reported in the SAMM</w:t>
      </w:r>
      <w:r>
        <w:rPr>
          <w:rFonts w:cs="Calibri"/>
        </w:rPr>
        <w:t xml:space="preserve"> is </w:t>
      </w:r>
      <w:r w:rsidR="001B6E72">
        <w:rPr>
          <w:rFonts w:cs="Calibri"/>
        </w:rPr>
        <w:t>significantly higher than the national average</w:t>
      </w:r>
      <w:r w:rsidR="00B756C6">
        <w:rPr>
          <w:rFonts w:cs="Calibri"/>
        </w:rPr>
        <w:t xml:space="preserve">.  </w:t>
      </w:r>
      <w:r w:rsidR="00361432">
        <w:rPr>
          <w:rFonts w:cs="Calibri"/>
        </w:rPr>
        <w:t xml:space="preserve">However, </w:t>
      </w:r>
      <w:r w:rsidR="00B756C6">
        <w:rPr>
          <w:rFonts w:cs="Calibri"/>
        </w:rPr>
        <w:t xml:space="preserve">Oregon OSHA’s appeal process </w:t>
      </w:r>
      <w:r w:rsidR="0017567F">
        <w:rPr>
          <w:rFonts w:cs="Calibri"/>
        </w:rPr>
        <w:t xml:space="preserve">is structured </w:t>
      </w:r>
      <w:r w:rsidR="00B13C6D">
        <w:rPr>
          <w:rFonts w:cs="Calibri"/>
        </w:rPr>
        <w:t xml:space="preserve">in a different manner than OSHA’s; therefore, the </w:t>
      </w:r>
      <w:r w:rsidR="7AC0157D" w:rsidRPr="638DAAD4">
        <w:rPr>
          <w:rFonts w:cs="Calibri"/>
        </w:rPr>
        <w:t>OIS</w:t>
      </w:r>
      <w:r w:rsidR="00A81C4F">
        <w:rPr>
          <w:rFonts w:cs="Calibri"/>
        </w:rPr>
        <w:t xml:space="preserve"> SAMM </w:t>
      </w:r>
      <w:r w:rsidR="00FC0334">
        <w:rPr>
          <w:rFonts w:cs="Calibri"/>
        </w:rPr>
        <w:t xml:space="preserve">12 data </w:t>
      </w:r>
      <w:r w:rsidR="00B254EB">
        <w:rPr>
          <w:rFonts w:cs="Calibri"/>
        </w:rPr>
        <w:t>definitions can’t be accurately applied</w:t>
      </w:r>
      <w:r w:rsidR="007B710C">
        <w:rPr>
          <w:rFonts w:cs="Calibri"/>
        </w:rPr>
        <w:t>.</w:t>
      </w:r>
      <w:r w:rsidR="0077693D">
        <w:rPr>
          <w:rFonts w:cs="Calibri"/>
        </w:rPr>
        <w:t xml:space="preserve"> </w:t>
      </w:r>
      <w:r w:rsidR="003F59E3">
        <w:rPr>
          <w:rFonts w:cs="Calibri"/>
        </w:rPr>
        <w:t xml:space="preserve">Oregon OSHA reported in the </w:t>
      </w:r>
      <w:r w:rsidR="1AE63A9C" w:rsidRPr="638DAAD4">
        <w:rPr>
          <w:rFonts w:cs="Calibri"/>
        </w:rPr>
        <w:t>FY</w:t>
      </w:r>
      <w:r w:rsidR="73F01110" w:rsidRPr="638DAAD4">
        <w:rPr>
          <w:rFonts w:cs="Calibri"/>
        </w:rPr>
        <w:t xml:space="preserve"> 20</w:t>
      </w:r>
      <w:r w:rsidR="1AE63A9C" w:rsidRPr="638DAAD4">
        <w:rPr>
          <w:rFonts w:cs="Calibri"/>
        </w:rPr>
        <w:t>24</w:t>
      </w:r>
      <w:r w:rsidR="003F59E3">
        <w:rPr>
          <w:rFonts w:cs="Calibri"/>
        </w:rPr>
        <w:t xml:space="preserve"> SOAR that </w:t>
      </w:r>
      <w:r w:rsidR="00FA09FF">
        <w:rPr>
          <w:rFonts w:cs="Calibri"/>
        </w:rPr>
        <w:t xml:space="preserve">91% of overall penalties were retained. </w:t>
      </w:r>
      <w:r w:rsidR="00F17AD4">
        <w:rPr>
          <w:rFonts w:cs="Calibri"/>
        </w:rPr>
        <w:t>Penalty retention may be higher than the national average because</w:t>
      </w:r>
      <w:r w:rsidR="0077693D">
        <w:rPr>
          <w:rFonts w:cs="Calibri"/>
        </w:rPr>
        <w:t xml:space="preserve"> under the previous penalty structure in Oregon, </w:t>
      </w:r>
      <w:r w:rsidR="00F17AD4">
        <w:rPr>
          <w:rFonts w:cs="Calibri"/>
        </w:rPr>
        <w:t xml:space="preserve">initial </w:t>
      </w:r>
      <w:r w:rsidR="0077693D">
        <w:rPr>
          <w:rFonts w:cs="Calibri"/>
        </w:rPr>
        <w:t>penalties were significantly lower than the FRL</w:t>
      </w:r>
      <w:r w:rsidR="00406254">
        <w:rPr>
          <w:rFonts w:cs="Calibri"/>
        </w:rPr>
        <w:t xml:space="preserve">.  OSHA has frequent discussions with Oregon OSHA regarding this data and it will continue to be monitored. </w:t>
      </w:r>
    </w:p>
    <w:p w14:paraId="73BAA481" w14:textId="77777777" w:rsidR="00DB72BF" w:rsidRDefault="00DB72BF" w:rsidP="007A71AC">
      <w:pPr>
        <w:widowControl/>
        <w:autoSpaceDE/>
        <w:autoSpaceDN/>
        <w:adjustRightInd/>
        <w:rPr>
          <w:rFonts w:cs="Calibri"/>
        </w:rPr>
      </w:pPr>
    </w:p>
    <w:p w14:paraId="68283DEE" w14:textId="77777777" w:rsidR="00087A38" w:rsidRPr="00087A38" w:rsidRDefault="00087A38" w:rsidP="00087A38">
      <w:pPr>
        <w:widowControl/>
        <w:autoSpaceDE/>
        <w:autoSpaceDN/>
        <w:adjustRightInd/>
        <w:rPr>
          <w:rFonts w:cs="Calibri"/>
        </w:rPr>
      </w:pPr>
      <w:r w:rsidRPr="00087A38">
        <w:rPr>
          <w:rFonts w:cs="Calibri"/>
          <w:b/>
          <w:bCs/>
        </w:rPr>
        <w:t>SAMM 17 – Percent of enforcement presence</w:t>
      </w:r>
      <w:r w:rsidRPr="00087A38">
        <w:rPr>
          <w:rFonts w:cs="Calibri"/>
        </w:rPr>
        <w:t> </w:t>
      </w:r>
    </w:p>
    <w:p w14:paraId="6ADCC3C7" w14:textId="77777777" w:rsidR="00087A38" w:rsidRPr="00087A38" w:rsidRDefault="00087A38" w:rsidP="00087A38">
      <w:pPr>
        <w:widowControl/>
        <w:autoSpaceDE/>
        <w:autoSpaceDN/>
        <w:adjustRightInd/>
        <w:rPr>
          <w:rFonts w:cs="Calibri"/>
        </w:rPr>
      </w:pPr>
      <w:r w:rsidRPr="00087A38">
        <w:rPr>
          <w:rFonts w:cs="Calibri"/>
        </w:rPr>
        <w:t>  </w:t>
      </w:r>
    </w:p>
    <w:p w14:paraId="324F8DD9" w14:textId="6C9988B6" w:rsidR="00087A38" w:rsidRPr="00087A38" w:rsidRDefault="00087A38" w:rsidP="00087A38">
      <w:pPr>
        <w:widowControl/>
        <w:autoSpaceDE/>
        <w:autoSpaceDN/>
        <w:adjustRightInd/>
        <w:rPr>
          <w:rFonts w:cs="Calibri"/>
        </w:rPr>
      </w:pPr>
      <w:r w:rsidRPr="00087A38">
        <w:rPr>
          <w:rFonts w:cs="Calibri"/>
          <w:b/>
          <w:bCs/>
        </w:rPr>
        <w:t xml:space="preserve">Discussion of </w:t>
      </w:r>
      <w:r>
        <w:rPr>
          <w:rFonts w:cs="Calibri"/>
          <w:b/>
          <w:bCs/>
        </w:rPr>
        <w:t xml:space="preserve">Oregon OSHA’s </w:t>
      </w:r>
      <w:r w:rsidRPr="00087A38">
        <w:rPr>
          <w:rFonts w:cs="Calibri"/>
          <w:b/>
          <w:bCs/>
        </w:rPr>
        <w:t>Data and FRL</w:t>
      </w:r>
      <w:r w:rsidRPr="00087A38">
        <w:rPr>
          <w:rFonts w:cs="Calibri"/>
        </w:rPr>
        <w:t xml:space="preserve">:  The FRL for percent of enforcement presence is +/- 25% of 1.00%, which was based on a three-year national average.  The range of acceptable data not requiring further review is a range from 0.75% to 1.25%.  According to Appendix D, </w:t>
      </w:r>
      <w:r>
        <w:rPr>
          <w:rFonts w:cs="Calibri"/>
        </w:rPr>
        <w:t>Oregon’s</w:t>
      </w:r>
      <w:r w:rsidRPr="00087A38">
        <w:rPr>
          <w:rFonts w:cs="Calibri"/>
        </w:rPr>
        <w:t xml:space="preserve"> enforcement presence was </w:t>
      </w:r>
      <w:r>
        <w:rPr>
          <w:rFonts w:cs="Calibri"/>
        </w:rPr>
        <w:t>3.14</w:t>
      </w:r>
      <w:r w:rsidRPr="00087A38">
        <w:rPr>
          <w:rFonts w:cs="Calibri"/>
        </w:rPr>
        <w:t>% and below the FRL.  </w:t>
      </w:r>
    </w:p>
    <w:p w14:paraId="31018EAE" w14:textId="77777777" w:rsidR="00087A38" w:rsidRPr="00087A38" w:rsidRDefault="00087A38" w:rsidP="00087A38">
      <w:pPr>
        <w:widowControl/>
        <w:autoSpaceDE/>
        <w:autoSpaceDN/>
        <w:adjustRightInd/>
        <w:rPr>
          <w:rFonts w:cs="Calibri"/>
        </w:rPr>
      </w:pPr>
      <w:r w:rsidRPr="00087A38">
        <w:rPr>
          <w:rFonts w:cs="Calibri"/>
        </w:rPr>
        <w:t> </w:t>
      </w:r>
    </w:p>
    <w:p w14:paraId="23CB82AD" w14:textId="5AAB3F0A" w:rsidR="00087A38" w:rsidRPr="00E140F7" w:rsidRDefault="00087A38" w:rsidP="00087A38">
      <w:pPr>
        <w:widowControl/>
        <w:autoSpaceDE/>
        <w:autoSpaceDN/>
        <w:adjustRightInd/>
        <w:rPr>
          <w:rFonts w:cs="Calibri"/>
        </w:rPr>
      </w:pPr>
      <w:r w:rsidRPr="00087A38">
        <w:rPr>
          <w:rFonts w:cs="Calibri"/>
          <w:b/>
          <w:bCs/>
        </w:rPr>
        <w:t>Explanation</w:t>
      </w:r>
      <w:r w:rsidRPr="00087A38">
        <w:rPr>
          <w:rFonts w:cs="Calibri"/>
        </w:rPr>
        <w:t xml:space="preserve">:  The percent of enforcement presence describes the number of safety and health inspections conducted compared to the number of employer establishments in the state.  In FY 2024, </w:t>
      </w:r>
      <w:r>
        <w:rPr>
          <w:rFonts w:cs="Calibri"/>
        </w:rPr>
        <w:t>Oregon’s</w:t>
      </w:r>
      <w:r w:rsidRPr="00087A38">
        <w:rPr>
          <w:rFonts w:cs="Calibri"/>
        </w:rPr>
        <w:t xml:space="preserve"> enforcement presence </w:t>
      </w:r>
      <w:r>
        <w:rPr>
          <w:rFonts w:cs="Calibri"/>
        </w:rPr>
        <w:t>was higher than the national average and indicated that</w:t>
      </w:r>
      <w:r w:rsidR="00E140F7">
        <w:rPr>
          <w:rFonts w:cs="Calibri"/>
        </w:rPr>
        <w:t xml:space="preserve"> </w:t>
      </w:r>
      <w:r w:rsidR="00F36A1E">
        <w:rPr>
          <w:rFonts w:cs="Calibri"/>
        </w:rPr>
        <w:t xml:space="preserve">it reached more employers with enforcement activity than the national average.  </w:t>
      </w:r>
    </w:p>
    <w:p w14:paraId="7199C680" w14:textId="77777777" w:rsidR="00087A38" w:rsidRPr="00E140F7" w:rsidRDefault="00087A38" w:rsidP="007A71AC">
      <w:pPr>
        <w:widowControl/>
        <w:autoSpaceDE/>
        <w:autoSpaceDN/>
        <w:adjustRightInd/>
        <w:rPr>
          <w:rFonts w:cs="Calibri"/>
        </w:rPr>
      </w:pPr>
    </w:p>
    <w:p w14:paraId="5A45E3D2" w14:textId="77777777" w:rsidR="00DB72BF" w:rsidRPr="00E140F7" w:rsidRDefault="00DB72BF" w:rsidP="007A71AC">
      <w:pPr>
        <w:widowControl/>
        <w:autoSpaceDE/>
        <w:autoSpaceDN/>
        <w:adjustRightInd/>
        <w:rPr>
          <w:rFonts w:cs="Calibri"/>
        </w:rPr>
      </w:pPr>
    </w:p>
    <w:p w14:paraId="4641CBFA" w14:textId="77777777" w:rsidR="00DB72BF" w:rsidRPr="00DB72BF" w:rsidRDefault="00DB72BF" w:rsidP="007A71AC">
      <w:pPr>
        <w:widowControl/>
        <w:autoSpaceDE/>
        <w:autoSpaceDN/>
        <w:adjustRightInd/>
        <w:rPr>
          <w:rFonts w:cs="Calibri"/>
          <w:i/>
        </w:rPr>
        <w:sectPr w:rsidR="00DB72BF" w:rsidRPr="00DB72BF" w:rsidSect="00F51387">
          <w:headerReference w:type="even" r:id="rId14"/>
          <w:headerReference w:type="default" r:id="rId15"/>
          <w:footerReference w:type="even" r:id="rId16"/>
          <w:footerReference w:type="default" r:id="rId17"/>
          <w:headerReference w:type="first" r:id="rId18"/>
          <w:footerReference w:type="first" r:id="rId19"/>
          <w:pgSz w:w="12240" w:h="20160" w:code="5"/>
          <w:pgMar w:top="1440" w:right="1260" w:bottom="1260" w:left="1440" w:header="720" w:footer="526" w:gutter="0"/>
          <w:pgNumType w:start="1"/>
          <w:cols w:space="720"/>
          <w:titlePg/>
          <w:docGrid w:linePitch="360"/>
        </w:sectPr>
      </w:pPr>
    </w:p>
    <w:p w14:paraId="653B03BE" w14:textId="77777777" w:rsidR="00B6741C" w:rsidRPr="0002572C" w:rsidRDefault="00DB72BF" w:rsidP="00531DE4">
      <w:pPr>
        <w:pStyle w:val="Heading3"/>
      </w:pPr>
      <w:bookmarkStart w:id="23" w:name="_Toc118905017"/>
      <w:bookmarkStart w:id="24" w:name="_Toc190095689"/>
      <w:r>
        <w:t>A</w:t>
      </w:r>
      <w:r w:rsidR="00B6741C" w:rsidRPr="0002572C">
        <w:t>ppendix A – New and Continued Findings and Recommendations</w:t>
      </w:r>
      <w:bookmarkEnd w:id="23"/>
      <w:bookmarkEnd w:id="24"/>
    </w:p>
    <w:p w14:paraId="0B994BBE" w14:textId="1E525741" w:rsidR="00742AD4" w:rsidRDefault="00B6741C" w:rsidP="00B6741C">
      <w:r>
        <w:t xml:space="preserve">FY </w:t>
      </w:r>
      <w:r w:rsidR="00784F48">
        <w:t>2024</w:t>
      </w:r>
      <w:r w:rsidR="0031280E">
        <w:t xml:space="preserve"> </w:t>
      </w:r>
      <w:r w:rsidR="00D17AF0">
        <w:t>Oregon OSHA</w:t>
      </w:r>
      <w:r w:rsidRPr="12955166">
        <w:rPr>
          <w:color w:val="0070C0"/>
        </w:rPr>
        <w:t xml:space="preserve"> </w:t>
      </w:r>
      <w:r>
        <w:t>Follow-up FAME Report</w:t>
      </w:r>
    </w:p>
    <w:p w14:paraId="5CD8550D" w14:textId="77777777" w:rsidR="002D45BA" w:rsidRDefault="002D45BA" w:rsidP="00B6741C"/>
    <w:tbl>
      <w:tblPr>
        <w:tblW w:w="128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4928"/>
        <w:gridCol w:w="5040"/>
        <w:gridCol w:w="1620"/>
      </w:tblGrid>
      <w:tr w:rsidR="00EC3800" w:rsidRPr="00EC3800" w14:paraId="08B77C27" w14:textId="77777777" w:rsidTr="005B08F5">
        <w:trPr>
          <w:trHeight w:val="300"/>
        </w:trPr>
        <w:tc>
          <w:tcPr>
            <w:tcW w:w="1267" w:type="dxa"/>
            <w:tcBorders>
              <w:top w:val="single" w:sz="6" w:space="0" w:color="BFBFBF"/>
              <w:left w:val="single" w:sz="6" w:space="0" w:color="BFBFBF"/>
              <w:bottom w:val="single" w:sz="6" w:space="0" w:color="BFBFBF"/>
              <w:right w:val="single" w:sz="6" w:space="0" w:color="BFBFBF"/>
            </w:tcBorders>
            <w:shd w:val="clear" w:color="auto" w:fill="auto"/>
            <w:hideMark/>
          </w:tcPr>
          <w:p w14:paraId="077599FB" w14:textId="77777777" w:rsidR="00EC3800" w:rsidRPr="00EC3800" w:rsidRDefault="00EC3800" w:rsidP="000F414D">
            <w:pPr>
              <w:ind w:left="13"/>
            </w:pPr>
            <w:r w:rsidRPr="00EC3800">
              <w:rPr>
                <w:b/>
                <w:bCs/>
              </w:rPr>
              <w:t>FY 2024-##</w:t>
            </w:r>
            <w:r w:rsidRPr="00EC3800">
              <w:t> </w:t>
            </w:r>
          </w:p>
        </w:tc>
        <w:tc>
          <w:tcPr>
            <w:tcW w:w="4928" w:type="dxa"/>
            <w:tcBorders>
              <w:top w:val="single" w:sz="6" w:space="0" w:color="BFBFBF"/>
              <w:left w:val="single" w:sz="6" w:space="0" w:color="BFBFBF"/>
              <w:bottom w:val="single" w:sz="6" w:space="0" w:color="BFBFBF"/>
              <w:right w:val="single" w:sz="6" w:space="0" w:color="BFBFBF"/>
            </w:tcBorders>
            <w:shd w:val="clear" w:color="auto" w:fill="auto"/>
            <w:hideMark/>
          </w:tcPr>
          <w:p w14:paraId="45A0F3F8" w14:textId="77777777" w:rsidR="00EC3800" w:rsidRPr="00EC3800" w:rsidRDefault="00EC3800" w:rsidP="000F414D">
            <w:pPr>
              <w:ind w:left="86"/>
            </w:pPr>
            <w:r w:rsidRPr="00EC3800">
              <w:rPr>
                <w:b/>
                <w:bCs/>
              </w:rPr>
              <w:t>Finding</w:t>
            </w:r>
            <w:r w:rsidRPr="00EC3800">
              <w:t> </w:t>
            </w:r>
          </w:p>
        </w:tc>
        <w:tc>
          <w:tcPr>
            <w:tcW w:w="5040" w:type="dxa"/>
            <w:tcBorders>
              <w:top w:val="single" w:sz="6" w:space="0" w:color="BFBFBF"/>
              <w:left w:val="single" w:sz="6" w:space="0" w:color="BFBFBF"/>
              <w:bottom w:val="single" w:sz="6" w:space="0" w:color="BFBFBF"/>
              <w:right w:val="single" w:sz="6" w:space="0" w:color="BFBFBF"/>
            </w:tcBorders>
            <w:shd w:val="clear" w:color="auto" w:fill="auto"/>
            <w:hideMark/>
          </w:tcPr>
          <w:p w14:paraId="4ABC5D5D" w14:textId="77777777" w:rsidR="00EC3800" w:rsidRPr="00EC3800" w:rsidRDefault="00EC3800" w:rsidP="000F414D">
            <w:pPr>
              <w:ind w:left="24"/>
            </w:pPr>
            <w:r w:rsidRPr="00EC3800">
              <w:rPr>
                <w:b/>
                <w:bCs/>
              </w:rPr>
              <w:t>Recommendation</w:t>
            </w:r>
            <w:r w:rsidRPr="00EC3800">
              <w:t> </w:t>
            </w:r>
          </w:p>
        </w:tc>
        <w:tc>
          <w:tcPr>
            <w:tcW w:w="1620" w:type="dxa"/>
            <w:tcBorders>
              <w:top w:val="single" w:sz="6" w:space="0" w:color="BFBFBF"/>
              <w:left w:val="single" w:sz="6" w:space="0" w:color="BFBFBF"/>
              <w:bottom w:val="single" w:sz="6" w:space="0" w:color="BFBFBF"/>
              <w:right w:val="single" w:sz="6" w:space="0" w:color="BFBFBF"/>
            </w:tcBorders>
            <w:shd w:val="clear" w:color="auto" w:fill="auto"/>
            <w:hideMark/>
          </w:tcPr>
          <w:p w14:paraId="3756A4AF" w14:textId="77777777" w:rsidR="00EC3800" w:rsidRPr="00EC3800" w:rsidRDefault="00EC3800" w:rsidP="000F414D">
            <w:pPr>
              <w:ind w:left="19"/>
            </w:pPr>
            <w:r w:rsidRPr="00EC3800">
              <w:rPr>
                <w:b/>
                <w:bCs/>
              </w:rPr>
              <w:t>FY 2023-# or </w:t>
            </w:r>
            <w:r w:rsidRPr="00EC3800">
              <w:t> </w:t>
            </w:r>
          </w:p>
          <w:p w14:paraId="11F896A2" w14:textId="77777777" w:rsidR="00EC3800" w:rsidRPr="00EC3800" w:rsidRDefault="00EC3800" w:rsidP="000F414D">
            <w:pPr>
              <w:ind w:left="19"/>
            </w:pPr>
            <w:r w:rsidRPr="00EC3800">
              <w:rPr>
                <w:b/>
                <w:bCs/>
              </w:rPr>
              <w:t>FY 2023-OB-#</w:t>
            </w:r>
            <w:r w:rsidRPr="00EC3800">
              <w:t> </w:t>
            </w:r>
          </w:p>
        </w:tc>
      </w:tr>
      <w:tr w:rsidR="00EC3800" w:rsidRPr="00EC3800" w14:paraId="40F0DB9F" w14:textId="77777777" w:rsidTr="005B08F5">
        <w:trPr>
          <w:trHeight w:val="300"/>
        </w:trPr>
        <w:tc>
          <w:tcPr>
            <w:tcW w:w="1267" w:type="dxa"/>
            <w:tcBorders>
              <w:top w:val="single" w:sz="6" w:space="0" w:color="BFBFBF"/>
              <w:left w:val="single" w:sz="6" w:space="0" w:color="BFBFBF"/>
              <w:bottom w:val="single" w:sz="6" w:space="0" w:color="BFBFBF"/>
              <w:right w:val="single" w:sz="6" w:space="0" w:color="BFBFBF"/>
            </w:tcBorders>
            <w:shd w:val="clear" w:color="auto" w:fill="auto"/>
          </w:tcPr>
          <w:p w14:paraId="02229999" w14:textId="5725AB71" w:rsidR="00EC3800" w:rsidRPr="00F362F9" w:rsidRDefault="00EC3800" w:rsidP="000F414D">
            <w:pPr>
              <w:ind w:left="13"/>
              <w:rPr>
                <w:sz w:val="22"/>
                <w:szCs w:val="22"/>
              </w:rPr>
            </w:pPr>
            <w:r w:rsidRPr="00F362F9">
              <w:rPr>
                <w:sz w:val="22"/>
                <w:szCs w:val="22"/>
              </w:rPr>
              <w:t>FY 2024-01</w:t>
            </w:r>
          </w:p>
        </w:tc>
        <w:tc>
          <w:tcPr>
            <w:tcW w:w="4928" w:type="dxa"/>
            <w:tcBorders>
              <w:top w:val="single" w:sz="6" w:space="0" w:color="BFBFBF"/>
              <w:left w:val="single" w:sz="6" w:space="0" w:color="BFBFBF"/>
              <w:bottom w:val="single" w:sz="6" w:space="0" w:color="BFBFBF"/>
              <w:right w:val="single" w:sz="6" w:space="0" w:color="BFBFBF"/>
            </w:tcBorders>
            <w:shd w:val="clear" w:color="auto" w:fill="auto"/>
          </w:tcPr>
          <w:p w14:paraId="02722480" w14:textId="291F9592" w:rsidR="00EC3800" w:rsidRPr="00F362F9" w:rsidRDefault="000D1F12" w:rsidP="000F414D">
            <w:pPr>
              <w:ind w:left="86" w:right="66"/>
              <w:rPr>
                <w:sz w:val="22"/>
                <w:szCs w:val="22"/>
              </w:rPr>
            </w:pPr>
            <w:r>
              <w:rPr>
                <w:sz w:val="22"/>
                <w:szCs w:val="22"/>
              </w:rPr>
              <w:t>In FY 2023, i</w:t>
            </w:r>
            <w:r w:rsidR="00EC3800" w:rsidRPr="00F362F9">
              <w:rPr>
                <w:sz w:val="22"/>
                <w:szCs w:val="22"/>
              </w:rPr>
              <w:t xml:space="preserve">n 100% (76 of 76) retaliation cases, there was no evidence that complainants were advised of their right to dually file with OSHA. </w:t>
            </w:r>
          </w:p>
          <w:p w14:paraId="1D342F96" w14:textId="49745833" w:rsidR="00EC3800" w:rsidRPr="00F362F9" w:rsidRDefault="00EC3800" w:rsidP="000F414D">
            <w:pPr>
              <w:ind w:left="86" w:right="66"/>
              <w:rPr>
                <w:sz w:val="22"/>
                <w:szCs w:val="22"/>
              </w:rPr>
            </w:pPr>
          </w:p>
        </w:tc>
        <w:tc>
          <w:tcPr>
            <w:tcW w:w="5040" w:type="dxa"/>
            <w:tcBorders>
              <w:top w:val="single" w:sz="6" w:space="0" w:color="BFBFBF"/>
              <w:left w:val="single" w:sz="6" w:space="0" w:color="BFBFBF"/>
              <w:bottom w:val="single" w:sz="6" w:space="0" w:color="BFBFBF"/>
              <w:right w:val="single" w:sz="6" w:space="0" w:color="BFBFBF"/>
            </w:tcBorders>
            <w:shd w:val="clear" w:color="auto" w:fill="auto"/>
          </w:tcPr>
          <w:p w14:paraId="76125616" w14:textId="090F17AA" w:rsidR="00EC3800" w:rsidRPr="00F362F9" w:rsidRDefault="00DB0DB9" w:rsidP="000F414D">
            <w:pPr>
              <w:ind w:left="24" w:right="59"/>
              <w:rPr>
                <w:sz w:val="22"/>
                <w:szCs w:val="22"/>
              </w:rPr>
            </w:pPr>
            <w:r w:rsidRPr="00F362F9">
              <w:rPr>
                <w:sz w:val="22"/>
                <w:szCs w:val="22"/>
              </w:rPr>
              <w:t>BOLI must use language in their notification letters informing complainants of their right to dually file with OSHA. Oregon OSHA should monitor BOLI to ensure this information is documented and in the retaliation casefile.</w:t>
            </w:r>
            <w:r w:rsidR="00A12099">
              <w:rPr>
                <w:sz w:val="22"/>
                <w:szCs w:val="22"/>
              </w:rPr>
              <w:t xml:space="preserve"> Corrective action complete, awaiting verification.</w:t>
            </w:r>
          </w:p>
        </w:tc>
        <w:tc>
          <w:tcPr>
            <w:tcW w:w="1620" w:type="dxa"/>
            <w:tcBorders>
              <w:top w:val="single" w:sz="6" w:space="0" w:color="BFBFBF"/>
              <w:left w:val="single" w:sz="6" w:space="0" w:color="BFBFBF"/>
              <w:bottom w:val="single" w:sz="6" w:space="0" w:color="BFBFBF"/>
              <w:right w:val="single" w:sz="6" w:space="0" w:color="BFBFBF"/>
            </w:tcBorders>
            <w:shd w:val="clear" w:color="auto" w:fill="auto"/>
          </w:tcPr>
          <w:p w14:paraId="3881E9A3" w14:textId="033754B0" w:rsidR="00EC3800" w:rsidRPr="00F362F9" w:rsidRDefault="00EC3800" w:rsidP="000F414D">
            <w:pPr>
              <w:ind w:left="19"/>
              <w:rPr>
                <w:sz w:val="22"/>
                <w:szCs w:val="22"/>
              </w:rPr>
            </w:pPr>
            <w:r w:rsidRPr="00F362F9">
              <w:rPr>
                <w:sz w:val="22"/>
                <w:szCs w:val="22"/>
              </w:rPr>
              <w:t>FY 2023-01</w:t>
            </w:r>
          </w:p>
          <w:p w14:paraId="387D7B52" w14:textId="7069E7C2" w:rsidR="00EC3800" w:rsidRPr="00F362F9" w:rsidRDefault="00EC3800" w:rsidP="000F414D">
            <w:pPr>
              <w:ind w:left="19"/>
              <w:rPr>
                <w:sz w:val="22"/>
                <w:szCs w:val="22"/>
              </w:rPr>
            </w:pPr>
          </w:p>
        </w:tc>
      </w:tr>
      <w:tr w:rsidR="00EC3800" w:rsidRPr="00EC3800" w14:paraId="1D25CCB5" w14:textId="77777777" w:rsidTr="005B08F5">
        <w:trPr>
          <w:trHeight w:val="300"/>
        </w:trPr>
        <w:tc>
          <w:tcPr>
            <w:tcW w:w="1267" w:type="dxa"/>
            <w:tcBorders>
              <w:top w:val="single" w:sz="6" w:space="0" w:color="BFBFBF"/>
              <w:left w:val="single" w:sz="6" w:space="0" w:color="BFBFBF"/>
              <w:bottom w:val="single" w:sz="6" w:space="0" w:color="BFBFBF"/>
              <w:right w:val="single" w:sz="6" w:space="0" w:color="BFBFBF"/>
            </w:tcBorders>
            <w:shd w:val="clear" w:color="auto" w:fill="auto"/>
          </w:tcPr>
          <w:p w14:paraId="73262CA3" w14:textId="2E527C24" w:rsidR="00EC3800" w:rsidRPr="00F362F9" w:rsidRDefault="00EC3800" w:rsidP="000F414D">
            <w:pPr>
              <w:ind w:left="13"/>
              <w:rPr>
                <w:sz w:val="22"/>
                <w:szCs w:val="22"/>
              </w:rPr>
            </w:pPr>
            <w:r w:rsidRPr="00F362F9">
              <w:rPr>
                <w:sz w:val="22"/>
                <w:szCs w:val="22"/>
              </w:rPr>
              <w:t>FY 2024-02</w:t>
            </w:r>
          </w:p>
        </w:tc>
        <w:tc>
          <w:tcPr>
            <w:tcW w:w="4928" w:type="dxa"/>
            <w:tcBorders>
              <w:top w:val="single" w:sz="6" w:space="0" w:color="BFBFBF"/>
              <w:left w:val="single" w:sz="6" w:space="0" w:color="BFBFBF"/>
              <w:bottom w:val="single" w:sz="6" w:space="0" w:color="BFBFBF"/>
              <w:right w:val="single" w:sz="6" w:space="0" w:color="BFBFBF"/>
            </w:tcBorders>
            <w:shd w:val="clear" w:color="auto" w:fill="auto"/>
          </w:tcPr>
          <w:p w14:paraId="0D8CA29A" w14:textId="06878C18" w:rsidR="00EC3800" w:rsidRPr="00F362F9" w:rsidRDefault="000D1F12" w:rsidP="000F414D">
            <w:pPr>
              <w:ind w:left="86" w:right="66"/>
              <w:rPr>
                <w:b/>
                <w:bCs/>
                <w:sz w:val="22"/>
                <w:szCs w:val="22"/>
              </w:rPr>
            </w:pPr>
            <w:r>
              <w:rPr>
                <w:sz w:val="22"/>
                <w:szCs w:val="22"/>
              </w:rPr>
              <w:t>In FY 2023, i</w:t>
            </w:r>
            <w:r w:rsidR="00EC3800" w:rsidRPr="00F362F9">
              <w:rPr>
                <w:sz w:val="22"/>
                <w:szCs w:val="22"/>
              </w:rPr>
              <w:t>n 68% (52/76) of retaliation files reviewed, there was inconsistent documentation on allowing complainant to rebut the respondent’s information.</w:t>
            </w:r>
            <w:r w:rsidR="00EC3800" w:rsidRPr="00F362F9">
              <w:rPr>
                <w:b/>
                <w:bCs/>
                <w:sz w:val="22"/>
                <w:szCs w:val="22"/>
              </w:rPr>
              <w:t xml:space="preserve"> </w:t>
            </w:r>
          </w:p>
          <w:p w14:paraId="71E7B926" w14:textId="4D678316" w:rsidR="00EC3800" w:rsidRPr="00F362F9" w:rsidRDefault="00EC3800" w:rsidP="000F414D">
            <w:pPr>
              <w:ind w:left="86" w:right="66"/>
              <w:rPr>
                <w:sz w:val="22"/>
                <w:szCs w:val="22"/>
              </w:rPr>
            </w:pPr>
          </w:p>
        </w:tc>
        <w:tc>
          <w:tcPr>
            <w:tcW w:w="5040" w:type="dxa"/>
            <w:tcBorders>
              <w:top w:val="single" w:sz="6" w:space="0" w:color="BFBFBF"/>
              <w:left w:val="single" w:sz="6" w:space="0" w:color="BFBFBF"/>
              <w:bottom w:val="single" w:sz="6" w:space="0" w:color="BFBFBF"/>
              <w:right w:val="single" w:sz="6" w:space="0" w:color="BFBFBF"/>
            </w:tcBorders>
            <w:shd w:val="clear" w:color="auto" w:fill="auto"/>
          </w:tcPr>
          <w:p w14:paraId="3FB3021A" w14:textId="5C8C8974" w:rsidR="00EC3800" w:rsidRPr="00F362F9" w:rsidRDefault="005B08F5" w:rsidP="000F414D">
            <w:pPr>
              <w:ind w:left="24" w:right="59"/>
              <w:rPr>
                <w:sz w:val="22"/>
                <w:szCs w:val="22"/>
              </w:rPr>
            </w:pPr>
            <w:r w:rsidRPr="00F362F9">
              <w:rPr>
                <w:sz w:val="22"/>
                <w:szCs w:val="22"/>
              </w:rPr>
              <w:t xml:space="preserve">Oregon OSHA should ensure BOLI is following OR OSHA PD A-288 by allowing complainants to rebut the information provided respondents during investigations and that the rebuttal is documented in the case files.  </w:t>
            </w:r>
            <w:r w:rsidR="00A12099">
              <w:rPr>
                <w:sz w:val="22"/>
                <w:szCs w:val="22"/>
              </w:rPr>
              <w:t>Corrective action complete, awaiting verification.</w:t>
            </w:r>
          </w:p>
          <w:p w14:paraId="61B6DF4A" w14:textId="635A8463" w:rsidR="005B08F5" w:rsidRPr="00F362F9" w:rsidRDefault="005B08F5" w:rsidP="000F414D">
            <w:pPr>
              <w:ind w:left="24" w:right="59"/>
              <w:rPr>
                <w:sz w:val="22"/>
                <w:szCs w:val="22"/>
              </w:rPr>
            </w:pPr>
          </w:p>
        </w:tc>
        <w:tc>
          <w:tcPr>
            <w:tcW w:w="1620" w:type="dxa"/>
            <w:tcBorders>
              <w:top w:val="single" w:sz="6" w:space="0" w:color="BFBFBF"/>
              <w:left w:val="single" w:sz="6" w:space="0" w:color="BFBFBF"/>
              <w:bottom w:val="single" w:sz="6" w:space="0" w:color="BFBFBF"/>
              <w:right w:val="single" w:sz="6" w:space="0" w:color="BFBFBF"/>
            </w:tcBorders>
            <w:shd w:val="clear" w:color="auto" w:fill="auto"/>
          </w:tcPr>
          <w:p w14:paraId="3A1E8206" w14:textId="6383B8A7" w:rsidR="00EC3800" w:rsidRPr="00F362F9" w:rsidRDefault="00EC3800" w:rsidP="000F414D">
            <w:pPr>
              <w:ind w:left="19"/>
              <w:rPr>
                <w:sz w:val="22"/>
                <w:szCs w:val="22"/>
              </w:rPr>
            </w:pPr>
            <w:r w:rsidRPr="00F362F9">
              <w:rPr>
                <w:sz w:val="22"/>
                <w:szCs w:val="22"/>
              </w:rPr>
              <w:t>FY 2023-02</w:t>
            </w:r>
          </w:p>
          <w:p w14:paraId="3FA0F6B8" w14:textId="1EC03758" w:rsidR="00EC3800" w:rsidRPr="00F362F9" w:rsidRDefault="00EC3800" w:rsidP="000F414D">
            <w:pPr>
              <w:ind w:left="19"/>
              <w:rPr>
                <w:sz w:val="22"/>
                <w:szCs w:val="22"/>
              </w:rPr>
            </w:pPr>
          </w:p>
        </w:tc>
      </w:tr>
    </w:tbl>
    <w:p w14:paraId="6A1ED8F3" w14:textId="77777777" w:rsidR="00BB08E6" w:rsidRDefault="00BB08E6" w:rsidP="00B6741C"/>
    <w:p w14:paraId="526D50E2" w14:textId="52DDD31B" w:rsidR="002718F0" w:rsidRDefault="00742AD4" w:rsidP="00662F12">
      <w:pPr>
        <w:rPr>
          <w:rFonts w:cs="Calibri"/>
          <w:i/>
        </w:rPr>
      </w:pPr>
      <w:r>
        <w:t xml:space="preserve"> </w:t>
      </w:r>
    </w:p>
    <w:p w14:paraId="46C4D3A1" w14:textId="77777777" w:rsidR="002718F0" w:rsidRDefault="002718F0" w:rsidP="007A71AC">
      <w:pPr>
        <w:widowControl/>
        <w:autoSpaceDE/>
        <w:autoSpaceDN/>
        <w:adjustRightInd/>
        <w:rPr>
          <w:rFonts w:cs="Calibri"/>
          <w:i/>
        </w:rPr>
      </w:pPr>
    </w:p>
    <w:p w14:paraId="727936A6" w14:textId="0D7206FF" w:rsidR="00B6741C" w:rsidRPr="0002572C" w:rsidRDefault="00662F12" w:rsidP="00662F12">
      <w:pPr>
        <w:pStyle w:val="Heading3"/>
      </w:pPr>
      <w:r>
        <w:rPr>
          <w:rFonts w:cs="Calibri"/>
          <w:i/>
        </w:rPr>
        <w:br w:type="column"/>
      </w:r>
      <w:bookmarkStart w:id="25" w:name="_Toc118905018"/>
      <w:bookmarkStart w:id="26" w:name="_Toc190095690"/>
      <w:r w:rsidR="00B6741C" w:rsidRPr="0002572C">
        <w:t>Appendix B – Observations Subject to Continued Monitoring</w:t>
      </w:r>
      <w:bookmarkEnd w:id="25"/>
      <w:bookmarkEnd w:id="26"/>
    </w:p>
    <w:p w14:paraId="2F3268EE" w14:textId="1CF3F4F7" w:rsidR="00B6741C" w:rsidRPr="00F0678A" w:rsidRDefault="00B6741C" w:rsidP="0002572C">
      <w:r>
        <w:t xml:space="preserve">FY </w:t>
      </w:r>
      <w:r w:rsidR="00784F48">
        <w:t xml:space="preserve">2024 </w:t>
      </w:r>
      <w:r w:rsidR="00D17AF0">
        <w:t>Oregon OSHA</w:t>
      </w:r>
      <w:r>
        <w:t xml:space="preserve"> Follow-up FAME Report</w:t>
      </w:r>
    </w:p>
    <w:p w14:paraId="3BF03838" w14:textId="77777777" w:rsidR="00D86879" w:rsidRPr="001C1E47" w:rsidRDefault="00D86879" w:rsidP="007A71AC">
      <w:pPr>
        <w:widowControl/>
        <w:autoSpaceDE/>
        <w:autoSpaceDN/>
        <w:adjustRightInd/>
        <w:rPr>
          <w:rFonts w:cs="Calibri"/>
          <w:i/>
        </w:rPr>
      </w:pPr>
    </w:p>
    <w:tbl>
      <w:tblPr>
        <w:tblStyle w:val="TableGridLight"/>
        <w:tblW w:w="13135" w:type="dxa"/>
        <w:tblLook w:val="04A0" w:firstRow="1" w:lastRow="0" w:firstColumn="1" w:lastColumn="0" w:noHBand="0" w:noVBand="1"/>
      </w:tblPr>
      <w:tblGrid>
        <w:gridCol w:w="2425"/>
        <w:gridCol w:w="1890"/>
        <w:gridCol w:w="3240"/>
        <w:gridCol w:w="3690"/>
        <w:gridCol w:w="1890"/>
      </w:tblGrid>
      <w:tr w:rsidR="00B6741C" w14:paraId="29FCA8C1" w14:textId="77777777" w:rsidTr="00F25C2C">
        <w:tc>
          <w:tcPr>
            <w:tcW w:w="2425" w:type="dxa"/>
          </w:tcPr>
          <w:p w14:paraId="09A99A4F"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4A9173A2" w14:textId="4EB3AB76"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D17AF0">
              <w:rPr>
                <w:rFonts w:cs="Calibri"/>
                <w:b/>
                <w:sz w:val="22"/>
                <w:szCs w:val="22"/>
              </w:rPr>
              <w:t>2</w:t>
            </w:r>
            <w:r w:rsidR="00E96946">
              <w:rPr>
                <w:rFonts w:cs="Calibri"/>
                <w:b/>
                <w:sz w:val="22"/>
                <w:szCs w:val="22"/>
              </w:rPr>
              <w:t>4</w:t>
            </w:r>
            <w:r w:rsidRPr="001C1E47">
              <w:rPr>
                <w:rFonts w:cs="Calibri"/>
                <w:b/>
                <w:sz w:val="22"/>
                <w:szCs w:val="22"/>
              </w:rPr>
              <w:t>-OB-#</w:t>
            </w:r>
          </w:p>
          <w:p w14:paraId="490DEAC3" w14:textId="77777777" w:rsidR="00B6741C" w:rsidRDefault="00B6741C" w:rsidP="00B6741C">
            <w:pPr>
              <w:widowControl/>
              <w:autoSpaceDE/>
              <w:autoSpaceDN/>
              <w:adjustRightInd/>
              <w:rPr>
                <w:rFonts w:cs="Calibri"/>
                <w:i/>
                <w:sz w:val="22"/>
                <w:szCs w:val="22"/>
              </w:rPr>
            </w:pPr>
          </w:p>
        </w:tc>
        <w:tc>
          <w:tcPr>
            <w:tcW w:w="1890" w:type="dxa"/>
          </w:tcPr>
          <w:p w14:paraId="35F41DAC"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123195C" w14:textId="4799962C" w:rsidR="00B6741C" w:rsidRDefault="00B6741C" w:rsidP="00B6741C">
            <w:pPr>
              <w:widowControl/>
              <w:autoSpaceDE/>
              <w:autoSpaceDN/>
              <w:adjustRightInd/>
              <w:rPr>
                <w:rFonts w:cs="Calibri"/>
                <w:i/>
                <w:sz w:val="22"/>
                <w:szCs w:val="22"/>
              </w:rPr>
            </w:pPr>
            <w:r w:rsidRPr="001C1E47">
              <w:rPr>
                <w:rFonts w:cs="Calibri"/>
                <w:b/>
                <w:sz w:val="22"/>
                <w:szCs w:val="22"/>
              </w:rPr>
              <w:t>FY 20</w:t>
            </w:r>
            <w:r w:rsidR="00D17AF0">
              <w:rPr>
                <w:rFonts w:cs="Calibri"/>
                <w:b/>
                <w:sz w:val="22"/>
                <w:szCs w:val="22"/>
              </w:rPr>
              <w:t>2</w:t>
            </w:r>
            <w:r w:rsidR="00E96946">
              <w:rPr>
                <w:rFonts w:cs="Calibri"/>
                <w:b/>
                <w:sz w:val="22"/>
                <w:szCs w:val="22"/>
              </w:rPr>
              <w:t>3</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sidR="00D17AF0">
              <w:rPr>
                <w:rFonts w:cs="Calibri"/>
                <w:b/>
                <w:sz w:val="22"/>
                <w:szCs w:val="22"/>
              </w:rPr>
              <w:t>2</w:t>
            </w:r>
            <w:r w:rsidR="00E96946">
              <w:rPr>
                <w:rFonts w:cs="Calibri"/>
                <w:b/>
                <w:sz w:val="22"/>
                <w:szCs w:val="22"/>
              </w:rPr>
              <w:t>3</w:t>
            </w:r>
            <w:r w:rsidRPr="001C1E47">
              <w:rPr>
                <w:rFonts w:cs="Calibri"/>
                <w:b/>
                <w:sz w:val="22"/>
                <w:szCs w:val="22"/>
              </w:rPr>
              <w:t>-#</w:t>
            </w:r>
          </w:p>
        </w:tc>
        <w:tc>
          <w:tcPr>
            <w:tcW w:w="3240" w:type="dxa"/>
          </w:tcPr>
          <w:p w14:paraId="6A90E25E" w14:textId="77777777"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3690" w:type="dxa"/>
          </w:tcPr>
          <w:p w14:paraId="53492B68" w14:textId="77777777"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1890" w:type="dxa"/>
          </w:tcPr>
          <w:p w14:paraId="391306E7"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D17AF0" w14:paraId="7043A93E" w14:textId="77777777" w:rsidTr="00F25C2C">
        <w:tc>
          <w:tcPr>
            <w:tcW w:w="2425" w:type="dxa"/>
          </w:tcPr>
          <w:p w14:paraId="4C36C70F" w14:textId="1DF2806F"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-OB-01</w:t>
            </w:r>
          </w:p>
        </w:tc>
        <w:tc>
          <w:tcPr>
            <w:tcW w:w="1890" w:type="dxa"/>
          </w:tcPr>
          <w:p w14:paraId="591AE60A" w14:textId="6D521331" w:rsidR="00E96946" w:rsidRDefault="00E96946" w:rsidP="0020629B">
            <w:pPr>
              <w:ind w:left="-22"/>
              <w:rPr>
                <w:rFonts w:asciiTheme="minorHAnsi" w:eastAsia="Calibri" w:hAnsiTheme="minorHAnsi" w:cstheme="minorHAnsi"/>
                <w:sz w:val="22"/>
                <w:szCs w:val="22"/>
              </w:rPr>
            </w:pPr>
            <w:r>
              <w:rPr>
                <w:rFonts w:asciiTheme="minorHAnsi" w:eastAsia="Calibri" w:hAnsiTheme="minorHAnsi" w:cstheme="minorHAnsi"/>
                <w:sz w:val="22"/>
                <w:szCs w:val="22"/>
              </w:rPr>
              <w:t>FY 2023-OB-01</w:t>
            </w:r>
          </w:p>
          <w:p w14:paraId="0241B3E6" w14:textId="6AF1DA79" w:rsidR="3A73C308" w:rsidRPr="00676C1C" w:rsidRDefault="3A73C308" w:rsidP="0020629B">
            <w:pPr>
              <w:ind w:left="-22"/>
              <w:rPr>
                <w:rFonts w:asciiTheme="minorHAnsi" w:hAnsiTheme="minorHAnsi" w:cstheme="minorHAnsi"/>
                <w:sz w:val="22"/>
                <w:szCs w:val="22"/>
              </w:rPr>
            </w:pPr>
          </w:p>
        </w:tc>
        <w:tc>
          <w:tcPr>
            <w:tcW w:w="3240" w:type="dxa"/>
          </w:tcPr>
          <w:p w14:paraId="2A08599A" w14:textId="4533B4FC"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The confidentiality of employees interviewed during inspections was not ensured during the appeal process.</w:t>
            </w:r>
          </w:p>
        </w:tc>
        <w:tc>
          <w:tcPr>
            <w:tcW w:w="3690" w:type="dxa"/>
          </w:tcPr>
          <w:p w14:paraId="257984B5" w14:textId="5DC30CA2"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OSHA will continue to work with and provide guidance to Oregon OSHA to ensure the confidentiality of employees who participate in enforcement activities.</w:t>
            </w:r>
          </w:p>
        </w:tc>
        <w:tc>
          <w:tcPr>
            <w:tcW w:w="1890" w:type="dxa"/>
          </w:tcPr>
          <w:p w14:paraId="43B597CD" w14:textId="5740091C"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Continued</w:t>
            </w:r>
          </w:p>
        </w:tc>
      </w:tr>
      <w:tr w:rsidR="00D17AF0" w14:paraId="30518131" w14:textId="77777777" w:rsidTr="00F25C2C">
        <w:tc>
          <w:tcPr>
            <w:tcW w:w="2425" w:type="dxa"/>
          </w:tcPr>
          <w:p w14:paraId="3D763F76" w14:textId="47E3984A"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-OB-02</w:t>
            </w:r>
          </w:p>
        </w:tc>
        <w:tc>
          <w:tcPr>
            <w:tcW w:w="1890" w:type="dxa"/>
          </w:tcPr>
          <w:p w14:paraId="12792CDD" w14:textId="3A630AF6" w:rsidR="0020629B" w:rsidRDefault="0020629B" w:rsidP="0020629B">
            <w:pPr>
              <w:ind w:left="-22"/>
              <w:rPr>
                <w:rFonts w:asciiTheme="minorHAnsi" w:eastAsia="Calibri" w:hAnsiTheme="minorHAnsi" w:cstheme="minorHAnsi"/>
                <w:sz w:val="22"/>
                <w:szCs w:val="22"/>
              </w:rPr>
            </w:pPr>
            <w:r>
              <w:rPr>
                <w:rFonts w:asciiTheme="minorHAnsi" w:eastAsia="Calibri" w:hAnsiTheme="minorHAnsi" w:cstheme="minorHAnsi"/>
                <w:sz w:val="22"/>
                <w:szCs w:val="22"/>
              </w:rPr>
              <w:t>FY 2023-OB-02</w:t>
            </w:r>
          </w:p>
          <w:p w14:paraId="3AFB2D6F" w14:textId="035D58B7" w:rsidR="3A73C308" w:rsidRPr="00676C1C" w:rsidRDefault="3A73C308" w:rsidP="0020629B">
            <w:pPr>
              <w:ind w:left="-22"/>
              <w:rPr>
                <w:rFonts w:asciiTheme="minorHAnsi" w:hAnsiTheme="minorHAnsi" w:cstheme="minorHAnsi"/>
                <w:sz w:val="22"/>
                <w:szCs w:val="22"/>
              </w:rPr>
            </w:pPr>
          </w:p>
        </w:tc>
        <w:tc>
          <w:tcPr>
            <w:tcW w:w="3240" w:type="dxa"/>
          </w:tcPr>
          <w:p w14:paraId="43258490" w14:textId="3D8628B6"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 xml:space="preserve">Oregon OSHA did not adopt federal program changes timely. </w:t>
            </w:r>
          </w:p>
        </w:tc>
        <w:tc>
          <w:tcPr>
            <w:tcW w:w="3690" w:type="dxa"/>
          </w:tcPr>
          <w:p w14:paraId="48F925DC" w14:textId="1283A1DF"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OSHA will continue to track Oregon OSHA`s progress on adoption of federal program changes and will discuss the status during the quarterly meetings.</w:t>
            </w:r>
          </w:p>
        </w:tc>
        <w:tc>
          <w:tcPr>
            <w:tcW w:w="1890" w:type="dxa"/>
          </w:tcPr>
          <w:p w14:paraId="1B6D18E0" w14:textId="2099E603"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Continued</w:t>
            </w:r>
          </w:p>
        </w:tc>
      </w:tr>
      <w:tr w:rsidR="00D17AF0" w14:paraId="20212CBF" w14:textId="77777777" w:rsidTr="00F25C2C">
        <w:tc>
          <w:tcPr>
            <w:tcW w:w="2425" w:type="dxa"/>
          </w:tcPr>
          <w:p w14:paraId="08895CCB" w14:textId="0EDAB564"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-OB-03</w:t>
            </w:r>
          </w:p>
        </w:tc>
        <w:tc>
          <w:tcPr>
            <w:tcW w:w="1890" w:type="dxa"/>
          </w:tcPr>
          <w:p w14:paraId="3CE95C5F" w14:textId="392B8E9F" w:rsidR="0020629B" w:rsidRDefault="0020629B" w:rsidP="0020629B">
            <w:pPr>
              <w:ind w:left="-22"/>
              <w:rPr>
                <w:rFonts w:asciiTheme="minorHAnsi" w:eastAsia="Calibri" w:hAnsiTheme="minorHAnsi" w:cstheme="minorHAnsi"/>
                <w:sz w:val="22"/>
                <w:szCs w:val="22"/>
              </w:rPr>
            </w:pPr>
            <w:r>
              <w:rPr>
                <w:rFonts w:asciiTheme="minorHAnsi" w:eastAsia="Calibri" w:hAnsiTheme="minorHAnsi" w:cstheme="minorHAnsi"/>
                <w:sz w:val="22"/>
                <w:szCs w:val="22"/>
              </w:rPr>
              <w:t>FY 2023-OB-03</w:t>
            </w:r>
          </w:p>
          <w:p w14:paraId="389B3C6B" w14:textId="0A27AF2E" w:rsidR="3A73C308" w:rsidRPr="00676C1C" w:rsidRDefault="3A73C308" w:rsidP="0020629B">
            <w:pPr>
              <w:ind w:left="-22"/>
              <w:rPr>
                <w:rFonts w:asciiTheme="minorHAnsi" w:hAnsiTheme="minorHAnsi" w:cstheme="minorHAnsi"/>
                <w:sz w:val="22"/>
                <w:szCs w:val="22"/>
              </w:rPr>
            </w:pPr>
          </w:p>
        </w:tc>
        <w:tc>
          <w:tcPr>
            <w:tcW w:w="3240" w:type="dxa"/>
          </w:tcPr>
          <w:p w14:paraId="5373D1AE" w14:textId="76F4C2FF" w:rsidR="3A73C308" w:rsidRPr="00676C1C" w:rsidRDefault="00933761" w:rsidP="00676C1C">
            <w:pPr>
              <w:rPr>
                <w:rFonts w:asciiTheme="minorHAnsi" w:hAnsiTheme="minorHAnsi" w:cstheme="minorHAnsi"/>
                <w:sz w:val="22"/>
                <w:szCs w:val="22"/>
              </w:rPr>
            </w:pPr>
            <w:r>
              <w:rPr>
                <w:rFonts w:asciiTheme="minorHAnsi" w:eastAsia="Calibri" w:hAnsiTheme="minorHAnsi" w:cstheme="minorHAnsi"/>
                <w:sz w:val="22"/>
                <w:szCs w:val="22"/>
              </w:rPr>
              <w:t>In FY 2023, i</w:t>
            </w:r>
            <w:r w:rsidR="3A73C308" w:rsidRPr="00676C1C">
              <w:rPr>
                <w:rFonts w:asciiTheme="minorHAnsi" w:eastAsia="Calibri" w:hAnsiTheme="minorHAnsi" w:cstheme="minorHAnsi"/>
                <w:sz w:val="22"/>
                <w:szCs w:val="22"/>
              </w:rPr>
              <w:t>n 100% (76/76) of retaliation case files reviewed, although draft letters were present in the file, there was no specific information on delivery of official letters presented for review.</w:t>
            </w:r>
          </w:p>
        </w:tc>
        <w:tc>
          <w:tcPr>
            <w:tcW w:w="3690" w:type="dxa"/>
          </w:tcPr>
          <w:p w14:paraId="036FADCD" w14:textId="32958532"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 xml:space="preserve">OSHA will monitor quarterly that Oregon OSHA and BOLI are properly documenting retaliation investigations and will conduct a </w:t>
            </w:r>
            <w:r w:rsidR="0073231B">
              <w:rPr>
                <w:rFonts w:asciiTheme="minorHAnsi" w:eastAsia="Calibri" w:hAnsiTheme="minorHAnsi" w:cstheme="minorHAnsi"/>
                <w:sz w:val="22"/>
                <w:szCs w:val="22"/>
              </w:rPr>
              <w:t>comprehensive</w:t>
            </w:r>
            <w:r w:rsidR="0073231B" w:rsidRPr="00676C1C">
              <w:rPr>
                <w:rFonts w:asciiTheme="minorHAnsi" w:eastAsia="Calibri" w:hAnsiTheme="minorHAnsi" w:cstheme="minorHAnsi"/>
                <w:sz w:val="22"/>
                <w:szCs w:val="22"/>
              </w:rPr>
              <w:t xml:space="preserve"> </w:t>
            </w:r>
            <w:r w:rsidRPr="00676C1C">
              <w:rPr>
                <w:rFonts w:asciiTheme="minorHAnsi" w:eastAsia="Calibri" w:hAnsiTheme="minorHAnsi" w:cstheme="minorHAnsi"/>
                <w:sz w:val="22"/>
                <w:szCs w:val="22"/>
              </w:rPr>
              <w:t xml:space="preserve">file review for FY </w:t>
            </w:r>
            <w:r w:rsidR="0073231B" w:rsidRPr="00676C1C">
              <w:rPr>
                <w:rFonts w:asciiTheme="minorHAnsi" w:eastAsia="Calibri" w:hAnsiTheme="minorHAnsi" w:cstheme="minorHAnsi"/>
                <w:sz w:val="22"/>
                <w:szCs w:val="22"/>
              </w:rPr>
              <w:t>202</w:t>
            </w:r>
            <w:r w:rsidR="0073231B">
              <w:rPr>
                <w:rFonts w:asciiTheme="minorHAnsi" w:eastAsia="Calibri" w:hAnsiTheme="minorHAnsi" w:cstheme="minorHAnsi"/>
                <w:sz w:val="22"/>
                <w:szCs w:val="22"/>
              </w:rPr>
              <w:t>5</w:t>
            </w:r>
            <w:r w:rsidRPr="00676C1C">
              <w:rPr>
                <w:rFonts w:asciiTheme="minorHAnsi" w:eastAsia="Calibri" w:hAnsiTheme="minorHAnsi" w:cstheme="minorHAnsi"/>
                <w:sz w:val="22"/>
                <w:szCs w:val="22"/>
              </w:rPr>
              <w:t xml:space="preserve">.  </w:t>
            </w:r>
          </w:p>
        </w:tc>
        <w:tc>
          <w:tcPr>
            <w:tcW w:w="1890" w:type="dxa"/>
          </w:tcPr>
          <w:p w14:paraId="42EB19B8" w14:textId="71D1DCFC"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Continued</w:t>
            </w:r>
          </w:p>
        </w:tc>
      </w:tr>
      <w:tr w:rsidR="00D17AF0" w14:paraId="3406E9CB" w14:textId="77777777" w:rsidTr="00F25C2C">
        <w:tc>
          <w:tcPr>
            <w:tcW w:w="2425" w:type="dxa"/>
          </w:tcPr>
          <w:p w14:paraId="161604C2" w14:textId="2B69AD5C"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2023-OB-04</w:t>
            </w:r>
          </w:p>
        </w:tc>
        <w:tc>
          <w:tcPr>
            <w:tcW w:w="1890" w:type="dxa"/>
          </w:tcPr>
          <w:p w14:paraId="5772525F" w14:textId="36A2DFD7" w:rsidR="3A73C308" w:rsidRPr="00676C1C" w:rsidRDefault="0020629B" w:rsidP="0020629B">
            <w:pPr>
              <w:ind w:left="-22"/>
              <w:rPr>
                <w:rFonts w:asciiTheme="minorHAnsi" w:hAnsiTheme="minorHAnsi" w:cstheme="minorHAnsi"/>
                <w:sz w:val="22"/>
                <w:szCs w:val="22"/>
              </w:rPr>
            </w:pPr>
            <w:r>
              <w:rPr>
                <w:rFonts w:asciiTheme="minorHAnsi" w:eastAsia="Calibri" w:hAnsiTheme="minorHAnsi" w:cstheme="minorHAnsi"/>
                <w:sz w:val="22"/>
                <w:szCs w:val="22"/>
              </w:rPr>
              <w:t>FY 2023-OB-04</w:t>
            </w:r>
          </w:p>
        </w:tc>
        <w:tc>
          <w:tcPr>
            <w:tcW w:w="3240" w:type="dxa"/>
          </w:tcPr>
          <w:p w14:paraId="6BDD69BC" w14:textId="664D25E5" w:rsidR="3A73C308" w:rsidRPr="00676C1C" w:rsidRDefault="00DB49AE" w:rsidP="00676C1C">
            <w:pPr>
              <w:rPr>
                <w:rFonts w:asciiTheme="minorHAnsi" w:hAnsiTheme="minorHAnsi" w:cstheme="minorHAnsi"/>
                <w:sz w:val="22"/>
                <w:szCs w:val="22"/>
              </w:rPr>
            </w:pPr>
            <w:r>
              <w:rPr>
                <w:rFonts w:asciiTheme="minorHAnsi" w:eastAsia="Calibri" w:hAnsiTheme="minorHAnsi" w:cstheme="minorHAnsi"/>
                <w:sz w:val="22"/>
                <w:szCs w:val="22"/>
              </w:rPr>
              <w:t>In FY 2023, t</w:t>
            </w:r>
            <w:r w:rsidR="3A73C308" w:rsidRPr="00676C1C">
              <w:rPr>
                <w:rFonts w:asciiTheme="minorHAnsi" w:eastAsia="Calibri" w:hAnsiTheme="minorHAnsi" w:cstheme="minorHAnsi"/>
                <w:sz w:val="22"/>
                <w:szCs w:val="22"/>
              </w:rPr>
              <w:t>he activity log was not presented for review in 92% (70/76) of retaliation files.</w:t>
            </w:r>
          </w:p>
        </w:tc>
        <w:tc>
          <w:tcPr>
            <w:tcW w:w="3690" w:type="dxa"/>
          </w:tcPr>
          <w:p w14:paraId="77FCDCED" w14:textId="5C4C9C8C"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 xml:space="preserve">OSHA will monitor quarterly that Oregon OSHA and BOLI are properly documenting retaliation investigations and will conduct a </w:t>
            </w:r>
            <w:r w:rsidR="00E657C7">
              <w:rPr>
                <w:rFonts w:asciiTheme="minorHAnsi" w:eastAsia="Calibri" w:hAnsiTheme="minorHAnsi" w:cstheme="minorHAnsi"/>
                <w:sz w:val="22"/>
                <w:szCs w:val="22"/>
              </w:rPr>
              <w:t>comprehensive</w:t>
            </w:r>
            <w:r w:rsidR="00E657C7" w:rsidRPr="00676C1C">
              <w:rPr>
                <w:rFonts w:asciiTheme="minorHAnsi" w:eastAsia="Calibri" w:hAnsiTheme="minorHAnsi" w:cstheme="minorHAnsi"/>
                <w:sz w:val="22"/>
                <w:szCs w:val="22"/>
              </w:rPr>
              <w:t xml:space="preserve"> </w:t>
            </w:r>
            <w:r w:rsidRPr="00676C1C">
              <w:rPr>
                <w:rFonts w:asciiTheme="minorHAnsi" w:eastAsia="Calibri" w:hAnsiTheme="minorHAnsi" w:cstheme="minorHAnsi"/>
                <w:sz w:val="22"/>
                <w:szCs w:val="22"/>
              </w:rPr>
              <w:t xml:space="preserve">file review for FY </w:t>
            </w:r>
            <w:r w:rsidR="00E657C7" w:rsidRPr="00676C1C">
              <w:rPr>
                <w:rFonts w:asciiTheme="minorHAnsi" w:eastAsia="Calibri" w:hAnsiTheme="minorHAnsi" w:cstheme="minorHAnsi"/>
                <w:sz w:val="22"/>
                <w:szCs w:val="22"/>
              </w:rPr>
              <w:t>202</w:t>
            </w:r>
            <w:r w:rsidR="00E657C7">
              <w:rPr>
                <w:rFonts w:asciiTheme="minorHAnsi" w:eastAsia="Calibri" w:hAnsiTheme="minorHAnsi" w:cstheme="minorHAnsi"/>
                <w:sz w:val="22"/>
                <w:szCs w:val="22"/>
              </w:rPr>
              <w:t>5</w:t>
            </w:r>
            <w:r w:rsidRPr="00676C1C">
              <w:rPr>
                <w:rFonts w:asciiTheme="minorHAnsi" w:eastAsia="Calibri" w:hAnsiTheme="minorHAnsi" w:cstheme="minorHAnsi"/>
                <w:sz w:val="22"/>
                <w:szCs w:val="22"/>
              </w:rPr>
              <w:t xml:space="preserve">.  </w:t>
            </w:r>
          </w:p>
        </w:tc>
        <w:tc>
          <w:tcPr>
            <w:tcW w:w="1890" w:type="dxa"/>
          </w:tcPr>
          <w:p w14:paraId="54953F70" w14:textId="280BCD12" w:rsidR="3A73C308" w:rsidRPr="00676C1C" w:rsidRDefault="0020629B" w:rsidP="00676C1C">
            <w:pPr>
              <w:rPr>
                <w:rFonts w:asciiTheme="minorHAnsi" w:hAnsiTheme="minorHAnsi" w:cstheme="minorHAnsi"/>
                <w:sz w:val="22"/>
                <w:szCs w:val="22"/>
              </w:rPr>
            </w:pPr>
            <w:r>
              <w:rPr>
                <w:rFonts w:asciiTheme="minorHAnsi" w:eastAsia="Calibri" w:hAnsiTheme="minorHAnsi" w:cstheme="minorHAnsi"/>
                <w:sz w:val="22"/>
                <w:szCs w:val="22"/>
              </w:rPr>
              <w:t>Continued</w:t>
            </w:r>
          </w:p>
        </w:tc>
      </w:tr>
      <w:tr w:rsidR="00D17AF0" w14:paraId="1F4FFB93" w14:textId="77777777" w:rsidTr="00F25C2C">
        <w:trPr>
          <w:trHeight w:val="1403"/>
        </w:trPr>
        <w:tc>
          <w:tcPr>
            <w:tcW w:w="2425" w:type="dxa"/>
          </w:tcPr>
          <w:p w14:paraId="0D8DB1B2" w14:textId="17099FB0"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-OB-05</w:t>
            </w:r>
          </w:p>
        </w:tc>
        <w:tc>
          <w:tcPr>
            <w:tcW w:w="1890" w:type="dxa"/>
          </w:tcPr>
          <w:p w14:paraId="59A04241" w14:textId="673FEA4E" w:rsidR="3A73C308" w:rsidRPr="00676C1C" w:rsidRDefault="0020629B" w:rsidP="00676C1C">
            <w:pPr>
              <w:rPr>
                <w:rFonts w:asciiTheme="minorHAnsi" w:hAnsiTheme="minorHAnsi" w:cstheme="minorHAnsi"/>
                <w:sz w:val="22"/>
                <w:szCs w:val="22"/>
              </w:rPr>
            </w:pPr>
            <w:r>
              <w:rPr>
                <w:rFonts w:asciiTheme="minorHAnsi" w:eastAsia="Calibri" w:hAnsiTheme="minorHAnsi" w:cstheme="minorHAnsi"/>
                <w:sz w:val="22"/>
                <w:szCs w:val="22"/>
              </w:rPr>
              <w:t>FY 2023-OB-05</w:t>
            </w:r>
          </w:p>
        </w:tc>
        <w:tc>
          <w:tcPr>
            <w:tcW w:w="3240" w:type="dxa"/>
          </w:tcPr>
          <w:p w14:paraId="541217DE" w14:textId="135B7CCA" w:rsidR="3A73C308" w:rsidRPr="00676C1C" w:rsidRDefault="005A5F57" w:rsidP="00676C1C">
            <w:pPr>
              <w:rPr>
                <w:rFonts w:asciiTheme="minorHAnsi" w:hAnsiTheme="minorHAnsi" w:cstheme="minorHAnsi"/>
                <w:sz w:val="22"/>
                <w:szCs w:val="22"/>
              </w:rPr>
            </w:pPr>
            <w:r w:rsidRPr="00676C1C">
              <w:rPr>
                <w:rFonts w:asciiTheme="minorHAnsi" w:eastAsia="Calibri" w:hAnsiTheme="minorHAnsi" w:cstheme="minorHAnsi"/>
                <w:sz w:val="22"/>
                <w:szCs w:val="22"/>
              </w:rPr>
              <w:t>In FY 2023</w:t>
            </w:r>
            <w:r w:rsidR="00DB49AE">
              <w:rPr>
                <w:rFonts w:asciiTheme="minorHAnsi" w:eastAsia="Calibri" w:hAnsiTheme="minorHAnsi" w:cstheme="minorHAnsi"/>
                <w:sz w:val="22"/>
                <w:szCs w:val="22"/>
              </w:rPr>
              <w:t xml:space="preserve">, </w:t>
            </w:r>
            <w:r w:rsidR="3A73C308" w:rsidRPr="00676C1C">
              <w:rPr>
                <w:rFonts w:asciiTheme="minorHAnsi" w:eastAsia="Calibri" w:hAnsiTheme="minorHAnsi" w:cstheme="minorHAnsi"/>
                <w:sz w:val="22"/>
                <w:szCs w:val="22"/>
              </w:rPr>
              <w:t>OSHA 300 logs were not in the files in five of nine (55%) state and local government consultation files reviewed, for employers with 10 or more employees at the worksite.</w:t>
            </w:r>
          </w:p>
        </w:tc>
        <w:tc>
          <w:tcPr>
            <w:tcW w:w="3690" w:type="dxa"/>
          </w:tcPr>
          <w:p w14:paraId="65A3A872" w14:textId="356B9B52"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 xml:space="preserve">OSHA will discuss with Oregon OSHA during quarterly meetings and with the Consultation Program Manager. OSHA will conduct a file review during the next </w:t>
            </w:r>
            <w:r w:rsidR="003C6891">
              <w:rPr>
                <w:rFonts w:asciiTheme="minorHAnsi" w:eastAsia="Calibri" w:hAnsiTheme="minorHAnsi" w:cstheme="minorHAnsi"/>
                <w:sz w:val="22"/>
                <w:szCs w:val="22"/>
              </w:rPr>
              <w:t xml:space="preserve">Comprehensive </w:t>
            </w:r>
            <w:r w:rsidRPr="00676C1C">
              <w:rPr>
                <w:rFonts w:asciiTheme="minorHAnsi" w:eastAsia="Calibri" w:hAnsiTheme="minorHAnsi" w:cstheme="minorHAnsi"/>
                <w:sz w:val="22"/>
                <w:szCs w:val="22"/>
              </w:rPr>
              <w:t>FAME.</w:t>
            </w:r>
          </w:p>
        </w:tc>
        <w:tc>
          <w:tcPr>
            <w:tcW w:w="1890" w:type="dxa"/>
          </w:tcPr>
          <w:p w14:paraId="11995AF1" w14:textId="3A45A8CF" w:rsidR="3A73C308" w:rsidRPr="00676C1C" w:rsidRDefault="0020629B" w:rsidP="00676C1C">
            <w:pPr>
              <w:rPr>
                <w:rFonts w:asciiTheme="minorHAnsi" w:eastAsia="Calibri" w:hAnsiTheme="minorHAnsi" w:cstheme="minorHAnsi"/>
                <w:sz w:val="22"/>
                <w:szCs w:val="22"/>
              </w:rPr>
            </w:pPr>
            <w:r>
              <w:rPr>
                <w:rFonts w:asciiTheme="minorHAnsi" w:eastAsia="Calibri" w:hAnsiTheme="minorHAnsi" w:cstheme="minorHAnsi"/>
                <w:sz w:val="22"/>
                <w:szCs w:val="22"/>
              </w:rPr>
              <w:t>Continued</w:t>
            </w:r>
          </w:p>
        </w:tc>
      </w:tr>
      <w:tr w:rsidR="009C102C" w14:paraId="693FF581" w14:textId="77777777" w:rsidTr="00F25C2C">
        <w:tc>
          <w:tcPr>
            <w:tcW w:w="2425" w:type="dxa"/>
          </w:tcPr>
          <w:p w14:paraId="701BB597" w14:textId="08CFBB74"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-OB-06</w:t>
            </w:r>
          </w:p>
        </w:tc>
        <w:tc>
          <w:tcPr>
            <w:tcW w:w="1890" w:type="dxa"/>
          </w:tcPr>
          <w:p w14:paraId="715CFA08" w14:textId="0AA42D9F" w:rsidR="0020629B" w:rsidRDefault="0020629B" w:rsidP="00676C1C">
            <w:pPr>
              <w:rPr>
                <w:rFonts w:asciiTheme="minorHAnsi" w:eastAsia="Calibri" w:hAnsiTheme="minorHAnsi" w:cstheme="minorHAnsi"/>
                <w:sz w:val="22"/>
                <w:szCs w:val="22"/>
              </w:rPr>
            </w:pPr>
            <w:r>
              <w:rPr>
                <w:rFonts w:asciiTheme="minorHAnsi" w:eastAsia="Calibri" w:hAnsiTheme="minorHAnsi" w:cstheme="minorHAnsi"/>
                <w:sz w:val="22"/>
                <w:szCs w:val="22"/>
              </w:rPr>
              <w:t>FY 2023-OB-06</w:t>
            </w:r>
          </w:p>
          <w:p w14:paraId="110DE6F0" w14:textId="56A717CF" w:rsidR="3A73C308" w:rsidRPr="00676C1C" w:rsidRDefault="3A73C308" w:rsidP="00676C1C">
            <w:pPr>
              <w:rPr>
                <w:rFonts w:asciiTheme="minorHAnsi" w:hAnsiTheme="minorHAnsi" w:cstheme="minorHAnsi"/>
                <w:sz w:val="22"/>
                <w:szCs w:val="22"/>
              </w:rPr>
            </w:pPr>
          </w:p>
        </w:tc>
        <w:tc>
          <w:tcPr>
            <w:tcW w:w="3240" w:type="dxa"/>
          </w:tcPr>
          <w:p w14:paraId="1BE8F9C9" w14:textId="5090413C" w:rsidR="3A73C308" w:rsidRPr="00676C1C" w:rsidRDefault="005A5F57" w:rsidP="00676C1C">
            <w:pPr>
              <w:rPr>
                <w:rFonts w:asciiTheme="minorHAnsi" w:hAnsiTheme="minorHAnsi" w:cstheme="minorHAnsi"/>
                <w:sz w:val="22"/>
                <w:szCs w:val="22"/>
              </w:rPr>
            </w:pPr>
            <w:r w:rsidRPr="00676C1C">
              <w:rPr>
                <w:rFonts w:asciiTheme="minorHAnsi" w:eastAsia="Calibri" w:hAnsiTheme="minorHAnsi" w:cstheme="minorHAnsi"/>
                <w:sz w:val="22"/>
                <w:szCs w:val="22"/>
              </w:rPr>
              <w:t>In FY 2023</w:t>
            </w:r>
            <w:r>
              <w:rPr>
                <w:rFonts w:asciiTheme="minorHAnsi" w:eastAsia="Calibri" w:hAnsiTheme="minorHAnsi" w:cstheme="minorHAnsi"/>
                <w:sz w:val="22"/>
                <w:szCs w:val="22"/>
              </w:rPr>
              <w:t>, t</w:t>
            </w:r>
            <w:r w:rsidR="3A73C308" w:rsidRPr="00676C1C">
              <w:rPr>
                <w:rFonts w:asciiTheme="minorHAnsi" w:eastAsia="Calibri" w:hAnsiTheme="minorHAnsi" w:cstheme="minorHAnsi"/>
                <w:sz w:val="22"/>
                <w:szCs w:val="22"/>
              </w:rPr>
              <w:t>he DART rate comparison in the report to the employer was missing in five of nine (44%) state and local government consultation files reviewed with 10 or more employees at the worksite.</w:t>
            </w:r>
          </w:p>
        </w:tc>
        <w:tc>
          <w:tcPr>
            <w:tcW w:w="3690" w:type="dxa"/>
          </w:tcPr>
          <w:p w14:paraId="0FE0674E" w14:textId="7A72A934"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 xml:space="preserve">OSHA will discuss with Oregon OSHA during quarterly meetings and with the Consultation Program Manager. OSHA will conduct a file review during the next </w:t>
            </w:r>
            <w:r w:rsidR="003C6891">
              <w:rPr>
                <w:rFonts w:asciiTheme="minorHAnsi" w:eastAsia="Calibri" w:hAnsiTheme="minorHAnsi" w:cstheme="minorHAnsi"/>
                <w:sz w:val="22"/>
                <w:szCs w:val="22"/>
              </w:rPr>
              <w:t xml:space="preserve">Comprehensive </w:t>
            </w:r>
            <w:r w:rsidRPr="00676C1C">
              <w:rPr>
                <w:rFonts w:asciiTheme="minorHAnsi" w:eastAsia="Calibri" w:hAnsiTheme="minorHAnsi" w:cstheme="minorHAnsi"/>
                <w:sz w:val="22"/>
                <w:szCs w:val="22"/>
              </w:rPr>
              <w:t>FAME.</w:t>
            </w:r>
          </w:p>
        </w:tc>
        <w:tc>
          <w:tcPr>
            <w:tcW w:w="1890" w:type="dxa"/>
          </w:tcPr>
          <w:p w14:paraId="3E5F6958" w14:textId="7D652BA6"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Continued</w:t>
            </w:r>
          </w:p>
        </w:tc>
      </w:tr>
      <w:tr w:rsidR="009C102C" w14:paraId="5523D6AA" w14:textId="77777777" w:rsidTr="00F25C2C">
        <w:tc>
          <w:tcPr>
            <w:tcW w:w="2425" w:type="dxa"/>
          </w:tcPr>
          <w:p w14:paraId="5EEC5124" w14:textId="7DE7DBE9"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FY 202</w:t>
            </w:r>
            <w:r w:rsidR="0020629B">
              <w:rPr>
                <w:rFonts w:asciiTheme="minorHAnsi" w:eastAsia="Calibri" w:hAnsiTheme="minorHAnsi" w:cstheme="minorHAnsi"/>
                <w:sz w:val="22"/>
                <w:szCs w:val="22"/>
              </w:rPr>
              <w:t>4</w:t>
            </w:r>
            <w:r w:rsidRPr="00676C1C">
              <w:rPr>
                <w:rFonts w:asciiTheme="minorHAnsi" w:eastAsia="Calibri" w:hAnsiTheme="minorHAnsi" w:cstheme="minorHAnsi"/>
                <w:sz w:val="22"/>
                <w:szCs w:val="22"/>
              </w:rPr>
              <w:t>-OB-07</w:t>
            </w:r>
          </w:p>
        </w:tc>
        <w:tc>
          <w:tcPr>
            <w:tcW w:w="1890" w:type="dxa"/>
          </w:tcPr>
          <w:p w14:paraId="39C62E28" w14:textId="6E526F52" w:rsidR="0020629B" w:rsidRDefault="0020629B" w:rsidP="00676C1C">
            <w:pPr>
              <w:rPr>
                <w:rFonts w:asciiTheme="minorHAnsi" w:eastAsia="Calibri" w:hAnsiTheme="minorHAnsi" w:cstheme="minorHAnsi"/>
                <w:sz w:val="22"/>
                <w:szCs w:val="22"/>
              </w:rPr>
            </w:pPr>
            <w:r>
              <w:rPr>
                <w:rFonts w:asciiTheme="minorHAnsi" w:eastAsia="Calibri" w:hAnsiTheme="minorHAnsi" w:cstheme="minorHAnsi"/>
                <w:sz w:val="22"/>
                <w:szCs w:val="22"/>
              </w:rPr>
              <w:t>FY 2023-OB-07</w:t>
            </w:r>
          </w:p>
          <w:p w14:paraId="61A87C05" w14:textId="101F9F00" w:rsidR="3A73C308" w:rsidRPr="00676C1C" w:rsidRDefault="3A73C308" w:rsidP="00676C1C">
            <w:pPr>
              <w:rPr>
                <w:rFonts w:asciiTheme="minorHAnsi" w:hAnsiTheme="minorHAnsi" w:cstheme="minorHAnsi"/>
                <w:sz w:val="22"/>
                <w:szCs w:val="22"/>
              </w:rPr>
            </w:pPr>
          </w:p>
        </w:tc>
        <w:tc>
          <w:tcPr>
            <w:tcW w:w="3240" w:type="dxa"/>
          </w:tcPr>
          <w:p w14:paraId="73B385E2" w14:textId="72CD7F0E"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In FY 2023, inadequate abatement documentation for serious hazards was found in 7 of 14 (50%) state and local government consultation files reviewed for employers which had serious hazards at their worksite.</w:t>
            </w:r>
          </w:p>
        </w:tc>
        <w:tc>
          <w:tcPr>
            <w:tcW w:w="3690" w:type="dxa"/>
          </w:tcPr>
          <w:p w14:paraId="40F1A873" w14:textId="6A2CD339"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OSHA will discuss with Oregon OSHA during quarterly meetings and with the Consultation Program Manager. OSHA will conduct a</w:t>
            </w:r>
            <w:r w:rsidR="00E657C7" w:rsidRPr="00676C1C">
              <w:rPr>
                <w:rFonts w:asciiTheme="minorHAnsi" w:eastAsia="Calibri" w:hAnsiTheme="minorHAnsi" w:cstheme="minorHAnsi"/>
                <w:sz w:val="22"/>
                <w:szCs w:val="22"/>
              </w:rPr>
              <w:t xml:space="preserve"> </w:t>
            </w:r>
            <w:r w:rsidRPr="00676C1C">
              <w:rPr>
                <w:rFonts w:asciiTheme="minorHAnsi" w:eastAsia="Calibri" w:hAnsiTheme="minorHAnsi" w:cstheme="minorHAnsi"/>
                <w:sz w:val="22"/>
                <w:szCs w:val="22"/>
              </w:rPr>
              <w:t xml:space="preserve">file review during the next </w:t>
            </w:r>
            <w:r w:rsidR="003C6891">
              <w:rPr>
                <w:rFonts w:asciiTheme="minorHAnsi" w:eastAsia="Calibri" w:hAnsiTheme="minorHAnsi" w:cstheme="minorHAnsi"/>
                <w:sz w:val="22"/>
                <w:szCs w:val="22"/>
              </w:rPr>
              <w:t>C</w:t>
            </w:r>
            <w:r w:rsidRPr="00676C1C">
              <w:rPr>
                <w:rFonts w:asciiTheme="minorHAnsi" w:eastAsia="Calibri" w:hAnsiTheme="minorHAnsi" w:cstheme="minorHAnsi"/>
                <w:sz w:val="22"/>
                <w:szCs w:val="22"/>
              </w:rPr>
              <w:t>omprehensive FAME.</w:t>
            </w:r>
          </w:p>
        </w:tc>
        <w:tc>
          <w:tcPr>
            <w:tcW w:w="1890" w:type="dxa"/>
          </w:tcPr>
          <w:p w14:paraId="18C6125E" w14:textId="105DEBC4" w:rsidR="3A73C308" w:rsidRPr="00676C1C" w:rsidRDefault="3A73C308" w:rsidP="00676C1C">
            <w:pPr>
              <w:rPr>
                <w:rFonts w:asciiTheme="minorHAnsi" w:hAnsiTheme="minorHAnsi" w:cstheme="minorHAnsi"/>
                <w:sz w:val="22"/>
                <w:szCs w:val="22"/>
              </w:rPr>
            </w:pPr>
            <w:r w:rsidRPr="00676C1C">
              <w:rPr>
                <w:rFonts w:asciiTheme="minorHAnsi" w:eastAsia="Calibri" w:hAnsiTheme="minorHAnsi" w:cstheme="minorHAnsi"/>
                <w:sz w:val="22"/>
                <w:szCs w:val="22"/>
              </w:rPr>
              <w:t>Continued</w:t>
            </w:r>
          </w:p>
        </w:tc>
      </w:tr>
    </w:tbl>
    <w:p w14:paraId="684A1AA0" w14:textId="70B45351" w:rsidR="00105142" w:rsidRDefault="00105142">
      <w:pPr>
        <w:widowControl/>
        <w:autoSpaceDE/>
        <w:autoSpaceDN/>
        <w:adjustRightInd/>
        <w:rPr>
          <w:rFonts w:cs="Calibri"/>
          <w:i/>
          <w:sz w:val="22"/>
          <w:szCs w:val="22"/>
        </w:rPr>
        <w:sectPr w:rsidR="00105142" w:rsidSect="001D10D8">
          <w:headerReference w:type="default" r:id="rId20"/>
          <w:footerReference w:type="even" r:id="rId21"/>
          <w:footerReference w:type="default" r:id="rId22"/>
          <w:footerReference w:type="first" r:id="rId23"/>
          <w:pgSz w:w="15840" w:h="12240" w:orient="landscape" w:code="1"/>
          <w:pgMar w:top="1440" w:right="1440" w:bottom="1440" w:left="1440" w:header="720" w:footer="720" w:gutter="0"/>
          <w:pgNumType w:start="10"/>
          <w:cols w:space="720"/>
          <w:noEndnote/>
          <w:docGrid w:linePitch="326"/>
        </w:sectPr>
      </w:pPr>
    </w:p>
    <w:p w14:paraId="2DE4E011" w14:textId="77777777" w:rsidR="00105142" w:rsidRDefault="00105142">
      <w:pPr>
        <w:widowControl/>
        <w:autoSpaceDE/>
        <w:autoSpaceDN/>
        <w:adjustRightInd/>
        <w:rPr>
          <w:rFonts w:cs="Calibri"/>
          <w:i/>
          <w:sz w:val="22"/>
          <w:szCs w:val="22"/>
        </w:rPr>
        <w:sectPr w:rsidR="00105142" w:rsidSect="00105142">
          <w:type w:val="continuous"/>
          <w:pgSz w:w="15840" w:h="12240" w:orient="landscape" w:code="1"/>
          <w:pgMar w:top="1440" w:right="1440" w:bottom="1440" w:left="1440" w:header="720" w:footer="720" w:gutter="0"/>
          <w:pgNumType w:start="10"/>
          <w:cols w:space="720"/>
          <w:noEndnote/>
          <w:docGrid w:linePitch="326"/>
        </w:sectPr>
      </w:pPr>
    </w:p>
    <w:p w14:paraId="67A6DB5B" w14:textId="77777777" w:rsidR="008E4096" w:rsidRDefault="008E4096">
      <w:pPr>
        <w:widowControl/>
        <w:autoSpaceDE/>
        <w:autoSpaceDN/>
        <w:adjustRightInd/>
        <w:rPr>
          <w:rFonts w:cs="Calibri"/>
          <w:i/>
          <w:sz w:val="22"/>
          <w:szCs w:val="22"/>
        </w:rPr>
        <w:sectPr w:rsidR="008E4096" w:rsidSect="00105142">
          <w:type w:val="continuous"/>
          <w:pgSz w:w="15840" w:h="12240" w:orient="landscape" w:code="1"/>
          <w:pgMar w:top="1440" w:right="1440" w:bottom="1440" w:left="1440" w:header="720" w:footer="720" w:gutter="0"/>
          <w:pgNumType w:start="10"/>
          <w:cols w:space="720"/>
          <w:noEndnote/>
          <w:docGrid w:linePitch="326"/>
        </w:sectPr>
      </w:pPr>
    </w:p>
    <w:p w14:paraId="073A2B85" w14:textId="2418C7A8" w:rsidR="00D41563" w:rsidRDefault="00D41563" w:rsidP="00531DE4">
      <w:pPr>
        <w:pStyle w:val="Heading3"/>
      </w:pPr>
      <w:bookmarkStart w:id="27" w:name="_Toc190095691"/>
      <w:r w:rsidRPr="00747710">
        <w:t>Appendix C - Status of FY 20</w:t>
      </w:r>
      <w:r>
        <w:t>2</w:t>
      </w:r>
      <w:r w:rsidR="00146694">
        <w:t>3</w:t>
      </w:r>
      <w:r w:rsidRPr="00747710">
        <w:t xml:space="preserve"> Findings and Recommendations</w:t>
      </w:r>
      <w:bookmarkEnd w:id="27"/>
    </w:p>
    <w:p w14:paraId="5DA451A6" w14:textId="067C30E0" w:rsidR="00D41563" w:rsidRPr="000767C0" w:rsidRDefault="00D41563" w:rsidP="00D41563">
      <w:pPr>
        <w:pStyle w:val="Header"/>
      </w:pPr>
      <w:r w:rsidRPr="00042327">
        <w:t xml:space="preserve">FY </w:t>
      </w:r>
      <w:r w:rsidR="00D56921">
        <w:t>2024</w:t>
      </w:r>
      <w:r w:rsidR="00D56921" w:rsidRPr="00042327">
        <w:t xml:space="preserve"> </w:t>
      </w:r>
      <w:r>
        <w:t>Oregon OSHA</w:t>
      </w:r>
      <w:r w:rsidRPr="00476C08">
        <w:rPr>
          <w:color w:val="0070C0"/>
        </w:rPr>
        <w:t xml:space="preserve"> </w:t>
      </w:r>
      <w:r>
        <w:t xml:space="preserve">Follow-up </w:t>
      </w:r>
      <w:r w:rsidRPr="00042327">
        <w:t>FAME Report</w:t>
      </w:r>
    </w:p>
    <w:tbl>
      <w:tblPr>
        <w:tblStyle w:val="TableGridLight"/>
        <w:tblpPr w:leftFromText="180" w:rightFromText="180" w:vertAnchor="page" w:horzAnchor="margin" w:tblpY="2806"/>
        <w:tblW w:w="12960" w:type="dxa"/>
        <w:tblLayout w:type="fixed"/>
        <w:tblLook w:val="00A0" w:firstRow="1" w:lastRow="0" w:firstColumn="1" w:lastColumn="0" w:noHBand="0" w:noVBand="0"/>
      </w:tblPr>
      <w:tblGrid>
        <w:gridCol w:w="1345"/>
        <w:gridCol w:w="2250"/>
        <w:gridCol w:w="2383"/>
        <w:gridCol w:w="3287"/>
        <w:gridCol w:w="1890"/>
        <w:gridCol w:w="1805"/>
      </w:tblGrid>
      <w:tr w:rsidR="003D5840" w:rsidRPr="001C1E47" w14:paraId="6BBC9982" w14:textId="77777777" w:rsidTr="00C22A26">
        <w:trPr>
          <w:cantSplit/>
          <w:trHeight w:val="412"/>
          <w:tblHeader/>
        </w:trPr>
        <w:tc>
          <w:tcPr>
            <w:tcW w:w="1345" w:type="dxa"/>
          </w:tcPr>
          <w:p w14:paraId="77A3F3E0" w14:textId="77777777" w:rsidR="003D5840" w:rsidRPr="001C1E47" w:rsidRDefault="003D5840" w:rsidP="003D5840">
            <w:pPr>
              <w:rPr>
                <w:rFonts w:cs="Calibri"/>
                <w:b/>
              </w:rPr>
            </w:pPr>
            <w:r w:rsidRPr="001C1E47">
              <w:rPr>
                <w:rFonts w:cs="Calibri"/>
                <w:b/>
              </w:rPr>
              <w:t>FY 20</w:t>
            </w:r>
            <w:r>
              <w:rPr>
                <w:rFonts w:cs="Calibri"/>
                <w:b/>
              </w:rPr>
              <w:t>23</w:t>
            </w:r>
            <w:r w:rsidRPr="001C1E47">
              <w:rPr>
                <w:rFonts w:cs="Calibri"/>
                <w:b/>
              </w:rPr>
              <w:t>-#</w:t>
            </w:r>
          </w:p>
        </w:tc>
        <w:tc>
          <w:tcPr>
            <w:tcW w:w="2250" w:type="dxa"/>
          </w:tcPr>
          <w:p w14:paraId="67CFCCE3" w14:textId="77777777" w:rsidR="003D5840" w:rsidRPr="001C1E47" w:rsidRDefault="003D5840" w:rsidP="003D5840">
            <w:pPr>
              <w:rPr>
                <w:rFonts w:cs="Calibri"/>
                <w:b/>
              </w:rPr>
            </w:pPr>
            <w:r w:rsidRPr="001C1E47">
              <w:rPr>
                <w:rFonts w:cs="Calibri"/>
                <w:b/>
              </w:rPr>
              <w:t>Finding</w:t>
            </w:r>
          </w:p>
        </w:tc>
        <w:tc>
          <w:tcPr>
            <w:tcW w:w="2383" w:type="dxa"/>
          </w:tcPr>
          <w:p w14:paraId="29F40BB0" w14:textId="77777777" w:rsidR="003D5840" w:rsidRPr="001C1E47" w:rsidRDefault="003D5840" w:rsidP="003D5840">
            <w:pPr>
              <w:rPr>
                <w:rFonts w:cs="Calibri"/>
                <w:b/>
              </w:rPr>
            </w:pPr>
            <w:r w:rsidRPr="001C1E47">
              <w:rPr>
                <w:rFonts w:cs="Calibri"/>
                <w:b/>
              </w:rPr>
              <w:t>Recommendation</w:t>
            </w:r>
          </w:p>
        </w:tc>
        <w:tc>
          <w:tcPr>
            <w:tcW w:w="3287" w:type="dxa"/>
          </w:tcPr>
          <w:p w14:paraId="12713602" w14:textId="77777777" w:rsidR="003D5840" w:rsidRPr="001C1E47" w:rsidRDefault="003D5840" w:rsidP="003D5840">
            <w:pPr>
              <w:rPr>
                <w:rFonts w:cs="Calibri"/>
                <w:b/>
              </w:rPr>
            </w:pPr>
            <w:r w:rsidRPr="001C1E47">
              <w:rPr>
                <w:rFonts w:cs="Calibri"/>
                <w:b/>
              </w:rPr>
              <w:t>State Plan Corrective Action</w:t>
            </w:r>
          </w:p>
        </w:tc>
        <w:tc>
          <w:tcPr>
            <w:tcW w:w="1890" w:type="dxa"/>
          </w:tcPr>
          <w:p w14:paraId="1C31A0C1" w14:textId="77777777" w:rsidR="003D5840" w:rsidRPr="001C1E47" w:rsidRDefault="003D5840" w:rsidP="003D5840">
            <w:pPr>
              <w:rPr>
                <w:rFonts w:cs="Calibri"/>
                <w:b/>
              </w:rPr>
            </w:pPr>
            <w:r w:rsidRPr="001C1E47">
              <w:rPr>
                <w:rFonts w:cs="Calibri"/>
                <w:b/>
              </w:rPr>
              <w:t>Completion Date</w:t>
            </w:r>
          </w:p>
        </w:tc>
        <w:tc>
          <w:tcPr>
            <w:tcW w:w="1805" w:type="dxa"/>
          </w:tcPr>
          <w:p w14:paraId="36F0BE2B" w14:textId="77777777" w:rsidR="003D5840" w:rsidRPr="001C1E47" w:rsidRDefault="003D5840" w:rsidP="003D5840">
            <w:pPr>
              <w:rPr>
                <w:rFonts w:cs="Calibri"/>
                <w:b/>
              </w:rPr>
            </w:pPr>
            <w:r w:rsidRPr="001C1E47">
              <w:rPr>
                <w:rFonts w:cs="Calibri"/>
                <w:b/>
              </w:rPr>
              <w:t xml:space="preserve">Current Status </w:t>
            </w:r>
          </w:p>
          <w:p w14:paraId="4CBC37FC" w14:textId="77777777" w:rsidR="003D5840" w:rsidRPr="001C1E47" w:rsidRDefault="003D5840" w:rsidP="003D5840">
            <w:pPr>
              <w:rPr>
                <w:rFonts w:cs="Calibri"/>
                <w:b/>
              </w:rPr>
            </w:pPr>
            <w:r w:rsidRPr="001C1E47">
              <w:rPr>
                <w:rFonts w:cs="Calibri"/>
                <w:b/>
              </w:rPr>
              <w:t>and Date</w:t>
            </w:r>
          </w:p>
        </w:tc>
      </w:tr>
      <w:tr w:rsidR="003D5840" w:rsidRPr="001C1E47" w14:paraId="4F31938B" w14:textId="77777777" w:rsidTr="00C22A26">
        <w:trPr>
          <w:cantSplit/>
          <w:trHeight w:val="412"/>
        </w:trPr>
        <w:tc>
          <w:tcPr>
            <w:tcW w:w="1345" w:type="dxa"/>
          </w:tcPr>
          <w:p w14:paraId="3D59FDB3" w14:textId="77777777" w:rsidR="003D5840" w:rsidRPr="00630598" w:rsidRDefault="003D5840" w:rsidP="003D584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630598">
              <w:rPr>
                <w:rFonts w:eastAsia="PMingLiU" w:cs="Calibri"/>
                <w:sz w:val="22"/>
                <w:szCs w:val="22"/>
              </w:rPr>
              <w:t>FY 2023-01</w:t>
            </w:r>
          </w:p>
        </w:tc>
        <w:tc>
          <w:tcPr>
            <w:tcW w:w="2250" w:type="dxa"/>
          </w:tcPr>
          <w:p w14:paraId="40667E0A" w14:textId="77777777" w:rsidR="003D5840" w:rsidRPr="00630598" w:rsidRDefault="003D5840" w:rsidP="003D5840">
            <w:pPr>
              <w:pStyle w:val="TableParagraph"/>
              <w:spacing w:line="265" w:lineRule="exact"/>
              <w:ind w:left="0"/>
            </w:pPr>
            <w:r w:rsidRPr="00630598">
              <w:rPr>
                <w:w w:val="105"/>
              </w:rPr>
              <w:t>In</w:t>
            </w:r>
            <w:r w:rsidRPr="00630598">
              <w:rPr>
                <w:spacing w:val="-8"/>
                <w:w w:val="105"/>
              </w:rPr>
              <w:t xml:space="preserve"> </w:t>
            </w:r>
            <w:r w:rsidRPr="00630598">
              <w:rPr>
                <w:w w:val="105"/>
              </w:rPr>
              <w:t>100%</w:t>
            </w:r>
            <w:r w:rsidRPr="00630598">
              <w:rPr>
                <w:spacing w:val="-11"/>
                <w:w w:val="105"/>
              </w:rPr>
              <w:t xml:space="preserve"> </w:t>
            </w:r>
            <w:r w:rsidRPr="00630598">
              <w:rPr>
                <w:w w:val="105"/>
              </w:rPr>
              <w:t>(76</w:t>
            </w:r>
            <w:r w:rsidRPr="00630598">
              <w:rPr>
                <w:spacing w:val="-11"/>
                <w:w w:val="105"/>
              </w:rPr>
              <w:t xml:space="preserve"> </w:t>
            </w:r>
            <w:r w:rsidRPr="00630598">
              <w:rPr>
                <w:w w:val="105"/>
              </w:rPr>
              <w:t>of</w:t>
            </w:r>
            <w:r w:rsidRPr="00630598">
              <w:rPr>
                <w:spacing w:val="-10"/>
                <w:w w:val="105"/>
              </w:rPr>
              <w:t xml:space="preserve"> </w:t>
            </w:r>
            <w:r w:rsidRPr="00630598">
              <w:rPr>
                <w:spacing w:val="-5"/>
                <w:w w:val="105"/>
              </w:rPr>
              <w:t>76)</w:t>
            </w:r>
          </w:p>
          <w:p w14:paraId="36FE2072" w14:textId="77777777" w:rsidR="003D5840" w:rsidRPr="00630598" w:rsidRDefault="003D5840" w:rsidP="003D584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630598">
              <w:rPr>
                <w:rFonts w:cs="Calibri"/>
                <w:sz w:val="22"/>
                <w:szCs w:val="22"/>
              </w:rPr>
              <w:t xml:space="preserve">retaliation cases, there </w:t>
            </w:r>
            <w:r w:rsidRPr="00630598">
              <w:rPr>
                <w:rFonts w:cs="Calibri"/>
                <w:w w:val="110"/>
                <w:sz w:val="22"/>
                <w:szCs w:val="22"/>
              </w:rPr>
              <w:t>was no evidence that complainants</w:t>
            </w:r>
            <w:r w:rsidRPr="00630598">
              <w:rPr>
                <w:rFonts w:cs="Calibri"/>
                <w:spacing w:val="-8"/>
                <w:w w:val="110"/>
                <w:sz w:val="22"/>
                <w:szCs w:val="22"/>
              </w:rPr>
              <w:t xml:space="preserve"> </w:t>
            </w:r>
            <w:r w:rsidRPr="00630598">
              <w:rPr>
                <w:rFonts w:cs="Calibri"/>
                <w:w w:val="110"/>
                <w:sz w:val="22"/>
                <w:szCs w:val="22"/>
              </w:rPr>
              <w:t xml:space="preserve">were </w:t>
            </w:r>
            <w:r w:rsidRPr="00630598">
              <w:rPr>
                <w:rFonts w:cs="Calibri"/>
                <w:sz w:val="22"/>
                <w:szCs w:val="22"/>
              </w:rPr>
              <w:t xml:space="preserve">advised of their right to </w:t>
            </w:r>
            <w:r w:rsidRPr="00630598">
              <w:rPr>
                <w:rFonts w:cs="Calibri"/>
                <w:w w:val="110"/>
                <w:sz w:val="22"/>
                <w:szCs w:val="22"/>
              </w:rPr>
              <w:t>dually file with OSHA.</w:t>
            </w:r>
          </w:p>
        </w:tc>
        <w:tc>
          <w:tcPr>
            <w:tcW w:w="2383" w:type="dxa"/>
          </w:tcPr>
          <w:p w14:paraId="4E2F94F2" w14:textId="77777777" w:rsidR="003D5840" w:rsidRPr="00630598" w:rsidRDefault="003D5840" w:rsidP="003D584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630598">
              <w:rPr>
                <w:rFonts w:cs="Calibri"/>
                <w:w w:val="105"/>
                <w:sz w:val="22"/>
                <w:szCs w:val="22"/>
              </w:rPr>
              <w:t>BOLI must use language in their notification letters informing complainants of their right to dually file with OSHA. Oregon OSHA should monitor BOLI to ensure this information is documented and</w:t>
            </w:r>
            <w:r w:rsidRPr="00630598">
              <w:rPr>
                <w:rFonts w:cs="Calibri"/>
                <w:spacing w:val="-6"/>
                <w:w w:val="105"/>
                <w:sz w:val="22"/>
                <w:szCs w:val="22"/>
              </w:rPr>
              <w:t xml:space="preserve"> </w:t>
            </w:r>
            <w:r w:rsidRPr="00630598">
              <w:rPr>
                <w:rFonts w:cs="Calibri"/>
                <w:w w:val="105"/>
                <w:sz w:val="22"/>
                <w:szCs w:val="22"/>
              </w:rPr>
              <w:t>in</w:t>
            </w:r>
            <w:r w:rsidRPr="00630598">
              <w:rPr>
                <w:rFonts w:cs="Calibri"/>
                <w:spacing w:val="-6"/>
                <w:w w:val="105"/>
                <w:sz w:val="22"/>
                <w:szCs w:val="22"/>
              </w:rPr>
              <w:t xml:space="preserve"> </w:t>
            </w:r>
            <w:r w:rsidRPr="00630598">
              <w:rPr>
                <w:rFonts w:cs="Calibri"/>
                <w:w w:val="105"/>
                <w:sz w:val="22"/>
                <w:szCs w:val="22"/>
              </w:rPr>
              <w:t>the</w:t>
            </w:r>
            <w:r w:rsidRPr="00630598">
              <w:rPr>
                <w:rFonts w:cs="Calibri"/>
                <w:spacing w:val="-6"/>
                <w:w w:val="105"/>
                <w:sz w:val="22"/>
                <w:szCs w:val="22"/>
              </w:rPr>
              <w:t xml:space="preserve"> </w:t>
            </w:r>
            <w:r w:rsidRPr="00630598">
              <w:rPr>
                <w:rFonts w:cs="Calibri"/>
                <w:w w:val="105"/>
                <w:sz w:val="22"/>
                <w:szCs w:val="22"/>
              </w:rPr>
              <w:t>retaliation</w:t>
            </w:r>
            <w:r w:rsidRPr="00630598">
              <w:rPr>
                <w:rFonts w:cs="Calibri"/>
                <w:spacing w:val="-6"/>
                <w:w w:val="105"/>
                <w:sz w:val="22"/>
                <w:szCs w:val="22"/>
              </w:rPr>
              <w:t xml:space="preserve"> </w:t>
            </w:r>
            <w:r w:rsidRPr="00630598">
              <w:rPr>
                <w:rFonts w:cs="Calibri"/>
                <w:w w:val="105"/>
                <w:sz w:val="22"/>
                <w:szCs w:val="22"/>
              </w:rPr>
              <w:t>casefile.</w:t>
            </w:r>
          </w:p>
        </w:tc>
        <w:tc>
          <w:tcPr>
            <w:tcW w:w="3287" w:type="dxa"/>
          </w:tcPr>
          <w:p w14:paraId="1271F876" w14:textId="77777777" w:rsidR="003D5840" w:rsidRPr="00630598" w:rsidRDefault="003D5840" w:rsidP="003D5840">
            <w:pPr>
              <w:pStyle w:val="BodyText"/>
              <w:rPr>
                <w:rFonts w:ascii="Calibri" w:hAnsi="Calibri" w:cs="Calibri"/>
                <w:sz w:val="22"/>
                <w:szCs w:val="22"/>
              </w:rPr>
            </w:pPr>
            <w:r w:rsidRPr="00630598">
              <w:rPr>
                <w:rFonts w:ascii="Calibri" w:hAnsi="Calibri" w:cs="Calibri"/>
                <w:w w:val="105"/>
                <w:sz w:val="22"/>
                <w:szCs w:val="22"/>
              </w:rPr>
              <w:t>BOLI has added dual filing notification to three</w:t>
            </w:r>
            <w:r w:rsidRPr="00630598">
              <w:rPr>
                <w:rFonts w:ascii="Calibri" w:hAnsi="Calibri" w:cs="Calibri"/>
                <w:spacing w:val="-1"/>
                <w:w w:val="105"/>
                <w:sz w:val="22"/>
                <w:szCs w:val="22"/>
              </w:rPr>
              <w:t xml:space="preserve"> </w:t>
            </w:r>
            <w:r w:rsidRPr="00630598">
              <w:rPr>
                <w:rFonts w:ascii="Calibri" w:hAnsi="Calibri" w:cs="Calibri"/>
                <w:w w:val="105"/>
                <w:sz w:val="22"/>
                <w:szCs w:val="22"/>
              </w:rPr>
              <w:t>11(c) documents:</w:t>
            </w:r>
            <w:r w:rsidRPr="00630598">
              <w:rPr>
                <w:rFonts w:ascii="Calibri" w:hAnsi="Calibri" w:cs="Calibri"/>
                <w:spacing w:val="-9"/>
                <w:w w:val="105"/>
                <w:sz w:val="22"/>
                <w:szCs w:val="22"/>
              </w:rPr>
              <w:t xml:space="preserve"> </w:t>
            </w:r>
            <w:r w:rsidRPr="00630598">
              <w:rPr>
                <w:rFonts w:ascii="Calibri" w:hAnsi="Calibri" w:cs="Calibri"/>
                <w:w w:val="105"/>
                <w:sz w:val="22"/>
                <w:szCs w:val="22"/>
              </w:rPr>
              <w:t>initial complaint</w:t>
            </w:r>
            <w:r w:rsidRPr="00630598">
              <w:rPr>
                <w:rFonts w:ascii="Calibri" w:hAnsi="Calibri" w:cs="Calibri"/>
                <w:spacing w:val="-7"/>
                <w:w w:val="105"/>
                <w:sz w:val="22"/>
                <w:szCs w:val="22"/>
              </w:rPr>
              <w:t xml:space="preserve"> </w:t>
            </w:r>
            <w:r w:rsidRPr="00630598">
              <w:rPr>
                <w:rFonts w:ascii="Calibri" w:hAnsi="Calibri" w:cs="Calibri"/>
                <w:w w:val="105"/>
                <w:sz w:val="22"/>
                <w:szCs w:val="22"/>
              </w:rPr>
              <w:t xml:space="preserve">intake </w:t>
            </w:r>
            <w:r w:rsidRPr="00630598">
              <w:rPr>
                <w:rFonts w:ascii="Calibri" w:hAnsi="Calibri" w:cs="Calibri"/>
                <w:spacing w:val="-2"/>
                <w:w w:val="105"/>
                <w:sz w:val="22"/>
                <w:szCs w:val="22"/>
              </w:rPr>
              <w:t>questionnaire, complainant notification</w:t>
            </w:r>
            <w:r w:rsidRPr="00630598">
              <w:rPr>
                <w:rFonts w:ascii="Calibri" w:hAnsi="Calibri" w:cs="Calibri"/>
                <w:spacing w:val="-12"/>
                <w:w w:val="105"/>
                <w:sz w:val="22"/>
                <w:szCs w:val="22"/>
              </w:rPr>
              <w:t xml:space="preserve"> </w:t>
            </w:r>
            <w:r w:rsidRPr="00630598">
              <w:rPr>
                <w:rFonts w:ascii="Calibri" w:hAnsi="Calibri" w:cs="Calibri"/>
                <w:spacing w:val="-2"/>
                <w:w w:val="105"/>
                <w:sz w:val="22"/>
                <w:szCs w:val="22"/>
              </w:rPr>
              <w:t>letter</w:t>
            </w:r>
            <w:r w:rsidRPr="00630598">
              <w:rPr>
                <w:rFonts w:ascii="Calibri" w:hAnsi="Calibri" w:cs="Calibri"/>
                <w:spacing w:val="-11"/>
                <w:w w:val="105"/>
                <w:sz w:val="22"/>
                <w:szCs w:val="22"/>
              </w:rPr>
              <w:t xml:space="preserve"> </w:t>
            </w:r>
            <w:r w:rsidRPr="00630598">
              <w:rPr>
                <w:rFonts w:ascii="Calibri" w:hAnsi="Calibri" w:cs="Calibri"/>
                <w:spacing w:val="-2"/>
                <w:w w:val="105"/>
                <w:sz w:val="22"/>
                <w:szCs w:val="22"/>
              </w:rPr>
              <w:t xml:space="preserve">after </w:t>
            </w:r>
            <w:r w:rsidRPr="00630598">
              <w:rPr>
                <w:rFonts w:ascii="Calibri" w:hAnsi="Calibri" w:cs="Calibri"/>
                <w:w w:val="105"/>
                <w:sz w:val="22"/>
                <w:szCs w:val="22"/>
              </w:rPr>
              <w:t>the complaint is perfected</w:t>
            </w:r>
            <w:r w:rsidRPr="00630598">
              <w:rPr>
                <w:rFonts w:ascii="Calibri" w:hAnsi="Calibri" w:cs="Calibri"/>
                <w:spacing w:val="-5"/>
                <w:w w:val="105"/>
                <w:sz w:val="22"/>
                <w:szCs w:val="22"/>
              </w:rPr>
              <w:t xml:space="preserve"> </w:t>
            </w:r>
            <w:r w:rsidRPr="00630598">
              <w:rPr>
                <w:rFonts w:ascii="Calibri" w:hAnsi="Calibri" w:cs="Calibri"/>
                <w:w w:val="105"/>
                <w:sz w:val="22"/>
                <w:szCs w:val="22"/>
              </w:rPr>
              <w:t>(docketed), and in the closing notification</w:t>
            </w:r>
            <w:r w:rsidRPr="00630598">
              <w:rPr>
                <w:rFonts w:ascii="Calibri" w:hAnsi="Calibri" w:cs="Calibri"/>
                <w:spacing w:val="-10"/>
                <w:w w:val="105"/>
                <w:sz w:val="22"/>
                <w:szCs w:val="22"/>
              </w:rPr>
              <w:t xml:space="preserve"> </w:t>
            </w:r>
            <w:r w:rsidRPr="00630598">
              <w:rPr>
                <w:rFonts w:ascii="Calibri" w:hAnsi="Calibri" w:cs="Calibri"/>
                <w:w w:val="105"/>
                <w:sz w:val="22"/>
                <w:szCs w:val="22"/>
              </w:rPr>
              <w:t>letter</w:t>
            </w:r>
            <w:r w:rsidRPr="00630598">
              <w:rPr>
                <w:rFonts w:ascii="Calibri" w:hAnsi="Calibri" w:cs="Calibri"/>
                <w:spacing w:val="-13"/>
                <w:w w:val="105"/>
                <w:sz w:val="22"/>
                <w:szCs w:val="22"/>
              </w:rPr>
              <w:t xml:space="preserve"> </w:t>
            </w:r>
            <w:r w:rsidRPr="00630598">
              <w:rPr>
                <w:rFonts w:ascii="Calibri" w:hAnsi="Calibri" w:cs="Calibri"/>
                <w:w w:val="105"/>
                <w:sz w:val="22"/>
                <w:szCs w:val="22"/>
              </w:rPr>
              <w:t>sent to the complainants</w:t>
            </w:r>
            <w:r w:rsidRPr="00630598">
              <w:rPr>
                <w:rFonts w:ascii="Calibri" w:hAnsi="Calibri" w:cs="Calibri"/>
                <w:spacing w:val="80"/>
                <w:w w:val="105"/>
                <w:sz w:val="22"/>
                <w:szCs w:val="22"/>
              </w:rPr>
              <w:t xml:space="preserve"> </w:t>
            </w:r>
            <w:r w:rsidRPr="00630598">
              <w:rPr>
                <w:rFonts w:ascii="Calibri" w:hAnsi="Calibri" w:cs="Calibri"/>
                <w:w w:val="105"/>
                <w:sz w:val="22"/>
                <w:szCs w:val="22"/>
              </w:rPr>
              <w:t>at</w:t>
            </w:r>
            <w:r w:rsidRPr="00630598">
              <w:rPr>
                <w:rFonts w:ascii="Calibri" w:hAnsi="Calibri" w:cs="Calibri"/>
                <w:spacing w:val="-7"/>
                <w:w w:val="105"/>
                <w:sz w:val="22"/>
                <w:szCs w:val="22"/>
              </w:rPr>
              <w:t xml:space="preserve"> </w:t>
            </w:r>
            <w:r w:rsidRPr="00630598">
              <w:rPr>
                <w:rFonts w:ascii="Calibri" w:hAnsi="Calibri" w:cs="Calibri"/>
                <w:w w:val="105"/>
                <w:sz w:val="22"/>
                <w:szCs w:val="22"/>
              </w:rPr>
              <w:t>the</w:t>
            </w:r>
            <w:r w:rsidRPr="00630598">
              <w:rPr>
                <w:rFonts w:ascii="Calibri" w:hAnsi="Calibri" w:cs="Calibri"/>
                <w:spacing w:val="-9"/>
                <w:w w:val="105"/>
                <w:sz w:val="22"/>
                <w:szCs w:val="22"/>
              </w:rPr>
              <w:t xml:space="preserve"> </w:t>
            </w:r>
            <w:r w:rsidRPr="00630598">
              <w:rPr>
                <w:rFonts w:ascii="Calibri" w:hAnsi="Calibri" w:cs="Calibri"/>
                <w:w w:val="105"/>
                <w:sz w:val="22"/>
                <w:szCs w:val="22"/>
              </w:rPr>
              <w:t>end</w:t>
            </w:r>
            <w:r w:rsidRPr="00630598">
              <w:rPr>
                <w:rFonts w:ascii="Calibri" w:hAnsi="Calibri" w:cs="Calibri"/>
                <w:spacing w:val="-9"/>
                <w:w w:val="105"/>
                <w:sz w:val="22"/>
                <w:szCs w:val="22"/>
              </w:rPr>
              <w:t xml:space="preserve"> </w:t>
            </w:r>
            <w:r w:rsidRPr="00630598">
              <w:rPr>
                <w:rFonts w:ascii="Calibri" w:hAnsi="Calibri" w:cs="Calibri"/>
                <w:w w:val="105"/>
                <w:sz w:val="22"/>
                <w:szCs w:val="22"/>
              </w:rPr>
              <w:t>of</w:t>
            </w:r>
            <w:r w:rsidRPr="00630598">
              <w:rPr>
                <w:rFonts w:ascii="Calibri" w:hAnsi="Calibri" w:cs="Calibri"/>
                <w:spacing w:val="-9"/>
                <w:w w:val="105"/>
                <w:sz w:val="22"/>
                <w:szCs w:val="22"/>
              </w:rPr>
              <w:t xml:space="preserve"> </w:t>
            </w:r>
            <w:r w:rsidRPr="00630598">
              <w:rPr>
                <w:rFonts w:ascii="Calibri" w:hAnsi="Calibri" w:cs="Calibri"/>
                <w:w w:val="105"/>
                <w:sz w:val="22"/>
                <w:szCs w:val="22"/>
              </w:rPr>
              <w:t>any</w:t>
            </w:r>
            <w:r w:rsidRPr="00630598">
              <w:rPr>
                <w:rFonts w:ascii="Calibri" w:hAnsi="Calibri" w:cs="Calibri"/>
                <w:spacing w:val="-7"/>
                <w:w w:val="105"/>
                <w:sz w:val="22"/>
                <w:szCs w:val="22"/>
              </w:rPr>
              <w:t xml:space="preserve"> </w:t>
            </w:r>
            <w:r w:rsidRPr="00630598">
              <w:rPr>
                <w:rFonts w:ascii="Calibri" w:hAnsi="Calibri" w:cs="Calibri"/>
                <w:w w:val="105"/>
                <w:sz w:val="22"/>
                <w:szCs w:val="22"/>
              </w:rPr>
              <w:t xml:space="preserve">11(c) </w:t>
            </w:r>
            <w:r w:rsidRPr="00630598">
              <w:rPr>
                <w:rFonts w:ascii="Calibri" w:hAnsi="Calibri" w:cs="Calibri"/>
                <w:spacing w:val="-2"/>
                <w:w w:val="105"/>
                <w:sz w:val="22"/>
                <w:szCs w:val="22"/>
              </w:rPr>
              <w:t>investigation.</w:t>
            </w:r>
          </w:p>
          <w:p w14:paraId="3955739A" w14:textId="77777777" w:rsidR="003D5840" w:rsidRPr="00630598" w:rsidRDefault="003D5840" w:rsidP="003D5840">
            <w:pPr>
              <w:pStyle w:val="BodyText"/>
              <w:rPr>
                <w:rFonts w:ascii="Calibri" w:hAnsi="Calibri" w:cs="Calibri"/>
                <w:spacing w:val="-2"/>
                <w:w w:val="105"/>
                <w:sz w:val="22"/>
                <w:szCs w:val="22"/>
              </w:rPr>
            </w:pPr>
            <w:r w:rsidRPr="00630598">
              <w:rPr>
                <w:rFonts w:ascii="Calibri" w:hAnsi="Calibri" w:cs="Calibri"/>
                <w:w w:val="105"/>
                <w:sz w:val="22"/>
                <w:szCs w:val="22"/>
              </w:rPr>
              <w:t>Additionally,</w:t>
            </w:r>
            <w:r w:rsidRPr="00630598">
              <w:rPr>
                <w:rFonts w:ascii="Calibri" w:hAnsi="Calibri" w:cs="Calibri"/>
                <w:spacing w:val="-9"/>
                <w:w w:val="105"/>
                <w:sz w:val="22"/>
                <w:szCs w:val="22"/>
              </w:rPr>
              <w:t xml:space="preserve"> </w:t>
            </w:r>
            <w:r w:rsidRPr="00630598">
              <w:rPr>
                <w:rFonts w:ascii="Calibri" w:hAnsi="Calibri" w:cs="Calibri"/>
                <w:w w:val="105"/>
                <w:sz w:val="22"/>
                <w:szCs w:val="22"/>
              </w:rPr>
              <w:t>during quarterly</w:t>
            </w:r>
            <w:r w:rsidRPr="00630598">
              <w:rPr>
                <w:rFonts w:ascii="Calibri" w:hAnsi="Calibri" w:cs="Calibri"/>
                <w:spacing w:val="-5"/>
                <w:w w:val="105"/>
                <w:sz w:val="22"/>
                <w:szCs w:val="22"/>
              </w:rPr>
              <w:t xml:space="preserve"> </w:t>
            </w:r>
            <w:r w:rsidRPr="00630598">
              <w:rPr>
                <w:rFonts w:ascii="Calibri" w:hAnsi="Calibri" w:cs="Calibri"/>
                <w:w w:val="105"/>
                <w:sz w:val="22"/>
                <w:szCs w:val="22"/>
              </w:rPr>
              <w:t xml:space="preserve">audits, Oregon OSHA will verify that each 11(c) BOLI casefile includes evidence of dual file </w:t>
            </w:r>
            <w:r w:rsidRPr="00630598">
              <w:rPr>
                <w:rFonts w:ascii="Calibri" w:hAnsi="Calibri" w:cs="Calibri"/>
                <w:spacing w:val="-2"/>
                <w:w w:val="105"/>
                <w:sz w:val="22"/>
                <w:szCs w:val="22"/>
              </w:rPr>
              <w:t>notification.</w:t>
            </w:r>
          </w:p>
          <w:p w14:paraId="1E409F48" w14:textId="77777777" w:rsidR="003D5840" w:rsidRPr="00630598" w:rsidRDefault="003D5840" w:rsidP="003D5840">
            <w:pPr>
              <w:pStyle w:val="BodyText"/>
              <w:rPr>
                <w:rFonts w:ascii="Calibri" w:eastAsia="PMingLiU" w:hAnsi="Calibri" w:cs="Calibri"/>
              </w:rPr>
            </w:pPr>
            <w:r w:rsidRPr="00630598">
              <w:rPr>
                <w:rFonts w:ascii="Calibri" w:hAnsi="Calibri" w:cs="Calibri"/>
                <w:sz w:val="22"/>
                <w:szCs w:val="22"/>
              </w:rPr>
              <w:t>Oregon OSHA is engaged in close discussions with BOLI on implementing these additional dual filing notification mechanisms and anticipates this corrective action plan item being resolved in early FY 2025.</w:t>
            </w:r>
          </w:p>
        </w:tc>
        <w:tc>
          <w:tcPr>
            <w:tcW w:w="1890" w:type="dxa"/>
          </w:tcPr>
          <w:p w14:paraId="35CAE155" w14:textId="4442708E" w:rsidR="003D5840" w:rsidRPr="00630598" w:rsidRDefault="007E2CAF" w:rsidP="003D584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cs="Calibri"/>
                <w:w w:val="105"/>
                <w:sz w:val="22"/>
                <w:szCs w:val="22"/>
              </w:rPr>
              <w:t>8/5/2024</w:t>
            </w:r>
          </w:p>
        </w:tc>
        <w:tc>
          <w:tcPr>
            <w:tcW w:w="1805" w:type="dxa"/>
          </w:tcPr>
          <w:p w14:paraId="433352E5" w14:textId="77777777" w:rsidR="003D5840" w:rsidRPr="00630598" w:rsidRDefault="003D5840" w:rsidP="003D5840">
            <w:pPr>
              <w:pStyle w:val="TableParagraph"/>
              <w:spacing w:line="276" w:lineRule="auto"/>
              <w:ind w:left="0" w:right="130"/>
              <w:rPr>
                <w:w w:val="105"/>
              </w:rPr>
            </w:pPr>
            <w:r w:rsidRPr="00630598">
              <w:rPr>
                <w:w w:val="105"/>
              </w:rPr>
              <w:t xml:space="preserve">Awaiting Verification </w:t>
            </w:r>
          </w:p>
          <w:p w14:paraId="22FFECF1" w14:textId="1183A28A" w:rsidR="003D5840" w:rsidRPr="00630598" w:rsidRDefault="003D5840" w:rsidP="003D584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630598">
              <w:rPr>
                <w:rFonts w:cs="Calibri"/>
                <w:w w:val="105"/>
                <w:sz w:val="22"/>
                <w:szCs w:val="22"/>
              </w:rPr>
              <w:t>8/5/2</w:t>
            </w:r>
            <w:r w:rsidR="007E2CAF">
              <w:rPr>
                <w:rFonts w:cs="Calibri"/>
                <w:w w:val="105"/>
                <w:sz w:val="22"/>
                <w:szCs w:val="22"/>
              </w:rPr>
              <w:t>02</w:t>
            </w:r>
            <w:r w:rsidRPr="00630598">
              <w:rPr>
                <w:rFonts w:cs="Calibri"/>
                <w:w w:val="105"/>
                <w:sz w:val="22"/>
                <w:szCs w:val="22"/>
              </w:rPr>
              <w:t>4</w:t>
            </w:r>
          </w:p>
        </w:tc>
      </w:tr>
      <w:tr w:rsidR="003D5840" w:rsidRPr="001C1E47" w14:paraId="02D98A36" w14:textId="77777777" w:rsidTr="00C22A26">
        <w:trPr>
          <w:cantSplit/>
          <w:trHeight w:val="412"/>
        </w:trPr>
        <w:tc>
          <w:tcPr>
            <w:tcW w:w="1345" w:type="dxa"/>
          </w:tcPr>
          <w:p w14:paraId="3BF62BF7" w14:textId="5D5BC3F9" w:rsidR="003D5840" w:rsidRPr="00B7198E" w:rsidRDefault="003D5840" w:rsidP="003D5840">
            <w:pPr>
              <w:rPr>
                <w:rFonts w:eastAsia="PMingLiU"/>
                <w:sz w:val="22"/>
                <w:szCs w:val="22"/>
              </w:rPr>
            </w:pPr>
            <w:r w:rsidRPr="00B7198E">
              <w:rPr>
                <w:rFonts w:eastAsia="PMingLiU"/>
                <w:sz w:val="22"/>
                <w:szCs w:val="22"/>
              </w:rPr>
              <w:t>FY 2023-02</w:t>
            </w:r>
          </w:p>
        </w:tc>
        <w:tc>
          <w:tcPr>
            <w:tcW w:w="2250" w:type="dxa"/>
          </w:tcPr>
          <w:p w14:paraId="6E016EDB" w14:textId="77777777" w:rsidR="003D5840" w:rsidRPr="00B7198E" w:rsidRDefault="003D5840" w:rsidP="003D5840">
            <w:pPr>
              <w:rPr>
                <w:sz w:val="22"/>
                <w:szCs w:val="22"/>
              </w:rPr>
            </w:pPr>
            <w:r w:rsidRPr="00B7198E">
              <w:rPr>
                <w:spacing w:val="-2"/>
                <w:w w:val="105"/>
                <w:sz w:val="22"/>
                <w:szCs w:val="22"/>
              </w:rPr>
              <w:t>In</w:t>
            </w:r>
            <w:r w:rsidRPr="00B7198E">
              <w:rPr>
                <w:spacing w:val="-4"/>
                <w:w w:val="105"/>
                <w:sz w:val="22"/>
                <w:szCs w:val="22"/>
              </w:rPr>
              <w:t xml:space="preserve"> </w:t>
            </w:r>
            <w:r w:rsidRPr="00B7198E">
              <w:rPr>
                <w:spacing w:val="-2"/>
                <w:w w:val="105"/>
                <w:sz w:val="22"/>
                <w:szCs w:val="22"/>
              </w:rPr>
              <w:t>68%</w:t>
            </w:r>
            <w:r w:rsidRPr="00B7198E">
              <w:rPr>
                <w:spacing w:val="-7"/>
                <w:w w:val="105"/>
                <w:sz w:val="22"/>
                <w:szCs w:val="22"/>
              </w:rPr>
              <w:t xml:space="preserve"> </w:t>
            </w:r>
            <w:r w:rsidRPr="00B7198E">
              <w:rPr>
                <w:spacing w:val="-2"/>
                <w:w w:val="105"/>
                <w:sz w:val="22"/>
                <w:szCs w:val="22"/>
              </w:rPr>
              <w:t>(52/76)</w:t>
            </w:r>
            <w:r w:rsidRPr="00B7198E">
              <w:rPr>
                <w:spacing w:val="-7"/>
                <w:w w:val="105"/>
                <w:sz w:val="22"/>
                <w:szCs w:val="22"/>
              </w:rPr>
              <w:t xml:space="preserve"> </w:t>
            </w:r>
            <w:r w:rsidRPr="00B7198E">
              <w:rPr>
                <w:spacing w:val="-5"/>
                <w:w w:val="105"/>
                <w:sz w:val="22"/>
                <w:szCs w:val="22"/>
              </w:rPr>
              <w:t>of</w:t>
            </w:r>
          </w:p>
          <w:p w14:paraId="4806B661" w14:textId="77777777" w:rsidR="003D5840" w:rsidRPr="00B7198E" w:rsidRDefault="003D5840" w:rsidP="003D5840">
            <w:pPr>
              <w:rPr>
                <w:sz w:val="22"/>
                <w:szCs w:val="22"/>
              </w:rPr>
            </w:pPr>
            <w:r w:rsidRPr="00B7198E">
              <w:rPr>
                <w:w w:val="105"/>
                <w:sz w:val="22"/>
                <w:szCs w:val="22"/>
              </w:rPr>
              <w:t>retaliation</w:t>
            </w:r>
            <w:r w:rsidRPr="00B7198E">
              <w:rPr>
                <w:spacing w:val="-1"/>
                <w:w w:val="105"/>
                <w:sz w:val="22"/>
                <w:szCs w:val="22"/>
              </w:rPr>
              <w:t xml:space="preserve"> </w:t>
            </w:r>
            <w:r w:rsidRPr="00B7198E">
              <w:rPr>
                <w:w w:val="105"/>
                <w:sz w:val="22"/>
                <w:szCs w:val="22"/>
              </w:rPr>
              <w:t xml:space="preserve">files reviewed, there was </w:t>
            </w:r>
            <w:r w:rsidRPr="00B7198E">
              <w:rPr>
                <w:spacing w:val="-2"/>
                <w:w w:val="105"/>
                <w:sz w:val="22"/>
                <w:szCs w:val="22"/>
              </w:rPr>
              <w:t xml:space="preserve">inconsistent </w:t>
            </w:r>
            <w:r w:rsidRPr="00B7198E">
              <w:rPr>
                <w:w w:val="105"/>
                <w:sz w:val="22"/>
                <w:szCs w:val="22"/>
              </w:rPr>
              <w:t>documentation</w:t>
            </w:r>
            <w:r w:rsidRPr="00B7198E">
              <w:rPr>
                <w:spacing w:val="-1"/>
                <w:w w:val="105"/>
                <w:sz w:val="22"/>
                <w:szCs w:val="22"/>
              </w:rPr>
              <w:t xml:space="preserve"> </w:t>
            </w:r>
            <w:r w:rsidRPr="00B7198E">
              <w:rPr>
                <w:w w:val="105"/>
                <w:sz w:val="22"/>
                <w:szCs w:val="22"/>
              </w:rPr>
              <w:t>on allowing</w:t>
            </w:r>
            <w:r w:rsidRPr="00B7198E">
              <w:rPr>
                <w:spacing w:val="-7"/>
                <w:w w:val="105"/>
                <w:sz w:val="22"/>
                <w:szCs w:val="22"/>
              </w:rPr>
              <w:t xml:space="preserve"> </w:t>
            </w:r>
            <w:r w:rsidRPr="00B7198E">
              <w:rPr>
                <w:w w:val="105"/>
                <w:sz w:val="22"/>
                <w:szCs w:val="22"/>
              </w:rPr>
              <w:t>complainant to rebut the</w:t>
            </w:r>
          </w:p>
          <w:p w14:paraId="448F7397" w14:textId="77777777" w:rsidR="003D5840" w:rsidRPr="00B7198E" w:rsidRDefault="003D5840" w:rsidP="003D5840">
            <w:pPr>
              <w:rPr>
                <w:sz w:val="22"/>
                <w:szCs w:val="22"/>
              </w:rPr>
            </w:pPr>
            <w:r w:rsidRPr="00B7198E">
              <w:rPr>
                <w:spacing w:val="-2"/>
                <w:w w:val="110"/>
                <w:sz w:val="22"/>
                <w:szCs w:val="22"/>
              </w:rPr>
              <w:t>respondent’s</w:t>
            </w:r>
          </w:p>
          <w:p w14:paraId="4E524537" w14:textId="77777777" w:rsidR="003D5840" w:rsidRPr="00B7198E" w:rsidRDefault="003D5840" w:rsidP="003D5840">
            <w:pPr>
              <w:rPr>
                <w:rFonts w:eastAsia="PMingLiU"/>
                <w:sz w:val="22"/>
                <w:szCs w:val="22"/>
              </w:rPr>
            </w:pPr>
            <w:r w:rsidRPr="00B7198E">
              <w:rPr>
                <w:spacing w:val="-2"/>
                <w:w w:val="105"/>
                <w:sz w:val="22"/>
                <w:szCs w:val="22"/>
              </w:rPr>
              <w:t>information.</w:t>
            </w:r>
          </w:p>
        </w:tc>
        <w:tc>
          <w:tcPr>
            <w:tcW w:w="2383" w:type="dxa"/>
          </w:tcPr>
          <w:p w14:paraId="45363542" w14:textId="0C9D8B84" w:rsidR="003D5840" w:rsidRPr="00B7198E" w:rsidRDefault="003D5840" w:rsidP="003D5840">
            <w:pPr>
              <w:rPr>
                <w:rFonts w:eastAsia="PMingLiU"/>
                <w:sz w:val="22"/>
                <w:szCs w:val="22"/>
              </w:rPr>
            </w:pPr>
            <w:r w:rsidRPr="00B7198E">
              <w:rPr>
                <w:w w:val="105"/>
                <w:sz w:val="22"/>
                <w:szCs w:val="22"/>
              </w:rPr>
              <w:t>Oregon OSHA should ensure BOLI is following OR OSHA PD A-288 by allowing complainants to rebut the information</w:t>
            </w:r>
            <w:r w:rsidRPr="00B7198E">
              <w:rPr>
                <w:spacing w:val="-5"/>
                <w:w w:val="105"/>
                <w:sz w:val="22"/>
                <w:szCs w:val="22"/>
              </w:rPr>
              <w:t xml:space="preserve"> </w:t>
            </w:r>
            <w:r w:rsidRPr="00B7198E">
              <w:rPr>
                <w:w w:val="105"/>
                <w:sz w:val="22"/>
                <w:szCs w:val="22"/>
              </w:rPr>
              <w:t>provided respondents</w:t>
            </w:r>
            <w:r w:rsidRPr="00B7198E">
              <w:rPr>
                <w:spacing w:val="-5"/>
                <w:w w:val="105"/>
                <w:sz w:val="22"/>
                <w:szCs w:val="22"/>
              </w:rPr>
              <w:t xml:space="preserve"> </w:t>
            </w:r>
            <w:r w:rsidRPr="00B7198E">
              <w:rPr>
                <w:w w:val="105"/>
                <w:sz w:val="22"/>
                <w:szCs w:val="22"/>
              </w:rPr>
              <w:t>during investigations and that the rebuttal is documented in the case</w:t>
            </w:r>
            <w:r w:rsidRPr="00B7198E">
              <w:rPr>
                <w:spacing w:val="-5"/>
                <w:w w:val="105"/>
                <w:sz w:val="22"/>
                <w:szCs w:val="22"/>
              </w:rPr>
              <w:t xml:space="preserve"> </w:t>
            </w:r>
            <w:r w:rsidRPr="00B7198E">
              <w:rPr>
                <w:w w:val="105"/>
                <w:sz w:val="22"/>
                <w:szCs w:val="22"/>
              </w:rPr>
              <w:t>files.</w:t>
            </w:r>
          </w:p>
        </w:tc>
        <w:tc>
          <w:tcPr>
            <w:tcW w:w="3287" w:type="dxa"/>
          </w:tcPr>
          <w:p w14:paraId="4BA5FC7E" w14:textId="77777777" w:rsidR="003D5840" w:rsidRPr="00B7198E" w:rsidRDefault="003D5840" w:rsidP="003D5840">
            <w:pPr>
              <w:rPr>
                <w:sz w:val="22"/>
                <w:szCs w:val="22"/>
              </w:rPr>
            </w:pPr>
            <w:r w:rsidRPr="00B7198E">
              <w:rPr>
                <w:w w:val="105"/>
                <w:sz w:val="22"/>
                <w:szCs w:val="22"/>
              </w:rPr>
              <w:t>BOLI has modified its closing</w:t>
            </w:r>
            <w:r w:rsidRPr="00B7198E">
              <w:rPr>
                <w:spacing w:val="-5"/>
                <w:w w:val="105"/>
                <w:sz w:val="22"/>
                <w:szCs w:val="22"/>
              </w:rPr>
              <w:t xml:space="preserve"> </w:t>
            </w:r>
            <w:r w:rsidRPr="00B7198E">
              <w:rPr>
                <w:w w:val="105"/>
                <w:sz w:val="22"/>
                <w:szCs w:val="22"/>
              </w:rPr>
              <w:t>memo template used for 11(c)</w:t>
            </w:r>
            <w:r w:rsidRPr="00B7198E">
              <w:rPr>
                <w:spacing w:val="-14"/>
                <w:w w:val="105"/>
                <w:sz w:val="22"/>
                <w:szCs w:val="22"/>
              </w:rPr>
              <w:t xml:space="preserve"> </w:t>
            </w:r>
            <w:r w:rsidRPr="00B7198E">
              <w:rPr>
                <w:w w:val="105"/>
                <w:sz w:val="22"/>
                <w:szCs w:val="22"/>
              </w:rPr>
              <w:t>investigations</w:t>
            </w:r>
            <w:r w:rsidRPr="00B7198E">
              <w:rPr>
                <w:spacing w:val="-13"/>
                <w:w w:val="105"/>
                <w:sz w:val="22"/>
                <w:szCs w:val="22"/>
              </w:rPr>
              <w:t xml:space="preserve"> </w:t>
            </w:r>
            <w:r w:rsidRPr="00B7198E">
              <w:rPr>
                <w:w w:val="105"/>
                <w:sz w:val="22"/>
                <w:szCs w:val="22"/>
              </w:rPr>
              <w:t>to include a specific provision</w:t>
            </w:r>
            <w:r w:rsidRPr="00B7198E">
              <w:rPr>
                <w:spacing w:val="-5"/>
                <w:w w:val="105"/>
                <w:sz w:val="22"/>
                <w:szCs w:val="22"/>
              </w:rPr>
              <w:t xml:space="preserve"> </w:t>
            </w:r>
            <w:r w:rsidRPr="00B7198E">
              <w:rPr>
                <w:w w:val="105"/>
                <w:sz w:val="22"/>
                <w:szCs w:val="22"/>
              </w:rPr>
              <w:t>for complainant</w:t>
            </w:r>
            <w:r w:rsidRPr="00B7198E">
              <w:rPr>
                <w:spacing w:val="-7"/>
                <w:w w:val="105"/>
                <w:sz w:val="22"/>
                <w:szCs w:val="22"/>
              </w:rPr>
              <w:t xml:space="preserve"> </w:t>
            </w:r>
            <w:r w:rsidRPr="00B7198E">
              <w:rPr>
                <w:w w:val="105"/>
                <w:sz w:val="22"/>
                <w:szCs w:val="22"/>
              </w:rPr>
              <w:t xml:space="preserve">rebuttal </w:t>
            </w:r>
            <w:r w:rsidRPr="00B7198E">
              <w:rPr>
                <w:spacing w:val="-2"/>
                <w:w w:val="105"/>
                <w:sz w:val="22"/>
                <w:szCs w:val="22"/>
              </w:rPr>
              <w:t>information.</w:t>
            </w:r>
          </w:p>
          <w:p w14:paraId="39D44D9C" w14:textId="77777777" w:rsidR="003D5840" w:rsidRPr="00B7198E" w:rsidRDefault="003D5840" w:rsidP="003D5840">
            <w:pPr>
              <w:rPr>
                <w:spacing w:val="-2"/>
                <w:w w:val="105"/>
                <w:sz w:val="22"/>
                <w:szCs w:val="22"/>
              </w:rPr>
            </w:pPr>
            <w:r w:rsidRPr="00B7198E">
              <w:rPr>
                <w:w w:val="105"/>
                <w:sz w:val="22"/>
                <w:szCs w:val="22"/>
              </w:rPr>
              <w:t>Additionally,</w:t>
            </w:r>
            <w:r w:rsidRPr="00B7198E">
              <w:rPr>
                <w:spacing w:val="-9"/>
                <w:w w:val="105"/>
                <w:sz w:val="22"/>
                <w:szCs w:val="22"/>
              </w:rPr>
              <w:t xml:space="preserve"> </w:t>
            </w:r>
            <w:r w:rsidRPr="00B7198E">
              <w:rPr>
                <w:w w:val="105"/>
                <w:sz w:val="22"/>
                <w:szCs w:val="22"/>
              </w:rPr>
              <w:t>during quarterly</w:t>
            </w:r>
            <w:r w:rsidRPr="00B7198E">
              <w:rPr>
                <w:spacing w:val="-5"/>
                <w:w w:val="105"/>
                <w:sz w:val="22"/>
                <w:szCs w:val="22"/>
              </w:rPr>
              <w:t xml:space="preserve"> </w:t>
            </w:r>
            <w:r w:rsidRPr="00B7198E">
              <w:rPr>
                <w:w w:val="105"/>
                <w:sz w:val="22"/>
                <w:szCs w:val="22"/>
              </w:rPr>
              <w:t>audits, Oregon OSHA will verify that each 11(c) BOLI casefile includes a description of the complainant</w:t>
            </w:r>
            <w:r w:rsidRPr="00B7198E">
              <w:rPr>
                <w:spacing w:val="-7"/>
                <w:w w:val="105"/>
                <w:sz w:val="22"/>
                <w:szCs w:val="22"/>
              </w:rPr>
              <w:t xml:space="preserve"> </w:t>
            </w:r>
            <w:r w:rsidRPr="00B7198E">
              <w:rPr>
                <w:w w:val="105"/>
                <w:sz w:val="22"/>
                <w:szCs w:val="22"/>
              </w:rPr>
              <w:t>rebuttal or why a rebuttal opportunity</w:t>
            </w:r>
            <w:r w:rsidRPr="00B7198E">
              <w:rPr>
                <w:spacing w:val="-1"/>
                <w:w w:val="105"/>
                <w:sz w:val="22"/>
                <w:szCs w:val="22"/>
              </w:rPr>
              <w:t xml:space="preserve"> </w:t>
            </w:r>
            <w:r w:rsidRPr="00B7198E">
              <w:rPr>
                <w:w w:val="105"/>
                <w:sz w:val="22"/>
                <w:szCs w:val="22"/>
              </w:rPr>
              <w:t xml:space="preserve">was </w:t>
            </w:r>
            <w:r w:rsidRPr="00B7198E">
              <w:rPr>
                <w:spacing w:val="-2"/>
                <w:w w:val="105"/>
                <w:sz w:val="22"/>
                <w:szCs w:val="22"/>
              </w:rPr>
              <w:t>otherwise</w:t>
            </w:r>
            <w:r w:rsidRPr="00B7198E">
              <w:rPr>
                <w:spacing w:val="40"/>
                <w:w w:val="105"/>
                <w:sz w:val="22"/>
                <w:szCs w:val="22"/>
              </w:rPr>
              <w:t xml:space="preserve"> </w:t>
            </w:r>
            <w:r w:rsidRPr="00B7198E">
              <w:rPr>
                <w:w w:val="105"/>
                <w:sz w:val="22"/>
                <w:szCs w:val="22"/>
              </w:rPr>
              <w:t>unnecessary</w:t>
            </w:r>
            <w:r w:rsidRPr="00B7198E">
              <w:rPr>
                <w:spacing w:val="-1"/>
                <w:w w:val="105"/>
                <w:sz w:val="22"/>
                <w:szCs w:val="22"/>
              </w:rPr>
              <w:t xml:space="preserve"> </w:t>
            </w:r>
            <w:r w:rsidRPr="00B7198E">
              <w:rPr>
                <w:w w:val="105"/>
                <w:sz w:val="22"/>
                <w:szCs w:val="22"/>
              </w:rPr>
              <w:t>(e.g.</w:t>
            </w:r>
            <w:r w:rsidRPr="00B7198E">
              <w:rPr>
                <w:spacing w:val="80"/>
                <w:w w:val="105"/>
                <w:sz w:val="22"/>
                <w:szCs w:val="22"/>
              </w:rPr>
              <w:t xml:space="preserve"> </w:t>
            </w:r>
            <w:r w:rsidRPr="00B7198E">
              <w:rPr>
                <w:w w:val="105"/>
                <w:sz w:val="22"/>
                <w:szCs w:val="22"/>
              </w:rPr>
              <w:t>case withdrawn to state/federal</w:t>
            </w:r>
            <w:r w:rsidRPr="00B7198E">
              <w:rPr>
                <w:spacing w:val="-7"/>
                <w:w w:val="105"/>
                <w:sz w:val="22"/>
                <w:szCs w:val="22"/>
              </w:rPr>
              <w:t xml:space="preserve"> </w:t>
            </w:r>
            <w:r w:rsidRPr="00B7198E">
              <w:rPr>
                <w:w w:val="105"/>
                <w:sz w:val="22"/>
                <w:szCs w:val="22"/>
              </w:rPr>
              <w:t xml:space="preserve">court prior to case </w:t>
            </w:r>
            <w:r w:rsidRPr="00B7198E">
              <w:rPr>
                <w:spacing w:val="-2"/>
                <w:w w:val="105"/>
                <w:sz w:val="22"/>
                <w:szCs w:val="22"/>
              </w:rPr>
              <w:t>determination).</w:t>
            </w:r>
          </w:p>
          <w:p w14:paraId="20B2195D" w14:textId="77777777" w:rsidR="003D5840" w:rsidRPr="00B7198E" w:rsidRDefault="003D5840" w:rsidP="003D5840">
            <w:pPr>
              <w:rPr>
                <w:rFonts w:eastAsia="PMingLiU"/>
                <w:sz w:val="22"/>
                <w:szCs w:val="22"/>
              </w:rPr>
            </w:pPr>
            <w:r w:rsidRPr="00B7198E">
              <w:rPr>
                <w:sz w:val="22"/>
                <w:szCs w:val="22"/>
              </w:rPr>
              <w:t>Oregon OSHA is engaged in close discussions with BOLI on implementing this change to the closing memo template for 11(c) investigations and anticipates this corrective action plan item being resolved in early FY 2025.</w:t>
            </w:r>
          </w:p>
        </w:tc>
        <w:tc>
          <w:tcPr>
            <w:tcW w:w="1890" w:type="dxa"/>
          </w:tcPr>
          <w:p w14:paraId="6B83C765" w14:textId="50B2D006" w:rsidR="003D5840" w:rsidRPr="00B7198E" w:rsidRDefault="007E2CAF" w:rsidP="003D5840">
            <w:pPr>
              <w:rPr>
                <w:w w:val="105"/>
                <w:sz w:val="22"/>
                <w:szCs w:val="22"/>
              </w:rPr>
            </w:pPr>
            <w:r>
              <w:rPr>
                <w:w w:val="105"/>
                <w:sz w:val="22"/>
                <w:szCs w:val="22"/>
              </w:rPr>
              <w:t>8/5/2024</w:t>
            </w:r>
          </w:p>
          <w:p w14:paraId="398559E3" w14:textId="77777777" w:rsidR="003D5840" w:rsidRPr="00B7198E" w:rsidRDefault="003D5840" w:rsidP="003D5840">
            <w:pPr>
              <w:rPr>
                <w:w w:val="105"/>
                <w:sz w:val="22"/>
                <w:szCs w:val="22"/>
              </w:rPr>
            </w:pPr>
          </w:p>
          <w:p w14:paraId="4BD63E65" w14:textId="77777777" w:rsidR="003D5840" w:rsidRPr="00B7198E" w:rsidRDefault="003D5840" w:rsidP="003D5840">
            <w:pPr>
              <w:rPr>
                <w:rFonts w:eastAsia="PMingLiU"/>
                <w:sz w:val="22"/>
                <w:szCs w:val="22"/>
              </w:rPr>
            </w:pPr>
            <w:r w:rsidRPr="00B7198E">
              <w:rPr>
                <w:w w:val="105"/>
                <w:sz w:val="22"/>
                <w:szCs w:val="22"/>
              </w:rPr>
              <w:t xml:space="preserve"> </w:t>
            </w:r>
          </w:p>
        </w:tc>
        <w:tc>
          <w:tcPr>
            <w:tcW w:w="1805" w:type="dxa"/>
          </w:tcPr>
          <w:p w14:paraId="752475DD" w14:textId="77777777" w:rsidR="003D5840" w:rsidRPr="00B7198E" w:rsidRDefault="003D5840" w:rsidP="003D5840">
            <w:pPr>
              <w:rPr>
                <w:w w:val="105"/>
                <w:sz w:val="22"/>
                <w:szCs w:val="22"/>
              </w:rPr>
            </w:pPr>
            <w:r w:rsidRPr="00B7198E">
              <w:rPr>
                <w:w w:val="105"/>
                <w:sz w:val="22"/>
                <w:szCs w:val="22"/>
              </w:rPr>
              <w:t>Awaiting Verification</w:t>
            </w:r>
          </w:p>
          <w:p w14:paraId="12CAA2F0" w14:textId="3922AFE3" w:rsidR="003D5840" w:rsidRPr="00B7198E" w:rsidRDefault="003D5840" w:rsidP="003D5840">
            <w:pPr>
              <w:rPr>
                <w:rFonts w:eastAsia="PMingLiU"/>
                <w:sz w:val="22"/>
                <w:szCs w:val="22"/>
              </w:rPr>
            </w:pPr>
            <w:r w:rsidRPr="00B7198E">
              <w:rPr>
                <w:w w:val="105"/>
                <w:sz w:val="22"/>
                <w:szCs w:val="22"/>
              </w:rPr>
              <w:t>8/5/2</w:t>
            </w:r>
            <w:r w:rsidR="007E2CAF">
              <w:rPr>
                <w:w w:val="105"/>
                <w:sz w:val="22"/>
                <w:szCs w:val="22"/>
              </w:rPr>
              <w:t>024</w:t>
            </w:r>
          </w:p>
        </w:tc>
      </w:tr>
    </w:tbl>
    <w:p w14:paraId="03DD4053" w14:textId="77777777" w:rsidR="004321DF" w:rsidRDefault="004321DF" w:rsidP="007A71AC">
      <w:pPr>
        <w:widowControl/>
        <w:autoSpaceDE/>
        <w:autoSpaceDN/>
        <w:adjustRightInd/>
        <w:rPr>
          <w:rFonts w:cs="Calibri"/>
          <w:i/>
          <w:sz w:val="22"/>
          <w:szCs w:val="22"/>
        </w:rPr>
      </w:pPr>
    </w:p>
    <w:p w14:paraId="03BC2B75" w14:textId="77777777" w:rsidR="00747710" w:rsidRPr="00747710" w:rsidRDefault="00747710" w:rsidP="005367D5"/>
    <w:p w14:paraId="0FDC2B74" w14:textId="77777777" w:rsidR="00AE0D73" w:rsidRDefault="00AE0D73" w:rsidP="002718F0"/>
    <w:p w14:paraId="0C7BCCE6" w14:textId="77777777" w:rsidR="001C033E" w:rsidRDefault="001C033E" w:rsidP="002718F0"/>
    <w:p w14:paraId="0470392C" w14:textId="77777777" w:rsidR="001C033E" w:rsidRDefault="001C033E" w:rsidP="002718F0"/>
    <w:p w14:paraId="604E0780" w14:textId="77777777" w:rsidR="00AC0194" w:rsidRDefault="00AC0194" w:rsidP="002718F0"/>
    <w:p w14:paraId="2C82B462" w14:textId="77777777" w:rsidR="005006AD" w:rsidRDefault="005006AD" w:rsidP="002718F0">
      <w:pPr>
        <w:sectPr w:rsidR="005006AD" w:rsidSect="00D537EF">
          <w:pgSz w:w="15840" w:h="12240" w:orient="landscape" w:code="1"/>
          <w:pgMar w:top="1440" w:right="1440" w:bottom="1440" w:left="1440" w:header="720" w:footer="720" w:gutter="0"/>
          <w:pgNumType w:start="14"/>
          <w:cols w:space="720"/>
          <w:noEndnote/>
          <w:docGrid w:linePitch="326"/>
        </w:sectPr>
      </w:pPr>
    </w:p>
    <w:p w14:paraId="3BE93179" w14:textId="4509482C" w:rsidR="000A134A" w:rsidRPr="001C1E47" w:rsidRDefault="2DABDE22" w:rsidP="006E7711">
      <w:pPr>
        <w:pStyle w:val="Heading3"/>
        <w:rPr>
          <w:rFonts w:eastAsia="Calibri"/>
        </w:rPr>
      </w:pPr>
      <w:bookmarkStart w:id="28" w:name="_Toc190095692"/>
      <w:r w:rsidRPr="7C1C37C4">
        <w:rPr>
          <w:rFonts w:eastAsia="Calibri"/>
        </w:rPr>
        <w:t>Appendix D – FY 2024 State Activity Mandated Measures (SAMM) Report</w:t>
      </w:r>
      <w:bookmarkEnd w:id="28"/>
    </w:p>
    <w:p w14:paraId="465C1470" w14:textId="55A1C8E7" w:rsidR="000A134A" w:rsidRPr="001C1E47" w:rsidRDefault="2DABDE22" w:rsidP="7C1C37C4">
      <w:pPr>
        <w:widowControl/>
        <w:tabs>
          <w:tab w:val="center" w:pos="4680"/>
          <w:tab w:val="right" w:pos="9360"/>
        </w:tabs>
        <w:autoSpaceDE/>
        <w:autoSpaceDN/>
        <w:adjustRightInd/>
        <w:rPr>
          <w:rFonts w:eastAsia="Calibri" w:cs="Calibri"/>
        </w:rPr>
      </w:pPr>
      <w:r w:rsidRPr="7C1C37C4">
        <w:rPr>
          <w:rFonts w:eastAsia="Calibri" w:cs="Calibri"/>
        </w:rPr>
        <w:t xml:space="preserve">FY 2024 </w:t>
      </w:r>
      <w:r w:rsidR="000458E7">
        <w:rPr>
          <w:rFonts w:eastAsia="Calibri" w:cs="Calibri"/>
        </w:rPr>
        <w:t>Oregon</w:t>
      </w:r>
      <w:r w:rsidRPr="7C1C37C4">
        <w:rPr>
          <w:rFonts w:eastAsia="Calibri" w:cs="Calibri"/>
        </w:rPr>
        <w:t xml:space="preserve"> OSHA Follow-up FAME Report</w:t>
      </w:r>
    </w:p>
    <w:p w14:paraId="777AC02D" w14:textId="3E968427" w:rsidR="000A134A" w:rsidRPr="001C1E47" w:rsidRDefault="2DABDE22" w:rsidP="7C1C37C4">
      <w:pPr>
        <w:widowControl/>
        <w:autoSpaceDE/>
        <w:autoSpaceDN/>
        <w:adjustRightInd/>
        <w:rPr>
          <w:rFonts w:eastAsia="Calibri" w:cs="Calibri"/>
          <w:b/>
          <w:bCs/>
          <w:sz w:val="28"/>
          <w:szCs w:val="28"/>
        </w:rPr>
      </w:pPr>
      <w:r w:rsidRPr="7C1C37C4">
        <w:rPr>
          <w:rFonts w:eastAsia="Calibri" w:cs="Calibri"/>
          <w:b/>
          <w:bCs/>
          <w:sz w:val="28"/>
          <w:szCs w:val="28"/>
        </w:rPr>
        <w:t xml:space="preserve"> </w:t>
      </w:r>
    </w:p>
    <w:tbl>
      <w:tblPr>
        <w:tblStyle w:val="TableGridLight"/>
        <w:tblW w:w="0" w:type="auto"/>
        <w:tblLayout w:type="fixed"/>
        <w:tblLook w:val="06A0" w:firstRow="1" w:lastRow="0" w:firstColumn="1" w:lastColumn="0" w:noHBand="1" w:noVBand="1"/>
      </w:tblPr>
      <w:tblGrid>
        <w:gridCol w:w="1070"/>
        <w:gridCol w:w="1980"/>
        <w:gridCol w:w="1260"/>
        <w:gridCol w:w="1260"/>
        <w:gridCol w:w="3627"/>
      </w:tblGrid>
      <w:tr w:rsidR="52EB84D0" w14:paraId="0DBE3300" w14:textId="77777777" w:rsidTr="00C22A26">
        <w:trPr>
          <w:trHeight w:val="300"/>
          <w:tblHeader/>
        </w:trPr>
        <w:tc>
          <w:tcPr>
            <w:tcW w:w="1070" w:type="dxa"/>
          </w:tcPr>
          <w:p w14:paraId="4A9E1245" w14:textId="522C42F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SAMM Number</w:t>
            </w:r>
          </w:p>
        </w:tc>
        <w:tc>
          <w:tcPr>
            <w:tcW w:w="1980" w:type="dxa"/>
          </w:tcPr>
          <w:p w14:paraId="11DA7D30" w14:textId="70215A5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SAMM Name</w:t>
            </w:r>
          </w:p>
        </w:tc>
        <w:tc>
          <w:tcPr>
            <w:tcW w:w="1260" w:type="dxa"/>
          </w:tcPr>
          <w:p w14:paraId="6E3A476A" w14:textId="107103B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State Plan Data</w:t>
            </w:r>
          </w:p>
        </w:tc>
        <w:tc>
          <w:tcPr>
            <w:tcW w:w="1260" w:type="dxa"/>
          </w:tcPr>
          <w:p w14:paraId="32A4A546" w14:textId="5A01732B"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Further Review Level</w:t>
            </w:r>
          </w:p>
        </w:tc>
        <w:tc>
          <w:tcPr>
            <w:tcW w:w="3627" w:type="dxa"/>
          </w:tcPr>
          <w:p w14:paraId="7B402A35" w14:textId="481B6AB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Notes</w:t>
            </w:r>
          </w:p>
        </w:tc>
      </w:tr>
      <w:tr w:rsidR="52EB84D0" w14:paraId="688A3A61" w14:textId="77777777" w:rsidTr="00C22A26">
        <w:trPr>
          <w:trHeight w:val="300"/>
        </w:trPr>
        <w:tc>
          <w:tcPr>
            <w:tcW w:w="1070" w:type="dxa"/>
          </w:tcPr>
          <w:p w14:paraId="7F0F74E3" w14:textId="0CE07D7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1a</w:t>
            </w:r>
          </w:p>
        </w:tc>
        <w:tc>
          <w:tcPr>
            <w:tcW w:w="1980" w:type="dxa"/>
          </w:tcPr>
          <w:p w14:paraId="0BC729FF" w14:textId="50EFE5D6" w:rsidR="52EB84D0" w:rsidRPr="002B7B0B" w:rsidRDefault="62490E83"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Average number of </w:t>
            </w:r>
            <w:r w:rsidR="087DCFD9" w:rsidRPr="002B7B0B">
              <w:rPr>
                <w:rFonts w:asciiTheme="minorHAnsi" w:eastAsia="Calibri" w:hAnsiTheme="minorHAnsi" w:cstheme="minorHAnsi"/>
                <w:sz w:val="22"/>
                <w:szCs w:val="22"/>
              </w:rPr>
              <w:t>workdays</w:t>
            </w:r>
            <w:r w:rsidRPr="002B7B0B">
              <w:rPr>
                <w:rFonts w:asciiTheme="minorHAnsi" w:eastAsia="Calibri" w:hAnsiTheme="minorHAnsi" w:cstheme="minorHAnsi"/>
                <w:sz w:val="22"/>
                <w:szCs w:val="22"/>
              </w:rPr>
              <w:t xml:space="preserve"> to initiate complaint inspections (state formula)</w:t>
            </w:r>
          </w:p>
        </w:tc>
        <w:tc>
          <w:tcPr>
            <w:tcW w:w="1260" w:type="dxa"/>
          </w:tcPr>
          <w:p w14:paraId="0A44637A" w14:textId="74ADA3C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5.88</w:t>
            </w:r>
          </w:p>
        </w:tc>
        <w:tc>
          <w:tcPr>
            <w:tcW w:w="1260" w:type="dxa"/>
          </w:tcPr>
          <w:p w14:paraId="5C55505A" w14:textId="75CFFF10"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5 days for serious hazards; 30 days for other-than-serious hazards</w:t>
            </w:r>
          </w:p>
          <w:p w14:paraId="204BC2CD" w14:textId="749D299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20E185C3" w14:textId="78A6155B"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negotiated by OSHA and the State Plan.</w:t>
            </w:r>
          </w:p>
        </w:tc>
      </w:tr>
      <w:tr w:rsidR="52EB84D0" w14:paraId="5E09D776" w14:textId="77777777" w:rsidTr="00C22A26">
        <w:trPr>
          <w:trHeight w:val="300"/>
        </w:trPr>
        <w:tc>
          <w:tcPr>
            <w:tcW w:w="1070" w:type="dxa"/>
          </w:tcPr>
          <w:p w14:paraId="7F36FC33" w14:textId="01A0CA9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1b</w:t>
            </w:r>
          </w:p>
        </w:tc>
        <w:tc>
          <w:tcPr>
            <w:tcW w:w="1980" w:type="dxa"/>
          </w:tcPr>
          <w:p w14:paraId="45BF9C41" w14:textId="148742A2" w:rsidR="52EB84D0" w:rsidRPr="002B7B0B" w:rsidRDefault="62490E83"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Average number of </w:t>
            </w:r>
            <w:r w:rsidR="2DE6076A" w:rsidRPr="002B7B0B">
              <w:rPr>
                <w:rFonts w:asciiTheme="minorHAnsi" w:eastAsia="Calibri" w:hAnsiTheme="minorHAnsi" w:cstheme="minorHAnsi"/>
                <w:sz w:val="22"/>
                <w:szCs w:val="22"/>
              </w:rPr>
              <w:t>workdays</w:t>
            </w:r>
            <w:r w:rsidRPr="002B7B0B">
              <w:rPr>
                <w:rFonts w:asciiTheme="minorHAnsi" w:eastAsia="Calibri" w:hAnsiTheme="minorHAnsi" w:cstheme="minorHAnsi"/>
                <w:sz w:val="22"/>
                <w:szCs w:val="22"/>
              </w:rPr>
              <w:t xml:space="preserve"> to initiate complaint inspections (federal formula)</w:t>
            </w:r>
          </w:p>
        </w:tc>
        <w:tc>
          <w:tcPr>
            <w:tcW w:w="1260" w:type="dxa"/>
          </w:tcPr>
          <w:p w14:paraId="61B74472" w14:textId="07DD1EE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3.60</w:t>
            </w:r>
          </w:p>
        </w:tc>
        <w:tc>
          <w:tcPr>
            <w:tcW w:w="1260" w:type="dxa"/>
          </w:tcPr>
          <w:p w14:paraId="56467E67" w14:textId="7A31BE0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3627" w:type="dxa"/>
          </w:tcPr>
          <w:p w14:paraId="2256AFA5" w14:textId="41F5AC5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This measure is for informational purposes only and is not a mandated measure.</w:t>
            </w:r>
          </w:p>
        </w:tc>
      </w:tr>
      <w:tr w:rsidR="52EB84D0" w14:paraId="78DA7B9C" w14:textId="77777777" w:rsidTr="00C22A26">
        <w:trPr>
          <w:trHeight w:val="300"/>
        </w:trPr>
        <w:tc>
          <w:tcPr>
            <w:tcW w:w="1070" w:type="dxa"/>
          </w:tcPr>
          <w:p w14:paraId="594B5996" w14:textId="7D79201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2a</w:t>
            </w:r>
          </w:p>
        </w:tc>
        <w:tc>
          <w:tcPr>
            <w:tcW w:w="1980" w:type="dxa"/>
          </w:tcPr>
          <w:p w14:paraId="7C1A56A6" w14:textId="48E00EE5" w:rsidR="52EB84D0" w:rsidRPr="002B7B0B" w:rsidRDefault="62490E83"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Average number of </w:t>
            </w:r>
            <w:r w:rsidR="4BBBE979" w:rsidRPr="002B7B0B">
              <w:rPr>
                <w:rFonts w:asciiTheme="minorHAnsi" w:eastAsia="Calibri" w:hAnsiTheme="minorHAnsi" w:cstheme="minorHAnsi"/>
                <w:sz w:val="22"/>
                <w:szCs w:val="22"/>
              </w:rPr>
              <w:t>workdays</w:t>
            </w:r>
            <w:r w:rsidRPr="002B7B0B">
              <w:rPr>
                <w:rFonts w:asciiTheme="minorHAnsi" w:eastAsia="Calibri" w:hAnsiTheme="minorHAnsi" w:cstheme="minorHAnsi"/>
                <w:sz w:val="22"/>
                <w:szCs w:val="22"/>
              </w:rPr>
              <w:t xml:space="preserve"> to initiate complaint investigations (state formula)</w:t>
            </w:r>
          </w:p>
        </w:tc>
        <w:tc>
          <w:tcPr>
            <w:tcW w:w="1260" w:type="dxa"/>
          </w:tcPr>
          <w:p w14:paraId="3E27D31B" w14:textId="7DEA85D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2.71</w:t>
            </w:r>
          </w:p>
        </w:tc>
        <w:tc>
          <w:tcPr>
            <w:tcW w:w="1260" w:type="dxa"/>
          </w:tcPr>
          <w:p w14:paraId="3697EF74" w14:textId="4096A4E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w:t>
            </w:r>
          </w:p>
        </w:tc>
        <w:tc>
          <w:tcPr>
            <w:tcW w:w="3627" w:type="dxa"/>
          </w:tcPr>
          <w:p w14:paraId="7D520D6E" w14:textId="14D564C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negotiated by OSHA and the State Plan.</w:t>
            </w:r>
          </w:p>
        </w:tc>
      </w:tr>
      <w:tr w:rsidR="52EB84D0" w14:paraId="2F3AD714" w14:textId="77777777" w:rsidTr="00C22A26">
        <w:trPr>
          <w:trHeight w:val="300"/>
        </w:trPr>
        <w:tc>
          <w:tcPr>
            <w:tcW w:w="1070" w:type="dxa"/>
          </w:tcPr>
          <w:p w14:paraId="3AA12253" w14:textId="5F6CACD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2b</w:t>
            </w:r>
          </w:p>
        </w:tc>
        <w:tc>
          <w:tcPr>
            <w:tcW w:w="1980" w:type="dxa"/>
          </w:tcPr>
          <w:p w14:paraId="679C313B" w14:textId="4A0F42A9" w:rsidR="52EB84D0" w:rsidRPr="002B7B0B" w:rsidRDefault="62490E83"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Average number of </w:t>
            </w:r>
            <w:r w:rsidR="5CAD1ED8" w:rsidRPr="002B7B0B">
              <w:rPr>
                <w:rFonts w:asciiTheme="minorHAnsi" w:eastAsia="Calibri" w:hAnsiTheme="minorHAnsi" w:cstheme="minorHAnsi"/>
                <w:sz w:val="22"/>
                <w:szCs w:val="22"/>
              </w:rPr>
              <w:t>workdays</w:t>
            </w:r>
            <w:r w:rsidRPr="002B7B0B">
              <w:rPr>
                <w:rFonts w:asciiTheme="minorHAnsi" w:eastAsia="Calibri" w:hAnsiTheme="minorHAnsi" w:cstheme="minorHAnsi"/>
                <w:sz w:val="22"/>
                <w:szCs w:val="22"/>
              </w:rPr>
              <w:t xml:space="preserve"> to initiate complaint investigations (federal formula)</w:t>
            </w:r>
          </w:p>
        </w:tc>
        <w:tc>
          <w:tcPr>
            <w:tcW w:w="1260" w:type="dxa"/>
          </w:tcPr>
          <w:p w14:paraId="4950642C" w14:textId="5CE75E3B"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2.70</w:t>
            </w:r>
          </w:p>
        </w:tc>
        <w:tc>
          <w:tcPr>
            <w:tcW w:w="1260" w:type="dxa"/>
          </w:tcPr>
          <w:p w14:paraId="51AE966F" w14:textId="4200796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3627" w:type="dxa"/>
          </w:tcPr>
          <w:p w14:paraId="4AAEA119" w14:textId="27E8557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This measure is for informational purposes only and is not a mandated measure.</w:t>
            </w:r>
          </w:p>
        </w:tc>
      </w:tr>
      <w:tr w:rsidR="52EB84D0" w14:paraId="288BC5FF" w14:textId="77777777" w:rsidTr="00C22A26">
        <w:trPr>
          <w:trHeight w:val="300"/>
        </w:trPr>
        <w:tc>
          <w:tcPr>
            <w:tcW w:w="1070" w:type="dxa"/>
          </w:tcPr>
          <w:p w14:paraId="71FD9FC6" w14:textId="51681E4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3</w:t>
            </w:r>
          </w:p>
        </w:tc>
        <w:tc>
          <w:tcPr>
            <w:tcW w:w="1980" w:type="dxa"/>
          </w:tcPr>
          <w:p w14:paraId="60106DCA" w14:textId="73043DA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complaints and referrals responded to within one workday (imminent danger)</w:t>
            </w:r>
          </w:p>
        </w:tc>
        <w:tc>
          <w:tcPr>
            <w:tcW w:w="1260" w:type="dxa"/>
          </w:tcPr>
          <w:p w14:paraId="4DE247F0" w14:textId="7BFAED6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1260" w:type="dxa"/>
          </w:tcPr>
          <w:p w14:paraId="34B56170" w14:textId="5691376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3627" w:type="dxa"/>
          </w:tcPr>
          <w:p w14:paraId="7F0624C2" w14:textId="2DB1197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fixed for all State Plans.</w:t>
            </w:r>
          </w:p>
        </w:tc>
      </w:tr>
      <w:tr w:rsidR="52EB84D0" w14:paraId="3028AC6F" w14:textId="77777777" w:rsidTr="00C22A26">
        <w:trPr>
          <w:trHeight w:val="300"/>
        </w:trPr>
        <w:tc>
          <w:tcPr>
            <w:tcW w:w="1070" w:type="dxa"/>
          </w:tcPr>
          <w:p w14:paraId="3A51BD4A" w14:textId="66F4292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4</w:t>
            </w:r>
          </w:p>
        </w:tc>
        <w:tc>
          <w:tcPr>
            <w:tcW w:w="1980" w:type="dxa"/>
          </w:tcPr>
          <w:p w14:paraId="0B3484BD" w14:textId="112B45B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Number of denials where entry not obtained</w:t>
            </w:r>
          </w:p>
        </w:tc>
        <w:tc>
          <w:tcPr>
            <w:tcW w:w="1260" w:type="dxa"/>
          </w:tcPr>
          <w:p w14:paraId="4675C8D5" w14:textId="51CEB2C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w:t>
            </w:r>
          </w:p>
        </w:tc>
        <w:tc>
          <w:tcPr>
            <w:tcW w:w="1260" w:type="dxa"/>
          </w:tcPr>
          <w:p w14:paraId="750A8253" w14:textId="1985D74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0</w:t>
            </w:r>
          </w:p>
        </w:tc>
        <w:tc>
          <w:tcPr>
            <w:tcW w:w="3627" w:type="dxa"/>
          </w:tcPr>
          <w:p w14:paraId="47DE85E4" w14:textId="0DE073A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fixed for all State Plans.</w:t>
            </w:r>
          </w:p>
        </w:tc>
      </w:tr>
      <w:tr w:rsidR="52EB84D0" w14:paraId="5E8B1C8C" w14:textId="77777777" w:rsidTr="00C22A26">
        <w:trPr>
          <w:trHeight w:val="855"/>
        </w:trPr>
        <w:tc>
          <w:tcPr>
            <w:tcW w:w="1070" w:type="dxa"/>
          </w:tcPr>
          <w:p w14:paraId="4F834805" w14:textId="0AAB4113"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5a</w:t>
            </w:r>
          </w:p>
        </w:tc>
        <w:tc>
          <w:tcPr>
            <w:tcW w:w="1980" w:type="dxa"/>
          </w:tcPr>
          <w:p w14:paraId="663C8A89" w14:textId="57729C1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number of violations per inspection with violations by violation type (SWRU)</w:t>
            </w:r>
          </w:p>
        </w:tc>
        <w:tc>
          <w:tcPr>
            <w:tcW w:w="1260" w:type="dxa"/>
          </w:tcPr>
          <w:p w14:paraId="435D292D" w14:textId="14F1D6F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1.26</w:t>
            </w:r>
          </w:p>
        </w:tc>
        <w:tc>
          <w:tcPr>
            <w:tcW w:w="1260" w:type="dxa"/>
          </w:tcPr>
          <w:p w14:paraId="12EDD39A" w14:textId="3834183D"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 1.74</w:t>
            </w:r>
          </w:p>
          <w:p w14:paraId="50A67A1C" w14:textId="6E741C3F"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p w14:paraId="205B2F31" w14:textId="5113745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4C2A9570" w14:textId="3DBCD0E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The further review level is based on a three-year national average.  The range of acceptable data not requiring further review is from 1.39 to 2.08 for SWRU. </w:t>
            </w:r>
          </w:p>
        </w:tc>
      </w:tr>
      <w:tr w:rsidR="52EB84D0" w14:paraId="5CFC2965" w14:textId="77777777" w:rsidTr="00C22A26">
        <w:trPr>
          <w:cantSplit/>
          <w:trHeight w:val="300"/>
        </w:trPr>
        <w:tc>
          <w:tcPr>
            <w:tcW w:w="1070" w:type="dxa"/>
          </w:tcPr>
          <w:p w14:paraId="100C5A4C" w14:textId="34D35BC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5b</w:t>
            </w:r>
          </w:p>
        </w:tc>
        <w:tc>
          <w:tcPr>
            <w:tcW w:w="1980" w:type="dxa"/>
          </w:tcPr>
          <w:p w14:paraId="4DAEAD66" w14:textId="5B39ED1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number of violations per inspection with violations by violation type (other)</w:t>
            </w:r>
          </w:p>
        </w:tc>
        <w:tc>
          <w:tcPr>
            <w:tcW w:w="1260" w:type="dxa"/>
          </w:tcPr>
          <w:p w14:paraId="52E9EA9C" w14:textId="4D60F82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1.16</w:t>
            </w:r>
          </w:p>
        </w:tc>
        <w:tc>
          <w:tcPr>
            <w:tcW w:w="1260" w:type="dxa"/>
          </w:tcPr>
          <w:p w14:paraId="245F176D" w14:textId="7744DEA3"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 0.94</w:t>
            </w:r>
          </w:p>
          <w:p w14:paraId="2EEE39DE" w14:textId="7EF6E5F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70A4605B" w14:textId="5AE8107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0.75 to 1.12 for OTS.</w:t>
            </w:r>
          </w:p>
        </w:tc>
      </w:tr>
      <w:tr w:rsidR="52EB84D0" w14:paraId="3F99577C" w14:textId="77777777" w:rsidTr="00C22A26">
        <w:trPr>
          <w:trHeight w:val="300"/>
        </w:trPr>
        <w:tc>
          <w:tcPr>
            <w:tcW w:w="1070" w:type="dxa"/>
          </w:tcPr>
          <w:p w14:paraId="3C310DB9" w14:textId="6C6AD98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6</w:t>
            </w:r>
          </w:p>
        </w:tc>
        <w:tc>
          <w:tcPr>
            <w:tcW w:w="1980" w:type="dxa"/>
          </w:tcPr>
          <w:p w14:paraId="16C1D97D" w14:textId="3BA3BC0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total inspections in state and local government workplaces</w:t>
            </w:r>
          </w:p>
        </w:tc>
        <w:tc>
          <w:tcPr>
            <w:tcW w:w="1260" w:type="dxa"/>
          </w:tcPr>
          <w:p w14:paraId="346323A4" w14:textId="110C0AA3"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3.28%</w:t>
            </w:r>
          </w:p>
        </w:tc>
        <w:tc>
          <w:tcPr>
            <w:tcW w:w="1260" w:type="dxa"/>
          </w:tcPr>
          <w:p w14:paraId="707B394A" w14:textId="604396DD"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+/- 5% of</w:t>
            </w:r>
          </w:p>
          <w:p w14:paraId="2B5DDADB" w14:textId="295010F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Grant 2.86%</w:t>
            </w:r>
          </w:p>
        </w:tc>
        <w:tc>
          <w:tcPr>
            <w:tcW w:w="3627" w:type="dxa"/>
          </w:tcPr>
          <w:p w14:paraId="6F80E28D" w14:textId="14DFFB9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number negotiated by OSHA and the State Plan through the grant application.  The range of acceptable data not requiring further review is from 2.71% to 3.00%.</w:t>
            </w:r>
          </w:p>
        </w:tc>
      </w:tr>
      <w:tr w:rsidR="52EB84D0" w14:paraId="3E9FA0BC" w14:textId="77777777" w:rsidTr="00C22A26">
        <w:trPr>
          <w:trHeight w:val="300"/>
        </w:trPr>
        <w:tc>
          <w:tcPr>
            <w:tcW w:w="1070" w:type="dxa"/>
          </w:tcPr>
          <w:p w14:paraId="71CECDAC" w14:textId="2FC3C9E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7a</w:t>
            </w:r>
          </w:p>
        </w:tc>
        <w:tc>
          <w:tcPr>
            <w:tcW w:w="1980" w:type="dxa"/>
          </w:tcPr>
          <w:p w14:paraId="440F5ECD" w14:textId="39F696D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Planned v. actual inspections (safety)</w:t>
            </w:r>
          </w:p>
        </w:tc>
        <w:tc>
          <w:tcPr>
            <w:tcW w:w="1260" w:type="dxa"/>
          </w:tcPr>
          <w:p w14:paraId="3B847FB8" w14:textId="1E41EB1B"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2,376</w:t>
            </w:r>
          </w:p>
        </w:tc>
        <w:tc>
          <w:tcPr>
            <w:tcW w:w="1260" w:type="dxa"/>
          </w:tcPr>
          <w:p w14:paraId="2150CCD7" w14:textId="296D3781"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+/- 5% of </w:t>
            </w:r>
          </w:p>
          <w:p w14:paraId="2C8C4035" w14:textId="656EA52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Grant 1800</w:t>
            </w:r>
          </w:p>
        </w:tc>
        <w:tc>
          <w:tcPr>
            <w:tcW w:w="3627" w:type="dxa"/>
          </w:tcPr>
          <w:p w14:paraId="23A7B2E7" w14:textId="6E4241F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number negotiated by OSHA and the State Plan through the grant application.  The range of acceptable data not requiring further review is from 1,710 to 1,890 for safety.</w:t>
            </w:r>
          </w:p>
        </w:tc>
      </w:tr>
      <w:tr w:rsidR="52EB84D0" w14:paraId="61491CC0" w14:textId="77777777" w:rsidTr="00C22A26">
        <w:trPr>
          <w:trHeight w:val="300"/>
        </w:trPr>
        <w:tc>
          <w:tcPr>
            <w:tcW w:w="1070" w:type="dxa"/>
          </w:tcPr>
          <w:p w14:paraId="3EAA28FA" w14:textId="7A95EF9B"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7b</w:t>
            </w:r>
          </w:p>
        </w:tc>
        <w:tc>
          <w:tcPr>
            <w:tcW w:w="1980" w:type="dxa"/>
          </w:tcPr>
          <w:p w14:paraId="3CE81A6E" w14:textId="32F618F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Planned v. actual inspections (health)</w:t>
            </w:r>
          </w:p>
        </w:tc>
        <w:tc>
          <w:tcPr>
            <w:tcW w:w="1260" w:type="dxa"/>
          </w:tcPr>
          <w:p w14:paraId="7378A34F" w14:textId="7E6D317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823</w:t>
            </w:r>
          </w:p>
        </w:tc>
        <w:tc>
          <w:tcPr>
            <w:tcW w:w="1260" w:type="dxa"/>
          </w:tcPr>
          <w:p w14:paraId="3CB9FED1" w14:textId="61FFA3E2"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+/- 5% of </w:t>
            </w:r>
          </w:p>
          <w:p w14:paraId="69984BFC" w14:textId="5ED4996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Grant 650</w:t>
            </w:r>
          </w:p>
        </w:tc>
        <w:tc>
          <w:tcPr>
            <w:tcW w:w="3627" w:type="dxa"/>
          </w:tcPr>
          <w:p w14:paraId="1F0E53C1" w14:textId="01DD936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number negotiated by OSHA and the State Plan through the grant application.  The range of acceptable data not requiring further review is from 618 to 683 for health.</w:t>
            </w:r>
          </w:p>
        </w:tc>
      </w:tr>
      <w:tr w:rsidR="52EB84D0" w14:paraId="1308569A" w14:textId="77777777" w:rsidTr="00C22A26">
        <w:trPr>
          <w:trHeight w:val="300"/>
        </w:trPr>
        <w:tc>
          <w:tcPr>
            <w:tcW w:w="1070" w:type="dxa"/>
          </w:tcPr>
          <w:p w14:paraId="63C937BC" w14:textId="51FF409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8</w:t>
            </w:r>
          </w:p>
        </w:tc>
        <w:tc>
          <w:tcPr>
            <w:tcW w:w="1980" w:type="dxa"/>
          </w:tcPr>
          <w:p w14:paraId="52F48A03" w14:textId="0530C26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current serious penalty in private sector - total (1 to greater than 250 workers)</w:t>
            </w:r>
          </w:p>
        </w:tc>
        <w:tc>
          <w:tcPr>
            <w:tcW w:w="1260" w:type="dxa"/>
          </w:tcPr>
          <w:p w14:paraId="61243091" w14:textId="7CE9A45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$1,581.75</w:t>
            </w:r>
          </w:p>
        </w:tc>
        <w:tc>
          <w:tcPr>
            <w:tcW w:w="1260" w:type="dxa"/>
          </w:tcPr>
          <w:p w14:paraId="09DEC7F5" w14:textId="3042D344"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+/- 25% of </w:t>
            </w:r>
          </w:p>
          <w:p w14:paraId="640973DB" w14:textId="5570C359"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$3,793.81</w:t>
            </w:r>
          </w:p>
          <w:p w14:paraId="6B9599C9" w14:textId="318CC7F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6966A0B2" w14:textId="4C285059" w:rsidR="52EB84D0" w:rsidRPr="002B7B0B" w:rsidRDefault="52EB84D0" w:rsidP="7C1C37C4">
            <w:pPr>
              <w:tabs>
                <w:tab w:val="left" w:pos="2416"/>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$2,845.36 to $4,742.27.</w:t>
            </w:r>
          </w:p>
        </w:tc>
      </w:tr>
      <w:tr w:rsidR="52EB84D0" w14:paraId="409BC866" w14:textId="77777777" w:rsidTr="00C22A26">
        <w:trPr>
          <w:trHeight w:val="300"/>
        </w:trPr>
        <w:tc>
          <w:tcPr>
            <w:tcW w:w="1070" w:type="dxa"/>
          </w:tcPr>
          <w:p w14:paraId="2B7F84C7" w14:textId="5972313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8a</w:t>
            </w:r>
          </w:p>
        </w:tc>
        <w:tc>
          <w:tcPr>
            <w:tcW w:w="1980" w:type="dxa"/>
          </w:tcPr>
          <w:p w14:paraId="13A65262" w14:textId="22129A6F"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current serious penalty in private sector</w:t>
            </w:r>
          </w:p>
          <w:p w14:paraId="78B913AE" w14:textId="519B85E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(1-25 workers)</w:t>
            </w:r>
          </w:p>
        </w:tc>
        <w:tc>
          <w:tcPr>
            <w:tcW w:w="1260" w:type="dxa"/>
          </w:tcPr>
          <w:p w14:paraId="335C632C" w14:textId="3E976FC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$1,123.00</w:t>
            </w:r>
          </w:p>
        </w:tc>
        <w:tc>
          <w:tcPr>
            <w:tcW w:w="1260" w:type="dxa"/>
          </w:tcPr>
          <w:p w14:paraId="5D1BDB75" w14:textId="0AB27579"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+/- 25% of </w:t>
            </w:r>
          </w:p>
          <w:p w14:paraId="5CABBFF5" w14:textId="3E19DACE"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$2,498.51</w:t>
            </w:r>
          </w:p>
          <w:p w14:paraId="1056E407" w14:textId="3309E47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250D2437" w14:textId="280DC9E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$1,873.88 to $3,123.14.</w:t>
            </w:r>
          </w:p>
        </w:tc>
      </w:tr>
      <w:tr w:rsidR="52EB84D0" w14:paraId="7D11F95D" w14:textId="77777777" w:rsidTr="00C22A26">
        <w:trPr>
          <w:trHeight w:val="300"/>
        </w:trPr>
        <w:tc>
          <w:tcPr>
            <w:tcW w:w="1070" w:type="dxa"/>
          </w:tcPr>
          <w:p w14:paraId="100E7F26" w14:textId="052AB86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8b</w:t>
            </w:r>
          </w:p>
        </w:tc>
        <w:tc>
          <w:tcPr>
            <w:tcW w:w="1980" w:type="dxa"/>
          </w:tcPr>
          <w:p w14:paraId="13C353E6" w14:textId="0A5F1B43"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Average current serious penalty in private sector </w:t>
            </w:r>
          </w:p>
          <w:p w14:paraId="07DD50EF" w14:textId="33269A9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sz w:val="22"/>
                <w:szCs w:val="22"/>
              </w:rPr>
              <w:t>(26-100 workers</w:t>
            </w:r>
            <w:r w:rsidRPr="00627A36">
              <w:rPr>
                <w:rFonts w:asciiTheme="minorHAnsi" w:eastAsia="Calibri" w:hAnsiTheme="minorHAnsi" w:cstheme="minorHAnsi"/>
                <w:sz w:val="22"/>
                <w:szCs w:val="22"/>
              </w:rPr>
              <w:t>)</w:t>
            </w:r>
          </w:p>
        </w:tc>
        <w:tc>
          <w:tcPr>
            <w:tcW w:w="1260" w:type="dxa"/>
          </w:tcPr>
          <w:p w14:paraId="47141C0B" w14:textId="0C78996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$1,910.45</w:t>
            </w:r>
          </w:p>
        </w:tc>
        <w:tc>
          <w:tcPr>
            <w:tcW w:w="1260" w:type="dxa"/>
          </w:tcPr>
          <w:p w14:paraId="4EC42E4D" w14:textId="70A3EC2B"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+/- 25% of </w:t>
            </w:r>
          </w:p>
          <w:p w14:paraId="641549F6" w14:textId="68936238"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$4,322.61</w:t>
            </w:r>
          </w:p>
          <w:p w14:paraId="6A5ACA37" w14:textId="7F03E0B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4242D6B6" w14:textId="795D11C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$3,241.96 to $5,403.26.</w:t>
            </w:r>
          </w:p>
        </w:tc>
      </w:tr>
      <w:tr w:rsidR="52EB84D0" w14:paraId="289CC449" w14:textId="77777777" w:rsidTr="00C22A26">
        <w:trPr>
          <w:trHeight w:val="300"/>
        </w:trPr>
        <w:tc>
          <w:tcPr>
            <w:tcW w:w="1070" w:type="dxa"/>
          </w:tcPr>
          <w:p w14:paraId="6DA2B0D9" w14:textId="2FAA37E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8c</w:t>
            </w:r>
          </w:p>
        </w:tc>
        <w:tc>
          <w:tcPr>
            <w:tcW w:w="1980" w:type="dxa"/>
          </w:tcPr>
          <w:p w14:paraId="1EE744C0" w14:textId="28F37201"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current serious penalty in private sector</w:t>
            </w:r>
          </w:p>
          <w:p w14:paraId="49DEC162" w14:textId="683616A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(101-250 workers)</w:t>
            </w:r>
          </w:p>
        </w:tc>
        <w:tc>
          <w:tcPr>
            <w:tcW w:w="1260" w:type="dxa"/>
          </w:tcPr>
          <w:p w14:paraId="2EE40706" w14:textId="5A4E7AF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$2,934.70</w:t>
            </w:r>
          </w:p>
        </w:tc>
        <w:tc>
          <w:tcPr>
            <w:tcW w:w="1260" w:type="dxa"/>
          </w:tcPr>
          <w:p w14:paraId="5DA95AED" w14:textId="52D00C07"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+/- 25% of </w:t>
            </w:r>
          </w:p>
          <w:p w14:paraId="0D70A0EC" w14:textId="5786E49E"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$6,114.84</w:t>
            </w:r>
          </w:p>
          <w:p w14:paraId="68116A68" w14:textId="1EA184D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67AC0C9B" w14:textId="4D87940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$4,586.13 to $7,643.55.</w:t>
            </w:r>
          </w:p>
        </w:tc>
      </w:tr>
      <w:tr w:rsidR="52EB84D0" w14:paraId="52A36ED1" w14:textId="77777777" w:rsidTr="00C22A26">
        <w:trPr>
          <w:trHeight w:val="300"/>
        </w:trPr>
        <w:tc>
          <w:tcPr>
            <w:tcW w:w="1070" w:type="dxa"/>
          </w:tcPr>
          <w:p w14:paraId="549D6922" w14:textId="010B247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8d</w:t>
            </w:r>
          </w:p>
        </w:tc>
        <w:tc>
          <w:tcPr>
            <w:tcW w:w="1980" w:type="dxa"/>
          </w:tcPr>
          <w:p w14:paraId="24D996B2" w14:textId="282278BA"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current serious penalty in private sector</w:t>
            </w:r>
          </w:p>
          <w:p w14:paraId="2637E735" w14:textId="52E95DB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(greater than 250 workers)</w:t>
            </w:r>
          </w:p>
        </w:tc>
        <w:tc>
          <w:tcPr>
            <w:tcW w:w="1260" w:type="dxa"/>
          </w:tcPr>
          <w:p w14:paraId="64DF2F5C" w14:textId="37F9F23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$2,298.18</w:t>
            </w:r>
          </w:p>
        </w:tc>
        <w:tc>
          <w:tcPr>
            <w:tcW w:w="1260" w:type="dxa"/>
          </w:tcPr>
          <w:p w14:paraId="63B6FB59" w14:textId="74A95837"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+/- 25% of </w:t>
            </w:r>
          </w:p>
          <w:p w14:paraId="0F400A45" w14:textId="588CFA20"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$7,533.58</w:t>
            </w:r>
          </w:p>
          <w:p w14:paraId="4664B364" w14:textId="7663A21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075D31C2" w14:textId="7209CD0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$5,650.19 to $9,416.98.</w:t>
            </w:r>
          </w:p>
        </w:tc>
      </w:tr>
      <w:tr w:rsidR="52EB84D0" w14:paraId="3594269F" w14:textId="77777777" w:rsidTr="00C22A26">
        <w:trPr>
          <w:trHeight w:val="300"/>
        </w:trPr>
        <w:tc>
          <w:tcPr>
            <w:tcW w:w="1070" w:type="dxa"/>
          </w:tcPr>
          <w:p w14:paraId="6AAC7B96" w14:textId="268CB0CC"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9a</w:t>
            </w:r>
          </w:p>
        </w:tc>
        <w:tc>
          <w:tcPr>
            <w:tcW w:w="1980" w:type="dxa"/>
          </w:tcPr>
          <w:p w14:paraId="417A0651" w14:textId="377A1F8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in compliance (safety)</w:t>
            </w:r>
          </w:p>
        </w:tc>
        <w:tc>
          <w:tcPr>
            <w:tcW w:w="1260" w:type="dxa"/>
          </w:tcPr>
          <w:p w14:paraId="5051BD4E" w14:textId="7BFE3B2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36.32%</w:t>
            </w:r>
          </w:p>
        </w:tc>
        <w:tc>
          <w:tcPr>
            <w:tcW w:w="1260" w:type="dxa"/>
          </w:tcPr>
          <w:p w14:paraId="5CB29F6A" w14:textId="00138ADA"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w:t>
            </w:r>
          </w:p>
          <w:p w14:paraId="471BE0E7" w14:textId="6944AEB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32.83%</w:t>
            </w:r>
          </w:p>
        </w:tc>
        <w:tc>
          <w:tcPr>
            <w:tcW w:w="3627" w:type="dxa"/>
          </w:tcPr>
          <w:p w14:paraId="64BDDD43" w14:textId="5C3D6A1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26.27% to 39.40% for safety.</w:t>
            </w:r>
          </w:p>
        </w:tc>
      </w:tr>
      <w:tr w:rsidR="52EB84D0" w14:paraId="57F23E61" w14:textId="77777777" w:rsidTr="00C22A26">
        <w:trPr>
          <w:trHeight w:val="300"/>
        </w:trPr>
        <w:tc>
          <w:tcPr>
            <w:tcW w:w="1070" w:type="dxa"/>
          </w:tcPr>
          <w:p w14:paraId="5ADCB3E1" w14:textId="060D2C72"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9b</w:t>
            </w:r>
          </w:p>
        </w:tc>
        <w:tc>
          <w:tcPr>
            <w:tcW w:w="1980" w:type="dxa"/>
          </w:tcPr>
          <w:p w14:paraId="1E5DCCEA" w14:textId="3650FEA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in compliance (health</w:t>
            </w:r>
            <w:r w:rsidRPr="004258E0">
              <w:rPr>
                <w:rFonts w:asciiTheme="minorHAnsi" w:eastAsia="Calibri" w:hAnsiTheme="minorHAnsi" w:cstheme="minorHAnsi"/>
                <w:sz w:val="22"/>
                <w:szCs w:val="22"/>
              </w:rPr>
              <w:t>)</w:t>
            </w:r>
          </w:p>
        </w:tc>
        <w:tc>
          <w:tcPr>
            <w:tcW w:w="1260" w:type="dxa"/>
          </w:tcPr>
          <w:p w14:paraId="124F6613" w14:textId="2DDD012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33.48%</w:t>
            </w:r>
          </w:p>
        </w:tc>
        <w:tc>
          <w:tcPr>
            <w:tcW w:w="1260" w:type="dxa"/>
          </w:tcPr>
          <w:p w14:paraId="34C4811E" w14:textId="27B50F59"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w:t>
            </w:r>
          </w:p>
          <w:p w14:paraId="70F73CD3" w14:textId="2B48B45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44.18%</w:t>
            </w:r>
          </w:p>
        </w:tc>
        <w:tc>
          <w:tcPr>
            <w:tcW w:w="3627" w:type="dxa"/>
          </w:tcPr>
          <w:p w14:paraId="2BFB00D0" w14:textId="32844BF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35.34% to 53.01% for health.</w:t>
            </w:r>
          </w:p>
        </w:tc>
      </w:tr>
      <w:tr w:rsidR="52EB84D0" w14:paraId="34E40CAD" w14:textId="77777777" w:rsidTr="00C22A26">
        <w:trPr>
          <w:trHeight w:val="300"/>
        </w:trPr>
        <w:tc>
          <w:tcPr>
            <w:tcW w:w="1070" w:type="dxa"/>
          </w:tcPr>
          <w:p w14:paraId="6FD355AB" w14:textId="5F713BF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10</w:t>
            </w:r>
          </w:p>
        </w:tc>
        <w:tc>
          <w:tcPr>
            <w:tcW w:w="1980" w:type="dxa"/>
          </w:tcPr>
          <w:p w14:paraId="0EEE0B34" w14:textId="79D8F58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work-related fatalities responded to in one workday</w:t>
            </w:r>
          </w:p>
        </w:tc>
        <w:tc>
          <w:tcPr>
            <w:tcW w:w="1260" w:type="dxa"/>
          </w:tcPr>
          <w:p w14:paraId="35AA63CE" w14:textId="375ED4D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87.50%</w:t>
            </w:r>
          </w:p>
        </w:tc>
        <w:tc>
          <w:tcPr>
            <w:tcW w:w="1260" w:type="dxa"/>
          </w:tcPr>
          <w:p w14:paraId="625FDF29" w14:textId="6A1A2B3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3627" w:type="dxa"/>
          </w:tcPr>
          <w:p w14:paraId="1C0DA154" w14:textId="62A5984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fixed for all State Plans.</w:t>
            </w:r>
          </w:p>
        </w:tc>
      </w:tr>
      <w:tr w:rsidR="52EB84D0" w14:paraId="3CBB90BF" w14:textId="77777777" w:rsidTr="00C22A26">
        <w:trPr>
          <w:trHeight w:val="300"/>
        </w:trPr>
        <w:tc>
          <w:tcPr>
            <w:tcW w:w="1070" w:type="dxa"/>
          </w:tcPr>
          <w:p w14:paraId="5B02A204" w14:textId="33FD8A2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11a</w:t>
            </w:r>
          </w:p>
        </w:tc>
        <w:tc>
          <w:tcPr>
            <w:tcW w:w="1980" w:type="dxa"/>
          </w:tcPr>
          <w:p w14:paraId="07865FAD" w14:textId="7C00092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lapse time (safety)</w:t>
            </w:r>
          </w:p>
        </w:tc>
        <w:tc>
          <w:tcPr>
            <w:tcW w:w="1260" w:type="dxa"/>
          </w:tcPr>
          <w:p w14:paraId="5D502E82" w14:textId="7FFA96D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36.74</w:t>
            </w:r>
          </w:p>
        </w:tc>
        <w:tc>
          <w:tcPr>
            <w:tcW w:w="1260" w:type="dxa"/>
          </w:tcPr>
          <w:p w14:paraId="22FD5B6B" w14:textId="4D037E8F"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 56.02</w:t>
            </w:r>
          </w:p>
          <w:p w14:paraId="59E6520A" w14:textId="266456B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1EEC4622" w14:textId="3E173A4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44.82 to 67.23for safety.</w:t>
            </w:r>
          </w:p>
        </w:tc>
      </w:tr>
      <w:tr w:rsidR="52EB84D0" w14:paraId="0D28B00B" w14:textId="77777777" w:rsidTr="00C22A26">
        <w:trPr>
          <w:trHeight w:val="300"/>
        </w:trPr>
        <w:tc>
          <w:tcPr>
            <w:tcW w:w="1070" w:type="dxa"/>
          </w:tcPr>
          <w:p w14:paraId="5C6E3293" w14:textId="1E484D3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11b</w:t>
            </w:r>
          </w:p>
        </w:tc>
        <w:tc>
          <w:tcPr>
            <w:tcW w:w="1980" w:type="dxa"/>
          </w:tcPr>
          <w:p w14:paraId="2518E34C" w14:textId="61460DF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lapse time (health)</w:t>
            </w:r>
          </w:p>
        </w:tc>
        <w:tc>
          <w:tcPr>
            <w:tcW w:w="1260" w:type="dxa"/>
          </w:tcPr>
          <w:p w14:paraId="68391A5D" w14:textId="7D7C44D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49.88</w:t>
            </w:r>
          </w:p>
        </w:tc>
        <w:tc>
          <w:tcPr>
            <w:tcW w:w="1260" w:type="dxa"/>
          </w:tcPr>
          <w:p w14:paraId="1969597E" w14:textId="0F477B91"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+/- 20% of 67.21</w:t>
            </w:r>
          </w:p>
          <w:p w14:paraId="38F80099" w14:textId="3AB2E6D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 xml:space="preserve"> </w:t>
            </w:r>
          </w:p>
        </w:tc>
        <w:tc>
          <w:tcPr>
            <w:tcW w:w="3627" w:type="dxa"/>
          </w:tcPr>
          <w:p w14:paraId="40B28443" w14:textId="175F8D4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53.77 to 80.65 for health.</w:t>
            </w:r>
          </w:p>
        </w:tc>
      </w:tr>
      <w:tr w:rsidR="52EB84D0" w14:paraId="043FAA6C" w14:textId="77777777" w:rsidTr="00C22A26">
        <w:trPr>
          <w:trHeight w:val="300"/>
        </w:trPr>
        <w:tc>
          <w:tcPr>
            <w:tcW w:w="1070" w:type="dxa"/>
          </w:tcPr>
          <w:p w14:paraId="7B1DF8D7" w14:textId="1C8AF09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12</w:t>
            </w:r>
          </w:p>
        </w:tc>
        <w:tc>
          <w:tcPr>
            <w:tcW w:w="1980" w:type="dxa"/>
          </w:tcPr>
          <w:p w14:paraId="120F700F" w14:textId="21D538B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penalty retained</w:t>
            </w:r>
          </w:p>
        </w:tc>
        <w:tc>
          <w:tcPr>
            <w:tcW w:w="1260" w:type="dxa"/>
          </w:tcPr>
          <w:p w14:paraId="6D412F4D" w14:textId="7507C61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95.02%</w:t>
            </w:r>
          </w:p>
        </w:tc>
        <w:tc>
          <w:tcPr>
            <w:tcW w:w="1260" w:type="dxa"/>
          </w:tcPr>
          <w:p w14:paraId="40BB0CA5" w14:textId="3A0BCCD1"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+/- 15% of</w:t>
            </w:r>
          </w:p>
          <w:p w14:paraId="713647D0" w14:textId="6170F02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70.81%</w:t>
            </w:r>
          </w:p>
        </w:tc>
        <w:tc>
          <w:tcPr>
            <w:tcW w:w="3627" w:type="dxa"/>
          </w:tcPr>
          <w:p w14:paraId="7604624E" w14:textId="66430FD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60.19% to 81.44%.</w:t>
            </w:r>
          </w:p>
        </w:tc>
      </w:tr>
      <w:tr w:rsidR="52EB84D0" w14:paraId="2AF0CB48" w14:textId="77777777" w:rsidTr="00C22A26">
        <w:trPr>
          <w:trHeight w:val="300"/>
        </w:trPr>
        <w:tc>
          <w:tcPr>
            <w:tcW w:w="1070" w:type="dxa"/>
          </w:tcPr>
          <w:p w14:paraId="596450B5" w14:textId="381DF64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13</w:t>
            </w:r>
          </w:p>
        </w:tc>
        <w:tc>
          <w:tcPr>
            <w:tcW w:w="1980" w:type="dxa"/>
          </w:tcPr>
          <w:p w14:paraId="239AD0F1" w14:textId="3633829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initial inspections with worker walk-around representation or worker interview</w:t>
            </w:r>
          </w:p>
        </w:tc>
        <w:tc>
          <w:tcPr>
            <w:tcW w:w="1260" w:type="dxa"/>
          </w:tcPr>
          <w:p w14:paraId="2C8C881A" w14:textId="4800B829"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1260" w:type="dxa"/>
          </w:tcPr>
          <w:p w14:paraId="73ED2032" w14:textId="3F12795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3627" w:type="dxa"/>
          </w:tcPr>
          <w:p w14:paraId="7BAD931F" w14:textId="3C4A991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fixed for all State Plans.</w:t>
            </w:r>
          </w:p>
        </w:tc>
      </w:tr>
      <w:tr w:rsidR="52EB84D0" w14:paraId="5429F8F6" w14:textId="77777777" w:rsidTr="00C22A26">
        <w:trPr>
          <w:trHeight w:val="300"/>
        </w:trPr>
        <w:tc>
          <w:tcPr>
            <w:tcW w:w="1070" w:type="dxa"/>
          </w:tcPr>
          <w:p w14:paraId="44F19751" w14:textId="2B72E81A"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14</w:t>
            </w:r>
          </w:p>
        </w:tc>
        <w:tc>
          <w:tcPr>
            <w:tcW w:w="1980" w:type="dxa"/>
          </w:tcPr>
          <w:p w14:paraId="13743076" w14:textId="6AEE8C3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11(c) investigations completed within 90 days</w:t>
            </w:r>
          </w:p>
        </w:tc>
        <w:tc>
          <w:tcPr>
            <w:tcW w:w="1260" w:type="dxa"/>
          </w:tcPr>
          <w:p w14:paraId="4A494F95" w14:textId="0D95456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1260" w:type="dxa"/>
          </w:tcPr>
          <w:p w14:paraId="776C99DD" w14:textId="77777777"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3627" w:type="dxa"/>
          </w:tcPr>
          <w:p w14:paraId="3582B9F4" w14:textId="26983BE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This measure is not being reported for FY 2024 due to the transition to the new SAMM measures starting in FY 2025.</w:t>
            </w:r>
          </w:p>
        </w:tc>
      </w:tr>
      <w:tr w:rsidR="52EB84D0" w14:paraId="69C55A2E" w14:textId="77777777" w:rsidTr="00C22A26">
        <w:trPr>
          <w:trHeight w:val="300"/>
        </w:trPr>
        <w:tc>
          <w:tcPr>
            <w:tcW w:w="1070" w:type="dxa"/>
          </w:tcPr>
          <w:p w14:paraId="37DA96AF" w14:textId="45394EF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15</w:t>
            </w:r>
          </w:p>
        </w:tc>
        <w:tc>
          <w:tcPr>
            <w:tcW w:w="1980" w:type="dxa"/>
          </w:tcPr>
          <w:p w14:paraId="1EF2C6E4" w14:textId="5AD7FF66"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11(c) complaints that are meritorious</w:t>
            </w:r>
          </w:p>
        </w:tc>
        <w:tc>
          <w:tcPr>
            <w:tcW w:w="1260" w:type="dxa"/>
          </w:tcPr>
          <w:p w14:paraId="142C616C" w14:textId="7D668DD1"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1260" w:type="dxa"/>
          </w:tcPr>
          <w:p w14:paraId="22F37378" w14:textId="67AF0C78"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3627" w:type="dxa"/>
          </w:tcPr>
          <w:p w14:paraId="49D7FF07" w14:textId="088DA14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This measure is not being reported for FY 2024 due to the transition to the new SAMM measures starting in FY 2025.</w:t>
            </w:r>
          </w:p>
        </w:tc>
      </w:tr>
      <w:tr w:rsidR="52EB84D0" w14:paraId="5748A2D5" w14:textId="77777777" w:rsidTr="00C22A26">
        <w:trPr>
          <w:trHeight w:val="300"/>
        </w:trPr>
        <w:tc>
          <w:tcPr>
            <w:tcW w:w="1070" w:type="dxa"/>
          </w:tcPr>
          <w:p w14:paraId="04A33D2E" w14:textId="40DBE97D"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16</w:t>
            </w:r>
          </w:p>
        </w:tc>
        <w:tc>
          <w:tcPr>
            <w:tcW w:w="1980" w:type="dxa"/>
          </w:tcPr>
          <w:p w14:paraId="354ECB51" w14:textId="7FAA5C7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Average number of calendar days to complete an 11(c) investigation</w:t>
            </w:r>
          </w:p>
        </w:tc>
        <w:tc>
          <w:tcPr>
            <w:tcW w:w="1260" w:type="dxa"/>
          </w:tcPr>
          <w:p w14:paraId="5598B7CE" w14:textId="2351C350"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1260" w:type="dxa"/>
          </w:tcPr>
          <w:p w14:paraId="1ECBF2CB" w14:textId="2C4AE37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N/A*</w:t>
            </w:r>
          </w:p>
        </w:tc>
        <w:tc>
          <w:tcPr>
            <w:tcW w:w="3627" w:type="dxa"/>
          </w:tcPr>
          <w:p w14:paraId="55066218" w14:textId="3A7CB834"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This measure is not being reported for FY 2024 due to the transition to the new SAMM measures starting in FY 2025.</w:t>
            </w:r>
          </w:p>
        </w:tc>
      </w:tr>
      <w:tr w:rsidR="52EB84D0" w14:paraId="4E4E31E1" w14:textId="77777777" w:rsidTr="00C22A26">
        <w:trPr>
          <w:trHeight w:val="300"/>
        </w:trPr>
        <w:tc>
          <w:tcPr>
            <w:tcW w:w="1070" w:type="dxa"/>
          </w:tcPr>
          <w:p w14:paraId="32FB8E6C" w14:textId="735E312F"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2"/>
                <w:szCs w:val="22"/>
              </w:rPr>
            </w:pPr>
            <w:r w:rsidRPr="002B7B0B">
              <w:rPr>
                <w:rFonts w:asciiTheme="minorHAnsi" w:eastAsia="Calibri" w:hAnsiTheme="minorHAnsi" w:cstheme="minorHAnsi"/>
                <w:b/>
                <w:bCs/>
                <w:sz w:val="22"/>
                <w:szCs w:val="22"/>
              </w:rPr>
              <w:t>17</w:t>
            </w:r>
          </w:p>
        </w:tc>
        <w:tc>
          <w:tcPr>
            <w:tcW w:w="1980" w:type="dxa"/>
          </w:tcPr>
          <w:p w14:paraId="09815B0B" w14:textId="3855189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Percent of enforcement presence</w:t>
            </w:r>
          </w:p>
        </w:tc>
        <w:tc>
          <w:tcPr>
            <w:tcW w:w="1260" w:type="dxa"/>
          </w:tcPr>
          <w:p w14:paraId="043647D1" w14:textId="6A7EBACE"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3.14%</w:t>
            </w:r>
          </w:p>
        </w:tc>
        <w:tc>
          <w:tcPr>
            <w:tcW w:w="1260" w:type="dxa"/>
          </w:tcPr>
          <w:p w14:paraId="56A179D3" w14:textId="01AFFFC3" w:rsidR="52EB84D0" w:rsidRPr="002B7B0B" w:rsidRDefault="52EB84D0" w:rsidP="7C1C37C4">
            <w:pPr>
              <w:rPr>
                <w:rFonts w:asciiTheme="minorHAnsi" w:eastAsia="Calibri" w:hAnsiTheme="minorHAnsi" w:cstheme="minorHAnsi"/>
                <w:sz w:val="22"/>
                <w:szCs w:val="22"/>
              </w:rPr>
            </w:pPr>
            <w:r w:rsidRPr="002B7B0B">
              <w:rPr>
                <w:rFonts w:asciiTheme="minorHAnsi" w:eastAsia="Calibri" w:hAnsiTheme="minorHAnsi" w:cstheme="minorHAnsi"/>
                <w:sz w:val="22"/>
                <w:szCs w:val="22"/>
              </w:rPr>
              <w:t>+/- 25% of</w:t>
            </w:r>
          </w:p>
          <w:p w14:paraId="3F943E86" w14:textId="10EFCBC5"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1.00%</w:t>
            </w:r>
          </w:p>
        </w:tc>
        <w:tc>
          <w:tcPr>
            <w:tcW w:w="3627" w:type="dxa"/>
          </w:tcPr>
          <w:p w14:paraId="21DFADA8" w14:textId="6864F773" w:rsidR="52EB84D0" w:rsidRPr="002B7B0B" w:rsidRDefault="52EB84D0" w:rsidP="7C1C37C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sz w:val="22"/>
                <w:szCs w:val="22"/>
              </w:rPr>
            </w:pPr>
            <w:r w:rsidRPr="002B7B0B">
              <w:rPr>
                <w:rFonts w:asciiTheme="minorHAnsi" w:eastAsia="Calibri" w:hAnsiTheme="minorHAnsi" w:cstheme="minorHAnsi"/>
                <w:sz w:val="22"/>
                <w:szCs w:val="22"/>
              </w:rPr>
              <w:t>The further review level is based on a three-year national average.  The range of acceptable data not requiring further review is from 0.75% to 1.25%.</w:t>
            </w:r>
          </w:p>
        </w:tc>
      </w:tr>
    </w:tbl>
    <w:p w14:paraId="0CAA7215" w14:textId="677C49E2" w:rsidR="000A134A" w:rsidRPr="001C1E47" w:rsidRDefault="2DABDE22" w:rsidP="7C1C37C4">
      <w:pPr>
        <w:widowControl/>
        <w:autoSpaceDE/>
        <w:autoSpaceDN/>
        <w:adjustRightInd/>
        <w:rPr>
          <w:rFonts w:eastAsia="Calibri" w:cs="Calibri"/>
          <w:b/>
          <w:bCs/>
          <w:sz w:val="28"/>
          <w:szCs w:val="28"/>
        </w:rPr>
      </w:pPr>
      <w:r w:rsidRPr="7C1C37C4">
        <w:rPr>
          <w:rFonts w:eastAsia="Calibri" w:cs="Calibri"/>
          <w:b/>
          <w:bCs/>
          <w:sz w:val="28"/>
          <w:szCs w:val="28"/>
        </w:rPr>
        <w:t xml:space="preserve"> </w:t>
      </w:r>
    </w:p>
    <w:p w14:paraId="3DF99A1D" w14:textId="3D62BB1B" w:rsidR="000A134A" w:rsidRPr="00DC6EE9" w:rsidRDefault="2DABDE22" w:rsidP="00DC6EE9">
      <w:pPr>
        <w:widowControl/>
        <w:autoSpaceDE/>
        <w:autoSpaceDN/>
        <w:adjustRightInd/>
        <w:spacing w:line="257" w:lineRule="auto"/>
        <w:rPr>
          <w:rFonts w:eastAsia="Calibri" w:cs="Calibri"/>
        </w:rPr>
      </w:pPr>
      <w:r w:rsidRPr="00DC6EE9">
        <w:rPr>
          <w:rFonts w:eastAsia="Calibri" w:cs="Calibri"/>
        </w:rPr>
        <w:t xml:space="preserve">NOTE:  The national averages in this report are three-year rolling averages.  Unless otherwise noted, the data contained in this Appendix D is pulled from the SAMM Report in OIS and the State Plan </w:t>
      </w:r>
      <w:proofErr w:type="spellStart"/>
      <w:r w:rsidRPr="00DC6EE9">
        <w:rPr>
          <w:rFonts w:eastAsia="Calibri" w:cs="Calibri"/>
        </w:rPr>
        <w:t>WebIMIS</w:t>
      </w:r>
      <w:proofErr w:type="spellEnd"/>
      <w:r w:rsidRPr="00DC6EE9">
        <w:rPr>
          <w:rFonts w:eastAsia="Calibri" w:cs="Calibri"/>
        </w:rPr>
        <w:t xml:space="preserve"> report run on November 12, 2024, as part of OSHA’s official end-of-year data run.</w:t>
      </w:r>
    </w:p>
    <w:p w14:paraId="6B013DB8" w14:textId="460607D0" w:rsidR="000A134A" w:rsidRPr="001C1E47" w:rsidRDefault="000A134A" w:rsidP="12955166">
      <w:pPr>
        <w:widowControl/>
        <w:autoSpaceDE/>
        <w:autoSpaceDN/>
        <w:adjustRightInd/>
      </w:pPr>
    </w:p>
    <w:p w14:paraId="2E2B2FC7" w14:textId="77777777" w:rsidR="00DC6EE9" w:rsidRDefault="00DC6EE9" w:rsidP="00DC6EE9">
      <w:pPr>
        <w:rPr>
          <w:rFonts w:cstheme="minorHAnsi"/>
        </w:rPr>
      </w:pPr>
      <w:r>
        <w:rPr>
          <w:rFonts w:cstheme="minorHAnsi"/>
        </w:rPr>
        <w:t xml:space="preserve">*Due to the transition of 11(c) data from IMIS to OIS, SAMMs 14, 15, and 16 are not being reported for FY 2024. </w:t>
      </w:r>
    </w:p>
    <w:p w14:paraId="2773A41C" w14:textId="67F38FC0" w:rsidR="00D744C7" w:rsidRPr="001C1E47" w:rsidRDefault="00D744C7" w:rsidP="12955166">
      <w:pPr>
        <w:widowControl/>
        <w:rPr>
          <w:rFonts w:cs="Calibri"/>
          <w:b/>
          <w:bCs/>
          <w:color w:val="1F497D"/>
          <w:sz w:val="28"/>
          <w:szCs w:val="28"/>
        </w:rPr>
      </w:pPr>
    </w:p>
    <w:sectPr w:rsidR="00D744C7" w:rsidRPr="001C1E47" w:rsidSect="001D10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2C8C" w14:textId="77777777" w:rsidR="00275F5F" w:rsidRDefault="00275F5F" w:rsidP="00C872A0">
      <w:r>
        <w:separator/>
      </w:r>
    </w:p>
  </w:endnote>
  <w:endnote w:type="continuationSeparator" w:id="0">
    <w:p w14:paraId="5C161168" w14:textId="77777777" w:rsidR="00275F5F" w:rsidRDefault="00275F5F" w:rsidP="00C872A0">
      <w:r>
        <w:continuationSeparator/>
      </w:r>
    </w:p>
  </w:endnote>
  <w:endnote w:type="continuationNotice" w:id="1">
    <w:p w14:paraId="78A19A14" w14:textId="77777777" w:rsidR="00275F5F" w:rsidRDefault="00275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0DE4" w14:textId="6F582F8A" w:rsidR="00172A54" w:rsidRDefault="00010121">
    <w:pPr>
      <w:pStyle w:val="Footer"/>
    </w:pPr>
    <w:r>
      <w:rPr>
        <w:noProof/>
      </w:rPr>
      <mc:AlternateContent>
        <mc:Choice Requires="wps">
          <w:drawing>
            <wp:anchor distT="0" distB="0" distL="0" distR="0" simplePos="0" relativeHeight="251656192" behindDoc="0" locked="0" layoutInCell="1" allowOverlap="1" wp14:anchorId="2524BB0B" wp14:editId="7B30177F">
              <wp:simplePos x="635" y="635"/>
              <wp:positionH relativeFrom="page">
                <wp:align>center</wp:align>
              </wp:positionH>
              <wp:positionV relativeFrom="page">
                <wp:align>bottom</wp:align>
              </wp:positionV>
              <wp:extent cx="979805" cy="345440"/>
              <wp:effectExtent l="0" t="0" r="10795" b="0"/>
              <wp:wrapNone/>
              <wp:docPr id="1243031354"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020E4B24" w14:textId="7965651D"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4BB0B" id="_x0000_t202" coordsize="21600,21600" o:spt="202" path="m,l,21600r21600,l21600,xe">
              <v:stroke joinstyle="miter"/>
              <v:path gradientshapeok="t" o:connecttype="rect"/>
            </v:shapetype>
            <v:shape id="Text Box 2" o:spid="_x0000_s1026" type="#_x0000_t202" alt="Level 3 - Restricted" style="position:absolute;margin-left:0;margin-top:0;width:77.15pt;height:27.2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" filled="f" stroked="f">
              <v:textbox style="mso-fit-shape-to-text:t" inset="0,0,0,15pt">
                <w:txbxContent>
                  <w:p w14:paraId="020E4B24" w14:textId="7965651D"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D498" w14:textId="028FDE3D" w:rsidR="001D10D8" w:rsidRDefault="00A56CEC">
    <w:pPr>
      <w:pStyle w:val="Footer"/>
      <w:jc w:val="right"/>
    </w:pPr>
    <w:sdt>
      <w:sdtPr>
        <w:id w:val="1254171645"/>
        <w:docPartObj>
          <w:docPartGallery w:val="Page Numbers (Bottom of Page)"/>
          <w:docPartUnique/>
        </w:docPartObj>
      </w:sdtPr>
      <w:sdtEndPr>
        <w:rPr>
          <w:noProof/>
        </w:rPr>
      </w:sdtEndPr>
      <w:sdtContent>
        <w:r w:rsidR="001D10D8">
          <w:fldChar w:fldCharType="begin"/>
        </w:r>
        <w:r w:rsidR="001D10D8">
          <w:instrText xml:space="preserve"> PAGE   \* MERGEFORMAT </w:instrText>
        </w:r>
        <w:r w:rsidR="001D10D8">
          <w:fldChar w:fldCharType="separate"/>
        </w:r>
        <w:r w:rsidR="001D10D8">
          <w:rPr>
            <w:noProof/>
          </w:rPr>
          <w:t>2</w:t>
        </w:r>
        <w:r w:rsidR="001D10D8">
          <w:rPr>
            <w:noProof/>
          </w:rPr>
          <w:fldChar w:fldCharType="end"/>
        </w:r>
      </w:sdtContent>
    </w:sdt>
  </w:p>
  <w:p w14:paraId="657BC664" w14:textId="77777777" w:rsidR="00367F8A" w:rsidRDefault="00367F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2FCA" w14:textId="036CDE11" w:rsidR="00367F8A" w:rsidRDefault="00367F8A">
    <w:pPr>
      <w:pStyle w:val="Footer"/>
      <w:jc w:val="center"/>
    </w:pPr>
  </w:p>
  <w:p w14:paraId="28F14F4C" w14:textId="77777777" w:rsidR="00367F8A" w:rsidRDefault="00367F8A"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6273" w14:textId="5DFA1950" w:rsidR="00010121" w:rsidRDefault="00010121">
    <w:pPr>
      <w:pStyle w:val="Footer"/>
    </w:pPr>
    <w:r>
      <w:rPr>
        <w:noProof/>
      </w:rPr>
      <mc:AlternateContent>
        <mc:Choice Requires="wps">
          <w:drawing>
            <wp:anchor distT="0" distB="0" distL="0" distR="0" simplePos="0" relativeHeight="251658240" behindDoc="0" locked="0" layoutInCell="1" allowOverlap="1" wp14:anchorId="5EA9EC0D" wp14:editId="5BC80692">
              <wp:simplePos x="635" y="635"/>
              <wp:positionH relativeFrom="page">
                <wp:align>center</wp:align>
              </wp:positionH>
              <wp:positionV relativeFrom="page">
                <wp:align>bottom</wp:align>
              </wp:positionV>
              <wp:extent cx="979805" cy="345440"/>
              <wp:effectExtent l="0" t="0" r="10795" b="0"/>
              <wp:wrapNone/>
              <wp:docPr id="1625155552" name="Text Box 5"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39C8EF85" w14:textId="6C99862C"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9EC0D" id="_x0000_t202" coordsize="21600,21600" o:spt="202" path="m,l,21600r21600,l21600,xe">
              <v:stroke joinstyle="miter"/>
              <v:path gradientshapeok="t" o:connecttype="rect"/>
            </v:shapetype>
            <v:shape id="Text Box 5" o:spid="_x0000_s1027" type="#_x0000_t202" alt="Level 3 - Restricted" style="position:absolute;margin-left:0;margin-top:0;width:77.15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" filled="f" stroked="f">
              <v:textbox style="mso-fit-shape-to-text:t" inset="0,0,0,15pt">
                <w:txbxContent>
                  <w:p w14:paraId="39C8EF85" w14:textId="6C99862C"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774C" w14:textId="42C1E8F8" w:rsidR="001D10D8" w:rsidRDefault="00A56CEC">
    <w:pPr>
      <w:pStyle w:val="Footer"/>
      <w:jc w:val="right"/>
    </w:pPr>
    <w:sdt>
      <w:sdtPr>
        <w:id w:val="1741905992"/>
        <w:docPartObj>
          <w:docPartGallery w:val="Page Numbers (Bottom of Page)"/>
          <w:docPartUnique/>
        </w:docPartObj>
      </w:sdtPr>
      <w:sdtEndPr>
        <w:rPr>
          <w:noProof/>
        </w:rPr>
      </w:sdtEndPr>
      <w:sdtContent>
        <w:r w:rsidR="001D10D8">
          <w:fldChar w:fldCharType="begin"/>
        </w:r>
        <w:r w:rsidR="001D10D8">
          <w:instrText xml:space="preserve"> PAGE   \* MERGEFORMAT </w:instrText>
        </w:r>
        <w:r w:rsidR="001D10D8">
          <w:fldChar w:fldCharType="separate"/>
        </w:r>
        <w:r w:rsidR="001D10D8">
          <w:rPr>
            <w:noProof/>
          </w:rPr>
          <w:t>2</w:t>
        </w:r>
        <w:r w:rsidR="001D10D8">
          <w:rPr>
            <w:noProof/>
          </w:rPr>
          <w:fldChar w:fldCharType="end"/>
        </w:r>
      </w:sdtContent>
    </w:sdt>
  </w:p>
  <w:p w14:paraId="41A24198" w14:textId="77777777" w:rsidR="001D10D8" w:rsidRDefault="001D10D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FF07" w14:textId="73794442" w:rsidR="00010121" w:rsidRDefault="00010121">
    <w:pPr>
      <w:pStyle w:val="Footer"/>
    </w:pPr>
    <w:r>
      <w:rPr>
        <w:noProof/>
      </w:rPr>
      <mc:AlternateContent>
        <mc:Choice Requires="wps">
          <w:drawing>
            <wp:anchor distT="0" distB="0" distL="0" distR="0" simplePos="0" relativeHeight="251657216" behindDoc="0" locked="0" layoutInCell="1" allowOverlap="1" wp14:anchorId="0E3C8E11" wp14:editId="4FC61048">
              <wp:simplePos x="635" y="635"/>
              <wp:positionH relativeFrom="page">
                <wp:align>center</wp:align>
              </wp:positionH>
              <wp:positionV relativeFrom="page">
                <wp:align>bottom</wp:align>
              </wp:positionV>
              <wp:extent cx="979805" cy="345440"/>
              <wp:effectExtent l="0" t="0" r="10795" b="0"/>
              <wp:wrapNone/>
              <wp:docPr id="1841973123" name="Text Box 4"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9805" cy="345440"/>
                      </a:xfrm>
                      <a:prstGeom prst="rect">
                        <a:avLst/>
                      </a:prstGeom>
                      <a:noFill/>
                      <a:ln>
                        <a:noFill/>
                      </a:ln>
                    </wps:spPr>
                    <wps:txbx>
                      <w:txbxContent>
                        <w:p w14:paraId="4CEBD920" w14:textId="0EF57B71"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C8E11" id="_x0000_t202" coordsize="21600,21600" o:spt="202" path="m,l,21600r21600,l21600,xe">
              <v:stroke joinstyle="miter"/>
              <v:path gradientshapeok="t" o:connecttype="rect"/>
            </v:shapetype>
            <v:shape id="Text Box 4" o:spid="_x0000_s1028" type="#_x0000_t202" alt="Level 3 - Restricted" style="position:absolute;margin-left:0;margin-top:0;width:77.15pt;height:27.2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" filled="f" stroked="f">
              <v:textbox style="mso-fit-shape-to-text:t" inset="0,0,0,15pt">
                <w:txbxContent>
                  <w:p w14:paraId="4CEBD920" w14:textId="0EF57B71" w:rsidR="00010121" w:rsidRPr="00010121" w:rsidRDefault="00010121" w:rsidP="00010121">
                    <w:pPr>
                      <w:rPr>
                        <w:rFonts w:eastAsia="Calibri" w:cs="Calibri"/>
                        <w:noProof/>
                        <w:color w:val="000000"/>
                        <w:sz w:val="20"/>
                        <w:szCs w:val="20"/>
                      </w:rPr>
                    </w:pPr>
                    <w:r w:rsidRPr="00010121">
                      <w:rPr>
                        <w:rFonts w:eastAsia="Calibri"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C500" w14:textId="77777777" w:rsidR="00275F5F" w:rsidRDefault="00275F5F" w:rsidP="00C872A0">
      <w:r>
        <w:separator/>
      </w:r>
    </w:p>
  </w:footnote>
  <w:footnote w:type="continuationSeparator" w:id="0">
    <w:p w14:paraId="24FB622B" w14:textId="77777777" w:rsidR="00275F5F" w:rsidRDefault="00275F5F" w:rsidP="00C872A0">
      <w:r>
        <w:continuationSeparator/>
      </w:r>
    </w:p>
  </w:footnote>
  <w:footnote w:type="continuationNotice" w:id="1">
    <w:p w14:paraId="0B87025B" w14:textId="77777777" w:rsidR="00275F5F" w:rsidRDefault="00275F5F"/>
  </w:footnote>
  <w:footnote w:id="2">
    <w:p w14:paraId="075036A6" w14:textId="1B1CFA43" w:rsidR="00701A75" w:rsidRDefault="00701A75">
      <w:pPr>
        <w:pStyle w:val="FootnoteText"/>
      </w:pPr>
      <w:r>
        <w:rPr>
          <w:rStyle w:val="FootnoteReference"/>
        </w:rPr>
        <w:footnoteRef/>
      </w:r>
      <w:r>
        <w:t xml:space="preserve"> </w:t>
      </w:r>
      <w:r w:rsidR="0043048F" w:rsidRPr="0043048F">
        <w:t>Source: Oregon Department of Consumer and Business Services, Central Services Division - May 2023</w:t>
      </w:r>
      <w:r w:rsidR="0043048F">
        <w:t>, provided in the FY 2024 grant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65D1" w14:textId="77777777" w:rsidR="0022052E" w:rsidRDefault="00220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3B11" w14:textId="77777777" w:rsidR="0022052E" w:rsidRDefault="00220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C6F0" w14:textId="7B586992" w:rsidR="00172A54" w:rsidRDefault="00172A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8E34" w14:textId="77777777" w:rsidR="00367F8A" w:rsidRPr="000767C0" w:rsidRDefault="00367F8A"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9D42DAC"/>
    <w:multiLevelType w:val="hybridMultilevel"/>
    <w:tmpl w:val="95C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037AC870"/>
    <w:lvl w:ilvl="0" w:tplc="1878278A">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D0512E1"/>
    <w:multiLevelType w:val="hybridMultilevel"/>
    <w:tmpl w:val="E15E604E"/>
    <w:lvl w:ilvl="0" w:tplc="203C268A">
      <w:start w:val="1"/>
      <w:numFmt w:val="bullet"/>
      <w:lvlText w:val="·"/>
      <w:lvlJc w:val="left"/>
      <w:pPr>
        <w:ind w:left="720" w:hanging="360"/>
      </w:pPr>
      <w:rPr>
        <w:rFonts w:ascii="Symbol" w:hAnsi="Symbol" w:hint="default"/>
      </w:rPr>
    </w:lvl>
    <w:lvl w:ilvl="1" w:tplc="F850D7C4">
      <w:start w:val="1"/>
      <w:numFmt w:val="bullet"/>
      <w:lvlText w:val="o"/>
      <w:lvlJc w:val="left"/>
      <w:pPr>
        <w:ind w:left="1440" w:hanging="360"/>
      </w:pPr>
      <w:rPr>
        <w:rFonts w:ascii="Courier New" w:hAnsi="Courier New" w:hint="default"/>
      </w:rPr>
    </w:lvl>
    <w:lvl w:ilvl="2" w:tplc="383CD43A">
      <w:start w:val="1"/>
      <w:numFmt w:val="bullet"/>
      <w:lvlText w:val=""/>
      <w:lvlJc w:val="left"/>
      <w:pPr>
        <w:ind w:left="2160" w:hanging="360"/>
      </w:pPr>
      <w:rPr>
        <w:rFonts w:ascii="Wingdings" w:hAnsi="Wingdings" w:hint="default"/>
      </w:rPr>
    </w:lvl>
    <w:lvl w:ilvl="3" w:tplc="5614955E">
      <w:start w:val="1"/>
      <w:numFmt w:val="bullet"/>
      <w:lvlText w:val=""/>
      <w:lvlJc w:val="left"/>
      <w:pPr>
        <w:ind w:left="2880" w:hanging="360"/>
      </w:pPr>
      <w:rPr>
        <w:rFonts w:ascii="Symbol" w:hAnsi="Symbol" w:hint="default"/>
      </w:rPr>
    </w:lvl>
    <w:lvl w:ilvl="4" w:tplc="DCB6F420">
      <w:start w:val="1"/>
      <w:numFmt w:val="bullet"/>
      <w:lvlText w:val="o"/>
      <w:lvlJc w:val="left"/>
      <w:pPr>
        <w:ind w:left="3600" w:hanging="360"/>
      </w:pPr>
      <w:rPr>
        <w:rFonts w:ascii="Courier New" w:hAnsi="Courier New" w:hint="default"/>
      </w:rPr>
    </w:lvl>
    <w:lvl w:ilvl="5" w:tplc="1DD02716">
      <w:start w:val="1"/>
      <w:numFmt w:val="bullet"/>
      <w:lvlText w:val=""/>
      <w:lvlJc w:val="left"/>
      <w:pPr>
        <w:ind w:left="4320" w:hanging="360"/>
      </w:pPr>
      <w:rPr>
        <w:rFonts w:ascii="Wingdings" w:hAnsi="Wingdings" w:hint="default"/>
      </w:rPr>
    </w:lvl>
    <w:lvl w:ilvl="6" w:tplc="D1E82F42">
      <w:start w:val="1"/>
      <w:numFmt w:val="bullet"/>
      <w:lvlText w:val=""/>
      <w:lvlJc w:val="left"/>
      <w:pPr>
        <w:ind w:left="5040" w:hanging="360"/>
      </w:pPr>
      <w:rPr>
        <w:rFonts w:ascii="Symbol" w:hAnsi="Symbol" w:hint="default"/>
      </w:rPr>
    </w:lvl>
    <w:lvl w:ilvl="7" w:tplc="65282E14">
      <w:start w:val="1"/>
      <w:numFmt w:val="bullet"/>
      <w:lvlText w:val="o"/>
      <w:lvlJc w:val="left"/>
      <w:pPr>
        <w:ind w:left="5760" w:hanging="360"/>
      </w:pPr>
      <w:rPr>
        <w:rFonts w:ascii="Courier New" w:hAnsi="Courier New" w:hint="default"/>
      </w:rPr>
    </w:lvl>
    <w:lvl w:ilvl="8" w:tplc="44A4C68E">
      <w:start w:val="1"/>
      <w:numFmt w:val="bullet"/>
      <w:lvlText w:val=""/>
      <w:lvlJc w:val="left"/>
      <w:pPr>
        <w:ind w:left="6480" w:hanging="360"/>
      </w:pPr>
      <w:rPr>
        <w:rFonts w:ascii="Wingdings" w:hAnsi="Wingdings" w:hint="default"/>
      </w:rPr>
    </w:lvl>
  </w:abstractNum>
  <w:abstractNum w:abstractNumId="31"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F6F41E6"/>
    <w:multiLevelType w:val="hybridMultilevel"/>
    <w:tmpl w:val="DA36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02548287">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92735098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55849919">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074574374">
    <w:abstractNumId w:val="32"/>
  </w:num>
  <w:num w:numId="5" w16cid:durableId="2139494189">
    <w:abstractNumId w:val="29"/>
  </w:num>
  <w:num w:numId="6" w16cid:durableId="1985506767">
    <w:abstractNumId w:val="26"/>
  </w:num>
  <w:num w:numId="7" w16cid:durableId="187261808">
    <w:abstractNumId w:val="27"/>
  </w:num>
  <w:num w:numId="8" w16cid:durableId="606349340">
    <w:abstractNumId w:val="31"/>
  </w:num>
  <w:num w:numId="9" w16cid:durableId="21056204">
    <w:abstractNumId w:val="28"/>
  </w:num>
  <w:num w:numId="10" w16cid:durableId="484324447">
    <w:abstractNumId w:val="34"/>
  </w:num>
  <w:num w:numId="11" w16cid:durableId="1571190578">
    <w:abstractNumId w:val="24"/>
  </w:num>
  <w:num w:numId="12" w16cid:durableId="1877541929">
    <w:abstractNumId w:val="25"/>
  </w:num>
  <w:num w:numId="13" w16cid:durableId="1145007598">
    <w:abstractNumId w:val="28"/>
    <w:lvlOverride w:ilvl="0">
      <w:startOverride w:val="1"/>
    </w:lvlOverride>
  </w:num>
  <w:num w:numId="14" w16cid:durableId="247465213">
    <w:abstractNumId w:val="30"/>
  </w:num>
  <w:num w:numId="15" w16cid:durableId="171339266">
    <w:abstractNumId w:val="23"/>
  </w:num>
  <w:num w:numId="16" w16cid:durableId="134154711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US"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872"/>
    <w:rsid w:val="0000087D"/>
    <w:rsid w:val="000011DF"/>
    <w:rsid w:val="0000201A"/>
    <w:rsid w:val="00002B73"/>
    <w:rsid w:val="00003412"/>
    <w:rsid w:val="000036AB"/>
    <w:rsid w:val="00003E94"/>
    <w:rsid w:val="00004200"/>
    <w:rsid w:val="000061D0"/>
    <w:rsid w:val="00006203"/>
    <w:rsid w:val="00006266"/>
    <w:rsid w:val="0000770F"/>
    <w:rsid w:val="00007781"/>
    <w:rsid w:val="0000799D"/>
    <w:rsid w:val="00007BF7"/>
    <w:rsid w:val="00010121"/>
    <w:rsid w:val="000116C0"/>
    <w:rsid w:val="00011CB9"/>
    <w:rsid w:val="00012D2E"/>
    <w:rsid w:val="00013950"/>
    <w:rsid w:val="00013C5C"/>
    <w:rsid w:val="00013D0F"/>
    <w:rsid w:val="00014C7A"/>
    <w:rsid w:val="00016214"/>
    <w:rsid w:val="00016803"/>
    <w:rsid w:val="0001706D"/>
    <w:rsid w:val="00017143"/>
    <w:rsid w:val="00017349"/>
    <w:rsid w:val="00020CC5"/>
    <w:rsid w:val="00021274"/>
    <w:rsid w:val="000217D1"/>
    <w:rsid w:val="00021FE0"/>
    <w:rsid w:val="000223CA"/>
    <w:rsid w:val="00022BEE"/>
    <w:rsid w:val="00023E67"/>
    <w:rsid w:val="00024252"/>
    <w:rsid w:val="000248F0"/>
    <w:rsid w:val="00024E69"/>
    <w:rsid w:val="00025161"/>
    <w:rsid w:val="0002572C"/>
    <w:rsid w:val="00025F57"/>
    <w:rsid w:val="00026D63"/>
    <w:rsid w:val="00027093"/>
    <w:rsid w:val="000273A4"/>
    <w:rsid w:val="00030022"/>
    <w:rsid w:val="000305DB"/>
    <w:rsid w:val="00031029"/>
    <w:rsid w:val="0003131F"/>
    <w:rsid w:val="00032551"/>
    <w:rsid w:val="00033385"/>
    <w:rsid w:val="0003377E"/>
    <w:rsid w:val="0003442F"/>
    <w:rsid w:val="00034A4E"/>
    <w:rsid w:val="00035083"/>
    <w:rsid w:val="0003567C"/>
    <w:rsid w:val="00036865"/>
    <w:rsid w:val="00036A6F"/>
    <w:rsid w:val="00036BF8"/>
    <w:rsid w:val="00036EB4"/>
    <w:rsid w:val="00036F0D"/>
    <w:rsid w:val="000379B2"/>
    <w:rsid w:val="00037F12"/>
    <w:rsid w:val="00037F48"/>
    <w:rsid w:val="00037FE4"/>
    <w:rsid w:val="00040430"/>
    <w:rsid w:val="000404ED"/>
    <w:rsid w:val="00040631"/>
    <w:rsid w:val="00042327"/>
    <w:rsid w:val="0004244B"/>
    <w:rsid w:val="00042F2A"/>
    <w:rsid w:val="0004319F"/>
    <w:rsid w:val="00043515"/>
    <w:rsid w:val="00043ECB"/>
    <w:rsid w:val="00044436"/>
    <w:rsid w:val="000447C9"/>
    <w:rsid w:val="000449F8"/>
    <w:rsid w:val="00045479"/>
    <w:rsid w:val="000454DE"/>
    <w:rsid w:val="000458E7"/>
    <w:rsid w:val="00045B43"/>
    <w:rsid w:val="00045BD6"/>
    <w:rsid w:val="00045C51"/>
    <w:rsid w:val="00045F2E"/>
    <w:rsid w:val="00046151"/>
    <w:rsid w:val="000468C6"/>
    <w:rsid w:val="00046BEE"/>
    <w:rsid w:val="00046E13"/>
    <w:rsid w:val="000470EE"/>
    <w:rsid w:val="0005007B"/>
    <w:rsid w:val="0005055A"/>
    <w:rsid w:val="00050FEB"/>
    <w:rsid w:val="00051150"/>
    <w:rsid w:val="000517FA"/>
    <w:rsid w:val="00051E3A"/>
    <w:rsid w:val="00052B36"/>
    <w:rsid w:val="00053A2C"/>
    <w:rsid w:val="00053E4F"/>
    <w:rsid w:val="00054416"/>
    <w:rsid w:val="00054900"/>
    <w:rsid w:val="00054B85"/>
    <w:rsid w:val="00055243"/>
    <w:rsid w:val="00055B40"/>
    <w:rsid w:val="00055F2C"/>
    <w:rsid w:val="000560A7"/>
    <w:rsid w:val="00056C0B"/>
    <w:rsid w:val="00057840"/>
    <w:rsid w:val="00057B26"/>
    <w:rsid w:val="00060BC4"/>
    <w:rsid w:val="00060D39"/>
    <w:rsid w:val="00061331"/>
    <w:rsid w:val="00061875"/>
    <w:rsid w:val="00062027"/>
    <w:rsid w:val="000622F2"/>
    <w:rsid w:val="000625A3"/>
    <w:rsid w:val="000625FB"/>
    <w:rsid w:val="0006398D"/>
    <w:rsid w:val="00065AB2"/>
    <w:rsid w:val="0006611A"/>
    <w:rsid w:val="0006621A"/>
    <w:rsid w:val="000669AC"/>
    <w:rsid w:val="00066A7B"/>
    <w:rsid w:val="00066C52"/>
    <w:rsid w:val="000701E4"/>
    <w:rsid w:val="0007073F"/>
    <w:rsid w:val="00071289"/>
    <w:rsid w:val="0007157F"/>
    <w:rsid w:val="00071BD8"/>
    <w:rsid w:val="00071E71"/>
    <w:rsid w:val="000724F1"/>
    <w:rsid w:val="00072C6C"/>
    <w:rsid w:val="0007306B"/>
    <w:rsid w:val="000743D1"/>
    <w:rsid w:val="00074876"/>
    <w:rsid w:val="0007557A"/>
    <w:rsid w:val="000756B9"/>
    <w:rsid w:val="000757BE"/>
    <w:rsid w:val="00075818"/>
    <w:rsid w:val="00075DB6"/>
    <w:rsid w:val="000760CB"/>
    <w:rsid w:val="00076601"/>
    <w:rsid w:val="000767C0"/>
    <w:rsid w:val="00077410"/>
    <w:rsid w:val="00080F07"/>
    <w:rsid w:val="00083A76"/>
    <w:rsid w:val="00083C00"/>
    <w:rsid w:val="00083F2B"/>
    <w:rsid w:val="00084092"/>
    <w:rsid w:val="00084A9B"/>
    <w:rsid w:val="00085230"/>
    <w:rsid w:val="0008656B"/>
    <w:rsid w:val="00086B92"/>
    <w:rsid w:val="00086F2F"/>
    <w:rsid w:val="0008759E"/>
    <w:rsid w:val="00087A38"/>
    <w:rsid w:val="00087E2F"/>
    <w:rsid w:val="00087EE9"/>
    <w:rsid w:val="00090155"/>
    <w:rsid w:val="000902ED"/>
    <w:rsid w:val="00090B4C"/>
    <w:rsid w:val="00090C1B"/>
    <w:rsid w:val="0009134A"/>
    <w:rsid w:val="00091ABD"/>
    <w:rsid w:val="00091AE2"/>
    <w:rsid w:val="00091B54"/>
    <w:rsid w:val="000923E0"/>
    <w:rsid w:val="00092555"/>
    <w:rsid w:val="000929B5"/>
    <w:rsid w:val="00092F1B"/>
    <w:rsid w:val="00093239"/>
    <w:rsid w:val="000936D2"/>
    <w:rsid w:val="00093930"/>
    <w:rsid w:val="00094663"/>
    <w:rsid w:val="0009535D"/>
    <w:rsid w:val="0009583F"/>
    <w:rsid w:val="00095DD6"/>
    <w:rsid w:val="000969E2"/>
    <w:rsid w:val="00097A99"/>
    <w:rsid w:val="00097F87"/>
    <w:rsid w:val="000A068A"/>
    <w:rsid w:val="000A134A"/>
    <w:rsid w:val="000A1CE9"/>
    <w:rsid w:val="000A2DE7"/>
    <w:rsid w:val="000A3878"/>
    <w:rsid w:val="000A40EC"/>
    <w:rsid w:val="000A55DB"/>
    <w:rsid w:val="000A658C"/>
    <w:rsid w:val="000A668E"/>
    <w:rsid w:val="000A66B3"/>
    <w:rsid w:val="000A6842"/>
    <w:rsid w:val="000A7279"/>
    <w:rsid w:val="000A7A05"/>
    <w:rsid w:val="000B07D7"/>
    <w:rsid w:val="000B0917"/>
    <w:rsid w:val="000B18E3"/>
    <w:rsid w:val="000B1A5B"/>
    <w:rsid w:val="000B1ECC"/>
    <w:rsid w:val="000B22E4"/>
    <w:rsid w:val="000B3A37"/>
    <w:rsid w:val="000B3EF0"/>
    <w:rsid w:val="000B440B"/>
    <w:rsid w:val="000B4852"/>
    <w:rsid w:val="000B4963"/>
    <w:rsid w:val="000B57FC"/>
    <w:rsid w:val="000B6A8A"/>
    <w:rsid w:val="000B772B"/>
    <w:rsid w:val="000C01CF"/>
    <w:rsid w:val="000C04C6"/>
    <w:rsid w:val="000C0DC5"/>
    <w:rsid w:val="000C0E15"/>
    <w:rsid w:val="000C12C6"/>
    <w:rsid w:val="000C1882"/>
    <w:rsid w:val="000C1ED8"/>
    <w:rsid w:val="000C295F"/>
    <w:rsid w:val="000C2E74"/>
    <w:rsid w:val="000C368E"/>
    <w:rsid w:val="000C36EF"/>
    <w:rsid w:val="000C38BD"/>
    <w:rsid w:val="000C4141"/>
    <w:rsid w:val="000C43DE"/>
    <w:rsid w:val="000C46E4"/>
    <w:rsid w:val="000C550D"/>
    <w:rsid w:val="000C5C82"/>
    <w:rsid w:val="000C79CD"/>
    <w:rsid w:val="000C7C9A"/>
    <w:rsid w:val="000D072E"/>
    <w:rsid w:val="000D1D37"/>
    <w:rsid w:val="000D1F12"/>
    <w:rsid w:val="000D26CF"/>
    <w:rsid w:val="000D2CC8"/>
    <w:rsid w:val="000D343F"/>
    <w:rsid w:val="000D3E9C"/>
    <w:rsid w:val="000D4560"/>
    <w:rsid w:val="000D4A64"/>
    <w:rsid w:val="000D4AD5"/>
    <w:rsid w:val="000D4F1E"/>
    <w:rsid w:val="000D6CE4"/>
    <w:rsid w:val="000D750A"/>
    <w:rsid w:val="000D7AAD"/>
    <w:rsid w:val="000D7D3F"/>
    <w:rsid w:val="000E0408"/>
    <w:rsid w:val="000E07E7"/>
    <w:rsid w:val="000E0DD1"/>
    <w:rsid w:val="000E106E"/>
    <w:rsid w:val="000E1254"/>
    <w:rsid w:val="000E1346"/>
    <w:rsid w:val="000E1AA2"/>
    <w:rsid w:val="000E20A2"/>
    <w:rsid w:val="000E20A3"/>
    <w:rsid w:val="000E2FEF"/>
    <w:rsid w:val="000E46F3"/>
    <w:rsid w:val="000E522D"/>
    <w:rsid w:val="000E5C64"/>
    <w:rsid w:val="000E602D"/>
    <w:rsid w:val="000E6466"/>
    <w:rsid w:val="000E65E1"/>
    <w:rsid w:val="000E66D6"/>
    <w:rsid w:val="000E7F42"/>
    <w:rsid w:val="000F0106"/>
    <w:rsid w:val="000F07C7"/>
    <w:rsid w:val="000F0A06"/>
    <w:rsid w:val="000F1D68"/>
    <w:rsid w:val="000F1E49"/>
    <w:rsid w:val="000F2785"/>
    <w:rsid w:val="000F30AE"/>
    <w:rsid w:val="000F337D"/>
    <w:rsid w:val="000F414D"/>
    <w:rsid w:val="000F46ED"/>
    <w:rsid w:val="000F4C55"/>
    <w:rsid w:val="000F4DA3"/>
    <w:rsid w:val="000F5631"/>
    <w:rsid w:val="000F5A36"/>
    <w:rsid w:val="000F5AD6"/>
    <w:rsid w:val="000F5DC3"/>
    <w:rsid w:val="000F60A1"/>
    <w:rsid w:val="000F63C1"/>
    <w:rsid w:val="000F6720"/>
    <w:rsid w:val="000F6A5C"/>
    <w:rsid w:val="000F700C"/>
    <w:rsid w:val="000F7574"/>
    <w:rsid w:val="000F7766"/>
    <w:rsid w:val="000F7ECC"/>
    <w:rsid w:val="0010296A"/>
    <w:rsid w:val="0010365F"/>
    <w:rsid w:val="001039FA"/>
    <w:rsid w:val="00103E4B"/>
    <w:rsid w:val="001041B4"/>
    <w:rsid w:val="00104A5C"/>
    <w:rsid w:val="00105142"/>
    <w:rsid w:val="001051DA"/>
    <w:rsid w:val="001056A7"/>
    <w:rsid w:val="00105E3C"/>
    <w:rsid w:val="00105F4E"/>
    <w:rsid w:val="00106231"/>
    <w:rsid w:val="00107103"/>
    <w:rsid w:val="001100C0"/>
    <w:rsid w:val="0011011A"/>
    <w:rsid w:val="00110323"/>
    <w:rsid w:val="00110CB0"/>
    <w:rsid w:val="0011120B"/>
    <w:rsid w:val="001113A1"/>
    <w:rsid w:val="001124A5"/>
    <w:rsid w:val="00112859"/>
    <w:rsid w:val="00112C81"/>
    <w:rsid w:val="0011326F"/>
    <w:rsid w:val="0011522A"/>
    <w:rsid w:val="0011582E"/>
    <w:rsid w:val="00115B48"/>
    <w:rsid w:val="00115DF5"/>
    <w:rsid w:val="00116055"/>
    <w:rsid w:val="0011674E"/>
    <w:rsid w:val="001170E4"/>
    <w:rsid w:val="00117115"/>
    <w:rsid w:val="001174A0"/>
    <w:rsid w:val="00117C27"/>
    <w:rsid w:val="001201B5"/>
    <w:rsid w:val="001206B1"/>
    <w:rsid w:val="0012079F"/>
    <w:rsid w:val="00121248"/>
    <w:rsid w:val="0012164B"/>
    <w:rsid w:val="00122228"/>
    <w:rsid w:val="0012279E"/>
    <w:rsid w:val="00122839"/>
    <w:rsid w:val="00122BD3"/>
    <w:rsid w:val="001230DC"/>
    <w:rsid w:val="00123AC4"/>
    <w:rsid w:val="00124670"/>
    <w:rsid w:val="00124AC6"/>
    <w:rsid w:val="00125065"/>
    <w:rsid w:val="00125345"/>
    <w:rsid w:val="001258BE"/>
    <w:rsid w:val="00125C8A"/>
    <w:rsid w:val="00126248"/>
    <w:rsid w:val="00126880"/>
    <w:rsid w:val="00126D62"/>
    <w:rsid w:val="0013031C"/>
    <w:rsid w:val="00132862"/>
    <w:rsid w:val="00132BCD"/>
    <w:rsid w:val="00132F71"/>
    <w:rsid w:val="001330E6"/>
    <w:rsid w:val="00133C5A"/>
    <w:rsid w:val="001341D5"/>
    <w:rsid w:val="001341FE"/>
    <w:rsid w:val="00134F5C"/>
    <w:rsid w:val="00134F5D"/>
    <w:rsid w:val="00135103"/>
    <w:rsid w:val="001358F0"/>
    <w:rsid w:val="00135ABA"/>
    <w:rsid w:val="00135BEF"/>
    <w:rsid w:val="00136663"/>
    <w:rsid w:val="0013681B"/>
    <w:rsid w:val="00136D99"/>
    <w:rsid w:val="00136DA3"/>
    <w:rsid w:val="0013746E"/>
    <w:rsid w:val="001376D1"/>
    <w:rsid w:val="00140406"/>
    <w:rsid w:val="00140C21"/>
    <w:rsid w:val="001416DB"/>
    <w:rsid w:val="00141758"/>
    <w:rsid w:val="0014199D"/>
    <w:rsid w:val="00142198"/>
    <w:rsid w:val="00143ACD"/>
    <w:rsid w:val="0014420A"/>
    <w:rsid w:val="00144A53"/>
    <w:rsid w:val="00145BC1"/>
    <w:rsid w:val="00145F19"/>
    <w:rsid w:val="00146694"/>
    <w:rsid w:val="00146705"/>
    <w:rsid w:val="001469F6"/>
    <w:rsid w:val="001471B8"/>
    <w:rsid w:val="001472C0"/>
    <w:rsid w:val="00147697"/>
    <w:rsid w:val="00147AB8"/>
    <w:rsid w:val="00147B01"/>
    <w:rsid w:val="00147D5B"/>
    <w:rsid w:val="00147F8B"/>
    <w:rsid w:val="00150F03"/>
    <w:rsid w:val="001515BB"/>
    <w:rsid w:val="00151A9F"/>
    <w:rsid w:val="00151CFD"/>
    <w:rsid w:val="00152207"/>
    <w:rsid w:val="00152A99"/>
    <w:rsid w:val="00152FF9"/>
    <w:rsid w:val="0015336B"/>
    <w:rsid w:val="00155285"/>
    <w:rsid w:val="00155591"/>
    <w:rsid w:val="0015587F"/>
    <w:rsid w:val="00155B85"/>
    <w:rsid w:val="00156A28"/>
    <w:rsid w:val="00156CD6"/>
    <w:rsid w:val="00156E0C"/>
    <w:rsid w:val="00157520"/>
    <w:rsid w:val="00157BB1"/>
    <w:rsid w:val="00157E9D"/>
    <w:rsid w:val="001610D5"/>
    <w:rsid w:val="00161740"/>
    <w:rsid w:val="0016266E"/>
    <w:rsid w:val="0016303D"/>
    <w:rsid w:val="0016336D"/>
    <w:rsid w:val="001636E4"/>
    <w:rsid w:val="00163E90"/>
    <w:rsid w:val="00166372"/>
    <w:rsid w:val="001676E7"/>
    <w:rsid w:val="001678CE"/>
    <w:rsid w:val="00170DD9"/>
    <w:rsid w:val="0017170D"/>
    <w:rsid w:val="00172085"/>
    <w:rsid w:val="0017247D"/>
    <w:rsid w:val="00172A54"/>
    <w:rsid w:val="00173853"/>
    <w:rsid w:val="00173A87"/>
    <w:rsid w:val="00174848"/>
    <w:rsid w:val="0017552C"/>
    <w:rsid w:val="0017567F"/>
    <w:rsid w:val="00175BFA"/>
    <w:rsid w:val="0017634A"/>
    <w:rsid w:val="00176DF8"/>
    <w:rsid w:val="00177A1E"/>
    <w:rsid w:val="00177D70"/>
    <w:rsid w:val="00177ED4"/>
    <w:rsid w:val="00182B5C"/>
    <w:rsid w:val="00182CE0"/>
    <w:rsid w:val="00183688"/>
    <w:rsid w:val="001837A3"/>
    <w:rsid w:val="00183D5D"/>
    <w:rsid w:val="001843E2"/>
    <w:rsid w:val="00184E43"/>
    <w:rsid w:val="00185C7D"/>
    <w:rsid w:val="00186189"/>
    <w:rsid w:val="001861B8"/>
    <w:rsid w:val="00187065"/>
    <w:rsid w:val="00187182"/>
    <w:rsid w:val="0018727E"/>
    <w:rsid w:val="0018742D"/>
    <w:rsid w:val="001902FE"/>
    <w:rsid w:val="00190714"/>
    <w:rsid w:val="00190FF1"/>
    <w:rsid w:val="001910F7"/>
    <w:rsid w:val="001926C7"/>
    <w:rsid w:val="00192752"/>
    <w:rsid w:val="001927A4"/>
    <w:rsid w:val="00192881"/>
    <w:rsid w:val="00192C14"/>
    <w:rsid w:val="00193A67"/>
    <w:rsid w:val="00193E53"/>
    <w:rsid w:val="001941DE"/>
    <w:rsid w:val="001945E1"/>
    <w:rsid w:val="00195153"/>
    <w:rsid w:val="001958C8"/>
    <w:rsid w:val="00195B96"/>
    <w:rsid w:val="0019694A"/>
    <w:rsid w:val="001977C9"/>
    <w:rsid w:val="001978B4"/>
    <w:rsid w:val="001A2967"/>
    <w:rsid w:val="001A335E"/>
    <w:rsid w:val="001A3671"/>
    <w:rsid w:val="001A5288"/>
    <w:rsid w:val="001A5B46"/>
    <w:rsid w:val="001A6490"/>
    <w:rsid w:val="001A6B79"/>
    <w:rsid w:val="001A6FFA"/>
    <w:rsid w:val="001A77F9"/>
    <w:rsid w:val="001A7BB9"/>
    <w:rsid w:val="001A7F60"/>
    <w:rsid w:val="001B0219"/>
    <w:rsid w:val="001B02D7"/>
    <w:rsid w:val="001B061F"/>
    <w:rsid w:val="001B0632"/>
    <w:rsid w:val="001B0A9E"/>
    <w:rsid w:val="001B0AF1"/>
    <w:rsid w:val="001B0C6C"/>
    <w:rsid w:val="001B160F"/>
    <w:rsid w:val="001B284A"/>
    <w:rsid w:val="001B346B"/>
    <w:rsid w:val="001B63C6"/>
    <w:rsid w:val="001B6DA7"/>
    <w:rsid w:val="001B6E72"/>
    <w:rsid w:val="001B700B"/>
    <w:rsid w:val="001B70F2"/>
    <w:rsid w:val="001B77A2"/>
    <w:rsid w:val="001C01E4"/>
    <w:rsid w:val="001C033E"/>
    <w:rsid w:val="001C089F"/>
    <w:rsid w:val="001C0E8E"/>
    <w:rsid w:val="001C0F61"/>
    <w:rsid w:val="001C154D"/>
    <w:rsid w:val="001C1E47"/>
    <w:rsid w:val="001C2B11"/>
    <w:rsid w:val="001C3276"/>
    <w:rsid w:val="001C32E0"/>
    <w:rsid w:val="001C39E1"/>
    <w:rsid w:val="001C44E8"/>
    <w:rsid w:val="001C4CE0"/>
    <w:rsid w:val="001C560E"/>
    <w:rsid w:val="001C58C2"/>
    <w:rsid w:val="001C5F1F"/>
    <w:rsid w:val="001C620B"/>
    <w:rsid w:val="001C6C0D"/>
    <w:rsid w:val="001D10D8"/>
    <w:rsid w:val="001D1819"/>
    <w:rsid w:val="001D1A16"/>
    <w:rsid w:val="001D1D41"/>
    <w:rsid w:val="001D35A4"/>
    <w:rsid w:val="001D40FC"/>
    <w:rsid w:val="001D4680"/>
    <w:rsid w:val="001D508E"/>
    <w:rsid w:val="001D5B85"/>
    <w:rsid w:val="001D5E08"/>
    <w:rsid w:val="001D5FC4"/>
    <w:rsid w:val="001D60FF"/>
    <w:rsid w:val="001D6530"/>
    <w:rsid w:val="001D681F"/>
    <w:rsid w:val="001D6D59"/>
    <w:rsid w:val="001D723C"/>
    <w:rsid w:val="001D7428"/>
    <w:rsid w:val="001D7613"/>
    <w:rsid w:val="001E0EFF"/>
    <w:rsid w:val="001E15E5"/>
    <w:rsid w:val="001E1B35"/>
    <w:rsid w:val="001E1C5D"/>
    <w:rsid w:val="001E1FD1"/>
    <w:rsid w:val="001E2D62"/>
    <w:rsid w:val="001E2FBB"/>
    <w:rsid w:val="001E354C"/>
    <w:rsid w:val="001E36F1"/>
    <w:rsid w:val="001E37FB"/>
    <w:rsid w:val="001E4812"/>
    <w:rsid w:val="001E4F8A"/>
    <w:rsid w:val="001E523B"/>
    <w:rsid w:val="001E5ABD"/>
    <w:rsid w:val="001E5C43"/>
    <w:rsid w:val="001E5EF8"/>
    <w:rsid w:val="001E5FE4"/>
    <w:rsid w:val="001E71BA"/>
    <w:rsid w:val="001E7A00"/>
    <w:rsid w:val="001F08FB"/>
    <w:rsid w:val="001F0B51"/>
    <w:rsid w:val="001F0E33"/>
    <w:rsid w:val="001F1D8A"/>
    <w:rsid w:val="001F359C"/>
    <w:rsid w:val="001F3750"/>
    <w:rsid w:val="001F40E1"/>
    <w:rsid w:val="001F54B6"/>
    <w:rsid w:val="001F58B8"/>
    <w:rsid w:val="0020064B"/>
    <w:rsid w:val="00200BEC"/>
    <w:rsid w:val="00200D27"/>
    <w:rsid w:val="002011AC"/>
    <w:rsid w:val="00201EB9"/>
    <w:rsid w:val="002027CC"/>
    <w:rsid w:val="00202971"/>
    <w:rsid w:val="00202BD7"/>
    <w:rsid w:val="00202C90"/>
    <w:rsid w:val="00202DCC"/>
    <w:rsid w:val="00202E1F"/>
    <w:rsid w:val="00203071"/>
    <w:rsid w:val="002048CC"/>
    <w:rsid w:val="0020506D"/>
    <w:rsid w:val="00205391"/>
    <w:rsid w:val="00205A99"/>
    <w:rsid w:val="00205B95"/>
    <w:rsid w:val="0020629B"/>
    <w:rsid w:val="0020691A"/>
    <w:rsid w:val="00206DE4"/>
    <w:rsid w:val="0020701D"/>
    <w:rsid w:val="0020733F"/>
    <w:rsid w:val="00207B94"/>
    <w:rsid w:val="00210B1A"/>
    <w:rsid w:val="00210E15"/>
    <w:rsid w:val="00211626"/>
    <w:rsid w:val="00211FB1"/>
    <w:rsid w:val="0021277A"/>
    <w:rsid w:val="00212BC7"/>
    <w:rsid w:val="0021380C"/>
    <w:rsid w:val="00213FCA"/>
    <w:rsid w:val="00214C96"/>
    <w:rsid w:val="00215527"/>
    <w:rsid w:val="00216621"/>
    <w:rsid w:val="00216B0E"/>
    <w:rsid w:val="00216DA1"/>
    <w:rsid w:val="00217433"/>
    <w:rsid w:val="00217437"/>
    <w:rsid w:val="0022052E"/>
    <w:rsid w:val="00222350"/>
    <w:rsid w:val="00222C56"/>
    <w:rsid w:val="00222D86"/>
    <w:rsid w:val="00223132"/>
    <w:rsid w:val="002231D3"/>
    <w:rsid w:val="002235F3"/>
    <w:rsid w:val="0022398F"/>
    <w:rsid w:val="00223F51"/>
    <w:rsid w:val="0022440A"/>
    <w:rsid w:val="00224510"/>
    <w:rsid w:val="002247E7"/>
    <w:rsid w:val="00224953"/>
    <w:rsid w:val="0022537C"/>
    <w:rsid w:val="0022685E"/>
    <w:rsid w:val="00227868"/>
    <w:rsid w:val="00227BDC"/>
    <w:rsid w:val="00230661"/>
    <w:rsid w:val="00230915"/>
    <w:rsid w:val="00230D53"/>
    <w:rsid w:val="00230E31"/>
    <w:rsid w:val="00231234"/>
    <w:rsid w:val="00231422"/>
    <w:rsid w:val="0023191B"/>
    <w:rsid w:val="002332EA"/>
    <w:rsid w:val="00233483"/>
    <w:rsid w:val="002337B2"/>
    <w:rsid w:val="002338A1"/>
    <w:rsid w:val="00233C64"/>
    <w:rsid w:val="00234CB1"/>
    <w:rsid w:val="00234D3E"/>
    <w:rsid w:val="00235EEE"/>
    <w:rsid w:val="002363B9"/>
    <w:rsid w:val="0023746A"/>
    <w:rsid w:val="002376E4"/>
    <w:rsid w:val="00240022"/>
    <w:rsid w:val="002404BA"/>
    <w:rsid w:val="002427DE"/>
    <w:rsid w:val="002427F7"/>
    <w:rsid w:val="00243015"/>
    <w:rsid w:val="0024338F"/>
    <w:rsid w:val="00243475"/>
    <w:rsid w:val="00243C49"/>
    <w:rsid w:val="0024479E"/>
    <w:rsid w:val="00245702"/>
    <w:rsid w:val="00250969"/>
    <w:rsid w:val="002511A8"/>
    <w:rsid w:val="002511E9"/>
    <w:rsid w:val="002512E8"/>
    <w:rsid w:val="00251719"/>
    <w:rsid w:val="00251FA2"/>
    <w:rsid w:val="00252341"/>
    <w:rsid w:val="002523FB"/>
    <w:rsid w:val="002526C5"/>
    <w:rsid w:val="00252764"/>
    <w:rsid w:val="002529E8"/>
    <w:rsid w:val="00253249"/>
    <w:rsid w:val="002536CB"/>
    <w:rsid w:val="002545CD"/>
    <w:rsid w:val="0025526A"/>
    <w:rsid w:val="00255EA4"/>
    <w:rsid w:val="00257BEB"/>
    <w:rsid w:val="002603C3"/>
    <w:rsid w:val="00260A89"/>
    <w:rsid w:val="00260C9F"/>
    <w:rsid w:val="0026102E"/>
    <w:rsid w:val="00261A11"/>
    <w:rsid w:val="00262A51"/>
    <w:rsid w:val="00262DDC"/>
    <w:rsid w:val="0026348F"/>
    <w:rsid w:val="002648FC"/>
    <w:rsid w:val="002656E4"/>
    <w:rsid w:val="00265778"/>
    <w:rsid w:val="002658D0"/>
    <w:rsid w:val="002667BC"/>
    <w:rsid w:val="00266C8C"/>
    <w:rsid w:val="002679E5"/>
    <w:rsid w:val="00267B12"/>
    <w:rsid w:val="00270695"/>
    <w:rsid w:val="002707B8"/>
    <w:rsid w:val="0027084D"/>
    <w:rsid w:val="0027186D"/>
    <w:rsid w:val="002718F0"/>
    <w:rsid w:val="002725BC"/>
    <w:rsid w:val="002731DE"/>
    <w:rsid w:val="002735F9"/>
    <w:rsid w:val="00273AD8"/>
    <w:rsid w:val="00273CD1"/>
    <w:rsid w:val="002742B4"/>
    <w:rsid w:val="00274463"/>
    <w:rsid w:val="0027502F"/>
    <w:rsid w:val="00275F5F"/>
    <w:rsid w:val="00277C24"/>
    <w:rsid w:val="00280418"/>
    <w:rsid w:val="00280AE6"/>
    <w:rsid w:val="0028166F"/>
    <w:rsid w:val="00281733"/>
    <w:rsid w:val="0028174D"/>
    <w:rsid w:val="00281A30"/>
    <w:rsid w:val="002823D9"/>
    <w:rsid w:val="002831C6"/>
    <w:rsid w:val="00283FF9"/>
    <w:rsid w:val="002849E3"/>
    <w:rsid w:val="00286EB0"/>
    <w:rsid w:val="002909C9"/>
    <w:rsid w:val="00290B29"/>
    <w:rsid w:val="00290DCC"/>
    <w:rsid w:val="00291D9D"/>
    <w:rsid w:val="00292313"/>
    <w:rsid w:val="00292E0C"/>
    <w:rsid w:val="00294168"/>
    <w:rsid w:val="00294245"/>
    <w:rsid w:val="0029461F"/>
    <w:rsid w:val="002948AE"/>
    <w:rsid w:val="00294FD0"/>
    <w:rsid w:val="002954DC"/>
    <w:rsid w:val="00295EBA"/>
    <w:rsid w:val="002961BD"/>
    <w:rsid w:val="0029647F"/>
    <w:rsid w:val="00296B1E"/>
    <w:rsid w:val="00297AB4"/>
    <w:rsid w:val="00297ABC"/>
    <w:rsid w:val="00297C28"/>
    <w:rsid w:val="002A0379"/>
    <w:rsid w:val="002A2421"/>
    <w:rsid w:val="002A29BE"/>
    <w:rsid w:val="002A40A1"/>
    <w:rsid w:val="002A43A3"/>
    <w:rsid w:val="002A4594"/>
    <w:rsid w:val="002A4934"/>
    <w:rsid w:val="002A50A7"/>
    <w:rsid w:val="002A65C4"/>
    <w:rsid w:val="002A6CAA"/>
    <w:rsid w:val="002A6EA8"/>
    <w:rsid w:val="002A7109"/>
    <w:rsid w:val="002A7E51"/>
    <w:rsid w:val="002B020A"/>
    <w:rsid w:val="002B0440"/>
    <w:rsid w:val="002B334F"/>
    <w:rsid w:val="002B353A"/>
    <w:rsid w:val="002B3E37"/>
    <w:rsid w:val="002B4100"/>
    <w:rsid w:val="002B41B2"/>
    <w:rsid w:val="002B4250"/>
    <w:rsid w:val="002B429D"/>
    <w:rsid w:val="002B43F3"/>
    <w:rsid w:val="002B4830"/>
    <w:rsid w:val="002B4F49"/>
    <w:rsid w:val="002B586D"/>
    <w:rsid w:val="002B5EF1"/>
    <w:rsid w:val="002B63FA"/>
    <w:rsid w:val="002B6FCF"/>
    <w:rsid w:val="002B71E1"/>
    <w:rsid w:val="002B774E"/>
    <w:rsid w:val="002B7B0B"/>
    <w:rsid w:val="002B7D36"/>
    <w:rsid w:val="002C0818"/>
    <w:rsid w:val="002C0D03"/>
    <w:rsid w:val="002C1B04"/>
    <w:rsid w:val="002C1E78"/>
    <w:rsid w:val="002C21A1"/>
    <w:rsid w:val="002C34A4"/>
    <w:rsid w:val="002C4C11"/>
    <w:rsid w:val="002C4E8C"/>
    <w:rsid w:val="002C4F91"/>
    <w:rsid w:val="002C5703"/>
    <w:rsid w:val="002C65D1"/>
    <w:rsid w:val="002D0261"/>
    <w:rsid w:val="002D0597"/>
    <w:rsid w:val="002D07E5"/>
    <w:rsid w:val="002D1BDB"/>
    <w:rsid w:val="002D1D1E"/>
    <w:rsid w:val="002D3290"/>
    <w:rsid w:val="002D45BA"/>
    <w:rsid w:val="002D473A"/>
    <w:rsid w:val="002D4816"/>
    <w:rsid w:val="002D4F37"/>
    <w:rsid w:val="002D54B7"/>
    <w:rsid w:val="002D61CE"/>
    <w:rsid w:val="002D68E9"/>
    <w:rsid w:val="002D6E03"/>
    <w:rsid w:val="002D75B6"/>
    <w:rsid w:val="002D78EE"/>
    <w:rsid w:val="002D791F"/>
    <w:rsid w:val="002E030B"/>
    <w:rsid w:val="002E06CB"/>
    <w:rsid w:val="002E0AA3"/>
    <w:rsid w:val="002E211F"/>
    <w:rsid w:val="002E26AF"/>
    <w:rsid w:val="002E378D"/>
    <w:rsid w:val="002E397D"/>
    <w:rsid w:val="002E3BFD"/>
    <w:rsid w:val="002E43B7"/>
    <w:rsid w:val="002E4405"/>
    <w:rsid w:val="002E4FDC"/>
    <w:rsid w:val="002E50F9"/>
    <w:rsid w:val="002E516E"/>
    <w:rsid w:val="002E5F0C"/>
    <w:rsid w:val="002E6386"/>
    <w:rsid w:val="002E6E73"/>
    <w:rsid w:val="002E799C"/>
    <w:rsid w:val="002E7C4C"/>
    <w:rsid w:val="002F0597"/>
    <w:rsid w:val="002F140C"/>
    <w:rsid w:val="002F2373"/>
    <w:rsid w:val="002F313C"/>
    <w:rsid w:val="002F31C8"/>
    <w:rsid w:val="002F3968"/>
    <w:rsid w:val="002F3A3D"/>
    <w:rsid w:val="002F4BA6"/>
    <w:rsid w:val="002F4FA0"/>
    <w:rsid w:val="002F5B44"/>
    <w:rsid w:val="002F5F07"/>
    <w:rsid w:val="002F78C9"/>
    <w:rsid w:val="002F7C95"/>
    <w:rsid w:val="002F7F47"/>
    <w:rsid w:val="00300CC6"/>
    <w:rsid w:val="0030105C"/>
    <w:rsid w:val="00302D02"/>
    <w:rsid w:val="003043B4"/>
    <w:rsid w:val="00304846"/>
    <w:rsid w:val="00304930"/>
    <w:rsid w:val="0030523E"/>
    <w:rsid w:val="00305C6B"/>
    <w:rsid w:val="00305FB5"/>
    <w:rsid w:val="00306137"/>
    <w:rsid w:val="00306DA4"/>
    <w:rsid w:val="00307866"/>
    <w:rsid w:val="00310078"/>
    <w:rsid w:val="003101F4"/>
    <w:rsid w:val="0031280E"/>
    <w:rsid w:val="00312D97"/>
    <w:rsid w:val="00312FDE"/>
    <w:rsid w:val="003132DB"/>
    <w:rsid w:val="0031431D"/>
    <w:rsid w:val="0031493F"/>
    <w:rsid w:val="00315E58"/>
    <w:rsid w:val="00316D14"/>
    <w:rsid w:val="00316D8F"/>
    <w:rsid w:val="00320106"/>
    <w:rsid w:val="00320A32"/>
    <w:rsid w:val="00322518"/>
    <w:rsid w:val="00322C51"/>
    <w:rsid w:val="003235C8"/>
    <w:rsid w:val="003249AC"/>
    <w:rsid w:val="0032530C"/>
    <w:rsid w:val="003255DD"/>
    <w:rsid w:val="0032562B"/>
    <w:rsid w:val="0032597C"/>
    <w:rsid w:val="003260C0"/>
    <w:rsid w:val="0032660E"/>
    <w:rsid w:val="00327926"/>
    <w:rsid w:val="00327E12"/>
    <w:rsid w:val="0033051C"/>
    <w:rsid w:val="003306BF"/>
    <w:rsid w:val="003314C8"/>
    <w:rsid w:val="00331F49"/>
    <w:rsid w:val="00333777"/>
    <w:rsid w:val="00333AE1"/>
    <w:rsid w:val="00334155"/>
    <w:rsid w:val="00334283"/>
    <w:rsid w:val="00336613"/>
    <w:rsid w:val="00336DEF"/>
    <w:rsid w:val="00336FF6"/>
    <w:rsid w:val="0033715B"/>
    <w:rsid w:val="003400CE"/>
    <w:rsid w:val="00340EA4"/>
    <w:rsid w:val="00340ED2"/>
    <w:rsid w:val="003411EA"/>
    <w:rsid w:val="00341981"/>
    <w:rsid w:val="00341DD1"/>
    <w:rsid w:val="003424BB"/>
    <w:rsid w:val="003430B4"/>
    <w:rsid w:val="00343604"/>
    <w:rsid w:val="00343773"/>
    <w:rsid w:val="00343BD6"/>
    <w:rsid w:val="00344186"/>
    <w:rsid w:val="00344D3F"/>
    <w:rsid w:val="0034504D"/>
    <w:rsid w:val="00345174"/>
    <w:rsid w:val="003455AF"/>
    <w:rsid w:val="0034562A"/>
    <w:rsid w:val="003461B5"/>
    <w:rsid w:val="00346487"/>
    <w:rsid w:val="003478A8"/>
    <w:rsid w:val="003478F1"/>
    <w:rsid w:val="0035196F"/>
    <w:rsid w:val="00351ABE"/>
    <w:rsid w:val="00351B01"/>
    <w:rsid w:val="00351DAD"/>
    <w:rsid w:val="00353C04"/>
    <w:rsid w:val="00353E3B"/>
    <w:rsid w:val="003547DB"/>
    <w:rsid w:val="0035483B"/>
    <w:rsid w:val="0035620E"/>
    <w:rsid w:val="00357277"/>
    <w:rsid w:val="0035765D"/>
    <w:rsid w:val="00360CDE"/>
    <w:rsid w:val="003611C1"/>
    <w:rsid w:val="00361432"/>
    <w:rsid w:val="00361C8D"/>
    <w:rsid w:val="003625AF"/>
    <w:rsid w:val="00363176"/>
    <w:rsid w:val="00363AF6"/>
    <w:rsid w:val="0036420B"/>
    <w:rsid w:val="0036498E"/>
    <w:rsid w:val="00366FCA"/>
    <w:rsid w:val="003675BA"/>
    <w:rsid w:val="00367EEF"/>
    <w:rsid w:val="00367F8A"/>
    <w:rsid w:val="00370041"/>
    <w:rsid w:val="00370807"/>
    <w:rsid w:val="003712A8"/>
    <w:rsid w:val="00371330"/>
    <w:rsid w:val="00373067"/>
    <w:rsid w:val="00373624"/>
    <w:rsid w:val="00373D4A"/>
    <w:rsid w:val="003740E5"/>
    <w:rsid w:val="00374419"/>
    <w:rsid w:val="00374643"/>
    <w:rsid w:val="00374E61"/>
    <w:rsid w:val="003751C7"/>
    <w:rsid w:val="0037554E"/>
    <w:rsid w:val="003759CE"/>
    <w:rsid w:val="00375AFE"/>
    <w:rsid w:val="0038000D"/>
    <w:rsid w:val="00380246"/>
    <w:rsid w:val="0038038C"/>
    <w:rsid w:val="00380DBE"/>
    <w:rsid w:val="003810F0"/>
    <w:rsid w:val="003822A8"/>
    <w:rsid w:val="00382632"/>
    <w:rsid w:val="00383151"/>
    <w:rsid w:val="00383223"/>
    <w:rsid w:val="003833C9"/>
    <w:rsid w:val="00383CA5"/>
    <w:rsid w:val="00383EE7"/>
    <w:rsid w:val="00383FA6"/>
    <w:rsid w:val="003840B9"/>
    <w:rsid w:val="00384828"/>
    <w:rsid w:val="00384D3F"/>
    <w:rsid w:val="00384F5F"/>
    <w:rsid w:val="00386057"/>
    <w:rsid w:val="003861AB"/>
    <w:rsid w:val="0038622A"/>
    <w:rsid w:val="00386A92"/>
    <w:rsid w:val="00387744"/>
    <w:rsid w:val="00387B03"/>
    <w:rsid w:val="00387C8A"/>
    <w:rsid w:val="0039036E"/>
    <w:rsid w:val="00391C6C"/>
    <w:rsid w:val="00391D6F"/>
    <w:rsid w:val="00391E7D"/>
    <w:rsid w:val="00392C0A"/>
    <w:rsid w:val="00392FFD"/>
    <w:rsid w:val="003940FA"/>
    <w:rsid w:val="0039497C"/>
    <w:rsid w:val="00395A18"/>
    <w:rsid w:val="00395DF2"/>
    <w:rsid w:val="0039632A"/>
    <w:rsid w:val="00396341"/>
    <w:rsid w:val="00396CA6"/>
    <w:rsid w:val="00396CFB"/>
    <w:rsid w:val="00396DF8"/>
    <w:rsid w:val="0039715C"/>
    <w:rsid w:val="003A0D50"/>
    <w:rsid w:val="003A115D"/>
    <w:rsid w:val="003A118B"/>
    <w:rsid w:val="003A15AE"/>
    <w:rsid w:val="003A1E5E"/>
    <w:rsid w:val="003A1F58"/>
    <w:rsid w:val="003A20DA"/>
    <w:rsid w:val="003A2119"/>
    <w:rsid w:val="003A2A63"/>
    <w:rsid w:val="003A37C8"/>
    <w:rsid w:val="003A4F3E"/>
    <w:rsid w:val="003A53CD"/>
    <w:rsid w:val="003A53EF"/>
    <w:rsid w:val="003A55A0"/>
    <w:rsid w:val="003A6DB0"/>
    <w:rsid w:val="003A79DB"/>
    <w:rsid w:val="003B0E1F"/>
    <w:rsid w:val="003B1927"/>
    <w:rsid w:val="003B1A92"/>
    <w:rsid w:val="003B248E"/>
    <w:rsid w:val="003B2977"/>
    <w:rsid w:val="003B3314"/>
    <w:rsid w:val="003B3D85"/>
    <w:rsid w:val="003B3DD0"/>
    <w:rsid w:val="003B3E3E"/>
    <w:rsid w:val="003B504C"/>
    <w:rsid w:val="003B572B"/>
    <w:rsid w:val="003B5B99"/>
    <w:rsid w:val="003B625A"/>
    <w:rsid w:val="003B7931"/>
    <w:rsid w:val="003B7C02"/>
    <w:rsid w:val="003C059B"/>
    <w:rsid w:val="003C071A"/>
    <w:rsid w:val="003C24E4"/>
    <w:rsid w:val="003C25AC"/>
    <w:rsid w:val="003C29EF"/>
    <w:rsid w:val="003C31D2"/>
    <w:rsid w:val="003C335A"/>
    <w:rsid w:val="003C3D28"/>
    <w:rsid w:val="003C45C1"/>
    <w:rsid w:val="003C49D7"/>
    <w:rsid w:val="003C516E"/>
    <w:rsid w:val="003C5176"/>
    <w:rsid w:val="003C553A"/>
    <w:rsid w:val="003C5C8B"/>
    <w:rsid w:val="003C6409"/>
    <w:rsid w:val="003C664A"/>
    <w:rsid w:val="003C6891"/>
    <w:rsid w:val="003C6A73"/>
    <w:rsid w:val="003C70C3"/>
    <w:rsid w:val="003C7D58"/>
    <w:rsid w:val="003D0C21"/>
    <w:rsid w:val="003D248B"/>
    <w:rsid w:val="003D2B61"/>
    <w:rsid w:val="003D2F9B"/>
    <w:rsid w:val="003D3390"/>
    <w:rsid w:val="003D419B"/>
    <w:rsid w:val="003D4ED4"/>
    <w:rsid w:val="003D53B8"/>
    <w:rsid w:val="003D5840"/>
    <w:rsid w:val="003D5D7B"/>
    <w:rsid w:val="003D6D33"/>
    <w:rsid w:val="003D750D"/>
    <w:rsid w:val="003E01A1"/>
    <w:rsid w:val="003E1251"/>
    <w:rsid w:val="003E1FBE"/>
    <w:rsid w:val="003E2170"/>
    <w:rsid w:val="003E24A5"/>
    <w:rsid w:val="003E34B2"/>
    <w:rsid w:val="003E375A"/>
    <w:rsid w:val="003E3800"/>
    <w:rsid w:val="003E39E8"/>
    <w:rsid w:val="003E4294"/>
    <w:rsid w:val="003E4B5E"/>
    <w:rsid w:val="003E4CD7"/>
    <w:rsid w:val="003E4E91"/>
    <w:rsid w:val="003E6165"/>
    <w:rsid w:val="003E6A8F"/>
    <w:rsid w:val="003E6AD0"/>
    <w:rsid w:val="003E6E8B"/>
    <w:rsid w:val="003E7A6E"/>
    <w:rsid w:val="003E7AEA"/>
    <w:rsid w:val="003F0994"/>
    <w:rsid w:val="003F0FB1"/>
    <w:rsid w:val="003F2287"/>
    <w:rsid w:val="003F2C9D"/>
    <w:rsid w:val="003F2E2D"/>
    <w:rsid w:val="003F461B"/>
    <w:rsid w:val="003F46FA"/>
    <w:rsid w:val="003F4993"/>
    <w:rsid w:val="003F4E1F"/>
    <w:rsid w:val="003F53E2"/>
    <w:rsid w:val="003F59E3"/>
    <w:rsid w:val="003F645A"/>
    <w:rsid w:val="003F69BF"/>
    <w:rsid w:val="003F6A48"/>
    <w:rsid w:val="003F6C61"/>
    <w:rsid w:val="003F7844"/>
    <w:rsid w:val="003F78C1"/>
    <w:rsid w:val="003F7A1E"/>
    <w:rsid w:val="004007AC"/>
    <w:rsid w:val="00400BA9"/>
    <w:rsid w:val="004013E9"/>
    <w:rsid w:val="00401DF0"/>
    <w:rsid w:val="0040227E"/>
    <w:rsid w:val="00403973"/>
    <w:rsid w:val="00403ADC"/>
    <w:rsid w:val="00403C8A"/>
    <w:rsid w:val="0040401A"/>
    <w:rsid w:val="0040424A"/>
    <w:rsid w:val="00404B27"/>
    <w:rsid w:val="00405401"/>
    <w:rsid w:val="004056E5"/>
    <w:rsid w:val="00405CD6"/>
    <w:rsid w:val="00406254"/>
    <w:rsid w:val="00407AB7"/>
    <w:rsid w:val="004103CD"/>
    <w:rsid w:val="00410A18"/>
    <w:rsid w:val="00410CBE"/>
    <w:rsid w:val="00411323"/>
    <w:rsid w:val="004119E8"/>
    <w:rsid w:val="00411E44"/>
    <w:rsid w:val="00413040"/>
    <w:rsid w:val="004134D7"/>
    <w:rsid w:val="004138A5"/>
    <w:rsid w:val="00413F5D"/>
    <w:rsid w:val="0041459C"/>
    <w:rsid w:val="00414885"/>
    <w:rsid w:val="004148C0"/>
    <w:rsid w:val="00414DB6"/>
    <w:rsid w:val="00414F98"/>
    <w:rsid w:val="00415375"/>
    <w:rsid w:val="0041560D"/>
    <w:rsid w:val="00416112"/>
    <w:rsid w:val="00417BFA"/>
    <w:rsid w:val="00420F07"/>
    <w:rsid w:val="00421E2E"/>
    <w:rsid w:val="00422070"/>
    <w:rsid w:val="004224F3"/>
    <w:rsid w:val="0042395F"/>
    <w:rsid w:val="0042568D"/>
    <w:rsid w:val="00425750"/>
    <w:rsid w:val="004258E0"/>
    <w:rsid w:val="00425EE1"/>
    <w:rsid w:val="00426918"/>
    <w:rsid w:val="0042694A"/>
    <w:rsid w:val="00426D38"/>
    <w:rsid w:val="004271FE"/>
    <w:rsid w:val="0043048F"/>
    <w:rsid w:val="004304A0"/>
    <w:rsid w:val="00430741"/>
    <w:rsid w:val="00431115"/>
    <w:rsid w:val="00431E3D"/>
    <w:rsid w:val="00431F6C"/>
    <w:rsid w:val="004321DF"/>
    <w:rsid w:val="0043401E"/>
    <w:rsid w:val="00435144"/>
    <w:rsid w:val="00435253"/>
    <w:rsid w:val="004359BB"/>
    <w:rsid w:val="00440DF1"/>
    <w:rsid w:val="004419F6"/>
    <w:rsid w:val="00441ADF"/>
    <w:rsid w:val="00443054"/>
    <w:rsid w:val="0044327F"/>
    <w:rsid w:val="00443D32"/>
    <w:rsid w:val="00443D46"/>
    <w:rsid w:val="00445C94"/>
    <w:rsid w:val="00446455"/>
    <w:rsid w:val="00446C2A"/>
    <w:rsid w:val="00447949"/>
    <w:rsid w:val="0045049B"/>
    <w:rsid w:val="00450881"/>
    <w:rsid w:val="004509F1"/>
    <w:rsid w:val="00450FB2"/>
    <w:rsid w:val="00451D3D"/>
    <w:rsid w:val="00451DA6"/>
    <w:rsid w:val="00452BEA"/>
    <w:rsid w:val="00454277"/>
    <w:rsid w:val="00454FE1"/>
    <w:rsid w:val="0045510D"/>
    <w:rsid w:val="00455E3B"/>
    <w:rsid w:val="00456A58"/>
    <w:rsid w:val="00456AB3"/>
    <w:rsid w:val="00456C45"/>
    <w:rsid w:val="00457149"/>
    <w:rsid w:val="0046047E"/>
    <w:rsid w:val="004626A3"/>
    <w:rsid w:val="00462FFB"/>
    <w:rsid w:val="00464590"/>
    <w:rsid w:val="00464C75"/>
    <w:rsid w:val="00464C84"/>
    <w:rsid w:val="004658D1"/>
    <w:rsid w:val="004668BA"/>
    <w:rsid w:val="00466B8D"/>
    <w:rsid w:val="004700D7"/>
    <w:rsid w:val="00470794"/>
    <w:rsid w:val="00471DCC"/>
    <w:rsid w:val="00471FD3"/>
    <w:rsid w:val="00472174"/>
    <w:rsid w:val="00472993"/>
    <w:rsid w:val="004729E0"/>
    <w:rsid w:val="00473850"/>
    <w:rsid w:val="00473A4D"/>
    <w:rsid w:val="00473DD7"/>
    <w:rsid w:val="00473E98"/>
    <w:rsid w:val="004740E8"/>
    <w:rsid w:val="0047417B"/>
    <w:rsid w:val="004745DA"/>
    <w:rsid w:val="00474896"/>
    <w:rsid w:val="00475E79"/>
    <w:rsid w:val="00475F44"/>
    <w:rsid w:val="00476C08"/>
    <w:rsid w:val="00476FC1"/>
    <w:rsid w:val="0047789A"/>
    <w:rsid w:val="00480BEA"/>
    <w:rsid w:val="004811CE"/>
    <w:rsid w:val="00482577"/>
    <w:rsid w:val="00482E07"/>
    <w:rsid w:val="00483334"/>
    <w:rsid w:val="004834B7"/>
    <w:rsid w:val="00483779"/>
    <w:rsid w:val="0048380E"/>
    <w:rsid w:val="00486215"/>
    <w:rsid w:val="00486665"/>
    <w:rsid w:val="0048668C"/>
    <w:rsid w:val="00486971"/>
    <w:rsid w:val="00486B98"/>
    <w:rsid w:val="00486BE3"/>
    <w:rsid w:val="00486DF3"/>
    <w:rsid w:val="00487D06"/>
    <w:rsid w:val="00487D91"/>
    <w:rsid w:val="00490395"/>
    <w:rsid w:val="0049137F"/>
    <w:rsid w:val="004915C1"/>
    <w:rsid w:val="00491ECF"/>
    <w:rsid w:val="00492379"/>
    <w:rsid w:val="004923EB"/>
    <w:rsid w:val="0049240B"/>
    <w:rsid w:val="00492D32"/>
    <w:rsid w:val="004930A5"/>
    <w:rsid w:val="0049342D"/>
    <w:rsid w:val="004939FB"/>
    <w:rsid w:val="00493A2B"/>
    <w:rsid w:val="0049420B"/>
    <w:rsid w:val="0049474F"/>
    <w:rsid w:val="00494EAA"/>
    <w:rsid w:val="004954D4"/>
    <w:rsid w:val="00497316"/>
    <w:rsid w:val="00497C0D"/>
    <w:rsid w:val="00497CF7"/>
    <w:rsid w:val="004A049B"/>
    <w:rsid w:val="004A17E0"/>
    <w:rsid w:val="004A1DD6"/>
    <w:rsid w:val="004A229C"/>
    <w:rsid w:val="004A2915"/>
    <w:rsid w:val="004A2EBF"/>
    <w:rsid w:val="004A3BA8"/>
    <w:rsid w:val="004A4C2E"/>
    <w:rsid w:val="004A564C"/>
    <w:rsid w:val="004A57F6"/>
    <w:rsid w:val="004A5A2F"/>
    <w:rsid w:val="004A613F"/>
    <w:rsid w:val="004A7F3F"/>
    <w:rsid w:val="004B019E"/>
    <w:rsid w:val="004B0D97"/>
    <w:rsid w:val="004B106A"/>
    <w:rsid w:val="004B31ED"/>
    <w:rsid w:val="004B322B"/>
    <w:rsid w:val="004B394F"/>
    <w:rsid w:val="004B3CA9"/>
    <w:rsid w:val="004B3D0A"/>
    <w:rsid w:val="004B3D81"/>
    <w:rsid w:val="004B40B1"/>
    <w:rsid w:val="004B4431"/>
    <w:rsid w:val="004B47D2"/>
    <w:rsid w:val="004B6129"/>
    <w:rsid w:val="004B64FC"/>
    <w:rsid w:val="004B6A0B"/>
    <w:rsid w:val="004B7484"/>
    <w:rsid w:val="004C1432"/>
    <w:rsid w:val="004C2DA8"/>
    <w:rsid w:val="004C348D"/>
    <w:rsid w:val="004C3ECD"/>
    <w:rsid w:val="004C4576"/>
    <w:rsid w:val="004C5E86"/>
    <w:rsid w:val="004C5F88"/>
    <w:rsid w:val="004C62D6"/>
    <w:rsid w:val="004C641B"/>
    <w:rsid w:val="004C704F"/>
    <w:rsid w:val="004C7EFC"/>
    <w:rsid w:val="004D0505"/>
    <w:rsid w:val="004D05C8"/>
    <w:rsid w:val="004D0B18"/>
    <w:rsid w:val="004D0DD0"/>
    <w:rsid w:val="004D194A"/>
    <w:rsid w:val="004D25B1"/>
    <w:rsid w:val="004D2866"/>
    <w:rsid w:val="004D377F"/>
    <w:rsid w:val="004D37AF"/>
    <w:rsid w:val="004D3C61"/>
    <w:rsid w:val="004D3EB3"/>
    <w:rsid w:val="004D42CD"/>
    <w:rsid w:val="004D4A2C"/>
    <w:rsid w:val="004D4AC5"/>
    <w:rsid w:val="004D58E1"/>
    <w:rsid w:val="004D7611"/>
    <w:rsid w:val="004E11D8"/>
    <w:rsid w:val="004E22AA"/>
    <w:rsid w:val="004E3225"/>
    <w:rsid w:val="004E3AC1"/>
    <w:rsid w:val="004E40FD"/>
    <w:rsid w:val="004E4C0B"/>
    <w:rsid w:val="004E4C79"/>
    <w:rsid w:val="004E505A"/>
    <w:rsid w:val="004E58BC"/>
    <w:rsid w:val="004E59A7"/>
    <w:rsid w:val="004E6043"/>
    <w:rsid w:val="004E72DE"/>
    <w:rsid w:val="004E7417"/>
    <w:rsid w:val="004E7430"/>
    <w:rsid w:val="004E7689"/>
    <w:rsid w:val="004F3AA1"/>
    <w:rsid w:val="004F4AF5"/>
    <w:rsid w:val="004F4B9A"/>
    <w:rsid w:val="004F4D6A"/>
    <w:rsid w:val="004F4DE0"/>
    <w:rsid w:val="004F531F"/>
    <w:rsid w:val="004F5900"/>
    <w:rsid w:val="004F5E86"/>
    <w:rsid w:val="004F5FF4"/>
    <w:rsid w:val="004F6908"/>
    <w:rsid w:val="004F6D28"/>
    <w:rsid w:val="004F706D"/>
    <w:rsid w:val="004F7483"/>
    <w:rsid w:val="004F75C8"/>
    <w:rsid w:val="004F7758"/>
    <w:rsid w:val="005006AD"/>
    <w:rsid w:val="0050077F"/>
    <w:rsid w:val="00500DEF"/>
    <w:rsid w:val="00501CB0"/>
    <w:rsid w:val="00502456"/>
    <w:rsid w:val="0050272A"/>
    <w:rsid w:val="00502C27"/>
    <w:rsid w:val="00502D50"/>
    <w:rsid w:val="00502D9E"/>
    <w:rsid w:val="00504506"/>
    <w:rsid w:val="005050B3"/>
    <w:rsid w:val="005076E1"/>
    <w:rsid w:val="0051107A"/>
    <w:rsid w:val="00511BA8"/>
    <w:rsid w:val="00511BBB"/>
    <w:rsid w:val="00512339"/>
    <w:rsid w:val="005128CD"/>
    <w:rsid w:val="005129C3"/>
    <w:rsid w:val="005133E4"/>
    <w:rsid w:val="005137C4"/>
    <w:rsid w:val="00513906"/>
    <w:rsid w:val="00513BF3"/>
    <w:rsid w:val="00513D3A"/>
    <w:rsid w:val="0051489E"/>
    <w:rsid w:val="00514AFF"/>
    <w:rsid w:val="00515BDC"/>
    <w:rsid w:val="00515F9C"/>
    <w:rsid w:val="00516517"/>
    <w:rsid w:val="00516D82"/>
    <w:rsid w:val="005175EF"/>
    <w:rsid w:val="005179A1"/>
    <w:rsid w:val="00517F28"/>
    <w:rsid w:val="00521180"/>
    <w:rsid w:val="00521191"/>
    <w:rsid w:val="005218C3"/>
    <w:rsid w:val="00521E9D"/>
    <w:rsid w:val="00522159"/>
    <w:rsid w:val="00522F2A"/>
    <w:rsid w:val="005236F7"/>
    <w:rsid w:val="00523DAB"/>
    <w:rsid w:val="0052483D"/>
    <w:rsid w:val="00524C61"/>
    <w:rsid w:val="00524D06"/>
    <w:rsid w:val="00524FDE"/>
    <w:rsid w:val="00525623"/>
    <w:rsid w:val="0052604A"/>
    <w:rsid w:val="00527A67"/>
    <w:rsid w:val="00531237"/>
    <w:rsid w:val="00531881"/>
    <w:rsid w:val="00531978"/>
    <w:rsid w:val="00531DE4"/>
    <w:rsid w:val="005330BD"/>
    <w:rsid w:val="005333F3"/>
    <w:rsid w:val="00533CE8"/>
    <w:rsid w:val="00534029"/>
    <w:rsid w:val="0053411F"/>
    <w:rsid w:val="00534978"/>
    <w:rsid w:val="00534FC7"/>
    <w:rsid w:val="005353EA"/>
    <w:rsid w:val="0053550E"/>
    <w:rsid w:val="005367D5"/>
    <w:rsid w:val="00536FF5"/>
    <w:rsid w:val="00537E35"/>
    <w:rsid w:val="00540A1E"/>
    <w:rsid w:val="00540D4C"/>
    <w:rsid w:val="00541271"/>
    <w:rsid w:val="00541BE6"/>
    <w:rsid w:val="00542FFC"/>
    <w:rsid w:val="00543D20"/>
    <w:rsid w:val="00543EBC"/>
    <w:rsid w:val="00543F37"/>
    <w:rsid w:val="005447DD"/>
    <w:rsid w:val="005451B9"/>
    <w:rsid w:val="00545415"/>
    <w:rsid w:val="00545AD4"/>
    <w:rsid w:val="00545CEE"/>
    <w:rsid w:val="005461C0"/>
    <w:rsid w:val="00547B1C"/>
    <w:rsid w:val="005504BC"/>
    <w:rsid w:val="0055154E"/>
    <w:rsid w:val="00551791"/>
    <w:rsid w:val="005519ED"/>
    <w:rsid w:val="00552EB3"/>
    <w:rsid w:val="00553AA5"/>
    <w:rsid w:val="005543E0"/>
    <w:rsid w:val="00554C8E"/>
    <w:rsid w:val="00555259"/>
    <w:rsid w:val="005554AF"/>
    <w:rsid w:val="005556B2"/>
    <w:rsid w:val="005578AD"/>
    <w:rsid w:val="0056008A"/>
    <w:rsid w:val="005606B9"/>
    <w:rsid w:val="00561459"/>
    <w:rsid w:val="00561B12"/>
    <w:rsid w:val="00561DFD"/>
    <w:rsid w:val="00561F90"/>
    <w:rsid w:val="0056204C"/>
    <w:rsid w:val="00562433"/>
    <w:rsid w:val="00562F0E"/>
    <w:rsid w:val="00562FE3"/>
    <w:rsid w:val="005647C8"/>
    <w:rsid w:val="00564EAF"/>
    <w:rsid w:val="00565D72"/>
    <w:rsid w:val="00565F80"/>
    <w:rsid w:val="005660FD"/>
    <w:rsid w:val="005672B5"/>
    <w:rsid w:val="005700FC"/>
    <w:rsid w:val="00570FE8"/>
    <w:rsid w:val="00571660"/>
    <w:rsid w:val="00571E8A"/>
    <w:rsid w:val="00572548"/>
    <w:rsid w:val="0057283B"/>
    <w:rsid w:val="005732DE"/>
    <w:rsid w:val="00573A7A"/>
    <w:rsid w:val="00573FC2"/>
    <w:rsid w:val="005743F3"/>
    <w:rsid w:val="00575B51"/>
    <w:rsid w:val="00576178"/>
    <w:rsid w:val="0057789C"/>
    <w:rsid w:val="00580820"/>
    <w:rsid w:val="005819C5"/>
    <w:rsid w:val="005824E9"/>
    <w:rsid w:val="005837BD"/>
    <w:rsid w:val="0058464C"/>
    <w:rsid w:val="00584756"/>
    <w:rsid w:val="005860FD"/>
    <w:rsid w:val="00587EE4"/>
    <w:rsid w:val="00587F24"/>
    <w:rsid w:val="0058A868"/>
    <w:rsid w:val="00590091"/>
    <w:rsid w:val="0059072C"/>
    <w:rsid w:val="005915D6"/>
    <w:rsid w:val="00591A40"/>
    <w:rsid w:val="00591BF1"/>
    <w:rsid w:val="00591F96"/>
    <w:rsid w:val="0059366C"/>
    <w:rsid w:val="0059462F"/>
    <w:rsid w:val="00594F37"/>
    <w:rsid w:val="00595CF4"/>
    <w:rsid w:val="00595D18"/>
    <w:rsid w:val="005967DA"/>
    <w:rsid w:val="0059687E"/>
    <w:rsid w:val="00596F53"/>
    <w:rsid w:val="00597441"/>
    <w:rsid w:val="005A0888"/>
    <w:rsid w:val="005A0AF6"/>
    <w:rsid w:val="005A0B9F"/>
    <w:rsid w:val="005A1523"/>
    <w:rsid w:val="005A1AFE"/>
    <w:rsid w:val="005A20A0"/>
    <w:rsid w:val="005A2F63"/>
    <w:rsid w:val="005A2F6F"/>
    <w:rsid w:val="005A3579"/>
    <w:rsid w:val="005A3637"/>
    <w:rsid w:val="005A422C"/>
    <w:rsid w:val="005A473E"/>
    <w:rsid w:val="005A573D"/>
    <w:rsid w:val="005A59F4"/>
    <w:rsid w:val="005A5B9A"/>
    <w:rsid w:val="005A5C27"/>
    <w:rsid w:val="005A5EEE"/>
    <w:rsid w:val="005A5F57"/>
    <w:rsid w:val="005A6B9B"/>
    <w:rsid w:val="005A6BB1"/>
    <w:rsid w:val="005A7708"/>
    <w:rsid w:val="005B02FB"/>
    <w:rsid w:val="005B08F5"/>
    <w:rsid w:val="005B0F17"/>
    <w:rsid w:val="005B241F"/>
    <w:rsid w:val="005B28F7"/>
    <w:rsid w:val="005B368D"/>
    <w:rsid w:val="005B3B80"/>
    <w:rsid w:val="005B3E85"/>
    <w:rsid w:val="005B43C7"/>
    <w:rsid w:val="005B50B8"/>
    <w:rsid w:val="005B55D2"/>
    <w:rsid w:val="005B5623"/>
    <w:rsid w:val="005B5B2D"/>
    <w:rsid w:val="005B5BFC"/>
    <w:rsid w:val="005B7C09"/>
    <w:rsid w:val="005B7EC2"/>
    <w:rsid w:val="005C09EC"/>
    <w:rsid w:val="005C138B"/>
    <w:rsid w:val="005C1BFC"/>
    <w:rsid w:val="005C3B30"/>
    <w:rsid w:val="005C3F96"/>
    <w:rsid w:val="005C4549"/>
    <w:rsid w:val="005C489D"/>
    <w:rsid w:val="005C59CE"/>
    <w:rsid w:val="005C5F99"/>
    <w:rsid w:val="005C6529"/>
    <w:rsid w:val="005C762E"/>
    <w:rsid w:val="005C787C"/>
    <w:rsid w:val="005D027D"/>
    <w:rsid w:val="005D10A7"/>
    <w:rsid w:val="005D14A0"/>
    <w:rsid w:val="005D1B1B"/>
    <w:rsid w:val="005D1F76"/>
    <w:rsid w:val="005D1FFE"/>
    <w:rsid w:val="005D25EC"/>
    <w:rsid w:val="005D2ABC"/>
    <w:rsid w:val="005D2D13"/>
    <w:rsid w:val="005D47E4"/>
    <w:rsid w:val="005D5383"/>
    <w:rsid w:val="005D54CA"/>
    <w:rsid w:val="005D550A"/>
    <w:rsid w:val="005D5717"/>
    <w:rsid w:val="005D5CD7"/>
    <w:rsid w:val="005D60B8"/>
    <w:rsid w:val="005D6827"/>
    <w:rsid w:val="005D6F98"/>
    <w:rsid w:val="005D75C9"/>
    <w:rsid w:val="005D7D4E"/>
    <w:rsid w:val="005D7FB3"/>
    <w:rsid w:val="005E038B"/>
    <w:rsid w:val="005E1543"/>
    <w:rsid w:val="005E1653"/>
    <w:rsid w:val="005E18EB"/>
    <w:rsid w:val="005E1C27"/>
    <w:rsid w:val="005E1D1F"/>
    <w:rsid w:val="005E20BF"/>
    <w:rsid w:val="005E2179"/>
    <w:rsid w:val="005E243D"/>
    <w:rsid w:val="005E2508"/>
    <w:rsid w:val="005E2647"/>
    <w:rsid w:val="005E28CB"/>
    <w:rsid w:val="005E3288"/>
    <w:rsid w:val="005E3C5F"/>
    <w:rsid w:val="005E3EFB"/>
    <w:rsid w:val="005E42AF"/>
    <w:rsid w:val="005E55B1"/>
    <w:rsid w:val="005E56E6"/>
    <w:rsid w:val="005E61ED"/>
    <w:rsid w:val="005E6A8A"/>
    <w:rsid w:val="005E6F13"/>
    <w:rsid w:val="005E6FC9"/>
    <w:rsid w:val="005E757A"/>
    <w:rsid w:val="005F128A"/>
    <w:rsid w:val="005F1373"/>
    <w:rsid w:val="005F2316"/>
    <w:rsid w:val="005F4085"/>
    <w:rsid w:val="005F4933"/>
    <w:rsid w:val="005F49FD"/>
    <w:rsid w:val="005F5C7E"/>
    <w:rsid w:val="005F6EAE"/>
    <w:rsid w:val="005F70AA"/>
    <w:rsid w:val="006005C1"/>
    <w:rsid w:val="00600627"/>
    <w:rsid w:val="00600B02"/>
    <w:rsid w:val="00600D22"/>
    <w:rsid w:val="00601444"/>
    <w:rsid w:val="0060194A"/>
    <w:rsid w:val="00601D20"/>
    <w:rsid w:val="006025A4"/>
    <w:rsid w:val="00602EF3"/>
    <w:rsid w:val="0060306A"/>
    <w:rsid w:val="006036FD"/>
    <w:rsid w:val="006044A3"/>
    <w:rsid w:val="006049B0"/>
    <w:rsid w:val="006053EE"/>
    <w:rsid w:val="00606CD5"/>
    <w:rsid w:val="0061063F"/>
    <w:rsid w:val="006109F6"/>
    <w:rsid w:val="0061177B"/>
    <w:rsid w:val="006124DB"/>
    <w:rsid w:val="00612567"/>
    <w:rsid w:val="0061276B"/>
    <w:rsid w:val="0061362E"/>
    <w:rsid w:val="00613A42"/>
    <w:rsid w:val="00613A56"/>
    <w:rsid w:val="00615341"/>
    <w:rsid w:val="0061616D"/>
    <w:rsid w:val="006163AE"/>
    <w:rsid w:val="00616ADA"/>
    <w:rsid w:val="00616C58"/>
    <w:rsid w:val="006175A7"/>
    <w:rsid w:val="006175FF"/>
    <w:rsid w:val="006200B8"/>
    <w:rsid w:val="00621AD0"/>
    <w:rsid w:val="006220FA"/>
    <w:rsid w:val="00623147"/>
    <w:rsid w:val="006239C7"/>
    <w:rsid w:val="00623BE6"/>
    <w:rsid w:val="0062454B"/>
    <w:rsid w:val="00624572"/>
    <w:rsid w:val="006252C6"/>
    <w:rsid w:val="006256D3"/>
    <w:rsid w:val="0062576C"/>
    <w:rsid w:val="00626033"/>
    <w:rsid w:val="00627A36"/>
    <w:rsid w:val="00630505"/>
    <w:rsid w:val="00630598"/>
    <w:rsid w:val="00630922"/>
    <w:rsid w:val="00630E11"/>
    <w:rsid w:val="00631143"/>
    <w:rsid w:val="00631459"/>
    <w:rsid w:val="00631C17"/>
    <w:rsid w:val="00631CE5"/>
    <w:rsid w:val="006321B1"/>
    <w:rsid w:val="0063248E"/>
    <w:rsid w:val="006324BC"/>
    <w:rsid w:val="006324CB"/>
    <w:rsid w:val="00632CF0"/>
    <w:rsid w:val="00632E7D"/>
    <w:rsid w:val="006331B0"/>
    <w:rsid w:val="0063331E"/>
    <w:rsid w:val="0063415D"/>
    <w:rsid w:val="006341FD"/>
    <w:rsid w:val="006344E0"/>
    <w:rsid w:val="00634539"/>
    <w:rsid w:val="0063455B"/>
    <w:rsid w:val="006345B2"/>
    <w:rsid w:val="006349C1"/>
    <w:rsid w:val="00634C72"/>
    <w:rsid w:val="006360DB"/>
    <w:rsid w:val="00636646"/>
    <w:rsid w:val="00636B85"/>
    <w:rsid w:val="006375CA"/>
    <w:rsid w:val="00640C7A"/>
    <w:rsid w:val="00641E9B"/>
    <w:rsid w:val="0064251B"/>
    <w:rsid w:val="00643DC9"/>
    <w:rsid w:val="006460B8"/>
    <w:rsid w:val="0064646B"/>
    <w:rsid w:val="00646AE9"/>
    <w:rsid w:val="006471E5"/>
    <w:rsid w:val="00647583"/>
    <w:rsid w:val="006479EF"/>
    <w:rsid w:val="006502E1"/>
    <w:rsid w:val="006514A3"/>
    <w:rsid w:val="00651B11"/>
    <w:rsid w:val="006526D9"/>
    <w:rsid w:val="0065287A"/>
    <w:rsid w:val="006529AA"/>
    <w:rsid w:val="0065341B"/>
    <w:rsid w:val="00654707"/>
    <w:rsid w:val="0065573A"/>
    <w:rsid w:val="00657204"/>
    <w:rsid w:val="00657CCC"/>
    <w:rsid w:val="0066010E"/>
    <w:rsid w:val="006602CD"/>
    <w:rsid w:val="00660D00"/>
    <w:rsid w:val="00662804"/>
    <w:rsid w:val="00662879"/>
    <w:rsid w:val="00662F12"/>
    <w:rsid w:val="0066312B"/>
    <w:rsid w:val="006633C0"/>
    <w:rsid w:val="006638D6"/>
    <w:rsid w:val="00663954"/>
    <w:rsid w:val="00664BCA"/>
    <w:rsid w:val="00664D23"/>
    <w:rsid w:val="00665B0A"/>
    <w:rsid w:val="0066658E"/>
    <w:rsid w:val="006668D8"/>
    <w:rsid w:val="00666D5A"/>
    <w:rsid w:val="006672E3"/>
    <w:rsid w:val="00667656"/>
    <w:rsid w:val="006676BC"/>
    <w:rsid w:val="00667C06"/>
    <w:rsid w:val="00670051"/>
    <w:rsid w:val="00670523"/>
    <w:rsid w:val="00670587"/>
    <w:rsid w:val="00671048"/>
    <w:rsid w:val="00671F39"/>
    <w:rsid w:val="006722A9"/>
    <w:rsid w:val="00672851"/>
    <w:rsid w:val="00672D7A"/>
    <w:rsid w:val="00673084"/>
    <w:rsid w:val="0067419C"/>
    <w:rsid w:val="00675794"/>
    <w:rsid w:val="00675F66"/>
    <w:rsid w:val="006765F9"/>
    <w:rsid w:val="00676B57"/>
    <w:rsid w:val="00676C1C"/>
    <w:rsid w:val="00676C4C"/>
    <w:rsid w:val="006800C7"/>
    <w:rsid w:val="00680333"/>
    <w:rsid w:val="0068048A"/>
    <w:rsid w:val="00680E08"/>
    <w:rsid w:val="00681DA9"/>
    <w:rsid w:val="0068358B"/>
    <w:rsid w:val="006837A0"/>
    <w:rsid w:val="00683C7D"/>
    <w:rsid w:val="006840DD"/>
    <w:rsid w:val="006856D8"/>
    <w:rsid w:val="00686258"/>
    <w:rsid w:val="00686D1E"/>
    <w:rsid w:val="00686E4E"/>
    <w:rsid w:val="006870AE"/>
    <w:rsid w:val="006872E2"/>
    <w:rsid w:val="00687BE4"/>
    <w:rsid w:val="00687C9E"/>
    <w:rsid w:val="00687F36"/>
    <w:rsid w:val="00687F72"/>
    <w:rsid w:val="00690C0D"/>
    <w:rsid w:val="006915C5"/>
    <w:rsid w:val="00692151"/>
    <w:rsid w:val="00692678"/>
    <w:rsid w:val="00692B5D"/>
    <w:rsid w:val="0069336F"/>
    <w:rsid w:val="00693C00"/>
    <w:rsid w:val="00693E90"/>
    <w:rsid w:val="00694365"/>
    <w:rsid w:val="0069437A"/>
    <w:rsid w:val="00695011"/>
    <w:rsid w:val="0069543B"/>
    <w:rsid w:val="00695AEB"/>
    <w:rsid w:val="0069607B"/>
    <w:rsid w:val="00696E76"/>
    <w:rsid w:val="00697198"/>
    <w:rsid w:val="00697374"/>
    <w:rsid w:val="00697727"/>
    <w:rsid w:val="00697AB0"/>
    <w:rsid w:val="00697AE2"/>
    <w:rsid w:val="00697DAB"/>
    <w:rsid w:val="006A01D7"/>
    <w:rsid w:val="006A1FFB"/>
    <w:rsid w:val="006A3C4C"/>
    <w:rsid w:val="006A424B"/>
    <w:rsid w:val="006A4433"/>
    <w:rsid w:val="006A46F7"/>
    <w:rsid w:val="006A47EA"/>
    <w:rsid w:val="006A4E08"/>
    <w:rsid w:val="006A5214"/>
    <w:rsid w:val="006A54D0"/>
    <w:rsid w:val="006A6173"/>
    <w:rsid w:val="006A6EF2"/>
    <w:rsid w:val="006A705B"/>
    <w:rsid w:val="006A7B6C"/>
    <w:rsid w:val="006B16CD"/>
    <w:rsid w:val="006B22CB"/>
    <w:rsid w:val="006B2C36"/>
    <w:rsid w:val="006B4C20"/>
    <w:rsid w:val="006B5459"/>
    <w:rsid w:val="006B5FC7"/>
    <w:rsid w:val="006B65AA"/>
    <w:rsid w:val="006B664F"/>
    <w:rsid w:val="006B72DC"/>
    <w:rsid w:val="006B78D3"/>
    <w:rsid w:val="006C017C"/>
    <w:rsid w:val="006C0489"/>
    <w:rsid w:val="006C0DF1"/>
    <w:rsid w:val="006C19FF"/>
    <w:rsid w:val="006C3B5B"/>
    <w:rsid w:val="006C4152"/>
    <w:rsid w:val="006C44AF"/>
    <w:rsid w:val="006C4726"/>
    <w:rsid w:val="006C4B0D"/>
    <w:rsid w:val="006C5825"/>
    <w:rsid w:val="006C5858"/>
    <w:rsid w:val="006C5C95"/>
    <w:rsid w:val="006C6A63"/>
    <w:rsid w:val="006C70ED"/>
    <w:rsid w:val="006C7109"/>
    <w:rsid w:val="006C7BED"/>
    <w:rsid w:val="006D045D"/>
    <w:rsid w:val="006D05F8"/>
    <w:rsid w:val="006D0F90"/>
    <w:rsid w:val="006D1273"/>
    <w:rsid w:val="006D1315"/>
    <w:rsid w:val="006D1B1A"/>
    <w:rsid w:val="006D2091"/>
    <w:rsid w:val="006D219A"/>
    <w:rsid w:val="006D247F"/>
    <w:rsid w:val="006D2FCF"/>
    <w:rsid w:val="006D3126"/>
    <w:rsid w:val="006D3407"/>
    <w:rsid w:val="006D34ED"/>
    <w:rsid w:val="006D3E2D"/>
    <w:rsid w:val="006D44D3"/>
    <w:rsid w:val="006D45D7"/>
    <w:rsid w:val="006D49F8"/>
    <w:rsid w:val="006D526E"/>
    <w:rsid w:val="006D52C6"/>
    <w:rsid w:val="006D64A8"/>
    <w:rsid w:val="006D68FE"/>
    <w:rsid w:val="006D6F0C"/>
    <w:rsid w:val="006E02C8"/>
    <w:rsid w:val="006E0832"/>
    <w:rsid w:val="006E11C5"/>
    <w:rsid w:val="006E2139"/>
    <w:rsid w:val="006E2E96"/>
    <w:rsid w:val="006E3051"/>
    <w:rsid w:val="006E31DC"/>
    <w:rsid w:val="006E3B8B"/>
    <w:rsid w:val="006E4ADC"/>
    <w:rsid w:val="006E5B1C"/>
    <w:rsid w:val="006E60BB"/>
    <w:rsid w:val="006E61B4"/>
    <w:rsid w:val="006E6435"/>
    <w:rsid w:val="006E6CC3"/>
    <w:rsid w:val="006E7711"/>
    <w:rsid w:val="006F01DD"/>
    <w:rsid w:val="006F0CEE"/>
    <w:rsid w:val="006F0D3B"/>
    <w:rsid w:val="006F10FB"/>
    <w:rsid w:val="006F1799"/>
    <w:rsid w:val="006F1912"/>
    <w:rsid w:val="006F1DA8"/>
    <w:rsid w:val="006F1E9E"/>
    <w:rsid w:val="006F22ED"/>
    <w:rsid w:val="006F2309"/>
    <w:rsid w:val="006F2C52"/>
    <w:rsid w:val="006F2E95"/>
    <w:rsid w:val="006F3106"/>
    <w:rsid w:val="006F3866"/>
    <w:rsid w:val="006F4626"/>
    <w:rsid w:val="006F4D78"/>
    <w:rsid w:val="006F511E"/>
    <w:rsid w:val="006F5518"/>
    <w:rsid w:val="006F57E0"/>
    <w:rsid w:val="006F5CBA"/>
    <w:rsid w:val="006F5D72"/>
    <w:rsid w:val="006F6AAA"/>
    <w:rsid w:val="006F7266"/>
    <w:rsid w:val="00700462"/>
    <w:rsid w:val="00700807"/>
    <w:rsid w:val="00700A0E"/>
    <w:rsid w:val="00701A75"/>
    <w:rsid w:val="00702538"/>
    <w:rsid w:val="007025D9"/>
    <w:rsid w:val="00702FF8"/>
    <w:rsid w:val="0070369D"/>
    <w:rsid w:val="00703D01"/>
    <w:rsid w:val="007042D6"/>
    <w:rsid w:val="00704431"/>
    <w:rsid w:val="00704BA7"/>
    <w:rsid w:val="007052B7"/>
    <w:rsid w:val="00705A09"/>
    <w:rsid w:val="00705FBC"/>
    <w:rsid w:val="007068AF"/>
    <w:rsid w:val="00707F4A"/>
    <w:rsid w:val="00710360"/>
    <w:rsid w:val="007125BA"/>
    <w:rsid w:val="00712E95"/>
    <w:rsid w:val="00712F04"/>
    <w:rsid w:val="0071374C"/>
    <w:rsid w:val="00713C59"/>
    <w:rsid w:val="00714828"/>
    <w:rsid w:val="00714CC3"/>
    <w:rsid w:val="00714E9C"/>
    <w:rsid w:val="007151FE"/>
    <w:rsid w:val="00716505"/>
    <w:rsid w:val="00717B23"/>
    <w:rsid w:val="0072002A"/>
    <w:rsid w:val="0072015A"/>
    <w:rsid w:val="00720230"/>
    <w:rsid w:val="00720865"/>
    <w:rsid w:val="00723121"/>
    <w:rsid w:val="007232E0"/>
    <w:rsid w:val="00723E69"/>
    <w:rsid w:val="007240E4"/>
    <w:rsid w:val="0072456A"/>
    <w:rsid w:val="007249B2"/>
    <w:rsid w:val="00724A9A"/>
    <w:rsid w:val="00724F7E"/>
    <w:rsid w:val="007250D0"/>
    <w:rsid w:val="00725BBB"/>
    <w:rsid w:val="00725C6C"/>
    <w:rsid w:val="00726EE7"/>
    <w:rsid w:val="007270F4"/>
    <w:rsid w:val="00730446"/>
    <w:rsid w:val="0073097E"/>
    <w:rsid w:val="00731276"/>
    <w:rsid w:val="0073231B"/>
    <w:rsid w:val="007327CD"/>
    <w:rsid w:val="00733729"/>
    <w:rsid w:val="0073374D"/>
    <w:rsid w:val="00733D36"/>
    <w:rsid w:val="00734074"/>
    <w:rsid w:val="007340FB"/>
    <w:rsid w:val="00734C9B"/>
    <w:rsid w:val="00736D1D"/>
    <w:rsid w:val="00737B21"/>
    <w:rsid w:val="007408CB"/>
    <w:rsid w:val="00740F2A"/>
    <w:rsid w:val="007411E6"/>
    <w:rsid w:val="00742AD4"/>
    <w:rsid w:val="00742CD7"/>
    <w:rsid w:val="0074312B"/>
    <w:rsid w:val="007443F6"/>
    <w:rsid w:val="00744910"/>
    <w:rsid w:val="00745047"/>
    <w:rsid w:val="007453B6"/>
    <w:rsid w:val="007458FA"/>
    <w:rsid w:val="00746760"/>
    <w:rsid w:val="007467DE"/>
    <w:rsid w:val="00747710"/>
    <w:rsid w:val="00747E84"/>
    <w:rsid w:val="007500BC"/>
    <w:rsid w:val="00750ADF"/>
    <w:rsid w:val="00750EC1"/>
    <w:rsid w:val="0075111D"/>
    <w:rsid w:val="007517C6"/>
    <w:rsid w:val="00753165"/>
    <w:rsid w:val="00753357"/>
    <w:rsid w:val="00753D16"/>
    <w:rsid w:val="00753E27"/>
    <w:rsid w:val="00754EAC"/>
    <w:rsid w:val="00755256"/>
    <w:rsid w:val="007552CC"/>
    <w:rsid w:val="00755692"/>
    <w:rsid w:val="00755907"/>
    <w:rsid w:val="007562DA"/>
    <w:rsid w:val="0075756B"/>
    <w:rsid w:val="007577B9"/>
    <w:rsid w:val="00757C70"/>
    <w:rsid w:val="0076059A"/>
    <w:rsid w:val="00760F08"/>
    <w:rsid w:val="007627D2"/>
    <w:rsid w:val="00762C7C"/>
    <w:rsid w:val="00762D12"/>
    <w:rsid w:val="00762FBE"/>
    <w:rsid w:val="007634A9"/>
    <w:rsid w:val="0076356B"/>
    <w:rsid w:val="00763E02"/>
    <w:rsid w:val="007651EA"/>
    <w:rsid w:val="007664E4"/>
    <w:rsid w:val="00766A7A"/>
    <w:rsid w:val="007677F6"/>
    <w:rsid w:val="00767E2A"/>
    <w:rsid w:val="00771BAB"/>
    <w:rsid w:val="00771C54"/>
    <w:rsid w:val="00771EED"/>
    <w:rsid w:val="007740BD"/>
    <w:rsid w:val="00774151"/>
    <w:rsid w:val="007747BE"/>
    <w:rsid w:val="00775886"/>
    <w:rsid w:val="007763BD"/>
    <w:rsid w:val="007764DE"/>
    <w:rsid w:val="007768DF"/>
    <w:rsid w:val="007768FB"/>
    <w:rsid w:val="0077693D"/>
    <w:rsid w:val="00776F99"/>
    <w:rsid w:val="00777300"/>
    <w:rsid w:val="00777C67"/>
    <w:rsid w:val="00777E07"/>
    <w:rsid w:val="007802AD"/>
    <w:rsid w:val="0078047F"/>
    <w:rsid w:val="00780E29"/>
    <w:rsid w:val="00781203"/>
    <w:rsid w:val="00781312"/>
    <w:rsid w:val="00781F73"/>
    <w:rsid w:val="00782FF3"/>
    <w:rsid w:val="00783189"/>
    <w:rsid w:val="00783744"/>
    <w:rsid w:val="00783F58"/>
    <w:rsid w:val="00784190"/>
    <w:rsid w:val="007845E1"/>
    <w:rsid w:val="00784ACA"/>
    <w:rsid w:val="00784C55"/>
    <w:rsid w:val="00784F48"/>
    <w:rsid w:val="007856B3"/>
    <w:rsid w:val="00785927"/>
    <w:rsid w:val="00785982"/>
    <w:rsid w:val="007859B2"/>
    <w:rsid w:val="00785B2E"/>
    <w:rsid w:val="00785E52"/>
    <w:rsid w:val="0078623C"/>
    <w:rsid w:val="00787686"/>
    <w:rsid w:val="00787A0D"/>
    <w:rsid w:val="00787E50"/>
    <w:rsid w:val="0079063F"/>
    <w:rsid w:val="00791417"/>
    <w:rsid w:val="00791DF6"/>
    <w:rsid w:val="00793D9F"/>
    <w:rsid w:val="00794031"/>
    <w:rsid w:val="00795093"/>
    <w:rsid w:val="00795EF2"/>
    <w:rsid w:val="00796096"/>
    <w:rsid w:val="007968B8"/>
    <w:rsid w:val="00796B1B"/>
    <w:rsid w:val="00796BFC"/>
    <w:rsid w:val="007A0B2C"/>
    <w:rsid w:val="007A0FEC"/>
    <w:rsid w:val="007A12C9"/>
    <w:rsid w:val="007A17BB"/>
    <w:rsid w:val="007A272C"/>
    <w:rsid w:val="007A2B3E"/>
    <w:rsid w:val="007A2EB1"/>
    <w:rsid w:val="007A2EE6"/>
    <w:rsid w:val="007A50F6"/>
    <w:rsid w:val="007A584C"/>
    <w:rsid w:val="007A6EEF"/>
    <w:rsid w:val="007A708F"/>
    <w:rsid w:val="007A71AC"/>
    <w:rsid w:val="007A7AF1"/>
    <w:rsid w:val="007B0A71"/>
    <w:rsid w:val="007B18D0"/>
    <w:rsid w:val="007B1973"/>
    <w:rsid w:val="007B19B5"/>
    <w:rsid w:val="007B1F3E"/>
    <w:rsid w:val="007B21AB"/>
    <w:rsid w:val="007B2DC7"/>
    <w:rsid w:val="007B2E9D"/>
    <w:rsid w:val="007B3862"/>
    <w:rsid w:val="007B53C5"/>
    <w:rsid w:val="007B5E8E"/>
    <w:rsid w:val="007B5FB4"/>
    <w:rsid w:val="007B6843"/>
    <w:rsid w:val="007B710C"/>
    <w:rsid w:val="007B7BCE"/>
    <w:rsid w:val="007C0A36"/>
    <w:rsid w:val="007C0B6B"/>
    <w:rsid w:val="007C0D75"/>
    <w:rsid w:val="007C126B"/>
    <w:rsid w:val="007C13B8"/>
    <w:rsid w:val="007C2617"/>
    <w:rsid w:val="007C2FE3"/>
    <w:rsid w:val="007C3072"/>
    <w:rsid w:val="007C38C6"/>
    <w:rsid w:val="007C3D5C"/>
    <w:rsid w:val="007C3F00"/>
    <w:rsid w:val="007C4673"/>
    <w:rsid w:val="007C4D6B"/>
    <w:rsid w:val="007C4FEE"/>
    <w:rsid w:val="007C549B"/>
    <w:rsid w:val="007C5944"/>
    <w:rsid w:val="007C68B5"/>
    <w:rsid w:val="007C7864"/>
    <w:rsid w:val="007C79A2"/>
    <w:rsid w:val="007D1457"/>
    <w:rsid w:val="007D1D5D"/>
    <w:rsid w:val="007D2511"/>
    <w:rsid w:val="007D264A"/>
    <w:rsid w:val="007D2827"/>
    <w:rsid w:val="007D3281"/>
    <w:rsid w:val="007D354A"/>
    <w:rsid w:val="007D4093"/>
    <w:rsid w:val="007D41D8"/>
    <w:rsid w:val="007D4FDA"/>
    <w:rsid w:val="007D58D7"/>
    <w:rsid w:val="007D5AD8"/>
    <w:rsid w:val="007D5B85"/>
    <w:rsid w:val="007D5E42"/>
    <w:rsid w:val="007D6269"/>
    <w:rsid w:val="007D62F3"/>
    <w:rsid w:val="007D6425"/>
    <w:rsid w:val="007D68B3"/>
    <w:rsid w:val="007D7577"/>
    <w:rsid w:val="007D7696"/>
    <w:rsid w:val="007E01D5"/>
    <w:rsid w:val="007E0BB2"/>
    <w:rsid w:val="007E120E"/>
    <w:rsid w:val="007E1342"/>
    <w:rsid w:val="007E2909"/>
    <w:rsid w:val="007E29A7"/>
    <w:rsid w:val="007E2CAF"/>
    <w:rsid w:val="007E2EB9"/>
    <w:rsid w:val="007E32F6"/>
    <w:rsid w:val="007E48CF"/>
    <w:rsid w:val="007E4F4C"/>
    <w:rsid w:val="007E4FE0"/>
    <w:rsid w:val="007E50B3"/>
    <w:rsid w:val="007E5EDC"/>
    <w:rsid w:val="007E755D"/>
    <w:rsid w:val="007F00FF"/>
    <w:rsid w:val="007F035B"/>
    <w:rsid w:val="007F1946"/>
    <w:rsid w:val="007F2C99"/>
    <w:rsid w:val="007F2D88"/>
    <w:rsid w:val="007F31B2"/>
    <w:rsid w:val="007F34B6"/>
    <w:rsid w:val="007F352D"/>
    <w:rsid w:val="007F41B0"/>
    <w:rsid w:val="007F446E"/>
    <w:rsid w:val="007F497E"/>
    <w:rsid w:val="007F549E"/>
    <w:rsid w:val="007F607A"/>
    <w:rsid w:val="007F670C"/>
    <w:rsid w:val="007F6B86"/>
    <w:rsid w:val="007F6FB1"/>
    <w:rsid w:val="007F71DF"/>
    <w:rsid w:val="0080076A"/>
    <w:rsid w:val="008013C9"/>
    <w:rsid w:val="008018E2"/>
    <w:rsid w:val="00801EB3"/>
    <w:rsid w:val="00802C14"/>
    <w:rsid w:val="00802DF9"/>
    <w:rsid w:val="00803052"/>
    <w:rsid w:val="008033C2"/>
    <w:rsid w:val="0080342B"/>
    <w:rsid w:val="008039B2"/>
    <w:rsid w:val="00803AF3"/>
    <w:rsid w:val="00803DB8"/>
    <w:rsid w:val="00804AA4"/>
    <w:rsid w:val="00805FBE"/>
    <w:rsid w:val="00806136"/>
    <w:rsid w:val="00806A19"/>
    <w:rsid w:val="00806A3A"/>
    <w:rsid w:val="008076AF"/>
    <w:rsid w:val="00810362"/>
    <w:rsid w:val="00810570"/>
    <w:rsid w:val="00810D9B"/>
    <w:rsid w:val="00812232"/>
    <w:rsid w:val="00812AA1"/>
    <w:rsid w:val="008131FA"/>
    <w:rsid w:val="008133C0"/>
    <w:rsid w:val="008133C2"/>
    <w:rsid w:val="00814A3A"/>
    <w:rsid w:val="00814C24"/>
    <w:rsid w:val="008158B0"/>
    <w:rsid w:val="00815A3E"/>
    <w:rsid w:val="00815E33"/>
    <w:rsid w:val="008164E8"/>
    <w:rsid w:val="008177EE"/>
    <w:rsid w:val="0082045E"/>
    <w:rsid w:val="00820BED"/>
    <w:rsid w:val="00821692"/>
    <w:rsid w:val="00821B54"/>
    <w:rsid w:val="00822091"/>
    <w:rsid w:val="00822725"/>
    <w:rsid w:val="00822A6D"/>
    <w:rsid w:val="00823209"/>
    <w:rsid w:val="00823311"/>
    <w:rsid w:val="00823C69"/>
    <w:rsid w:val="008246E3"/>
    <w:rsid w:val="00824DED"/>
    <w:rsid w:val="0082570F"/>
    <w:rsid w:val="008259CF"/>
    <w:rsid w:val="00825CD1"/>
    <w:rsid w:val="00825E35"/>
    <w:rsid w:val="00825ED8"/>
    <w:rsid w:val="00827686"/>
    <w:rsid w:val="00827998"/>
    <w:rsid w:val="00827EC4"/>
    <w:rsid w:val="00830CC4"/>
    <w:rsid w:val="00830E30"/>
    <w:rsid w:val="00831223"/>
    <w:rsid w:val="0083168B"/>
    <w:rsid w:val="00831D33"/>
    <w:rsid w:val="00832014"/>
    <w:rsid w:val="00832D88"/>
    <w:rsid w:val="00832F6E"/>
    <w:rsid w:val="0083338D"/>
    <w:rsid w:val="00833722"/>
    <w:rsid w:val="00833FB6"/>
    <w:rsid w:val="00834BC3"/>
    <w:rsid w:val="00835BE6"/>
    <w:rsid w:val="008367FE"/>
    <w:rsid w:val="00837336"/>
    <w:rsid w:val="008406D6"/>
    <w:rsid w:val="00841CE1"/>
    <w:rsid w:val="00842367"/>
    <w:rsid w:val="00842FE7"/>
    <w:rsid w:val="00844277"/>
    <w:rsid w:val="00844434"/>
    <w:rsid w:val="008447BC"/>
    <w:rsid w:val="00844F3B"/>
    <w:rsid w:val="008455EF"/>
    <w:rsid w:val="00845891"/>
    <w:rsid w:val="008466D9"/>
    <w:rsid w:val="008468A1"/>
    <w:rsid w:val="0084695A"/>
    <w:rsid w:val="00850E16"/>
    <w:rsid w:val="00851691"/>
    <w:rsid w:val="00852018"/>
    <w:rsid w:val="008543E8"/>
    <w:rsid w:val="0085473B"/>
    <w:rsid w:val="00854D9E"/>
    <w:rsid w:val="00855BC6"/>
    <w:rsid w:val="00856121"/>
    <w:rsid w:val="00856CE6"/>
    <w:rsid w:val="008576BB"/>
    <w:rsid w:val="008602A5"/>
    <w:rsid w:val="00860AF0"/>
    <w:rsid w:val="008614F2"/>
    <w:rsid w:val="008618B2"/>
    <w:rsid w:val="00861CFB"/>
    <w:rsid w:val="008626CE"/>
    <w:rsid w:val="00862760"/>
    <w:rsid w:val="008654CC"/>
    <w:rsid w:val="00866634"/>
    <w:rsid w:val="0086686A"/>
    <w:rsid w:val="00867A25"/>
    <w:rsid w:val="008700BA"/>
    <w:rsid w:val="00871718"/>
    <w:rsid w:val="00871A4E"/>
    <w:rsid w:val="008721B4"/>
    <w:rsid w:val="00872617"/>
    <w:rsid w:val="00873666"/>
    <w:rsid w:val="00873FB4"/>
    <w:rsid w:val="0087426E"/>
    <w:rsid w:val="008742F0"/>
    <w:rsid w:val="008744DB"/>
    <w:rsid w:val="00874736"/>
    <w:rsid w:val="008748B4"/>
    <w:rsid w:val="008749EB"/>
    <w:rsid w:val="008751F6"/>
    <w:rsid w:val="0087543E"/>
    <w:rsid w:val="00875CD5"/>
    <w:rsid w:val="00876854"/>
    <w:rsid w:val="00876986"/>
    <w:rsid w:val="008769F5"/>
    <w:rsid w:val="008804BC"/>
    <w:rsid w:val="008805F2"/>
    <w:rsid w:val="00880D1A"/>
    <w:rsid w:val="00880D91"/>
    <w:rsid w:val="00880DB2"/>
    <w:rsid w:val="00881530"/>
    <w:rsid w:val="00881D81"/>
    <w:rsid w:val="00881E2C"/>
    <w:rsid w:val="008824C9"/>
    <w:rsid w:val="00882E04"/>
    <w:rsid w:val="00882F2B"/>
    <w:rsid w:val="00883566"/>
    <w:rsid w:val="008838CF"/>
    <w:rsid w:val="008849FF"/>
    <w:rsid w:val="00884ED9"/>
    <w:rsid w:val="008859AC"/>
    <w:rsid w:val="008860D0"/>
    <w:rsid w:val="008869C8"/>
    <w:rsid w:val="00886AC3"/>
    <w:rsid w:val="008901CB"/>
    <w:rsid w:val="008903B5"/>
    <w:rsid w:val="008907B6"/>
    <w:rsid w:val="00891125"/>
    <w:rsid w:val="008925B6"/>
    <w:rsid w:val="008927BF"/>
    <w:rsid w:val="00893A2E"/>
    <w:rsid w:val="00893BDD"/>
    <w:rsid w:val="00893DC6"/>
    <w:rsid w:val="0089421F"/>
    <w:rsid w:val="0089483A"/>
    <w:rsid w:val="008962BC"/>
    <w:rsid w:val="00896574"/>
    <w:rsid w:val="008979C1"/>
    <w:rsid w:val="00897AB4"/>
    <w:rsid w:val="008A001D"/>
    <w:rsid w:val="008A0025"/>
    <w:rsid w:val="008A082C"/>
    <w:rsid w:val="008A0B86"/>
    <w:rsid w:val="008A1A20"/>
    <w:rsid w:val="008A1B97"/>
    <w:rsid w:val="008A2094"/>
    <w:rsid w:val="008A2249"/>
    <w:rsid w:val="008A337D"/>
    <w:rsid w:val="008A338C"/>
    <w:rsid w:val="008A34C7"/>
    <w:rsid w:val="008A37BA"/>
    <w:rsid w:val="008A3993"/>
    <w:rsid w:val="008A402E"/>
    <w:rsid w:val="008A4178"/>
    <w:rsid w:val="008A4E18"/>
    <w:rsid w:val="008A5580"/>
    <w:rsid w:val="008A571F"/>
    <w:rsid w:val="008A5F69"/>
    <w:rsid w:val="008A5F7E"/>
    <w:rsid w:val="008A632A"/>
    <w:rsid w:val="008A6428"/>
    <w:rsid w:val="008A64F4"/>
    <w:rsid w:val="008A674D"/>
    <w:rsid w:val="008A742C"/>
    <w:rsid w:val="008A757E"/>
    <w:rsid w:val="008A78EC"/>
    <w:rsid w:val="008A7991"/>
    <w:rsid w:val="008A7C07"/>
    <w:rsid w:val="008B03A8"/>
    <w:rsid w:val="008B08E2"/>
    <w:rsid w:val="008B08F6"/>
    <w:rsid w:val="008B0E67"/>
    <w:rsid w:val="008B0FCF"/>
    <w:rsid w:val="008B11C9"/>
    <w:rsid w:val="008B155F"/>
    <w:rsid w:val="008B1863"/>
    <w:rsid w:val="008B1AB6"/>
    <w:rsid w:val="008B1BC6"/>
    <w:rsid w:val="008B1F30"/>
    <w:rsid w:val="008B25F2"/>
    <w:rsid w:val="008B2DD4"/>
    <w:rsid w:val="008B3602"/>
    <w:rsid w:val="008B38F5"/>
    <w:rsid w:val="008B3EFF"/>
    <w:rsid w:val="008B4A70"/>
    <w:rsid w:val="008B564D"/>
    <w:rsid w:val="008B6B71"/>
    <w:rsid w:val="008B7E6F"/>
    <w:rsid w:val="008C0158"/>
    <w:rsid w:val="008C174F"/>
    <w:rsid w:val="008C2219"/>
    <w:rsid w:val="008C2699"/>
    <w:rsid w:val="008C2B36"/>
    <w:rsid w:val="008C2BDD"/>
    <w:rsid w:val="008C2EB9"/>
    <w:rsid w:val="008C336B"/>
    <w:rsid w:val="008C33A6"/>
    <w:rsid w:val="008C3699"/>
    <w:rsid w:val="008C3F3A"/>
    <w:rsid w:val="008C4902"/>
    <w:rsid w:val="008C5042"/>
    <w:rsid w:val="008C544B"/>
    <w:rsid w:val="008C7EDB"/>
    <w:rsid w:val="008D124E"/>
    <w:rsid w:val="008D1581"/>
    <w:rsid w:val="008D16A2"/>
    <w:rsid w:val="008D1875"/>
    <w:rsid w:val="008D1BAD"/>
    <w:rsid w:val="008D1C55"/>
    <w:rsid w:val="008D33E2"/>
    <w:rsid w:val="008D368A"/>
    <w:rsid w:val="008D4019"/>
    <w:rsid w:val="008D45F1"/>
    <w:rsid w:val="008D51F3"/>
    <w:rsid w:val="008D7074"/>
    <w:rsid w:val="008D7B35"/>
    <w:rsid w:val="008E051D"/>
    <w:rsid w:val="008E0C50"/>
    <w:rsid w:val="008E0F34"/>
    <w:rsid w:val="008E1E03"/>
    <w:rsid w:val="008E2B3B"/>
    <w:rsid w:val="008E3ADF"/>
    <w:rsid w:val="008E4096"/>
    <w:rsid w:val="008E4A0D"/>
    <w:rsid w:val="008E4A5F"/>
    <w:rsid w:val="008E5057"/>
    <w:rsid w:val="008E6D34"/>
    <w:rsid w:val="008E7142"/>
    <w:rsid w:val="008E73C0"/>
    <w:rsid w:val="008E79E2"/>
    <w:rsid w:val="008F04C6"/>
    <w:rsid w:val="008F093F"/>
    <w:rsid w:val="008F1B64"/>
    <w:rsid w:val="008F2186"/>
    <w:rsid w:val="008F23A4"/>
    <w:rsid w:val="008F25F8"/>
    <w:rsid w:val="008F2A12"/>
    <w:rsid w:val="008F30C0"/>
    <w:rsid w:val="008F3164"/>
    <w:rsid w:val="008F393F"/>
    <w:rsid w:val="008F3AAA"/>
    <w:rsid w:val="008F431C"/>
    <w:rsid w:val="008F43B7"/>
    <w:rsid w:val="008F4901"/>
    <w:rsid w:val="008F5289"/>
    <w:rsid w:val="008F5430"/>
    <w:rsid w:val="008F5E94"/>
    <w:rsid w:val="008F5FF5"/>
    <w:rsid w:val="008F6AD8"/>
    <w:rsid w:val="008F73DE"/>
    <w:rsid w:val="008F773B"/>
    <w:rsid w:val="008F79E8"/>
    <w:rsid w:val="00900CA1"/>
    <w:rsid w:val="0090108A"/>
    <w:rsid w:val="00901219"/>
    <w:rsid w:val="00901B9F"/>
    <w:rsid w:val="00901BA6"/>
    <w:rsid w:val="00902145"/>
    <w:rsid w:val="00902416"/>
    <w:rsid w:val="009029A4"/>
    <w:rsid w:val="009042CC"/>
    <w:rsid w:val="00904571"/>
    <w:rsid w:val="00904C72"/>
    <w:rsid w:val="00905FB8"/>
    <w:rsid w:val="00906134"/>
    <w:rsid w:val="0090687A"/>
    <w:rsid w:val="00907160"/>
    <w:rsid w:val="009076A8"/>
    <w:rsid w:val="00907EF2"/>
    <w:rsid w:val="0091031F"/>
    <w:rsid w:val="00910D95"/>
    <w:rsid w:val="00911508"/>
    <w:rsid w:val="009121E7"/>
    <w:rsid w:val="009127A4"/>
    <w:rsid w:val="00912AE9"/>
    <w:rsid w:val="00913D5F"/>
    <w:rsid w:val="00914310"/>
    <w:rsid w:val="009149CA"/>
    <w:rsid w:val="00914A3B"/>
    <w:rsid w:val="009159B2"/>
    <w:rsid w:val="0091695C"/>
    <w:rsid w:val="00916A3B"/>
    <w:rsid w:val="009177D5"/>
    <w:rsid w:val="009179D3"/>
    <w:rsid w:val="00917B96"/>
    <w:rsid w:val="00917E66"/>
    <w:rsid w:val="00920B85"/>
    <w:rsid w:val="00920BBD"/>
    <w:rsid w:val="00921D13"/>
    <w:rsid w:val="00922972"/>
    <w:rsid w:val="00925876"/>
    <w:rsid w:val="0092646E"/>
    <w:rsid w:val="009310B5"/>
    <w:rsid w:val="00931533"/>
    <w:rsid w:val="00931611"/>
    <w:rsid w:val="009329AE"/>
    <w:rsid w:val="00932FD9"/>
    <w:rsid w:val="00933761"/>
    <w:rsid w:val="00933C53"/>
    <w:rsid w:val="00933FC5"/>
    <w:rsid w:val="009345D3"/>
    <w:rsid w:val="009347CB"/>
    <w:rsid w:val="00934C83"/>
    <w:rsid w:val="00935D52"/>
    <w:rsid w:val="009369AE"/>
    <w:rsid w:val="00937F20"/>
    <w:rsid w:val="009405EB"/>
    <w:rsid w:val="009427BE"/>
    <w:rsid w:val="00942997"/>
    <w:rsid w:val="0094439D"/>
    <w:rsid w:val="00944AFA"/>
    <w:rsid w:val="00945650"/>
    <w:rsid w:val="00945FE2"/>
    <w:rsid w:val="0094621D"/>
    <w:rsid w:val="00947497"/>
    <w:rsid w:val="009505A3"/>
    <w:rsid w:val="00950727"/>
    <w:rsid w:val="009508E4"/>
    <w:rsid w:val="00951FDB"/>
    <w:rsid w:val="009522DA"/>
    <w:rsid w:val="009523D1"/>
    <w:rsid w:val="0095313C"/>
    <w:rsid w:val="00953E02"/>
    <w:rsid w:val="00954323"/>
    <w:rsid w:val="00954BC2"/>
    <w:rsid w:val="00955AD2"/>
    <w:rsid w:val="009567B8"/>
    <w:rsid w:val="00957AA2"/>
    <w:rsid w:val="00957E7E"/>
    <w:rsid w:val="00960026"/>
    <w:rsid w:val="00960D34"/>
    <w:rsid w:val="009611D2"/>
    <w:rsid w:val="00961F1A"/>
    <w:rsid w:val="009621A0"/>
    <w:rsid w:val="009627F6"/>
    <w:rsid w:val="00962BC2"/>
    <w:rsid w:val="009630B4"/>
    <w:rsid w:val="00964224"/>
    <w:rsid w:val="0096696A"/>
    <w:rsid w:val="00966D91"/>
    <w:rsid w:val="00967201"/>
    <w:rsid w:val="00967C74"/>
    <w:rsid w:val="009706E9"/>
    <w:rsid w:val="00971C12"/>
    <w:rsid w:val="00971FDA"/>
    <w:rsid w:val="009722A8"/>
    <w:rsid w:val="00972548"/>
    <w:rsid w:val="009728FF"/>
    <w:rsid w:val="00972C8E"/>
    <w:rsid w:val="00973DC1"/>
    <w:rsid w:val="00974888"/>
    <w:rsid w:val="00974B47"/>
    <w:rsid w:val="00974D53"/>
    <w:rsid w:val="00974D5D"/>
    <w:rsid w:val="009760C4"/>
    <w:rsid w:val="00976597"/>
    <w:rsid w:val="00976E27"/>
    <w:rsid w:val="009772A5"/>
    <w:rsid w:val="00977550"/>
    <w:rsid w:val="009809F2"/>
    <w:rsid w:val="00980B5D"/>
    <w:rsid w:val="00981173"/>
    <w:rsid w:val="009816EB"/>
    <w:rsid w:val="00981A75"/>
    <w:rsid w:val="00981F83"/>
    <w:rsid w:val="00982443"/>
    <w:rsid w:val="00983978"/>
    <w:rsid w:val="00983CC5"/>
    <w:rsid w:val="009841A8"/>
    <w:rsid w:val="009862A2"/>
    <w:rsid w:val="00986838"/>
    <w:rsid w:val="009868BE"/>
    <w:rsid w:val="00986B64"/>
    <w:rsid w:val="00986EFA"/>
    <w:rsid w:val="0098730F"/>
    <w:rsid w:val="009876A4"/>
    <w:rsid w:val="00987953"/>
    <w:rsid w:val="009917E9"/>
    <w:rsid w:val="00992416"/>
    <w:rsid w:val="00993789"/>
    <w:rsid w:val="009939F0"/>
    <w:rsid w:val="0099451D"/>
    <w:rsid w:val="00994608"/>
    <w:rsid w:val="00994B4C"/>
    <w:rsid w:val="00994F61"/>
    <w:rsid w:val="00995042"/>
    <w:rsid w:val="00996057"/>
    <w:rsid w:val="00996394"/>
    <w:rsid w:val="00996C89"/>
    <w:rsid w:val="009970EA"/>
    <w:rsid w:val="009979B9"/>
    <w:rsid w:val="00997B4E"/>
    <w:rsid w:val="009A03C7"/>
    <w:rsid w:val="009A0703"/>
    <w:rsid w:val="009A1399"/>
    <w:rsid w:val="009A22FD"/>
    <w:rsid w:val="009A2927"/>
    <w:rsid w:val="009A2ED6"/>
    <w:rsid w:val="009A31E7"/>
    <w:rsid w:val="009A33CD"/>
    <w:rsid w:val="009A406B"/>
    <w:rsid w:val="009A49C9"/>
    <w:rsid w:val="009A546A"/>
    <w:rsid w:val="009A621C"/>
    <w:rsid w:val="009A6677"/>
    <w:rsid w:val="009A6C66"/>
    <w:rsid w:val="009A6EF9"/>
    <w:rsid w:val="009A76D9"/>
    <w:rsid w:val="009A7BBC"/>
    <w:rsid w:val="009B126C"/>
    <w:rsid w:val="009B2A11"/>
    <w:rsid w:val="009B4277"/>
    <w:rsid w:val="009B47C9"/>
    <w:rsid w:val="009B48B3"/>
    <w:rsid w:val="009B5581"/>
    <w:rsid w:val="009B5940"/>
    <w:rsid w:val="009B63ED"/>
    <w:rsid w:val="009B64F9"/>
    <w:rsid w:val="009B6D1A"/>
    <w:rsid w:val="009B710D"/>
    <w:rsid w:val="009C0D4A"/>
    <w:rsid w:val="009C0F3E"/>
    <w:rsid w:val="009C102C"/>
    <w:rsid w:val="009C2DF6"/>
    <w:rsid w:val="009C3862"/>
    <w:rsid w:val="009C3B3B"/>
    <w:rsid w:val="009C4171"/>
    <w:rsid w:val="009C430B"/>
    <w:rsid w:val="009C44A0"/>
    <w:rsid w:val="009C475C"/>
    <w:rsid w:val="009C5610"/>
    <w:rsid w:val="009C5878"/>
    <w:rsid w:val="009C60A5"/>
    <w:rsid w:val="009C75C9"/>
    <w:rsid w:val="009C7A28"/>
    <w:rsid w:val="009D1492"/>
    <w:rsid w:val="009D15A0"/>
    <w:rsid w:val="009D169E"/>
    <w:rsid w:val="009D17E7"/>
    <w:rsid w:val="009D2575"/>
    <w:rsid w:val="009D2602"/>
    <w:rsid w:val="009D2A95"/>
    <w:rsid w:val="009D3234"/>
    <w:rsid w:val="009D3B99"/>
    <w:rsid w:val="009D41B7"/>
    <w:rsid w:val="009D56B0"/>
    <w:rsid w:val="009D5CA7"/>
    <w:rsid w:val="009D65CD"/>
    <w:rsid w:val="009D675F"/>
    <w:rsid w:val="009D6E2E"/>
    <w:rsid w:val="009D7298"/>
    <w:rsid w:val="009E03C7"/>
    <w:rsid w:val="009E06E0"/>
    <w:rsid w:val="009E12B5"/>
    <w:rsid w:val="009E319A"/>
    <w:rsid w:val="009E3C1C"/>
    <w:rsid w:val="009E3D4D"/>
    <w:rsid w:val="009E3F6F"/>
    <w:rsid w:val="009E5290"/>
    <w:rsid w:val="009E5698"/>
    <w:rsid w:val="009E5EC5"/>
    <w:rsid w:val="009E6ACB"/>
    <w:rsid w:val="009E724F"/>
    <w:rsid w:val="009E736E"/>
    <w:rsid w:val="009E7DCA"/>
    <w:rsid w:val="009F066E"/>
    <w:rsid w:val="009F0900"/>
    <w:rsid w:val="009F0962"/>
    <w:rsid w:val="009F0A04"/>
    <w:rsid w:val="009F1043"/>
    <w:rsid w:val="009F1650"/>
    <w:rsid w:val="009F1F67"/>
    <w:rsid w:val="009F252E"/>
    <w:rsid w:val="009F287F"/>
    <w:rsid w:val="009F2D78"/>
    <w:rsid w:val="009F30BA"/>
    <w:rsid w:val="009F36CA"/>
    <w:rsid w:val="009F4FE2"/>
    <w:rsid w:val="009F58F9"/>
    <w:rsid w:val="009F6167"/>
    <w:rsid w:val="009F6ED4"/>
    <w:rsid w:val="009F752A"/>
    <w:rsid w:val="00A003BE"/>
    <w:rsid w:val="00A00EE1"/>
    <w:rsid w:val="00A022AB"/>
    <w:rsid w:val="00A02B33"/>
    <w:rsid w:val="00A02C25"/>
    <w:rsid w:val="00A02F18"/>
    <w:rsid w:val="00A03435"/>
    <w:rsid w:val="00A03541"/>
    <w:rsid w:val="00A03567"/>
    <w:rsid w:val="00A0385F"/>
    <w:rsid w:val="00A03F76"/>
    <w:rsid w:val="00A06C2D"/>
    <w:rsid w:val="00A07991"/>
    <w:rsid w:val="00A079D0"/>
    <w:rsid w:val="00A11132"/>
    <w:rsid w:val="00A11756"/>
    <w:rsid w:val="00A11969"/>
    <w:rsid w:val="00A11D23"/>
    <w:rsid w:val="00A12099"/>
    <w:rsid w:val="00A1243A"/>
    <w:rsid w:val="00A14FEA"/>
    <w:rsid w:val="00A154D9"/>
    <w:rsid w:val="00A157B9"/>
    <w:rsid w:val="00A158FB"/>
    <w:rsid w:val="00A15A3F"/>
    <w:rsid w:val="00A1712E"/>
    <w:rsid w:val="00A17F2D"/>
    <w:rsid w:val="00A2048F"/>
    <w:rsid w:val="00A20667"/>
    <w:rsid w:val="00A22348"/>
    <w:rsid w:val="00A2291A"/>
    <w:rsid w:val="00A23E87"/>
    <w:rsid w:val="00A23EC4"/>
    <w:rsid w:val="00A243D6"/>
    <w:rsid w:val="00A24C62"/>
    <w:rsid w:val="00A254EC"/>
    <w:rsid w:val="00A25CB9"/>
    <w:rsid w:val="00A25F51"/>
    <w:rsid w:val="00A26182"/>
    <w:rsid w:val="00A26BBF"/>
    <w:rsid w:val="00A26CF6"/>
    <w:rsid w:val="00A278D3"/>
    <w:rsid w:val="00A30382"/>
    <w:rsid w:val="00A308DA"/>
    <w:rsid w:val="00A309EF"/>
    <w:rsid w:val="00A30CEC"/>
    <w:rsid w:val="00A31028"/>
    <w:rsid w:val="00A32604"/>
    <w:rsid w:val="00A32BBB"/>
    <w:rsid w:val="00A32C22"/>
    <w:rsid w:val="00A32CA4"/>
    <w:rsid w:val="00A32EF3"/>
    <w:rsid w:val="00A33959"/>
    <w:rsid w:val="00A343A1"/>
    <w:rsid w:val="00A34578"/>
    <w:rsid w:val="00A349D9"/>
    <w:rsid w:val="00A35312"/>
    <w:rsid w:val="00A354C8"/>
    <w:rsid w:val="00A407E6"/>
    <w:rsid w:val="00A414F3"/>
    <w:rsid w:val="00A417AE"/>
    <w:rsid w:val="00A42282"/>
    <w:rsid w:val="00A42F68"/>
    <w:rsid w:val="00A43345"/>
    <w:rsid w:val="00A4407A"/>
    <w:rsid w:val="00A443BD"/>
    <w:rsid w:val="00A447E6"/>
    <w:rsid w:val="00A45284"/>
    <w:rsid w:val="00A4537D"/>
    <w:rsid w:val="00A45AD4"/>
    <w:rsid w:val="00A45D18"/>
    <w:rsid w:val="00A45F34"/>
    <w:rsid w:val="00A463E3"/>
    <w:rsid w:val="00A47919"/>
    <w:rsid w:val="00A47F3D"/>
    <w:rsid w:val="00A50AD6"/>
    <w:rsid w:val="00A50D0F"/>
    <w:rsid w:val="00A50E2B"/>
    <w:rsid w:val="00A51495"/>
    <w:rsid w:val="00A51786"/>
    <w:rsid w:val="00A5209A"/>
    <w:rsid w:val="00A52A36"/>
    <w:rsid w:val="00A5327D"/>
    <w:rsid w:val="00A53931"/>
    <w:rsid w:val="00A53DAE"/>
    <w:rsid w:val="00A53DE4"/>
    <w:rsid w:val="00A54097"/>
    <w:rsid w:val="00A55904"/>
    <w:rsid w:val="00A55CC9"/>
    <w:rsid w:val="00A56543"/>
    <w:rsid w:val="00A56CEC"/>
    <w:rsid w:val="00A57661"/>
    <w:rsid w:val="00A60CB6"/>
    <w:rsid w:val="00A60E34"/>
    <w:rsid w:val="00A62074"/>
    <w:rsid w:val="00A62606"/>
    <w:rsid w:val="00A62EA7"/>
    <w:rsid w:val="00A6459E"/>
    <w:rsid w:val="00A64686"/>
    <w:rsid w:val="00A64CAE"/>
    <w:rsid w:val="00A6578C"/>
    <w:rsid w:val="00A66A76"/>
    <w:rsid w:val="00A67AB1"/>
    <w:rsid w:val="00A67D14"/>
    <w:rsid w:val="00A70CCB"/>
    <w:rsid w:val="00A71A0A"/>
    <w:rsid w:val="00A71DFA"/>
    <w:rsid w:val="00A72227"/>
    <w:rsid w:val="00A72CC1"/>
    <w:rsid w:val="00A72E04"/>
    <w:rsid w:val="00A73E12"/>
    <w:rsid w:val="00A746B4"/>
    <w:rsid w:val="00A748F2"/>
    <w:rsid w:val="00A74939"/>
    <w:rsid w:val="00A76AED"/>
    <w:rsid w:val="00A777A5"/>
    <w:rsid w:val="00A7790B"/>
    <w:rsid w:val="00A77B52"/>
    <w:rsid w:val="00A77BE7"/>
    <w:rsid w:val="00A80044"/>
    <w:rsid w:val="00A80C29"/>
    <w:rsid w:val="00A814E6"/>
    <w:rsid w:val="00A81845"/>
    <w:rsid w:val="00A81C4F"/>
    <w:rsid w:val="00A8271D"/>
    <w:rsid w:val="00A82B34"/>
    <w:rsid w:val="00A83611"/>
    <w:rsid w:val="00A84B21"/>
    <w:rsid w:val="00A8580C"/>
    <w:rsid w:val="00A85A45"/>
    <w:rsid w:val="00A85F3E"/>
    <w:rsid w:val="00A86A92"/>
    <w:rsid w:val="00A86CEB"/>
    <w:rsid w:val="00A8753B"/>
    <w:rsid w:val="00A87E27"/>
    <w:rsid w:val="00A90AA5"/>
    <w:rsid w:val="00A912BA"/>
    <w:rsid w:val="00A916F9"/>
    <w:rsid w:val="00A924F3"/>
    <w:rsid w:val="00A92619"/>
    <w:rsid w:val="00A92AF0"/>
    <w:rsid w:val="00A938FF"/>
    <w:rsid w:val="00A94369"/>
    <w:rsid w:val="00A94A6A"/>
    <w:rsid w:val="00A96648"/>
    <w:rsid w:val="00A97923"/>
    <w:rsid w:val="00AA0171"/>
    <w:rsid w:val="00AA0D5B"/>
    <w:rsid w:val="00AA0E31"/>
    <w:rsid w:val="00AA1803"/>
    <w:rsid w:val="00AA20EA"/>
    <w:rsid w:val="00AA2568"/>
    <w:rsid w:val="00AA2965"/>
    <w:rsid w:val="00AA37BE"/>
    <w:rsid w:val="00AA446F"/>
    <w:rsid w:val="00AA59A6"/>
    <w:rsid w:val="00AA66E3"/>
    <w:rsid w:val="00AA6806"/>
    <w:rsid w:val="00AA739B"/>
    <w:rsid w:val="00AA7DC6"/>
    <w:rsid w:val="00AB0D80"/>
    <w:rsid w:val="00AB16D9"/>
    <w:rsid w:val="00AB1C49"/>
    <w:rsid w:val="00AB1FC8"/>
    <w:rsid w:val="00AB22F8"/>
    <w:rsid w:val="00AB284D"/>
    <w:rsid w:val="00AB2F02"/>
    <w:rsid w:val="00AB304E"/>
    <w:rsid w:val="00AB31D1"/>
    <w:rsid w:val="00AB340E"/>
    <w:rsid w:val="00AB3768"/>
    <w:rsid w:val="00AB454A"/>
    <w:rsid w:val="00AB4785"/>
    <w:rsid w:val="00AB57BB"/>
    <w:rsid w:val="00AB6AE3"/>
    <w:rsid w:val="00AB6C17"/>
    <w:rsid w:val="00AC0194"/>
    <w:rsid w:val="00AC0A9D"/>
    <w:rsid w:val="00AC0C9E"/>
    <w:rsid w:val="00AC0CBB"/>
    <w:rsid w:val="00AC20C0"/>
    <w:rsid w:val="00AC22E9"/>
    <w:rsid w:val="00AC2876"/>
    <w:rsid w:val="00AC2955"/>
    <w:rsid w:val="00AC2A61"/>
    <w:rsid w:val="00AC3349"/>
    <w:rsid w:val="00AC33C8"/>
    <w:rsid w:val="00AC3856"/>
    <w:rsid w:val="00AC3B5F"/>
    <w:rsid w:val="00AC449A"/>
    <w:rsid w:val="00AC4C13"/>
    <w:rsid w:val="00AC4C74"/>
    <w:rsid w:val="00AC4CD2"/>
    <w:rsid w:val="00AC5D5B"/>
    <w:rsid w:val="00AC5FC2"/>
    <w:rsid w:val="00AC68EB"/>
    <w:rsid w:val="00AC7BE1"/>
    <w:rsid w:val="00AD059B"/>
    <w:rsid w:val="00AD1024"/>
    <w:rsid w:val="00AD102A"/>
    <w:rsid w:val="00AD1137"/>
    <w:rsid w:val="00AD1287"/>
    <w:rsid w:val="00AD1502"/>
    <w:rsid w:val="00AD174A"/>
    <w:rsid w:val="00AD1796"/>
    <w:rsid w:val="00AD1974"/>
    <w:rsid w:val="00AD1AEA"/>
    <w:rsid w:val="00AD2353"/>
    <w:rsid w:val="00AD239A"/>
    <w:rsid w:val="00AD26D4"/>
    <w:rsid w:val="00AD3102"/>
    <w:rsid w:val="00AD3EDC"/>
    <w:rsid w:val="00AD4BE4"/>
    <w:rsid w:val="00AD4BF1"/>
    <w:rsid w:val="00AD4E14"/>
    <w:rsid w:val="00AD505E"/>
    <w:rsid w:val="00AD5CCC"/>
    <w:rsid w:val="00AD6055"/>
    <w:rsid w:val="00AD6216"/>
    <w:rsid w:val="00AD64B2"/>
    <w:rsid w:val="00AD6A01"/>
    <w:rsid w:val="00AD6CC5"/>
    <w:rsid w:val="00AD713A"/>
    <w:rsid w:val="00AD7AF7"/>
    <w:rsid w:val="00AD7E0B"/>
    <w:rsid w:val="00AE0456"/>
    <w:rsid w:val="00AE0BFB"/>
    <w:rsid w:val="00AE0D73"/>
    <w:rsid w:val="00AE0E58"/>
    <w:rsid w:val="00AE1C09"/>
    <w:rsid w:val="00AE21F3"/>
    <w:rsid w:val="00AE2578"/>
    <w:rsid w:val="00AE2C77"/>
    <w:rsid w:val="00AE2F66"/>
    <w:rsid w:val="00AE372B"/>
    <w:rsid w:val="00AE475C"/>
    <w:rsid w:val="00AE594A"/>
    <w:rsid w:val="00AE5EBD"/>
    <w:rsid w:val="00AE7150"/>
    <w:rsid w:val="00AF0189"/>
    <w:rsid w:val="00AF061D"/>
    <w:rsid w:val="00AF09C3"/>
    <w:rsid w:val="00AF12CE"/>
    <w:rsid w:val="00AF1A12"/>
    <w:rsid w:val="00AF22BC"/>
    <w:rsid w:val="00AF317D"/>
    <w:rsid w:val="00AF3AEB"/>
    <w:rsid w:val="00AF3FE0"/>
    <w:rsid w:val="00AF4537"/>
    <w:rsid w:val="00AF45EB"/>
    <w:rsid w:val="00AF4794"/>
    <w:rsid w:val="00AF5B40"/>
    <w:rsid w:val="00AF5C58"/>
    <w:rsid w:val="00AF695E"/>
    <w:rsid w:val="00AF6C81"/>
    <w:rsid w:val="00AF7191"/>
    <w:rsid w:val="00AF7302"/>
    <w:rsid w:val="00AF7C74"/>
    <w:rsid w:val="00B001EB"/>
    <w:rsid w:val="00B0036A"/>
    <w:rsid w:val="00B004D7"/>
    <w:rsid w:val="00B00586"/>
    <w:rsid w:val="00B00972"/>
    <w:rsid w:val="00B0098B"/>
    <w:rsid w:val="00B00D92"/>
    <w:rsid w:val="00B019CB"/>
    <w:rsid w:val="00B0271B"/>
    <w:rsid w:val="00B03E78"/>
    <w:rsid w:val="00B04151"/>
    <w:rsid w:val="00B041BF"/>
    <w:rsid w:val="00B052E5"/>
    <w:rsid w:val="00B05511"/>
    <w:rsid w:val="00B06B70"/>
    <w:rsid w:val="00B11E40"/>
    <w:rsid w:val="00B11F90"/>
    <w:rsid w:val="00B12FE0"/>
    <w:rsid w:val="00B13C6D"/>
    <w:rsid w:val="00B14728"/>
    <w:rsid w:val="00B154BF"/>
    <w:rsid w:val="00B15A0E"/>
    <w:rsid w:val="00B15B5C"/>
    <w:rsid w:val="00B16147"/>
    <w:rsid w:val="00B16A33"/>
    <w:rsid w:val="00B16A4E"/>
    <w:rsid w:val="00B172F6"/>
    <w:rsid w:val="00B17AC0"/>
    <w:rsid w:val="00B17B7B"/>
    <w:rsid w:val="00B17D41"/>
    <w:rsid w:val="00B201DB"/>
    <w:rsid w:val="00B20AE0"/>
    <w:rsid w:val="00B21333"/>
    <w:rsid w:val="00B22CA1"/>
    <w:rsid w:val="00B239DD"/>
    <w:rsid w:val="00B24AD9"/>
    <w:rsid w:val="00B254EB"/>
    <w:rsid w:val="00B25959"/>
    <w:rsid w:val="00B25D1A"/>
    <w:rsid w:val="00B25DE5"/>
    <w:rsid w:val="00B25F2F"/>
    <w:rsid w:val="00B267CA"/>
    <w:rsid w:val="00B3001F"/>
    <w:rsid w:val="00B316D9"/>
    <w:rsid w:val="00B3236A"/>
    <w:rsid w:val="00B32A7C"/>
    <w:rsid w:val="00B33AC2"/>
    <w:rsid w:val="00B33D05"/>
    <w:rsid w:val="00B34F70"/>
    <w:rsid w:val="00B3572E"/>
    <w:rsid w:val="00B36468"/>
    <w:rsid w:val="00B367D9"/>
    <w:rsid w:val="00B400F2"/>
    <w:rsid w:val="00B40734"/>
    <w:rsid w:val="00B40C90"/>
    <w:rsid w:val="00B41EA5"/>
    <w:rsid w:val="00B41FAA"/>
    <w:rsid w:val="00B44EFF"/>
    <w:rsid w:val="00B46F12"/>
    <w:rsid w:val="00B47190"/>
    <w:rsid w:val="00B478BB"/>
    <w:rsid w:val="00B51147"/>
    <w:rsid w:val="00B5134D"/>
    <w:rsid w:val="00B516F5"/>
    <w:rsid w:val="00B5413B"/>
    <w:rsid w:val="00B54341"/>
    <w:rsid w:val="00B54598"/>
    <w:rsid w:val="00B546ED"/>
    <w:rsid w:val="00B559F2"/>
    <w:rsid w:val="00B57130"/>
    <w:rsid w:val="00B575E0"/>
    <w:rsid w:val="00B57816"/>
    <w:rsid w:val="00B57B9C"/>
    <w:rsid w:val="00B57D82"/>
    <w:rsid w:val="00B57EFC"/>
    <w:rsid w:val="00B60465"/>
    <w:rsid w:val="00B6087C"/>
    <w:rsid w:val="00B60D34"/>
    <w:rsid w:val="00B60E4E"/>
    <w:rsid w:val="00B61973"/>
    <w:rsid w:val="00B61E27"/>
    <w:rsid w:val="00B61ED6"/>
    <w:rsid w:val="00B6267F"/>
    <w:rsid w:val="00B62E41"/>
    <w:rsid w:val="00B6403E"/>
    <w:rsid w:val="00B649DC"/>
    <w:rsid w:val="00B65E5A"/>
    <w:rsid w:val="00B66C2A"/>
    <w:rsid w:val="00B66DA2"/>
    <w:rsid w:val="00B6741C"/>
    <w:rsid w:val="00B70AD6"/>
    <w:rsid w:val="00B70FFE"/>
    <w:rsid w:val="00B710C6"/>
    <w:rsid w:val="00B712C7"/>
    <w:rsid w:val="00B71940"/>
    <w:rsid w:val="00B7198E"/>
    <w:rsid w:val="00B729E3"/>
    <w:rsid w:val="00B72D36"/>
    <w:rsid w:val="00B732BF"/>
    <w:rsid w:val="00B7352B"/>
    <w:rsid w:val="00B735E5"/>
    <w:rsid w:val="00B743E8"/>
    <w:rsid w:val="00B755A1"/>
    <w:rsid w:val="00B756C6"/>
    <w:rsid w:val="00B75FEC"/>
    <w:rsid w:val="00B75FF3"/>
    <w:rsid w:val="00B76239"/>
    <w:rsid w:val="00B76B90"/>
    <w:rsid w:val="00B76C79"/>
    <w:rsid w:val="00B76D80"/>
    <w:rsid w:val="00B76D8C"/>
    <w:rsid w:val="00B775F5"/>
    <w:rsid w:val="00B808E4"/>
    <w:rsid w:val="00B810C9"/>
    <w:rsid w:val="00B8197F"/>
    <w:rsid w:val="00B81A7D"/>
    <w:rsid w:val="00B81CF6"/>
    <w:rsid w:val="00B823A3"/>
    <w:rsid w:val="00B8277C"/>
    <w:rsid w:val="00B83729"/>
    <w:rsid w:val="00B839FB"/>
    <w:rsid w:val="00B83DFF"/>
    <w:rsid w:val="00B84A9F"/>
    <w:rsid w:val="00B854B5"/>
    <w:rsid w:val="00B8570E"/>
    <w:rsid w:val="00B85C12"/>
    <w:rsid w:val="00B85D71"/>
    <w:rsid w:val="00B860A3"/>
    <w:rsid w:val="00B8620B"/>
    <w:rsid w:val="00B863B5"/>
    <w:rsid w:val="00B87B44"/>
    <w:rsid w:val="00B909F2"/>
    <w:rsid w:val="00B91DE0"/>
    <w:rsid w:val="00B925CF"/>
    <w:rsid w:val="00B92848"/>
    <w:rsid w:val="00B928DE"/>
    <w:rsid w:val="00B92912"/>
    <w:rsid w:val="00B92BEA"/>
    <w:rsid w:val="00B935D6"/>
    <w:rsid w:val="00B954A8"/>
    <w:rsid w:val="00B95605"/>
    <w:rsid w:val="00B95EC9"/>
    <w:rsid w:val="00B96088"/>
    <w:rsid w:val="00B963A2"/>
    <w:rsid w:val="00B968AA"/>
    <w:rsid w:val="00B96B6A"/>
    <w:rsid w:val="00B97E7C"/>
    <w:rsid w:val="00BA00B2"/>
    <w:rsid w:val="00BA0943"/>
    <w:rsid w:val="00BA0C81"/>
    <w:rsid w:val="00BA139E"/>
    <w:rsid w:val="00BA1F04"/>
    <w:rsid w:val="00BA21E1"/>
    <w:rsid w:val="00BA23ED"/>
    <w:rsid w:val="00BA3174"/>
    <w:rsid w:val="00BA3759"/>
    <w:rsid w:val="00BA40E4"/>
    <w:rsid w:val="00BA423F"/>
    <w:rsid w:val="00BA48E7"/>
    <w:rsid w:val="00BA4C1C"/>
    <w:rsid w:val="00BA4CC0"/>
    <w:rsid w:val="00BA53F7"/>
    <w:rsid w:val="00BA556E"/>
    <w:rsid w:val="00BA5961"/>
    <w:rsid w:val="00BA5DF7"/>
    <w:rsid w:val="00BA64C1"/>
    <w:rsid w:val="00BA64E8"/>
    <w:rsid w:val="00BA6512"/>
    <w:rsid w:val="00BA6979"/>
    <w:rsid w:val="00BA75BB"/>
    <w:rsid w:val="00BA7CBF"/>
    <w:rsid w:val="00BA7CD8"/>
    <w:rsid w:val="00BB0343"/>
    <w:rsid w:val="00BB08E6"/>
    <w:rsid w:val="00BB09F8"/>
    <w:rsid w:val="00BB0DDB"/>
    <w:rsid w:val="00BB1722"/>
    <w:rsid w:val="00BB1775"/>
    <w:rsid w:val="00BB17EF"/>
    <w:rsid w:val="00BB1AA6"/>
    <w:rsid w:val="00BB235B"/>
    <w:rsid w:val="00BB27EB"/>
    <w:rsid w:val="00BB344E"/>
    <w:rsid w:val="00BB3CBD"/>
    <w:rsid w:val="00BB458D"/>
    <w:rsid w:val="00BB5A7B"/>
    <w:rsid w:val="00BB5CDE"/>
    <w:rsid w:val="00BB6000"/>
    <w:rsid w:val="00BB600D"/>
    <w:rsid w:val="00BB6D9D"/>
    <w:rsid w:val="00BB72F4"/>
    <w:rsid w:val="00BB77E4"/>
    <w:rsid w:val="00BB7898"/>
    <w:rsid w:val="00BB7D5B"/>
    <w:rsid w:val="00BC08BA"/>
    <w:rsid w:val="00BC0BB3"/>
    <w:rsid w:val="00BC0E8D"/>
    <w:rsid w:val="00BC10BC"/>
    <w:rsid w:val="00BC12C0"/>
    <w:rsid w:val="00BC17C3"/>
    <w:rsid w:val="00BC23FB"/>
    <w:rsid w:val="00BC2458"/>
    <w:rsid w:val="00BC27B4"/>
    <w:rsid w:val="00BC3266"/>
    <w:rsid w:val="00BC48FA"/>
    <w:rsid w:val="00BC4D24"/>
    <w:rsid w:val="00BC4D93"/>
    <w:rsid w:val="00BC4D95"/>
    <w:rsid w:val="00BC6254"/>
    <w:rsid w:val="00BC772D"/>
    <w:rsid w:val="00BC7D07"/>
    <w:rsid w:val="00BD05FC"/>
    <w:rsid w:val="00BD0CB5"/>
    <w:rsid w:val="00BD2567"/>
    <w:rsid w:val="00BD2B42"/>
    <w:rsid w:val="00BD2B8D"/>
    <w:rsid w:val="00BD3834"/>
    <w:rsid w:val="00BD4E61"/>
    <w:rsid w:val="00BD516D"/>
    <w:rsid w:val="00BD5923"/>
    <w:rsid w:val="00BD6750"/>
    <w:rsid w:val="00BD6FA7"/>
    <w:rsid w:val="00BD7018"/>
    <w:rsid w:val="00BD754B"/>
    <w:rsid w:val="00BD7602"/>
    <w:rsid w:val="00BD7A6B"/>
    <w:rsid w:val="00BD7C89"/>
    <w:rsid w:val="00BD7D58"/>
    <w:rsid w:val="00BD7DD0"/>
    <w:rsid w:val="00BE0493"/>
    <w:rsid w:val="00BE0526"/>
    <w:rsid w:val="00BE0566"/>
    <w:rsid w:val="00BE37B5"/>
    <w:rsid w:val="00BE4B94"/>
    <w:rsid w:val="00BE52B7"/>
    <w:rsid w:val="00BE6A52"/>
    <w:rsid w:val="00BF1AA3"/>
    <w:rsid w:val="00BF4442"/>
    <w:rsid w:val="00BF487A"/>
    <w:rsid w:val="00BF5642"/>
    <w:rsid w:val="00BF5A67"/>
    <w:rsid w:val="00BF640F"/>
    <w:rsid w:val="00BF70AB"/>
    <w:rsid w:val="00BF7129"/>
    <w:rsid w:val="00BF7AD2"/>
    <w:rsid w:val="00BF7AF4"/>
    <w:rsid w:val="00C02A2E"/>
    <w:rsid w:val="00C033E7"/>
    <w:rsid w:val="00C03714"/>
    <w:rsid w:val="00C037DA"/>
    <w:rsid w:val="00C0393E"/>
    <w:rsid w:val="00C04166"/>
    <w:rsid w:val="00C05011"/>
    <w:rsid w:val="00C06207"/>
    <w:rsid w:val="00C068BC"/>
    <w:rsid w:val="00C06E40"/>
    <w:rsid w:val="00C07A22"/>
    <w:rsid w:val="00C07DF4"/>
    <w:rsid w:val="00C10836"/>
    <w:rsid w:val="00C11FD0"/>
    <w:rsid w:val="00C122BA"/>
    <w:rsid w:val="00C12C8C"/>
    <w:rsid w:val="00C12D78"/>
    <w:rsid w:val="00C13257"/>
    <w:rsid w:val="00C14885"/>
    <w:rsid w:val="00C15234"/>
    <w:rsid w:val="00C157EE"/>
    <w:rsid w:val="00C1583B"/>
    <w:rsid w:val="00C15A52"/>
    <w:rsid w:val="00C15E83"/>
    <w:rsid w:val="00C15E8C"/>
    <w:rsid w:val="00C1632D"/>
    <w:rsid w:val="00C16F67"/>
    <w:rsid w:val="00C170C0"/>
    <w:rsid w:val="00C17DE9"/>
    <w:rsid w:val="00C204A6"/>
    <w:rsid w:val="00C2104D"/>
    <w:rsid w:val="00C2197D"/>
    <w:rsid w:val="00C21E40"/>
    <w:rsid w:val="00C22A26"/>
    <w:rsid w:val="00C22DAC"/>
    <w:rsid w:val="00C2352A"/>
    <w:rsid w:val="00C23BD1"/>
    <w:rsid w:val="00C241A6"/>
    <w:rsid w:val="00C300E4"/>
    <w:rsid w:val="00C303A9"/>
    <w:rsid w:val="00C303F0"/>
    <w:rsid w:val="00C306A7"/>
    <w:rsid w:val="00C30CD3"/>
    <w:rsid w:val="00C310C0"/>
    <w:rsid w:val="00C31326"/>
    <w:rsid w:val="00C31569"/>
    <w:rsid w:val="00C315C4"/>
    <w:rsid w:val="00C31791"/>
    <w:rsid w:val="00C31905"/>
    <w:rsid w:val="00C31AF7"/>
    <w:rsid w:val="00C32147"/>
    <w:rsid w:val="00C335B2"/>
    <w:rsid w:val="00C33CFA"/>
    <w:rsid w:val="00C344E9"/>
    <w:rsid w:val="00C3471D"/>
    <w:rsid w:val="00C35F90"/>
    <w:rsid w:val="00C36BFD"/>
    <w:rsid w:val="00C37C60"/>
    <w:rsid w:val="00C37FB1"/>
    <w:rsid w:val="00C414B5"/>
    <w:rsid w:val="00C415BF"/>
    <w:rsid w:val="00C41C62"/>
    <w:rsid w:val="00C41DE0"/>
    <w:rsid w:val="00C42588"/>
    <w:rsid w:val="00C42850"/>
    <w:rsid w:val="00C428CC"/>
    <w:rsid w:val="00C4430A"/>
    <w:rsid w:val="00C443EA"/>
    <w:rsid w:val="00C449C8"/>
    <w:rsid w:val="00C44CEF"/>
    <w:rsid w:val="00C451D8"/>
    <w:rsid w:val="00C45D3B"/>
    <w:rsid w:val="00C4636A"/>
    <w:rsid w:val="00C4663F"/>
    <w:rsid w:val="00C47F17"/>
    <w:rsid w:val="00C50190"/>
    <w:rsid w:val="00C50AB9"/>
    <w:rsid w:val="00C51EEC"/>
    <w:rsid w:val="00C52B7D"/>
    <w:rsid w:val="00C52EC1"/>
    <w:rsid w:val="00C5303D"/>
    <w:rsid w:val="00C53101"/>
    <w:rsid w:val="00C53328"/>
    <w:rsid w:val="00C53BC4"/>
    <w:rsid w:val="00C54F90"/>
    <w:rsid w:val="00C55A51"/>
    <w:rsid w:val="00C55A71"/>
    <w:rsid w:val="00C56005"/>
    <w:rsid w:val="00C567DA"/>
    <w:rsid w:val="00C605D9"/>
    <w:rsid w:val="00C608B8"/>
    <w:rsid w:val="00C60BB2"/>
    <w:rsid w:val="00C610FD"/>
    <w:rsid w:val="00C61E13"/>
    <w:rsid w:val="00C632AD"/>
    <w:rsid w:val="00C6348B"/>
    <w:rsid w:val="00C63620"/>
    <w:rsid w:val="00C63F18"/>
    <w:rsid w:val="00C65290"/>
    <w:rsid w:val="00C66BC5"/>
    <w:rsid w:val="00C67434"/>
    <w:rsid w:val="00C70077"/>
    <w:rsid w:val="00C704AA"/>
    <w:rsid w:val="00C715B7"/>
    <w:rsid w:val="00C71652"/>
    <w:rsid w:val="00C7184D"/>
    <w:rsid w:val="00C72DC0"/>
    <w:rsid w:val="00C72DCF"/>
    <w:rsid w:val="00C74379"/>
    <w:rsid w:val="00C747E1"/>
    <w:rsid w:val="00C7480E"/>
    <w:rsid w:val="00C766BC"/>
    <w:rsid w:val="00C76AC4"/>
    <w:rsid w:val="00C779B2"/>
    <w:rsid w:val="00C77F54"/>
    <w:rsid w:val="00C8025F"/>
    <w:rsid w:val="00C80798"/>
    <w:rsid w:val="00C818BD"/>
    <w:rsid w:val="00C81B55"/>
    <w:rsid w:val="00C822E1"/>
    <w:rsid w:val="00C82687"/>
    <w:rsid w:val="00C82A5B"/>
    <w:rsid w:val="00C83E85"/>
    <w:rsid w:val="00C848C4"/>
    <w:rsid w:val="00C84DE1"/>
    <w:rsid w:val="00C84E13"/>
    <w:rsid w:val="00C8517B"/>
    <w:rsid w:val="00C85CAB"/>
    <w:rsid w:val="00C85F05"/>
    <w:rsid w:val="00C865A9"/>
    <w:rsid w:val="00C866CD"/>
    <w:rsid w:val="00C872A0"/>
    <w:rsid w:val="00C87E81"/>
    <w:rsid w:val="00C90EE5"/>
    <w:rsid w:val="00C91325"/>
    <w:rsid w:val="00C91B19"/>
    <w:rsid w:val="00C91C11"/>
    <w:rsid w:val="00C92822"/>
    <w:rsid w:val="00C9345A"/>
    <w:rsid w:val="00C93510"/>
    <w:rsid w:val="00C93677"/>
    <w:rsid w:val="00C94FA3"/>
    <w:rsid w:val="00C952AD"/>
    <w:rsid w:val="00C953A2"/>
    <w:rsid w:val="00C9589E"/>
    <w:rsid w:val="00C95F1F"/>
    <w:rsid w:val="00C95FC8"/>
    <w:rsid w:val="00C97280"/>
    <w:rsid w:val="00C9744A"/>
    <w:rsid w:val="00C97809"/>
    <w:rsid w:val="00C97DDC"/>
    <w:rsid w:val="00CA1036"/>
    <w:rsid w:val="00CA1905"/>
    <w:rsid w:val="00CA2E36"/>
    <w:rsid w:val="00CA396C"/>
    <w:rsid w:val="00CA3D17"/>
    <w:rsid w:val="00CA4DF6"/>
    <w:rsid w:val="00CA5380"/>
    <w:rsid w:val="00CA5899"/>
    <w:rsid w:val="00CA5B28"/>
    <w:rsid w:val="00CA6784"/>
    <w:rsid w:val="00CA7256"/>
    <w:rsid w:val="00CA7C6A"/>
    <w:rsid w:val="00CB04A3"/>
    <w:rsid w:val="00CB07D2"/>
    <w:rsid w:val="00CB0B25"/>
    <w:rsid w:val="00CB1B3B"/>
    <w:rsid w:val="00CB28CD"/>
    <w:rsid w:val="00CB5257"/>
    <w:rsid w:val="00CB52E3"/>
    <w:rsid w:val="00CB540B"/>
    <w:rsid w:val="00CB5427"/>
    <w:rsid w:val="00CB689E"/>
    <w:rsid w:val="00CB6A8C"/>
    <w:rsid w:val="00CB705A"/>
    <w:rsid w:val="00CB774E"/>
    <w:rsid w:val="00CB7A28"/>
    <w:rsid w:val="00CC014E"/>
    <w:rsid w:val="00CC0D15"/>
    <w:rsid w:val="00CC0DC4"/>
    <w:rsid w:val="00CC1054"/>
    <w:rsid w:val="00CC22A8"/>
    <w:rsid w:val="00CC26DD"/>
    <w:rsid w:val="00CC4104"/>
    <w:rsid w:val="00CC5E8A"/>
    <w:rsid w:val="00CC665E"/>
    <w:rsid w:val="00CC6E4D"/>
    <w:rsid w:val="00CC6E87"/>
    <w:rsid w:val="00CC7243"/>
    <w:rsid w:val="00CC79E0"/>
    <w:rsid w:val="00CD059B"/>
    <w:rsid w:val="00CD0A1C"/>
    <w:rsid w:val="00CD0E2D"/>
    <w:rsid w:val="00CD1748"/>
    <w:rsid w:val="00CD251B"/>
    <w:rsid w:val="00CD25B8"/>
    <w:rsid w:val="00CD42E7"/>
    <w:rsid w:val="00CD48BA"/>
    <w:rsid w:val="00CD4F5A"/>
    <w:rsid w:val="00CD4FD7"/>
    <w:rsid w:val="00CD52CE"/>
    <w:rsid w:val="00CD5607"/>
    <w:rsid w:val="00CD5703"/>
    <w:rsid w:val="00CD5A8A"/>
    <w:rsid w:val="00CD5E06"/>
    <w:rsid w:val="00CD670F"/>
    <w:rsid w:val="00CD67D6"/>
    <w:rsid w:val="00CD7DBA"/>
    <w:rsid w:val="00CD7DFE"/>
    <w:rsid w:val="00CD7E14"/>
    <w:rsid w:val="00CE0290"/>
    <w:rsid w:val="00CE0BF0"/>
    <w:rsid w:val="00CE0EF4"/>
    <w:rsid w:val="00CE0FA9"/>
    <w:rsid w:val="00CE1258"/>
    <w:rsid w:val="00CE1735"/>
    <w:rsid w:val="00CE1CB5"/>
    <w:rsid w:val="00CE2BEB"/>
    <w:rsid w:val="00CE2C08"/>
    <w:rsid w:val="00CE3842"/>
    <w:rsid w:val="00CE3D24"/>
    <w:rsid w:val="00CE40D7"/>
    <w:rsid w:val="00CE4800"/>
    <w:rsid w:val="00CE51EE"/>
    <w:rsid w:val="00CE57AA"/>
    <w:rsid w:val="00CE6728"/>
    <w:rsid w:val="00CE7F54"/>
    <w:rsid w:val="00CF0BB6"/>
    <w:rsid w:val="00CF0D62"/>
    <w:rsid w:val="00CF15E7"/>
    <w:rsid w:val="00CF2BA3"/>
    <w:rsid w:val="00CF3423"/>
    <w:rsid w:val="00CF3977"/>
    <w:rsid w:val="00CF4C38"/>
    <w:rsid w:val="00CF5FBE"/>
    <w:rsid w:val="00CF646B"/>
    <w:rsid w:val="00CF6EF6"/>
    <w:rsid w:val="00CF7577"/>
    <w:rsid w:val="00D00330"/>
    <w:rsid w:val="00D00732"/>
    <w:rsid w:val="00D0089D"/>
    <w:rsid w:val="00D00FD6"/>
    <w:rsid w:val="00D012B0"/>
    <w:rsid w:val="00D017B1"/>
    <w:rsid w:val="00D02624"/>
    <w:rsid w:val="00D027E6"/>
    <w:rsid w:val="00D02E83"/>
    <w:rsid w:val="00D03079"/>
    <w:rsid w:val="00D03616"/>
    <w:rsid w:val="00D03F7E"/>
    <w:rsid w:val="00D041C0"/>
    <w:rsid w:val="00D05841"/>
    <w:rsid w:val="00D05C27"/>
    <w:rsid w:val="00D05D30"/>
    <w:rsid w:val="00D05F8E"/>
    <w:rsid w:val="00D061BE"/>
    <w:rsid w:val="00D06CDF"/>
    <w:rsid w:val="00D06FB7"/>
    <w:rsid w:val="00D07A42"/>
    <w:rsid w:val="00D07BB7"/>
    <w:rsid w:val="00D10BDF"/>
    <w:rsid w:val="00D110CF"/>
    <w:rsid w:val="00D1157E"/>
    <w:rsid w:val="00D1186B"/>
    <w:rsid w:val="00D11C10"/>
    <w:rsid w:val="00D11FF2"/>
    <w:rsid w:val="00D12DCB"/>
    <w:rsid w:val="00D132FA"/>
    <w:rsid w:val="00D144D9"/>
    <w:rsid w:val="00D1582D"/>
    <w:rsid w:val="00D15D33"/>
    <w:rsid w:val="00D16107"/>
    <w:rsid w:val="00D161A0"/>
    <w:rsid w:val="00D1749C"/>
    <w:rsid w:val="00D17AF0"/>
    <w:rsid w:val="00D17FF5"/>
    <w:rsid w:val="00D202A1"/>
    <w:rsid w:val="00D20CE3"/>
    <w:rsid w:val="00D20D8C"/>
    <w:rsid w:val="00D214C1"/>
    <w:rsid w:val="00D21B81"/>
    <w:rsid w:val="00D228CE"/>
    <w:rsid w:val="00D23477"/>
    <w:rsid w:val="00D23754"/>
    <w:rsid w:val="00D23C8C"/>
    <w:rsid w:val="00D23F13"/>
    <w:rsid w:val="00D24728"/>
    <w:rsid w:val="00D24E32"/>
    <w:rsid w:val="00D24F85"/>
    <w:rsid w:val="00D25027"/>
    <w:rsid w:val="00D254BA"/>
    <w:rsid w:val="00D256CC"/>
    <w:rsid w:val="00D25715"/>
    <w:rsid w:val="00D2585B"/>
    <w:rsid w:val="00D26B15"/>
    <w:rsid w:val="00D2757B"/>
    <w:rsid w:val="00D27AA9"/>
    <w:rsid w:val="00D27AFE"/>
    <w:rsid w:val="00D305E7"/>
    <w:rsid w:val="00D31519"/>
    <w:rsid w:val="00D31E7C"/>
    <w:rsid w:val="00D31F8C"/>
    <w:rsid w:val="00D32C28"/>
    <w:rsid w:val="00D334F3"/>
    <w:rsid w:val="00D3428F"/>
    <w:rsid w:val="00D3493F"/>
    <w:rsid w:val="00D34D18"/>
    <w:rsid w:val="00D34E5F"/>
    <w:rsid w:val="00D35071"/>
    <w:rsid w:val="00D36606"/>
    <w:rsid w:val="00D3673D"/>
    <w:rsid w:val="00D37B8F"/>
    <w:rsid w:val="00D37D8A"/>
    <w:rsid w:val="00D40574"/>
    <w:rsid w:val="00D40E7E"/>
    <w:rsid w:val="00D41563"/>
    <w:rsid w:val="00D41A52"/>
    <w:rsid w:val="00D41C08"/>
    <w:rsid w:val="00D41D81"/>
    <w:rsid w:val="00D42357"/>
    <w:rsid w:val="00D4251E"/>
    <w:rsid w:val="00D42ED1"/>
    <w:rsid w:val="00D43091"/>
    <w:rsid w:val="00D43DCD"/>
    <w:rsid w:val="00D44779"/>
    <w:rsid w:val="00D44789"/>
    <w:rsid w:val="00D45B0F"/>
    <w:rsid w:val="00D46520"/>
    <w:rsid w:val="00D46767"/>
    <w:rsid w:val="00D46800"/>
    <w:rsid w:val="00D46C7E"/>
    <w:rsid w:val="00D46D6E"/>
    <w:rsid w:val="00D4786B"/>
    <w:rsid w:val="00D50B41"/>
    <w:rsid w:val="00D50E0E"/>
    <w:rsid w:val="00D51662"/>
    <w:rsid w:val="00D519B7"/>
    <w:rsid w:val="00D51D7E"/>
    <w:rsid w:val="00D528B0"/>
    <w:rsid w:val="00D52E37"/>
    <w:rsid w:val="00D52F83"/>
    <w:rsid w:val="00D537EF"/>
    <w:rsid w:val="00D5450B"/>
    <w:rsid w:val="00D547F1"/>
    <w:rsid w:val="00D54C49"/>
    <w:rsid w:val="00D554EC"/>
    <w:rsid w:val="00D55598"/>
    <w:rsid w:val="00D557BF"/>
    <w:rsid w:val="00D561F0"/>
    <w:rsid w:val="00D56517"/>
    <w:rsid w:val="00D56921"/>
    <w:rsid w:val="00D571B4"/>
    <w:rsid w:val="00D572B9"/>
    <w:rsid w:val="00D57E42"/>
    <w:rsid w:val="00D57E78"/>
    <w:rsid w:val="00D60542"/>
    <w:rsid w:val="00D60C9C"/>
    <w:rsid w:val="00D61A1B"/>
    <w:rsid w:val="00D6289E"/>
    <w:rsid w:val="00D62F88"/>
    <w:rsid w:val="00D6337A"/>
    <w:rsid w:val="00D63C8B"/>
    <w:rsid w:val="00D63CFD"/>
    <w:rsid w:val="00D6406E"/>
    <w:rsid w:val="00D641D6"/>
    <w:rsid w:val="00D657A3"/>
    <w:rsid w:val="00D65888"/>
    <w:rsid w:val="00D65F2C"/>
    <w:rsid w:val="00D66301"/>
    <w:rsid w:val="00D6659F"/>
    <w:rsid w:val="00D66F3E"/>
    <w:rsid w:val="00D67981"/>
    <w:rsid w:val="00D701DD"/>
    <w:rsid w:val="00D70B1F"/>
    <w:rsid w:val="00D70DDF"/>
    <w:rsid w:val="00D711F7"/>
    <w:rsid w:val="00D717AD"/>
    <w:rsid w:val="00D72659"/>
    <w:rsid w:val="00D72C6E"/>
    <w:rsid w:val="00D72CDB"/>
    <w:rsid w:val="00D72DDD"/>
    <w:rsid w:val="00D73A15"/>
    <w:rsid w:val="00D73BE1"/>
    <w:rsid w:val="00D7419B"/>
    <w:rsid w:val="00D742B5"/>
    <w:rsid w:val="00D744C7"/>
    <w:rsid w:val="00D7572B"/>
    <w:rsid w:val="00D76262"/>
    <w:rsid w:val="00D7654E"/>
    <w:rsid w:val="00D7741D"/>
    <w:rsid w:val="00D80209"/>
    <w:rsid w:val="00D8047B"/>
    <w:rsid w:val="00D80642"/>
    <w:rsid w:val="00D80BD3"/>
    <w:rsid w:val="00D80D79"/>
    <w:rsid w:val="00D81445"/>
    <w:rsid w:val="00D815AD"/>
    <w:rsid w:val="00D81AAE"/>
    <w:rsid w:val="00D82509"/>
    <w:rsid w:val="00D825EA"/>
    <w:rsid w:val="00D82A17"/>
    <w:rsid w:val="00D836B1"/>
    <w:rsid w:val="00D83995"/>
    <w:rsid w:val="00D83CC0"/>
    <w:rsid w:val="00D83D8F"/>
    <w:rsid w:val="00D84607"/>
    <w:rsid w:val="00D84901"/>
    <w:rsid w:val="00D84BB2"/>
    <w:rsid w:val="00D84CFC"/>
    <w:rsid w:val="00D86250"/>
    <w:rsid w:val="00D8651C"/>
    <w:rsid w:val="00D86879"/>
    <w:rsid w:val="00D869FB"/>
    <w:rsid w:val="00D87127"/>
    <w:rsid w:val="00D87EFC"/>
    <w:rsid w:val="00D91654"/>
    <w:rsid w:val="00D9281E"/>
    <w:rsid w:val="00D9343F"/>
    <w:rsid w:val="00D9350C"/>
    <w:rsid w:val="00D93CB3"/>
    <w:rsid w:val="00D94300"/>
    <w:rsid w:val="00D94A08"/>
    <w:rsid w:val="00D95665"/>
    <w:rsid w:val="00D96143"/>
    <w:rsid w:val="00D968DC"/>
    <w:rsid w:val="00D96D6A"/>
    <w:rsid w:val="00D96F97"/>
    <w:rsid w:val="00D97421"/>
    <w:rsid w:val="00D9746D"/>
    <w:rsid w:val="00D97481"/>
    <w:rsid w:val="00D97C66"/>
    <w:rsid w:val="00DA09DB"/>
    <w:rsid w:val="00DA10A4"/>
    <w:rsid w:val="00DA1B90"/>
    <w:rsid w:val="00DA20D9"/>
    <w:rsid w:val="00DA42B5"/>
    <w:rsid w:val="00DA52C8"/>
    <w:rsid w:val="00DA5B20"/>
    <w:rsid w:val="00DA6834"/>
    <w:rsid w:val="00DA6C94"/>
    <w:rsid w:val="00DA6F5A"/>
    <w:rsid w:val="00DA70B4"/>
    <w:rsid w:val="00DA78F5"/>
    <w:rsid w:val="00DA7DDD"/>
    <w:rsid w:val="00DB0CC6"/>
    <w:rsid w:val="00DB0DB9"/>
    <w:rsid w:val="00DB1223"/>
    <w:rsid w:val="00DB21D1"/>
    <w:rsid w:val="00DB2617"/>
    <w:rsid w:val="00DB2920"/>
    <w:rsid w:val="00DB32BF"/>
    <w:rsid w:val="00DB3ABE"/>
    <w:rsid w:val="00DB49AE"/>
    <w:rsid w:val="00DB4AB2"/>
    <w:rsid w:val="00DB4C3B"/>
    <w:rsid w:val="00DB50BE"/>
    <w:rsid w:val="00DB5B03"/>
    <w:rsid w:val="00DB5CA7"/>
    <w:rsid w:val="00DB6078"/>
    <w:rsid w:val="00DB63A4"/>
    <w:rsid w:val="00DB63C0"/>
    <w:rsid w:val="00DB72BF"/>
    <w:rsid w:val="00DB7515"/>
    <w:rsid w:val="00DB76D9"/>
    <w:rsid w:val="00DB784A"/>
    <w:rsid w:val="00DB7A60"/>
    <w:rsid w:val="00DC0E99"/>
    <w:rsid w:val="00DC121B"/>
    <w:rsid w:val="00DC162F"/>
    <w:rsid w:val="00DC1DA7"/>
    <w:rsid w:val="00DC234C"/>
    <w:rsid w:val="00DC2E09"/>
    <w:rsid w:val="00DC330A"/>
    <w:rsid w:val="00DC4A62"/>
    <w:rsid w:val="00DC501F"/>
    <w:rsid w:val="00DC624C"/>
    <w:rsid w:val="00DC6559"/>
    <w:rsid w:val="00DC6563"/>
    <w:rsid w:val="00DC6A5E"/>
    <w:rsid w:val="00DC6B5A"/>
    <w:rsid w:val="00DC6EE9"/>
    <w:rsid w:val="00DC7221"/>
    <w:rsid w:val="00DC7514"/>
    <w:rsid w:val="00DC7B9E"/>
    <w:rsid w:val="00DD071D"/>
    <w:rsid w:val="00DD0F62"/>
    <w:rsid w:val="00DD1FD6"/>
    <w:rsid w:val="00DD20B7"/>
    <w:rsid w:val="00DD233A"/>
    <w:rsid w:val="00DD254F"/>
    <w:rsid w:val="00DD2820"/>
    <w:rsid w:val="00DD34FD"/>
    <w:rsid w:val="00DD35D3"/>
    <w:rsid w:val="00DD3AC6"/>
    <w:rsid w:val="00DD54CA"/>
    <w:rsid w:val="00DD57EB"/>
    <w:rsid w:val="00DD5DB1"/>
    <w:rsid w:val="00DD5DE3"/>
    <w:rsid w:val="00DD5ED8"/>
    <w:rsid w:val="00DD5F50"/>
    <w:rsid w:val="00DD6B5B"/>
    <w:rsid w:val="00DD6E49"/>
    <w:rsid w:val="00DD7206"/>
    <w:rsid w:val="00DD7D54"/>
    <w:rsid w:val="00DE04F8"/>
    <w:rsid w:val="00DE0674"/>
    <w:rsid w:val="00DE069B"/>
    <w:rsid w:val="00DE096C"/>
    <w:rsid w:val="00DE1100"/>
    <w:rsid w:val="00DE15DB"/>
    <w:rsid w:val="00DE1FFC"/>
    <w:rsid w:val="00DE2D03"/>
    <w:rsid w:val="00DE368D"/>
    <w:rsid w:val="00DE38DF"/>
    <w:rsid w:val="00DE3B47"/>
    <w:rsid w:val="00DE3D20"/>
    <w:rsid w:val="00DE4028"/>
    <w:rsid w:val="00DE43D9"/>
    <w:rsid w:val="00DE4A46"/>
    <w:rsid w:val="00DE4ABE"/>
    <w:rsid w:val="00DE4BB1"/>
    <w:rsid w:val="00DE5116"/>
    <w:rsid w:val="00DE5B7D"/>
    <w:rsid w:val="00DE6960"/>
    <w:rsid w:val="00DE6B9E"/>
    <w:rsid w:val="00DE6CFB"/>
    <w:rsid w:val="00DE7017"/>
    <w:rsid w:val="00DE76B9"/>
    <w:rsid w:val="00DF0540"/>
    <w:rsid w:val="00DF07C7"/>
    <w:rsid w:val="00DF12B9"/>
    <w:rsid w:val="00DF1356"/>
    <w:rsid w:val="00DF3341"/>
    <w:rsid w:val="00DF4FDD"/>
    <w:rsid w:val="00DF505B"/>
    <w:rsid w:val="00DF631B"/>
    <w:rsid w:val="00DF78FB"/>
    <w:rsid w:val="00E0010E"/>
    <w:rsid w:val="00E005BB"/>
    <w:rsid w:val="00E006CC"/>
    <w:rsid w:val="00E00849"/>
    <w:rsid w:val="00E0084F"/>
    <w:rsid w:val="00E00DA6"/>
    <w:rsid w:val="00E013D0"/>
    <w:rsid w:val="00E019D5"/>
    <w:rsid w:val="00E02095"/>
    <w:rsid w:val="00E0232E"/>
    <w:rsid w:val="00E0255C"/>
    <w:rsid w:val="00E0262D"/>
    <w:rsid w:val="00E044F2"/>
    <w:rsid w:val="00E05350"/>
    <w:rsid w:val="00E05851"/>
    <w:rsid w:val="00E05AD0"/>
    <w:rsid w:val="00E06752"/>
    <w:rsid w:val="00E10D78"/>
    <w:rsid w:val="00E11F9C"/>
    <w:rsid w:val="00E123D0"/>
    <w:rsid w:val="00E125C6"/>
    <w:rsid w:val="00E140F7"/>
    <w:rsid w:val="00E14F90"/>
    <w:rsid w:val="00E162B6"/>
    <w:rsid w:val="00E16499"/>
    <w:rsid w:val="00E1739F"/>
    <w:rsid w:val="00E17525"/>
    <w:rsid w:val="00E175B0"/>
    <w:rsid w:val="00E1762B"/>
    <w:rsid w:val="00E179DC"/>
    <w:rsid w:val="00E20610"/>
    <w:rsid w:val="00E21D2C"/>
    <w:rsid w:val="00E22D38"/>
    <w:rsid w:val="00E24994"/>
    <w:rsid w:val="00E24AAC"/>
    <w:rsid w:val="00E258BC"/>
    <w:rsid w:val="00E25EE0"/>
    <w:rsid w:val="00E25FA3"/>
    <w:rsid w:val="00E26001"/>
    <w:rsid w:val="00E26076"/>
    <w:rsid w:val="00E26D1A"/>
    <w:rsid w:val="00E27DFB"/>
    <w:rsid w:val="00E308B9"/>
    <w:rsid w:val="00E30C19"/>
    <w:rsid w:val="00E3116D"/>
    <w:rsid w:val="00E313D4"/>
    <w:rsid w:val="00E32BBA"/>
    <w:rsid w:val="00E337AF"/>
    <w:rsid w:val="00E338BD"/>
    <w:rsid w:val="00E3469C"/>
    <w:rsid w:val="00E354DA"/>
    <w:rsid w:val="00E36E70"/>
    <w:rsid w:val="00E37663"/>
    <w:rsid w:val="00E3787C"/>
    <w:rsid w:val="00E37E61"/>
    <w:rsid w:val="00E4296B"/>
    <w:rsid w:val="00E42991"/>
    <w:rsid w:val="00E42D07"/>
    <w:rsid w:val="00E42F37"/>
    <w:rsid w:val="00E432A0"/>
    <w:rsid w:val="00E43E68"/>
    <w:rsid w:val="00E44556"/>
    <w:rsid w:val="00E44D46"/>
    <w:rsid w:val="00E45086"/>
    <w:rsid w:val="00E454E2"/>
    <w:rsid w:val="00E458FF"/>
    <w:rsid w:val="00E46212"/>
    <w:rsid w:val="00E46472"/>
    <w:rsid w:val="00E46890"/>
    <w:rsid w:val="00E46E0C"/>
    <w:rsid w:val="00E46E66"/>
    <w:rsid w:val="00E4787F"/>
    <w:rsid w:val="00E50592"/>
    <w:rsid w:val="00E50931"/>
    <w:rsid w:val="00E50A5B"/>
    <w:rsid w:val="00E50A96"/>
    <w:rsid w:val="00E50ECC"/>
    <w:rsid w:val="00E51E53"/>
    <w:rsid w:val="00E523AE"/>
    <w:rsid w:val="00E52E82"/>
    <w:rsid w:val="00E52F76"/>
    <w:rsid w:val="00E530D6"/>
    <w:rsid w:val="00E537FF"/>
    <w:rsid w:val="00E54AE9"/>
    <w:rsid w:val="00E556FA"/>
    <w:rsid w:val="00E557C1"/>
    <w:rsid w:val="00E561D5"/>
    <w:rsid w:val="00E565FB"/>
    <w:rsid w:val="00E56885"/>
    <w:rsid w:val="00E56AC9"/>
    <w:rsid w:val="00E577BF"/>
    <w:rsid w:val="00E57815"/>
    <w:rsid w:val="00E579B0"/>
    <w:rsid w:val="00E601B9"/>
    <w:rsid w:val="00E60DC6"/>
    <w:rsid w:val="00E61319"/>
    <w:rsid w:val="00E637ED"/>
    <w:rsid w:val="00E6478A"/>
    <w:rsid w:val="00E653C1"/>
    <w:rsid w:val="00E656DF"/>
    <w:rsid w:val="00E657C7"/>
    <w:rsid w:val="00E65DDE"/>
    <w:rsid w:val="00E669C4"/>
    <w:rsid w:val="00E66EAD"/>
    <w:rsid w:val="00E6740C"/>
    <w:rsid w:val="00E67723"/>
    <w:rsid w:val="00E7016D"/>
    <w:rsid w:val="00E701AC"/>
    <w:rsid w:val="00E702A4"/>
    <w:rsid w:val="00E7030A"/>
    <w:rsid w:val="00E70DF0"/>
    <w:rsid w:val="00E70E21"/>
    <w:rsid w:val="00E70FCB"/>
    <w:rsid w:val="00E71027"/>
    <w:rsid w:val="00E71691"/>
    <w:rsid w:val="00E71D99"/>
    <w:rsid w:val="00E71FB7"/>
    <w:rsid w:val="00E72466"/>
    <w:rsid w:val="00E725B6"/>
    <w:rsid w:val="00E72BC9"/>
    <w:rsid w:val="00E72ED0"/>
    <w:rsid w:val="00E759AB"/>
    <w:rsid w:val="00E75ACD"/>
    <w:rsid w:val="00E76ADF"/>
    <w:rsid w:val="00E76BB2"/>
    <w:rsid w:val="00E77455"/>
    <w:rsid w:val="00E776CC"/>
    <w:rsid w:val="00E77D61"/>
    <w:rsid w:val="00E77E33"/>
    <w:rsid w:val="00E805D5"/>
    <w:rsid w:val="00E810C0"/>
    <w:rsid w:val="00E814B3"/>
    <w:rsid w:val="00E81AA1"/>
    <w:rsid w:val="00E81BFA"/>
    <w:rsid w:val="00E821BF"/>
    <w:rsid w:val="00E835E9"/>
    <w:rsid w:val="00E83DCE"/>
    <w:rsid w:val="00E840AA"/>
    <w:rsid w:val="00E84D62"/>
    <w:rsid w:val="00E85252"/>
    <w:rsid w:val="00E85665"/>
    <w:rsid w:val="00E858C0"/>
    <w:rsid w:val="00E85D30"/>
    <w:rsid w:val="00E862A6"/>
    <w:rsid w:val="00E8692D"/>
    <w:rsid w:val="00E87236"/>
    <w:rsid w:val="00E87299"/>
    <w:rsid w:val="00E87789"/>
    <w:rsid w:val="00E87918"/>
    <w:rsid w:val="00E90866"/>
    <w:rsid w:val="00E909DF"/>
    <w:rsid w:val="00E90EE0"/>
    <w:rsid w:val="00E916C3"/>
    <w:rsid w:val="00E91A35"/>
    <w:rsid w:val="00E92647"/>
    <w:rsid w:val="00E92958"/>
    <w:rsid w:val="00E93E90"/>
    <w:rsid w:val="00E93F0C"/>
    <w:rsid w:val="00E940B0"/>
    <w:rsid w:val="00E940FC"/>
    <w:rsid w:val="00E950BC"/>
    <w:rsid w:val="00E95510"/>
    <w:rsid w:val="00E958CC"/>
    <w:rsid w:val="00E9597B"/>
    <w:rsid w:val="00E959E7"/>
    <w:rsid w:val="00E95FC7"/>
    <w:rsid w:val="00E96611"/>
    <w:rsid w:val="00E96946"/>
    <w:rsid w:val="00E96DF9"/>
    <w:rsid w:val="00E96F89"/>
    <w:rsid w:val="00EA004A"/>
    <w:rsid w:val="00EA008D"/>
    <w:rsid w:val="00EA0BAA"/>
    <w:rsid w:val="00EA120A"/>
    <w:rsid w:val="00EA1480"/>
    <w:rsid w:val="00EA180C"/>
    <w:rsid w:val="00EA2064"/>
    <w:rsid w:val="00EA2ABA"/>
    <w:rsid w:val="00EA2E7A"/>
    <w:rsid w:val="00EA2E84"/>
    <w:rsid w:val="00EA382A"/>
    <w:rsid w:val="00EA3BAC"/>
    <w:rsid w:val="00EA4B05"/>
    <w:rsid w:val="00EA5046"/>
    <w:rsid w:val="00EA546C"/>
    <w:rsid w:val="00EA5653"/>
    <w:rsid w:val="00EA5B26"/>
    <w:rsid w:val="00EA5B42"/>
    <w:rsid w:val="00EA70FF"/>
    <w:rsid w:val="00EA78C5"/>
    <w:rsid w:val="00EA7911"/>
    <w:rsid w:val="00EA7C36"/>
    <w:rsid w:val="00EB15DD"/>
    <w:rsid w:val="00EB1A50"/>
    <w:rsid w:val="00EB1EB7"/>
    <w:rsid w:val="00EB22B5"/>
    <w:rsid w:val="00EB264B"/>
    <w:rsid w:val="00EB30C9"/>
    <w:rsid w:val="00EB31F4"/>
    <w:rsid w:val="00EB37BB"/>
    <w:rsid w:val="00EB4370"/>
    <w:rsid w:val="00EB5A71"/>
    <w:rsid w:val="00EB5AA7"/>
    <w:rsid w:val="00EB6D36"/>
    <w:rsid w:val="00EB6E58"/>
    <w:rsid w:val="00EB6F32"/>
    <w:rsid w:val="00EC013E"/>
    <w:rsid w:val="00EC0D3D"/>
    <w:rsid w:val="00EC26B0"/>
    <w:rsid w:val="00EC3800"/>
    <w:rsid w:val="00EC3897"/>
    <w:rsid w:val="00EC3E42"/>
    <w:rsid w:val="00EC3E4C"/>
    <w:rsid w:val="00EC3FA3"/>
    <w:rsid w:val="00EC3FC8"/>
    <w:rsid w:val="00EC4745"/>
    <w:rsid w:val="00EC4FED"/>
    <w:rsid w:val="00EC5A36"/>
    <w:rsid w:val="00EC689C"/>
    <w:rsid w:val="00EC6B24"/>
    <w:rsid w:val="00EC7073"/>
    <w:rsid w:val="00EC7600"/>
    <w:rsid w:val="00ED0CDE"/>
    <w:rsid w:val="00ED2D4C"/>
    <w:rsid w:val="00ED3388"/>
    <w:rsid w:val="00ED3FAD"/>
    <w:rsid w:val="00ED440C"/>
    <w:rsid w:val="00ED4F56"/>
    <w:rsid w:val="00ED72A7"/>
    <w:rsid w:val="00EE0775"/>
    <w:rsid w:val="00EE15CE"/>
    <w:rsid w:val="00EE1C69"/>
    <w:rsid w:val="00EE2BC4"/>
    <w:rsid w:val="00EE3379"/>
    <w:rsid w:val="00EE4E3F"/>
    <w:rsid w:val="00EE52D6"/>
    <w:rsid w:val="00EE60F0"/>
    <w:rsid w:val="00EE6123"/>
    <w:rsid w:val="00EE65EF"/>
    <w:rsid w:val="00EE6C9E"/>
    <w:rsid w:val="00EE6F7C"/>
    <w:rsid w:val="00EE77F7"/>
    <w:rsid w:val="00EE7DB4"/>
    <w:rsid w:val="00EF0435"/>
    <w:rsid w:val="00EF0DAA"/>
    <w:rsid w:val="00EF11AE"/>
    <w:rsid w:val="00EF1969"/>
    <w:rsid w:val="00EF24F9"/>
    <w:rsid w:val="00EF2589"/>
    <w:rsid w:val="00EF25EC"/>
    <w:rsid w:val="00EF3398"/>
    <w:rsid w:val="00EF34B9"/>
    <w:rsid w:val="00EF383F"/>
    <w:rsid w:val="00EF3B32"/>
    <w:rsid w:val="00EF3CB5"/>
    <w:rsid w:val="00EF5378"/>
    <w:rsid w:val="00EF573C"/>
    <w:rsid w:val="00EF6354"/>
    <w:rsid w:val="00EF6541"/>
    <w:rsid w:val="00EF6550"/>
    <w:rsid w:val="00F0116E"/>
    <w:rsid w:val="00F01751"/>
    <w:rsid w:val="00F01ED0"/>
    <w:rsid w:val="00F02187"/>
    <w:rsid w:val="00F02B7B"/>
    <w:rsid w:val="00F05917"/>
    <w:rsid w:val="00F0678A"/>
    <w:rsid w:val="00F074BF"/>
    <w:rsid w:val="00F077A8"/>
    <w:rsid w:val="00F07B5E"/>
    <w:rsid w:val="00F07EEC"/>
    <w:rsid w:val="00F102CD"/>
    <w:rsid w:val="00F1048B"/>
    <w:rsid w:val="00F10951"/>
    <w:rsid w:val="00F10B61"/>
    <w:rsid w:val="00F11A9F"/>
    <w:rsid w:val="00F11FFD"/>
    <w:rsid w:val="00F132A8"/>
    <w:rsid w:val="00F1386E"/>
    <w:rsid w:val="00F1394D"/>
    <w:rsid w:val="00F142FD"/>
    <w:rsid w:val="00F15947"/>
    <w:rsid w:val="00F16458"/>
    <w:rsid w:val="00F16987"/>
    <w:rsid w:val="00F16F31"/>
    <w:rsid w:val="00F177C2"/>
    <w:rsid w:val="00F17AD4"/>
    <w:rsid w:val="00F17F93"/>
    <w:rsid w:val="00F201B9"/>
    <w:rsid w:val="00F2022C"/>
    <w:rsid w:val="00F20239"/>
    <w:rsid w:val="00F21634"/>
    <w:rsid w:val="00F218B7"/>
    <w:rsid w:val="00F21A48"/>
    <w:rsid w:val="00F239C6"/>
    <w:rsid w:val="00F249B9"/>
    <w:rsid w:val="00F24E6F"/>
    <w:rsid w:val="00F25BBC"/>
    <w:rsid w:val="00F25C2C"/>
    <w:rsid w:val="00F26294"/>
    <w:rsid w:val="00F271AD"/>
    <w:rsid w:val="00F30606"/>
    <w:rsid w:val="00F30833"/>
    <w:rsid w:val="00F30998"/>
    <w:rsid w:val="00F31BDD"/>
    <w:rsid w:val="00F33550"/>
    <w:rsid w:val="00F336E8"/>
    <w:rsid w:val="00F338E7"/>
    <w:rsid w:val="00F33973"/>
    <w:rsid w:val="00F354D8"/>
    <w:rsid w:val="00F35871"/>
    <w:rsid w:val="00F35F68"/>
    <w:rsid w:val="00F362F9"/>
    <w:rsid w:val="00F36A1E"/>
    <w:rsid w:val="00F370F4"/>
    <w:rsid w:val="00F3765A"/>
    <w:rsid w:val="00F37866"/>
    <w:rsid w:val="00F37F7B"/>
    <w:rsid w:val="00F40413"/>
    <w:rsid w:val="00F404E5"/>
    <w:rsid w:val="00F407A9"/>
    <w:rsid w:val="00F40E31"/>
    <w:rsid w:val="00F41170"/>
    <w:rsid w:val="00F41A12"/>
    <w:rsid w:val="00F41A9D"/>
    <w:rsid w:val="00F41B1E"/>
    <w:rsid w:val="00F41C92"/>
    <w:rsid w:val="00F42A06"/>
    <w:rsid w:val="00F42E3D"/>
    <w:rsid w:val="00F43B23"/>
    <w:rsid w:val="00F5030C"/>
    <w:rsid w:val="00F50E43"/>
    <w:rsid w:val="00F511E5"/>
    <w:rsid w:val="00F51387"/>
    <w:rsid w:val="00F51690"/>
    <w:rsid w:val="00F5186F"/>
    <w:rsid w:val="00F52C95"/>
    <w:rsid w:val="00F5367B"/>
    <w:rsid w:val="00F5387B"/>
    <w:rsid w:val="00F53BAE"/>
    <w:rsid w:val="00F545BC"/>
    <w:rsid w:val="00F5467E"/>
    <w:rsid w:val="00F546BF"/>
    <w:rsid w:val="00F54BA5"/>
    <w:rsid w:val="00F54BE0"/>
    <w:rsid w:val="00F54FC6"/>
    <w:rsid w:val="00F54FF0"/>
    <w:rsid w:val="00F55C15"/>
    <w:rsid w:val="00F55D07"/>
    <w:rsid w:val="00F56DC1"/>
    <w:rsid w:val="00F57080"/>
    <w:rsid w:val="00F572FF"/>
    <w:rsid w:val="00F57704"/>
    <w:rsid w:val="00F57946"/>
    <w:rsid w:val="00F57CFE"/>
    <w:rsid w:val="00F60A49"/>
    <w:rsid w:val="00F60E02"/>
    <w:rsid w:val="00F60F45"/>
    <w:rsid w:val="00F6101E"/>
    <w:rsid w:val="00F622F5"/>
    <w:rsid w:val="00F6335C"/>
    <w:rsid w:val="00F63864"/>
    <w:rsid w:val="00F6407E"/>
    <w:rsid w:val="00F66C98"/>
    <w:rsid w:val="00F66D2D"/>
    <w:rsid w:val="00F66E6C"/>
    <w:rsid w:val="00F67254"/>
    <w:rsid w:val="00F679EB"/>
    <w:rsid w:val="00F70976"/>
    <w:rsid w:val="00F71596"/>
    <w:rsid w:val="00F7399D"/>
    <w:rsid w:val="00F73E5E"/>
    <w:rsid w:val="00F741ED"/>
    <w:rsid w:val="00F744FC"/>
    <w:rsid w:val="00F74C40"/>
    <w:rsid w:val="00F76033"/>
    <w:rsid w:val="00F7618B"/>
    <w:rsid w:val="00F7699A"/>
    <w:rsid w:val="00F77337"/>
    <w:rsid w:val="00F820E8"/>
    <w:rsid w:val="00F8252F"/>
    <w:rsid w:val="00F82A6C"/>
    <w:rsid w:val="00F8391F"/>
    <w:rsid w:val="00F83B13"/>
    <w:rsid w:val="00F84339"/>
    <w:rsid w:val="00F846A9"/>
    <w:rsid w:val="00F8521E"/>
    <w:rsid w:val="00F85313"/>
    <w:rsid w:val="00F8554C"/>
    <w:rsid w:val="00F856E9"/>
    <w:rsid w:val="00F85F2D"/>
    <w:rsid w:val="00F862D0"/>
    <w:rsid w:val="00F86355"/>
    <w:rsid w:val="00F869A4"/>
    <w:rsid w:val="00F869EC"/>
    <w:rsid w:val="00F86A23"/>
    <w:rsid w:val="00F86D4B"/>
    <w:rsid w:val="00F90809"/>
    <w:rsid w:val="00F90909"/>
    <w:rsid w:val="00F93B5C"/>
    <w:rsid w:val="00F94116"/>
    <w:rsid w:val="00F95126"/>
    <w:rsid w:val="00F95255"/>
    <w:rsid w:val="00F95B7B"/>
    <w:rsid w:val="00F95D6A"/>
    <w:rsid w:val="00F962F3"/>
    <w:rsid w:val="00F96371"/>
    <w:rsid w:val="00F96718"/>
    <w:rsid w:val="00F967B5"/>
    <w:rsid w:val="00FA02BB"/>
    <w:rsid w:val="00FA04AD"/>
    <w:rsid w:val="00FA09FF"/>
    <w:rsid w:val="00FA19CC"/>
    <w:rsid w:val="00FA1DC6"/>
    <w:rsid w:val="00FA2035"/>
    <w:rsid w:val="00FA296B"/>
    <w:rsid w:val="00FA2C37"/>
    <w:rsid w:val="00FA41CF"/>
    <w:rsid w:val="00FA467D"/>
    <w:rsid w:val="00FA5E55"/>
    <w:rsid w:val="00FA69A5"/>
    <w:rsid w:val="00FA6B86"/>
    <w:rsid w:val="00FA759D"/>
    <w:rsid w:val="00FB0307"/>
    <w:rsid w:val="00FB1098"/>
    <w:rsid w:val="00FB1220"/>
    <w:rsid w:val="00FB2C32"/>
    <w:rsid w:val="00FB37FF"/>
    <w:rsid w:val="00FB408D"/>
    <w:rsid w:val="00FB53DE"/>
    <w:rsid w:val="00FB5436"/>
    <w:rsid w:val="00FB57A6"/>
    <w:rsid w:val="00FB5905"/>
    <w:rsid w:val="00FB5D6D"/>
    <w:rsid w:val="00FB61A1"/>
    <w:rsid w:val="00FB6C53"/>
    <w:rsid w:val="00FB7839"/>
    <w:rsid w:val="00FB79E0"/>
    <w:rsid w:val="00FC0170"/>
    <w:rsid w:val="00FC0334"/>
    <w:rsid w:val="00FC03DA"/>
    <w:rsid w:val="00FC0D89"/>
    <w:rsid w:val="00FC0FA3"/>
    <w:rsid w:val="00FC1E77"/>
    <w:rsid w:val="00FC32BB"/>
    <w:rsid w:val="00FC39CF"/>
    <w:rsid w:val="00FC3D44"/>
    <w:rsid w:val="00FC41C1"/>
    <w:rsid w:val="00FC4360"/>
    <w:rsid w:val="00FC4B42"/>
    <w:rsid w:val="00FC5072"/>
    <w:rsid w:val="00FC6328"/>
    <w:rsid w:val="00FC66BD"/>
    <w:rsid w:val="00FC6FB3"/>
    <w:rsid w:val="00FC79FE"/>
    <w:rsid w:val="00FD0B7B"/>
    <w:rsid w:val="00FD1787"/>
    <w:rsid w:val="00FD20F9"/>
    <w:rsid w:val="00FD2772"/>
    <w:rsid w:val="00FD2CFF"/>
    <w:rsid w:val="00FD31FF"/>
    <w:rsid w:val="00FD52C1"/>
    <w:rsid w:val="00FD5AF9"/>
    <w:rsid w:val="00FD606B"/>
    <w:rsid w:val="00FD6367"/>
    <w:rsid w:val="00FD7430"/>
    <w:rsid w:val="00FD7CF3"/>
    <w:rsid w:val="00FD7D50"/>
    <w:rsid w:val="00FE00B5"/>
    <w:rsid w:val="00FE027F"/>
    <w:rsid w:val="00FE1A13"/>
    <w:rsid w:val="00FE2585"/>
    <w:rsid w:val="00FE2DD7"/>
    <w:rsid w:val="00FE2EE5"/>
    <w:rsid w:val="00FE2FEA"/>
    <w:rsid w:val="00FE31AB"/>
    <w:rsid w:val="00FE32C0"/>
    <w:rsid w:val="00FE335F"/>
    <w:rsid w:val="00FE3A38"/>
    <w:rsid w:val="00FE5969"/>
    <w:rsid w:val="00FE5DCC"/>
    <w:rsid w:val="00FE62E1"/>
    <w:rsid w:val="00FE6F63"/>
    <w:rsid w:val="00FE71B9"/>
    <w:rsid w:val="00FE76F1"/>
    <w:rsid w:val="00FE7DDE"/>
    <w:rsid w:val="00FF01BC"/>
    <w:rsid w:val="00FF14B2"/>
    <w:rsid w:val="00FF15AD"/>
    <w:rsid w:val="00FF1B95"/>
    <w:rsid w:val="00FF1BB7"/>
    <w:rsid w:val="00FF24C9"/>
    <w:rsid w:val="00FF2778"/>
    <w:rsid w:val="00FF2BC5"/>
    <w:rsid w:val="00FF3188"/>
    <w:rsid w:val="00FF34D9"/>
    <w:rsid w:val="00FF4AE2"/>
    <w:rsid w:val="00FF50FC"/>
    <w:rsid w:val="00FF5BF5"/>
    <w:rsid w:val="00FF5F16"/>
    <w:rsid w:val="00FF66F4"/>
    <w:rsid w:val="00FF6828"/>
    <w:rsid w:val="00FF6BE5"/>
    <w:rsid w:val="00FF7058"/>
    <w:rsid w:val="00FF70E2"/>
    <w:rsid w:val="00FF738C"/>
    <w:rsid w:val="00FF7B28"/>
    <w:rsid w:val="00FF7DEE"/>
    <w:rsid w:val="01117E82"/>
    <w:rsid w:val="01536B63"/>
    <w:rsid w:val="01999A0C"/>
    <w:rsid w:val="02BC1ADC"/>
    <w:rsid w:val="03B03946"/>
    <w:rsid w:val="0449F476"/>
    <w:rsid w:val="047B45FD"/>
    <w:rsid w:val="04847DC4"/>
    <w:rsid w:val="051B1CA6"/>
    <w:rsid w:val="062154AB"/>
    <w:rsid w:val="075B003E"/>
    <w:rsid w:val="087DCFD9"/>
    <w:rsid w:val="0BF575F1"/>
    <w:rsid w:val="0C3F48DB"/>
    <w:rsid w:val="0E2DAC1F"/>
    <w:rsid w:val="0EF63D0C"/>
    <w:rsid w:val="0FEBE631"/>
    <w:rsid w:val="10965F23"/>
    <w:rsid w:val="1193F635"/>
    <w:rsid w:val="12128A19"/>
    <w:rsid w:val="1255005E"/>
    <w:rsid w:val="12955166"/>
    <w:rsid w:val="12B2353A"/>
    <w:rsid w:val="133AC373"/>
    <w:rsid w:val="1A9A3C1E"/>
    <w:rsid w:val="1AE63A9C"/>
    <w:rsid w:val="1D112021"/>
    <w:rsid w:val="1D139CAF"/>
    <w:rsid w:val="1F0BBAF0"/>
    <w:rsid w:val="2065BE20"/>
    <w:rsid w:val="209FB341"/>
    <w:rsid w:val="2147C7EC"/>
    <w:rsid w:val="2176109D"/>
    <w:rsid w:val="222CDF7D"/>
    <w:rsid w:val="22A7D333"/>
    <w:rsid w:val="2476AD2E"/>
    <w:rsid w:val="257F159A"/>
    <w:rsid w:val="25B16ADF"/>
    <w:rsid w:val="27BB9D16"/>
    <w:rsid w:val="2C4B4899"/>
    <w:rsid w:val="2D7EF244"/>
    <w:rsid w:val="2DABDE22"/>
    <w:rsid w:val="2DE6076A"/>
    <w:rsid w:val="2E09E352"/>
    <w:rsid w:val="2F593350"/>
    <w:rsid w:val="2F818161"/>
    <w:rsid w:val="2F910CE9"/>
    <w:rsid w:val="30FBE90B"/>
    <w:rsid w:val="317644F3"/>
    <w:rsid w:val="359C2B5F"/>
    <w:rsid w:val="35CEDE48"/>
    <w:rsid w:val="38241BDE"/>
    <w:rsid w:val="3964B4CA"/>
    <w:rsid w:val="39A243BC"/>
    <w:rsid w:val="3A73C308"/>
    <w:rsid w:val="3AA617DB"/>
    <w:rsid w:val="3AB09777"/>
    <w:rsid w:val="3BAC3BBC"/>
    <w:rsid w:val="3D1E3FFC"/>
    <w:rsid w:val="3D582F03"/>
    <w:rsid w:val="3F3C9B70"/>
    <w:rsid w:val="3F46067D"/>
    <w:rsid w:val="3FBCA572"/>
    <w:rsid w:val="407EB192"/>
    <w:rsid w:val="44421013"/>
    <w:rsid w:val="44E6CC2D"/>
    <w:rsid w:val="45A55C27"/>
    <w:rsid w:val="473B9ABE"/>
    <w:rsid w:val="47EE6066"/>
    <w:rsid w:val="480B5403"/>
    <w:rsid w:val="490ED09C"/>
    <w:rsid w:val="493B4C0C"/>
    <w:rsid w:val="4A010C37"/>
    <w:rsid w:val="4A0B2662"/>
    <w:rsid w:val="4BBBE979"/>
    <w:rsid w:val="4E09BF83"/>
    <w:rsid w:val="4E248B45"/>
    <w:rsid w:val="4FC5D146"/>
    <w:rsid w:val="506D3D23"/>
    <w:rsid w:val="521222D6"/>
    <w:rsid w:val="52EB84D0"/>
    <w:rsid w:val="5369D728"/>
    <w:rsid w:val="54FEFF43"/>
    <w:rsid w:val="5521234A"/>
    <w:rsid w:val="58358F2E"/>
    <w:rsid w:val="59993D48"/>
    <w:rsid w:val="5B7D5C77"/>
    <w:rsid w:val="5CAD1ED8"/>
    <w:rsid w:val="5CDE96CE"/>
    <w:rsid w:val="5D611226"/>
    <w:rsid w:val="5E6B3980"/>
    <w:rsid w:val="5F1B5804"/>
    <w:rsid w:val="5FCB660F"/>
    <w:rsid w:val="60C5FEF4"/>
    <w:rsid w:val="62490E83"/>
    <w:rsid w:val="626464FB"/>
    <w:rsid w:val="629C66E8"/>
    <w:rsid w:val="63137EF5"/>
    <w:rsid w:val="63375C24"/>
    <w:rsid w:val="638DAAD4"/>
    <w:rsid w:val="64B6B8CD"/>
    <w:rsid w:val="653360D0"/>
    <w:rsid w:val="65BAD71A"/>
    <w:rsid w:val="66CADFB7"/>
    <w:rsid w:val="66EB4E76"/>
    <w:rsid w:val="69347AAE"/>
    <w:rsid w:val="6B4F5580"/>
    <w:rsid w:val="6CE3263B"/>
    <w:rsid w:val="6D73AC86"/>
    <w:rsid w:val="71BFB70E"/>
    <w:rsid w:val="71D71854"/>
    <w:rsid w:val="725C6CE5"/>
    <w:rsid w:val="7278E26B"/>
    <w:rsid w:val="73015C17"/>
    <w:rsid w:val="73F01110"/>
    <w:rsid w:val="75E6EBD9"/>
    <w:rsid w:val="7AC0157D"/>
    <w:rsid w:val="7C1C37C4"/>
    <w:rsid w:val="7C8782AB"/>
    <w:rsid w:val="7CF0FCE6"/>
    <w:rsid w:val="7D10D4CD"/>
    <w:rsid w:val="7DACC79A"/>
    <w:rsid w:val="7EBCD806"/>
    <w:rsid w:val="7EF08C3C"/>
    <w:rsid w:val="7F45506E"/>
    <w:rsid w:val="7F551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185E4"/>
  <w15:docId w15:val="{CC246D8D-6538-4A46-B1B4-E675B40C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1C39E1"/>
    <w:pPr>
      <w:keepNext/>
      <w:keepLines/>
      <w:numPr>
        <w:numId w:val="12"/>
      </w:numPr>
      <w:spacing w:before="120"/>
      <w:ind w:hanging="54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723E69"/>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6F57E0"/>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1C39E1"/>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723E69"/>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BC48FA"/>
    <w:pPr>
      <w:tabs>
        <w:tab w:val="left" w:pos="45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723E69"/>
    <w:pPr>
      <w:tabs>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6F57E0"/>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BC48FA"/>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styleId="Mention">
    <w:name w:val="Mention"/>
    <w:basedOn w:val="DefaultParagraphFont"/>
    <w:uiPriority w:val="99"/>
    <w:unhideWhenUsed/>
    <w:rsid w:val="001B0A9E"/>
    <w:rPr>
      <w:color w:val="2B579A"/>
      <w:shd w:val="clear" w:color="auto" w:fill="E1DFDD"/>
    </w:rPr>
  </w:style>
  <w:style w:type="paragraph" w:styleId="BodyText">
    <w:name w:val="Body Text"/>
    <w:basedOn w:val="Normal"/>
    <w:link w:val="BodyTextChar"/>
    <w:uiPriority w:val="1"/>
    <w:qFormat/>
    <w:rsid w:val="000F07C7"/>
    <w:pPr>
      <w:adjustRightInd/>
    </w:pPr>
    <w:rPr>
      <w:rFonts w:ascii="Times New Roman" w:hAnsi="Times New Roman"/>
    </w:rPr>
  </w:style>
  <w:style w:type="character" w:customStyle="1" w:styleId="BodyTextChar">
    <w:name w:val="Body Text Char"/>
    <w:basedOn w:val="DefaultParagraphFont"/>
    <w:link w:val="BodyText"/>
    <w:uiPriority w:val="1"/>
    <w:rsid w:val="000F07C7"/>
    <w:rPr>
      <w:rFonts w:ascii="Times New Roman" w:hAnsi="Times New Roman"/>
      <w:sz w:val="24"/>
      <w:szCs w:val="24"/>
    </w:rPr>
  </w:style>
  <w:style w:type="character" w:styleId="Emphasis">
    <w:name w:val="Emphasis"/>
    <w:basedOn w:val="DefaultParagraphFont"/>
    <w:qFormat/>
    <w:locked/>
    <w:rsid w:val="00F5186F"/>
    <w:rPr>
      <w:i/>
      <w:iCs/>
    </w:rPr>
  </w:style>
  <w:style w:type="character" w:customStyle="1" w:styleId="normaltextrun">
    <w:name w:val="normaltextrun"/>
    <w:basedOn w:val="DefaultParagraphFont"/>
    <w:rsid w:val="00BA48E7"/>
  </w:style>
  <w:style w:type="character" w:customStyle="1" w:styleId="eop">
    <w:name w:val="eop"/>
    <w:basedOn w:val="DefaultParagraphFont"/>
    <w:rsid w:val="00BA48E7"/>
  </w:style>
  <w:style w:type="paragraph" w:customStyle="1" w:styleId="TableParagraph">
    <w:name w:val="Table Paragraph"/>
    <w:basedOn w:val="Normal"/>
    <w:uiPriority w:val="1"/>
    <w:qFormat/>
    <w:rsid w:val="00E46212"/>
    <w:pPr>
      <w:adjustRightInd/>
      <w:ind w:left="107"/>
    </w:pPr>
    <w:rPr>
      <w:rFonts w:eastAsia="Calibri" w:cs="Calibri"/>
      <w:sz w:val="22"/>
      <w:szCs w:val="22"/>
    </w:rPr>
  </w:style>
  <w:style w:type="character" w:styleId="UnresolvedMention">
    <w:name w:val="Unresolved Mention"/>
    <w:basedOn w:val="DefaultParagraphFont"/>
    <w:uiPriority w:val="99"/>
    <w:semiHidden/>
    <w:unhideWhenUsed/>
    <w:rsid w:val="003A2A63"/>
    <w:rPr>
      <w:color w:val="605E5C"/>
      <w:shd w:val="clear" w:color="auto" w:fill="E1DFDD"/>
    </w:rPr>
  </w:style>
  <w:style w:type="table" w:styleId="PlainTable1">
    <w:name w:val="Plain Table 1"/>
    <w:basedOn w:val="TableNormal"/>
    <w:uiPriority w:val="41"/>
    <w:rsid w:val="00AB6A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99182535">
      <w:bodyDiv w:val="1"/>
      <w:marLeft w:val="0"/>
      <w:marRight w:val="0"/>
      <w:marTop w:val="0"/>
      <w:marBottom w:val="0"/>
      <w:divBdr>
        <w:top w:val="none" w:sz="0" w:space="0" w:color="auto"/>
        <w:left w:val="none" w:sz="0" w:space="0" w:color="auto"/>
        <w:bottom w:val="none" w:sz="0" w:space="0" w:color="auto"/>
        <w:right w:val="none" w:sz="0" w:space="0" w:color="auto"/>
      </w:divBdr>
      <w:divsChild>
        <w:div w:id="186800254">
          <w:marLeft w:val="0"/>
          <w:marRight w:val="0"/>
          <w:marTop w:val="0"/>
          <w:marBottom w:val="0"/>
          <w:divBdr>
            <w:top w:val="none" w:sz="0" w:space="0" w:color="auto"/>
            <w:left w:val="none" w:sz="0" w:space="0" w:color="auto"/>
            <w:bottom w:val="none" w:sz="0" w:space="0" w:color="auto"/>
            <w:right w:val="none" w:sz="0" w:space="0" w:color="auto"/>
          </w:divBdr>
          <w:divsChild>
            <w:div w:id="2115441742">
              <w:marLeft w:val="0"/>
              <w:marRight w:val="0"/>
              <w:marTop w:val="0"/>
              <w:marBottom w:val="0"/>
              <w:divBdr>
                <w:top w:val="none" w:sz="0" w:space="0" w:color="auto"/>
                <w:left w:val="none" w:sz="0" w:space="0" w:color="auto"/>
                <w:bottom w:val="none" w:sz="0" w:space="0" w:color="auto"/>
                <w:right w:val="none" w:sz="0" w:space="0" w:color="auto"/>
              </w:divBdr>
            </w:div>
          </w:divsChild>
        </w:div>
        <w:div w:id="211617125">
          <w:marLeft w:val="0"/>
          <w:marRight w:val="0"/>
          <w:marTop w:val="0"/>
          <w:marBottom w:val="0"/>
          <w:divBdr>
            <w:top w:val="none" w:sz="0" w:space="0" w:color="auto"/>
            <w:left w:val="none" w:sz="0" w:space="0" w:color="auto"/>
            <w:bottom w:val="none" w:sz="0" w:space="0" w:color="auto"/>
            <w:right w:val="none" w:sz="0" w:space="0" w:color="auto"/>
          </w:divBdr>
          <w:divsChild>
            <w:div w:id="121533397">
              <w:marLeft w:val="0"/>
              <w:marRight w:val="0"/>
              <w:marTop w:val="0"/>
              <w:marBottom w:val="0"/>
              <w:divBdr>
                <w:top w:val="none" w:sz="0" w:space="0" w:color="auto"/>
                <w:left w:val="none" w:sz="0" w:space="0" w:color="auto"/>
                <w:bottom w:val="none" w:sz="0" w:space="0" w:color="auto"/>
                <w:right w:val="none" w:sz="0" w:space="0" w:color="auto"/>
              </w:divBdr>
            </w:div>
            <w:div w:id="1366826633">
              <w:marLeft w:val="0"/>
              <w:marRight w:val="0"/>
              <w:marTop w:val="0"/>
              <w:marBottom w:val="0"/>
              <w:divBdr>
                <w:top w:val="none" w:sz="0" w:space="0" w:color="auto"/>
                <w:left w:val="none" w:sz="0" w:space="0" w:color="auto"/>
                <w:bottom w:val="none" w:sz="0" w:space="0" w:color="auto"/>
                <w:right w:val="none" w:sz="0" w:space="0" w:color="auto"/>
              </w:divBdr>
            </w:div>
          </w:divsChild>
        </w:div>
        <w:div w:id="294793445">
          <w:marLeft w:val="0"/>
          <w:marRight w:val="0"/>
          <w:marTop w:val="0"/>
          <w:marBottom w:val="0"/>
          <w:divBdr>
            <w:top w:val="none" w:sz="0" w:space="0" w:color="auto"/>
            <w:left w:val="none" w:sz="0" w:space="0" w:color="auto"/>
            <w:bottom w:val="none" w:sz="0" w:space="0" w:color="auto"/>
            <w:right w:val="none" w:sz="0" w:space="0" w:color="auto"/>
          </w:divBdr>
          <w:divsChild>
            <w:div w:id="3673062">
              <w:marLeft w:val="0"/>
              <w:marRight w:val="0"/>
              <w:marTop w:val="0"/>
              <w:marBottom w:val="0"/>
              <w:divBdr>
                <w:top w:val="none" w:sz="0" w:space="0" w:color="auto"/>
                <w:left w:val="none" w:sz="0" w:space="0" w:color="auto"/>
                <w:bottom w:val="none" w:sz="0" w:space="0" w:color="auto"/>
                <w:right w:val="none" w:sz="0" w:space="0" w:color="auto"/>
              </w:divBdr>
            </w:div>
          </w:divsChild>
        </w:div>
        <w:div w:id="335764080">
          <w:marLeft w:val="0"/>
          <w:marRight w:val="0"/>
          <w:marTop w:val="0"/>
          <w:marBottom w:val="0"/>
          <w:divBdr>
            <w:top w:val="none" w:sz="0" w:space="0" w:color="auto"/>
            <w:left w:val="none" w:sz="0" w:space="0" w:color="auto"/>
            <w:bottom w:val="none" w:sz="0" w:space="0" w:color="auto"/>
            <w:right w:val="none" w:sz="0" w:space="0" w:color="auto"/>
          </w:divBdr>
          <w:divsChild>
            <w:div w:id="997616334">
              <w:marLeft w:val="0"/>
              <w:marRight w:val="0"/>
              <w:marTop w:val="0"/>
              <w:marBottom w:val="0"/>
              <w:divBdr>
                <w:top w:val="none" w:sz="0" w:space="0" w:color="auto"/>
                <w:left w:val="none" w:sz="0" w:space="0" w:color="auto"/>
                <w:bottom w:val="none" w:sz="0" w:space="0" w:color="auto"/>
                <w:right w:val="none" w:sz="0" w:space="0" w:color="auto"/>
              </w:divBdr>
            </w:div>
          </w:divsChild>
        </w:div>
        <w:div w:id="484393789">
          <w:marLeft w:val="0"/>
          <w:marRight w:val="0"/>
          <w:marTop w:val="0"/>
          <w:marBottom w:val="0"/>
          <w:divBdr>
            <w:top w:val="none" w:sz="0" w:space="0" w:color="auto"/>
            <w:left w:val="none" w:sz="0" w:space="0" w:color="auto"/>
            <w:bottom w:val="none" w:sz="0" w:space="0" w:color="auto"/>
            <w:right w:val="none" w:sz="0" w:space="0" w:color="auto"/>
          </w:divBdr>
          <w:divsChild>
            <w:div w:id="834684693">
              <w:marLeft w:val="0"/>
              <w:marRight w:val="0"/>
              <w:marTop w:val="0"/>
              <w:marBottom w:val="0"/>
              <w:divBdr>
                <w:top w:val="none" w:sz="0" w:space="0" w:color="auto"/>
                <w:left w:val="none" w:sz="0" w:space="0" w:color="auto"/>
                <w:bottom w:val="none" w:sz="0" w:space="0" w:color="auto"/>
                <w:right w:val="none" w:sz="0" w:space="0" w:color="auto"/>
              </w:divBdr>
            </w:div>
          </w:divsChild>
        </w:div>
        <w:div w:id="576594184">
          <w:marLeft w:val="0"/>
          <w:marRight w:val="0"/>
          <w:marTop w:val="0"/>
          <w:marBottom w:val="0"/>
          <w:divBdr>
            <w:top w:val="none" w:sz="0" w:space="0" w:color="auto"/>
            <w:left w:val="none" w:sz="0" w:space="0" w:color="auto"/>
            <w:bottom w:val="none" w:sz="0" w:space="0" w:color="auto"/>
            <w:right w:val="none" w:sz="0" w:space="0" w:color="auto"/>
          </w:divBdr>
          <w:divsChild>
            <w:div w:id="26762711">
              <w:marLeft w:val="0"/>
              <w:marRight w:val="0"/>
              <w:marTop w:val="0"/>
              <w:marBottom w:val="0"/>
              <w:divBdr>
                <w:top w:val="none" w:sz="0" w:space="0" w:color="auto"/>
                <w:left w:val="none" w:sz="0" w:space="0" w:color="auto"/>
                <w:bottom w:val="none" w:sz="0" w:space="0" w:color="auto"/>
                <w:right w:val="none" w:sz="0" w:space="0" w:color="auto"/>
              </w:divBdr>
            </w:div>
          </w:divsChild>
        </w:div>
        <w:div w:id="736131634">
          <w:marLeft w:val="0"/>
          <w:marRight w:val="0"/>
          <w:marTop w:val="0"/>
          <w:marBottom w:val="0"/>
          <w:divBdr>
            <w:top w:val="none" w:sz="0" w:space="0" w:color="auto"/>
            <w:left w:val="none" w:sz="0" w:space="0" w:color="auto"/>
            <w:bottom w:val="none" w:sz="0" w:space="0" w:color="auto"/>
            <w:right w:val="none" w:sz="0" w:space="0" w:color="auto"/>
          </w:divBdr>
          <w:divsChild>
            <w:div w:id="98532508">
              <w:marLeft w:val="0"/>
              <w:marRight w:val="0"/>
              <w:marTop w:val="0"/>
              <w:marBottom w:val="0"/>
              <w:divBdr>
                <w:top w:val="none" w:sz="0" w:space="0" w:color="auto"/>
                <w:left w:val="none" w:sz="0" w:space="0" w:color="auto"/>
                <w:bottom w:val="none" w:sz="0" w:space="0" w:color="auto"/>
                <w:right w:val="none" w:sz="0" w:space="0" w:color="auto"/>
              </w:divBdr>
            </w:div>
          </w:divsChild>
        </w:div>
        <w:div w:id="771321103">
          <w:marLeft w:val="0"/>
          <w:marRight w:val="0"/>
          <w:marTop w:val="0"/>
          <w:marBottom w:val="0"/>
          <w:divBdr>
            <w:top w:val="none" w:sz="0" w:space="0" w:color="auto"/>
            <w:left w:val="none" w:sz="0" w:space="0" w:color="auto"/>
            <w:bottom w:val="none" w:sz="0" w:space="0" w:color="auto"/>
            <w:right w:val="none" w:sz="0" w:space="0" w:color="auto"/>
          </w:divBdr>
          <w:divsChild>
            <w:div w:id="1564364453">
              <w:marLeft w:val="0"/>
              <w:marRight w:val="0"/>
              <w:marTop w:val="0"/>
              <w:marBottom w:val="0"/>
              <w:divBdr>
                <w:top w:val="none" w:sz="0" w:space="0" w:color="auto"/>
                <w:left w:val="none" w:sz="0" w:space="0" w:color="auto"/>
                <w:bottom w:val="none" w:sz="0" w:space="0" w:color="auto"/>
                <w:right w:val="none" w:sz="0" w:space="0" w:color="auto"/>
              </w:divBdr>
            </w:div>
          </w:divsChild>
        </w:div>
        <w:div w:id="891618006">
          <w:marLeft w:val="0"/>
          <w:marRight w:val="0"/>
          <w:marTop w:val="0"/>
          <w:marBottom w:val="0"/>
          <w:divBdr>
            <w:top w:val="none" w:sz="0" w:space="0" w:color="auto"/>
            <w:left w:val="none" w:sz="0" w:space="0" w:color="auto"/>
            <w:bottom w:val="none" w:sz="0" w:space="0" w:color="auto"/>
            <w:right w:val="none" w:sz="0" w:space="0" w:color="auto"/>
          </w:divBdr>
          <w:divsChild>
            <w:div w:id="1504202505">
              <w:marLeft w:val="0"/>
              <w:marRight w:val="0"/>
              <w:marTop w:val="0"/>
              <w:marBottom w:val="0"/>
              <w:divBdr>
                <w:top w:val="none" w:sz="0" w:space="0" w:color="auto"/>
                <w:left w:val="none" w:sz="0" w:space="0" w:color="auto"/>
                <w:bottom w:val="none" w:sz="0" w:space="0" w:color="auto"/>
                <w:right w:val="none" w:sz="0" w:space="0" w:color="auto"/>
              </w:divBdr>
            </w:div>
            <w:div w:id="1532644683">
              <w:marLeft w:val="0"/>
              <w:marRight w:val="0"/>
              <w:marTop w:val="0"/>
              <w:marBottom w:val="0"/>
              <w:divBdr>
                <w:top w:val="none" w:sz="0" w:space="0" w:color="auto"/>
                <w:left w:val="none" w:sz="0" w:space="0" w:color="auto"/>
                <w:bottom w:val="none" w:sz="0" w:space="0" w:color="auto"/>
                <w:right w:val="none" w:sz="0" w:space="0" w:color="auto"/>
              </w:divBdr>
            </w:div>
          </w:divsChild>
        </w:div>
        <w:div w:id="909384012">
          <w:marLeft w:val="0"/>
          <w:marRight w:val="0"/>
          <w:marTop w:val="0"/>
          <w:marBottom w:val="0"/>
          <w:divBdr>
            <w:top w:val="none" w:sz="0" w:space="0" w:color="auto"/>
            <w:left w:val="none" w:sz="0" w:space="0" w:color="auto"/>
            <w:bottom w:val="none" w:sz="0" w:space="0" w:color="auto"/>
            <w:right w:val="none" w:sz="0" w:space="0" w:color="auto"/>
          </w:divBdr>
          <w:divsChild>
            <w:div w:id="360058949">
              <w:marLeft w:val="0"/>
              <w:marRight w:val="0"/>
              <w:marTop w:val="0"/>
              <w:marBottom w:val="0"/>
              <w:divBdr>
                <w:top w:val="none" w:sz="0" w:space="0" w:color="auto"/>
                <w:left w:val="none" w:sz="0" w:space="0" w:color="auto"/>
                <w:bottom w:val="none" w:sz="0" w:space="0" w:color="auto"/>
                <w:right w:val="none" w:sz="0" w:space="0" w:color="auto"/>
              </w:divBdr>
            </w:div>
          </w:divsChild>
        </w:div>
        <w:div w:id="971591433">
          <w:marLeft w:val="0"/>
          <w:marRight w:val="0"/>
          <w:marTop w:val="0"/>
          <w:marBottom w:val="0"/>
          <w:divBdr>
            <w:top w:val="none" w:sz="0" w:space="0" w:color="auto"/>
            <w:left w:val="none" w:sz="0" w:space="0" w:color="auto"/>
            <w:bottom w:val="none" w:sz="0" w:space="0" w:color="auto"/>
            <w:right w:val="none" w:sz="0" w:space="0" w:color="auto"/>
          </w:divBdr>
          <w:divsChild>
            <w:div w:id="1464467791">
              <w:marLeft w:val="0"/>
              <w:marRight w:val="0"/>
              <w:marTop w:val="0"/>
              <w:marBottom w:val="0"/>
              <w:divBdr>
                <w:top w:val="none" w:sz="0" w:space="0" w:color="auto"/>
                <w:left w:val="none" w:sz="0" w:space="0" w:color="auto"/>
                <w:bottom w:val="none" w:sz="0" w:space="0" w:color="auto"/>
                <w:right w:val="none" w:sz="0" w:space="0" w:color="auto"/>
              </w:divBdr>
            </w:div>
          </w:divsChild>
        </w:div>
        <w:div w:id="1034815534">
          <w:marLeft w:val="0"/>
          <w:marRight w:val="0"/>
          <w:marTop w:val="0"/>
          <w:marBottom w:val="0"/>
          <w:divBdr>
            <w:top w:val="none" w:sz="0" w:space="0" w:color="auto"/>
            <w:left w:val="none" w:sz="0" w:space="0" w:color="auto"/>
            <w:bottom w:val="none" w:sz="0" w:space="0" w:color="auto"/>
            <w:right w:val="none" w:sz="0" w:space="0" w:color="auto"/>
          </w:divBdr>
          <w:divsChild>
            <w:div w:id="415173382">
              <w:marLeft w:val="0"/>
              <w:marRight w:val="0"/>
              <w:marTop w:val="0"/>
              <w:marBottom w:val="0"/>
              <w:divBdr>
                <w:top w:val="none" w:sz="0" w:space="0" w:color="auto"/>
                <w:left w:val="none" w:sz="0" w:space="0" w:color="auto"/>
                <w:bottom w:val="none" w:sz="0" w:space="0" w:color="auto"/>
                <w:right w:val="none" w:sz="0" w:space="0" w:color="auto"/>
              </w:divBdr>
            </w:div>
            <w:div w:id="1335376564">
              <w:marLeft w:val="0"/>
              <w:marRight w:val="0"/>
              <w:marTop w:val="0"/>
              <w:marBottom w:val="0"/>
              <w:divBdr>
                <w:top w:val="none" w:sz="0" w:space="0" w:color="auto"/>
                <w:left w:val="none" w:sz="0" w:space="0" w:color="auto"/>
                <w:bottom w:val="none" w:sz="0" w:space="0" w:color="auto"/>
                <w:right w:val="none" w:sz="0" w:space="0" w:color="auto"/>
              </w:divBdr>
            </w:div>
            <w:div w:id="1891529931">
              <w:marLeft w:val="0"/>
              <w:marRight w:val="0"/>
              <w:marTop w:val="0"/>
              <w:marBottom w:val="0"/>
              <w:divBdr>
                <w:top w:val="none" w:sz="0" w:space="0" w:color="auto"/>
                <w:left w:val="none" w:sz="0" w:space="0" w:color="auto"/>
                <w:bottom w:val="none" w:sz="0" w:space="0" w:color="auto"/>
                <w:right w:val="none" w:sz="0" w:space="0" w:color="auto"/>
              </w:divBdr>
            </w:div>
          </w:divsChild>
        </w:div>
        <w:div w:id="1265185218">
          <w:marLeft w:val="0"/>
          <w:marRight w:val="0"/>
          <w:marTop w:val="0"/>
          <w:marBottom w:val="0"/>
          <w:divBdr>
            <w:top w:val="none" w:sz="0" w:space="0" w:color="auto"/>
            <w:left w:val="none" w:sz="0" w:space="0" w:color="auto"/>
            <w:bottom w:val="none" w:sz="0" w:space="0" w:color="auto"/>
            <w:right w:val="none" w:sz="0" w:space="0" w:color="auto"/>
          </w:divBdr>
          <w:divsChild>
            <w:div w:id="1377196637">
              <w:marLeft w:val="0"/>
              <w:marRight w:val="0"/>
              <w:marTop w:val="0"/>
              <w:marBottom w:val="0"/>
              <w:divBdr>
                <w:top w:val="none" w:sz="0" w:space="0" w:color="auto"/>
                <w:left w:val="none" w:sz="0" w:space="0" w:color="auto"/>
                <w:bottom w:val="none" w:sz="0" w:space="0" w:color="auto"/>
                <w:right w:val="none" w:sz="0" w:space="0" w:color="auto"/>
              </w:divBdr>
            </w:div>
          </w:divsChild>
        </w:div>
        <w:div w:id="1378311097">
          <w:marLeft w:val="0"/>
          <w:marRight w:val="0"/>
          <w:marTop w:val="0"/>
          <w:marBottom w:val="0"/>
          <w:divBdr>
            <w:top w:val="none" w:sz="0" w:space="0" w:color="auto"/>
            <w:left w:val="none" w:sz="0" w:space="0" w:color="auto"/>
            <w:bottom w:val="none" w:sz="0" w:space="0" w:color="auto"/>
            <w:right w:val="none" w:sz="0" w:space="0" w:color="auto"/>
          </w:divBdr>
          <w:divsChild>
            <w:div w:id="146675322">
              <w:marLeft w:val="0"/>
              <w:marRight w:val="0"/>
              <w:marTop w:val="0"/>
              <w:marBottom w:val="0"/>
              <w:divBdr>
                <w:top w:val="none" w:sz="0" w:space="0" w:color="auto"/>
                <w:left w:val="none" w:sz="0" w:space="0" w:color="auto"/>
                <w:bottom w:val="none" w:sz="0" w:space="0" w:color="auto"/>
                <w:right w:val="none" w:sz="0" w:space="0" w:color="auto"/>
              </w:divBdr>
            </w:div>
            <w:div w:id="745110353">
              <w:marLeft w:val="0"/>
              <w:marRight w:val="0"/>
              <w:marTop w:val="0"/>
              <w:marBottom w:val="0"/>
              <w:divBdr>
                <w:top w:val="none" w:sz="0" w:space="0" w:color="auto"/>
                <w:left w:val="none" w:sz="0" w:space="0" w:color="auto"/>
                <w:bottom w:val="none" w:sz="0" w:space="0" w:color="auto"/>
                <w:right w:val="none" w:sz="0" w:space="0" w:color="auto"/>
              </w:divBdr>
            </w:div>
          </w:divsChild>
        </w:div>
        <w:div w:id="1576476916">
          <w:marLeft w:val="0"/>
          <w:marRight w:val="0"/>
          <w:marTop w:val="0"/>
          <w:marBottom w:val="0"/>
          <w:divBdr>
            <w:top w:val="none" w:sz="0" w:space="0" w:color="auto"/>
            <w:left w:val="none" w:sz="0" w:space="0" w:color="auto"/>
            <w:bottom w:val="none" w:sz="0" w:space="0" w:color="auto"/>
            <w:right w:val="none" w:sz="0" w:space="0" w:color="auto"/>
          </w:divBdr>
          <w:divsChild>
            <w:div w:id="199754867">
              <w:marLeft w:val="0"/>
              <w:marRight w:val="0"/>
              <w:marTop w:val="0"/>
              <w:marBottom w:val="0"/>
              <w:divBdr>
                <w:top w:val="none" w:sz="0" w:space="0" w:color="auto"/>
                <w:left w:val="none" w:sz="0" w:space="0" w:color="auto"/>
                <w:bottom w:val="none" w:sz="0" w:space="0" w:color="auto"/>
                <w:right w:val="none" w:sz="0" w:space="0" w:color="auto"/>
              </w:divBdr>
            </w:div>
            <w:div w:id="1238638436">
              <w:marLeft w:val="0"/>
              <w:marRight w:val="0"/>
              <w:marTop w:val="0"/>
              <w:marBottom w:val="0"/>
              <w:divBdr>
                <w:top w:val="none" w:sz="0" w:space="0" w:color="auto"/>
                <w:left w:val="none" w:sz="0" w:space="0" w:color="auto"/>
                <w:bottom w:val="none" w:sz="0" w:space="0" w:color="auto"/>
                <w:right w:val="none" w:sz="0" w:space="0" w:color="auto"/>
              </w:divBdr>
            </w:div>
          </w:divsChild>
        </w:div>
        <w:div w:id="1623733302">
          <w:marLeft w:val="0"/>
          <w:marRight w:val="0"/>
          <w:marTop w:val="0"/>
          <w:marBottom w:val="0"/>
          <w:divBdr>
            <w:top w:val="none" w:sz="0" w:space="0" w:color="auto"/>
            <w:left w:val="none" w:sz="0" w:space="0" w:color="auto"/>
            <w:bottom w:val="none" w:sz="0" w:space="0" w:color="auto"/>
            <w:right w:val="none" w:sz="0" w:space="0" w:color="auto"/>
          </w:divBdr>
          <w:divsChild>
            <w:div w:id="360055390">
              <w:marLeft w:val="0"/>
              <w:marRight w:val="0"/>
              <w:marTop w:val="0"/>
              <w:marBottom w:val="0"/>
              <w:divBdr>
                <w:top w:val="none" w:sz="0" w:space="0" w:color="auto"/>
                <w:left w:val="none" w:sz="0" w:space="0" w:color="auto"/>
                <w:bottom w:val="none" w:sz="0" w:space="0" w:color="auto"/>
                <w:right w:val="none" w:sz="0" w:space="0" w:color="auto"/>
              </w:divBdr>
            </w:div>
          </w:divsChild>
        </w:div>
        <w:div w:id="1867136480">
          <w:marLeft w:val="0"/>
          <w:marRight w:val="0"/>
          <w:marTop w:val="0"/>
          <w:marBottom w:val="0"/>
          <w:divBdr>
            <w:top w:val="none" w:sz="0" w:space="0" w:color="auto"/>
            <w:left w:val="none" w:sz="0" w:space="0" w:color="auto"/>
            <w:bottom w:val="none" w:sz="0" w:space="0" w:color="auto"/>
            <w:right w:val="none" w:sz="0" w:space="0" w:color="auto"/>
          </w:divBdr>
          <w:divsChild>
            <w:div w:id="139462413">
              <w:marLeft w:val="0"/>
              <w:marRight w:val="0"/>
              <w:marTop w:val="0"/>
              <w:marBottom w:val="0"/>
              <w:divBdr>
                <w:top w:val="none" w:sz="0" w:space="0" w:color="auto"/>
                <w:left w:val="none" w:sz="0" w:space="0" w:color="auto"/>
                <w:bottom w:val="none" w:sz="0" w:space="0" w:color="auto"/>
                <w:right w:val="none" w:sz="0" w:space="0" w:color="auto"/>
              </w:divBdr>
            </w:div>
            <w:div w:id="1958216076">
              <w:marLeft w:val="0"/>
              <w:marRight w:val="0"/>
              <w:marTop w:val="0"/>
              <w:marBottom w:val="0"/>
              <w:divBdr>
                <w:top w:val="none" w:sz="0" w:space="0" w:color="auto"/>
                <w:left w:val="none" w:sz="0" w:space="0" w:color="auto"/>
                <w:bottom w:val="none" w:sz="0" w:space="0" w:color="auto"/>
                <w:right w:val="none" w:sz="0" w:space="0" w:color="auto"/>
              </w:divBdr>
            </w:div>
          </w:divsChild>
        </w:div>
        <w:div w:id="1872185136">
          <w:marLeft w:val="0"/>
          <w:marRight w:val="0"/>
          <w:marTop w:val="0"/>
          <w:marBottom w:val="0"/>
          <w:divBdr>
            <w:top w:val="none" w:sz="0" w:space="0" w:color="auto"/>
            <w:left w:val="none" w:sz="0" w:space="0" w:color="auto"/>
            <w:bottom w:val="none" w:sz="0" w:space="0" w:color="auto"/>
            <w:right w:val="none" w:sz="0" w:space="0" w:color="auto"/>
          </w:divBdr>
          <w:divsChild>
            <w:div w:id="1709185332">
              <w:marLeft w:val="0"/>
              <w:marRight w:val="0"/>
              <w:marTop w:val="0"/>
              <w:marBottom w:val="0"/>
              <w:divBdr>
                <w:top w:val="none" w:sz="0" w:space="0" w:color="auto"/>
                <w:left w:val="none" w:sz="0" w:space="0" w:color="auto"/>
                <w:bottom w:val="none" w:sz="0" w:space="0" w:color="auto"/>
                <w:right w:val="none" w:sz="0" w:space="0" w:color="auto"/>
              </w:divBdr>
            </w:div>
          </w:divsChild>
        </w:div>
        <w:div w:id="1931422975">
          <w:marLeft w:val="0"/>
          <w:marRight w:val="0"/>
          <w:marTop w:val="0"/>
          <w:marBottom w:val="0"/>
          <w:divBdr>
            <w:top w:val="none" w:sz="0" w:space="0" w:color="auto"/>
            <w:left w:val="none" w:sz="0" w:space="0" w:color="auto"/>
            <w:bottom w:val="none" w:sz="0" w:space="0" w:color="auto"/>
            <w:right w:val="none" w:sz="0" w:space="0" w:color="auto"/>
          </w:divBdr>
          <w:divsChild>
            <w:div w:id="2052147171">
              <w:marLeft w:val="0"/>
              <w:marRight w:val="0"/>
              <w:marTop w:val="0"/>
              <w:marBottom w:val="0"/>
              <w:divBdr>
                <w:top w:val="none" w:sz="0" w:space="0" w:color="auto"/>
                <w:left w:val="none" w:sz="0" w:space="0" w:color="auto"/>
                <w:bottom w:val="none" w:sz="0" w:space="0" w:color="auto"/>
                <w:right w:val="none" w:sz="0" w:space="0" w:color="auto"/>
              </w:divBdr>
            </w:div>
          </w:divsChild>
        </w:div>
        <w:div w:id="1954360751">
          <w:marLeft w:val="0"/>
          <w:marRight w:val="0"/>
          <w:marTop w:val="0"/>
          <w:marBottom w:val="0"/>
          <w:divBdr>
            <w:top w:val="none" w:sz="0" w:space="0" w:color="auto"/>
            <w:left w:val="none" w:sz="0" w:space="0" w:color="auto"/>
            <w:bottom w:val="none" w:sz="0" w:space="0" w:color="auto"/>
            <w:right w:val="none" w:sz="0" w:space="0" w:color="auto"/>
          </w:divBdr>
          <w:divsChild>
            <w:div w:id="9375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5314">
      <w:bodyDiv w:val="1"/>
      <w:marLeft w:val="0"/>
      <w:marRight w:val="0"/>
      <w:marTop w:val="0"/>
      <w:marBottom w:val="0"/>
      <w:divBdr>
        <w:top w:val="none" w:sz="0" w:space="0" w:color="auto"/>
        <w:left w:val="none" w:sz="0" w:space="0" w:color="auto"/>
        <w:bottom w:val="none" w:sz="0" w:space="0" w:color="auto"/>
        <w:right w:val="none" w:sz="0" w:space="0" w:color="auto"/>
      </w:divBdr>
      <w:divsChild>
        <w:div w:id="704403970">
          <w:marLeft w:val="0"/>
          <w:marRight w:val="0"/>
          <w:marTop w:val="0"/>
          <w:marBottom w:val="0"/>
          <w:divBdr>
            <w:top w:val="none" w:sz="0" w:space="0" w:color="auto"/>
            <w:left w:val="none" w:sz="0" w:space="0" w:color="auto"/>
            <w:bottom w:val="none" w:sz="0" w:space="0" w:color="auto"/>
            <w:right w:val="none" w:sz="0" w:space="0" w:color="auto"/>
          </w:divBdr>
        </w:div>
        <w:div w:id="835075856">
          <w:marLeft w:val="0"/>
          <w:marRight w:val="0"/>
          <w:marTop w:val="0"/>
          <w:marBottom w:val="0"/>
          <w:divBdr>
            <w:top w:val="none" w:sz="0" w:space="0" w:color="auto"/>
            <w:left w:val="none" w:sz="0" w:space="0" w:color="auto"/>
            <w:bottom w:val="none" w:sz="0" w:space="0" w:color="auto"/>
            <w:right w:val="none" w:sz="0" w:space="0" w:color="auto"/>
          </w:divBdr>
        </w:div>
        <w:div w:id="1440687363">
          <w:marLeft w:val="0"/>
          <w:marRight w:val="0"/>
          <w:marTop w:val="0"/>
          <w:marBottom w:val="0"/>
          <w:divBdr>
            <w:top w:val="none" w:sz="0" w:space="0" w:color="auto"/>
            <w:left w:val="none" w:sz="0" w:space="0" w:color="auto"/>
            <w:bottom w:val="none" w:sz="0" w:space="0" w:color="auto"/>
            <w:right w:val="none" w:sz="0" w:space="0" w:color="auto"/>
          </w:divBdr>
        </w:div>
        <w:div w:id="1740130910">
          <w:marLeft w:val="0"/>
          <w:marRight w:val="0"/>
          <w:marTop w:val="0"/>
          <w:marBottom w:val="0"/>
          <w:divBdr>
            <w:top w:val="none" w:sz="0" w:space="0" w:color="auto"/>
            <w:left w:val="none" w:sz="0" w:space="0" w:color="auto"/>
            <w:bottom w:val="none" w:sz="0" w:space="0" w:color="auto"/>
            <w:right w:val="none" w:sz="0" w:space="0" w:color="auto"/>
          </w:divBdr>
        </w:div>
        <w:div w:id="2030641420">
          <w:marLeft w:val="0"/>
          <w:marRight w:val="0"/>
          <w:marTop w:val="0"/>
          <w:marBottom w:val="0"/>
          <w:divBdr>
            <w:top w:val="none" w:sz="0" w:space="0" w:color="auto"/>
            <w:left w:val="none" w:sz="0" w:space="0" w:color="auto"/>
            <w:bottom w:val="none" w:sz="0" w:space="0" w:color="auto"/>
            <w:right w:val="none" w:sz="0" w:space="0" w:color="auto"/>
          </w:divBdr>
        </w:div>
      </w:divsChild>
    </w:div>
    <w:div w:id="735667936">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33365366">
      <w:bodyDiv w:val="1"/>
      <w:marLeft w:val="0"/>
      <w:marRight w:val="0"/>
      <w:marTop w:val="0"/>
      <w:marBottom w:val="0"/>
      <w:divBdr>
        <w:top w:val="none" w:sz="0" w:space="0" w:color="auto"/>
        <w:left w:val="none" w:sz="0" w:space="0" w:color="auto"/>
        <w:bottom w:val="none" w:sz="0" w:space="0" w:color="auto"/>
        <w:right w:val="none" w:sz="0" w:space="0" w:color="auto"/>
      </w:divBdr>
    </w:div>
    <w:div w:id="941306569">
      <w:bodyDiv w:val="1"/>
      <w:marLeft w:val="0"/>
      <w:marRight w:val="0"/>
      <w:marTop w:val="0"/>
      <w:marBottom w:val="0"/>
      <w:divBdr>
        <w:top w:val="none" w:sz="0" w:space="0" w:color="auto"/>
        <w:left w:val="none" w:sz="0" w:space="0" w:color="auto"/>
        <w:bottom w:val="none" w:sz="0" w:space="0" w:color="auto"/>
        <w:right w:val="none" w:sz="0" w:space="0" w:color="auto"/>
      </w:divBdr>
      <w:divsChild>
        <w:div w:id="9306156">
          <w:marLeft w:val="0"/>
          <w:marRight w:val="0"/>
          <w:marTop w:val="0"/>
          <w:marBottom w:val="0"/>
          <w:divBdr>
            <w:top w:val="none" w:sz="0" w:space="0" w:color="auto"/>
            <w:left w:val="none" w:sz="0" w:space="0" w:color="auto"/>
            <w:bottom w:val="none" w:sz="0" w:space="0" w:color="auto"/>
            <w:right w:val="none" w:sz="0" w:space="0" w:color="auto"/>
          </w:divBdr>
          <w:divsChild>
            <w:div w:id="1677607157">
              <w:marLeft w:val="0"/>
              <w:marRight w:val="0"/>
              <w:marTop w:val="0"/>
              <w:marBottom w:val="0"/>
              <w:divBdr>
                <w:top w:val="none" w:sz="0" w:space="0" w:color="auto"/>
                <w:left w:val="none" w:sz="0" w:space="0" w:color="auto"/>
                <w:bottom w:val="none" w:sz="0" w:space="0" w:color="auto"/>
                <w:right w:val="none" w:sz="0" w:space="0" w:color="auto"/>
              </w:divBdr>
            </w:div>
            <w:div w:id="2005085039">
              <w:marLeft w:val="0"/>
              <w:marRight w:val="0"/>
              <w:marTop w:val="0"/>
              <w:marBottom w:val="0"/>
              <w:divBdr>
                <w:top w:val="none" w:sz="0" w:space="0" w:color="auto"/>
                <w:left w:val="none" w:sz="0" w:space="0" w:color="auto"/>
                <w:bottom w:val="none" w:sz="0" w:space="0" w:color="auto"/>
                <w:right w:val="none" w:sz="0" w:space="0" w:color="auto"/>
              </w:divBdr>
            </w:div>
          </w:divsChild>
        </w:div>
        <w:div w:id="303513212">
          <w:marLeft w:val="0"/>
          <w:marRight w:val="0"/>
          <w:marTop w:val="0"/>
          <w:marBottom w:val="0"/>
          <w:divBdr>
            <w:top w:val="none" w:sz="0" w:space="0" w:color="auto"/>
            <w:left w:val="none" w:sz="0" w:space="0" w:color="auto"/>
            <w:bottom w:val="none" w:sz="0" w:space="0" w:color="auto"/>
            <w:right w:val="none" w:sz="0" w:space="0" w:color="auto"/>
          </w:divBdr>
          <w:divsChild>
            <w:div w:id="1384058037">
              <w:marLeft w:val="0"/>
              <w:marRight w:val="0"/>
              <w:marTop w:val="0"/>
              <w:marBottom w:val="0"/>
              <w:divBdr>
                <w:top w:val="none" w:sz="0" w:space="0" w:color="auto"/>
                <w:left w:val="none" w:sz="0" w:space="0" w:color="auto"/>
                <w:bottom w:val="none" w:sz="0" w:space="0" w:color="auto"/>
                <w:right w:val="none" w:sz="0" w:space="0" w:color="auto"/>
              </w:divBdr>
            </w:div>
            <w:div w:id="1700545746">
              <w:marLeft w:val="0"/>
              <w:marRight w:val="0"/>
              <w:marTop w:val="0"/>
              <w:marBottom w:val="0"/>
              <w:divBdr>
                <w:top w:val="none" w:sz="0" w:space="0" w:color="auto"/>
                <w:left w:val="none" w:sz="0" w:space="0" w:color="auto"/>
                <w:bottom w:val="none" w:sz="0" w:space="0" w:color="auto"/>
                <w:right w:val="none" w:sz="0" w:space="0" w:color="auto"/>
              </w:divBdr>
            </w:div>
          </w:divsChild>
        </w:div>
        <w:div w:id="308826857">
          <w:marLeft w:val="0"/>
          <w:marRight w:val="0"/>
          <w:marTop w:val="0"/>
          <w:marBottom w:val="0"/>
          <w:divBdr>
            <w:top w:val="none" w:sz="0" w:space="0" w:color="auto"/>
            <w:left w:val="none" w:sz="0" w:space="0" w:color="auto"/>
            <w:bottom w:val="none" w:sz="0" w:space="0" w:color="auto"/>
            <w:right w:val="none" w:sz="0" w:space="0" w:color="auto"/>
          </w:divBdr>
          <w:divsChild>
            <w:div w:id="1335304902">
              <w:marLeft w:val="0"/>
              <w:marRight w:val="0"/>
              <w:marTop w:val="0"/>
              <w:marBottom w:val="0"/>
              <w:divBdr>
                <w:top w:val="none" w:sz="0" w:space="0" w:color="auto"/>
                <w:left w:val="none" w:sz="0" w:space="0" w:color="auto"/>
                <w:bottom w:val="none" w:sz="0" w:space="0" w:color="auto"/>
                <w:right w:val="none" w:sz="0" w:space="0" w:color="auto"/>
              </w:divBdr>
            </w:div>
          </w:divsChild>
        </w:div>
        <w:div w:id="351536237">
          <w:marLeft w:val="0"/>
          <w:marRight w:val="0"/>
          <w:marTop w:val="0"/>
          <w:marBottom w:val="0"/>
          <w:divBdr>
            <w:top w:val="none" w:sz="0" w:space="0" w:color="auto"/>
            <w:left w:val="none" w:sz="0" w:space="0" w:color="auto"/>
            <w:bottom w:val="none" w:sz="0" w:space="0" w:color="auto"/>
            <w:right w:val="none" w:sz="0" w:space="0" w:color="auto"/>
          </w:divBdr>
          <w:divsChild>
            <w:div w:id="1248268066">
              <w:marLeft w:val="0"/>
              <w:marRight w:val="0"/>
              <w:marTop w:val="0"/>
              <w:marBottom w:val="0"/>
              <w:divBdr>
                <w:top w:val="none" w:sz="0" w:space="0" w:color="auto"/>
                <w:left w:val="none" w:sz="0" w:space="0" w:color="auto"/>
                <w:bottom w:val="none" w:sz="0" w:space="0" w:color="auto"/>
                <w:right w:val="none" w:sz="0" w:space="0" w:color="auto"/>
              </w:divBdr>
            </w:div>
            <w:div w:id="1656447538">
              <w:marLeft w:val="0"/>
              <w:marRight w:val="0"/>
              <w:marTop w:val="0"/>
              <w:marBottom w:val="0"/>
              <w:divBdr>
                <w:top w:val="none" w:sz="0" w:space="0" w:color="auto"/>
                <w:left w:val="none" w:sz="0" w:space="0" w:color="auto"/>
                <w:bottom w:val="none" w:sz="0" w:space="0" w:color="auto"/>
                <w:right w:val="none" w:sz="0" w:space="0" w:color="auto"/>
              </w:divBdr>
            </w:div>
          </w:divsChild>
        </w:div>
        <w:div w:id="432437414">
          <w:marLeft w:val="0"/>
          <w:marRight w:val="0"/>
          <w:marTop w:val="0"/>
          <w:marBottom w:val="0"/>
          <w:divBdr>
            <w:top w:val="none" w:sz="0" w:space="0" w:color="auto"/>
            <w:left w:val="none" w:sz="0" w:space="0" w:color="auto"/>
            <w:bottom w:val="none" w:sz="0" w:space="0" w:color="auto"/>
            <w:right w:val="none" w:sz="0" w:space="0" w:color="auto"/>
          </w:divBdr>
          <w:divsChild>
            <w:div w:id="1317106119">
              <w:marLeft w:val="0"/>
              <w:marRight w:val="0"/>
              <w:marTop w:val="0"/>
              <w:marBottom w:val="0"/>
              <w:divBdr>
                <w:top w:val="none" w:sz="0" w:space="0" w:color="auto"/>
                <w:left w:val="none" w:sz="0" w:space="0" w:color="auto"/>
                <w:bottom w:val="none" w:sz="0" w:space="0" w:color="auto"/>
                <w:right w:val="none" w:sz="0" w:space="0" w:color="auto"/>
              </w:divBdr>
            </w:div>
          </w:divsChild>
        </w:div>
        <w:div w:id="433938287">
          <w:marLeft w:val="0"/>
          <w:marRight w:val="0"/>
          <w:marTop w:val="0"/>
          <w:marBottom w:val="0"/>
          <w:divBdr>
            <w:top w:val="none" w:sz="0" w:space="0" w:color="auto"/>
            <w:left w:val="none" w:sz="0" w:space="0" w:color="auto"/>
            <w:bottom w:val="none" w:sz="0" w:space="0" w:color="auto"/>
            <w:right w:val="none" w:sz="0" w:space="0" w:color="auto"/>
          </w:divBdr>
          <w:divsChild>
            <w:div w:id="489716420">
              <w:marLeft w:val="0"/>
              <w:marRight w:val="0"/>
              <w:marTop w:val="0"/>
              <w:marBottom w:val="0"/>
              <w:divBdr>
                <w:top w:val="none" w:sz="0" w:space="0" w:color="auto"/>
                <w:left w:val="none" w:sz="0" w:space="0" w:color="auto"/>
                <w:bottom w:val="none" w:sz="0" w:space="0" w:color="auto"/>
                <w:right w:val="none" w:sz="0" w:space="0" w:color="auto"/>
              </w:divBdr>
            </w:div>
            <w:div w:id="1566068559">
              <w:marLeft w:val="0"/>
              <w:marRight w:val="0"/>
              <w:marTop w:val="0"/>
              <w:marBottom w:val="0"/>
              <w:divBdr>
                <w:top w:val="none" w:sz="0" w:space="0" w:color="auto"/>
                <w:left w:val="none" w:sz="0" w:space="0" w:color="auto"/>
                <w:bottom w:val="none" w:sz="0" w:space="0" w:color="auto"/>
                <w:right w:val="none" w:sz="0" w:space="0" w:color="auto"/>
              </w:divBdr>
            </w:div>
            <w:div w:id="1729186989">
              <w:marLeft w:val="0"/>
              <w:marRight w:val="0"/>
              <w:marTop w:val="0"/>
              <w:marBottom w:val="0"/>
              <w:divBdr>
                <w:top w:val="none" w:sz="0" w:space="0" w:color="auto"/>
                <w:left w:val="none" w:sz="0" w:space="0" w:color="auto"/>
                <w:bottom w:val="none" w:sz="0" w:space="0" w:color="auto"/>
                <w:right w:val="none" w:sz="0" w:space="0" w:color="auto"/>
              </w:divBdr>
            </w:div>
          </w:divsChild>
        </w:div>
        <w:div w:id="465322505">
          <w:marLeft w:val="0"/>
          <w:marRight w:val="0"/>
          <w:marTop w:val="0"/>
          <w:marBottom w:val="0"/>
          <w:divBdr>
            <w:top w:val="none" w:sz="0" w:space="0" w:color="auto"/>
            <w:left w:val="none" w:sz="0" w:space="0" w:color="auto"/>
            <w:bottom w:val="none" w:sz="0" w:space="0" w:color="auto"/>
            <w:right w:val="none" w:sz="0" w:space="0" w:color="auto"/>
          </w:divBdr>
          <w:divsChild>
            <w:div w:id="543367721">
              <w:marLeft w:val="0"/>
              <w:marRight w:val="0"/>
              <w:marTop w:val="0"/>
              <w:marBottom w:val="0"/>
              <w:divBdr>
                <w:top w:val="none" w:sz="0" w:space="0" w:color="auto"/>
                <w:left w:val="none" w:sz="0" w:space="0" w:color="auto"/>
                <w:bottom w:val="none" w:sz="0" w:space="0" w:color="auto"/>
                <w:right w:val="none" w:sz="0" w:space="0" w:color="auto"/>
              </w:divBdr>
            </w:div>
          </w:divsChild>
        </w:div>
        <w:div w:id="506865493">
          <w:marLeft w:val="0"/>
          <w:marRight w:val="0"/>
          <w:marTop w:val="0"/>
          <w:marBottom w:val="0"/>
          <w:divBdr>
            <w:top w:val="none" w:sz="0" w:space="0" w:color="auto"/>
            <w:left w:val="none" w:sz="0" w:space="0" w:color="auto"/>
            <w:bottom w:val="none" w:sz="0" w:space="0" w:color="auto"/>
            <w:right w:val="none" w:sz="0" w:space="0" w:color="auto"/>
          </w:divBdr>
          <w:divsChild>
            <w:div w:id="508566377">
              <w:marLeft w:val="0"/>
              <w:marRight w:val="0"/>
              <w:marTop w:val="0"/>
              <w:marBottom w:val="0"/>
              <w:divBdr>
                <w:top w:val="none" w:sz="0" w:space="0" w:color="auto"/>
                <w:left w:val="none" w:sz="0" w:space="0" w:color="auto"/>
                <w:bottom w:val="none" w:sz="0" w:space="0" w:color="auto"/>
                <w:right w:val="none" w:sz="0" w:space="0" w:color="auto"/>
              </w:divBdr>
            </w:div>
          </w:divsChild>
        </w:div>
        <w:div w:id="705522430">
          <w:marLeft w:val="0"/>
          <w:marRight w:val="0"/>
          <w:marTop w:val="0"/>
          <w:marBottom w:val="0"/>
          <w:divBdr>
            <w:top w:val="none" w:sz="0" w:space="0" w:color="auto"/>
            <w:left w:val="none" w:sz="0" w:space="0" w:color="auto"/>
            <w:bottom w:val="none" w:sz="0" w:space="0" w:color="auto"/>
            <w:right w:val="none" w:sz="0" w:space="0" w:color="auto"/>
          </w:divBdr>
          <w:divsChild>
            <w:div w:id="1946108070">
              <w:marLeft w:val="0"/>
              <w:marRight w:val="0"/>
              <w:marTop w:val="0"/>
              <w:marBottom w:val="0"/>
              <w:divBdr>
                <w:top w:val="none" w:sz="0" w:space="0" w:color="auto"/>
                <w:left w:val="none" w:sz="0" w:space="0" w:color="auto"/>
                <w:bottom w:val="none" w:sz="0" w:space="0" w:color="auto"/>
                <w:right w:val="none" w:sz="0" w:space="0" w:color="auto"/>
              </w:divBdr>
            </w:div>
          </w:divsChild>
        </w:div>
        <w:div w:id="1057053638">
          <w:marLeft w:val="0"/>
          <w:marRight w:val="0"/>
          <w:marTop w:val="0"/>
          <w:marBottom w:val="0"/>
          <w:divBdr>
            <w:top w:val="none" w:sz="0" w:space="0" w:color="auto"/>
            <w:left w:val="none" w:sz="0" w:space="0" w:color="auto"/>
            <w:bottom w:val="none" w:sz="0" w:space="0" w:color="auto"/>
            <w:right w:val="none" w:sz="0" w:space="0" w:color="auto"/>
          </w:divBdr>
          <w:divsChild>
            <w:div w:id="2144694084">
              <w:marLeft w:val="0"/>
              <w:marRight w:val="0"/>
              <w:marTop w:val="0"/>
              <w:marBottom w:val="0"/>
              <w:divBdr>
                <w:top w:val="none" w:sz="0" w:space="0" w:color="auto"/>
                <w:left w:val="none" w:sz="0" w:space="0" w:color="auto"/>
                <w:bottom w:val="none" w:sz="0" w:space="0" w:color="auto"/>
                <w:right w:val="none" w:sz="0" w:space="0" w:color="auto"/>
              </w:divBdr>
            </w:div>
          </w:divsChild>
        </w:div>
        <w:div w:id="1221482278">
          <w:marLeft w:val="0"/>
          <w:marRight w:val="0"/>
          <w:marTop w:val="0"/>
          <w:marBottom w:val="0"/>
          <w:divBdr>
            <w:top w:val="none" w:sz="0" w:space="0" w:color="auto"/>
            <w:left w:val="none" w:sz="0" w:space="0" w:color="auto"/>
            <w:bottom w:val="none" w:sz="0" w:space="0" w:color="auto"/>
            <w:right w:val="none" w:sz="0" w:space="0" w:color="auto"/>
          </w:divBdr>
          <w:divsChild>
            <w:div w:id="1864247781">
              <w:marLeft w:val="0"/>
              <w:marRight w:val="0"/>
              <w:marTop w:val="0"/>
              <w:marBottom w:val="0"/>
              <w:divBdr>
                <w:top w:val="none" w:sz="0" w:space="0" w:color="auto"/>
                <w:left w:val="none" w:sz="0" w:space="0" w:color="auto"/>
                <w:bottom w:val="none" w:sz="0" w:space="0" w:color="auto"/>
                <w:right w:val="none" w:sz="0" w:space="0" w:color="auto"/>
              </w:divBdr>
            </w:div>
          </w:divsChild>
        </w:div>
        <w:div w:id="1511606657">
          <w:marLeft w:val="0"/>
          <w:marRight w:val="0"/>
          <w:marTop w:val="0"/>
          <w:marBottom w:val="0"/>
          <w:divBdr>
            <w:top w:val="none" w:sz="0" w:space="0" w:color="auto"/>
            <w:left w:val="none" w:sz="0" w:space="0" w:color="auto"/>
            <w:bottom w:val="none" w:sz="0" w:space="0" w:color="auto"/>
            <w:right w:val="none" w:sz="0" w:space="0" w:color="auto"/>
          </w:divBdr>
          <w:divsChild>
            <w:div w:id="911502376">
              <w:marLeft w:val="0"/>
              <w:marRight w:val="0"/>
              <w:marTop w:val="0"/>
              <w:marBottom w:val="0"/>
              <w:divBdr>
                <w:top w:val="none" w:sz="0" w:space="0" w:color="auto"/>
                <w:left w:val="none" w:sz="0" w:space="0" w:color="auto"/>
                <w:bottom w:val="none" w:sz="0" w:space="0" w:color="auto"/>
                <w:right w:val="none" w:sz="0" w:space="0" w:color="auto"/>
              </w:divBdr>
            </w:div>
          </w:divsChild>
        </w:div>
        <w:div w:id="1606234992">
          <w:marLeft w:val="0"/>
          <w:marRight w:val="0"/>
          <w:marTop w:val="0"/>
          <w:marBottom w:val="0"/>
          <w:divBdr>
            <w:top w:val="none" w:sz="0" w:space="0" w:color="auto"/>
            <w:left w:val="none" w:sz="0" w:space="0" w:color="auto"/>
            <w:bottom w:val="none" w:sz="0" w:space="0" w:color="auto"/>
            <w:right w:val="none" w:sz="0" w:space="0" w:color="auto"/>
          </w:divBdr>
          <w:divsChild>
            <w:div w:id="1802457703">
              <w:marLeft w:val="0"/>
              <w:marRight w:val="0"/>
              <w:marTop w:val="0"/>
              <w:marBottom w:val="0"/>
              <w:divBdr>
                <w:top w:val="none" w:sz="0" w:space="0" w:color="auto"/>
                <w:left w:val="none" w:sz="0" w:space="0" w:color="auto"/>
                <w:bottom w:val="none" w:sz="0" w:space="0" w:color="auto"/>
                <w:right w:val="none" w:sz="0" w:space="0" w:color="auto"/>
              </w:divBdr>
            </w:div>
          </w:divsChild>
        </w:div>
        <w:div w:id="1609776339">
          <w:marLeft w:val="0"/>
          <w:marRight w:val="0"/>
          <w:marTop w:val="0"/>
          <w:marBottom w:val="0"/>
          <w:divBdr>
            <w:top w:val="none" w:sz="0" w:space="0" w:color="auto"/>
            <w:left w:val="none" w:sz="0" w:space="0" w:color="auto"/>
            <w:bottom w:val="none" w:sz="0" w:space="0" w:color="auto"/>
            <w:right w:val="none" w:sz="0" w:space="0" w:color="auto"/>
          </w:divBdr>
          <w:divsChild>
            <w:div w:id="1284380399">
              <w:marLeft w:val="0"/>
              <w:marRight w:val="0"/>
              <w:marTop w:val="0"/>
              <w:marBottom w:val="0"/>
              <w:divBdr>
                <w:top w:val="none" w:sz="0" w:space="0" w:color="auto"/>
                <w:left w:val="none" w:sz="0" w:space="0" w:color="auto"/>
                <w:bottom w:val="none" w:sz="0" w:space="0" w:color="auto"/>
                <w:right w:val="none" w:sz="0" w:space="0" w:color="auto"/>
              </w:divBdr>
            </w:div>
          </w:divsChild>
        </w:div>
        <w:div w:id="1620332807">
          <w:marLeft w:val="0"/>
          <w:marRight w:val="0"/>
          <w:marTop w:val="0"/>
          <w:marBottom w:val="0"/>
          <w:divBdr>
            <w:top w:val="none" w:sz="0" w:space="0" w:color="auto"/>
            <w:left w:val="none" w:sz="0" w:space="0" w:color="auto"/>
            <w:bottom w:val="none" w:sz="0" w:space="0" w:color="auto"/>
            <w:right w:val="none" w:sz="0" w:space="0" w:color="auto"/>
          </w:divBdr>
          <w:divsChild>
            <w:div w:id="375352258">
              <w:marLeft w:val="0"/>
              <w:marRight w:val="0"/>
              <w:marTop w:val="0"/>
              <w:marBottom w:val="0"/>
              <w:divBdr>
                <w:top w:val="none" w:sz="0" w:space="0" w:color="auto"/>
                <w:left w:val="none" w:sz="0" w:space="0" w:color="auto"/>
                <w:bottom w:val="none" w:sz="0" w:space="0" w:color="auto"/>
                <w:right w:val="none" w:sz="0" w:space="0" w:color="auto"/>
              </w:divBdr>
            </w:div>
            <w:div w:id="424807017">
              <w:marLeft w:val="0"/>
              <w:marRight w:val="0"/>
              <w:marTop w:val="0"/>
              <w:marBottom w:val="0"/>
              <w:divBdr>
                <w:top w:val="none" w:sz="0" w:space="0" w:color="auto"/>
                <w:left w:val="none" w:sz="0" w:space="0" w:color="auto"/>
                <w:bottom w:val="none" w:sz="0" w:space="0" w:color="auto"/>
                <w:right w:val="none" w:sz="0" w:space="0" w:color="auto"/>
              </w:divBdr>
            </w:div>
          </w:divsChild>
        </w:div>
        <w:div w:id="1693679385">
          <w:marLeft w:val="0"/>
          <w:marRight w:val="0"/>
          <w:marTop w:val="0"/>
          <w:marBottom w:val="0"/>
          <w:divBdr>
            <w:top w:val="none" w:sz="0" w:space="0" w:color="auto"/>
            <w:left w:val="none" w:sz="0" w:space="0" w:color="auto"/>
            <w:bottom w:val="none" w:sz="0" w:space="0" w:color="auto"/>
            <w:right w:val="none" w:sz="0" w:space="0" w:color="auto"/>
          </w:divBdr>
          <w:divsChild>
            <w:div w:id="951860147">
              <w:marLeft w:val="0"/>
              <w:marRight w:val="0"/>
              <w:marTop w:val="0"/>
              <w:marBottom w:val="0"/>
              <w:divBdr>
                <w:top w:val="none" w:sz="0" w:space="0" w:color="auto"/>
                <w:left w:val="none" w:sz="0" w:space="0" w:color="auto"/>
                <w:bottom w:val="none" w:sz="0" w:space="0" w:color="auto"/>
                <w:right w:val="none" w:sz="0" w:space="0" w:color="auto"/>
              </w:divBdr>
            </w:div>
          </w:divsChild>
        </w:div>
        <w:div w:id="1729842652">
          <w:marLeft w:val="0"/>
          <w:marRight w:val="0"/>
          <w:marTop w:val="0"/>
          <w:marBottom w:val="0"/>
          <w:divBdr>
            <w:top w:val="none" w:sz="0" w:space="0" w:color="auto"/>
            <w:left w:val="none" w:sz="0" w:space="0" w:color="auto"/>
            <w:bottom w:val="none" w:sz="0" w:space="0" w:color="auto"/>
            <w:right w:val="none" w:sz="0" w:space="0" w:color="auto"/>
          </w:divBdr>
          <w:divsChild>
            <w:div w:id="95367941">
              <w:marLeft w:val="0"/>
              <w:marRight w:val="0"/>
              <w:marTop w:val="0"/>
              <w:marBottom w:val="0"/>
              <w:divBdr>
                <w:top w:val="none" w:sz="0" w:space="0" w:color="auto"/>
                <w:left w:val="none" w:sz="0" w:space="0" w:color="auto"/>
                <w:bottom w:val="none" w:sz="0" w:space="0" w:color="auto"/>
                <w:right w:val="none" w:sz="0" w:space="0" w:color="auto"/>
              </w:divBdr>
            </w:div>
          </w:divsChild>
        </w:div>
        <w:div w:id="1908564338">
          <w:marLeft w:val="0"/>
          <w:marRight w:val="0"/>
          <w:marTop w:val="0"/>
          <w:marBottom w:val="0"/>
          <w:divBdr>
            <w:top w:val="none" w:sz="0" w:space="0" w:color="auto"/>
            <w:left w:val="none" w:sz="0" w:space="0" w:color="auto"/>
            <w:bottom w:val="none" w:sz="0" w:space="0" w:color="auto"/>
            <w:right w:val="none" w:sz="0" w:space="0" w:color="auto"/>
          </w:divBdr>
          <w:divsChild>
            <w:div w:id="1080908359">
              <w:marLeft w:val="0"/>
              <w:marRight w:val="0"/>
              <w:marTop w:val="0"/>
              <w:marBottom w:val="0"/>
              <w:divBdr>
                <w:top w:val="none" w:sz="0" w:space="0" w:color="auto"/>
                <w:left w:val="none" w:sz="0" w:space="0" w:color="auto"/>
                <w:bottom w:val="none" w:sz="0" w:space="0" w:color="auto"/>
                <w:right w:val="none" w:sz="0" w:space="0" w:color="auto"/>
              </w:divBdr>
            </w:div>
            <w:div w:id="1638224153">
              <w:marLeft w:val="0"/>
              <w:marRight w:val="0"/>
              <w:marTop w:val="0"/>
              <w:marBottom w:val="0"/>
              <w:divBdr>
                <w:top w:val="none" w:sz="0" w:space="0" w:color="auto"/>
                <w:left w:val="none" w:sz="0" w:space="0" w:color="auto"/>
                <w:bottom w:val="none" w:sz="0" w:space="0" w:color="auto"/>
                <w:right w:val="none" w:sz="0" w:space="0" w:color="auto"/>
              </w:divBdr>
            </w:div>
          </w:divsChild>
        </w:div>
        <w:div w:id="1930700686">
          <w:marLeft w:val="0"/>
          <w:marRight w:val="0"/>
          <w:marTop w:val="0"/>
          <w:marBottom w:val="0"/>
          <w:divBdr>
            <w:top w:val="none" w:sz="0" w:space="0" w:color="auto"/>
            <w:left w:val="none" w:sz="0" w:space="0" w:color="auto"/>
            <w:bottom w:val="none" w:sz="0" w:space="0" w:color="auto"/>
            <w:right w:val="none" w:sz="0" w:space="0" w:color="auto"/>
          </w:divBdr>
          <w:divsChild>
            <w:div w:id="529995363">
              <w:marLeft w:val="0"/>
              <w:marRight w:val="0"/>
              <w:marTop w:val="0"/>
              <w:marBottom w:val="0"/>
              <w:divBdr>
                <w:top w:val="none" w:sz="0" w:space="0" w:color="auto"/>
                <w:left w:val="none" w:sz="0" w:space="0" w:color="auto"/>
                <w:bottom w:val="none" w:sz="0" w:space="0" w:color="auto"/>
                <w:right w:val="none" w:sz="0" w:space="0" w:color="auto"/>
              </w:divBdr>
            </w:div>
          </w:divsChild>
        </w:div>
        <w:div w:id="1985037459">
          <w:marLeft w:val="0"/>
          <w:marRight w:val="0"/>
          <w:marTop w:val="0"/>
          <w:marBottom w:val="0"/>
          <w:divBdr>
            <w:top w:val="none" w:sz="0" w:space="0" w:color="auto"/>
            <w:left w:val="none" w:sz="0" w:space="0" w:color="auto"/>
            <w:bottom w:val="none" w:sz="0" w:space="0" w:color="auto"/>
            <w:right w:val="none" w:sz="0" w:space="0" w:color="auto"/>
          </w:divBdr>
          <w:divsChild>
            <w:div w:id="1210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09150141">
      <w:bodyDiv w:val="1"/>
      <w:marLeft w:val="0"/>
      <w:marRight w:val="0"/>
      <w:marTop w:val="0"/>
      <w:marBottom w:val="0"/>
      <w:divBdr>
        <w:top w:val="none" w:sz="0" w:space="0" w:color="auto"/>
        <w:left w:val="none" w:sz="0" w:space="0" w:color="auto"/>
        <w:bottom w:val="none" w:sz="0" w:space="0" w:color="auto"/>
        <w:right w:val="none" w:sz="0" w:space="0" w:color="auto"/>
      </w:divBdr>
      <w:divsChild>
        <w:div w:id="795565258">
          <w:marLeft w:val="0"/>
          <w:marRight w:val="0"/>
          <w:marTop w:val="0"/>
          <w:marBottom w:val="0"/>
          <w:divBdr>
            <w:top w:val="none" w:sz="0" w:space="0" w:color="auto"/>
            <w:left w:val="none" w:sz="0" w:space="0" w:color="auto"/>
            <w:bottom w:val="none" w:sz="0" w:space="0" w:color="auto"/>
            <w:right w:val="none" w:sz="0" w:space="0" w:color="auto"/>
          </w:divBdr>
        </w:div>
        <w:div w:id="816727908">
          <w:marLeft w:val="0"/>
          <w:marRight w:val="0"/>
          <w:marTop w:val="0"/>
          <w:marBottom w:val="0"/>
          <w:divBdr>
            <w:top w:val="none" w:sz="0" w:space="0" w:color="auto"/>
            <w:left w:val="none" w:sz="0" w:space="0" w:color="auto"/>
            <w:bottom w:val="none" w:sz="0" w:space="0" w:color="auto"/>
            <w:right w:val="none" w:sz="0" w:space="0" w:color="auto"/>
          </w:divBdr>
        </w:div>
        <w:div w:id="1381172082">
          <w:marLeft w:val="0"/>
          <w:marRight w:val="0"/>
          <w:marTop w:val="0"/>
          <w:marBottom w:val="0"/>
          <w:divBdr>
            <w:top w:val="none" w:sz="0" w:space="0" w:color="auto"/>
            <w:left w:val="none" w:sz="0" w:space="0" w:color="auto"/>
            <w:bottom w:val="none" w:sz="0" w:space="0" w:color="auto"/>
            <w:right w:val="none" w:sz="0" w:space="0" w:color="auto"/>
          </w:divBdr>
        </w:div>
        <w:div w:id="1594124457">
          <w:marLeft w:val="0"/>
          <w:marRight w:val="0"/>
          <w:marTop w:val="0"/>
          <w:marBottom w:val="0"/>
          <w:divBdr>
            <w:top w:val="none" w:sz="0" w:space="0" w:color="auto"/>
            <w:left w:val="none" w:sz="0" w:space="0" w:color="auto"/>
            <w:bottom w:val="none" w:sz="0" w:space="0" w:color="auto"/>
            <w:right w:val="none" w:sz="0" w:space="0" w:color="auto"/>
          </w:divBdr>
        </w:div>
        <w:div w:id="1800343148">
          <w:marLeft w:val="0"/>
          <w:marRight w:val="0"/>
          <w:marTop w:val="0"/>
          <w:marBottom w:val="0"/>
          <w:divBdr>
            <w:top w:val="none" w:sz="0" w:space="0" w:color="auto"/>
            <w:left w:val="none" w:sz="0" w:space="0" w:color="auto"/>
            <w:bottom w:val="none" w:sz="0" w:space="0" w:color="auto"/>
            <w:right w:val="none" w:sz="0" w:space="0" w:color="auto"/>
          </w:divBdr>
        </w:div>
      </w:divsChild>
    </w:div>
    <w:div w:id="1325550405">
      <w:bodyDiv w:val="1"/>
      <w:marLeft w:val="0"/>
      <w:marRight w:val="0"/>
      <w:marTop w:val="0"/>
      <w:marBottom w:val="0"/>
      <w:divBdr>
        <w:top w:val="none" w:sz="0" w:space="0" w:color="auto"/>
        <w:left w:val="none" w:sz="0" w:space="0" w:color="auto"/>
        <w:bottom w:val="none" w:sz="0" w:space="0" w:color="auto"/>
        <w:right w:val="none" w:sz="0" w:space="0" w:color="auto"/>
      </w:divBdr>
    </w:div>
    <w:div w:id="1387605426">
      <w:bodyDiv w:val="1"/>
      <w:marLeft w:val="0"/>
      <w:marRight w:val="0"/>
      <w:marTop w:val="0"/>
      <w:marBottom w:val="0"/>
      <w:divBdr>
        <w:top w:val="none" w:sz="0" w:space="0" w:color="auto"/>
        <w:left w:val="none" w:sz="0" w:space="0" w:color="auto"/>
        <w:bottom w:val="none" w:sz="0" w:space="0" w:color="auto"/>
        <w:right w:val="none" w:sz="0" w:space="0" w:color="auto"/>
      </w:divBdr>
    </w:div>
    <w:div w:id="1471899281">
      <w:bodyDiv w:val="1"/>
      <w:marLeft w:val="0"/>
      <w:marRight w:val="0"/>
      <w:marTop w:val="0"/>
      <w:marBottom w:val="0"/>
      <w:divBdr>
        <w:top w:val="none" w:sz="0" w:space="0" w:color="auto"/>
        <w:left w:val="none" w:sz="0" w:space="0" w:color="auto"/>
        <w:bottom w:val="none" w:sz="0" w:space="0" w:color="auto"/>
        <w:right w:val="none" w:sz="0" w:space="0" w:color="auto"/>
      </w:divBdr>
    </w:div>
    <w:div w:id="2020038703">
      <w:bodyDiv w:val="1"/>
      <w:marLeft w:val="0"/>
      <w:marRight w:val="0"/>
      <w:marTop w:val="0"/>
      <w:marBottom w:val="0"/>
      <w:divBdr>
        <w:top w:val="none" w:sz="0" w:space="0" w:color="auto"/>
        <w:left w:val="none" w:sz="0" w:space="0" w:color="auto"/>
        <w:bottom w:val="none" w:sz="0" w:space="0" w:color="auto"/>
        <w:right w:val="none" w:sz="0" w:space="0" w:color="auto"/>
      </w:divBdr>
    </w:div>
    <w:div w:id="2129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8/30/2023-18717/oregon-state-plan-extension-of-final-approval-of-a-state-plan-to-cover-the-separable-portion-o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3721D-1DFC-4F4D-9114-4C4B0A3F09E3}">
  <ds:schemaRefs>
    <ds:schemaRef ds:uri="http://schemas.openxmlformats.org/officeDocument/2006/bibliography"/>
  </ds:schemaRefs>
</ds:datastoreItem>
</file>

<file path=customXml/itemProps2.xml><?xml version="1.0" encoding="utf-8"?>
<ds:datastoreItem xmlns:ds="http://schemas.openxmlformats.org/officeDocument/2006/customXml" ds:itemID="{7F496E30-CC68-4122-A04D-E6FB04D9C8D3}">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0c15f527-c7ed-4337-9c3b-d3541cbb08f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3D6FB32-6A90-42FA-B7F1-E7726190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C04B0-C2C7-4CE6-9C1F-6D10C156E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7260</Words>
  <Characters>40451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47616</CharactersWithSpaces>
  <SharedDoc>false</SharedDoc>
  <HLinks>
    <vt:vector size="66" baseType="variant">
      <vt:variant>
        <vt:i4>2228335</vt:i4>
      </vt:variant>
      <vt:variant>
        <vt:i4>63</vt:i4>
      </vt:variant>
      <vt:variant>
        <vt:i4>0</vt:i4>
      </vt:variant>
      <vt:variant>
        <vt:i4>5</vt:i4>
      </vt:variant>
      <vt:variant>
        <vt:lpwstr>https://www.federalregister.gov/documents/2023/08/30/2023-18717/oregon-state-plan-extension-of-final-approval-of-a-state-plan-to-cover-the-separable-portion-of</vt:lpwstr>
      </vt:variant>
      <vt:variant>
        <vt:lpwstr/>
      </vt:variant>
      <vt:variant>
        <vt:i4>1179710</vt:i4>
      </vt:variant>
      <vt:variant>
        <vt:i4>56</vt:i4>
      </vt:variant>
      <vt:variant>
        <vt:i4>0</vt:i4>
      </vt:variant>
      <vt:variant>
        <vt:i4>5</vt:i4>
      </vt:variant>
      <vt:variant>
        <vt:lpwstr/>
      </vt:variant>
      <vt:variant>
        <vt:lpwstr>_Toc190095692</vt:lpwstr>
      </vt:variant>
      <vt:variant>
        <vt:i4>1179710</vt:i4>
      </vt:variant>
      <vt:variant>
        <vt:i4>50</vt:i4>
      </vt:variant>
      <vt:variant>
        <vt:i4>0</vt:i4>
      </vt:variant>
      <vt:variant>
        <vt:i4>5</vt:i4>
      </vt:variant>
      <vt:variant>
        <vt:lpwstr/>
      </vt:variant>
      <vt:variant>
        <vt:lpwstr>_Toc190095691</vt:lpwstr>
      </vt:variant>
      <vt:variant>
        <vt:i4>1179710</vt:i4>
      </vt:variant>
      <vt:variant>
        <vt:i4>44</vt:i4>
      </vt:variant>
      <vt:variant>
        <vt:i4>0</vt:i4>
      </vt:variant>
      <vt:variant>
        <vt:i4>5</vt:i4>
      </vt:variant>
      <vt:variant>
        <vt:lpwstr/>
      </vt:variant>
      <vt:variant>
        <vt:lpwstr>_Toc190095690</vt:lpwstr>
      </vt:variant>
      <vt:variant>
        <vt:i4>1245246</vt:i4>
      </vt:variant>
      <vt:variant>
        <vt:i4>38</vt:i4>
      </vt:variant>
      <vt:variant>
        <vt:i4>0</vt:i4>
      </vt:variant>
      <vt:variant>
        <vt:i4>5</vt:i4>
      </vt:variant>
      <vt:variant>
        <vt:lpwstr/>
      </vt:variant>
      <vt:variant>
        <vt:lpwstr>_Toc190095689</vt:lpwstr>
      </vt:variant>
      <vt:variant>
        <vt:i4>1245246</vt:i4>
      </vt:variant>
      <vt:variant>
        <vt:i4>32</vt:i4>
      </vt:variant>
      <vt:variant>
        <vt:i4>0</vt:i4>
      </vt:variant>
      <vt:variant>
        <vt:i4>5</vt:i4>
      </vt:variant>
      <vt:variant>
        <vt:lpwstr/>
      </vt:variant>
      <vt:variant>
        <vt:lpwstr>_Toc190095688</vt:lpwstr>
      </vt:variant>
      <vt:variant>
        <vt:i4>1245246</vt:i4>
      </vt:variant>
      <vt:variant>
        <vt:i4>26</vt:i4>
      </vt:variant>
      <vt:variant>
        <vt:i4>0</vt:i4>
      </vt:variant>
      <vt:variant>
        <vt:i4>5</vt:i4>
      </vt:variant>
      <vt:variant>
        <vt:lpwstr/>
      </vt:variant>
      <vt:variant>
        <vt:lpwstr>_Toc190095687</vt:lpwstr>
      </vt:variant>
      <vt:variant>
        <vt:i4>1245246</vt:i4>
      </vt:variant>
      <vt:variant>
        <vt:i4>20</vt:i4>
      </vt:variant>
      <vt:variant>
        <vt:i4>0</vt:i4>
      </vt:variant>
      <vt:variant>
        <vt:i4>5</vt:i4>
      </vt:variant>
      <vt:variant>
        <vt:lpwstr/>
      </vt:variant>
      <vt:variant>
        <vt:lpwstr>_Toc190095686</vt:lpwstr>
      </vt:variant>
      <vt:variant>
        <vt:i4>1245246</vt:i4>
      </vt:variant>
      <vt:variant>
        <vt:i4>14</vt:i4>
      </vt:variant>
      <vt:variant>
        <vt:i4>0</vt:i4>
      </vt:variant>
      <vt:variant>
        <vt:i4>5</vt:i4>
      </vt:variant>
      <vt:variant>
        <vt:lpwstr/>
      </vt:variant>
      <vt:variant>
        <vt:lpwstr>_Toc190095685</vt:lpwstr>
      </vt:variant>
      <vt:variant>
        <vt:i4>1245246</vt:i4>
      </vt:variant>
      <vt:variant>
        <vt:i4>8</vt:i4>
      </vt:variant>
      <vt:variant>
        <vt:i4>0</vt:i4>
      </vt:variant>
      <vt:variant>
        <vt:i4>5</vt:i4>
      </vt:variant>
      <vt:variant>
        <vt:lpwstr/>
      </vt:variant>
      <vt:variant>
        <vt:lpwstr>_Toc190095684</vt:lpwstr>
      </vt:variant>
      <vt:variant>
        <vt:i4>1245246</vt:i4>
      </vt:variant>
      <vt:variant>
        <vt:i4>2</vt:i4>
      </vt:variant>
      <vt:variant>
        <vt:i4>0</vt:i4>
      </vt:variant>
      <vt:variant>
        <vt:i4>5</vt:i4>
      </vt:variant>
      <vt:variant>
        <vt:lpwstr/>
      </vt:variant>
      <vt:variant>
        <vt:lpwstr>_Toc190095683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3</cp:revision>
  <cp:lastPrinted>2017-07-11T15:59:00Z</cp:lastPrinted>
  <dcterms:created xsi:type="dcterms:W3CDTF">2025-06-11T13:19:00Z</dcterms:created>
  <dcterms:modified xsi:type="dcterms:W3CDTF">2025-06-11T13:29:00Z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MediaServiceImageTags">
    <vt:lpwstr/>
  </property>
  <property fmtid="{D5CDD505-2E9C-101B-9397-08002B2CF9AE}" pid="4" name="ClassificationContentMarkingFooterShapeIds">
    <vt:lpwstr>6b2a3e44,4a17273a,3f789484,6dca4783,60dde7e0,59c3856a</vt:lpwstr>
  </property>
  <property fmtid="{D5CDD505-2E9C-101B-9397-08002B2CF9AE}" pid="5" name="ClassificationContentMarkingFooterFontProps">
    <vt:lpwstr>#000000,10,Calibri</vt:lpwstr>
  </property>
  <property fmtid="{D5CDD505-2E9C-101B-9397-08002B2CF9AE}" pid="6" name="ClassificationContentMarkingFooterText">
    <vt:lpwstr>Level 3 - Restricted</vt:lpwstr>
  </property>
  <property fmtid="{D5CDD505-2E9C-101B-9397-08002B2CF9AE}" pid="7" name="MSIP_Label_0bef47d3-7438-460f-b1fd-1b90a7e4b511_Enabled">
    <vt:lpwstr>true</vt:lpwstr>
  </property>
  <property fmtid="{D5CDD505-2E9C-101B-9397-08002B2CF9AE}" pid="8" name="MSIP_Label_0bef47d3-7438-460f-b1fd-1b90a7e4b511_SetDate">
    <vt:lpwstr>2025-03-10T20:58:56Z</vt:lpwstr>
  </property>
  <property fmtid="{D5CDD505-2E9C-101B-9397-08002B2CF9AE}" pid="9" name="MSIP_Label_0bef47d3-7438-460f-b1fd-1b90a7e4b511_Method">
    <vt:lpwstr>Privileged</vt:lpwstr>
  </property>
  <property fmtid="{D5CDD505-2E9C-101B-9397-08002B2CF9AE}" pid="10" name="MSIP_Label_0bef47d3-7438-460f-b1fd-1b90a7e4b511_Name">
    <vt:lpwstr>Level 3 - Restricted (Items)</vt:lpwstr>
  </property>
  <property fmtid="{D5CDD505-2E9C-101B-9397-08002B2CF9AE}" pid="11" name="MSIP_Label_0bef47d3-7438-460f-b1fd-1b90a7e4b511_SiteId">
    <vt:lpwstr>aa3f6932-fa7c-47b4-a0ce-a598cad161cf</vt:lpwstr>
  </property>
  <property fmtid="{D5CDD505-2E9C-101B-9397-08002B2CF9AE}" pid="12" name="MSIP_Label_0bef47d3-7438-460f-b1fd-1b90a7e4b511_ActionId">
    <vt:lpwstr>c44df209-03f1-4d45-bc58-5d391293330a</vt:lpwstr>
  </property>
  <property fmtid="{D5CDD505-2E9C-101B-9397-08002B2CF9AE}" pid="13" name="MSIP_Label_0bef47d3-7438-460f-b1fd-1b90a7e4b511_ContentBits">
    <vt:lpwstr>2</vt:lpwstr>
  </property>
  <property fmtid="{D5CDD505-2E9C-101B-9397-08002B2CF9AE}" pid="14" name="MSIP_Label_0bef47d3-7438-460f-b1fd-1b90a7e4b511_Tag">
    <vt:lpwstr>10, 0, 1, 1</vt:lpwstr>
  </property>
</Properties>
</file>