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BB79" w14:textId="6DDCB935" w:rsidR="000A134A" w:rsidRPr="0049642E" w:rsidRDefault="002511E9" w:rsidP="0049642E">
      <w:pPr>
        <w:pStyle w:val="Heading1"/>
      </w:pPr>
      <w:bookmarkStart w:id="0" w:name="_Toc118900169"/>
      <w:bookmarkStart w:id="1" w:name="_Toc118905008"/>
      <w:r w:rsidRPr="0038613B">
        <w:t>FY 20</w:t>
      </w:r>
      <w:r w:rsidR="00185C7D" w:rsidRPr="0038613B">
        <w:t>2</w:t>
      </w:r>
      <w:r w:rsidR="00056CBA">
        <w:t>4</w:t>
      </w:r>
      <w:r w:rsidR="001C1E47" w:rsidRPr="0038613B">
        <w:t xml:space="preserve"> </w:t>
      </w:r>
      <w:r w:rsidR="000A134A" w:rsidRPr="0038613B">
        <w:t xml:space="preserve">Follow-up </w:t>
      </w:r>
      <w:r w:rsidR="00626033" w:rsidRPr="0038613B">
        <w:t>Federal Annual Monitoring</w:t>
      </w:r>
      <w:r w:rsidR="000A134A" w:rsidRPr="0038613B">
        <w:t xml:space="preserve"> Evaluation (FAME) Report</w:t>
      </w:r>
      <w:bookmarkEnd w:id="0"/>
      <w:bookmarkEnd w:id="1"/>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05A94138" w:rsidR="000A134A" w:rsidRPr="001C1E47" w:rsidRDefault="001C14F3" w:rsidP="0061177B">
      <w:pPr>
        <w:widowControl/>
        <w:autoSpaceDE/>
        <w:autoSpaceDN/>
        <w:adjustRightInd/>
        <w:rPr>
          <w:rFonts w:cs="Calibri"/>
          <w:b/>
        </w:rPr>
      </w:pPr>
      <w:r w:rsidRPr="001C14F3">
        <w:rPr>
          <w:rFonts w:cs="Calibri"/>
          <w:b/>
        </w:rPr>
        <w:t>State of New Jersey Public Employees Occupational Safety and Health (PEOSH)</w:t>
      </w:r>
    </w:p>
    <w:p w14:paraId="2A3E5133" w14:textId="77777777" w:rsidR="000A134A" w:rsidRPr="001C1E47" w:rsidRDefault="000A134A" w:rsidP="0061177B">
      <w:pPr>
        <w:widowControl/>
        <w:autoSpaceDE/>
        <w:autoSpaceDN/>
        <w:adjustRightInd/>
        <w:rPr>
          <w:rFonts w:cs="Calibri"/>
          <w:bCs/>
        </w:rPr>
      </w:pPr>
    </w:p>
    <w:p w14:paraId="33BDDAA9" w14:textId="77777777" w:rsidR="000A134A" w:rsidRPr="001C1E47" w:rsidRDefault="000A134A" w:rsidP="0061177B">
      <w:pPr>
        <w:widowControl/>
        <w:autoSpaceDE/>
        <w:autoSpaceDN/>
        <w:adjustRightInd/>
        <w:rPr>
          <w:rFonts w:cs="Calibri"/>
          <w:bCs/>
        </w:rPr>
      </w:pPr>
    </w:p>
    <w:p w14:paraId="0E828210" w14:textId="1021270E" w:rsidR="000A134A" w:rsidRPr="001C1E47" w:rsidRDefault="001C14F3" w:rsidP="00C16AFC">
      <w:pPr>
        <w:widowControl/>
        <w:autoSpaceDE/>
        <w:autoSpaceDN/>
        <w:adjustRightInd/>
        <w:rPr>
          <w:rFonts w:cs="Calibri"/>
          <w:bCs/>
        </w:rPr>
      </w:pPr>
      <w:r>
        <w:rPr>
          <w:rFonts w:cs="Calibri"/>
          <w:bCs/>
          <w:noProof/>
        </w:rPr>
        <w:drawing>
          <wp:inline distT="0" distB="0" distL="0" distR="0" wp14:anchorId="12BDD9CC" wp14:editId="4E9FBCD5">
            <wp:extent cx="1663700" cy="1663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5B16AD21"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 xml:space="preserve">aluation Period: October 1, </w:t>
      </w:r>
      <w:r w:rsidR="00056CBA">
        <w:rPr>
          <w:rFonts w:eastAsia="Batang" w:cs="Calibri"/>
          <w:b/>
          <w:sz w:val="28"/>
          <w:szCs w:val="28"/>
        </w:rPr>
        <w:t>2023</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w:t>
      </w:r>
      <w:r w:rsidR="00056CBA">
        <w:rPr>
          <w:rFonts w:eastAsia="Batang" w:cs="Calibri"/>
          <w:b/>
          <w:sz w:val="28"/>
          <w:szCs w:val="28"/>
        </w:rPr>
        <w:t>4</w:t>
      </w: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38B07A0F"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1C14F3">
        <w:rPr>
          <w:rFonts w:eastAsia="Batang" w:cs="Calibri"/>
          <w:b/>
        </w:rPr>
        <w:t>January 11, 2001</w:t>
      </w:r>
    </w:p>
    <w:p w14:paraId="3062998A" w14:textId="42FC8E21"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1C14F3">
        <w:rPr>
          <w:rFonts w:eastAsia="Batang" w:cs="Calibri"/>
          <w:b/>
        </w:rPr>
        <w:t>January 22, 2016</w:t>
      </w:r>
    </w:p>
    <w:p w14:paraId="51A91D4F" w14:textId="1A8665BF"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1C14F3">
        <w:rPr>
          <w:rFonts w:eastAsia="Batang" w:cs="Calibri"/>
          <w:b/>
        </w:rPr>
        <w:t>Not Applicable</w:t>
      </w:r>
    </w:p>
    <w:p w14:paraId="5FD63D8C" w14:textId="77777777" w:rsidR="000A134A" w:rsidRPr="001C1E47" w:rsidRDefault="000A134A" w:rsidP="0061177B">
      <w:pPr>
        <w:widowControl/>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36850D35" w:rsidR="000A134A" w:rsidRPr="001C1E47" w:rsidRDefault="00912020" w:rsidP="00C53328">
      <w:pPr>
        <w:widowControl/>
        <w:autoSpaceDE/>
        <w:autoSpaceDN/>
        <w:adjustRightInd/>
        <w:rPr>
          <w:rFonts w:cs="Calibri"/>
          <w:b/>
        </w:rPr>
      </w:pPr>
      <w:r>
        <w:rPr>
          <w:rFonts w:cs="Calibri"/>
          <w:b/>
        </w:rPr>
        <w:t>New York City Region</w:t>
      </w:r>
    </w:p>
    <w:p w14:paraId="50EE0B64" w14:textId="21C674F1" w:rsidR="000A134A" w:rsidRPr="001C14F3" w:rsidRDefault="001C14F3" w:rsidP="00C53328">
      <w:pPr>
        <w:widowControl/>
        <w:autoSpaceDE/>
        <w:autoSpaceDN/>
        <w:adjustRightInd/>
        <w:rPr>
          <w:rFonts w:cs="Calibri"/>
          <w:b/>
          <w:color w:val="000000" w:themeColor="text1"/>
        </w:rPr>
      </w:pPr>
      <w:r>
        <w:rPr>
          <w:rFonts w:cs="Calibri"/>
          <w:b/>
          <w:color w:val="000000" w:themeColor="text1"/>
        </w:rPr>
        <w:t>New York, New York</w:t>
      </w:r>
    </w:p>
    <w:p w14:paraId="15F94D47" w14:textId="77777777" w:rsidR="000A134A" w:rsidRPr="001C1E47" w:rsidRDefault="000A134A" w:rsidP="00C16AFC">
      <w:pPr>
        <w:widowControl/>
        <w:autoSpaceDE/>
        <w:autoSpaceDN/>
        <w:adjustRightInd/>
        <w:rPr>
          <w:rFonts w:cs="Calibri"/>
          <w:b/>
        </w:rPr>
      </w:pPr>
    </w:p>
    <w:p w14:paraId="0D7DE2DB" w14:textId="77777777" w:rsidR="00B77FEF" w:rsidRDefault="00B77FEF" w:rsidP="00223A6A">
      <w:pPr>
        <w:widowControl/>
        <w:autoSpaceDE/>
        <w:autoSpaceDN/>
        <w:adjustRightInd/>
        <w:jc w:val="center"/>
        <w:rPr>
          <w:rFonts w:cs="Calibri"/>
          <w:b/>
          <w:sz w:val="40"/>
          <w:szCs w:val="40"/>
        </w:rPr>
      </w:pPr>
    </w:p>
    <w:p w14:paraId="5F64FCC1" w14:textId="36F7FA41" w:rsidR="00724392" w:rsidRDefault="00724392" w:rsidP="00223A6A">
      <w:pPr>
        <w:widowControl/>
        <w:autoSpaceDE/>
        <w:autoSpaceDN/>
        <w:adjustRightInd/>
        <w:jc w:val="center"/>
        <w:rPr>
          <w:rFonts w:cs="Calibri"/>
          <w:b/>
          <w:sz w:val="40"/>
          <w:szCs w:val="40"/>
        </w:rPr>
      </w:pPr>
      <w:r w:rsidRPr="001C1E47">
        <w:rPr>
          <w:rFonts w:cs="Calibri"/>
          <w:noProof/>
        </w:rPr>
        <w:drawing>
          <wp:inline distT="0" distB="0" distL="0" distR="0" wp14:anchorId="6248670E" wp14:editId="0EA65CF4">
            <wp:extent cx="1600200" cy="1009650"/>
            <wp:effectExtent l="0" t="0" r="0" b="0"/>
            <wp:docPr id="1672004171" name="Picture 1672004171"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22EFAD39" w:rsidR="00F43B23" w:rsidRDefault="00F43B23" w:rsidP="00223A6A">
      <w:pPr>
        <w:widowControl/>
        <w:autoSpaceDE/>
        <w:autoSpaceDN/>
        <w:adjustRightInd/>
        <w:jc w:val="center"/>
        <w:rPr>
          <w:rFonts w:cs="Calibri"/>
          <w:b/>
          <w:sz w:val="40"/>
          <w:szCs w:val="40"/>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t>Table of Contents</w:t>
      </w:r>
    </w:p>
    <w:p w14:paraId="161B9969" w14:textId="30B57713"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CF352B">
          <w:rPr>
            <w:noProof/>
            <w:webHidden/>
          </w:rPr>
          <w:t>3</w:t>
        </w:r>
        <w:r>
          <w:rPr>
            <w:noProof/>
            <w:webHidden/>
          </w:rPr>
          <w:fldChar w:fldCharType="end"/>
        </w:r>
      </w:hyperlink>
    </w:p>
    <w:p w14:paraId="3BD91ACD" w14:textId="5F454EA6"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CF352B">
          <w:rPr>
            <w:noProof/>
            <w:webHidden/>
          </w:rPr>
          <w:t>4</w:t>
        </w:r>
        <w:r>
          <w:rPr>
            <w:noProof/>
            <w:webHidden/>
          </w:rPr>
          <w:fldChar w:fldCharType="end"/>
        </w:r>
      </w:hyperlink>
    </w:p>
    <w:p w14:paraId="12E60A29" w14:textId="36DED57D"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sidR="00587AB9">
          <w:rPr>
            <w:noProof/>
            <w:webHidden/>
          </w:rPr>
          <w:t>5</w:t>
        </w:r>
      </w:hyperlink>
    </w:p>
    <w:p w14:paraId="1E2078A6" w14:textId="29036580"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sidR="00587AB9">
          <w:rPr>
            <w:noProof/>
            <w:webHidden/>
          </w:rPr>
          <w:t>5</w:t>
        </w:r>
      </w:hyperlink>
    </w:p>
    <w:p w14:paraId="5EC14328" w14:textId="460B7D15"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sidR="00587AB9">
          <w:rPr>
            <w:noProof/>
            <w:webHidden/>
          </w:rPr>
          <w:t>5</w:t>
        </w:r>
      </w:hyperlink>
    </w:p>
    <w:p w14:paraId="373A40FB" w14:textId="7BCE1A6E"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sidR="00587AB9">
          <w:rPr>
            <w:noProof/>
            <w:webHidden/>
          </w:rPr>
          <w:t>14</w:t>
        </w:r>
      </w:hyperlink>
    </w:p>
    <w:p w14:paraId="50DBA2CB" w14:textId="6FA2B0FB"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sidR="00587AB9">
          <w:rPr>
            <w:noProof/>
            <w:webHidden/>
          </w:rPr>
          <w:t>18</w:t>
        </w:r>
      </w:hyperlink>
    </w:p>
    <w:p w14:paraId="150115C6" w14:textId="526B93C2"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sidR="00B75D2F">
          <w:rPr>
            <w:noProof/>
            <w:webHidden/>
          </w:rPr>
          <w:t>22</w:t>
        </w:r>
      </w:hyperlink>
    </w:p>
    <w:p w14:paraId="65AD001B" w14:textId="2D4863D7"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085BEF">
          <w:rPr>
            <w:rStyle w:val="Hyperlink"/>
            <w:noProof/>
          </w:rPr>
          <w:t>2</w:t>
        </w:r>
        <w:r w:rsidR="00861208">
          <w:rPr>
            <w:rStyle w:val="Hyperlink"/>
            <w:noProof/>
          </w:rPr>
          <w:t>3</w:t>
        </w:r>
        <w:r w:rsidRPr="00B5463F">
          <w:rPr>
            <w:rStyle w:val="Hyperlink"/>
            <w:noProof/>
          </w:rPr>
          <w:t xml:space="preserve"> Findings and Recommendations</w:t>
        </w:r>
        <w:r>
          <w:rPr>
            <w:noProof/>
            <w:webHidden/>
          </w:rPr>
          <w:tab/>
        </w:r>
        <w:r w:rsidR="00587AB9">
          <w:rPr>
            <w:noProof/>
            <w:webHidden/>
          </w:rPr>
          <w:t>2</w:t>
        </w:r>
        <w:r w:rsidR="00EF3651">
          <w:rPr>
            <w:noProof/>
            <w:webHidden/>
          </w:rPr>
          <w:t>6</w:t>
        </w:r>
      </w:hyperlink>
    </w:p>
    <w:p w14:paraId="38E9E7F9" w14:textId="299DC09C"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202</w:t>
        </w:r>
        <w:r w:rsidR="00861208">
          <w:rPr>
            <w:rStyle w:val="Hyperlink"/>
            <w:noProof/>
          </w:rPr>
          <w:t>4</w:t>
        </w:r>
        <w:r w:rsidRPr="00B5463F">
          <w:rPr>
            <w:rStyle w:val="Hyperlink"/>
            <w:noProof/>
          </w:rPr>
          <w:t xml:space="preserve"> State Activity Mandated Measures (SAMM) Report</w:t>
        </w:r>
        <w:r>
          <w:rPr>
            <w:noProof/>
            <w:webHidden/>
          </w:rPr>
          <w:tab/>
        </w:r>
      </w:hyperlink>
      <w:r w:rsidR="00587AB9">
        <w:t>3</w:t>
      </w:r>
      <w:r w:rsidR="00EF3651">
        <w:t>3</w:t>
      </w:r>
    </w:p>
    <w:p w14:paraId="5025DE29" w14:textId="643F2F5C" w:rsidR="000A134A" w:rsidRPr="00476859" w:rsidRDefault="000F63C1" w:rsidP="00476859">
      <w:r>
        <w:fldChar w:fldCharType="end"/>
      </w:r>
      <w:r w:rsidR="00B823A3">
        <w:br w:type="page"/>
      </w:r>
    </w:p>
    <w:p w14:paraId="57C8B837" w14:textId="55810DE7" w:rsidR="000A134A"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52FF3447" w14:textId="23856E12" w:rsidR="001C14F3" w:rsidRDefault="001C14F3" w:rsidP="001C14F3"/>
    <w:p w14:paraId="28CEF98B" w14:textId="40D23C61" w:rsidR="008D4041" w:rsidRDefault="001C14F3" w:rsidP="008D4041">
      <w:r>
        <w:t>The purpose of th</w:t>
      </w:r>
      <w:r w:rsidR="003C1790">
        <w:t>e</w:t>
      </w:r>
      <w:r>
        <w:t xml:space="preserve"> </w:t>
      </w:r>
      <w:r w:rsidR="00D80147">
        <w:t xml:space="preserve">Follow-up </w:t>
      </w:r>
      <w:r>
        <w:t xml:space="preserve">Federal Annual Monitoring Evaluation (FAME) </w:t>
      </w:r>
      <w:r w:rsidR="00D80147">
        <w:t>R</w:t>
      </w:r>
      <w:r>
        <w:t>eport is to assess the New Jersey (NJ) Public Employees Occupational Safety and Health (PEOSH) State Plan’s activities for Fiscal Year (FY) 202</w:t>
      </w:r>
      <w:r w:rsidR="00056CBA">
        <w:t>4</w:t>
      </w:r>
      <w:r>
        <w:t>, and its progress in resolving outstanding findings and recommendations from previous FAME reports.</w:t>
      </w:r>
      <w:r w:rsidR="008D4041">
        <w:t xml:space="preserve">  </w:t>
      </w:r>
    </w:p>
    <w:p w14:paraId="2AB58764" w14:textId="77777777" w:rsidR="008D4041" w:rsidRDefault="008D4041" w:rsidP="001C14F3"/>
    <w:p w14:paraId="201C9662" w14:textId="2C7E633F" w:rsidR="001C14F3" w:rsidRDefault="001C14F3" w:rsidP="001C14F3">
      <w:r>
        <w:t>In FY 202</w:t>
      </w:r>
      <w:r w:rsidR="004E4DE5">
        <w:t>4</w:t>
      </w:r>
      <w:r>
        <w:t>, NJ PEOSH continued to have a significant presence in the workplace through its inspection, consultation,</w:t>
      </w:r>
      <w:r w:rsidR="00A329A8">
        <w:t xml:space="preserve"> whistleblower</w:t>
      </w:r>
      <w:r w:rsidR="00C607C3">
        <w:t>,</w:t>
      </w:r>
      <w:r w:rsidR="00A329A8">
        <w:t xml:space="preserve"> and </w:t>
      </w:r>
      <w:r>
        <w:t>partnership</w:t>
      </w:r>
      <w:r w:rsidR="00E743BD">
        <w:t xml:space="preserve"> </w:t>
      </w:r>
      <w:r w:rsidR="00C607C3">
        <w:t>activities</w:t>
      </w:r>
      <w:r>
        <w:t>.</w:t>
      </w:r>
      <w:r w:rsidR="001767C0">
        <w:t xml:space="preserve">  </w:t>
      </w:r>
      <w:r w:rsidR="004D425C">
        <w:t xml:space="preserve">The </w:t>
      </w:r>
      <w:r w:rsidR="00130713">
        <w:t xml:space="preserve">New Jersey </w:t>
      </w:r>
      <w:r w:rsidR="004D425C">
        <w:t xml:space="preserve">State Plan conducted 493 </w:t>
      </w:r>
      <w:r w:rsidR="00E50B25">
        <w:t>enforcement inspections and 237 consultation visits</w:t>
      </w:r>
      <w:r w:rsidR="008533AB">
        <w:t xml:space="preserve"> at </w:t>
      </w:r>
      <w:r w:rsidR="00B91FFA">
        <w:t>state and local government worksites</w:t>
      </w:r>
      <w:r w:rsidR="00E50B25">
        <w:t>.</w:t>
      </w:r>
      <w:r w:rsidR="001767C0">
        <w:t xml:space="preserve">  </w:t>
      </w:r>
      <w:r w:rsidR="00CF352B">
        <w:t xml:space="preserve"> </w:t>
      </w:r>
      <w:r w:rsidR="0002217A">
        <w:t>Additionally,</w:t>
      </w:r>
      <w:r w:rsidR="00A329A8">
        <w:t xml:space="preserve"> </w:t>
      </w:r>
      <w:r w:rsidR="0002217A">
        <w:t>t</w:t>
      </w:r>
      <w:r w:rsidR="00A329A8" w:rsidRPr="008D4041">
        <w:t>he whistleblower staff docketed five whistleblower cases, administratively closed 19 cases, completed two cases</w:t>
      </w:r>
      <w:r w:rsidR="00DA59B0" w:rsidRPr="008D4041">
        <w:t>,</w:t>
      </w:r>
      <w:r w:rsidR="00A329A8" w:rsidRPr="008D4041">
        <w:t xml:space="preserve"> and had three open investigations at the end of FY 24 </w:t>
      </w:r>
      <w:r w:rsidR="003B599D" w:rsidRPr="008D4041">
        <w:t>(NJ PEOSH SOAR, FY 2024).</w:t>
      </w:r>
      <w:r w:rsidR="00A329A8">
        <w:t xml:space="preserve"> </w:t>
      </w:r>
    </w:p>
    <w:p w14:paraId="2E42405D" w14:textId="77777777" w:rsidR="001F2ED7" w:rsidRDefault="001F2ED7" w:rsidP="001C14F3"/>
    <w:p w14:paraId="44009E9B" w14:textId="4EF10892" w:rsidR="001C14F3" w:rsidRDefault="00AE6097" w:rsidP="001C14F3">
      <w:r>
        <w:t>During the performance period</w:t>
      </w:r>
      <w:r w:rsidR="00C1652F">
        <w:t>,</w:t>
      </w:r>
      <w:r w:rsidR="001C14F3">
        <w:t xml:space="preserve"> </w:t>
      </w:r>
      <w:r w:rsidR="001F23A5">
        <w:t xml:space="preserve">NJ </w:t>
      </w:r>
      <w:r w:rsidR="001C14F3">
        <w:t>PEOSH developed a Local Emphasis Program (LEP) to address the hazards encountered</w:t>
      </w:r>
      <w:r w:rsidR="00863E32">
        <w:t xml:space="preserve"> by </w:t>
      </w:r>
      <w:r w:rsidR="00921B96">
        <w:t xml:space="preserve">workers </w:t>
      </w:r>
      <w:r w:rsidR="00863E32" w:rsidRPr="00863E32">
        <w:t>that perform grounds maintenance</w:t>
      </w:r>
      <w:r w:rsidR="00CF352B">
        <w:t xml:space="preserve"> </w:t>
      </w:r>
      <w:r w:rsidR="00863E32" w:rsidRPr="00863E32">
        <w:t xml:space="preserve">as part of their </w:t>
      </w:r>
      <w:r w:rsidR="00CF352B">
        <w:t xml:space="preserve">job </w:t>
      </w:r>
      <w:r w:rsidR="00863E32" w:rsidRPr="00863E32">
        <w:t>duties</w:t>
      </w:r>
      <w:r w:rsidR="00863E32">
        <w:t xml:space="preserve">. </w:t>
      </w:r>
      <w:r w:rsidR="001767C0">
        <w:t xml:space="preserve"> </w:t>
      </w:r>
      <w:r w:rsidR="005A61AD">
        <w:t>The New Jersey State Plan’s inspection activities also supported OSHA’s National Emphasis Programs for</w:t>
      </w:r>
      <w:r w:rsidR="00EF2636">
        <w:t xml:space="preserve"> addressing</w:t>
      </w:r>
      <w:r w:rsidR="005A61AD">
        <w:t xml:space="preserve"> hazards such as lead</w:t>
      </w:r>
      <w:r w:rsidR="0038186A">
        <w:t>;</w:t>
      </w:r>
      <w:r w:rsidR="005A61AD">
        <w:t xml:space="preserve"> silica</w:t>
      </w:r>
      <w:r w:rsidR="0038186A">
        <w:t>;</w:t>
      </w:r>
      <w:r w:rsidR="005A61AD">
        <w:t xml:space="preserve"> combustible dust</w:t>
      </w:r>
      <w:r w:rsidR="0038186A">
        <w:t>;</w:t>
      </w:r>
      <w:r w:rsidR="005A61AD">
        <w:t xml:space="preserve"> heat</w:t>
      </w:r>
      <w:r w:rsidR="0038186A">
        <w:t>;</w:t>
      </w:r>
      <w:r w:rsidR="005A61AD">
        <w:t xml:space="preserve"> trenching and excavation</w:t>
      </w:r>
      <w:r w:rsidR="0038186A">
        <w:t>;</w:t>
      </w:r>
      <w:r w:rsidR="005A61AD">
        <w:t xml:space="preserve"> and amputations </w:t>
      </w:r>
      <w:r w:rsidR="003B599D">
        <w:t xml:space="preserve">(NJ PEOSH SOAR, FY 2024). </w:t>
      </w:r>
    </w:p>
    <w:p w14:paraId="4E578F3F" w14:textId="77777777" w:rsidR="00E74B98" w:rsidRDefault="00E74B98" w:rsidP="001C14F3"/>
    <w:p w14:paraId="075E7B64" w14:textId="7426BBBD" w:rsidR="00612E0F" w:rsidRDefault="00A25696" w:rsidP="00612E0F">
      <w:pPr>
        <w:widowControl/>
        <w:autoSpaceDE/>
        <w:autoSpaceDN/>
        <w:adjustRightInd/>
        <w:rPr>
          <w:rFonts w:cs="Calibri"/>
          <w:iCs/>
        </w:rPr>
      </w:pPr>
      <w:r>
        <w:t xml:space="preserve">NJ PEOSH </w:t>
      </w:r>
      <w:r w:rsidR="00E74B98" w:rsidRPr="00FF66E9">
        <w:t xml:space="preserve">is revising its </w:t>
      </w:r>
      <w:r>
        <w:t xml:space="preserve">2009 </w:t>
      </w:r>
      <w:r w:rsidR="00E74B98" w:rsidRPr="00FF66E9">
        <w:t>FOM</w:t>
      </w:r>
      <w:r w:rsidR="003938FD">
        <w:t>,</w:t>
      </w:r>
      <w:r w:rsidR="00E74B98" w:rsidRPr="00FF66E9">
        <w:t xml:space="preserve"> </w:t>
      </w:r>
      <w:r>
        <w:t xml:space="preserve">including </w:t>
      </w:r>
      <w:r w:rsidR="00381F51" w:rsidRPr="00FF66E9">
        <w:t>Chapter 5 section XI (Citations)</w:t>
      </w:r>
      <w:r w:rsidR="003938FD">
        <w:t>,</w:t>
      </w:r>
      <w:r w:rsidR="00381F51" w:rsidRPr="00FF66E9">
        <w:t xml:space="preserve"> to align with the PEOSH Act which states that </w:t>
      </w:r>
      <w:r w:rsidR="00381F51" w:rsidRPr="00FF66E9">
        <w:rPr>
          <w:rFonts w:cs="Calibri"/>
          <w:iCs/>
        </w:rPr>
        <w:t xml:space="preserve">citations can be issued six months after the </w:t>
      </w:r>
      <w:r>
        <w:rPr>
          <w:rFonts w:cs="Calibri"/>
          <w:iCs/>
        </w:rPr>
        <w:t>c</w:t>
      </w:r>
      <w:r w:rsidR="00381F51" w:rsidRPr="00FF66E9">
        <w:rPr>
          <w:rFonts w:cs="Calibri"/>
          <w:iCs/>
        </w:rPr>
        <w:t>ommissioner decides that a violation exists.</w:t>
      </w:r>
      <w:r w:rsidR="00612E0F">
        <w:rPr>
          <w:rFonts w:cs="Calibri"/>
          <w:iCs/>
        </w:rPr>
        <w:t xml:space="preserve">  OSHA is</w:t>
      </w:r>
      <w:r w:rsidR="00612E0F" w:rsidRPr="00FF66E9">
        <w:rPr>
          <w:rFonts w:cs="Calibri"/>
          <w:iCs/>
        </w:rPr>
        <w:t xml:space="preserve"> work</w:t>
      </w:r>
      <w:r w:rsidR="00612E0F">
        <w:rPr>
          <w:rFonts w:cs="Calibri"/>
          <w:iCs/>
        </w:rPr>
        <w:t>ing</w:t>
      </w:r>
      <w:r w:rsidR="00612E0F" w:rsidRPr="00FF66E9">
        <w:rPr>
          <w:rFonts w:cs="Calibri"/>
          <w:iCs/>
        </w:rPr>
        <w:t xml:space="preserve"> with NJ PEOSH to ensure that its FOM citation policy revisions are at least as effective as OSHA’s</w:t>
      </w:r>
      <w:r w:rsidR="007C1D8E">
        <w:rPr>
          <w:rFonts w:cs="Calibri"/>
          <w:iCs/>
        </w:rPr>
        <w:t xml:space="preserve"> </w:t>
      </w:r>
      <w:r w:rsidR="00587AB9">
        <w:rPr>
          <w:rFonts w:cs="Calibri"/>
          <w:iCs/>
        </w:rPr>
        <w:t xml:space="preserve">and that </w:t>
      </w:r>
      <w:r w:rsidR="007C1D8E">
        <w:rPr>
          <w:rFonts w:cs="Calibri"/>
          <w:iCs/>
        </w:rPr>
        <w:t>citations are issued timely</w:t>
      </w:r>
      <w:r w:rsidR="00612E0F" w:rsidRPr="00FF66E9">
        <w:rPr>
          <w:rFonts w:cs="Calibri"/>
          <w:iCs/>
        </w:rPr>
        <w:t>.  PEOSH is working collaboratively with OSHA</w:t>
      </w:r>
      <w:r>
        <w:rPr>
          <w:rFonts w:cs="Calibri"/>
          <w:iCs/>
        </w:rPr>
        <w:t>.</w:t>
      </w:r>
    </w:p>
    <w:p w14:paraId="3DB6A6B9" w14:textId="4EB061E0" w:rsidR="00E74B98" w:rsidRDefault="00E74B98" w:rsidP="001C14F3"/>
    <w:p w14:paraId="41F4FE70" w14:textId="35B4028F" w:rsidR="00AA5C05" w:rsidRPr="00130713" w:rsidRDefault="001F23A5" w:rsidP="001C14F3">
      <w:r>
        <w:t xml:space="preserve">NJ </w:t>
      </w:r>
      <w:r w:rsidR="00AE6097">
        <w:t>PEOSH actively engaged with OSHA</w:t>
      </w:r>
      <w:r>
        <w:t>,</w:t>
      </w:r>
      <w:r w:rsidR="00C1652F">
        <w:t xml:space="preserve"> </w:t>
      </w:r>
      <w:r w:rsidR="00AE6097">
        <w:t>provided requested information in a timely manner</w:t>
      </w:r>
      <w:r>
        <w:t>,</w:t>
      </w:r>
      <w:r w:rsidR="00AE6097">
        <w:t xml:space="preserve"> and regularly participated in quarterly meetings.</w:t>
      </w:r>
      <w:r>
        <w:t xml:space="preserve"> </w:t>
      </w:r>
      <w:r w:rsidR="001767C0">
        <w:t xml:space="preserve"> </w:t>
      </w:r>
      <w:r>
        <w:t>NJ</w:t>
      </w:r>
      <w:r w:rsidR="00E97A61">
        <w:t xml:space="preserve"> </w:t>
      </w:r>
      <w:r w:rsidR="00AE6097">
        <w:t>PEOSH works collaboratively with OSHA and continuously strives to improve its program</w:t>
      </w:r>
      <w:r w:rsidR="0038186A">
        <w:t>.</w:t>
      </w:r>
      <w:r>
        <w:t xml:space="preserve"> </w:t>
      </w:r>
      <w:r w:rsidR="00C1652F">
        <w:t xml:space="preserve"> </w:t>
      </w:r>
      <w:r w:rsidR="0038186A">
        <w:t>P</w:t>
      </w:r>
      <w:r w:rsidR="00AE6097">
        <w:t>rogram administration maintains a high-level of performance.</w:t>
      </w:r>
      <w:r w:rsidR="00AA5C05">
        <w:t xml:space="preserve"> </w:t>
      </w:r>
      <w:r w:rsidR="001767C0">
        <w:t xml:space="preserve"> </w:t>
      </w:r>
      <w:r w:rsidR="001C14F3">
        <w:t>During the FY 202</w:t>
      </w:r>
      <w:r w:rsidR="000364D6">
        <w:t>4</w:t>
      </w:r>
      <w:r w:rsidR="001C14F3">
        <w:t xml:space="preserve"> performance period, NJ PEOSH </w:t>
      </w:r>
      <w:r>
        <w:t xml:space="preserve">was responsive and </w:t>
      </w:r>
      <w:r w:rsidR="001C14F3">
        <w:t xml:space="preserve">made </w:t>
      </w:r>
      <w:r w:rsidR="001C14F3" w:rsidRPr="00130713">
        <w:t xml:space="preserve">progress to address its </w:t>
      </w:r>
      <w:r w:rsidR="000778A9" w:rsidRPr="00130713">
        <w:t>eight</w:t>
      </w:r>
      <w:r w:rsidR="001C14F3" w:rsidRPr="00130713">
        <w:t xml:space="preserve"> findings </w:t>
      </w:r>
      <w:r w:rsidR="00413DA6">
        <w:t>identified in</w:t>
      </w:r>
      <w:r w:rsidR="001C14F3" w:rsidRPr="00130713">
        <w:t xml:space="preserve"> the FY 202</w:t>
      </w:r>
      <w:r w:rsidR="00EC27F7" w:rsidRPr="00130713">
        <w:t>3</w:t>
      </w:r>
      <w:r w:rsidR="001C14F3" w:rsidRPr="00130713">
        <w:t xml:space="preserve"> </w:t>
      </w:r>
      <w:r w:rsidR="007F569D" w:rsidRPr="00130713">
        <w:t xml:space="preserve">comprehensive </w:t>
      </w:r>
      <w:r w:rsidR="0023628C" w:rsidRPr="00130713">
        <w:t>FAME</w:t>
      </w:r>
      <w:r w:rsidR="00095974" w:rsidRPr="00130713">
        <w:t>.</w:t>
      </w:r>
      <w:r w:rsidR="001767C0">
        <w:t xml:space="preserve"> </w:t>
      </w:r>
      <w:r w:rsidR="000949A8">
        <w:t xml:space="preserve"> </w:t>
      </w:r>
      <w:r w:rsidR="00130713">
        <w:t xml:space="preserve">NJ </w:t>
      </w:r>
      <w:r w:rsidR="00095974" w:rsidRPr="00130713">
        <w:t>PEOSH s</w:t>
      </w:r>
      <w:r w:rsidR="0023628C" w:rsidRPr="00130713">
        <w:t>ubmitted a</w:t>
      </w:r>
      <w:r w:rsidR="001C14F3" w:rsidRPr="00130713">
        <w:t xml:space="preserve"> corrective action plan </w:t>
      </w:r>
      <w:r w:rsidR="001467B6" w:rsidRPr="00130713">
        <w:t xml:space="preserve">(CAP) </w:t>
      </w:r>
      <w:r w:rsidR="001C14F3" w:rsidRPr="00130713">
        <w:t xml:space="preserve">to </w:t>
      </w:r>
      <w:r w:rsidR="002D104D" w:rsidRPr="00130713">
        <w:t>the New York City Region</w:t>
      </w:r>
      <w:r w:rsidR="00130713">
        <w:t>al Office</w:t>
      </w:r>
      <w:r w:rsidR="00E9395E" w:rsidRPr="00130713">
        <w:t xml:space="preserve"> </w:t>
      </w:r>
      <w:r w:rsidR="001C14F3" w:rsidRPr="00130713">
        <w:t>showing</w:t>
      </w:r>
      <w:r w:rsidR="009A1585">
        <w:t>,</w:t>
      </w:r>
      <w:r w:rsidR="001C14F3" w:rsidRPr="00130713">
        <w:t xml:space="preserve"> </w:t>
      </w:r>
      <w:r w:rsidR="00E9395E" w:rsidRPr="00130713">
        <w:t>as of August 16, 2024</w:t>
      </w:r>
      <w:r w:rsidR="00095974" w:rsidRPr="00130713">
        <w:t>,</w:t>
      </w:r>
      <w:r w:rsidR="00E9395E" w:rsidRPr="00130713">
        <w:t xml:space="preserve"> that </w:t>
      </w:r>
      <w:r w:rsidR="001C14F3" w:rsidRPr="00130713">
        <w:t xml:space="preserve">all </w:t>
      </w:r>
      <w:r w:rsidR="00E9395E" w:rsidRPr="00130713">
        <w:t xml:space="preserve">proposed </w:t>
      </w:r>
      <w:r w:rsidR="001C14F3" w:rsidRPr="00130713">
        <w:t xml:space="preserve">actions had been </w:t>
      </w:r>
      <w:r w:rsidR="0023628C" w:rsidRPr="00130713">
        <w:t>completed</w:t>
      </w:r>
      <w:r w:rsidR="00CF352B">
        <w:t>,</w:t>
      </w:r>
      <w:r w:rsidR="00E9395E" w:rsidRPr="00130713">
        <w:t xml:space="preserve"> </w:t>
      </w:r>
      <w:r w:rsidR="00D95DCF" w:rsidRPr="00130713">
        <w:t>except for</w:t>
      </w:r>
      <w:r w:rsidR="0067254D" w:rsidRPr="00130713">
        <w:t xml:space="preserve"> holding an in-service training session with all staff to </w:t>
      </w:r>
      <w:r w:rsidR="0057265E" w:rsidRPr="00130713">
        <w:t xml:space="preserve">address writing General Duty Clause violations </w:t>
      </w:r>
      <w:r w:rsidR="00095974" w:rsidRPr="00130713">
        <w:t>and documenting employee interviews.</w:t>
      </w:r>
      <w:r w:rsidR="0023628C" w:rsidRPr="00130713">
        <w:t xml:space="preserve"> </w:t>
      </w:r>
      <w:r w:rsidR="001767C0">
        <w:t xml:space="preserve"> </w:t>
      </w:r>
      <w:r w:rsidR="00D95DCF" w:rsidRPr="00130713">
        <w:t xml:space="preserve">Since the submission </w:t>
      </w:r>
      <w:r w:rsidR="001467B6" w:rsidRPr="00130713">
        <w:t>of the CAP, this training session has been conducted.</w:t>
      </w:r>
    </w:p>
    <w:p w14:paraId="073C846C" w14:textId="77777777" w:rsidR="00AA5C05" w:rsidRPr="000364D6" w:rsidRDefault="00AA5C05" w:rsidP="001C14F3">
      <w:pPr>
        <w:rPr>
          <w:color w:val="FF0000"/>
        </w:rPr>
      </w:pPr>
    </w:p>
    <w:p w14:paraId="0BB609E8" w14:textId="5190CD78" w:rsidR="001C14F3" w:rsidRDefault="0023628C" w:rsidP="001C14F3">
      <w:r>
        <w:t>However</w:t>
      </w:r>
      <w:r w:rsidR="001C14F3">
        <w:t xml:space="preserve">, a </w:t>
      </w:r>
      <w:r w:rsidR="00CA118A">
        <w:t xml:space="preserve">comprehensive on-site </w:t>
      </w:r>
      <w:r w:rsidR="001C14F3">
        <w:t>case file review is necessary to verify that the findings have been adequately corrected</w:t>
      </w:r>
      <w:r w:rsidR="007F569D">
        <w:t xml:space="preserve">; </w:t>
      </w:r>
      <w:r>
        <w:t>therefore,</w:t>
      </w:r>
      <w:r w:rsidR="007F569D">
        <w:t xml:space="preserve"> all findings remain open</w:t>
      </w:r>
      <w:r w:rsidR="001C14F3">
        <w:t xml:space="preserve">. </w:t>
      </w:r>
      <w:r w:rsidR="001767C0">
        <w:t xml:space="preserve"> </w:t>
      </w:r>
      <w:r w:rsidR="001C14F3">
        <w:t xml:space="preserve">Additionally, </w:t>
      </w:r>
      <w:r w:rsidR="00D054F7">
        <w:t>nine</w:t>
      </w:r>
      <w:r w:rsidR="001C14F3">
        <w:t xml:space="preserve"> observations will continue pending a case file review in FY 202</w:t>
      </w:r>
      <w:r w:rsidR="00130713">
        <w:t>5</w:t>
      </w:r>
      <w:r w:rsidR="001C14F3">
        <w:t xml:space="preserve">. </w:t>
      </w:r>
      <w:r w:rsidR="00AE6097">
        <w:t xml:space="preserve"> </w:t>
      </w:r>
      <w:r w:rsidR="001C14F3">
        <w:t xml:space="preserve">OSHA identified </w:t>
      </w:r>
      <w:r w:rsidR="00130713">
        <w:t>two</w:t>
      </w:r>
      <w:r w:rsidR="00D054F7">
        <w:t xml:space="preserve"> new </w:t>
      </w:r>
      <w:r w:rsidR="0051006F">
        <w:t>finding</w:t>
      </w:r>
      <w:r w:rsidR="00130713">
        <w:t>s</w:t>
      </w:r>
      <w:r w:rsidR="0051006F">
        <w:t xml:space="preserve"> and </w:t>
      </w:r>
      <w:r w:rsidR="00510131">
        <w:t>two</w:t>
      </w:r>
      <w:r w:rsidR="0051006F">
        <w:t xml:space="preserve"> new observation</w:t>
      </w:r>
      <w:r w:rsidR="00510131">
        <w:t>s</w:t>
      </w:r>
      <w:r w:rsidR="0051006F">
        <w:t xml:space="preserve">. </w:t>
      </w:r>
      <w:bookmarkStart w:id="6" w:name="_Hlk132878662"/>
      <w:r w:rsidR="001767C0">
        <w:t xml:space="preserve"> </w:t>
      </w:r>
      <w:r w:rsidR="001C14F3">
        <w:t xml:space="preserve">Therefore, this year’s FAME resulted in a total of </w:t>
      </w:r>
      <w:r w:rsidR="00F30C49">
        <w:t>10</w:t>
      </w:r>
      <w:r w:rsidR="001C14F3">
        <w:t xml:space="preserve"> findings and </w:t>
      </w:r>
      <w:r w:rsidR="00F30C49">
        <w:t>11</w:t>
      </w:r>
      <w:r>
        <w:t xml:space="preserve"> </w:t>
      </w:r>
      <w:r>
        <w:lastRenderedPageBreak/>
        <w:t>observations</w:t>
      </w:r>
      <w:r w:rsidR="001C14F3">
        <w:t>.</w:t>
      </w:r>
      <w:bookmarkEnd w:id="6"/>
    </w:p>
    <w:p w14:paraId="6B17D849" w14:textId="2821F800" w:rsidR="001C14F3" w:rsidRDefault="001C14F3" w:rsidP="001C14F3"/>
    <w:p w14:paraId="56C4D4F1" w14:textId="77777777" w:rsidR="000D3081" w:rsidRDefault="000D3081" w:rsidP="001C14F3"/>
    <w:p w14:paraId="67E95E6F" w14:textId="6755D6C3" w:rsidR="000A134A" w:rsidRPr="001C1E47" w:rsidRDefault="001E71BA" w:rsidP="00476C08">
      <w:pPr>
        <w:pStyle w:val="Heading2"/>
      </w:pPr>
      <w:bookmarkStart w:id="7" w:name="_Toc118900171"/>
      <w:bookmarkStart w:id="8" w:name="_Toc118905010"/>
      <w:bookmarkStart w:id="9" w:name="_Toc119418664"/>
      <w:r w:rsidRPr="001C1E47">
        <w:t>State Plan Background</w:t>
      </w:r>
      <w:bookmarkEnd w:id="7"/>
      <w:bookmarkEnd w:id="8"/>
      <w:bookmarkEnd w:id="9"/>
    </w:p>
    <w:p w14:paraId="07E4A0DB" w14:textId="5B400B46" w:rsidR="00783189" w:rsidRPr="001C1E47" w:rsidRDefault="00783189" w:rsidP="00783189">
      <w:pPr>
        <w:widowControl/>
        <w:autoSpaceDE/>
        <w:autoSpaceDN/>
        <w:adjustRightInd/>
        <w:contextualSpacing/>
        <w:rPr>
          <w:rFonts w:cs="Calibri"/>
          <w:b/>
        </w:rPr>
      </w:pPr>
    </w:p>
    <w:p w14:paraId="533ABBD3" w14:textId="34BD303E" w:rsidR="001C14F3" w:rsidRPr="001C14F3" w:rsidRDefault="001F23A5" w:rsidP="001C14F3">
      <w:pPr>
        <w:kinsoku w:val="0"/>
        <w:overflowPunct w:val="0"/>
        <w:ind w:right="281"/>
        <w:rPr>
          <w:rFonts w:cs="Calibri"/>
        </w:rPr>
      </w:pPr>
      <w:bookmarkStart w:id="10" w:name="_Hlk130566768"/>
      <w:r>
        <w:rPr>
          <w:rFonts w:cs="Calibri"/>
        </w:rPr>
        <w:t xml:space="preserve">NJ </w:t>
      </w:r>
      <w:r w:rsidR="001C14F3" w:rsidRPr="001C14F3">
        <w:rPr>
          <w:rFonts w:cs="Calibri"/>
        </w:rPr>
        <w:t>PEOSH</w:t>
      </w:r>
      <w:r w:rsidR="001C14F3" w:rsidRPr="001C14F3">
        <w:rPr>
          <w:rFonts w:cs="Calibri"/>
          <w:spacing w:val="-2"/>
        </w:rPr>
        <w:t xml:space="preserve"> </w:t>
      </w:r>
      <w:r w:rsidR="001C14F3" w:rsidRPr="001C14F3">
        <w:rPr>
          <w:rFonts w:cs="Calibri"/>
        </w:rPr>
        <w:t>is</w:t>
      </w:r>
      <w:r w:rsidR="001C14F3" w:rsidRPr="001C14F3">
        <w:rPr>
          <w:rFonts w:cs="Calibri"/>
          <w:spacing w:val="-3"/>
        </w:rPr>
        <w:t xml:space="preserve"> </w:t>
      </w:r>
      <w:r w:rsidR="001C14F3" w:rsidRPr="001C14F3">
        <w:rPr>
          <w:rFonts w:cs="Calibri"/>
        </w:rPr>
        <w:t>administered</w:t>
      </w:r>
      <w:r w:rsidR="001C14F3" w:rsidRPr="001C14F3">
        <w:rPr>
          <w:rFonts w:cs="Calibri"/>
          <w:spacing w:val="-4"/>
        </w:rPr>
        <w:t xml:space="preserve"> </w:t>
      </w:r>
      <w:r w:rsidR="001C14F3" w:rsidRPr="001C14F3">
        <w:rPr>
          <w:rFonts w:cs="Calibri"/>
        </w:rPr>
        <w:t>by</w:t>
      </w:r>
      <w:r w:rsidR="001C14F3" w:rsidRPr="001C14F3">
        <w:rPr>
          <w:rFonts w:cs="Calibri"/>
          <w:spacing w:val="-2"/>
        </w:rPr>
        <w:t xml:space="preserve"> </w:t>
      </w:r>
      <w:r w:rsidR="001C14F3" w:rsidRPr="001C14F3">
        <w:rPr>
          <w:rFonts w:cs="Calibri"/>
        </w:rPr>
        <w:t>the</w:t>
      </w:r>
      <w:r w:rsidR="001C14F3" w:rsidRPr="001C14F3">
        <w:rPr>
          <w:rFonts w:cs="Calibri"/>
          <w:spacing w:val="-2"/>
        </w:rPr>
        <w:t xml:space="preserve"> </w:t>
      </w:r>
      <w:r w:rsidR="001C14F3" w:rsidRPr="001C14F3">
        <w:rPr>
          <w:rFonts w:cs="Calibri"/>
        </w:rPr>
        <w:t>Public</w:t>
      </w:r>
      <w:r w:rsidR="001C14F3" w:rsidRPr="001C14F3">
        <w:rPr>
          <w:rFonts w:cs="Calibri"/>
          <w:spacing w:val="-2"/>
        </w:rPr>
        <w:t xml:space="preserve"> </w:t>
      </w:r>
      <w:r w:rsidR="001C14F3" w:rsidRPr="001C14F3">
        <w:rPr>
          <w:rFonts w:cs="Calibri"/>
        </w:rPr>
        <w:t>Safety</w:t>
      </w:r>
      <w:r w:rsidR="001C14F3" w:rsidRPr="001C14F3">
        <w:rPr>
          <w:rFonts w:cs="Calibri"/>
          <w:spacing w:val="-2"/>
        </w:rPr>
        <w:t xml:space="preserve"> </w:t>
      </w:r>
      <w:r w:rsidR="001C14F3" w:rsidRPr="001C14F3">
        <w:rPr>
          <w:rFonts w:cs="Calibri"/>
        </w:rPr>
        <w:t>and</w:t>
      </w:r>
      <w:r w:rsidR="001C14F3" w:rsidRPr="001C14F3">
        <w:rPr>
          <w:rFonts w:cs="Calibri"/>
          <w:spacing w:val="-4"/>
        </w:rPr>
        <w:t xml:space="preserve"> </w:t>
      </w:r>
      <w:r w:rsidR="001C14F3" w:rsidRPr="001C14F3">
        <w:rPr>
          <w:rFonts w:cs="Calibri"/>
        </w:rPr>
        <w:t>Occupational</w:t>
      </w:r>
      <w:r w:rsidR="001C14F3" w:rsidRPr="001C14F3">
        <w:rPr>
          <w:rFonts w:cs="Calibri"/>
          <w:spacing w:val="-3"/>
        </w:rPr>
        <w:t xml:space="preserve"> </w:t>
      </w:r>
      <w:r w:rsidR="001C14F3" w:rsidRPr="001C14F3">
        <w:rPr>
          <w:rFonts w:cs="Calibri"/>
        </w:rPr>
        <w:t>Safety</w:t>
      </w:r>
      <w:r w:rsidR="001C14F3" w:rsidRPr="001C14F3">
        <w:rPr>
          <w:rFonts w:cs="Calibri"/>
          <w:spacing w:val="-2"/>
        </w:rPr>
        <w:t xml:space="preserve"> </w:t>
      </w:r>
      <w:r w:rsidR="001C14F3" w:rsidRPr="001C14F3">
        <w:rPr>
          <w:rFonts w:cs="Calibri"/>
        </w:rPr>
        <w:t>and</w:t>
      </w:r>
      <w:r w:rsidR="001C14F3" w:rsidRPr="001C14F3">
        <w:rPr>
          <w:rFonts w:cs="Calibri"/>
          <w:spacing w:val="-3"/>
        </w:rPr>
        <w:t xml:space="preserve"> </w:t>
      </w:r>
      <w:r w:rsidR="001C14F3" w:rsidRPr="001C14F3">
        <w:rPr>
          <w:rFonts w:cs="Calibri"/>
        </w:rPr>
        <w:t>Health</w:t>
      </w:r>
      <w:r w:rsidR="00BF7999">
        <w:rPr>
          <w:rFonts w:cs="Calibri"/>
        </w:rPr>
        <w:t>,</w:t>
      </w:r>
      <w:r w:rsidR="001C14F3" w:rsidRPr="001C14F3">
        <w:rPr>
          <w:rFonts w:cs="Calibri"/>
          <w:spacing w:val="-3"/>
        </w:rPr>
        <w:t xml:space="preserve"> </w:t>
      </w:r>
      <w:r w:rsidR="001C14F3" w:rsidRPr="001C14F3">
        <w:rPr>
          <w:rFonts w:cs="Calibri"/>
        </w:rPr>
        <w:t>Division</w:t>
      </w:r>
      <w:r w:rsidR="001C14F3" w:rsidRPr="001C14F3">
        <w:rPr>
          <w:rFonts w:cs="Calibri"/>
          <w:spacing w:val="-3"/>
        </w:rPr>
        <w:t xml:space="preserve"> </w:t>
      </w:r>
      <w:r w:rsidR="001C14F3" w:rsidRPr="001C14F3">
        <w:rPr>
          <w:rFonts w:cs="Calibri"/>
        </w:rPr>
        <w:t>of</w:t>
      </w:r>
      <w:r w:rsidR="001C14F3" w:rsidRPr="001C14F3">
        <w:rPr>
          <w:rFonts w:cs="Calibri"/>
          <w:spacing w:val="-3"/>
        </w:rPr>
        <w:t xml:space="preserve"> </w:t>
      </w:r>
      <w:r w:rsidR="001C14F3" w:rsidRPr="001C14F3">
        <w:rPr>
          <w:rFonts w:cs="Calibri"/>
        </w:rPr>
        <w:t>the</w:t>
      </w:r>
      <w:r w:rsidR="001C14F3" w:rsidRPr="001C14F3">
        <w:rPr>
          <w:rFonts w:cs="Calibri"/>
          <w:spacing w:val="-3"/>
        </w:rPr>
        <w:t xml:space="preserve"> </w:t>
      </w:r>
      <w:r w:rsidR="001C14F3" w:rsidRPr="001C14F3">
        <w:rPr>
          <w:rFonts w:cs="Calibri"/>
        </w:rPr>
        <w:t>New</w:t>
      </w:r>
      <w:r w:rsidR="001C14F3" w:rsidRPr="001C14F3">
        <w:rPr>
          <w:rFonts w:cs="Calibri"/>
          <w:spacing w:val="-3"/>
        </w:rPr>
        <w:t xml:space="preserve"> </w:t>
      </w:r>
      <w:r w:rsidR="001C14F3" w:rsidRPr="001C14F3">
        <w:rPr>
          <w:rFonts w:cs="Calibri"/>
        </w:rPr>
        <w:t>Jersey</w:t>
      </w:r>
      <w:r w:rsidR="001C14F3" w:rsidRPr="001C14F3">
        <w:rPr>
          <w:rFonts w:cs="Calibri"/>
          <w:spacing w:val="-3"/>
        </w:rPr>
        <w:t xml:space="preserve"> </w:t>
      </w:r>
      <w:r w:rsidR="001C14F3" w:rsidRPr="001C14F3">
        <w:rPr>
          <w:rFonts w:cs="Calibri"/>
        </w:rPr>
        <w:t>Department</w:t>
      </w:r>
      <w:r w:rsidR="001C14F3" w:rsidRPr="001C14F3">
        <w:rPr>
          <w:rFonts w:cs="Calibri"/>
          <w:spacing w:val="-4"/>
        </w:rPr>
        <w:t xml:space="preserve"> </w:t>
      </w:r>
      <w:r w:rsidR="001C14F3" w:rsidRPr="001C14F3">
        <w:rPr>
          <w:rFonts w:cs="Calibri"/>
        </w:rPr>
        <w:t>of</w:t>
      </w:r>
      <w:r w:rsidR="001C14F3" w:rsidRPr="001C14F3">
        <w:rPr>
          <w:rFonts w:cs="Calibri"/>
          <w:spacing w:val="-3"/>
        </w:rPr>
        <w:t xml:space="preserve"> </w:t>
      </w:r>
      <w:r w:rsidR="001C14F3" w:rsidRPr="001C14F3">
        <w:rPr>
          <w:rFonts w:cs="Calibri"/>
        </w:rPr>
        <w:t>Labor</w:t>
      </w:r>
      <w:r w:rsidR="001C14F3" w:rsidRPr="001C14F3">
        <w:rPr>
          <w:rFonts w:cs="Calibri"/>
          <w:spacing w:val="-2"/>
        </w:rPr>
        <w:t xml:space="preserve"> </w:t>
      </w:r>
      <w:r w:rsidR="001C14F3" w:rsidRPr="001C14F3">
        <w:rPr>
          <w:rFonts w:cs="Calibri"/>
        </w:rPr>
        <w:t>and Workforce Development (NJDLWD)</w:t>
      </w:r>
      <w:r w:rsidR="00BF7999">
        <w:rPr>
          <w:rFonts w:cs="Calibri"/>
        </w:rPr>
        <w:t>,</w:t>
      </w:r>
      <w:r w:rsidR="001C14F3" w:rsidRPr="001C14F3">
        <w:rPr>
          <w:rFonts w:cs="Calibri"/>
        </w:rPr>
        <w:t xml:space="preserve"> in partnership with the Consumer Environmental Occupational Health Service (CEOHS) of the New Jersey Department of Health (NJDOH).</w:t>
      </w:r>
      <w:r w:rsidR="001767C0">
        <w:rPr>
          <w:rFonts w:cs="Calibri"/>
        </w:rPr>
        <w:t xml:space="preserve"> </w:t>
      </w:r>
      <w:r w:rsidR="000949A8">
        <w:rPr>
          <w:rFonts w:cs="Calibri"/>
        </w:rPr>
        <w:t xml:space="preserve"> </w:t>
      </w:r>
      <w:r w:rsidR="001C14F3" w:rsidRPr="001C14F3">
        <w:rPr>
          <w:rFonts w:cs="Calibri"/>
        </w:rPr>
        <w:t>Robert Asaro-Angelo is currently the commissioner who oversees the NJ State Plan which includes two offices: a labor (safety) central office and a health central office – both located in Trenton, New Jersey.</w:t>
      </w:r>
      <w:r w:rsidR="000949A8">
        <w:rPr>
          <w:rFonts w:cs="Calibri"/>
        </w:rPr>
        <w:t xml:space="preserve"> </w:t>
      </w:r>
      <w:r w:rsidR="001767C0">
        <w:rPr>
          <w:rFonts w:cs="Calibri"/>
        </w:rPr>
        <w:t xml:space="preserve"> </w:t>
      </w:r>
      <w:r w:rsidR="001C14F3" w:rsidRPr="001C14F3">
        <w:rPr>
          <w:rFonts w:cs="Calibri"/>
        </w:rPr>
        <w:t>These offices cover all state and local government sector enforcement and consultation activities in New Jersey</w:t>
      </w:r>
      <w:r w:rsidR="003B599D">
        <w:rPr>
          <w:rFonts w:cs="Calibri"/>
        </w:rPr>
        <w:t xml:space="preserve"> (NJ PEOSH SOAR, FY 2024)</w:t>
      </w:r>
      <w:r w:rsidR="00BF7999">
        <w:rPr>
          <w:rFonts w:cs="Calibri"/>
        </w:rPr>
        <w:t>.</w:t>
      </w:r>
    </w:p>
    <w:p w14:paraId="0F447894" w14:textId="77777777" w:rsidR="001C14F3" w:rsidRPr="001C14F3" w:rsidRDefault="001C14F3" w:rsidP="001C14F3">
      <w:pPr>
        <w:kinsoku w:val="0"/>
        <w:overflowPunct w:val="0"/>
        <w:rPr>
          <w:rFonts w:cs="Calibri"/>
        </w:rPr>
      </w:pPr>
    </w:p>
    <w:p w14:paraId="50D280F5" w14:textId="35796130" w:rsidR="001C14F3" w:rsidRPr="001C14F3" w:rsidRDefault="001F23A5" w:rsidP="001C14F3">
      <w:pPr>
        <w:kinsoku w:val="0"/>
        <w:overflowPunct w:val="0"/>
        <w:ind w:right="281"/>
        <w:rPr>
          <w:rFonts w:cs="Calibri"/>
        </w:rPr>
      </w:pPr>
      <w:r>
        <w:rPr>
          <w:rFonts w:cs="Calibri"/>
        </w:rPr>
        <w:t xml:space="preserve">NJ </w:t>
      </w:r>
      <w:r w:rsidR="001C14F3" w:rsidRPr="001C14F3">
        <w:rPr>
          <w:rFonts w:cs="Calibri"/>
        </w:rPr>
        <w:t>PEOSH covers both safety and health disciplines.</w:t>
      </w:r>
      <w:r w:rsidR="001767C0">
        <w:rPr>
          <w:rFonts w:cs="Calibri"/>
        </w:rPr>
        <w:t xml:space="preserve"> </w:t>
      </w:r>
      <w:r w:rsidR="000949A8">
        <w:rPr>
          <w:rFonts w:cs="Calibri"/>
        </w:rPr>
        <w:t xml:space="preserve"> </w:t>
      </w:r>
      <w:r w:rsidR="001C14F3" w:rsidRPr="001C14F3">
        <w:rPr>
          <w:rFonts w:cs="Calibri"/>
        </w:rPr>
        <w:t>Private sector enforcement is retained under federal jurisdiction, while private sector consultative services are provided by the NJDLWD Consultation Services Bureau under section 21(d) of the O</w:t>
      </w:r>
      <w:r w:rsidR="00940B64">
        <w:rPr>
          <w:rFonts w:cs="Calibri"/>
        </w:rPr>
        <w:t xml:space="preserve">ccupational </w:t>
      </w:r>
      <w:r w:rsidR="001C14F3" w:rsidRPr="001C14F3">
        <w:rPr>
          <w:rFonts w:cs="Calibri"/>
        </w:rPr>
        <w:t>S</w:t>
      </w:r>
      <w:r w:rsidR="00940B64">
        <w:rPr>
          <w:rFonts w:cs="Calibri"/>
        </w:rPr>
        <w:t xml:space="preserve">afety and </w:t>
      </w:r>
      <w:r w:rsidR="001C14F3" w:rsidRPr="001C14F3">
        <w:rPr>
          <w:rFonts w:cs="Calibri"/>
        </w:rPr>
        <w:t>H</w:t>
      </w:r>
      <w:r w:rsidR="00940B64">
        <w:rPr>
          <w:rFonts w:cs="Calibri"/>
        </w:rPr>
        <w:t>ealth (OSH)</w:t>
      </w:r>
      <w:r w:rsidR="001C14F3" w:rsidRPr="001C14F3">
        <w:rPr>
          <w:rFonts w:cs="Calibri"/>
        </w:rPr>
        <w:t xml:space="preserve"> Act</w:t>
      </w:r>
      <w:r w:rsidR="001767C0">
        <w:rPr>
          <w:rFonts w:cs="Calibri"/>
        </w:rPr>
        <w:t xml:space="preserve">.  </w:t>
      </w:r>
      <w:r w:rsidR="001C14F3" w:rsidRPr="001C14F3">
        <w:rPr>
          <w:rFonts w:cs="Calibri"/>
        </w:rPr>
        <w:t>Private sector consultation services are administered under a separate grant.  A review of that program is not included in this report.</w:t>
      </w:r>
      <w:r w:rsidR="000949A8">
        <w:rPr>
          <w:rFonts w:cs="Calibri"/>
        </w:rPr>
        <w:t xml:space="preserve"> </w:t>
      </w:r>
      <w:r w:rsidR="001767C0">
        <w:rPr>
          <w:rFonts w:cs="Calibri"/>
        </w:rPr>
        <w:t xml:space="preserve"> </w:t>
      </w:r>
      <w:r w:rsidR="001C14F3" w:rsidRPr="001C14F3">
        <w:rPr>
          <w:rFonts w:cs="Calibri"/>
        </w:rPr>
        <w:t>The New</w:t>
      </w:r>
      <w:r w:rsidR="001C14F3" w:rsidRPr="001C14F3">
        <w:rPr>
          <w:rFonts w:cs="Calibri"/>
          <w:spacing w:val="-3"/>
        </w:rPr>
        <w:t xml:space="preserve"> </w:t>
      </w:r>
      <w:r w:rsidR="001C14F3" w:rsidRPr="001C14F3">
        <w:rPr>
          <w:rFonts w:cs="Calibri"/>
        </w:rPr>
        <w:t>Jersey</w:t>
      </w:r>
      <w:r w:rsidR="001C14F3" w:rsidRPr="001C14F3">
        <w:rPr>
          <w:rFonts w:cs="Calibri"/>
          <w:spacing w:val="-3"/>
        </w:rPr>
        <w:t xml:space="preserve"> </w:t>
      </w:r>
      <w:r w:rsidR="001C14F3" w:rsidRPr="001C14F3">
        <w:rPr>
          <w:rFonts w:cs="Calibri"/>
        </w:rPr>
        <w:t>State</w:t>
      </w:r>
      <w:r w:rsidR="001C14F3" w:rsidRPr="001C14F3">
        <w:rPr>
          <w:rFonts w:cs="Calibri"/>
          <w:spacing w:val="-2"/>
        </w:rPr>
        <w:t xml:space="preserve"> </w:t>
      </w:r>
      <w:r w:rsidR="001C14F3" w:rsidRPr="001C14F3">
        <w:rPr>
          <w:rFonts w:cs="Calibri"/>
        </w:rPr>
        <w:t>Plan</w:t>
      </w:r>
      <w:r w:rsidR="001C14F3" w:rsidRPr="001C14F3">
        <w:rPr>
          <w:rFonts w:cs="Calibri"/>
          <w:spacing w:val="-3"/>
        </w:rPr>
        <w:t xml:space="preserve"> </w:t>
      </w:r>
      <w:r w:rsidR="001C14F3" w:rsidRPr="001C14F3">
        <w:rPr>
          <w:rFonts w:cs="Calibri"/>
        </w:rPr>
        <w:t>agreement</w:t>
      </w:r>
      <w:r w:rsidR="001C14F3" w:rsidRPr="001C14F3">
        <w:rPr>
          <w:rFonts w:cs="Calibri"/>
          <w:spacing w:val="-3"/>
        </w:rPr>
        <w:t xml:space="preserve"> </w:t>
      </w:r>
      <w:r w:rsidR="001C14F3" w:rsidRPr="001C14F3">
        <w:rPr>
          <w:rFonts w:cs="Calibri"/>
        </w:rPr>
        <w:t>requires</w:t>
      </w:r>
      <w:r w:rsidR="001C14F3" w:rsidRPr="001C14F3">
        <w:rPr>
          <w:rFonts w:cs="Calibri"/>
          <w:spacing w:val="-3"/>
        </w:rPr>
        <w:t xml:space="preserve"> </w:t>
      </w:r>
      <w:r w:rsidR="001C14F3" w:rsidRPr="001C14F3">
        <w:rPr>
          <w:rFonts w:cs="Calibri"/>
        </w:rPr>
        <w:t>PEOSH</w:t>
      </w:r>
      <w:r w:rsidR="001C14F3" w:rsidRPr="001C14F3">
        <w:rPr>
          <w:rFonts w:cs="Calibri"/>
          <w:spacing w:val="-2"/>
        </w:rPr>
        <w:t xml:space="preserve"> </w:t>
      </w:r>
      <w:r w:rsidR="001C14F3" w:rsidRPr="001C14F3">
        <w:rPr>
          <w:rFonts w:cs="Calibri"/>
        </w:rPr>
        <w:t>to</w:t>
      </w:r>
      <w:r w:rsidR="001C14F3" w:rsidRPr="001C14F3">
        <w:rPr>
          <w:rFonts w:cs="Calibri"/>
          <w:spacing w:val="-2"/>
        </w:rPr>
        <w:t xml:space="preserve"> </w:t>
      </w:r>
      <w:r w:rsidR="001C14F3" w:rsidRPr="001C14F3">
        <w:rPr>
          <w:rFonts w:cs="Calibri"/>
        </w:rPr>
        <w:t>adopt</w:t>
      </w:r>
      <w:r w:rsidR="001C14F3" w:rsidRPr="001C14F3">
        <w:rPr>
          <w:rFonts w:cs="Calibri"/>
          <w:spacing w:val="-3"/>
        </w:rPr>
        <w:t xml:space="preserve"> </w:t>
      </w:r>
      <w:r w:rsidR="001C14F3" w:rsidRPr="001C14F3">
        <w:rPr>
          <w:rFonts w:cs="Calibri"/>
        </w:rPr>
        <w:t>all</w:t>
      </w:r>
      <w:r w:rsidR="001C14F3" w:rsidRPr="001C14F3">
        <w:rPr>
          <w:rFonts w:cs="Calibri"/>
          <w:spacing w:val="-3"/>
        </w:rPr>
        <w:t xml:space="preserve"> </w:t>
      </w:r>
      <w:r w:rsidR="001C14F3" w:rsidRPr="001C14F3">
        <w:rPr>
          <w:rFonts w:cs="Calibri"/>
        </w:rPr>
        <w:t>applicable</w:t>
      </w:r>
      <w:r w:rsidR="001C14F3" w:rsidRPr="001C14F3">
        <w:rPr>
          <w:rFonts w:cs="Calibri"/>
          <w:spacing w:val="-3"/>
        </w:rPr>
        <w:t xml:space="preserve"> </w:t>
      </w:r>
      <w:r w:rsidR="001C14F3" w:rsidRPr="001C14F3">
        <w:rPr>
          <w:rFonts w:cs="Calibri"/>
        </w:rPr>
        <w:t>OSHA</w:t>
      </w:r>
      <w:r w:rsidR="001C14F3" w:rsidRPr="001C14F3">
        <w:rPr>
          <w:rFonts w:cs="Calibri"/>
          <w:spacing w:val="-2"/>
        </w:rPr>
        <w:t xml:space="preserve"> </w:t>
      </w:r>
      <w:r w:rsidR="001C14F3" w:rsidRPr="001C14F3">
        <w:rPr>
          <w:rFonts w:cs="Calibri"/>
        </w:rPr>
        <w:t>safety</w:t>
      </w:r>
      <w:r w:rsidR="001C14F3" w:rsidRPr="001C14F3">
        <w:rPr>
          <w:rFonts w:cs="Calibri"/>
          <w:spacing w:val="-3"/>
        </w:rPr>
        <w:t xml:space="preserve"> </w:t>
      </w:r>
      <w:r w:rsidR="001C14F3" w:rsidRPr="001C14F3">
        <w:rPr>
          <w:rFonts w:cs="Calibri"/>
        </w:rPr>
        <w:t>and</w:t>
      </w:r>
      <w:r w:rsidR="001C14F3" w:rsidRPr="001C14F3">
        <w:rPr>
          <w:rFonts w:cs="Calibri"/>
          <w:spacing w:val="-3"/>
        </w:rPr>
        <w:t xml:space="preserve"> </w:t>
      </w:r>
      <w:r w:rsidR="001C14F3" w:rsidRPr="001C14F3">
        <w:rPr>
          <w:rFonts w:cs="Calibri"/>
        </w:rPr>
        <w:t>health</w:t>
      </w:r>
      <w:r w:rsidR="001C14F3" w:rsidRPr="001C14F3">
        <w:rPr>
          <w:rFonts w:cs="Calibri"/>
          <w:spacing w:val="-3"/>
        </w:rPr>
        <w:t xml:space="preserve"> </w:t>
      </w:r>
      <w:r w:rsidR="001C14F3" w:rsidRPr="001C14F3">
        <w:rPr>
          <w:rFonts w:cs="Calibri"/>
        </w:rPr>
        <w:t>standards</w:t>
      </w:r>
      <w:r w:rsidR="001C14F3" w:rsidRPr="001C14F3">
        <w:rPr>
          <w:rFonts w:cs="Calibri"/>
          <w:spacing w:val="-3"/>
        </w:rPr>
        <w:t xml:space="preserve"> </w:t>
      </w:r>
      <w:r w:rsidR="001C14F3" w:rsidRPr="001C14F3">
        <w:rPr>
          <w:rFonts w:cs="Calibri"/>
        </w:rPr>
        <w:t>–</w:t>
      </w:r>
      <w:r w:rsidR="001C14F3" w:rsidRPr="001C14F3">
        <w:rPr>
          <w:rFonts w:cs="Calibri"/>
          <w:spacing w:val="-1"/>
        </w:rPr>
        <w:t xml:space="preserve"> </w:t>
      </w:r>
      <w:r w:rsidR="001C14F3" w:rsidRPr="001C14F3">
        <w:rPr>
          <w:rFonts w:cs="Calibri"/>
        </w:rPr>
        <w:t>either</w:t>
      </w:r>
      <w:r w:rsidR="001C14F3" w:rsidRPr="001C14F3">
        <w:rPr>
          <w:rFonts w:cs="Calibri"/>
          <w:spacing w:val="-2"/>
        </w:rPr>
        <w:t xml:space="preserve"> </w:t>
      </w:r>
      <w:r w:rsidR="001C14F3" w:rsidRPr="001C14F3">
        <w:rPr>
          <w:rFonts w:cs="Calibri"/>
        </w:rPr>
        <w:t>identically</w:t>
      </w:r>
      <w:r w:rsidR="001C14F3" w:rsidRPr="001C14F3">
        <w:rPr>
          <w:rFonts w:cs="Calibri"/>
          <w:spacing w:val="-3"/>
        </w:rPr>
        <w:t xml:space="preserve"> </w:t>
      </w:r>
      <w:r w:rsidR="001C14F3" w:rsidRPr="001C14F3">
        <w:rPr>
          <w:rFonts w:cs="Calibri"/>
        </w:rPr>
        <w:t>or</w:t>
      </w:r>
      <w:r w:rsidR="001C14F3" w:rsidRPr="001C14F3">
        <w:rPr>
          <w:rFonts w:cs="Calibri"/>
          <w:spacing w:val="-2"/>
        </w:rPr>
        <w:t xml:space="preserve"> </w:t>
      </w:r>
      <w:r w:rsidR="001C14F3" w:rsidRPr="001C14F3">
        <w:rPr>
          <w:rFonts w:cs="Calibri"/>
        </w:rPr>
        <w:t>as alternative standards at least as effective as (ALAE</w:t>
      </w:r>
      <w:r w:rsidR="00DC4B35">
        <w:rPr>
          <w:rFonts w:cs="Calibri"/>
        </w:rPr>
        <w:t>A</w:t>
      </w:r>
      <w:r w:rsidR="001C14F3" w:rsidRPr="001C14F3">
        <w:rPr>
          <w:rFonts w:cs="Calibri"/>
        </w:rPr>
        <w:t>) the federal standards.</w:t>
      </w:r>
      <w:r w:rsidR="000949A8">
        <w:rPr>
          <w:rFonts w:cs="Calibri"/>
        </w:rPr>
        <w:t xml:space="preserve"> </w:t>
      </w:r>
      <w:r w:rsidR="001767C0">
        <w:rPr>
          <w:rFonts w:cs="Calibri"/>
        </w:rPr>
        <w:t xml:space="preserve"> </w:t>
      </w:r>
      <w:r w:rsidR="000949A8">
        <w:rPr>
          <w:rFonts w:cs="Calibri"/>
        </w:rPr>
        <w:t xml:space="preserve">The State Plan has been responsive to adopting all applicable OSHA safety and health standards. </w:t>
      </w:r>
      <w:r w:rsidR="001767C0">
        <w:rPr>
          <w:rFonts w:cs="Calibri"/>
        </w:rPr>
        <w:t xml:space="preserve"> </w:t>
      </w:r>
      <w:r w:rsidR="000949A8">
        <w:rPr>
          <w:rFonts w:cs="Calibri"/>
        </w:rPr>
        <w:t xml:space="preserve">The Injury and Illness Tracking </w:t>
      </w:r>
      <w:r w:rsidR="00BF7999">
        <w:rPr>
          <w:rFonts w:cs="Calibri"/>
        </w:rPr>
        <w:t>A</w:t>
      </w:r>
      <w:r w:rsidR="000949A8">
        <w:rPr>
          <w:rFonts w:cs="Calibri"/>
        </w:rPr>
        <w:t xml:space="preserve">pplication was recently adopted and employers covered by PEOSH </w:t>
      </w:r>
      <w:r w:rsidR="00655FFC">
        <w:rPr>
          <w:rFonts w:cs="Calibri"/>
        </w:rPr>
        <w:t xml:space="preserve">are </w:t>
      </w:r>
      <w:r w:rsidR="000949A8">
        <w:rPr>
          <w:rFonts w:cs="Calibri"/>
        </w:rPr>
        <w:t xml:space="preserve">required to submit </w:t>
      </w:r>
      <w:r w:rsidR="009A1585">
        <w:rPr>
          <w:rFonts w:cs="Calibri"/>
        </w:rPr>
        <w:t xml:space="preserve">injury and illness </w:t>
      </w:r>
      <w:r w:rsidR="000949A8">
        <w:rPr>
          <w:rFonts w:cs="Calibri"/>
        </w:rPr>
        <w:t>data</w:t>
      </w:r>
      <w:r w:rsidR="00083256">
        <w:rPr>
          <w:rFonts w:cs="Calibri"/>
        </w:rPr>
        <w:t xml:space="preserve"> </w:t>
      </w:r>
      <w:r w:rsidR="00655FFC">
        <w:rPr>
          <w:rFonts w:cs="Calibri"/>
        </w:rPr>
        <w:t xml:space="preserve">beginning </w:t>
      </w:r>
      <w:r w:rsidR="00083256">
        <w:rPr>
          <w:rFonts w:cs="Calibri"/>
        </w:rPr>
        <w:t>in January 2026.</w:t>
      </w:r>
      <w:r w:rsidR="000949A8">
        <w:rPr>
          <w:rFonts w:cs="Calibri"/>
        </w:rPr>
        <w:t xml:space="preserve">  </w:t>
      </w:r>
    </w:p>
    <w:p w14:paraId="36AA23E0" w14:textId="77777777" w:rsidR="001C14F3" w:rsidRPr="001C14F3" w:rsidRDefault="001C14F3" w:rsidP="001C14F3">
      <w:pPr>
        <w:kinsoku w:val="0"/>
        <w:overflowPunct w:val="0"/>
        <w:spacing w:before="11"/>
        <w:rPr>
          <w:rFonts w:cs="Calibri"/>
          <w:sz w:val="23"/>
          <w:szCs w:val="23"/>
        </w:rPr>
      </w:pPr>
    </w:p>
    <w:p w14:paraId="7D72A633" w14:textId="199DBAB4" w:rsidR="001C14F3" w:rsidRDefault="001F23A5" w:rsidP="001C14F3">
      <w:pPr>
        <w:kinsoku w:val="0"/>
        <w:overflowPunct w:val="0"/>
        <w:spacing w:before="11"/>
        <w:rPr>
          <w:rFonts w:cs="Calibri"/>
          <w:spacing w:val="-2"/>
        </w:rPr>
      </w:pPr>
      <w:r>
        <w:rPr>
          <w:rFonts w:cs="Calibri"/>
        </w:rPr>
        <w:t xml:space="preserve">NJ </w:t>
      </w:r>
      <w:r w:rsidR="001C14F3" w:rsidRPr="001C14F3">
        <w:rPr>
          <w:rFonts w:cs="Calibri"/>
        </w:rPr>
        <w:t>PEOSH</w:t>
      </w:r>
      <w:r w:rsidR="001C14F3" w:rsidRPr="001C14F3">
        <w:rPr>
          <w:rFonts w:cs="Calibri"/>
          <w:spacing w:val="-2"/>
        </w:rPr>
        <w:t xml:space="preserve"> </w:t>
      </w:r>
      <w:r w:rsidR="001C14F3" w:rsidRPr="001C14F3">
        <w:rPr>
          <w:rFonts w:cs="Calibri"/>
        </w:rPr>
        <w:t>does</w:t>
      </w:r>
      <w:r w:rsidR="001C14F3" w:rsidRPr="001C14F3">
        <w:rPr>
          <w:rFonts w:cs="Calibri"/>
          <w:spacing w:val="-4"/>
        </w:rPr>
        <w:t xml:space="preserve"> </w:t>
      </w:r>
      <w:r w:rsidR="001C14F3" w:rsidRPr="001C14F3">
        <w:rPr>
          <w:rFonts w:cs="Calibri"/>
        </w:rPr>
        <w:t>not</w:t>
      </w:r>
      <w:r w:rsidR="001C14F3" w:rsidRPr="001C14F3">
        <w:rPr>
          <w:rFonts w:cs="Calibri"/>
          <w:spacing w:val="-3"/>
        </w:rPr>
        <w:t xml:space="preserve"> </w:t>
      </w:r>
      <w:r w:rsidR="00024163">
        <w:rPr>
          <w:rFonts w:cs="Calibri"/>
          <w:spacing w:val="-3"/>
        </w:rPr>
        <w:t xml:space="preserve">have </w:t>
      </w:r>
      <w:r w:rsidR="001C14F3" w:rsidRPr="001C14F3">
        <w:rPr>
          <w:rFonts w:cs="Calibri"/>
        </w:rPr>
        <w:t>provisions</w:t>
      </w:r>
      <w:r w:rsidR="001C14F3" w:rsidRPr="001C14F3">
        <w:rPr>
          <w:rFonts w:cs="Calibri"/>
          <w:spacing w:val="-3"/>
        </w:rPr>
        <w:t xml:space="preserve"> </w:t>
      </w:r>
      <w:r w:rsidR="001C14F3" w:rsidRPr="001C14F3">
        <w:rPr>
          <w:rFonts w:cs="Calibri"/>
        </w:rPr>
        <w:t>for</w:t>
      </w:r>
      <w:r w:rsidR="001C14F3" w:rsidRPr="001C14F3">
        <w:rPr>
          <w:rFonts w:cs="Calibri"/>
          <w:spacing w:val="-2"/>
        </w:rPr>
        <w:t xml:space="preserve"> </w:t>
      </w:r>
      <w:r w:rsidR="001C14F3" w:rsidRPr="001C14F3">
        <w:rPr>
          <w:rFonts w:cs="Calibri"/>
        </w:rPr>
        <w:t>the</w:t>
      </w:r>
      <w:r w:rsidR="001C14F3" w:rsidRPr="001C14F3">
        <w:rPr>
          <w:rFonts w:cs="Calibri"/>
          <w:spacing w:val="-2"/>
        </w:rPr>
        <w:t xml:space="preserve"> </w:t>
      </w:r>
      <w:r w:rsidR="001C14F3" w:rsidRPr="001C14F3">
        <w:rPr>
          <w:rFonts w:cs="Calibri"/>
        </w:rPr>
        <w:t>issuance</w:t>
      </w:r>
      <w:r w:rsidR="001C14F3" w:rsidRPr="001C14F3">
        <w:rPr>
          <w:rFonts w:cs="Calibri"/>
          <w:spacing w:val="-2"/>
        </w:rPr>
        <w:t xml:space="preserve"> </w:t>
      </w:r>
      <w:r w:rsidR="001C14F3" w:rsidRPr="001C14F3">
        <w:rPr>
          <w:rFonts w:cs="Calibri"/>
        </w:rPr>
        <w:t>of</w:t>
      </w:r>
      <w:r w:rsidR="001C14F3" w:rsidRPr="001C14F3">
        <w:rPr>
          <w:rFonts w:cs="Calibri"/>
          <w:spacing w:val="-3"/>
        </w:rPr>
        <w:t xml:space="preserve"> </w:t>
      </w:r>
      <w:r w:rsidR="001C14F3" w:rsidRPr="001C14F3">
        <w:rPr>
          <w:rFonts w:cs="Calibri"/>
        </w:rPr>
        <w:t>monetary</w:t>
      </w:r>
      <w:r w:rsidR="001C14F3" w:rsidRPr="001C14F3">
        <w:rPr>
          <w:rFonts w:cs="Calibri"/>
          <w:spacing w:val="-2"/>
        </w:rPr>
        <w:t xml:space="preserve"> </w:t>
      </w:r>
      <w:r w:rsidR="001C14F3" w:rsidRPr="001C14F3">
        <w:rPr>
          <w:rFonts w:cs="Calibri"/>
        </w:rPr>
        <w:t>penalties</w:t>
      </w:r>
      <w:r w:rsidR="001C14F3" w:rsidRPr="001C14F3">
        <w:rPr>
          <w:rFonts w:cs="Calibri"/>
          <w:spacing w:val="-3"/>
        </w:rPr>
        <w:t xml:space="preserve"> </w:t>
      </w:r>
      <w:r w:rsidR="001C14F3" w:rsidRPr="001C14F3">
        <w:rPr>
          <w:rFonts w:cs="Calibri"/>
        </w:rPr>
        <w:t>for</w:t>
      </w:r>
      <w:r w:rsidR="001C14F3" w:rsidRPr="001C14F3">
        <w:rPr>
          <w:rFonts w:cs="Calibri"/>
          <w:spacing w:val="-2"/>
        </w:rPr>
        <w:t xml:space="preserve"> </w:t>
      </w:r>
      <w:r w:rsidR="001C14F3" w:rsidRPr="001C14F3">
        <w:rPr>
          <w:rFonts w:cs="Calibri"/>
        </w:rPr>
        <w:t>state</w:t>
      </w:r>
      <w:r w:rsidR="001C14F3" w:rsidRPr="001C14F3">
        <w:rPr>
          <w:rFonts w:cs="Calibri"/>
          <w:spacing w:val="-3"/>
        </w:rPr>
        <w:t xml:space="preserve"> </w:t>
      </w:r>
      <w:r w:rsidR="001C14F3" w:rsidRPr="001C14F3">
        <w:rPr>
          <w:rFonts w:cs="Calibri"/>
        </w:rPr>
        <w:t>and</w:t>
      </w:r>
      <w:r w:rsidR="001C14F3" w:rsidRPr="001C14F3">
        <w:rPr>
          <w:rFonts w:cs="Calibri"/>
          <w:spacing w:val="-3"/>
        </w:rPr>
        <w:t xml:space="preserve"> </w:t>
      </w:r>
      <w:r w:rsidR="001C14F3" w:rsidRPr="001C14F3">
        <w:rPr>
          <w:rFonts w:cs="Calibri"/>
        </w:rPr>
        <w:t>local</w:t>
      </w:r>
      <w:r w:rsidR="001C14F3" w:rsidRPr="001C14F3">
        <w:rPr>
          <w:rFonts w:cs="Calibri"/>
          <w:spacing w:val="-3"/>
        </w:rPr>
        <w:t xml:space="preserve"> </w:t>
      </w:r>
      <w:r w:rsidR="001C14F3" w:rsidRPr="001C14F3">
        <w:rPr>
          <w:rFonts w:cs="Calibri"/>
        </w:rPr>
        <w:t>government</w:t>
      </w:r>
      <w:r w:rsidR="001C14F3" w:rsidRPr="001C14F3">
        <w:rPr>
          <w:rFonts w:cs="Calibri"/>
          <w:spacing w:val="-3"/>
        </w:rPr>
        <w:t xml:space="preserve"> </w:t>
      </w:r>
      <w:r w:rsidR="001C14F3" w:rsidRPr="001C14F3">
        <w:rPr>
          <w:rFonts w:cs="Calibri"/>
        </w:rPr>
        <w:t>sector</w:t>
      </w:r>
      <w:r w:rsidR="001C14F3" w:rsidRPr="001C14F3">
        <w:rPr>
          <w:rFonts w:cs="Calibri"/>
          <w:spacing w:val="-4"/>
        </w:rPr>
        <w:t xml:space="preserve"> </w:t>
      </w:r>
      <w:r w:rsidR="001C14F3" w:rsidRPr="001C14F3">
        <w:rPr>
          <w:rFonts w:cs="Calibri"/>
        </w:rPr>
        <w:t>employers</w:t>
      </w:r>
      <w:r w:rsidR="001C14F3" w:rsidRPr="001C14F3">
        <w:rPr>
          <w:rFonts w:cs="Calibri"/>
          <w:spacing w:val="-3"/>
        </w:rPr>
        <w:t xml:space="preserve"> </w:t>
      </w:r>
      <w:r w:rsidR="001C14F3" w:rsidRPr="001C14F3">
        <w:rPr>
          <w:rFonts w:cs="Calibri"/>
        </w:rPr>
        <w:t>found not to be in-compliance with applicable standards on a first instance basis, except in</w:t>
      </w:r>
      <w:r w:rsidR="001C14F3" w:rsidRPr="001C14F3">
        <w:rPr>
          <w:rFonts w:cs="Calibri"/>
          <w:spacing w:val="-1"/>
        </w:rPr>
        <w:t xml:space="preserve"> </w:t>
      </w:r>
      <w:r w:rsidR="001C14F3" w:rsidRPr="001C14F3">
        <w:rPr>
          <w:rFonts w:cs="Calibri"/>
        </w:rPr>
        <w:t>cases of willful or repeat</w:t>
      </w:r>
      <w:r w:rsidR="001C14F3" w:rsidRPr="001C14F3">
        <w:rPr>
          <w:rFonts w:cs="Calibri"/>
          <w:spacing w:val="-1"/>
        </w:rPr>
        <w:t xml:space="preserve"> </w:t>
      </w:r>
      <w:r w:rsidR="001C14F3" w:rsidRPr="001C14F3">
        <w:rPr>
          <w:rFonts w:cs="Calibri"/>
        </w:rPr>
        <w:t>violations.</w:t>
      </w:r>
      <w:r w:rsidR="000949A8">
        <w:rPr>
          <w:rFonts w:cs="Calibri"/>
        </w:rPr>
        <w:t xml:space="preserve"> </w:t>
      </w:r>
      <w:r w:rsidR="001767C0">
        <w:rPr>
          <w:rFonts w:cs="Calibri"/>
        </w:rPr>
        <w:t xml:space="preserve"> </w:t>
      </w:r>
      <w:r w:rsidR="001C14F3" w:rsidRPr="001C14F3">
        <w:rPr>
          <w:rFonts w:cs="Calibri"/>
        </w:rPr>
        <w:t>There is also a provision for penalties on all failure to correct violations.</w:t>
      </w:r>
      <w:r>
        <w:rPr>
          <w:rFonts w:cs="Calibri"/>
        </w:rPr>
        <w:t xml:space="preserve"> </w:t>
      </w:r>
      <w:r w:rsidR="001767C0">
        <w:rPr>
          <w:rFonts w:cs="Calibri"/>
        </w:rPr>
        <w:t xml:space="preserve"> </w:t>
      </w:r>
      <w:r>
        <w:rPr>
          <w:rFonts w:cs="Calibri"/>
        </w:rPr>
        <w:t>NJ</w:t>
      </w:r>
      <w:r w:rsidR="001C14F3" w:rsidRPr="001C14F3">
        <w:rPr>
          <w:rFonts w:cs="Calibri"/>
        </w:rPr>
        <w:t xml:space="preserve"> PEOSH’s review proceedings reflect OSHA review procedures.</w:t>
      </w:r>
      <w:r w:rsidR="001767C0">
        <w:rPr>
          <w:rFonts w:cs="Calibri"/>
        </w:rPr>
        <w:t xml:space="preserve"> </w:t>
      </w:r>
      <w:r w:rsidR="002D203D">
        <w:rPr>
          <w:rFonts w:cs="Calibri"/>
        </w:rPr>
        <w:t xml:space="preserve"> </w:t>
      </w:r>
      <w:r w:rsidR="00060EAC" w:rsidRPr="0076547C">
        <w:rPr>
          <w:rFonts w:cs="Calibri"/>
        </w:rPr>
        <w:t xml:space="preserve">Two informal conferences were </w:t>
      </w:r>
      <w:r w:rsidR="002D203D" w:rsidRPr="0076547C">
        <w:rPr>
          <w:rFonts w:cs="Calibri"/>
        </w:rPr>
        <w:t>conducted</w:t>
      </w:r>
      <w:r w:rsidR="002D203D" w:rsidRPr="0076547C">
        <w:rPr>
          <w:rFonts w:cs="Calibri"/>
          <w:spacing w:val="-3"/>
        </w:rPr>
        <w:t xml:space="preserve"> </w:t>
      </w:r>
      <w:r w:rsidR="002D203D" w:rsidRPr="0076547C">
        <w:rPr>
          <w:rFonts w:cs="Calibri"/>
        </w:rPr>
        <w:t>in</w:t>
      </w:r>
      <w:r w:rsidR="002D203D" w:rsidRPr="0076547C">
        <w:rPr>
          <w:rFonts w:cs="Calibri"/>
          <w:spacing w:val="-2"/>
        </w:rPr>
        <w:t xml:space="preserve"> </w:t>
      </w:r>
      <w:r w:rsidR="002D203D" w:rsidRPr="0076547C">
        <w:rPr>
          <w:rFonts w:cs="Calibri"/>
        </w:rPr>
        <w:t>FY</w:t>
      </w:r>
      <w:r w:rsidR="002D203D" w:rsidRPr="0076547C">
        <w:rPr>
          <w:rFonts w:cs="Calibri"/>
          <w:spacing w:val="-2"/>
        </w:rPr>
        <w:t xml:space="preserve"> </w:t>
      </w:r>
      <w:r w:rsidR="002D203D" w:rsidRPr="0076547C">
        <w:rPr>
          <w:rFonts w:cs="Calibri"/>
        </w:rPr>
        <w:t>202</w:t>
      </w:r>
      <w:r w:rsidR="00060EAC" w:rsidRPr="0076547C">
        <w:rPr>
          <w:rFonts w:cs="Calibri"/>
        </w:rPr>
        <w:t>4</w:t>
      </w:r>
      <w:r w:rsidR="002D203D" w:rsidRPr="0076547C">
        <w:rPr>
          <w:rFonts w:cs="Calibri"/>
          <w:spacing w:val="-2"/>
        </w:rPr>
        <w:t xml:space="preserve"> </w:t>
      </w:r>
      <w:r w:rsidR="002D203D" w:rsidRPr="0076547C">
        <w:rPr>
          <w:rFonts w:cs="Calibri"/>
          <w:spacing w:val="-5"/>
        </w:rPr>
        <w:t xml:space="preserve">and </w:t>
      </w:r>
      <w:r w:rsidR="002D203D" w:rsidRPr="0076547C">
        <w:rPr>
          <w:rFonts w:cs="Calibri"/>
        </w:rPr>
        <w:t>$</w:t>
      </w:r>
      <w:r w:rsidR="00067A12" w:rsidRPr="0076547C">
        <w:rPr>
          <w:rFonts w:cs="Calibri"/>
        </w:rPr>
        <w:t>126,000</w:t>
      </w:r>
      <w:r w:rsidR="002D203D" w:rsidRPr="0076547C">
        <w:rPr>
          <w:rFonts w:cs="Calibri"/>
          <w:spacing w:val="-2"/>
        </w:rPr>
        <w:t xml:space="preserve"> </w:t>
      </w:r>
      <w:r w:rsidR="002D203D" w:rsidRPr="0076547C">
        <w:rPr>
          <w:rFonts w:cs="Calibri"/>
        </w:rPr>
        <w:t>in</w:t>
      </w:r>
      <w:r w:rsidR="002D203D" w:rsidRPr="0076547C">
        <w:rPr>
          <w:rFonts w:cs="Calibri"/>
          <w:spacing w:val="-2"/>
        </w:rPr>
        <w:t xml:space="preserve"> </w:t>
      </w:r>
      <w:r w:rsidR="002D203D" w:rsidRPr="0076547C">
        <w:rPr>
          <w:rFonts w:cs="Calibri"/>
        </w:rPr>
        <w:t>penalties</w:t>
      </w:r>
      <w:r w:rsidR="002D203D" w:rsidRPr="0076547C">
        <w:rPr>
          <w:rFonts w:cs="Calibri"/>
          <w:spacing w:val="-2"/>
        </w:rPr>
        <w:t xml:space="preserve"> </w:t>
      </w:r>
      <w:r w:rsidR="002D203D" w:rsidRPr="0076547C">
        <w:rPr>
          <w:rFonts w:cs="Calibri"/>
        </w:rPr>
        <w:t>was</w:t>
      </w:r>
      <w:r w:rsidR="002D203D" w:rsidRPr="0076547C">
        <w:rPr>
          <w:rFonts w:cs="Calibri"/>
          <w:spacing w:val="-2"/>
        </w:rPr>
        <w:t xml:space="preserve"> collected</w:t>
      </w:r>
      <w:r w:rsidR="003B599D">
        <w:rPr>
          <w:rFonts w:cs="Calibri"/>
          <w:spacing w:val="-2"/>
        </w:rPr>
        <w:t xml:space="preserve"> (NJ PEOSH SOAR, FY 2024).</w:t>
      </w:r>
    </w:p>
    <w:p w14:paraId="70D8D940" w14:textId="77777777" w:rsidR="00CB11F0" w:rsidRDefault="00CB11F0" w:rsidP="001C14F3">
      <w:pPr>
        <w:kinsoku w:val="0"/>
        <w:overflowPunct w:val="0"/>
        <w:spacing w:before="11"/>
        <w:rPr>
          <w:rFonts w:cs="Calibri"/>
          <w:spacing w:val="-2"/>
        </w:rPr>
      </w:pPr>
    </w:p>
    <w:p w14:paraId="6409A8EC" w14:textId="2A024376" w:rsidR="00CB11F0" w:rsidRDefault="000949A8" w:rsidP="001C14F3">
      <w:pPr>
        <w:kinsoku w:val="0"/>
        <w:overflowPunct w:val="0"/>
        <w:spacing w:before="11"/>
        <w:rPr>
          <w:rFonts w:cs="Calibri"/>
          <w:spacing w:val="-2"/>
        </w:rPr>
      </w:pPr>
      <w:r>
        <w:rPr>
          <w:rFonts w:cs="Calibri"/>
          <w:spacing w:val="-2"/>
        </w:rPr>
        <w:t>During FY 2024, t</w:t>
      </w:r>
      <w:r w:rsidR="00CB11F0">
        <w:rPr>
          <w:rFonts w:cs="Calibri"/>
          <w:spacing w:val="-2"/>
        </w:rPr>
        <w:t>he New Jersey State Plan hired four safety compliance officers, one health compliance officer</w:t>
      </w:r>
      <w:r w:rsidR="00C100A5">
        <w:rPr>
          <w:rFonts w:cs="Calibri"/>
          <w:spacing w:val="-2"/>
        </w:rPr>
        <w:t>, two new safety consultants</w:t>
      </w:r>
      <w:r w:rsidR="001D71DF">
        <w:rPr>
          <w:rFonts w:cs="Calibri"/>
          <w:spacing w:val="-2"/>
        </w:rPr>
        <w:t>,</w:t>
      </w:r>
      <w:r w:rsidR="00CB11F0">
        <w:rPr>
          <w:rFonts w:cs="Calibri"/>
          <w:spacing w:val="-2"/>
        </w:rPr>
        <w:t xml:space="preserve"> and two clerk typists</w:t>
      </w:r>
      <w:r>
        <w:rPr>
          <w:rFonts w:cs="Calibri"/>
          <w:spacing w:val="-2"/>
        </w:rPr>
        <w:t>.</w:t>
      </w:r>
      <w:r w:rsidR="001767C0">
        <w:rPr>
          <w:rFonts w:cs="Calibri"/>
          <w:spacing w:val="-2"/>
        </w:rPr>
        <w:t xml:space="preserve"> </w:t>
      </w:r>
      <w:r w:rsidR="00CB11F0">
        <w:rPr>
          <w:rFonts w:cs="Calibri"/>
          <w:spacing w:val="-2"/>
        </w:rPr>
        <w:t xml:space="preserve"> </w:t>
      </w:r>
      <w:r w:rsidR="00A329A8">
        <w:rPr>
          <w:rFonts w:cs="Calibri"/>
          <w:spacing w:val="-2"/>
        </w:rPr>
        <w:t>T</w:t>
      </w:r>
      <w:r w:rsidR="00C100A5">
        <w:rPr>
          <w:rFonts w:cs="Calibri"/>
          <w:spacing w:val="-2"/>
        </w:rPr>
        <w:t xml:space="preserve">hese new enforcement and consultation hires were provided required training at the OSHA Training Institute (OTI) and participated in training opportunities at the Rutgers Atlantic OSHA Training Center. </w:t>
      </w:r>
      <w:r w:rsidR="001767C0">
        <w:rPr>
          <w:rFonts w:cs="Calibri"/>
          <w:spacing w:val="-2"/>
        </w:rPr>
        <w:t xml:space="preserve"> </w:t>
      </w:r>
      <w:r w:rsidR="00C100A5">
        <w:rPr>
          <w:rFonts w:cs="Calibri"/>
          <w:spacing w:val="-2"/>
        </w:rPr>
        <w:t>Additionally, training opportunities were provided to all staff for courses offered at OTI and the Rutgers Atlantic Training Center</w:t>
      </w:r>
      <w:r w:rsidR="003B599D">
        <w:rPr>
          <w:rFonts w:cs="Calibri"/>
          <w:spacing w:val="-2"/>
        </w:rPr>
        <w:t xml:space="preserve"> (NJ PEOSH SOAR, FY 2024)</w:t>
      </w:r>
      <w:r w:rsidR="008D4041">
        <w:rPr>
          <w:rFonts w:cs="Calibri"/>
          <w:spacing w:val="-2"/>
        </w:rPr>
        <w:t>.</w:t>
      </w:r>
    </w:p>
    <w:p w14:paraId="44E400EA" w14:textId="77777777" w:rsidR="00413334" w:rsidRPr="00130713" w:rsidRDefault="00413334" w:rsidP="008D4041"/>
    <w:bookmarkEnd w:id="10"/>
    <w:p w14:paraId="6C54D5B0" w14:textId="77777777" w:rsidR="00587AB9" w:rsidRDefault="00587AB9" w:rsidP="001C14F3">
      <w:pPr>
        <w:widowControl/>
        <w:autoSpaceDE/>
        <w:autoSpaceDN/>
        <w:adjustRightInd/>
        <w:contextualSpacing/>
        <w:rPr>
          <w:rFonts w:cs="Calibri"/>
          <w:b/>
        </w:rPr>
      </w:pPr>
    </w:p>
    <w:p w14:paraId="68FBAFD2" w14:textId="1E52DF7F" w:rsidR="00781312" w:rsidRPr="001C1E47" w:rsidRDefault="00781312" w:rsidP="001C14F3">
      <w:pPr>
        <w:widowControl/>
        <w:autoSpaceDE/>
        <w:autoSpaceDN/>
        <w:adjustRightInd/>
        <w:contextualSpacing/>
        <w:rPr>
          <w:rFonts w:cs="Calibri"/>
          <w:b/>
        </w:rPr>
      </w:pPr>
      <w:r w:rsidRPr="001C1E47">
        <w:rPr>
          <w:rFonts w:cs="Calibri"/>
          <w:b/>
        </w:rPr>
        <w:lastRenderedPageBreak/>
        <w:t>New Issues</w:t>
      </w:r>
    </w:p>
    <w:p w14:paraId="40A124B3" w14:textId="7A1F9F99" w:rsidR="00CD28AC" w:rsidRPr="00C20B1A" w:rsidRDefault="00CD28AC" w:rsidP="00783189">
      <w:pPr>
        <w:widowControl/>
        <w:autoSpaceDE/>
        <w:autoSpaceDN/>
        <w:adjustRightInd/>
        <w:rPr>
          <w:rFonts w:cs="Calibri"/>
          <w:iCs/>
        </w:rPr>
      </w:pPr>
      <w:r w:rsidRPr="00C20B1A">
        <w:rPr>
          <w:rFonts w:cs="Calibri"/>
          <w:iCs/>
        </w:rPr>
        <w:t>None</w:t>
      </w:r>
      <w:r w:rsidR="00EF3651">
        <w:rPr>
          <w:rFonts w:cs="Calibri"/>
          <w:iCs/>
        </w:rPr>
        <w:t>.</w:t>
      </w:r>
    </w:p>
    <w:p w14:paraId="5B754335" w14:textId="77777777" w:rsidR="00CD28AC" w:rsidRDefault="00CD28AC" w:rsidP="00783189">
      <w:pPr>
        <w:widowControl/>
        <w:autoSpaceDE/>
        <w:autoSpaceDN/>
        <w:adjustRightInd/>
        <w:rPr>
          <w:rFonts w:cs="Calibri"/>
          <w:b/>
          <w:bCs/>
          <w:iCs/>
        </w:rPr>
      </w:pPr>
    </w:p>
    <w:p w14:paraId="7B0A2D6C" w14:textId="78FD0918" w:rsidR="003E7D1B" w:rsidRDefault="000A4B03" w:rsidP="00CB11F0">
      <w:pPr>
        <w:widowControl/>
        <w:autoSpaceDE/>
        <w:autoSpaceDN/>
        <w:adjustRightInd/>
        <w:rPr>
          <w:rFonts w:cs="Calibri"/>
          <w:iCs/>
        </w:rPr>
      </w:pPr>
      <w:r w:rsidRPr="00587AB9">
        <w:rPr>
          <w:rFonts w:cs="Calibri"/>
          <w:iCs/>
        </w:rPr>
        <w:t xml:space="preserve"> </w:t>
      </w:r>
    </w:p>
    <w:p w14:paraId="0A29FCDE" w14:textId="40051B71" w:rsidR="00054900" w:rsidRPr="00476C08" w:rsidRDefault="00054900" w:rsidP="00476C08">
      <w:pPr>
        <w:pStyle w:val="Heading2"/>
      </w:pPr>
      <w:bookmarkStart w:id="11" w:name="_Toc118900172"/>
      <w:bookmarkStart w:id="12" w:name="_Toc118905011"/>
      <w:bookmarkStart w:id="13" w:name="_Toc119418665"/>
      <w:r w:rsidRPr="00476C08">
        <w:t xml:space="preserve">Assessment of State Plan </w:t>
      </w:r>
      <w:r w:rsidR="001E2FBB" w:rsidRPr="00476C08">
        <w:t xml:space="preserve">Progress and </w:t>
      </w:r>
      <w:r w:rsidRPr="00476C08">
        <w:t>Performance</w:t>
      </w:r>
      <w:bookmarkEnd w:id="11"/>
      <w:bookmarkEnd w:id="12"/>
      <w:bookmarkEnd w:id="13"/>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4" w:name="_Toc118900173"/>
      <w:bookmarkStart w:id="15" w:name="_Toc118905012"/>
      <w:bookmarkStart w:id="16" w:name="_Toc119418666"/>
      <w:r w:rsidRPr="00C53328">
        <w:t>Data and Methodology</w:t>
      </w:r>
      <w:bookmarkEnd w:id="14"/>
      <w:bookmarkEnd w:id="15"/>
      <w:bookmarkEnd w:id="16"/>
    </w:p>
    <w:p w14:paraId="2FBB490D" w14:textId="77777777" w:rsidR="000A134A" w:rsidRPr="001C1E47" w:rsidRDefault="000A134A" w:rsidP="00783189">
      <w:pPr>
        <w:widowControl/>
        <w:autoSpaceDE/>
        <w:autoSpaceDN/>
        <w:adjustRightInd/>
        <w:ind w:left="270"/>
        <w:rPr>
          <w:rFonts w:cs="Calibri"/>
          <w:bCs/>
          <w:i/>
        </w:rPr>
      </w:pPr>
    </w:p>
    <w:p w14:paraId="3EEE3A69" w14:textId="50097229" w:rsidR="005504BC" w:rsidRPr="001C1E47" w:rsidRDefault="000A134A" w:rsidP="00783189">
      <w:pPr>
        <w:widowControl/>
        <w:autoSpaceDE/>
        <w:autoSpaceDN/>
        <w:adjustRightInd/>
        <w:rPr>
          <w:rFonts w:cs="Calibri"/>
          <w:bCs/>
        </w:rPr>
      </w:pPr>
      <w:r w:rsidRPr="001C1E47">
        <w:rPr>
          <w:rFonts w:cs="Calibri"/>
          <w:bCs/>
        </w:rPr>
        <w:t xml:space="preserve">OSHA has established a two-year cycle for the FAME process. </w:t>
      </w:r>
      <w:r w:rsidR="001767C0">
        <w:rPr>
          <w:rFonts w:cs="Calibri"/>
          <w:bCs/>
        </w:rPr>
        <w:t xml:space="preserve"> </w:t>
      </w:r>
      <w:r w:rsidRPr="001C1E47">
        <w:rPr>
          <w:rFonts w:cs="Calibri"/>
          <w:bCs/>
        </w:rPr>
        <w:t>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1767C0">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280303C4" w:rsidR="00FF4AE2" w:rsidRPr="001C14F3"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16B43239" w14:textId="339697EF" w:rsidR="001C14F3" w:rsidRPr="001C1E47" w:rsidRDefault="001C14F3" w:rsidP="008626CE">
      <w:pPr>
        <w:pStyle w:val="ListParagraph"/>
        <w:numPr>
          <w:ilvl w:val="0"/>
          <w:numId w:val="7"/>
        </w:numPr>
        <w:spacing w:after="0" w:line="240" w:lineRule="auto"/>
        <w:rPr>
          <w:bCs/>
        </w:rPr>
      </w:pPr>
      <w:r>
        <w:rPr>
          <w:bCs/>
          <w:sz w:val="24"/>
          <w:szCs w:val="24"/>
        </w:rPr>
        <w:t>OSHA Information System (OIS)</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5DCBF017" w14:textId="6C744A4E" w:rsidR="00783189" w:rsidRPr="004B6E9F" w:rsidRDefault="00FF4AE2" w:rsidP="007A71AC">
      <w:pPr>
        <w:pStyle w:val="ListParagraph"/>
        <w:numPr>
          <w:ilvl w:val="0"/>
          <w:numId w:val="7"/>
        </w:numPr>
        <w:spacing w:after="0" w:line="240" w:lineRule="auto"/>
        <w:rPr>
          <w:bCs/>
        </w:rPr>
      </w:pPr>
      <w:r w:rsidRPr="001C1E47">
        <w:rPr>
          <w:bCs/>
          <w:sz w:val="24"/>
          <w:szCs w:val="24"/>
        </w:rPr>
        <w:t>Quarterly monitoring meetings between OSHA and the State Plan</w:t>
      </w:r>
    </w:p>
    <w:p w14:paraId="4FDCE00E" w14:textId="77777777" w:rsidR="004B6E9F" w:rsidRPr="0079086C" w:rsidRDefault="004B6E9F" w:rsidP="0079086C">
      <w:pPr>
        <w:ind w:left="360"/>
        <w:rPr>
          <w:bCs/>
        </w:rPr>
      </w:pPr>
    </w:p>
    <w:p w14:paraId="5E67DDEC" w14:textId="77777777" w:rsidR="000A134A" w:rsidRPr="001C1E47" w:rsidRDefault="000A134A" w:rsidP="0061362E">
      <w:pPr>
        <w:pStyle w:val="Heading3"/>
      </w:pPr>
      <w:bookmarkStart w:id="17" w:name="_Toc118900174"/>
      <w:bookmarkStart w:id="18" w:name="_Toc118905013"/>
      <w:bookmarkStart w:id="19" w:name="_Toc119418667"/>
      <w:r w:rsidRPr="001C1E47">
        <w:t>Findings and Observations</w:t>
      </w:r>
      <w:bookmarkEnd w:id="17"/>
      <w:bookmarkEnd w:id="18"/>
      <w:bookmarkEnd w:id="19"/>
    </w:p>
    <w:p w14:paraId="4BD07E3F" w14:textId="77777777" w:rsidR="008220A1" w:rsidRDefault="008220A1" w:rsidP="00E44D46">
      <w:pPr>
        <w:pStyle w:val="Heading4"/>
      </w:pPr>
      <w:bookmarkStart w:id="20" w:name="_Toc118900175"/>
      <w:bookmarkStart w:id="21" w:name="_Toc118905014"/>
    </w:p>
    <w:p w14:paraId="2789CCA0" w14:textId="040B97F0" w:rsidR="00E71FB7" w:rsidRPr="001C1E47" w:rsidRDefault="00E71FB7" w:rsidP="00E44D46">
      <w:pPr>
        <w:pStyle w:val="Heading4"/>
        <w:rPr>
          <w:b w:val="0"/>
          <w:highlight w:val="yellow"/>
        </w:rPr>
      </w:pPr>
      <w:r w:rsidRPr="001C1E47">
        <w:t>Findings</w:t>
      </w:r>
      <w:r w:rsidR="00443054" w:rsidRPr="001C1E47">
        <w:t xml:space="preserve"> (Status of Previous and New Items)</w:t>
      </w:r>
      <w:bookmarkEnd w:id="20"/>
      <w:bookmarkEnd w:id="21"/>
    </w:p>
    <w:p w14:paraId="6C7BE9F8" w14:textId="77777777" w:rsidR="00E71FB7" w:rsidRPr="001C1E47" w:rsidRDefault="00E71FB7" w:rsidP="00783189">
      <w:pPr>
        <w:widowControl/>
        <w:autoSpaceDE/>
        <w:autoSpaceDN/>
        <w:adjustRightInd/>
        <w:rPr>
          <w:rFonts w:cs="Calibri"/>
          <w:highlight w:val="yellow"/>
          <w:u w:val="single"/>
        </w:rPr>
      </w:pPr>
    </w:p>
    <w:p w14:paraId="0104C094" w14:textId="34315765" w:rsidR="008220A1" w:rsidRDefault="00175BD1" w:rsidP="008220A1">
      <w:pPr>
        <w:kinsoku w:val="0"/>
        <w:overflowPunct w:val="0"/>
        <w:ind w:right="281"/>
        <w:rPr>
          <w:rFonts w:cs="Calibri"/>
        </w:rPr>
      </w:pPr>
      <w:r>
        <w:rPr>
          <w:rFonts w:cs="Calibri"/>
        </w:rPr>
        <w:t xml:space="preserve">NJ PEOSH </w:t>
      </w:r>
      <w:r w:rsidR="008220A1" w:rsidRPr="008220A1">
        <w:rPr>
          <w:rFonts w:cs="Calibri"/>
        </w:rPr>
        <w:t xml:space="preserve">made progress to address the previous </w:t>
      </w:r>
      <w:r w:rsidR="0079086C">
        <w:rPr>
          <w:rFonts w:cs="Calibri"/>
        </w:rPr>
        <w:t xml:space="preserve">eight </w:t>
      </w:r>
      <w:r w:rsidR="008220A1" w:rsidRPr="008220A1">
        <w:rPr>
          <w:rFonts w:cs="Calibri"/>
        </w:rPr>
        <w:t xml:space="preserve">findings and </w:t>
      </w:r>
      <w:r w:rsidR="0079086C">
        <w:rPr>
          <w:rFonts w:cs="Calibri"/>
        </w:rPr>
        <w:t>nine</w:t>
      </w:r>
      <w:r w:rsidR="008220A1" w:rsidRPr="008220A1">
        <w:rPr>
          <w:rFonts w:cs="Calibri"/>
        </w:rPr>
        <w:t xml:space="preserve"> observations from the FY 202</w:t>
      </w:r>
      <w:r w:rsidR="0079086C">
        <w:rPr>
          <w:rFonts w:cs="Calibri"/>
        </w:rPr>
        <w:t>3</w:t>
      </w:r>
      <w:r w:rsidR="008220A1" w:rsidRPr="008220A1">
        <w:rPr>
          <w:rFonts w:cs="Calibri"/>
        </w:rPr>
        <w:t xml:space="preserve"> Comprehensive FAME Report</w:t>
      </w:r>
      <w:r w:rsidR="00356C45">
        <w:rPr>
          <w:rFonts w:cs="Calibri"/>
        </w:rPr>
        <w:t xml:space="preserve">.  </w:t>
      </w:r>
      <w:r w:rsidR="008220A1" w:rsidRPr="008220A1">
        <w:rPr>
          <w:rFonts w:cs="Calibri"/>
        </w:rPr>
        <w:t xml:space="preserve">This </w:t>
      </w:r>
      <w:r w:rsidR="00BF7999">
        <w:rPr>
          <w:rFonts w:cs="Calibri"/>
        </w:rPr>
        <w:t>F</w:t>
      </w:r>
      <w:r w:rsidR="008220A1" w:rsidRPr="008220A1">
        <w:rPr>
          <w:rFonts w:cs="Calibri"/>
        </w:rPr>
        <w:t xml:space="preserve">ollow-up FAME </w:t>
      </w:r>
      <w:r w:rsidR="00BF7999">
        <w:rPr>
          <w:rFonts w:cs="Calibri"/>
        </w:rPr>
        <w:t>R</w:t>
      </w:r>
      <w:r w:rsidR="008220A1" w:rsidRPr="008220A1">
        <w:rPr>
          <w:rFonts w:cs="Calibri"/>
        </w:rPr>
        <w:t xml:space="preserve">eport contains </w:t>
      </w:r>
      <w:r w:rsidR="00BF7999">
        <w:rPr>
          <w:rFonts w:cs="Calibri"/>
        </w:rPr>
        <w:t>10</w:t>
      </w:r>
      <w:r w:rsidR="008220A1" w:rsidRPr="008220A1">
        <w:rPr>
          <w:rFonts w:cs="Calibri"/>
        </w:rPr>
        <w:t xml:space="preserve"> findings (</w:t>
      </w:r>
      <w:r w:rsidR="00511296">
        <w:rPr>
          <w:rFonts w:cs="Calibri"/>
        </w:rPr>
        <w:t xml:space="preserve">eight </w:t>
      </w:r>
      <w:r w:rsidR="008220A1" w:rsidRPr="008220A1">
        <w:rPr>
          <w:rFonts w:cs="Calibri"/>
        </w:rPr>
        <w:t>continued</w:t>
      </w:r>
      <w:r w:rsidR="00511296">
        <w:rPr>
          <w:rFonts w:cs="Calibri"/>
        </w:rPr>
        <w:t xml:space="preserve"> and </w:t>
      </w:r>
      <w:r w:rsidR="00130713">
        <w:rPr>
          <w:rFonts w:cs="Calibri"/>
        </w:rPr>
        <w:t>two</w:t>
      </w:r>
      <w:r w:rsidR="00511296">
        <w:rPr>
          <w:rFonts w:cs="Calibri"/>
        </w:rPr>
        <w:t xml:space="preserve"> new</w:t>
      </w:r>
      <w:r w:rsidR="008220A1" w:rsidRPr="008220A1">
        <w:rPr>
          <w:rFonts w:cs="Calibri"/>
        </w:rPr>
        <w:t xml:space="preserve">) and </w:t>
      </w:r>
      <w:r w:rsidR="00BF7999">
        <w:rPr>
          <w:rFonts w:cs="Calibri"/>
        </w:rPr>
        <w:t>11</w:t>
      </w:r>
      <w:r w:rsidR="008220A1" w:rsidRPr="008220A1">
        <w:rPr>
          <w:rFonts w:cs="Calibri"/>
        </w:rPr>
        <w:t xml:space="preserve"> observations (</w:t>
      </w:r>
      <w:r w:rsidR="007A2D54">
        <w:rPr>
          <w:rFonts w:cs="Calibri"/>
        </w:rPr>
        <w:t>nine</w:t>
      </w:r>
      <w:r w:rsidR="008220A1" w:rsidRPr="008220A1">
        <w:rPr>
          <w:rFonts w:cs="Calibri"/>
        </w:rPr>
        <w:t xml:space="preserve"> continued and </w:t>
      </w:r>
      <w:r w:rsidR="007A2D54">
        <w:rPr>
          <w:rFonts w:cs="Calibri"/>
        </w:rPr>
        <w:t xml:space="preserve">two </w:t>
      </w:r>
      <w:r w:rsidR="008220A1" w:rsidRPr="008220A1">
        <w:rPr>
          <w:rFonts w:cs="Calibri"/>
        </w:rPr>
        <w:t>new).</w:t>
      </w:r>
      <w:r w:rsidR="008D70F5">
        <w:rPr>
          <w:rFonts w:cs="Calibri"/>
        </w:rPr>
        <w:t xml:space="preserve">  </w:t>
      </w:r>
      <w:r w:rsidR="004B7EB9" w:rsidRPr="008220A1">
        <w:rPr>
          <w:rFonts w:cs="Calibri"/>
        </w:rPr>
        <w:t xml:space="preserve">The </w:t>
      </w:r>
      <w:r w:rsidR="004B7EB9">
        <w:rPr>
          <w:rFonts w:cs="Calibri"/>
        </w:rPr>
        <w:t xml:space="preserve">New Jersey </w:t>
      </w:r>
      <w:r w:rsidR="004B7EB9" w:rsidRPr="008220A1">
        <w:rPr>
          <w:rFonts w:cs="Calibri"/>
        </w:rPr>
        <w:t>State Plan provided</w:t>
      </w:r>
      <w:r w:rsidR="004B7EB9" w:rsidRPr="008220A1">
        <w:rPr>
          <w:rFonts w:cs="Calibri"/>
          <w:spacing w:val="-1"/>
        </w:rPr>
        <w:t xml:space="preserve"> </w:t>
      </w:r>
      <w:r w:rsidR="004B7EB9" w:rsidRPr="008220A1">
        <w:rPr>
          <w:rFonts w:cs="Calibri"/>
        </w:rPr>
        <w:t>a</w:t>
      </w:r>
      <w:r w:rsidR="004B7EB9" w:rsidRPr="008220A1">
        <w:rPr>
          <w:rFonts w:cs="Calibri"/>
          <w:spacing w:val="-1"/>
        </w:rPr>
        <w:t xml:space="preserve"> </w:t>
      </w:r>
      <w:r w:rsidR="004B7EB9" w:rsidRPr="008220A1">
        <w:rPr>
          <w:rFonts w:cs="Calibri"/>
        </w:rPr>
        <w:t>corrective action</w:t>
      </w:r>
      <w:r w:rsidR="004B7EB9" w:rsidRPr="008220A1">
        <w:rPr>
          <w:rFonts w:cs="Calibri"/>
          <w:spacing w:val="-1"/>
        </w:rPr>
        <w:t xml:space="preserve"> </w:t>
      </w:r>
      <w:r w:rsidR="004B7EB9" w:rsidRPr="008220A1">
        <w:rPr>
          <w:rFonts w:cs="Calibri"/>
        </w:rPr>
        <w:t>plan</w:t>
      </w:r>
      <w:r w:rsidR="004B7EB9" w:rsidRPr="008220A1">
        <w:rPr>
          <w:rFonts w:cs="Calibri"/>
          <w:spacing w:val="-1"/>
        </w:rPr>
        <w:t xml:space="preserve"> </w:t>
      </w:r>
      <w:r w:rsidR="00BF7999">
        <w:rPr>
          <w:rFonts w:cs="Calibri"/>
          <w:spacing w:val="-1"/>
        </w:rPr>
        <w:t xml:space="preserve">(CAP) </w:t>
      </w:r>
      <w:r w:rsidR="004B7EB9" w:rsidRPr="008220A1">
        <w:rPr>
          <w:rFonts w:cs="Calibri"/>
        </w:rPr>
        <w:t>to</w:t>
      </w:r>
      <w:r w:rsidR="004B7EB9" w:rsidRPr="008220A1">
        <w:rPr>
          <w:rFonts w:cs="Calibri"/>
          <w:spacing w:val="-1"/>
        </w:rPr>
        <w:t xml:space="preserve"> </w:t>
      </w:r>
      <w:r w:rsidR="004B7EB9" w:rsidRPr="008220A1">
        <w:rPr>
          <w:rFonts w:cs="Calibri"/>
        </w:rPr>
        <w:t xml:space="preserve">OSHA </w:t>
      </w:r>
      <w:r w:rsidR="00CA2CB6">
        <w:rPr>
          <w:rFonts w:cs="Calibri"/>
        </w:rPr>
        <w:t>showing that</w:t>
      </w:r>
      <w:r w:rsidR="004B7EB9" w:rsidRPr="008220A1">
        <w:rPr>
          <w:rFonts w:cs="Calibri"/>
          <w:spacing w:val="-1"/>
        </w:rPr>
        <w:t xml:space="preserve"> </w:t>
      </w:r>
      <w:r w:rsidR="004B7EB9" w:rsidRPr="008220A1">
        <w:rPr>
          <w:rFonts w:cs="Calibri"/>
        </w:rPr>
        <w:t>all</w:t>
      </w:r>
      <w:r w:rsidR="004B7EB9" w:rsidRPr="008220A1">
        <w:rPr>
          <w:rFonts w:cs="Calibri"/>
          <w:spacing w:val="-1"/>
        </w:rPr>
        <w:t xml:space="preserve"> </w:t>
      </w:r>
      <w:r w:rsidR="004B7EB9" w:rsidRPr="008220A1">
        <w:rPr>
          <w:rFonts w:cs="Calibri"/>
        </w:rPr>
        <w:t>corrective actions</w:t>
      </w:r>
      <w:r w:rsidR="004B7EB9" w:rsidRPr="008220A1">
        <w:rPr>
          <w:rFonts w:cs="Calibri"/>
          <w:spacing w:val="-1"/>
        </w:rPr>
        <w:t xml:space="preserve"> </w:t>
      </w:r>
      <w:r w:rsidR="004B7EB9">
        <w:rPr>
          <w:rFonts w:cs="Calibri"/>
        </w:rPr>
        <w:t>were</w:t>
      </w:r>
      <w:r w:rsidR="004B7EB9" w:rsidRPr="008220A1">
        <w:rPr>
          <w:rFonts w:cs="Calibri"/>
          <w:spacing w:val="-1"/>
        </w:rPr>
        <w:t xml:space="preserve"> </w:t>
      </w:r>
      <w:r w:rsidR="004B7EB9" w:rsidRPr="008220A1">
        <w:rPr>
          <w:rFonts w:cs="Calibri"/>
        </w:rPr>
        <w:t>completed.</w:t>
      </w:r>
      <w:r w:rsidR="004B7EB9">
        <w:rPr>
          <w:rFonts w:cs="Calibri"/>
        </w:rPr>
        <w:t xml:space="preserve">  However, </w:t>
      </w:r>
      <w:r w:rsidR="00BF7999">
        <w:rPr>
          <w:rFonts w:cs="Calibri"/>
        </w:rPr>
        <w:t xml:space="preserve">OSHA needs to conduct an on-site case file review during next year’s comprehensive FAME cycle </w:t>
      </w:r>
      <w:r w:rsidR="008220A1" w:rsidRPr="008220A1">
        <w:rPr>
          <w:rFonts w:cs="Calibri"/>
        </w:rPr>
        <w:t xml:space="preserve">to verify </w:t>
      </w:r>
      <w:r w:rsidR="00356C45">
        <w:rPr>
          <w:rFonts w:cs="Calibri"/>
        </w:rPr>
        <w:t xml:space="preserve">that </w:t>
      </w:r>
      <w:r w:rsidR="00BF7999">
        <w:rPr>
          <w:rFonts w:cs="Calibri"/>
        </w:rPr>
        <w:t xml:space="preserve">the </w:t>
      </w:r>
      <w:r w:rsidR="008220A1" w:rsidRPr="008220A1">
        <w:rPr>
          <w:rFonts w:cs="Calibri"/>
        </w:rPr>
        <w:t>correcti</w:t>
      </w:r>
      <w:r w:rsidR="003309EC">
        <w:rPr>
          <w:rFonts w:cs="Calibri"/>
        </w:rPr>
        <w:t>ve actions were taken</w:t>
      </w:r>
      <w:r w:rsidR="00BF7999">
        <w:rPr>
          <w:rFonts w:cs="Calibri"/>
        </w:rPr>
        <w:t>, before the findings can be deemed as completed</w:t>
      </w:r>
      <w:r w:rsidR="008220A1" w:rsidRPr="008220A1">
        <w:rPr>
          <w:rFonts w:cs="Calibri"/>
        </w:rPr>
        <w:t>.</w:t>
      </w:r>
      <w:r w:rsidR="008D70F5">
        <w:rPr>
          <w:rFonts w:cs="Calibri"/>
        </w:rPr>
        <w:t xml:space="preserve"> </w:t>
      </w:r>
      <w:r w:rsidR="001767C0">
        <w:rPr>
          <w:rFonts w:cs="Calibri"/>
        </w:rPr>
        <w:t xml:space="preserve"> </w:t>
      </w:r>
      <w:r w:rsidR="008220A1" w:rsidRPr="008220A1">
        <w:rPr>
          <w:rFonts w:cs="Calibri"/>
        </w:rPr>
        <w:t xml:space="preserve">Appendix A describes the new and continued findings and recommendations. </w:t>
      </w:r>
      <w:r w:rsidR="008D70F5">
        <w:rPr>
          <w:rFonts w:cs="Calibri"/>
        </w:rPr>
        <w:t xml:space="preserve"> </w:t>
      </w:r>
      <w:r w:rsidR="008220A1" w:rsidRPr="008220A1">
        <w:rPr>
          <w:rFonts w:cs="Calibri"/>
        </w:rPr>
        <w:t>Appendix</w:t>
      </w:r>
      <w:r w:rsidR="008220A1" w:rsidRPr="008220A1">
        <w:rPr>
          <w:rFonts w:cs="Calibri"/>
          <w:spacing w:val="-2"/>
        </w:rPr>
        <w:t xml:space="preserve"> </w:t>
      </w:r>
      <w:r w:rsidR="008220A1" w:rsidRPr="008220A1">
        <w:rPr>
          <w:rFonts w:cs="Calibri"/>
        </w:rPr>
        <w:t>B</w:t>
      </w:r>
      <w:r w:rsidR="008220A1" w:rsidRPr="008220A1">
        <w:rPr>
          <w:rFonts w:cs="Calibri"/>
          <w:spacing w:val="-4"/>
        </w:rPr>
        <w:t xml:space="preserve"> </w:t>
      </w:r>
      <w:r w:rsidR="008220A1" w:rsidRPr="008220A1">
        <w:rPr>
          <w:rFonts w:cs="Calibri"/>
        </w:rPr>
        <w:t>describes</w:t>
      </w:r>
      <w:r w:rsidR="008220A1" w:rsidRPr="008220A1">
        <w:rPr>
          <w:rFonts w:cs="Calibri"/>
          <w:spacing w:val="-4"/>
        </w:rPr>
        <w:t xml:space="preserve"> </w:t>
      </w:r>
      <w:r w:rsidR="008220A1" w:rsidRPr="008220A1">
        <w:rPr>
          <w:rFonts w:cs="Calibri"/>
        </w:rPr>
        <w:t>observations</w:t>
      </w:r>
      <w:r w:rsidR="008220A1" w:rsidRPr="008220A1">
        <w:rPr>
          <w:rFonts w:cs="Calibri"/>
          <w:spacing w:val="-3"/>
        </w:rPr>
        <w:t xml:space="preserve"> </w:t>
      </w:r>
      <w:r w:rsidR="008220A1" w:rsidRPr="008220A1">
        <w:rPr>
          <w:rFonts w:cs="Calibri"/>
        </w:rPr>
        <w:t>subject</w:t>
      </w:r>
      <w:r w:rsidR="008220A1" w:rsidRPr="008220A1">
        <w:rPr>
          <w:rFonts w:cs="Calibri"/>
          <w:spacing w:val="-3"/>
        </w:rPr>
        <w:t xml:space="preserve"> </w:t>
      </w:r>
      <w:r w:rsidR="008220A1" w:rsidRPr="008220A1">
        <w:rPr>
          <w:rFonts w:cs="Calibri"/>
        </w:rPr>
        <w:t>to</w:t>
      </w:r>
      <w:r w:rsidR="008220A1" w:rsidRPr="008220A1">
        <w:rPr>
          <w:rFonts w:cs="Calibri"/>
          <w:spacing w:val="-2"/>
        </w:rPr>
        <w:t xml:space="preserve"> </w:t>
      </w:r>
      <w:r w:rsidR="008220A1" w:rsidRPr="008220A1">
        <w:rPr>
          <w:rFonts w:cs="Calibri"/>
        </w:rPr>
        <w:t>continued</w:t>
      </w:r>
      <w:r w:rsidR="008220A1" w:rsidRPr="008220A1">
        <w:rPr>
          <w:rFonts w:cs="Calibri"/>
          <w:spacing w:val="-3"/>
        </w:rPr>
        <w:t xml:space="preserve"> </w:t>
      </w:r>
      <w:r w:rsidR="008220A1" w:rsidRPr="008220A1">
        <w:rPr>
          <w:rFonts w:cs="Calibri"/>
        </w:rPr>
        <w:t>monitoring</w:t>
      </w:r>
      <w:r w:rsidR="008220A1" w:rsidRPr="008220A1">
        <w:rPr>
          <w:rFonts w:cs="Calibri"/>
          <w:spacing w:val="-2"/>
        </w:rPr>
        <w:t xml:space="preserve"> </w:t>
      </w:r>
      <w:r w:rsidR="008220A1" w:rsidRPr="008220A1">
        <w:rPr>
          <w:rFonts w:cs="Calibri"/>
        </w:rPr>
        <w:t>and</w:t>
      </w:r>
      <w:r w:rsidR="008220A1" w:rsidRPr="008220A1">
        <w:rPr>
          <w:rFonts w:cs="Calibri"/>
          <w:spacing w:val="-4"/>
        </w:rPr>
        <w:t xml:space="preserve"> </w:t>
      </w:r>
      <w:r w:rsidR="008220A1" w:rsidRPr="008220A1">
        <w:rPr>
          <w:rFonts w:cs="Calibri"/>
        </w:rPr>
        <w:t>the</w:t>
      </w:r>
      <w:r w:rsidR="008220A1" w:rsidRPr="008220A1">
        <w:rPr>
          <w:rFonts w:cs="Calibri"/>
          <w:spacing w:val="-2"/>
        </w:rPr>
        <w:t xml:space="preserve"> </w:t>
      </w:r>
      <w:r w:rsidR="008220A1" w:rsidRPr="008220A1">
        <w:rPr>
          <w:rFonts w:cs="Calibri"/>
        </w:rPr>
        <w:t>related</w:t>
      </w:r>
      <w:r w:rsidR="008220A1" w:rsidRPr="008220A1">
        <w:rPr>
          <w:rFonts w:cs="Calibri"/>
          <w:spacing w:val="-3"/>
        </w:rPr>
        <w:t xml:space="preserve"> </w:t>
      </w:r>
      <w:r w:rsidR="008220A1" w:rsidRPr="008220A1">
        <w:rPr>
          <w:rFonts w:cs="Calibri"/>
        </w:rPr>
        <w:t>federal</w:t>
      </w:r>
      <w:r w:rsidR="008220A1" w:rsidRPr="008220A1">
        <w:rPr>
          <w:rFonts w:cs="Calibri"/>
          <w:spacing w:val="-2"/>
        </w:rPr>
        <w:t xml:space="preserve"> </w:t>
      </w:r>
      <w:r w:rsidR="008220A1" w:rsidRPr="008220A1">
        <w:rPr>
          <w:rFonts w:cs="Calibri"/>
        </w:rPr>
        <w:t>monitoring</w:t>
      </w:r>
      <w:r w:rsidR="008220A1" w:rsidRPr="008220A1">
        <w:rPr>
          <w:rFonts w:cs="Calibri"/>
          <w:spacing w:val="-3"/>
        </w:rPr>
        <w:t xml:space="preserve"> </w:t>
      </w:r>
      <w:r w:rsidR="008220A1" w:rsidRPr="008220A1">
        <w:rPr>
          <w:rFonts w:cs="Calibri"/>
        </w:rPr>
        <w:t>plan.</w:t>
      </w:r>
      <w:r w:rsidR="008220A1">
        <w:rPr>
          <w:rFonts w:cs="Calibri"/>
          <w:spacing w:val="40"/>
        </w:rPr>
        <w:t xml:space="preserve"> </w:t>
      </w:r>
      <w:r w:rsidR="008220A1" w:rsidRPr="008220A1">
        <w:rPr>
          <w:rFonts w:cs="Calibri"/>
        </w:rPr>
        <w:t>Appendix</w:t>
      </w:r>
      <w:r w:rsidR="008220A1" w:rsidRPr="008220A1">
        <w:rPr>
          <w:rFonts w:cs="Calibri"/>
          <w:spacing w:val="-2"/>
        </w:rPr>
        <w:t xml:space="preserve"> </w:t>
      </w:r>
      <w:r w:rsidR="008220A1" w:rsidRPr="008220A1">
        <w:rPr>
          <w:rFonts w:cs="Calibri"/>
        </w:rPr>
        <w:t>C</w:t>
      </w:r>
      <w:r w:rsidR="008220A1" w:rsidRPr="008220A1">
        <w:rPr>
          <w:rFonts w:cs="Calibri"/>
          <w:spacing w:val="-4"/>
        </w:rPr>
        <w:t xml:space="preserve"> </w:t>
      </w:r>
      <w:r w:rsidR="008220A1" w:rsidRPr="008220A1">
        <w:rPr>
          <w:rFonts w:cs="Calibri"/>
        </w:rPr>
        <w:t>describes the status of each FY 202</w:t>
      </w:r>
      <w:r w:rsidR="00815552">
        <w:rPr>
          <w:rFonts w:cs="Calibri"/>
        </w:rPr>
        <w:t>3</w:t>
      </w:r>
      <w:r w:rsidR="008220A1" w:rsidRPr="008220A1">
        <w:rPr>
          <w:rFonts w:cs="Calibri"/>
        </w:rPr>
        <w:t xml:space="preserve"> finding and recommendation in detail.</w:t>
      </w:r>
    </w:p>
    <w:p w14:paraId="7EA5E8B5" w14:textId="77777777" w:rsidR="00C737CE" w:rsidRPr="008220A1" w:rsidRDefault="00C737CE" w:rsidP="008220A1">
      <w:pPr>
        <w:kinsoku w:val="0"/>
        <w:overflowPunct w:val="0"/>
        <w:ind w:right="281"/>
        <w:rPr>
          <w:rFonts w:cs="Calibri"/>
        </w:rPr>
      </w:pPr>
    </w:p>
    <w:p w14:paraId="1CD392F2" w14:textId="6D605593" w:rsidR="005C1BFC" w:rsidRDefault="00733D36" w:rsidP="00783189">
      <w:pPr>
        <w:widowControl/>
        <w:autoSpaceDE/>
        <w:autoSpaceDN/>
        <w:adjustRightInd/>
        <w:rPr>
          <w:rFonts w:cs="Calibri"/>
          <w:b/>
          <w:bCs/>
        </w:rPr>
      </w:pPr>
      <w:r w:rsidRPr="0061362E">
        <w:rPr>
          <w:rFonts w:cs="Calibri"/>
          <w:b/>
          <w:bCs/>
        </w:rPr>
        <w:lastRenderedPageBreak/>
        <w:t xml:space="preserve">Completed </w:t>
      </w:r>
      <w:r w:rsidR="007C0A36" w:rsidRPr="0061362E">
        <w:rPr>
          <w:rFonts w:cs="Calibri"/>
          <w:b/>
          <w:bCs/>
        </w:rPr>
        <w:t>Findings</w:t>
      </w:r>
    </w:p>
    <w:p w14:paraId="38F8086E" w14:textId="3F2DE7D3" w:rsidR="008220A1" w:rsidRPr="008220A1" w:rsidRDefault="008220A1" w:rsidP="00783189">
      <w:pPr>
        <w:widowControl/>
        <w:autoSpaceDE/>
        <w:autoSpaceDN/>
        <w:adjustRightInd/>
        <w:rPr>
          <w:rFonts w:cs="Calibri"/>
        </w:rPr>
      </w:pPr>
      <w:r>
        <w:rPr>
          <w:rFonts w:cs="Calibri"/>
        </w:rPr>
        <w:t>None</w:t>
      </w:r>
    </w:p>
    <w:p w14:paraId="3A69ECEC" w14:textId="77777777" w:rsidR="0093395B" w:rsidRDefault="0093395B" w:rsidP="00783189">
      <w:pPr>
        <w:widowControl/>
        <w:autoSpaceDE/>
        <w:autoSpaceDN/>
        <w:adjustRightInd/>
        <w:rPr>
          <w:rFonts w:cs="Calibri"/>
          <w:b/>
          <w:bCs/>
        </w:rPr>
      </w:pPr>
    </w:p>
    <w:p w14:paraId="66699C18" w14:textId="20320802"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4B291ED8" w:rsidR="00A33959" w:rsidRDefault="00A33959" w:rsidP="00783189">
      <w:pPr>
        <w:widowControl/>
        <w:tabs>
          <w:tab w:val="center" w:pos="270"/>
          <w:tab w:val="left" w:pos="360"/>
        </w:tabs>
        <w:autoSpaceDE/>
        <w:autoSpaceDN/>
        <w:adjustRightInd/>
        <w:rPr>
          <w:rFonts w:eastAsia="Calibri" w:cs="Calibri"/>
          <w:b/>
        </w:rPr>
      </w:pPr>
    </w:p>
    <w:p w14:paraId="4FF6AD27" w14:textId="739A8DF3" w:rsidR="00805212" w:rsidRPr="00805212" w:rsidRDefault="003C77CA" w:rsidP="00805212">
      <w:pPr>
        <w:widowControl/>
        <w:tabs>
          <w:tab w:val="center" w:pos="270"/>
          <w:tab w:val="left" w:pos="360"/>
        </w:tabs>
        <w:autoSpaceDE/>
        <w:autoSpaceDN/>
        <w:adjustRightInd/>
        <w:rPr>
          <w:rFonts w:eastAsia="Calibri" w:cs="Calibri"/>
          <w:b/>
          <w:i/>
          <w:iCs/>
        </w:rPr>
      </w:pPr>
      <w:r w:rsidRPr="003C77CA">
        <w:rPr>
          <w:rFonts w:eastAsia="Calibri" w:cs="Calibri"/>
          <w:b/>
        </w:rPr>
        <w:t>Finding FY 202</w:t>
      </w:r>
      <w:r>
        <w:rPr>
          <w:rFonts w:eastAsia="Calibri" w:cs="Calibri"/>
          <w:b/>
        </w:rPr>
        <w:t>4</w:t>
      </w:r>
      <w:r w:rsidRPr="003C77CA">
        <w:rPr>
          <w:rFonts w:eastAsia="Calibri" w:cs="Calibri"/>
          <w:b/>
        </w:rPr>
        <w:t>-01 (</w:t>
      </w:r>
      <w:r>
        <w:rPr>
          <w:rFonts w:eastAsia="Calibri" w:cs="Calibri"/>
          <w:b/>
        </w:rPr>
        <w:t xml:space="preserve">FY 2023-01, </w:t>
      </w:r>
      <w:r w:rsidRPr="003C77CA">
        <w:rPr>
          <w:rFonts w:eastAsia="Calibri" w:cs="Calibri"/>
          <w:b/>
        </w:rPr>
        <w:t>FY 2022-02, FY 2021-01, FY 2020-OB-01, FY 2019-OB-02, FY 2018-OB-01, FY 2017-OB-01):</w:t>
      </w:r>
      <w:r>
        <w:rPr>
          <w:rFonts w:eastAsia="Calibri" w:cs="Calibri"/>
          <w:b/>
        </w:rPr>
        <w:t xml:space="preserve"> </w:t>
      </w:r>
      <w:r w:rsidR="00805212" w:rsidRPr="00805212">
        <w:rPr>
          <w:i/>
          <w:iCs/>
        </w:rPr>
        <w:t xml:space="preserve"> </w:t>
      </w:r>
      <w:r w:rsidR="00805212" w:rsidRPr="00AE4F3D">
        <w:rPr>
          <w:rFonts w:eastAsia="Calibri" w:cs="Calibri"/>
          <w:b/>
        </w:rPr>
        <w:t>Complainant Notification</w:t>
      </w:r>
    </w:p>
    <w:p w14:paraId="2F10D537" w14:textId="3F7476AF" w:rsidR="008220A1" w:rsidRDefault="00805212" w:rsidP="00805212">
      <w:pPr>
        <w:widowControl/>
        <w:tabs>
          <w:tab w:val="center" w:pos="270"/>
          <w:tab w:val="left" w:pos="360"/>
        </w:tabs>
        <w:autoSpaceDE/>
        <w:autoSpaceDN/>
        <w:adjustRightInd/>
        <w:rPr>
          <w:rFonts w:eastAsia="Calibri" w:cs="Calibri"/>
          <w:bCs/>
        </w:rPr>
      </w:pPr>
      <w:r>
        <w:rPr>
          <w:rFonts w:eastAsia="Calibri" w:cs="Calibri"/>
          <w:bCs/>
        </w:rPr>
        <w:t>During the FY 202</w:t>
      </w:r>
      <w:r w:rsidR="003C77CA">
        <w:rPr>
          <w:rFonts w:eastAsia="Calibri" w:cs="Calibri"/>
          <w:bCs/>
        </w:rPr>
        <w:t>3</w:t>
      </w:r>
      <w:r>
        <w:rPr>
          <w:rFonts w:eastAsia="Calibri" w:cs="Calibri"/>
          <w:bCs/>
        </w:rPr>
        <w:t xml:space="preserve"> </w:t>
      </w:r>
      <w:r w:rsidR="005419E5">
        <w:rPr>
          <w:rFonts w:eastAsia="Calibri" w:cs="Calibri"/>
          <w:bCs/>
        </w:rPr>
        <w:t xml:space="preserve">FAME </w:t>
      </w:r>
      <w:r>
        <w:rPr>
          <w:rFonts w:eastAsia="Calibri" w:cs="Calibri"/>
          <w:bCs/>
        </w:rPr>
        <w:t>case file review, t</w:t>
      </w:r>
      <w:r w:rsidRPr="00805212">
        <w:rPr>
          <w:rFonts w:eastAsia="Calibri" w:cs="Calibri"/>
          <w:bCs/>
        </w:rPr>
        <w:t>he letter to the complainant at the conclusion of the inspection documenting the results of the inspection was missing in five of 16 (31%) of the complaint files reviewed.</w:t>
      </w:r>
    </w:p>
    <w:p w14:paraId="4EC303CD" w14:textId="77777777" w:rsidR="00805212" w:rsidRPr="00805212" w:rsidRDefault="00805212" w:rsidP="00805212">
      <w:pPr>
        <w:widowControl/>
        <w:tabs>
          <w:tab w:val="center" w:pos="270"/>
          <w:tab w:val="left" w:pos="360"/>
        </w:tabs>
        <w:autoSpaceDE/>
        <w:autoSpaceDN/>
        <w:adjustRightInd/>
        <w:rPr>
          <w:rFonts w:eastAsia="Calibri" w:cs="Calibri"/>
          <w:bCs/>
          <w:i/>
          <w:iCs/>
        </w:rPr>
      </w:pPr>
    </w:p>
    <w:p w14:paraId="4BC7F4C5" w14:textId="258FCA09" w:rsidR="008220A1" w:rsidRP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Status:</w:t>
      </w:r>
      <w:r w:rsidR="00277345">
        <w:rPr>
          <w:rFonts w:eastAsia="Calibri" w:cs="Calibri"/>
          <w:b/>
        </w:rPr>
        <w:t xml:space="preserve"> </w:t>
      </w:r>
      <w:r w:rsidR="00805212" w:rsidRPr="003C77CA">
        <w:rPr>
          <w:rFonts w:eastAsia="Calibri" w:cs="Calibri"/>
          <w:bCs/>
        </w:rPr>
        <w:t>PEOSH developed and implemented a standardized checklist for supervisor</w:t>
      </w:r>
      <w:r w:rsidR="000429A3">
        <w:rPr>
          <w:rFonts w:eastAsia="Calibri" w:cs="Calibri"/>
          <w:bCs/>
        </w:rPr>
        <w:t>y</w:t>
      </w:r>
      <w:r w:rsidR="00805212" w:rsidRPr="003C77CA">
        <w:rPr>
          <w:rFonts w:eastAsia="Calibri" w:cs="Calibri"/>
          <w:bCs/>
        </w:rPr>
        <w:t xml:space="preserve"> review of safety case files. </w:t>
      </w:r>
      <w:r w:rsidR="001767C0">
        <w:rPr>
          <w:rFonts w:eastAsia="Calibri" w:cs="Calibri"/>
          <w:bCs/>
        </w:rPr>
        <w:t xml:space="preserve"> </w:t>
      </w:r>
      <w:r w:rsidR="00805212" w:rsidRPr="003C77CA">
        <w:rPr>
          <w:rFonts w:eastAsia="Calibri" w:cs="Calibri"/>
          <w:bCs/>
        </w:rPr>
        <w:t>Th</w:t>
      </w:r>
      <w:r w:rsidR="00ED6C6C">
        <w:rPr>
          <w:rFonts w:eastAsia="Calibri" w:cs="Calibri"/>
          <w:bCs/>
        </w:rPr>
        <w:t>is e</w:t>
      </w:r>
      <w:r w:rsidR="00805212" w:rsidRPr="003C77CA">
        <w:rPr>
          <w:rFonts w:eastAsia="Calibri" w:cs="Calibri"/>
          <w:bCs/>
        </w:rPr>
        <w:t xml:space="preserve">nforcement </w:t>
      </w:r>
      <w:r w:rsidR="00ED6C6C">
        <w:rPr>
          <w:rFonts w:eastAsia="Calibri" w:cs="Calibri"/>
          <w:bCs/>
        </w:rPr>
        <w:t>i</w:t>
      </w:r>
      <w:r w:rsidR="00805212" w:rsidRPr="003C77CA">
        <w:rPr>
          <w:rFonts w:eastAsia="Calibri" w:cs="Calibri"/>
          <w:bCs/>
        </w:rPr>
        <w:t xml:space="preserve">nspection </w:t>
      </w:r>
      <w:r w:rsidR="00ED6C6C">
        <w:rPr>
          <w:rFonts w:eastAsia="Calibri" w:cs="Calibri"/>
          <w:bCs/>
        </w:rPr>
        <w:t>c</w:t>
      </w:r>
      <w:r w:rsidR="00805212" w:rsidRPr="003C77CA">
        <w:rPr>
          <w:rFonts w:eastAsia="Calibri" w:cs="Calibri"/>
          <w:bCs/>
        </w:rPr>
        <w:t xml:space="preserve">ase </w:t>
      </w:r>
      <w:r w:rsidR="00ED6C6C">
        <w:rPr>
          <w:rFonts w:eastAsia="Calibri" w:cs="Calibri"/>
          <w:bCs/>
        </w:rPr>
        <w:t>f</w:t>
      </w:r>
      <w:r w:rsidR="00805212" w:rsidRPr="003C77CA">
        <w:rPr>
          <w:rFonts w:eastAsia="Calibri" w:cs="Calibri"/>
          <w:bCs/>
        </w:rPr>
        <w:t xml:space="preserve">ile </w:t>
      </w:r>
      <w:r w:rsidR="00ED6C6C">
        <w:rPr>
          <w:rFonts w:eastAsia="Calibri" w:cs="Calibri"/>
          <w:bCs/>
        </w:rPr>
        <w:t>r</w:t>
      </w:r>
      <w:r w:rsidR="00805212" w:rsidRPr="003C77CA">
        <w:rPr>
          <w:rFonts w:eastAsia="Calibri" w:cs="Calibri"/>
          <w:bCs/>
        </w:rPr>
        <w:t xml:space="preserve">eview </w:t>
      </w:r>
      <w:r w:rsidR="00ED6C6C">
        <w:rPr>
          <w:rFonts w:eastAsia="Calibri" w:cs="Calibri"/>
          <w:bCs/>
        </w:rPr>
        <w:t>checklist</w:t>
      </w:r>
      <w:r w:rsidR="00805212" w:rsidRPr="003C77CA">
        <w:rPr>
          <w:rFonts w:eastAsia="Calibri" w:cs="Calibri"/>
          <w:bCs/>
        </w:rPr>
        <w:t xml:space="preserve"> include</w:t>
      </w:r>
      <w:r w:rsidR="000429A3">
        <w:rPr>
          <w:rFonts w:eastAsia="Calibri" w:cs="Calibri"/>
          <w:bCs/>
        </w:rPr>
        <w:t>d</w:t>
      </w:r>
      <w:r w:rsidR="00805212" w:rsidRPr="003C77CA">
        <w:rPr>
          <w:rFonts w:eastAsia="Calibri" w:cs="Calibri"/>
          <w:bCs/>
        </w:rPr>
        <w:t xml:space="preserve"> a review of all</w:t>
      </w:r>
      <w:r w:rsidR="00ED6C6C">
        <w:rPr>
          <w:rFonts w:eastAsia="Calibri" w:cs="Calibri"/>
          <w:bCs/>
        </w:rPr>
        <w:t xml:space="preserve"> complaint</w:t>
      </w:r>
      <w:r w:rsidR="00805212" w:rsidRPr="003C77CA">
        <w:rPr>
          <w:rFonts w:eastAsia="Calibri" w:cs="Calibri"/>
          <w:bCs/>
        </w:rPr>
        <w:t xml:space="preserve"> allegations and subsequent findings. </w:t>
      </w:r>
      <w:r w:rsidR="001767C0">
        <w:rPr>
          <w:rFonts w:eastAsia="Calibri" w:cs="Calibri"/>
          <w:bCs/>
        </w:rPr>
        <w:t xml:space="preserve"> </w:t>
      </w:r>
      <w:r w:rsidR="00805212" w:rsidRPr="003C77CA">
        <w:rPr>
          <w:rFonts w:eastAsia="Calibri" w:cs="Calibri"/>
          <w:bCs/>
        </w:rPr>
        <w:t xml:space="preserve">This checklist was </w:t>
      </w:r>
      <w:r w:rsidR="003C77CA" w:rsidRPr="003C77CA">
        <w:rPr>
          <w:rFonts w:eastAsia="Calibri" w:cs="Calibri"/>
          <w:bCs/>
        </w:rPr>
        <w:t xml:space="preserve">provided and reviewed by the New York </w:t>
      </w:r>
      <w:r w:rsidR="000429A3">
        <w:rPr>
          <w:rFonts w:eastAsia="Calibri" w:cs="Calibri"/>
          <w:bCs/>
        </w:rPr>
        <w:t xml:space="preserve">City </w:t>
      </w:r>
      <w:r w:rsidR="003C77CA" w:rsidRPr="003C77CA">
        <w:rPr>
          <w:rFonts w:eastAsia="Calibri" w:cs="Calibri"/>
          <w:bCs/>
        </w:rPr>
        <w:t xml:space="preserve">Regional </w:t>
      </w:r>
      <w:r w:rsidR="00D527EE">
        <w:rPr>
          <w:rFonts w:eastAsia="Calibri" w:cs="Calibri"/>
          <w:bCs/>
        </w:rPr>
        <w:t>O</w:t>
      </w:r>
      <w:r w:rsidR="003C77CA" w:rsidRPr="003C77CA">
        <w:rPr>
          <w:rFonts w:eastAsia="Calibri" w:cs="Calibri"/>
          <w:bCs/>
        </w:rPr>
        <w:t xml:space="preserve">ffice to verify that </w:t>
      </w:r>
      <w:r w:rsidR="00560C65">
        <w:rPr>
          <w:rFonts w:eastAsia="Calibri" w:cs="Calibri"/>
          <w:bCs/>
        </w:rPr>
        <w:t xml:space="preserve">it </w:t>
      </w:r>
      <w:r w:rsidR="003C77CA" w:rsidRPr="003C77CA">
        <w:rPr>
          <w:rFonts w:eastAsia="Calibri" w:cs="Calibri"/>
          <w:bCs/>
        </w:rPr>
        <w:t xml:space="preserve">included a review of the complainant notification letter </w:t>
      </w:r>
      <w:r w:rsidR="00560C65" w:rsidRPr="003C77CA">
        <w:rPr>
          <w:rFonts w:eastAsia="Calibri" w:cs="Calibri"/>
          <w:bCs/>
        </w:rPr>
        <w:t xml:space="preserve">by the supervisor </w:t>
      </w:r>
      <w:r w:rsidR="003C77CA" w:rsidRPr="003C77CA">
        <w:rPr>
          <w:rFonts w:eastAsia="Calibri" w:cs="Calibri"/>
          <w:bCs/>
        </w:rPr>
        <w:t xml:space="preserve">as part of the </w:t>
      </w:r>
      <w:r w:rsidR="000429A3">
        <w:rPr>
          <w:rFonts w:eastAsia="Calibri" w:cs="Calibri"/>
          <w:bCs/>
        </w:rPr>
        <w:t xml:space="preserve">final </w:t>
      </w:r>
      <w:r w:rsidR="003C77CA" w:rsidRPr="003C77CA">
        <w:rPr>
          <w:rFonts w:eastAsia="Calibri" w:cs="Calibri"/>
          <w:bCs/>
        </w:rPr>
        <w:t xml:space="preserve">file review. </w:t>
      </w:r>
      <w:r w:rsidR="00E906C3" w:rsidRPr="003C77CA">
        <w:rPr>
          <w:rFonts w:eastAsia="Calibri" w:cs="Calibri"/>
          <w:bCs/>
        </w:rPr>
        <w:t xml:space="preserve"> </w:t>
      </w:r>
      <w:r w:rsidRPr="003C77CA">
        <w:rPr>
          <w:rFonts w:eastAsia="Calibri" w:cs="Calibri"/>
          <w:bCs/>
        </w:rPr>
        <w:t xml:space="preserve">A case file review is necessary to gather the facts needed to evaluate progress on this finding. </w:t>
      </w:r>
      <w:r w:rsidR="001767C0">
        <w:rPr>
          <w:rFonts w:eastAsia="Calibri" w:cs="Calibri"/>
          <w:bCs/>
        </w:rPr>
        <w:t xml:space="preserve"> </w:t>
      </w:r>
      <w:r w:rsidRPr="003C77CA">
        <w:rPr>
          <w:rFonts w:eastAsia="Calibri" w:cs="Calibri"/>
          <w:bCs/>
        </w:rPr>
        <w:t>This finding will be a focus of next year’s on-site case file review during the FY 202</w:t>
      </w:r>
      <w:r w:rsidR="003C77CA" w:rsidRPr="003C77CA">
        <w:rPr>
          <w:rFonts w:eastAsia="Calibri" w:cs="Calibri"/>
          <w:bCs/>
        </w:rPr>
        <w:t>5</w:t>
      </w:r>
      <w:r w:rsidRPr="003C77CA">
        <w:rPr>
          <w:rFonts w:eastAsia="Calibri" w:cs="Calibri"/>
          <w:bCs/>
        </w:rPr>
        <w:t xml:space="preserve"> comprehensive FAME and remains open.</w:t>
      </w:r>
    </w:p>
    <w:p w14:paraId="51060581" w14:textId="77777777" w:rsidR="008220A1" w:rsidRPr="008220A1" w:rsidRDefault="008220A1" w:rsidP="008220A1">
      <w:pPr>
        <w:widowControl/>
        <w:tabs>
          <w:tab w:val="center" w:pos="270"/>
          <w:tab w:val="left" w:pos="360"/>
        </w:tabs>
        <w:autoSpaceDE/>
        <w:autoSpaceDN/>
        <w:adjustRightInd/>
        <w:rPr>
          <w:rFonts w:eastAsia="Calibri" w:cs="Calibri"/>
          <w:b/>
        </w:rPr>
      </w:pPr>
    </w:p>
    <w:p w14:paraId="7FDDF8A4" w14:textId="76B1CCE7" w:rsidR="003C77CA" w:rsidRPr="003C77CA" w:rsidRDefault="003C77CA" w:rsidP="003C77CA">
      <w:pPr>
        <w:widowControl/>
        <w:tabs>
          <w:tab w:val="center" w:pos="270"/>
          <w:tab w:val="left" w:pos="360"/>
        </w:tabs>
        <w:autoSpaceDE/>
        <w:autoSpaceDN/>
        <w:adjustRightInd/>
        <w:rPr>
          <w:rFonts w:eastAsia="Calibri" w:cs="Calibri"/>
          <w:b/>
          <w:i/>
          <w:iCs/>
        </w:rPr>
      </w:pPr>
      <w:r w:rsidRPr="003C77CA">
        <w:rPr>
          <w:rFonts w:eastAsia="Calibri" w:cs="Calibri"/>
          <w:b/>
        </w:rPr>
        <w:t xml:space="preserve">Finding </w:t>
      </w:r>
      <w:r>
        <w:rPr>
          <w:rFonts w:eastAsia="Calibri" w:cs="Calibri"/>
          <w:b/>
        </w:rPr>
        <w:t>FY 2024-0</w:t>
      </w:r>
      <w:r w:rsidR="00ED6C6C">
        <w:rPr>
          <w:rFonts w:eastAsia="Calibri" w:cs="Calibri"/>
          <w:b/>
        </w:rPr>
        <w:t>2</w:t>
      </w:r>
      <w:r>
        <w:rPr>
          <w:rFonts w:eastAsia="Calibri" w:cs="Calibri"/>
          <w:b/>
        </w:rPr>
        <w:t xml:space="preserve"> (</w:t>
      </w:r>
      <w:r w:rsidRPr="003C77CA">
        <w:rPr>
          <w:rFonts w:eastAsia="Calibri" w:cs="Calibri"/>
          <w:b/>
        </w:rPr>
        <w:t>FY 2023-02</w:t>
      </w:r>
      <w:r>
        <w:rPr>
          <w:rFonts w:eastAsia="Calibri" w:cs="Calibri"/>
          <w:b/>
        </w:rPr>
        <w:t xml:space="preserve">, </w:t>
      </w:r>
      <w:r w:rsidRPr="003C77CA">
        <w:rPr>
          <w:rFonts w:eastAsia="Calibri" w:cs="Calibri"/>
          <w:b/>
        </w:rPr>
        <w:t xml:space="preserve">FY 2022-03, FY 2021-03): </w:t>
      </w:r>
      <w:r w:rsidRPr="00AE4F3D">
        <w:rPr>
          <w:rFonts w:eastAsia="Calibri" w:cs="Calibri"/>
          <w:b/>
        </w:rPr>
        <w:t>Next-of-Kin Letters</w:t>
      </w:r>
    </w:p>
    <w:p w14:paraId="3FC3D197" w14:textId="7ACCD249" w:rsidR="008220A1" w:rsidRDefault="00ED6C6C" w:rsidP="00ED6C6C">
      <w:pPr>
        <w:widowControl/>
        <w:tabs>
          <w:tab w:val="center" w:pos="270"/>
          <w:tab w:val="left" w:pos="360"/>
        </w:tabs>
        <w:autoSpaceDE/>
        <w:autoSpaceDN/>
        <w:adjustRightInd/>
        <w:rPr>
          <w:rFonts w:eastAsia="Calibri" w:cs="Calibri"/>
          <w:bCs/>
        </w:rPr>
      </w:pPr>
      <w:r w:rsidRPr="00ED6C6C">
        <w:rPr>
          <w:rFonts w:eastAsia="Calibri" w:cs="Calibri"/>
          <w:bCs/>
        </w:rPr>
        <w:t xml:space="preserve">During the FY 2023 </w:t>
      </w:r>
      <w:r w:rsidR="00861208">
        <w:rPr>
          <w:rFonts w:eastAsia="Calibri" w:cs="Calibri"/>
          <w:bCs/>
        </w:rPr>
        <w:t xml:space="preserve">FAME </w:t>
      </w:r>
      <w:r w:rsidRPr="00ED6C6C">
        <w:rPr>
          <w:rFonts w:eastAsia="Calibri" w:cs="Calibri"/>
          <w:bCs/>
        </w:rPr>
        <w:t xml:space="preserve">case file review, in one of the two (50%) fatality inspections requiring a next-of-kin letter, both the initial and final next-of-kin letters were not sent to the family of the victim. </w:t>
      </w:r>
      <w:r w:rsidR="001767C0">
        <w:rPr>
          <w:rFonts w:eastAsia="Calibri" w:cs="Calibri"/>
          <w:bCs/>
        </w:rPr>
        <w:t xml:space="preserve"> </w:t>
      </w:r>
      <w:r w:rsidRPr="00ED6C6C">
        <w:rPr>
          <w:rFonts w:eastAsia="Calibri" w:cs="Calibri"/>
          <w:bCs/>
        </w:rPr>
        <w:t xml:space="preserve">The </w:t>
      </w:r>
      <w:r w:rsidR="000429A3">
        <w:rPr>
          <w:rFonts w:eastAsia="Calibri" w:cs="Calibri"/>
          <w:bCs/>
        </w:rPr>
        <w:t xml:space="preserve">New Jersey </w:t>
      </w:r>
      <w:r w:rsidRPr="00ED6C6C">
        <w:rPr>
          <w:rFonts w:eastAsia="Calibri" w:cs="Calibri"/>
          <w:bCs/>
        </w:rPr>
        <w:t xml:space="preserve">State Plan noted in the case file that they did not send the letters because the death was determined not to </w:t>
      </w:r>
      <w:r w:rsidR="00861208">
        <w:rPr>
          <w:rFonts w:eastAsia="Calibri" w:cs="Calibri"/>
          <w:bCs/>
        </w:rPr>
        <w:t xml:space="preserve">be </w:t>
      </w:r>
      <w:r w:rsidRPr="00ED6C6C">
        <w:rPr>
          <w:rFonts w:eastAsia="Calibri" w:cs="Calibri"/>
          <w:bCs/>
        </w:rPr>
        <w:t xml:space="preserve">occupationally related even though there was information in the file on the next-of-kin. </w:t>
      </w:r>
      <w:r w:rsidR="001767C0">
        <w:rPr>
          <w:rFonts w:eastAsia="Calibri" w:cs="Calibri"/>
          <w:bCs/>
        </w:rPr>
        <w:t xml:space="preserve"> </w:t>
      </w:r>
      <w:r w:rsidRPr="00ED6C6C">
        <w:rPr>
          <w:rFonts w:eastAsia="Calibri" w:cs="Calibri"/>
          <w:bCs/>
        </w:rPr>
        <w:t xml:space="preserve">The </w:t>
      </w:r>
      <w:r w:rsidR="000429A3">
        <w:rPr>
          <w:rFonts w:eastAsia="Calibri" w:cs="Calibri"/>
          <w:bCs/>
        </w:rPr>
        <w:t xml:space="preserve">New Jersey </w:t>
      </w:r>
      <w:r w:rsidRPr="00ED6C6C">
        <w:rPr>
          <w:rFonts w:eastAsia="Calibri" w:cs="Calibri"/>
          <w:bCs/>
        </w:rPr>
        <w:t>State Plan adopted directive CPL 02-00-166, Communicating OSHA Fatality Inspection Procedures to a Victim’s Family that requires an initial letter notifying the family of the investigation, and a final letter at the conclusion of the inspection with the results.</w:t>
      </w:r>
    </w:p>
    <w:p w14:paraId="233748C9" w14:textId="77777777" w:rsidR="00ED6C6C" w:rsidRPr="00ED6C6C" w:rsidRDefault="00ED6C6C" w:rsidP="00ED6C6C">
      <w:pPr>
        <w:widowControl/>
        <w:tabs>
          <w:tab w:val="center" w:pos="270"/>
          <w:tab w:val="left" w:pos="360"/>
        </w:tabs>
        <w:autoSpaceDE/>
        <w:autoSpaceDN/>
        <w:adjustRightInd/>
        <w:rPr>
          <w:rFonts w:eastAsia="Calibri" w:cs="Calibri"/>
          <w:bCs/>
        </w:rPr>
      </w:pPr>
    </w:p>
    <w:p w14:paraId="564C5410" w14:textId="62F3949D" w:rsidR="008220A1" w:rsidRDefault="008220A1" w:rsidP="00ED6C6C">
      <w:pPr>
        <w:widowControl/>
        <w:tabs>
          <w:tab w:val="center" w:pos="270"/>
          <w:tab w:val="left" w:pos="360"/>
        </w:tabs>
        <w:autoSpaceDE/>
        <w:autoSpaceDN/>
        <w:adjustRightInd/>
        <w:rPr>
          <w:rFonts w:eastAsia="Calibri" w:cs="Calibri"/>
          <w:bCs/>
        </w:rPr>
      </w:pPr>
      <w:r w:rsidRPr="008220A1">
        <w:rPr>
          <w:rFonts w:eastAsia="Calibri" w:cs="Calibri"/>
          <w:b/>
        </w:rPr>
        <w:t>Status:</w:t>
      </w:r>
      <w:r w:rsidR="003C77CA">
        <w:rPr>
          <w:rFonts w:eastAsia="Calibri" w:cs="Calibri"/>
          <w:bCs/>
        </w:rPr>
        <w:t xml:space="preserve"> </w:t>
      </w:r>
      <w:r w:rsidR="00861208">
        <w:rPr>
          <w:rFonts w:eastAsia="Calibri" w:cs="Calibri"/>
          <w:bCs/>
        </w:rPr>
        <w:t>The New Jersey State Plan</w:t>
      </w:r>
      <w:r w:rsidR="003C77CA" w:rsidRPr="003C77CA">
        <w:rPr>
          <w:rFonts w:eastAsia="Calibri" w:cs="Calibri"/>
          <w:bCs/>
        </w:rPr>
        <w:t xml:space="preserve"> </w:t>
      </w:r>
      <w:r w:rsidR="00861208">
        <w:rPr>
          <w:rFonts w:eastAsia="Calibri" w:cs="Calibri"/>
          <w:bCs/>
        </w:rPr>
        <w:t>i</w:t>
      </w:r>
      <w:r w:rsidR="003C77CA" w:rsidRPr="003C77CA">
        <w:rPr>
          <w:rFonts w:eastAsia="Calibri" w:cs="Calibri"/>
          <w:bCs/>
        </w:rPr>
        <w:t xml:space="preserve">ssued </w:t>
      </w:r>
      <w:r w:rsidR="003C77CA">
        <w:rPr>
          <w:rFonts w:eastAsia="Calibri" w:cs="Calibri"/>
          <w:bCs/>
        </w:rPr>
        <w:t>memorandum</w:t>
      </w:r>
      <w:r w:rsidR="003C77CA" w:rsidRPr="003C77CA">
        <w:rPr>
          <w:rFonts w:eastAsia="Calibri" w:cs="Calibri"/>
          <w:bCs/>
        </w:rPr>
        <w:t xml:space="preserve"> 24-05B </w:t>
      </w:r>
      <w:r w:rsidR="000429A3">
        <w:rPr>
          <w:rFonts w:eastAsia="Calibri" w:cs="Calibri"/>
          <w:bCs/>
        </w:rPr>
        <w:t>“</w:t>
      </w:r>
      <w:r w:rsidR="003C77CA" w:rsidRPr="003C77CA">
        <w:rPr>
          <w:rFonts w:eastAsia="Calibri" w:cs="Calibri"/>
          <w:bCs/>
        </w:rPr>
        <w:t xml:space="preserve">Next of Kin Letters” to all staff via email on </w:t>
      </w:r>
      <w:r w:rsidR="003C77CA">
        <w:rPr>
          <w:rFonts w:eastAsia="Calibri" w:cs="Calibri"/>
          <w:bCs/>
        </w:rPr>
        <w:t>April 19, 2024,</w:t>
      </w:r>
      <w:r w:rsidR="003C77CA" w:rsidRPr="003C77CA">
        <w:rPr>
          <w:rFonts w:eastAsia="Calibri" w:cs="Calibri"/>
          <w:bCs/>
        </w:rPr>
        <w:t xml:space="preserve"> which reference</w:t>
      </w:r>
      <w:r w:rsidR="003C77CA">
        <w:rPr>
          <w:rFonts w:eastAsia="Calibri" w:cs="Calibri"/>
          <w:bCs/>
        </w:rPr>
        <w:t>d</w:t>
      </w:r>
      <w:r w:rsidR="003C77CA" w:rsidRPr="003C77CA">
        <w:rPr>
          <w:rFonts w:eastAsia="Calibri" w:cs="Calibri"/>
          <w:bCs/>
        </w:rPr>
        <w:t xml:space="preserve"> </w:t>
      </w:r>
      <w:r w:rsidR="000429A3">
        <w:rPr>
          <w:rFonts w:eastAsia="Calibri" w:cs="Calibri"/>
          <w:bCs/>
        </w:rPr>
        <w:t xml:space="preserve">the procedures in </w:t>
      </w:r>
      <w:r w:rsidR="003C77CA" w:rsidRPr="003C77CA">
        <w:rPr>
          <w:rFonts w:eastAsia="Calibri" w:cs="Calibri"/>
          <w:bCs/>
        </w:rPr>
        <w:t xml:space="preserve">OSHA </w:t>
      </w:r>
      <w:r w:rsidR="00ED6C6C">
        <w:rPr>
          <w:rFonts w:eastAsia="Calibri" w:cs="Calibri"/>
          <w:bCs/>
        </w:rPr>
        <w:t xml:space="preserve">Compliance Directive </w:t>
      </w:r>
      <w:r w:rsidR="003C77CA" w:rsidRPr="003C77CA">
        <w:rPr>
          <w:rFonts w:eastAsia="Calibri" w:cs="Calibri"/>
          <w:bCs/>
        </w:rPr>
        <w:t>CPL 02-00-166</w:t>
      </w:r>
      <w:r w:rsidR="003C77CA">
        <w:rPr>
          <w:rFonts w:eastAsia="Calibri" w:cs="Calibri"/>
          <w:bCs/>
        </w:rPr>
        <w:t>,</w:t>
      </w:r>
      <w:r w:rsidR="00ED6C6C">
        <w:rPr>
          <w:rFonts w:eastAsia="Calibri" w:cs="Calibri"/>
          <w:bCs/>
        </w:rPr>
        <w:t xml:space="preserve"> Communicating OSHA Fatality Inspection Procedures to a Victim’s Family. </w:t>
      </w:r>
      <w:r w:rsidR="001767C0">
        <w:rPr>
          <w:rFonts w:eastAsia="Calibri" w:cs="Calibri"/>
          <w:bCs/>
        </w:rPr>
        <w:t xml:space="preserve"> </w:t>
      </w:r>
      <w:r w:rsidR="000429A3">
        <w:rPr>
          <w:rFonts w:eastAsia="Calibri" w:cs="Calibri"/>
          <w:bCs/>
        </w:rPr>
        <w:t>Staff received training on this memo on</w:t>
      </w:r>
      <w:r w:rsidR="00ED6C6C" w:rsidRPr="00ED6C6C">
        <w:rPr>
          <w:rFonts w:eastAsia="Calibri" w:cs="Calibri"/>
          <w:bCs/>
        </w:rPr>
        <w:t xml:space="preserve"> </w:t>
      </w:r>
      <w:r w:rsidR="00ED6C6C">
        <w:rPr>
          <w:rFonts w:eastAsia="Calibri" w:cs="Calibri"/>
          <w:bCs/>
        </w:rPr>
        <w:t>June 5, 2024</w:t>
      </w:r>
      <w:r w:rsidR="000429A3">
        <w:rPr>
          <w:rFonts w:eastAsia="Calibri" w:cs="Calibri"/>
          <w:bCs/>
        </w:rPr>
        <w:t xml:space="preserve">. </w:t>
      </w:r>
      <w:r w:rsidR="008D70F5">
        <w:rPr>
          <w:rFonts w:eastAsia="Calibri" w:cs="Calibri"/>
          <w:bCs/>
        </w:rPr>
        <w:t xml:space="preserve"> </w:t>
      </w:r>
      <w:r w:rsidR="000429A3">
        <w:rPr>
          <w:rFonts w:eastAsia="Calibri" w:cs="Calibri"/>
          <w:bCs/>
        </w:rPr>
        <w:t>The New York City Regional Office reviewed and concurred with this memo.</w:t>
      </w:r>
      <w:r w:rsidR="001767C0">
        <w:rPr>
          <w:rFonts w:eastAsia="Calibri" w:cs="Calibri"/>
          <w:bCs/>
        </w:rPr>
        <w:t xml:space="preserve">  </w:t>
      </w:r>
      <w:r w:rsidRPr="008220A1">
        <w:rPr>
          <w:rFonts w:eastAsia="Calibri" w:cs="Calibri"/>
          <w:bCs/>
        </w:rPr>
        <w:t xml:space="preserve">A case file review is necessary to gather the facts needed to evaluate progress on this finding. </w:t>
      </w:r>
      <w:r w:rsidR="00E906C3">
        <w:rPr>
          <w:rFonts w:eastAsia="Calibri" w:cs="Calibri"/>
          <w:bCs/>
        </w:rPr>
        <w:t xml:space="preserve"> </w:t>
      </w:r>
      <w:r w:rsidRPr="008220A1">
        <w:rPr>
          <w:rFonts w:eastAsia="Calibri" w:cs="Calibri"/>
          <w:bCs/>
        </w:rPr>
        <w:t>This finding will be a focus of next year’s on-site case file review during the FY 202</w:t>
      </w:r>
      <w:r w:rsidR="003C77CA">
        <w:rPr>
          <w:rFonts w:eastAsia="Calibri" w:cs="Calibri"/>
          <w:bCs/>
        </w:rPr>
        <w:t>5</w:t>
      </w:r>
      <w:r w:rsidRPr="008220A1">
        <w:rPr>
          <w:rFonts w:eastAsia="Calibri" w:cs="Calibri"/>
          <w:bCs/>
        </w:rPr>
        <w:t xml:space="preserve"> comprehensive FAME and remains open.</w:t>
      </w:r>
    </w:p>
    <w:p w14:paraId="643ED1AA" w14:textId="77777777" w:rsidR="002C31B1" w:rsidRDefault="002C31B1" w:rsidP="00ED6C6C">
      <w:pPr>
        <w:widowControl/>
        <w:tabs>
          <w:tab w:val="center" w:pos="270"/>
          <w:tab w:val="left" w:pos="360"/>
        </w:tabs>
        <w:autoSpaceDE/>
        <w:autoSpaceDN/>
        <w:adjustRightInd/>
        <w:rPr>
          <w:rFonts w:eastAsia="Calibri" w:cs="Calibri"/>
          <w:bCs/>
        </w:rPr>
      </w:pPr>
    </w:p>
    <w:p w14:paraId="23CC19C4" w14:textId="4B3FA7D3" w:rsidR="002C31B1" w:rsidRDefault="002C31B1" w:rsidP="002C31B1">
      <w:pPr>
        <w:widowControl/>
        <w:tabs>
          <w:tab w:val="center" w:pos="270"/>
          <w:tab w:val="left" w:pos="360"/>
        </w:tabs>
        <w:autoSpaceDE/>
        <w:autoSpaceDN/>
        <w:adjustRightInd/>
        <w:rPr>
          <w:rFonts w:eastAsia="Calibri" w:cs="Calibri"/>
          <w:b/>
          <w:i/>
          <w:iCs/>
        </w:rPr>
      </w:pPr>
      <w:r>
        <w:rPr>
          <w:rFonts w:eastAsia="Calibri" w:cs="Calibri"/>
          <w:b/>
        </w:rPr>
        <w:t xml:space="preserve">Finding FY 2024-03 (FY 2023-03): </w:t>
      </w:r>
      <w:r w:rsidRPr="00AE4F3D">
        <w:rPr>
          <w:rFonts w:eastAsia="Calibri" w:cs="Calibri"/>
          <w:b/>
        </w:rPr>
        <w:t>Case File Documentation of Fatalities Not Inspected</w:t>
      </w:r>
    </w:p>
    <w:p w14:paraId="3A2683AB" w14:textId="695851EB" w:rsidR="002C31B1" w:rsidRPr="002C31B1" w:rsidRDefault="002C31B1" w:rsidP="002C31B1">
      <w:pPr>
        <w:widowControl/>
        <w:tabs>
          <w:tab w:val="center" w:pos="270"/>
          <w:tab w:val="left" w:pos="360"/>
        </w:tabs>
        <w:autoSpaceDE/>
        <w:autoSpaceDN/>
        <w:adjustRightInd/>
        <w:rPr>
          <w:rFonts w:eastAsia="Calibri" w:cs="Calibri"/>
          <w:bCs/>
        </w:rPr>
      </w:pPr>
      <w:r w:rsidRPr="002C31B1">
        <w:rPr>
          <w:rFonts w:eastAsia="Calibri" w:cs="Calibri"/>
          <w:bCs/>
        </w:rPr>
        <w:t xml:space="preserve">In FY 2023, the </w:t>
      </w:r>
      <w:r w:rsidR="000429A3">
        <w:rPr>
          <w:rFonts w:eastAsia="Calibri" w:cs="Calibri"/>
          <w:bCs/>
        </w:rPr>
        <w:t xml:space="preserve">New Jersey </w:t>
      </w:r>
      <w:r w:rsidRPr="002C31B1">
        <w:rPr>
          <w:rFonts w:eastAsia="Calibri" w:cs="Calibri"/>
          <w:bCs/>
        </w:rPr>
        <w:t>State Plan received nine reports of fatalities that were not investigated or inspected.</w:t>
      </w:r>
      <w:r w:rsidR="001473EF">
        <w:rPr>
          <w:rFonts w:eastAsia="Calibri" w:cs="Calibri"/>
          <w:bCs/>
        </w:rPr>
        <w:t xml:space="preserve">  </w:t>
      </w:r>
      <w:r w:rsidRPr="002C31B1">
        <w:rPr>
          <w:rFonts w:eastAsia="Calibri" w:cs="Calibri"/>
          <w:bCs/>
        </w:rPr>
        <w:t xml:space="preserve">Of these nine fatality reports, one of these fatalities was not required </w:t>
      </w:r>
      <w:r w:rsidRPr="002C31B1">
        <w:rPr>
          <w:rFonts w:eastAsia="Calibri" w:cs="Calibri"/>
          <w:bCs/>
        </w:rPr>
        <w:lastRenderedPageBreak/>
        <w:t xml:space="preserve">to be reported to </w:t>
      </w:r>
      <w:r w:rsidR="00861208">
        <w:rPr>
          <w:rFonts w:eastAsia="Calibri" w:cs="Calibri"/>
          <w:bCs/>
        </w:rPr>
        <w:t>the State Plan</w:t>
      </w:r>
      <w:r w:rsidRPr="002C31B1">
        <w:rPr>
          <w:rFonts w:eastAsia="Calibri" w:cs="Calibri"/>
          <w:bCs/>
        </w:rPr>
        <w:t xml:space="preserve"> because it involved a motor vehicle accident that caused the death. The other eight fatality reports appeared to meet the reporting requirements of 1904.39.</w:t>
      </w:r>
    </w:p>
    <w:p w14:paraId="2E6ED159" w14:textId="5CA5B607" w:rsidR="002C31B1" w:rsidRDefault="002C31B1" w:rsidP="002C31B1">
      <w:pPr>
        <w:widowControl/>
        <w:tabs>
          <w:tab w:val="center" w:pos="270"/>
          <w:tab w:val="left" w:pos="360"/>
        </w:tabs>
        <w:autoSpaceDE/>
        <w:autoSpaceDN/>
        <w:adjustRightInd/>
        <w:rPr>
          <w:rFonts w:eastAsia="Calibri" w:cs="Calibri"/>
          <w:bCs/>
        </w:rPr>
      </w:pPr>
      <w:r w:rsidRPr="002C31B1">
        <w:rPr>
          <w:rFonts w:eastAsia="Calibri" w:cs="Calibri"/>
          <w:bCs/>
        </w:rPr>
        <w:t xml:space="preserve">In seven of eight (87%) of these fatality reports, </w:t>
      </w:r>
      <w:r w:rsidR="00861208">
        <w:rPr>
          <w:rFonts w:eastAsia="Calibri" w:cs="Calibri"/>
          <w:bCs/>
        </w:rPr>
        <w:t>the New Jersey State Plan</w:t>
      </w:r>
      <w:r w:rsidRPr="002C31B1">
        <w:rPr>
          <w:rFonts w:eastAsia="Calibri" w:cs="Calibri"/>
          <w:bCs/>
        </w:rPr>
        <w:t xml:space="preserve"> did not acquire medical documentation to support the conclusion that the fatality was medically related and non-occupationally related</w:t>
      </w:r>
      <w:r>
        <w:rPr>
          <w:rFonts w:eastAsia="Calibri" w:cs="Calibri"/>
          <w:bCs/>
        </w:rPr>
        <w:t>.</w:t>
      </w:r>
    </w:p>
    <w:p w14:paraId="70EC6CA5" w14:textId="77777777" w:rsidR="002C31B1" w:rsidRDefault="002C31B1" w:rsidP="002C31B1">
      <w:pPr>
        <w:widowControl/>
        <w:tabs>
          <w:tab w:val="center" w:pos="270"/>
          <w:tab w:val="left" w:pos="360"/>
        </w:tabs>
        <w:autoSpaceDE/>
        <w:autoSpaceDN/>
        <w:adjustRightInd/>
        <w:rPr>
          <w:rFonts w:eastAsia="Calibri" w:cs="Calibri"/>
          <w:bCs/>
        </w:rPr>
      </w:pPr>
    </w:p>
    <w:p w14:paraId="64BACC72" w14:textId="3A999491" w:rsidR="002C31B1" w:rsidRPr="002C31B1" w:rsidRDefault="002C31B1" w:rsidP="002C31B1">
      <w:pPr>
        <w:rPr>
          <w:rFonts w:eastAsia="Calibri" w:cs="Calibri"/>
          <w:bCs/>
        </w:rPr>
      </w:pPr>
      <w:r>
        <w:rPr>
          <w:rFonts w:eastAsia="Calibri" w:cs="Calibri"/>
          <w:b/>
        </w:rPr>
        <w:t>Status:</w:t>
      </w:r>
      <w:r w:rsidR="00B0161D" w:rsidRPr="00B0161D">
        <w:rPr>
          <w:rFonts w:eastAsia="Calibri" w:cs="Calibri"/>
          <w:bCs/>
        </w:rPr>
        <w:t xml:space="preserve"> </w:t>
      </w:r>
      <w:r w:rsidR="00B05B04">
        <w:rPr>
          <w:rFonts w:eastAsia="Calibri" w:cs="Calibri"/>
          <w:bCs/>
        </w:rPr>
        <w:t>The New Jersey State Plan</w:t>
      </w:r>
      <w:r w:rsidR="00B0161D" w:rsidRPr="00B0161D">
        <w:rPr>
          <w:rFonts w:eastAsia="Calibri" w:cs="Calibri"/>
          <w:bCs/>
        </w:rPr>
        <w:t xml:space="preserve"> implemented the use of a standardized </w:t>
      </w:r>
      <w:r w:rsidR="001473EF">
        <w:rPr>
          <w:rFonts w:eastAsia="Calibri" w:cs="Calibri"/>
          <w:bCs/>
        </w:rPr>
        <w:t>r</w:t>
      </w:r>
      <w:r w:rsidR="00B0161D" w:rsidRPr="00B0161D">
        <w:rPr>
          <w:rFonts w:eastAsia="Calibri" w:cs="Calibri"/>
          <w:bCs/>
        </w:rPr>
        <w:t xml:space="preserve">apid </w:t>
      </w:r>
      <w:r w:rsidR="001473EF">
        <w:rPr>
          <w:rFonts w:eastAsia="Calibri" w:cs="Calibri"/>
          <w:bCs/>
        </w:rPr>
        <w:t>r</w:t>
      </w:r>
      <w:r w:rsidR="00B0161D" w:rsidRPr="00B0161D">
        <w:rPr>
          <w:rFonts w:eastAsia="Calibri" w:cs="Calibri"/>
          <w:bCs/>
        </w:rPr>
        <w:t xml:space="preserve">esponse </w:t>
      </w:r>
      <w:r w:rsidR="001473EF">
        <w:rPr>
          <w:rFonts w:eastAsia="Calibri" w:cs="Calibri"/>
          <w:bCs/>
        </w:rPr>
        <w:t>i</w:t>
      </w:r>
      <w:r w:rsidR="00B0161D" w:rsidRPr="00B0161D">
        <w:rPr>
          <w:rFonts w:eastAsia="Calibri" w:cs="Calibri"/>
          <w:bCs/>
        </w:rPr>
        <w:t xml:space="preserve">nvestigation case file template at the initial phase of the inquiry. </w:t>
      </w:r>
      <w:r w:rsidR="00D9553D">
        <w:rPr>
          <w:rFonts w:eastAsia="Calibri" w:cs="Calibri"/>
          <w:bCs/>
        </w:rPr>
        <w:t xml:space="preserve"> </w:t>
      </w:r>
      <w:r w:rsidR="00B0161D" w:rsidRPr="00B0161D">
        <w:rPr>
          <w:rFonts w:eastAsia="Calibri" w:cs="Calibri"/>
          <w:bCs/>
        </w:rPr>
        <w:t>Staff h</w:t>
      </w:r>
      <w:r w:rsidR="00B0161D">
        <w:rPr>
          <w:rFonts w:eastAsia="Calibri" w:cs="Calibri"/>
          <w:bCs/>
        </w:rPr>
        <w:t>as</w:t>
      </w:r>
      <w:r w:rsidR="00B0161D" w:rsidRPr="00B0161D">
        <w:rPr>
          <w:rFonts w:eastAsia="Calibri" w:cs="Calibri"/>
          <w:bCs/>
        </w:rPr>
        <w:t xml:space="preserve"> been advised to obtain copies of post-mortem examinations in all fatality cases.  If it is necessary to convert the </w:t>
      </w:r>
      <w:r w:rsidR="001473EF">
        <w:rPr>
          <w:rFonts w:eastAsia="Calibri" w:cs="Calibri"/>
          <w:bCs/>
        </w:rPr>
        <w:t>unprogrammed activity</w:t>
      </w:r>
      <w:r w:rsidR="00B0161D" w:rsidRPr="00B0161D">
        <w:rPr>
          <w:rFonts w:eastAsia="Calibri" w:cs="Calibri"/>
          <w:bCs/>
        </w:rPr>
        <w:t xml:space="preserve"> into an inspection, a standardized full inspection case file template will be completed.</w:t>
      </w:r>
      <w:r w:rsidR="00D9553D">
        <w:rPr>
          <w:bCs/>
        </w:rPr>
        <w:t xml:space="preserve">  </w:t>
      </w:r>
      <w:r w:rsidRPr="002C31B1">
        <w:rPr>
          <w:rFonts w:eastAsia="Calibri" w:cs="Calibri"/>
          <w:bCs/>
        </w:rPr>
        <w:t>A case file review is necessary to gather the facts needed to evaluate progress on this finding.</w:t>
      </w:r>
      <w:r w:rsidR="00D9553D">
        <w:rPr>
          <w:rFonts w:eastAsia="Calibri" w:cs="Calibri"/>
          <w:bCs/>
        </w:rPr>
        <w:t xml:space="preserve">  </w:t>
      </w:r>
      <w:r w:rsidRPr="002C31B1">
        <w:rPr>
          <w:rFonts w:eastAsia="Calibri" w:cs="Calibri"/>
          <w:bCs/>
        </w:rPr>
        <w:t>This finding will be a focus of next year’s on-site case file review during the FY 2025 comprehensive FAME and remains open.</w:t>
      </w:r>
    </w:p>
    <w:p w14:paraId="5B553476" w14:textId="6D422759" w:rsidR="002C31B1" w:rsidRPr="002C31B1" w:rsidRDefault="002C31B1" w:rsidP="002C31B1">
      <w:pPr>
        <w:widowControl/>
        <w:tabs>
          <w:tab w:val="center" w:pos="270"/>
          <w:tab w:val="left" w:pos="360"/>
        </w:tabs>
        <w:autoSpaceDE/>
        <w:autoSpaceDN/>
        <w:adjustRightInd/>
        <w:rPr>
          <w:rFonts w:eastAsia="Calibri" w:cs="Calibri"/>
          <w:bCs/>
        </w:rPr>
      </w:pPr>
    </w:p>
    <w:p w14:paraId="00F1A804" w14:textId="6AC56BBC" w:rsidR="008220A1" w:rsidRPr="007C3449"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Finding FY 202</w:t>
      </w:r>
      <w:r w:rsidR="002C31B1">
        <w:rPr>
          <w:rFonts w:eastAsia="Calibri" w:cs="Calibri"/>
          <w:b/>
        </w:rPr>
        <w:t>4</w:t>
      </w:r>
      <w:r w:rsidRPr="008220A1">
        <w:rPr>
          <w:rFonts w:eastAsia="Calibri" w:cs="Calibri"/>
          <w:b/>
        </w:rPr>
        <w:t>-04 (</w:t>
      </w:r>
      <w:r w:rsidR="002C31B1">
        <w:rPr>
          <w:rFonts w:eastAsia="Calibri" w:cs="Calibri"/>
          <w:b/>
        </w:rPr>
        <w:t xml:space="preserve">FY 2023-04, FY 2022-04, </w:t>
      </w:r>
      <w:r w:rsidRPr="008220A1">
        <w:rPr>
          <w:rFonts w:eastAsia="Calibri" w:cs="Calibri"/>
          <w:b/>
        </w:rPr>
        <w:t xml:space="preserve">FY 2021-04): </w:t>
      </w:r>
      <w:r w:rsidRPr="00AE4F3D">
        <w:rPr>
          <w:rFonts w:eastAsia="Calibri" w:cs="Calibri"/>
          <w:b/>
        </w:rPr>
        <w:t>Advanced Notice of Inspections</w:t>
      </w:r>
    </w:p>
    <w:p w14:paraId="7242DDBE" w14:textId="22C623CB" w:rsidR="00DA2299" w:rsidRDefault="002C31B1" w:rsidP="002C31B1">
      <w:pPr>
        <w:widowControl/>
        <w:tabs>
          <w:tab w:val="center" w:pos="270"/>
          <w:tab w:val="left" w:pos="360"/>
        </w:tabs>
        <w:autoSpaceDE/>
        <w:autoSpaceDN/>
        <w:adjustRightInd/>
        <w:rPr>
          <w:rFonts w:eastAsia="Calibri" w:cs="Calibri"/>
          <w:bCs/>
        </w:rPr>
      </w:pPr>
      <w:r>
        <w:rPr>
          <w:rFonts w:eastAsia="Calibri" w:cs="Calibri"/>
          <w:bCs/>
        </w:rPr>
        <w:t xml:space="preserve">During the FY 2023 </w:t>
      </w:r>
      <w:r w:rsidR="00861208">
        <w:rPr>
          <w:rFonts w:eastAsia="Calibri" w:cs="Calibri"/>
          <w:bCs/>
        </w:rPr>
        <w:t xml:space="preserve">FAME </w:t>
      </w:r>
      <w:r>
        <w:rPr>
          <w:rFonts w:eastAsia="Calibri" w:cs="Calibri"/>
          <w:bCs/>
        </w:rPr>
        <w:t>case file review, i</w:t>
      </w:r>
      <w:r w:rsidRPr="002C31B1">
        <w:rPr>
          <w:rFonts w:eastAsia="Calibri" w:cs="Calibri"/>
          <w:bCs/>
        </w:rPr>
        <w:t>n five of 48 (10%) closed inspection files there was evidence that advanced notice of the</w:t>
      </w:r>
      <w:r>
        <w:rPr>
          <w:rFonts w:eastAsia="Calibri" w:cs="Calibri"/>
          <w:bCs/>
        </w:rPr>
        <w:t xml:space="preserve"> </w:t>
      </w:r>
      <w:r w:rsidRPr="002C31B1">
        <w:rPr>
          <w:rFonts w:eastAsia="Calibri" w:cs="Calibri"/>
          <w:bCs/>
        </w:rPr>
        <w:t>inspection was provided to the employer</w:t>
      </w:r>
      <w:r w:rsidR="00D9553D">
        <w:rPr>
          <w:rFonts w:eastAsia="Calibri" w:cs="Calibri"/>
          <w:bCs/>
        </w:rPr>
        <w:t>.</w:t>
      </w:r>
    </w:p>
    <w:p w14:paraId="5F2D2A71" w14:textId="77777777" w:rsidR="002C31B1" w:rsidRPr="00111494" w:rsidRDefault="002C31B1" w:rsidP="002C31B1">
      <w:pPr>
        <w:widowControl/>
        <w:tabs>
          <w:tab w:val="center" w:pos="270"/>
          <w:tab w:val="left" w:pos="360"/>
        </w:tabs>
        <w:autoSpaceDE/>
        <w:autoSpaceDN/>
        <w:adjustRightInd/>
        <w:rPr>
          <w:rFonts w:eastAsia="Calibri" w:cs="Calibri"/>
          <w:bCs/>
        </w:rPr>
      </w:pPr>
    </w:p>
    <w:p w14:paraId="11C243A3" w14:textId="7D1B1299" w:rsidR="008220A1" w:rsidRDefault="008220A1" w:rsidP="008220A1">
      <w:pPr>
        <w:widowControl/>
        <w:tabs>
          <w:tab w:val="center" w:pos="270"/>
          <w:tab w:val="left" w:pos="360"/>
        </w:tabs>
        <w:autoSpaceDE/>
        <w:autoSpaceDN/>
        <w:adjustRightInd/>
        <w:rPr>
          <w:rFonts w:eastAsia="Calibri" w:cs="Calibri"/>
          <w:bCs/>
        </w:rPr>
      </w:pPr>
      <w:r w:rsidRPr="008220A1">
        <w:rPr>
          <w:rFonts w:eastAsia="Calibri" w:cs="Calibri"/>
          <w:b/>
        </w:rPr>
        <w:t>Status:</w:t>
      </w:r>
      <w:r w:rsidR="00E906C3">
        <w:rPr>
          <w:rFonts w:eastAsia="Calibri" w:cs="Calibri"/>
          <w:bCs/>
        </w:rPr>
        <w:t xml:space="preserve"> </w:t>
      </w:r>
      <w:bookmarkStart w:id="22" w:name="_Hlk190026366"/>
      <w:r w:rsidR="00861208">
        <w:rPr>
          <w:rFonts w:eastAsia="Calibri" w:cs="Calibri"/>
          <w:bCs/>
        </w:rPr>
        <w:t xml:space="preserve">The New Jersey State Plan developed a written policy on advanced notice and trained staff on the policy. </w:t>
      </w:r>
      <w:r w:rsidR="00D9553D">
        <w:rPr>
          <w:rFonts w:eastAsia="Calibri" w:cs="Calibri"/>
          <w:bCs/>
        </w:rPr>
        <w:t xml:space="preserve"> </w:t>
      </w:r>
      <w:r w:rsidR="00861208">
        <w:rPr>
          <w:rFonts w:eastAsia="Calibri" w:cs="Calibri"/>
          <w:bCs/>
        </w:rPr>
        <w:t xml:space="preserve">The New York City Regional Office reviewed and concurred with the written policy. </w:t>
      </w:r>
      <w:r w:rsidR="00D9553D">
        <w:rPr>
          <w:rFonts w:eastAsia="Calibri" w:cs="Calibri"/>
          <w:bCs/>
        </w:rPr>
        <w:t xml:space="preserve"> </w:t>
      </w:r>
      <w:r w:rsidRPr="00E906C3">
        <w:rPr>
          <w:rFonts w:eastAsia="Calibri" w:cs="Calibri"/>
          <w:bCs/>
        </w:rPr>
        <w:t>A case file review is necessary to gather the facts needed to evaluate progress on this finding.</w:t>
      </w:r>
      <w:r w:rsidR="00E906C3">
        <w:rPr>
          <w:rFonts w:eastAsia="Calibri" w:cs="Calibri"/>
          <w:bCs/>
        </w:rPr>
        <w:t xml:space="preserve"> </w:t>
      </w:r>
      <w:r w:rsidR="00D9553D">
        <w:rPr>
          <w:rFonts w:eastAsia="Calibri" w:cs="Calibri"/>
          <w:bCs/>
        </w:rPr>
        <w:t xml:space="preserve"> </w:t>
      </w:r>
      <w:r w:rsidRPr="00E906C3">
        <w:rPr>
          <w:rFonts w:eastAsia="Calibri" w:cs="Calibri"/>
          <w:bCs/>
        </w:rPr>
        <w:t>This finding will be a focus of next year’s on-site case file review during the FY 202</w:t>
      </w:r>
      <w:r w:rsidR="002C31B1">
        <w:rPr>
          <w:rFonts w:eastAsia="Calibri" w:cs="Calibri"/>
          <w:bCs/>
        </w:rPr>
        <w:t>5</w:t>
      </w:r>
      <w:r w:rsidRPr="00E906C3">
        <w:rPr>
          <w:rFonts w:eastAsia="Calibri" w:cs="Calibri"/>
          <w:bCs/>
        </w:rPr>
        <w:t xml:space="preserve"> comprehensive FAME and remains open.</w:t>
      </w:r>
    </w:p>
    <w:p w14:paraId="20CD0E98" w14:textId="77777777" w:rsidR="003B599D" w:rsidRDefault="003B599D" w:rsidP="008220A1">
      <w:pPr>
        <w:widowControl/>
        <w:tabs>
          <w:tab w:val="center" w:pos="270"/>
          <w:tab w:val="left" w:pos="360"/>
        </w:tabs>
        <w:autoSpaceDE/>
        <w:autoSpaceDN/>
        <w:adjustRightInd/>
        <w:rPr>
          <w:rFonts w:eastAsia="Calibri" w:cs="Calibri"/>
          <w:bCs/>
        </w:rPr>
      </w:pPr>
    </w:p>
    <w:p w14:paraId="71A5B325" w14:textId="3F16390C" w:rsidR="002C31B1" w:rsidRPr="009B6CFB" w:rsidRDefault="002C31B1" w:rsidP="002C31B1">
      <w:pPr>
        <w:widowControl/>
        <w:tabs>
          <w:tab w:val="center" w:pos="270"/>
          <w:tab w:val="left" w:pos="360"/>
        </w:tabs>
        <w:autoSpaceDE/>
        <w:autoSpaceDN/>
        <w:adjustRightInd/>
        <w:rPr>
          <w:rFonts w:eastAsia="Calibri" w:cs="Calibri"/>
          <w:b/>
          <w:i/>
          <w:iCs/>
        </w:rPr>
      </w:pPr>
      <w:r w:rsidRPr="009B6CFB">
        <w:rPr>
          <w:rFonts w:eastAsia="Calibri" w:cs="Calibri"/>
          <w:b/>
        </w:rPr>
        <w:t>Finding FY 202</w:t>
      </w:r>
      <w:r w:rsidR="009B6CFB" w:rsidRPr="009B6CFB">
        <w:rPr>
          <w:rFonts w:eastAsia="Calibri" w:cs="Calibri"/>
          <w:b/>
        </w:rPr>
        <w:t>4</w:t>
      </w:r>
      <w:r w:rsidRPr="009B6CFB">
        <w:rPr>
          <w:rFonts w:eastAsia="Calibri" w:cs="Calibri"/>
          <w:b/>
        </w:rPr>
        <w:t>-05</w:t>
      </w:r>
      <w:r w:rsidR="009B6CFB" w:rsidRPr="009B6CFB">
        <w:rPr>
          <w:rFonts w:eastAsia="Calibri" w:cs="Calibri"/>
          <w:b/>
        </w:rPr>
        <w:t xml:space="preserve"> (FY 2023-05):</w:t>
      </w:r>
      <w:r w:rsidRPr="002C31B1">
        <w:rPr>
          <w:rFonts w:eastAsia="Calibri" w:cs="Calibri"/>
          <w:bCs/>
        </w:rPr>
        <w:t xml:space="preserve"> </w:t>
      </w:r>
      <w:r w:rsidRPr="00AE4F3D">
        <w:rPr>
          <w:rFonts w:eastAsia="Calibri" w:cs="Calibri"/>
          <w:b/>
        </w:rPr>
        <w:t>General Duty Clause Violations</w:t>
      </w:r>
    </w:p>
    <w:p w14:paraId="759F9EB0" w14:textId="391F4B36" w:rsidR="002C31B1" w:rsidRDefault="00861208" w:rsidP="002C31B1">
      <w:pPr>
        <w:widowControl/>
        <w:tabs>
          <w:tab w:val="center" w:pos="270"/>
          <w:tab w:val="left" w:pos="360"/>
        </w:tabs>
        <w:autoSpaceDE/>
        <w:autoSpaceDN/>
        <w:adjustRightInd/>
        <w:rPr>
          <w:rFonts w:eastAsia="Calibri" w:cs="Calibri"/>
          <w:bCs/>
        </w:rPr>
      </w:pPr>
      <w:r>
        <w:rPr>
          <w:rFonts w:eastAsia="Calibri" w:cs="Calibri"/>
          <w:bCs/>
        </w:rPr>
        <w:t xml:space="preserve">During the FY 2023 FAME case review, </w:t>
      </w:r>
      <w:r w:rsidR="00B66C28">
        <w:rPr>
          <w:rFonts w:eastAsia="Calibri" w:cs="Calibri"/>
          <w:bCs/>
        </w:rPr>
        <w:t>10</w:t>
      </w:r>
      <w:r w:rsidR="002C31B1" w:rsidRPr="002C31B1">
        <w:rPr>
          <w:rFonts w:eastAsia="Calibri" w:cs="Calibri"/>
          <w:bCs/>
        </w:rPr>
        <w:t xml:space="preserve"> of </w:t>
      </w:r>
      <w:r w:rsidR="00B66C28">
        <w:rPr>
          <w:rFonts w:eastAsia="Calibri" w:cs="Calibri"/>
          <w:bCs/>
        </w:rPr>
        <w:t>12</w:t>
      </w:r>
      <w:r w:rsidR="002C31B1" w:rsidRPr="002C31B1">
        <w:rPr>
          <w:rFonts w:eastAsia="Calibri" w:cs="Calibri"/>
          <w:bCs/>
        </w:rPr>
        <w:t xml:space="preserve"> (83%) safety files with </w:t>
      </w:r>
      <w:r>
        <w:rPr>
          <w:rFonts w:eastAsia="Calibri" w:cs="Calibri"/>
          <w:bCs/>
        </w:rPr>
        <w:t>Orders to Comply (</w:t>
      </w:r>
      <w:r w:rsidR="002C31B1" w:rsidRPr="002C31B1">
        <w:rPr>
          <w:rFonts w:eastAsia="Calibri" w:cs="Calibri"/>
          <w:bCs/>
        </w:rPr>
        <w:t>OTCs</w:t>
      </w:r>
      <w:r>
        <w:rPr>
          <w:rFonts w:eastAsia="Calibri" w:cs="Calibri"/>
          <w:bCs/>
        </w:rPr>
        <w:t>)</w:t>
      </w:r>
      <w:r w:rsidR="002C31B1" w:rsidRPr="002C31B1">
        <w:rPr>
          <w:rFonts w:eastAsia="Calibri" w:cs="Calibri"/>
          <w:bCs/>
        </w:rPr>
        <w:t xml:space="preserve"> did not document all four of the elements required</w:t>
      </w:r>
      <w:r>
        <w:rPr>
          <w:rFonts w:eastAsia="Calibri" w:cs="Calibri"/>
          <w:bCs/>
        </w:rPr>
        <w:t xml:space="preserve"> </w:t>
      </w:r>
      <w:r w:rsidR="002C31B1" w:rsidRPr="002C31B1">
        <w:rPr>
          <w:rFonts w:eastAsia="Calibri" w:cs="Calibri"/>
          <w:bCs/>
        </w:rPr>
        <w:t xml:space="preserve">to support a </w:t>
      </w:r>
      <w:r w:rsidR="001473EF">
        <w:rPr>
          <w:rFonts w:eastAsia="Calibri" w:cs="Calibri"/>
          <w:bCs/>
        </w:rPr>
        <w:t>G</w:t>
      </w:r>
      <w:r w:rsidR="002C31B1" w:rsidRPr="002C31B1">
        <w:rPr>
          <w:rFonts w:eastAsia="Calibri" w:cs="Calibri"/>
          <w:bCs/>
        </w:rPr>
        <w:t xml:space="preserve">eneral </w:t>
      </w:r>
      <w:r w:rsidR="001473EF">
        <w:rPr>
          <w:rFonts w:eastAsia="Calibri" w:cs="Calibri"/>
          <w:bCs/>
        </w:rPr>
        <w:t>D</w:t>
      </w:r>
      <w:r w:rsidR="002C31B1" w:rsidRPr="002C31B1">
        <w:rPr>
          <w:rFonts w:eastAsia="Calibri" w:cs="Calibri"/>
          <w:bCs/>
        </w:rPr>
        <w:t xml:space="preserve">uty </w:t>
      </w:r>
      <w:r w:rsidR="001473EF">
        <w:rPr>
          <w:rFonts w:eastAsia="Calibri" w:cs="Calibri"/>
          <w:bCs/>
        </w:rPr>
        <w:t>C</w:t>
      </w:r>
      <w:r w:rsidR="009B6CFB">
        <w:rPr>
          <w:rFonts w:eastAsia="Calibri" w:cs="Calibri"/>
          <w:bCs/>
        </w:rPr>
        <w:t xml:space="preserve">lause </w:t>
      </w:r>
      <w:r w:rsidR="00EA445B">
        <w:rPr>
          <w:rFonts w:eastAsia="Calibri" w:cs="Calibri"/>
          <w:bCs/>
        </w:rPr>
        <w:t xml:space="preserve">(GDC) </w:t>
      </w:r>
      <w:r w:rsidR="002C31B1" w:rsidRPr="002C31B1">
        <w:rPr>
          <w:rFonts w:eastAsia="Calibri" w:cs="Calibri"/>
          <w:bCs/>
        </w:rPr>
        <w:t>violation</w:t>
      </w:r>
      <w:r w:rsidR="009B6CFB">
        <w:rPr>
          <w:rFonts w:eastAsia="Calibri" w:cs="Calibri"/>
          <w:bCs/>
        </w:rPr>
        <w:t>.</w:t>
      </w:r>
    </w:p>
    <w:p w14:paraId="4D9AB362" w14:textId="77777777" w:rsidR="009B6CFB" w:rsidRDefault="009B6CFB" w:rsidP="002C31B1">
      <w:pPr>
        <w:widowControl/>
        <w:tabs>
          <w:tab w:val="center" w:pos="270"/>
          <w:tab w:val="left" w:pos="360"/>
        </w:tabs>
        <w:autoSpaceDE/>
        <w:autoSpaceDN/>
        <w:adjustRightInd/>
        <w:rPr>
          <w:rFonts w:eastAsia="Calibri" w:cs="Calibri"/>
          <w:bCs/>
        </w:rPr>
      </w:pPr>
    </w:p>
    <w:p w14:paraId="2DE75820" w14:textId="0695057D" w:rsidR="009B6CFB" w:rsidRDefault="009B6CFB" w:rsidP="009B6CFB">
      <w:pPr>
        <w:rPr>
          <w:rFonts w:eastAsia="Calibri" w:cs="Calibri"/>
          <w:bCs/>
        </w:rPr>
      </w:pPr>
      <w:r>
        <w:rPr>
          <w:rFonts w:eastAsia="Calibri" w:cs="Calibri"/>
          <w:b/>
        </w:rPr>
        <w:t xml:space="preserve">Status: </w:t>
      </w:r>
      <w:r w:rsidR="00EA445B" w:rsidRPr="00EA445B">
        <w:rPr>
          <w:rFonts w:eastAsia="Calibri" w:cs="Calibri"/>
          <w:bCs/>
        </w:rPr>
        <w:t>The New Jersey State Plan provided training to all staff on the required elements to document when issuing a GDC violation.</w:t>
      </w:r>
      <w:r w:rsidR="00D9553D">
        <w:rPr>
          <w:rFonts w:eastAsia="Calibri" w:cs="Calibri"/>
          <w:bCs/>
        </w:rPr>
        <w:t xml:space="preserve">  </w:t>
      </w:r>
      <w:r w:rsidR="00EA445B" w:rsidRPr="00EA445B">
        <w:rPr>
          <w:rFonts w:eastAsia="Calibri" w:cs="Calibri"/>
          <w:bCs/>
        </w:rPr>
        <w:t>A</w:t>
      </w:r>
      <w:r w:rsidRPr="009B6CFB">
        <w:rPr>
          <w:rFonts w:eastAsia="Calibri" w:cs="Calibri"/>
          <w:bCs/>
        </w:rPr>
        <w:t xml:space="preserve"> case file review is necessary to gather the facts needed to evaluate progress on this finding. </w:t>
      </w:r>
      <w:r w:rsidR="00D9553D">
        <w:rPr>
          <w:rFonts w:eastAsia="Calibri" w:cs="Calibri"/>
          <w:bCs/>
        </w:rPr>
        <w:t xml:space="preserve"> </w:t>
      </w:r>
      <w:r w:rsidRPr="009B6CFB">
        <w:rPr>
          <w:rFonts w:eastAsia="Calibri" w:cs="Calibri"/>
          <w:bCs/>
        </w:rPr>
        <w:t>This finding will be a focus of next year’s on-site case file review during the FY 2025 comprehensive FAME and remains open.</w:t>
      </w:r>
    </w:p>
    <w:p w14:paraId="11687FE9" w14:textId="77777777" w:rsidR="009B6CFB" w:rsidRDefault="009B6CFB" w:rsidP="009B6CFB">
      <w:pPr>
        <w:rPr>
          <w:rFonts w:eastAsia="Calibri" w:cs="Calibri"/>
          <w:bCs/>
        </w:rPr>
      </w:pPr>
    </w:p>
    <w:p w14:paraId="3468E500" w14:textId="70306AA9" w:rsidR="009B6CFB" w:rsidRPr="00861208" w:rsidRDefault="009B6CFB" w:rsidP="009B6CFB">
      <w:pPr>
        <w:rPr>
          <w:rFonts w:eastAsia="Calibri" w:cs="Calibri"/>
          <w:b/>
          <w:i/>
          <w:iCs/>
        </w:rPr>
      </w:pPr>
      <w:r w:rsidRPr="009B6CFB">
        <w:rPr>
          <w:rFonts w:eastAsia="Calibri" w:cs="Calibri"/>
          <w:b/>
        </w:rPr>
        <w:t xml:space="preserve">Finding </w:t>
      </w:r>
      <w:r>
        <w:rPr>
          <w:rFonts w:eastAsia="Calibri" w:cs="Calibri"/>
          <w:b/>
        </w:rPr>
        <w:t>FY 2024-06 (</w:t>
      </w:r>
      <w:r w:rsidRPr="009B6CFB">
        <w:rPr>
          <w:rFonts w:eastAsia="Calibri" w:cs="Calibri"/>
          <w:b/>
        </w:rPr>
        <w:t>FY 2023-06</w:t>
      </w:r>
      <w:r>
        <w:rPr>
          <w:rFonts w:eastAsia="Calibri" w:cs="Calibri"/>
          <w:b/>
        </w:rPr>
        <w:t>)</w:t>
      </w:r>
      <w:r w:rsidRPr="009B6CFB">
        <w:rPr>
          <w:rFonts w:eastAsia="Calibri" w:cs="Calibri"/>
          <w:b/>
        </w:rPr>
        <w:t xml:space="preserve">: </w:t>
      </w:r>
      <w:r w:rsidRPr="00AE4F3D">
        <w:rPr>
          <w:rFonts w:eastAsia="Calibri" w:cs="Calibri"/>
          <w:b/>
        </w:rPr>
        <w:t>Adequate Abatement</w:t>
      </w:r>
    </w:p>
    <w:p w14:paraId="7C29E446" w14:textId="68C7C8D2" w:rsidR="009B6CFB" w:rsidRPr="00861208" w:rsidRDefault="00861208" w:rsidP="009B6CFB">
      <w:pPr>
        <w:rPr>
          <w:rFonts w:eastAsia="Calibri" w:cs="Calibri"/>
          <w:bCs/>
        </w:rPr>
      </w:pPr>
      <w:r>
        <w:rPr>
          <w:rFonts w:eastAsia="Calibri" w:cs="Calibri"/>
          <w:bCs/>
        </w:rPr>
        <w:t>During the FY 2023 FAME case review, i</w:t>
      </w:r>
      <w:r w:rsidR="009B6CFB" w:rsidRPr="00861208">
        <w:rPr>
          <w:rFonts w:eastAsia="Calibri" w:cs="Calibri"/>
          <w:bCs/>
        </w:rPr>
        <w:t>n 10 of 23 (43%) of closed safety files, evidence of abatement of all the issued OTCs was</w:t>
      </w:r>
      <w:r>
        <w:rPr>
          <w:rFonts w:eastAsia="Calibri" w:cs="Calibri"/>
          <w:bCs/>
        </w:rPr>
        <w:t xml:space="preserve"> </w:t>
      </w:r>
      <w:r w:rsidR="009B6CFB" w:rsidRPr="00861208">
        <w:rPr>
          <w:rFonts w:eastAsia="Calibri" w:cs="Calibri"/>
          <w:bCs/>
        </w:rPr>
        <w:t>not available for review in the case files.</w:t>
      </w:r>
    </w:p>
    <w:p w14:paraId="3A320652" w14:textId="1F2C87D0" w:rsidR="009B6CFB" w:rsidRDefault="009B6CFB" w:rsidP="002C31B1">
      <w:pPr>
        <w:widowControl/>
        <w:tabs>
          <w:tab w:val="center" w:pos="270"/>
          <w:tab w:val="left" w:pos="360"/>
        </w:tabs>
        <w:autoSpaceDE/>
        <w:autoSpaceDN/>
        <w:adjustRightInd/>
        <w:rPr>
          <w:rFonts w:eastAsia="Calibri" w:cs="Calibri"/>
          <w:b/>
        </w:rPr>
      </w:pPr>
    </w:p>
    <w:p w14:paraId="5FC89C3B" w14:textId="1B80CBB6" w:rsidR="009B6CFB" w:rsidRPr="00EA445B" w:rsidRDefault="009B6CFB" w:rsidP="009B6CFB">
      <w:pPr>
        <w:widowControl/>
        <w:tabs>
          <w:tab w:val="center" w:pos="270"/>
          <w:tab w:val="left" w:pos="360"/>
        </w:tabs>
        <w:autoSpaceDE/>
        <w:autoSpaceDN/>
        <w:adjustRightInd/>
        <w:rPr>
          <w:rFonts w:eastAsia="Calibri" w:cs="Calibri"/>
          <w:bCs/>
        </w:rPr>
      </w:pPr>
      <w:r>
        <w:rPr>
          <w:rFonts w:eastAsia="Calibri" w:cs="Calibri"/>
          <w:b/>
        </w:rPr>
        <w:t xml:space="preserve">Status: </w:t>
      </w:r>
      <w:r w:rsidR="00EA445B" w:rsidRPr="00EA445B">
        <w:rPr>
          <w:rFonts w:eastAsia="Calibri" w:cs="Calibri"/>
          <w:bCs/>
        </w:rPr>
        <w:t>The New Jersey State Plan</w:t>
      </w:r>
      <w:r w:rsidR="00075310" w:rsidRPr="00EA445B">
        <w:rPr>
          <w:rFonts w:eastAsia="Calibri" w:cs="Calibri"/>
          <w:bCs/>
        </w:rPr>
        <w:t xml:space="preserve"> implemented the use of a standardized </w:t>
      </w:r>
      <w:r w:rsidR="00EA445B" w:rsidRPr="00EA445B">
        <w:rPr>
          <w:rFonts w:eastAsia="Calibri" w:cs="Calibri"/>
          <w:bCs/>
        </w:rPr>
        <w:t>a</w:t>
      </w:r>
      <w:r w:rsidR="00075310" w:rsidRPr="00EA445B">
        <w:rPr>
          <w:rFonts w:eastAsia="Calibri" w:cs="Calibri"/>
          <w:bCs/>
        </w:rPr>
        <w:t xml:space="preserve">batement </w:t>
      </w:r>
      <w:r w:rsidR="00EA445B" w:rsidRPr="00EA445B">
        <w:rPr>
          <w:rFonts w:eastAsia="Calibri" w:cs="Calibri"/>
          <w:bCs/>
        </w:rPr>
        <w:t>w</w:t>
      </w:r>
      <w:r w:rsidR="00075310" w:rsidRPr="00EA445B">
        <w:rPr>
          <w:rFonts w:eastAsia="Calibri" w:cs="Calibri"/>
          <w:bCs/>
        </w:rPr>
        <w:t xml:space="preserve">orksheet to be distributed with all </w:t>
      </w:r>
      <w:r w:rsidR="00813533">
        <w:rPr>
          <w:rFonts w:eastAsia="Calibri" w:cs="Calibri"/>
          <w:bCs/>
        </w:rPr>
        <w:t>OTCs</w:t>
      </w:r>
      <w:r w:rsidR="00075310" w:rsidRPr="00EA445B">
        <w:rPr>
          <w:rFonts w:eastAsia="Calibri" w:cs="Calibri"/>
          <w:bCs/>
        </w:rPr>
        <w:t xml:space="preserve">. </w:t>
      </w:r>
      <w:r w:rsidR="00D9553D">
        <w:rPr>
          <w:rFonts w:eastAsia="Calibri" w:cs="Calibri"/>
          <w:bCs/>
        </w:rPr>
        <w:t xml:space="preserve"> </w:t>
      </w:r>
      <w:r w:rsidR="00075310" w:rsidRPr="00EA445B">
        <w:rPr>
          <w:rFonts w:eastAsia="Calibri" w:cs="Calibri"/>
          <w:bCs/>
        </w:rPr>
        <w:t>Th</w:t>
      </w:r>
      <w:r w:rsidR="00EA445B" w:rsidRPr="00EA445B">
        <w:rPr>
          <w:rFonts w:eastAsia="Calibri" w:cs="Calibri"/>
          <w:bCs/>
        </w:rPr>
        <w:t>is</w:t>
      </w:r>
      <w:r w:rsidR="00075310" w:rsidRPr="00EA445B">
        <w:rPr>
          <w:rFonts w:eastAsia="Calibri" w:cs="Calibri"/>
          <w:bCs/>
        </w:rPr>
        <w:t xml:space="preserve"> worksheet was designed to meet the requirements of 29 CFR </w:t>
      </w:r>
      <w:r w:rsidR="00075310" w:rsidRPr="00EA445B">
        <w:rPr>
          <w:rFonts w:eastAsia="Calibri" w:cs="Calibri"/>
          <w:bCs/>
        </w:rPr>
        <w:lastRenderedPageBreak/>
        <w:t>1903.19.</w:t>
      </w:r>
      <w:r w:rsidR="00D9553D">
        <w:rPr>
          <w:rFonts w:eastAsia="Calibri" w:cs="Calibri"/>
          <w:bCs/>
        </w:rPr>
        <w:t xml:space="preserve">  </w:t>
      </w:r>
      <w:r w:rsidR="00075310" w:rsidRPr="00EA445B">
        <w:rPr>
          <w:rFonts w:eastAsia="Calibri" w:cs="Calibri"/>
          <w:bCs/>
        </w:rPr>
        <w:t>Employers will be directed to complete the worksheet and provide applicable abatement documentation.</w:t>
      </w:r>
      <w:r w:rsidR="00EA445B">
        <w:rPr>
          <w:rFonts w:eastAsia="Calibri" w:cs="Calibri"/>
          <w:bCs/>
        </w:rPr>
        <w:t xml:space="preserve"> </w:t>
      </w:r>
      <w:r w:rsidR="00D9553D">
        <w:rPr>
          <w:rFonts w:eastAsia="Calibri" w:cs="Calibri"/>
          <w:bCs/>
        </w:rPr>
        <w:t xml:space="preserve"> </w:t>
      </w:r>
      <w:r w:rsidRPr="00EA445B">
        <w:rPr>
          <w:rFonts w:eastAsia="Calibri" w:cs="Calibri"/>
          <w:bCs/>
        </w:rPr>
        <w:t xml:space="preserve">A case file review is necessary to gather the facts needed to evaluate progress on this finding. </w:t>
      </w:r>
      <w:r w:rsidR="00D9553D">
        <w:rPr>
          <w:rFonts w:eastAsia="Calibri" w:cs="Calibri"/>
          <w:bCs/>
        </w:rPr>
        <w:t xml:space="preserve"> </w:t>
      </w:r>
      <w:r w:rsidRPr="00EA445B">
        <w:rPr>
          <w:rFonts w:eastAsia="Calibri" w:cs="Calibri"/>
          <w:bCs/>
        </w:rPr>
        <w:t>This finding will be a focus of next year’s on-site case file review during the FY 2025 comprehensive FAME and remains open.</w:t>
      </w:r>
    </w:p>
    <w:p w14:paraId="006DB7C2" w14:textId="77777777" w:rsidR="009B6CFB" w:rsidRDefault="009B6CFB" w:rsidP="009B6CFB">
      <w:pPr>
        <w:widowControl/>
        <w:tabs>
          <w:tab w:val="center" w:pos="270"/>
          <w:tab w:val="left" w:pos="360"/>
        </w:tabs>
        <w:autoSpaceDE/>
        <w:autoSpaceDN/>
        <w:adjustRightInd/>
        <w:rPr>
          <w:rFonts w:eastAsia="Calibri" w:cs="Calibri"/>
          <w:b/>
        </w:rPr>
      </w:pPr>
    </w:p>
    <w:p w14:paraId="13978614" w14:textId="208831BA" w:rsidR="009B6CFB" w:rsidRPr="009B6CFB" w:rsidRDefault="009B6CFB" w:rsidP="009B6CFB">
      <w:pPr>
        <w:widowControl/>
        <w:tabs>
          <w:tab w:val="center" w:pos="270"/>
          <w:tab w:val="left" w:pos="360"/>
        </w:tabs>
        <w:autoSpaceDE/>
        <w:autoSpaceDN/>
        <w:adjustRightInd/>
        <w:rPr>
          <w:rFonts w:eastAsia="Calibri" w:cs="Calibri"/>
          <w:b/>
        </w:rPr>
      </w:pPr>
      <w:r w:rsidRPr="009B6CFB">
        <w:rPr>
          <w:rFonts w:eastAsia="Calibri" w:cs="Calibri"/>
          <w:b/>
        </w:rPr>
        <w:t xml:space="preserve">Finding FY </w:t>
      </w:r>
      <w:r>
        <w:rPr>
          <w:rFonts w:eastAsia="Calibri" w:cs="Calibri"/>
          <w:b/>
        </w:rPr>
        <w:t>2024-07 (</w:t>
      </w:r>
      <w:r w:rsidRPr="009B6CFB">
        <w:rPr>
          <w:rFonts w:eastAsia="Calibri" w:cs="Calibri"/>
          <w:b/>
        </w:rPr>
        <w:t>2023-07</w:t>
      </w:r>
      <w:r>
        <w:rPr>
          <w:rFonts w:eastAsia="Calibri" w:cs="Calibri"/>
          <w:b/>
        </w:rPr>
        <w:t xml:space="preserve">, </w:t>
      </w:r>
      <w:r w:rsidRPr="009B6CFB">
        <w:rPr>
          <w:rFonts w:eastAsia="Calibri" w:cs="Calibri"/>
          <w:b/>
        </w:rPr>
        <w:t xml:space="preserve">FY 2022-05, FY 2021-05): </w:t>
      </w:r>
      <w:r w:rsidRPr="00AE4F3D">
        <w:rPr>
          <w:rFonts w:eastAsia="Calibri" w:cs="Calibri"/>
          <w:b/>
        </w:rPr>
        <w:t>Worker Involvement</w:t>
      </w:r>
    </w:p>
    <w:p w14:paraId="36FF6FA7" w14:textId="3B9A6051" w:rsidR="009B6CFB" w:rsidRPr="009B6CFB" w:rsidRDefault="009B6CFB" w:rsidP="009B6CFB">
      <w:pPr>
        <w:widowControl/>
        <w:tabs>
          <w:tab w:val="center" w:pos="270"/>
          <w:tab w:val="left" w:pos="360"/>
        </w:tabs>
        <w:autoSpaceDE/>
        <w:autoSpaceDN/>
        <w:adjustRightInd/>
        <w:rPr>
          <w:rFonts w:eastAsia="Calibri" w:cs="Calibri"/>
          <w:bCs/>
        </w:rPr>
      </w:pPr>
      <w:r w:rsidRPr="009B6CFB">
        <w:rPr>
          <w:rFonts w:eastAsia="Calibri" w:cs="Calibri"/>
          <w:bCs/>
        </w:rPr>
        <w:t xml:space="preserve">In 2023, in six of 12 (50%) of closed health files, employee interviews were not documented in the field notes. </w:t>
      </w:r>
      <w:r w:rsidR="00D9553D">
        <w:rPr>
          <w:rFonts w:eastAsia="Calibri" w:cs="Calibri"/>
          <w:bCs/>
        </w:rPr>
        <w:t xml:space="preserve"> </w:t>
      </w:r>
      <w:r w:rsidRPr="009B6CFB">
        <w:rPr>
          <w:rFonts w:eastAsia="Calibri" w:cs="Calibri"/>
          <w:bCs/>
        </w:rPr>
        <w:t>For both health fatality inspections reviewed</w:t>
      </w:r>
      <w:r w:rsidR="001473EF">
        <w:rPr>
          <w:rFonts w:eastAsia="Calibri" w:cs="Calibri"/>
          <w:bCs/>
        </w:rPr>
        <w:t>,</w:t>
      </w:r>
      <w:r w:rsidRPr="009B6CFB">
        <w:rPr>
          <w:rFonts w:eastAsia="Calibri" w:cs="Calibri"/>
          <w:bCs/>
        </w:rPr>
        <w:t xml:space="preserve"> there was no evidence in the files that non-managerial employees were interviewed to obtain information about their knowledge of the victim’s death and the general safety and health policies in place at the site. </w:t>
      </w:r>
      <w:r w:rsidR="00D9553D">
        <w:rPr>
          <w:rFonts w:eastAsia="Calibri" w:cs="Calibri"/>
          <w:bCs/>
        </w:rPr>
        <w:t xml:space="preserve"> </w:t>
      </w:r>
      <w:r w:rsidRPr="009B6CFB">
        <w:rPr>
          <w:rFonts w:eastAsia="Calibri" w:cs="Calibri"/>
          <w:bCs/>
        </w:rPr>
        <w:t>In 19 of 36 (53%) of the closed safety files, employee interviews were not documented.</w:t>
      </w:r>
    </w:p>
    <w:bookmarkEnd w:id="22"/>
    <w:p w14:paraId="6595F141" w14:textId="77777777" w:rsidR="008220A1" w:rsidRPr="008220A1" w:rsidRDefault="008220A1" w:rsidP="008220A1">
      <w:pPr>
        <w:widowControl/>
        <w:tabs>
          <w:tab w:val="center" w:pos="270"/>
          <w:tab w:val="left" w:pos="360"/>
        </w:tabs>
        <w:autoSpaceDE/>
        <w:autoSpaceDN/>
        <w:adjustRightInd/>
        <w:rPr>
          <w:rFonts w:eastAsia="Calibri" w:cs="Calibri"/>
          <w:b/>
        </w:rPr>
      </w:pPr>
    </w:p>
    <w:p w14:paraId="44553C5B" w14:textId="6C845102" w:rsidR="008220A1" w:rsidRPr="008220A1" w:rsidRDefault="008220A1" w:rsidP="008220A1">
      <w:pPr>
        <w:widowControl/>
        <w:tabs>
          <w:tab w:val="center" w:pos="270"/>
          <w:tab w:val="left" w:pos="360"/>
        </w:tabs>
        <w:autoSpaceDE/>
        <w:autoSpaceDN/>
        <w:adjustRightInd/>
        <w:rPr>
          <w:rFonts w:eastAsia="Calibri" w:cs="Calibri"/>
          <w:b/>
        </w:rPr>
      </w:pPr>
      <w:r w:rsidRPr="008220A1">
        <w:rPr>
          <w:rFonts w:eastAsia="Calibri" w:cs="Calibri"/>
          <w:b/>
        </w:rPr>
        <w:t xml:space="preserve">Status: </w:t>
      </w:r>
      <w:r w:rsidR="00EA445B">
        <w:rPr>
          <w:rFonts w:eastAsia="Calibri" w:cs="Calibri"/>
          <w:bCs/>
        </w:rPr>
        <w:t>The New Jersey State Plan</w:t>
      </w:r>
      <w:r w:rsidRPr="00E906C3">
        <w:rPr>
          <w:rFonts w:eastAsia="Calibri" w:cs="Calibri"/>
          <w:bCs/>
        </w:rPr>
        <w:t xml:space="preserve"> provided training to all staff instructing them to ensure all employee interviews are documented in OIS and case file notes. </w:t>
      </w:r>
      <w:r w:rsidR="00D9553D">
        <w:rPr>
          <w:rFonts w:eastAsia="Calibri" w:cs="Calibri"/>
          <w:bCs/>
        </w:rPr>
        <w:t xml:space="preserve"> </w:t>
      </w:r>
      <w:r w:rsidRPr="00E906C3">
        <w:rPr>
          <w:rFonts w:eastAsia="Calibri" w:cs="Calibri"/>
          <w:bCs/>
        </w:rPr>
        <w:t xml:space="preserve">A case file review is necessary to gather the facts needed to evaluate progress on this finding. </w:t>
      </w:r>
      <w:r w:rsidR="00D9553D">
        <w:rPr>
          <w:rFonts w:eastAsia="Calibri" w:cs="Calibri"/>
          <w:bCs/>
        </w:rPr>
        <w:t xml:space="preserve"> </w:t>
      </w:r>
      <w:r w:rsidRPr="00E906C3">
        <w:rPr>
          <w:rFonts w:eastAsia="Calibri" w:cs="Calibri"/>
          <w:bCs/>
        </w:rPr>
        <w:t>This finding will be a focus of next year’s on-site case file review during the FY 202</w:t>
      </w:r>
      <w:r w:rsidR="001473EF">
        <w:rPr>
          <w:rFonts w:eastAsia="Calibri" w:cs="Calibri"/>
          <w:bCs/>
        </w:rPr>
        <w:t>5</w:t>
      </w:r>
      <w:r w:rsidRPr="00E906C3">
        <w:rPr>
          <w:rFonts w:eastAsia="Calibri" w:cs="Calibri"/>
          <w:bCs/>
        </w:rPr>
        <w:t xml:space="preserve"> comprehensive FAME and remains open.</w:t>
      </w:r>
    </w:p>
    <w:p w14:paraId="14F93E8F" w14:textId="77777777" w:rsidR="008220A1" w:rsidRPr="008220A1" w:rsidRDefault="008220A1" w:rsidP="008220A1">
      <w:pPr>
        <w:widowControl/>
        <w:tabs>
          <w:tab w:val="center" w:pos="270"/>
          <w:tab w:val="left" w:pos="360"/>
        </w:tabs>
        <w:autoSpaceDE/>
        <w:autoSpaceDN/>
        <w:adjustRightInd/>
        <w:rPr>
          <w:rFonts w:eastAsia="Calibri" w:cs="Calibri"/>
          <w:b/>
        </w:rPr>
      </w:pPr>
    </w:p>
    <w:p w14:paraId="38E1C313" w14:textId="69329E1F" w:rsidR="008220A1" w:rsidRDefault="008220A1" w:rsidP="008220A1">
      <w:pPr>
        <w:widowControl/>
        <w:tabs>
          <w:tab w:val="center" w:pos="270"/>
          <w:tab w:val="left" w:pos="360"/>
        </w:tabs>
        <w:autoSpaceDE/>
        <w:autoSpaceDN/>
        <w:adjustRightInd/>
        <w:rPr>
          <w:rFonts w:eastAsia="Calibri" w:cs="Calibri"/>
          <w:b/>
          <w:i/>
          <w:iCs/>
        </w:rPr>
      </w:pPr>
      <w:r w:rsidRPr="008220A1">
        <w:rPr>
          <w:rFonts w:eastAsia="Calibri" w:cs="Calibri"/>
          <w:b/>
        </w:rPr>
        <w:t xml:space="preserve">Finding </w:t>
      </w:r>
      <w:r w:rsidR="00075310">
        <w:rPr>
          <w:rFonts w:eastAsia="Calibri" w:cs="Calibri"/>
          <w:b/>
        </w:rPr>
        <w:t xml:space="preserve">2024-08 (2023-08, </w:t>
      </w:r>
      <w:r w:rsidRPr="008220A1">
        <w:rPr>
          <w:rFonts w:eastAsia="Calibri" w:cs="Calibri"/>
          <w:b/>
        </w:rPr>
        <w:t>2022-06 (FY 2021-06, FY 2020-02, FY 2019-03):</w:t>
      </w:r>
      <w:r w:rsidRPr="00724392">
        <w:rPr>
          <w:rFonts w:eastAsia="Calibri" w:cs="Calibri"/>
          <w:b/>
        </w:rPr>
        <w:t xml:space="preserve"> </w:t>
      </w:r>
      <w:r w:rsidRPr="00AE4F3D">
        <w:rPr>
          <w:rFonts w:eastAsia="Calibri" w:cs="Calibri"/>
          <w:b/>
        </w:rPr>
        <w:t>Consultation File Documentation</w:t>
      </w:r>
    </w:p>
    <w:p w14:paraId="4C654C93" w14:textId="4781DFE8" w:rsidR="00075310" w:rsidRPr="00075310" w:rsidRDefault="00EA445B" w:rsidP="00075310">
      <w:pPr>
        <w:widowControl/>
        <w:tabs>
          <w:tab w:val="center" w:pos="270"/>
          <w:tab w:val="left" w:pos="360"/>
        </w:tabs>
        <w:autoSpaceDE/>
        <w:autoSpaceDN/>
        <w:adjustRightInd/>
        <w:rPr>
          <w:rFonts w:eastAsia="Calibri" w:cs="Calibri"/>
          <w:bCs/>
        </w:rPr>
      </w:pPr>
      <w:r>
        <w:rPr>
          <w:rFonts w:eastAsia="Calibri" w:cs="Calibri"/>
          <w:bCs/>
        </w:rPr>
        <w:t>Consultation c</w:t>
      </w:r>
      <w:r w:rsidR="00075310" w:rsidRPr="00075310">
        <w:rPr>
          <w:rFonts w:eastAsia="Calibri" w:cs="Calibri"/>
          <w:bCs/>
        </w:rPr>
        <w:t>ase file documentation was lacking. Specifically, the health files were missing the following: three out of five (60%) of the initial visits lacked a report, three out of five (60%) of the initial visits showing chlorine cylinder storage lacked evidence that coverage under the</w:t>
      </w:r>
      <w:r w:rsidR="00D9553D">
        <w:rPr>
          <w:rFonts w:eastAsia="Calibri" w:cs="Calibri"/>
          <w:bCs/>
        </w:rPr>
        <w:t xml:space="preserve"> </w:t>
      </w:r>
      <w:r w:rsidR="00075310" w:rsidRPr="00075310">
        <w:rPr>
          <w:rFonts w:eastAsia="Calibri" w:cs="Calibri"/>
          <w:bCs/>
        </w:rPr>
        <w:t>OSHA Process Safety Management Standard was evaluated</w:t>
      </w:r>
      <w:r w:rsidR="00D41845">
        <w:rPr>
          <w:rFonts w:eastAsia="Calibri" w:cs="Calibri"/>
          <w:bCs/>
        </w:rPr>
        <w:t>,</w:t>
      </w:r>
      <w:r w:rsidR="00075310" w:rsidRPr="00075310">
        <w:rPr>
          <w:rFonts w:eastAsia="Calibri" w:cs="Calibri"/>
          <w:bCs/>
        </w:rPr>
        <w:t xml:space="preserve"> and two of the three (66%) of the reports did not include all required years of injury/illness data. </w:t>
      </w:r>
      <w:r w:rsidR="00D9553D">
        <w:rPr>
          <w:rFonts w:eastAsia="Calibri" w:cs="Calibri"/>
          <w:bCs/>
        </w:rPr>
        <w:t xml:space="preserve"> </w:t>
      </w:r>
      <w:r w:rsidR="00075310" w:rsidRPr="00075310">
        <w:rPr>
          <w:rFonts w:eastAsia="Calibri" w:cs="Calibri"/>
          <w:bCs/>
        </w:rPr>
        <w:t xml:space="preserve">The safety consultation files were specifically missing the following: evidence in three of six (50%) of initial visits to support the issuance of notices under 1910.38, in two of two (100%) of the visits with an extension that the employer received an updated </w:t>
      </w:r>
      <w:r w:rsidR="001473EF">
        <w:rPr>
          <w:rFonts w:eastAsia="Calibri" w:cs="Calibri"/>
          <w:bCs/>
        </w:rPr>
        <w:t>l</w:t>
      </w:r>
      <w:r w:rsidR="00075310" w:rsidRPr="00075310">
        <w:rPr>
          <w:rFonts w:eastAsia="Calibri" w:cs="Calibri"/>
          <w:bCs/>
        </w:rPr>
        <w:t xml:space="preserve">ist of </w:t>
      </w:r>
      <w:r w:rsidR="001473EF">
        <w:rPr>
          <w:rFonts w:eastAsia="Calibri" w:cs="Calibri"/>
          <w:bCs/>
        </w:rPr>
        <w:t>h</w:t>
      </w:r>
      <w:r w:rsidR="00075310" w:rsidRPr="00075310">
        <w:rPr>
          <w:rFonts w:eastAsia="Calibri" w:cs="Calibri"/>
          <w:bCs/>
        </w:rPr>
        <w:t>azards, evidence to support issuing lockout/tagout program notices for two visits and in two visits how hazards were corrected.</w:t>
      </w:r>
    </w:p>
    <w:p w14:paraId="65378CD3" w14:textId="7FDFA6D7" w:rsidR="00075310" w:rsidRPr="00075310" w:rsidRDefault="00075310" w:rsidP="00075310">
      <w:pPr>
        <w:widowControl/>
        <w:tabs>
          <w:tab w:val="center" w:pos="270"/>
          <w:tab w:val="left" w:pos="360"/>
        </w:tabs>
        <w:autoSpaceDE/>
        <w:autoSpaceDN/>
        <w:adjustRightInd/>
        <w:rPr>
          <w:rFonts w:eastAsia="Calibri" w:cs="Calibri"/>
          <w:bCs/>
        </w:rPr>
      </w:pPr>
    </w:p>
    <w:p w14:paraId="00350281" w14:textId="7B2C6896" w:rsidR="00E15822" w:rsidRPr="00952D14" w:rsidRDefault="008220A1" w:rsidP="00E15822">
      <w:pPr>
        <w:widowControl/>
        <w:tabs>
          <w:tab w:val="center" w:pos="270"/>
          <w:tab w:val="left" w:pos="360"/>
        </w:tabs>
        <w:autoSpaceDE/>
        <w:autoSpaceDN/>
        <w:adjustRightInd/>
        <w:rPr>
          <w:rFonts w:eastAsia="Calibri" w:cs="Calibri"/>
          <w:bCs/>
        </w:rPr>
      </w:pPr>
      <w:r w:rsidRPr="008220A1">
        <w:rPr>
          <w:rFonts w:eastAsia="Calibri" w:cs="Calibri"/>
          <w:b/>
        </w:rPr>
        <w:t xml:space="preserve">Status: </w:t>
      </w:r>
      <w:r w:rsidR="00E15822" w:rsidRPr="00952D14">
        <w:rPr>
          <w:rFonts w:eastAsia="Calibri" w:cs="Calibri"/>
          <w:bCs/>
        </w:rPr>
        <w:t xml:space="preserve">Safety consultation staff were trained on the OSHA 1910.38 citation policy directive. </w:t>
      </w:r>
      <w:r w:rsidR="00D9553D">
        <w:rPr>
          <w:rFonts w:eastAsia="Calibri" w:cs="Calibri"/>
          <w:bCs/>
        </w:rPr>
        <w:t xml:space="preserve"> </w:t>
      </w:r>
      <w:r w:rsidR="00E15822" w:rsidRPr="00952D14">
        <w:rPr>
          <w:rFonts w:eastAsia="Calibri" w:cs="Calibri"/>
          <w:bCs/>
        </w:rPr>
        <w:t xml:space="preserve">The updated </w:t>
      </w:r>
      <w:r w:rsidR="001473EF">
        <w:rPr>
          <w:rFonts w:eastAsia="Calibri" w:cs="Calibri"/>
          <w:bCs/>
        </w:rPr>
        <w:t>l</w:t>
      </w:r>
      <w:r w:rsidR="00E15822" w:rsidRPr="00952D14">
        <w:rPr>
          <w:rFonts w:eastAsia="Calibri" w:cs="Calibri"/>
          <w:bCs/>
        </w:rPr>
        <w:t xml:space="preserve">ist of </w:t>
      </w:r>
      <w:r w:rsidR="001473EF">
        <w:rPr>
          <w:rFonts w:eastAsia="Calibri" w:cs="Calibri"/>
          <w:bCs/>
        </w:rPr>
        <w:t>h</w:t>
      </w:r>
      <w:r w:rsidR="00E15822" w:rsidRPr="00952D14">
        <w:rPr>
          <w:rFonts w:eastAsia="Calibri" w:cs="Calibri"/>
          <w:bCs/>
        </w:rPr>
        <w:t xml:space="preserve">azards </w:t>
      </w:r>
      <w:r w:rsidR="00721875">
        <w:rPr>
          <w:rFonts w:eastAsia="Calibri" w:cs="Calibri"/>
          <w:bCs/>
        </w:rPr>
        <w:t xml:space="preserve">will be forwarded </w:t>
      </w:r>
      <w:r w:rsidR="00E15822" w:rsidRPr="00952D14">
        <w:rPr>
          <w:rFonts w:eastAsia="Calibri" w:cs="Calibri"/>
          <w:bCs/>
        </w:rPr>
        <w:t>to the employer</w:t>
      </w:r>
      <w:r w:rsidR="00315927">
        <w:rPr>
          <w:rFonts w:eastAsia="Calibri" w:cs="Calibri"/>
          <w:bCs/>
        </w:rPr>
        <w:t>,</w:t>
      </w:r>
      <w:r w:rsidR="00E15822" w:rsidRPr="00952D14">
        <w:rPr>
          <w:rFonts w:eastAsia="Calibri" w:cs="Calibri"/>
          <w:bCs/>
        </w:rPr>
        <w:t xml:space="preserve"> </w:t>
      </w:r>
      <w:r w:rsidR="00721875">
        <w:rPr>
          <w:rFonts w:eastAsia="Calibri" w:cs="Calibri"/>
          <w:bCs/>
        </w:rPr>
        <w:t xml:space="preserve">and the action </w:t>
      </w:r>
      <w:r w:rsidR="00E15822" w:rsidRPr="00952D14">
        <w:rPr>
          <w:rFonts w:eastAsia="Calibri" w:cs="Calibri"/>
          <w:bCs/>
        </w:rPr>
        <w:t>will be documented in the case file tracking sheet.</w:t>
      </w:r>
      <w:r w:rsidR="00D9553D">
        <w:rPr>
          <w:rFonts w:eastAsia="Calibri" w:cs="Calibri"/>
          <w:bCs/>
        </w:rPr>
        <w:t xml:space="preserve">  </w:t>
      </w:r>
      <w:r w:rsidR="00E15822" w:rsidRPr="00952D14">
        <w:rPr>
          <w:rFonts w:eastAsia="Calibri" w:cs="Calibri"/>
          <w:bCs/>
        </w:rPr>
        <w:t>Abatements will be reviewed during case file review/closeout and missing documentation will be addressed by the supervisor/consultant.</w:t>
      </w:r>
    </w:p>
    <w:p w14:paraId="0CADBDD9" w14:textId="77777777" w:rsidR="00E15822" w:rsidRPr="00952D14" w:rsidRDefault="00E15822" w:rsidP="00E15822">
      <w:pPr>
        <w:widowControl/>
        <w:tabs>
          <w:tab w:val="center" w:pos="270"/>
          <w:tab w:val="left" w:pos="360"/>
        </w:tabs>
        <w:autoSpaceDE/>
        <w:autoSpaceDN/>
        <w:adjustRightInd/>
        <w:rPr>
          <w:rFonts w:eastAsia="Calibri" w:cs="Calibri"/>
          <w:bCs/>
        </w:rPr>
      </w:pPr>
    </w:p>
    <w:p w14:paraId="1939438D" w14:textId="62F83298" w:rsidR="008220A1" w:rsidRPr="00E906C3" w:rsidRDefault="00E15822" w:rsidP="00E15822">
      <w:pPr>
        <w:widowControl/>
        <w:tabs>
          <w:tab w:val="center" w:pos="270"/>
          <w:tab w:val="left" w:pos="360"/>
        </w:tabs>
        <w:autoSpaceDE/>
        <w:autoSpaceDN/>
        <w:adjustRightInd/>
        <w:rPr>
          <w:rFonts w:eastAsia="Calibri" w:cs="Calibri"/>
          <w:bCs/>
        </w:rPr>
      </w:pPr>
      <w:r w:rsidRPr="00952D14">
        <w:rPr>
          <w:rFonts w:eastAsia="Calibri" w:cs="Calibri"/>
          <w:bCs/>
        </w:rPr>
        <w:t xml:space="preserve">Health consultation staff were instructed to create a separate </w:t>
      </w:r>
      <w:r w:rsidR="001473EF">
        <w:rPr>
          <w:rFonts w:eastAsia="Calibri" w:cs="Calibri"/>
          <w:bCs/>
        </w:rPr>
        <w:t xml:space="preserve">consultation </w:t>
      </w:r>
      <w:r w:rsidRPr="00952D14">
        <w:rPr>
          <w:rFonts w:eastAsia="Calibri" w:cs="Calibri"/>
          <w:bCs/>
        </w:rPr>
        <w:t xml:space="preserve">report for each facility location and include all workplace deficiencies for each facility location. </w:t>
      </w:r>
      <w:r w:rsidR="00D9553D">
        <w:rPr>
          <w:rFonts w:eastAsia="Calibri" w:cs="Calibri"/>
          <w:bCs/>
        </w:rPr>
        <w:t xml:space="preserve"> </w:t>
      </w:r>
      <w:r w:rsidRPr="00952D14">
        <w:rPr>
          <w:rFonts w:eastAsia="Calibri" w:cs="Calibri"/>
          <w:bCs/>
        </w:rPr>
        <w:t xml:space="preserve">Staff have been advised to note in their documentation if compliance with the Process Safety Management Standard has been evaluated at water treatment facilities. </w:t>
      </w:r>
      <w:r w:rsidR="00D9553D">
        <w:rPr>
          <w:rFonts w:eastAsia="Calibri" w:cs="Calibri"/>
          <w:bCs/>
        </w:rPr>
        <w:t xml:space="preserve"> </w:t>
      </w:r>
      <w:r w:rsidRPr="00952D14">
        <w:rPr>
          <w:rFonts w:eastAsia="Calibri" w:cs="Calibri"/>
          <w:bCs/>
        </w:rPr>
        <w:t>Health consultation staff have been advised to include injury/illness logs in the file for each facility visited.</w:t>
      </w:r>
      <w:r w:rsidR="00D9553D">
        <w:rPr>
          <w:rFonts w:eastAsia="Calibri" w:cs="Calibri"/>
          <w:bCs/>
        </w:rPr>
        <w:t xml:space="preserve"> </w:t>
      </w:r>
      <w:r w:rsidRPr="00952D14">
        <w:rPr>
          <w:rFonts w:eastAsia="Calibri" w:cs="Calibri"/>
          <w:bCs/>
        </w:rPr>
        <w:t xml:space="preserve"> </w:t>
      </w:r>
      <w:r w:rsidR="008220A1" w:rsidRPr="00952D14">
        <w:rPr>
          <w:rFonts w:eastAsia="Calibri" w:cs="Calibri"/>
          <w:bCs/>
        </w:rPr>
        <w:t xml:space="preserve">A case file review is necessary to </w:t>
      </w:r>
      <w:r w:rsidR="008220A1" w:rsidRPr="00952D14">
        <w:rPr>
          <w:rFonts w:eastAsia="Calibri" w:cs="Calibri"/>
          <w:bCs/>
        </w:rPr>
        <w:lastRenderedPageBreak/>
        <w:t xml:space="preserve">gather the </w:t>
      </w:r>
      <w:r w:rsidR="008220A1" w:rsidRPr="00E906C3">
        <w:rPr>
          <w:rFonts w:eastAsia="Calibri" w:cs="Calibri"/>
          <w:bCs/>
        </w:rPr>
        <w:t>facts needed to evaluate progress on this finding.</w:t>
      </w:r>
      <w:r w:rsidR="00D9553D">
        <w:rPr>
          <w:rFonts w:eastAsia="Calibri" w:cs="Calibri"/>
          <w:bCs/>
        </w:rPr>
        <w:t xml:space="preserve">  </w:t>
      </w:r>
      <w:r w:rsidR="008220A1" w:rsidRPr="00E906C3">
        <w:rPr>
          <w:rFonts w:eastAsia="Calibri" w:cs="Calibri"/>
          <w:bCs/>
        </w:rPr>
        <w:t>This finding will be a focus of next year’s on-site case file review during the FY 202</w:t>
      </w:r>
      <w:r w:rsidR="001473EF">
        <w:rPr>
          <w:rFonts w:eastAsia="Calibri" w:cs="Calibri"/>
          <w:bCs/>
        </w:rPr>
        <w:t>5</w:t>
      </w:r>
      <w:r w:rsidR="008220A1" w:rsidRPr="00E906C3">
        <w:rPr>
          <w:rFonts w:eastAsia="Calibri" w:cs="Calibri"/>
          <w:bCs/>
        </w:rPr>
        <w:t xml:space="preserve"> comprehensive FAME and remains open.</w:t>
      </w:r>
    </w:p>
    <w:p w14:paraId="039132D8" w14:textId="77777777" w:rsidR="008220A1" w:rsidRPr="001C1E47" w:rsidRDefault="008220A1" w:rsidP="00783189">
      <w:pPr>
        <w:widowControl/>
        <w:tabs>
          <w:tab w:val="center" w:pos="270"/>
          <w:tab w:val="left" w:pos="360"/>
        </w:tabs>
        <w:autoSpaceDE/>
        <w:autoSpaceDN/>
        <w:adjustRightInd/>
        <w:rPr>
          <w:rFonts w:eastAsia="Calibri" w:cs="Calibri"/>
          <w:b/>
        </w:rPr>
      </w:pPr>
    </w:p>
    <w:p w14:paraId="3D39EA5A" w14:textId="461D37BA" w:rsidR="007C3449" w:rsidRDefault="00443054" w:rsidP="007C3449">
      <w:pPr>
        <w:rPr>
          <w:b/>
          <w:bCs/>
        </w:rPr>
      </w:pPr>
      <w:r w:rsidRPr="0061362E">
        <w:rPr>
          <w:b/>
          <w:bCs/>
        </w:rPr>
        <w:t xml:space="preserve">New FY </w:t>
      </w:r>
      <w:r w:rsidR="007C0A36" w:rsidRPr="0061362E">
        <w:rPr>
          <w:b/>
          <w:bCs/>
        </w:rPr>
        <w:t>20</w:t>
      </w:r>
      <w:r w:rsidR="00185C7D" w:rsidRPr="0061362E">
        <w:rPr>
          <w:b/>
          <w:bCs/>
        </w:rPr>
        <w:t>2</w:t>
      </w:r>
      <w:r w:rsidR="00867DBF">
        <w:rPr>
          <w:b/>
          <w:bCs/>
        </w:rPr>
        <w:t>4</w:t>
      </w:r>
      <w:r w:rsidR="007C0A36" w:rsidRPr="0061362E">
        <w:rPr>
          <w:b/>
          <w:bCs/>
        </w:rPr>
        <w:t xml:space="preserve"> </w:t>
      </w:r>
      <w:r w:rsidRPr="0061362E">
        <w:rPr>
          <w:b/>
          <w:bCs/>
        </w:rPr>
        <w:t>Finding</w:t>
      </w:r>
      <w:r w:rsidR="005B7803">
        <w:rPr>
          <w:b/>
          <w:bCs/>
        </w:rPr>
        <w:t>s</w:t>
      </w:r>
    </w:p>
    <w:p w14:paraId="06F90467" w14:textId="77777777" w:rsidR="00075310" w:rsidRDefault="00075310" w:rsidP="007C3449">
      <w:pPr>
        <w:rPr>
          <w:b/>
          <w:bCs/>
        </w:rPr>
      </w:pPr>
    </w:p>
    <w:p w14:paraId="2E551E38" w14:textId="5A343C08" w:rsidR="00952D14" w:rsidRPr="00952D14" w:rsidRDefault="00952D14" w:rsidP="00952D14">
      <w:pPr>
        <w:rPr>
          <w:b/>
          <w:bCs/>
          <w:i/>
          <w:iCs/>
        </w:rPr>
      </w:pPr>
      <w:r>
        <w:rPr>
          <w:b/>
          <w:bCs/>
        </w:rPr>
        <w:t xml:space="preserve">Finding FY 2024-09: </w:t>
      </w:r>
      <w:r w:rsidRPr="00AE4F3D">
        <w:rPr>
          <w:b/>
          <w:bCs/>
        </w:rPr>
        <w:t>Revision to Consultation Policies and Procedures Manual (CPPM) Chapter on SHARP</w:t>
      </w:r>
    </w:p>
    <w:p w14:paraId="11165F2E" w14:textId="0F69956B" w:rsidR="00952D14" w:rsidRDefault="00587AD1" w:rsidP="00952D14">
      <w:r>
        <w:t>In FY 2024, t</w:t>
      </w:r>
      <w:r w:rsidR="00952D14" w:rsidRPr="00952D14">
        <w:t xml:space="preserve">he State Plan </w:t>
      </w:r>
      <w:r w:rsidR="00AE049A">
        <w:t xml:space="preserve">initiated </w:t>
      </w:r>
      <w:r w:rsidR="00952D14" w:rsidRPr="00952D14">
        <w:t xml:space="preserve">a Safety and Health Achievement Program (SHARP) for </w:t>
      </w:r>
      <w:r w:rsidR="001473EF">
        <w:t xml:space="preserve">state and local government </w:t>
      </w:r>
      <w:r w:rsidR="00952D14" w:rsidRPr="00952D14">
        <w:t xml:space="preserve">worksites to receive recognition for safety and health performance </w:t>
      </w:r>
      <w:r w:rsidR="005E7E64">
        <w:t xml:space="preserve">to include </w:t>
      </w:r>
      <w:r w:rsidR="00952D14" w:rsidRPr="00952D14">
        <w:t>exempt</w:t>
      </w:r>
      <w:r w:rsidR="00484824">
        <w:t>ions</w:t>
      </w:r>
      <w:r w:rsidR="00952D14" w:rsidRPr="00952D14">
        <w:t xml:space="preserve"> from programmed inspections</w:t>
      </w:r>
      <w:r>
        <w:t xml:space="preserve">.  </w:t>
      </w:r>
      <w:r w:rsidR="00952D14" w:rsidRPr="00952D14">
        <w:t xml:space="preserve">The </w:t>
      </w:r>
      <w:r w:rsidR="00952D14">
        <w:t xml:space="preserve">New Jersey </w:t>
      </w:r>
      <w:r w:rsidR="00952D14" w:rsidRPr="00952D14">
        <w:t>State Plan has adopted the federal CPPM</w:t>
      </w:r>
      <w:r w:rsidR="00757202">
        <w:t>,</w:t>
      </w:r>
      <w:r w:rsidR="00952D14" w:rsidRPr="00952D14">
        <w:t xml:space="preserve"> but the chapter on SHARP in this manual outlines the procedures for approving a SHARP request under procedures for the 21(d) and not the 23(g) grant</w:t>
      </w:r>
      <w:r w:rsidR="00952D14">
        <w:t xml:space="preserve"> which are different</w:t>
      </w:r>
      <w:r w:rsidR="00952D14" w:rsidRPr="00952D14">
        <w:t xml:space="preserve">.  </w:t>
      </w:r>
    </w:p>
    <w:p w14:paraId="2FECFFEF" w14:textId="77777777" w:rsidR="00952D14" w:rsidRDefault="00952D14" w:rsidP="00952D14"/>
    <w:p w14:paraId="0E6A4FD0" w14:textId="578F756C" w:rsidR="00952D14" w:rsidRPr="00952D14" w:rsidRDefault="00952D14" w:rsidP="00952D14">
      <w:r w:rsidRPr="00952D14">
        <w:rPr>
          <w:b/>
          <w:bCs/>
        </w:rPr>
        <w:t>Recommendation FY 2024-09:</w:t>
      </w:r>
      <w:r w:rsidRPr="00952D14">
        <w:t xml:space="preserve"> The New Jersey State Plan needs to revise the </w:t>
      </w:r>
      <w:r w:rsidR="00DC4AB6">
        <w:t xml:space="preserve">SHARP </w:t>
      </w:r>
      <w:r w:rsidRPr="00952D14">
        <w:t xml:space="preserve">chapter in </w:t>
      </w:r>
      <w:r w:rsidR="00DC4AB6">
        <w:t>its</w:t>
      </w:r>
      <w:r w:rsidRPr="00952D14">
        <w:t xml:space="preserve"> CPPM to reflect the internal procedures for awarding SHARP status to </w:t>
      </w:r>
      <w:r w:rsidR="00397EE9">
        <w:t xml:space="preserve">covered </w:t>
      </w:r>
      <w:r w:rsidRPr="00952D14">
        <w:t>worksites.</w:t>
      </w:r>
    </w:p>
    <w:p w14:paraId="3C527C1E" w14:textId="1A6D9262" w:rsidR="00075310" w:rsidRPr="00952D14" w:rsidRDefault="00952D14" w:rsidP="00484824">
      <w:r w:rsidRPr="00952D14">
        <w:t xml:space="preserve">   </w:t>
      </w:r>
    </w:p>
    <w:p w14:paraId="61906944" w14:textId="0F1FEE17" w:rsidR="00952D14" w:rsidRPr="00AE4F3D" w:rsidRDefault="00952D14" w:rsidP="0043763A">
      <w:pPr>
        <w:tabs>
          <w:tab w:val="center" w:pos="4770"/>
        </w:tabs>
        <w:rPr>
          <w:rFonts w:cs="Calibri"/>
          <w:b/>
        </w:rPr>
      </w:pPr>
      <w:r w:rsidRPr="00A20469">
        <w:rPr>
          <w:rFonts w:cs="Calibri"/>
          <w:b/>
        </w:rPr>
        <w:t xml:space="preserve">Finding FY 2024-10: </w:t>
      </w:r>
      <w:r w:rsidR="00A20469" w:rsidRPr="00AE4F3D">
        <w:rPr>
          <w:rFonts w:cs="Calibri"/>
          <w:b/>
        </w:rPr>
        <w:t>Consultation Visit Exemption Policy for Enforcement Inspections</w:t>
      </w:r>
    </w:p>
    <w:p w14:paraId="5C300D78" w14:textId="543F3B74" w:rsidR="00A20469" w:rsidRDefault="00952D14" w:rsidP="00952D14">
      <w:pPr>
        <w:widowControl/>
        <w:autoSpaceDE/>
        <w:autoSpaceDN/>
        <w:adjustRightInd/>
        <w:rPr>
          <w:rFonts w:cs="Calibri"/>
          <w:bCs/>
        </w:rPr>
      </w:pPr>
      <w:r w:rsidRPr="00952D14">
        <w:rPr>
          <w:rFonts w:cs="Calibri"/>
          <w:bCs/>
        </w:rPr>
        <w:t>New Jersey Administrative Code (N.J.A.C) 12:110-8.7(d) permits</w:t>
      </w:r>
      <w:r>
        <w:rPr>
          <w:rFonts w:cs="Calibri"/>
          <w:bCs/>
        </w:rPr>
        <w:t xml:space="preserve"> </w:t>
      </w:r>
      <w:r w:rsidRPr="00952D14">
        <w:rPr>
          <w:rFonts w:cs="Calibri"/>
          <w:bCs/>
        </w:rPr>
        <w:t>employers to be exempted from programmed enforcement inspections for one year following either a full-service safety or health consultation visit</w:t>
      </w:r>
      <w:r w:rsidR="008D1F2F">
        <w:rPr>
          <w:rFonts w:cs="Calibri"/>
          <w:bCs/>
        </w:rPr>
        <w:t xml:space="preserve"> </w:t>
      </w:r>
      <w:r w:rsidRPr="00952D14">
        <w:rPr>
          <w:rFonts w:cs="Calibri"/>
          <w:bCs/>
        </w:rPr>
        <w:t>without the employer fulfilling the requirements of the Safety and Health Achievement Recognition Program (SHARP), or its equivalent</w:t>
      </w:r>
      <w:r w:rsidR="003921B2">
        <w:rPr>
          <w:rFonts w:cs="Calibri"/>
          <w:bCs/>
        </w:rPr>
        <w:t>.</w:t>
      </w:r>
      <w:r w:rsidR="00D9553D">
        <w:rPr>
          <w:rFonts w:cs="Calibri"/>
          <w:bCs/>
        </w:rPr>
        <w:t xml:space="preserve"> </w:t>
      </w:r>
      <w:r w:rsidR="003921B2">
        <w:rPr>
          <w:rFonts w:cs="Calibri"/>
          <w:bCs/>
        </w:rPr>
        <w:t xml:space="preserve"> </w:t>
      </w:r>
      <w:r w:rsidR="00A20469">
        <w:rPr>
          <w:rFonts w:cs="Calibri"/>
          <w:bCs/>
        </w:rPr>
        <w:t>T</w:t>
      </w:r>
      <w:r w:rsidRPr="00952D14">
        <w:rPr>
          <w:rFonts w:cs="Calibri"/>
          <w:bCs/>
        </w:rPr>
        <w:t xml:space="preserve">his </w:t>
      </w:r>
      <w:r w:rsidR="00A20469">
        <w:rPr>
          <w:rFonts w:cs="Calibri"/>
          <w:bCs/>
        </w:rPr>
        <w:t>policy</w:t>
      </w:r>
      <w:r w:rsidRPr="00952D14">
        <w:rPr>
          <w:rFonts w:cs="Calibri"/>
          <w:bCs/>
        </w:rPr>
        <w:t xml:space="preserve"> does not meet the criteria for federal OSHA’s enforcement programmed inspection exemption</w:t>
      </w:r>
      <w:r w:rsidR="00A20469">
        <w:rPr>
          <w:rFonts w:cs="Calibri"/>
          <w:bCs/>
        </w:rPr>
        <w:t>.</w:t>
      </w:r>
      <w:r w:rsidRPr="00952D14">
        <w:rPr>
          <w:rFonts w:cs="Calibri"/>
          <w:bCs/>
        </w:rPr>
        <w:t xml:space="preserve"> </w:t>
      </w:r>
    </w:p>
    <w:p w14:paraId="1C161263" w14:textId="77777777" w:rsidR="00A20469" w:rsidRDefault="00A20469" w:rsidP="00952D14">
      <w:pPr>
        <w:widowControl/>
        <w:autoSpaceDE/>
        <w:autoSpaceDN/>
        <w:adjustRightInd/>
        <w:rPr>
          <w:rFonts w:cs="Calibri"/>
          <w:bCs/>
        </w:rPr>
      </w:pPr>
    </w:p>
    <w:p w14:paraId="38A1A03C" w14:textId="2B44AB2A" w:rsidR="00952D14" w:rsidRDefault="00A20469" w:rsidP="00952D14">
      <w:pPr>
        <w:widowControl/>
        <w:autoSpaceDE/>
        <w:autoSpaceDN/>
        <w:adjustRightInd/>
        <w:rPr>
          <w:rFonts w:cs="Calibri"/>
          <w:bCs/>
        </w:rPr>
      </w:pPr>
      <w:r w:rsidRPr="00130713">
        <w:rPr>
          <w:rFonts w:cs="Calibri"/>
          <w:b/>
        </w:rPr>
        <w:t>Recommendation</w:t>
      </w:r>
      <w:r w:rsidR="001814E0">
        <w:rPr>
          <w:rFonts w:cs="Calibri"/>
          <w:b/>
        </w:rPr>
        <w:t xml:space="preserve"> FY 2024-10:</w:t>
      </w:r>
      <w:r w:rsidRPr="00130713">
        <w:rPr>
          <w:rFonts w:cs="Calibri"/>
          <w:b/>
        </w:rPr>
        <w:t xml:space="preserve"> </w:t>
      </w:r>
      <w:r>
        <w:rPr>
          <w:rFonts w:cs="Calibri"/>
          <w:bCs/>
        </w:rPr>
        <w:t xml:space="preserve">The New Jersey State Plan needs to continue to work with </w:t>
      </w:r>
      <w:r w:rsidR="00697B1F">
        <w:rPr>
          <w:rFonts w:cs="Calibri"/>
          <w:bCs/>
        </w:rPr>
        <w:t>its</w:t>
      </w:r>
      <w:r>
        <w:rPr>
          <w:rFonts w:cs="Calibri"/>
          <w:bCs/>
        </w:rPr>
        <w:t xml:space="preserve"> counsel’s office to repeal this enforcement exemption policy as soon as possible and ensure that the future exemption program is at least as effective as OSHA’s inspection programmed exemption policy.</w:t>
      </w:r>
    </w:p>
    <w:p w14:paraId="031A7931" w14:textId="77777777" w:rsidR="00A20469" w:rsidRDefault="00A20469" w:rsidP="00952D14">
      <w:pPr>
        <w:widowControl/>
        <w:autoSpaceDE/>
        <w:autoSpaceDN/>
        <w:adjustRightInd/>
        <w:rPr>
          <w:rFonts w:cs="Calibri"/>
          <w:bCs/>
        </w:rPr>
      </w:pPr>
    </w:p>
    <w:p w14:paraId="13190222" w14:textId="6095088A" w:rsidR="00A20469" w:rsidRDefault="00A20469" w:rsidP="00A20469">
      <w:pPr>
        <w:widowControl/>
        <w:autoSpaceDE/>
        <w:autoSpaceDN/>
        <w:adjustRightInd/>
        <w:rPr>
          <w:rFonts w:cs="Calibri"/>
          <w:bCs/>
        </w:rPr>
      </w:pPr>
      <w:r w:rsidRPr="00A20469">
        <w:rPr>
          <w:rFonts w:cs="Calibri"/>
          <w:bCs/>
        </w:rPr>
        <w:t xml:space="preserve">In the interim, </w:t>
      </w:r>
      <w:r>
        <w:rPr>
          <w:rFonts w:cs="Calibri"/>
          <w:bCs/>
        </w:rPr>
        <w:t>the New Jersey State Plan should</w:t>
      </w:r>
      <w:r w:rsidRPr="00A20469">
        <w:rPr>
          <w:rFonts w:cs="Calibri"/>
          <w:bCs/>
        </w:rPr>
        <w:t xml:space="preserve"> notify employers and stakeholders of this pending change, encourage employers to participate in the Pre-SHARP and SHARP programs, and ensure that enforcement staff is aware of the sites exempted from programmed inspections. </w:t>
      </w:r>
    </w:p>
    <w:p w14:paraId="463E3625" w14:textId="77777777" w:rsidR="00A20469" w:rsidRDefault="00A20469" w:rsidP="00A20469">
      <w:pPr>
        <w:widowControl/>
        <w:autoSpaceDE/>
        <w:autoSpaceDN/>
        <w:adjustRightInd/>
        <w:rPr>
          <w:rFonts w:cs="Calibri"/>
          <w:bCs/>
        </w:rPr>
      </w:pPr>
    </w:p>
    <w:p w14:paraId="49B482D8" w14:textId="77777777" w:rsidR="00443054" w:rsidRPr="001C1E47" w:rsidRDefault="00443054" w:rsidP="00E44D46">
      <w:pPr>
        <w:pStyle w:val="Heading4"/>
        <w:rPr>
          <w:b w:val="0"/>
        </w:rPr>
      </w:pPr>
      <w:bookmarkStart w:id="23" w:name="_Toc118900176"/>
      <w:bookmarkStart w:id="24" w:name="_Toc118905015"/>
      <w:r w:rsidRPr="001C1E47">
        <w:t>Observations</w:t>
      </w:r>
      <w:bookmarkEnd w:id="23"/>
      <w:bookmarkEnd w:id="24"/>
    </w:p>
    <w:p w14:paraId="2D0C820B" w14:textId="66904A2F" w:rsidR="005C1BFC" w:rsidRDefault="005C1BFC" w:rsidP="00783189">
      <w:pPr>
        <w:widowControl/>
        <w:autoSpaceDE/>
        <w:autoSpaceDN/>
        <w:adjustRightInd/>
        <w:rPr>
          <w:rFonts w:cs="Calibri"/>
          <w:bCs/>
          <w:highlight w:val="yellow"/>
          <w:u w:val="single"/>
        </w:rPr>
      </w:pPr>
    </w:p>
    <w:p w14:paraId="79818195" w14:textId="3381783A" w:rsidR="00E906C3" w:rsidRPr="00B26605" w:rsidRDefault="00E906C3" w:rsidP="00E906C3">
      <w:pPr>
        <w:widowControl/>
        <w:autoSpaceDE/>
        <w:autoSpaceDN/>
        <w:adjustRightInd/>
        <w:rPr>
          <w:rFonts w:cs="Calibri"/>
          <w:b/>
        </w:rPr>
      </w:pPr>
      <w:r w:rsidRPr="00B26605">
        <w:rPr>
          <w:rFonts w:cs="Calibri"/>
          <w:b/>
        </w:rPr>
        <w:t xml:space="preserve">Closed </w:t>
      </w:r>
      <w:r w:rsidR="004C169B">
        <w:rPr>
          <w:rFonts w:cs="Calibri"/>
          <w:b/>
        </w:rPr>
        <w:t xml:space="preserve">FY 2023 </w:t>
      </w:r>
      <w:r w:rsidRPr="00B26605">
        <w:rPr>
          <w:rFonts w:cs="Calibri"/>
          <w:b/>
        </w:rPr>
        <w:t>Observations</w:t>
      </w:r>
    </w:p>
    <w:p w14:paraId="785527E3" w14:textId="1AAA4A6C" w:rsidR="00E906C3" w:rsidRPr="00E906C3" w:rsidRDefault="00515C10" w:rsidP="00E906C3">
      <w:pPr>
        <w:widowControl/>
        <w:autoSpaceDE/>
        <w:autoSpaceDN/>
        <w:adjustRightInd/>
        <w:rPr>
          <w:rFonts w:cs="Calibri"/>
          <w:bCs/>
        </w:rPr>
      </w:pPr>
      <w:r>
        <w:rPr>
          <w:rFonts w:cs="Calibri"/>
          <w:bCs/>
        </w:rPr>
        <w:t>None</w:t>
      </w:r>
    </w:p>
    <w:p w14:paraId="3D8F8B3E" w14:textId="77777777" w:rsidR="00587AB9" w:rsidRDefault="00587AB9" w:rsidP="00E906C3">
      <w:pPr>
        <w:widowControl/>
        <w:autoSpaceDE/>
        <w:autoSpaceDN/>
        <w:adjustRightInd/>
        <w:rPr>
          <w:rFonts w:cs="Calibri"/>
          <w:b/>
        </w:rPr>
      </w:pPr>
    </w:p>
    <w:p w14:paraId="07C70485" w14:textId="16C5CE7F" w:rsidR="00E906C3" w:rsidRPr="00B26605" w:rsidRDefault="00B26605" w:rsidP="00E906C3">
      <w:pPr>
        <w:widowControl/>
        <w:autoSpaceDE/>
        <w:autoSpaceDN/>
        <w:adjustRightInd/>
        <w:rPr>
          <w:rFonts w:cs="Calibri"/>
          <w:b/>
        </w:rPr>
      </w:pPr>
      <w:r w:rsidRPr="00B26605">
        <w:rPr>
          <w:rFonts w:cs="Calibri"/>
          <w:b/>
        </w:rPr>
        <w:t xml:space="preserve">Continued </w:t>
      </w:r>
      <w:r w:rsidR="00E906C3" w:rsidRPr="00B26605">
        <w:rPr>
          <w:rFonts w:cs="Calibri"/>
          <w:b/>
        </w:rPr>
        <w:t>FY 202</w:t>
      </w:r>
      <w:r w:rsidR="004C169B">
        <w:rPr>
          <w:rFonts w:cs="Calibri"/>
          <w:b/>
        </w:rPr>
        <w:t>3</w:t>
      </w:r>
      <w:r w:rsidR="00E906C3" w:rsidRPr="00B26605">
        <w:rPr>
          <w:rFonts w:cs="Calibri"/>
          <w:b/>
        </w:rPr>
        <w:t xml:space="preserve"> Observations</w:t>
      </w:r>
    </w:p>
    <w:p w14:paraId="37D62DFF" w14:textId="77777777" w:rsidR="00DC4AB6" w:rsidRDefault="00DC4AB6" w:rsidP="006E1E8A">
      <w:pPr>
        <w:widowControl/>
        <w:autoSpaceDE/>
        <w:autoSpaceDN/>
        <w:adjustRightInd/>
        <w:rPr>
          <w:rFonts w:cs="Calibri"/>
          <w:b/>
        </w:rPr>
      </w:pPr>
    </w:p>
    <w:p w14:paraId="0F2853EF" w14:textId="35988940" w:rsidR="006E1E8A" w:rsidRDefault="006E1E8A" w:rsidP="006E1E8A">
      <w:pPr>
        <w:widowControl/>
        <w:autoSpaceDE/>
        <w:autoSpaceDN/>
        <w:adjustRightInd/>
        <w:rPr>
          <w:rFonts w:cs="Calibri"/>
          <w:b/>
          <w:i/>
          <w:iCs/>
        </w:rPr>
      </w:pPr>
      <w:r w:rsidRPr="006E1E8A">
        <w:rPr>
          <w:rFonts w:cs="Calibri"/>
          <w:b/>
        </w:rPr>
        <w:lastRenderedPageBreak/>
        <w:t>Observation FY 2024-</w:t>
      </w:r>
      <w:r w:rsidR="004C169B">
        <w:rPr>
          <w:rFonts w:cs="Calibri"/>
          <w:b/>
        </w:rPr>
        <w:t>OB-</w:t>
      </w:r>
      <w:r w:rsidRPr="006E1E8A">
        <w:rPr>
          <w:rFonts w:cs="Calibri"/>
          <w:b/>
        </w:rPr>
        <w:t xml:space="preserve">01 (FY 2023-OB-01, FY 2022-OB-08): </w:t>
      </w:r>
      <w:r w:rsidRPr="00AE4F3D">
        <w:rPr>
          <w:rFonts w:cs="Calibri"/>
          <w:b/>
        </w:rPr>
        <w:t>OIS Open Inspection Report-Pending Citations</w:t>
      </w:r>
    </w:p>
    <w:p w14:paraId="1928B352" w14:textId="11849410" w:rsidR="006E1E8A" w:rsidRDefault="006E1E8A" w:rsidP="006E1E8A">
      <w:pPr>
        <w:widowControl/>
        <w:autoSpaceDE/>
        <w:autoSpaceDN/>
        <w:adjustRightInd/>
        <w:rPr>
          <w:rFonts w:cs="Calibri"/>
          <w:bCs/>
        </w:rPr>
      </w:pPr>
      <w:r w:rsidRPr="006E1E8A">
        <w:rPr>
          <w:rFonts w:cs="Calibri"/>
          <w:bCs/>
        </w:rPr>
        <w:t xml:space="preserve">The OIS Open Inspection Report, run on February 5, 2024, showed 23 inspection files that had either an opening and/or closing conference date listed in FY 2022 or FY 2023 with citations that were pending issuance over 180 days or six months. </w:t>
      </w:r>
      <w:r w:rsidR="00D9553D">
        <w:rPr>
          <w:rFonts w:cs="Calibri"/>
          <w:bCs/>
        </w:rPr>
        <w:t xml:space="preserve"> </w:t>
      </w:r>
      <w:r w:rsidRPr="006E1E8A">
        <w:rPr>
          <w:rFonts w:cs="Calibri"/>
          <w:bCs/>
        </w:rPr>
        <w:t>Page 88 of PEOSH’s Field Operations Manual (FOM) states that citations cannot be issued more than six</w:t>
      </w:r>
      <w:r w:rsidR="00397EE9">
        <w:rPr>
          <w:rFonts w:cs="Calibri"/>
          <w:bCs/>
        </w:rPr>
        <w:t xml:space="preserve"> </w:t>
      </w:r>
      <w:r w:rsidRPr="006E1E8A">
        <w:rPr>
          <w:rFonts w:cs="Calibri"/>
          <w:bCs/>
        </w:rPr>
        <w:t>months following the occurrence of the violation.</w:t>
      </w:r>
      <w:r w:rsidR="00D9553D">
        <w:rPr>
          <w:rFonts w:cs="Calibri"/>
          <w:bCs/>
        </w:rPr>
        <w:t xml:space="preserve"> </w:t>
      </w:r>
      <w:r w:rsidRPr="006E1E8A">
        <w:rPr>
          <w:rFonts w:cs="Calibri"/>
          <w:bCs/>
        </w:rPr>
        <w:t xml:space="preserve"> This section of the FOM makes references to applicable sections in the OSH Act regarding issuing citations and not the PEOSH Act.</w:t>
      </w:r>
    </w:p>
    <w:p w14:paraId="6E1E871C" w14:textId="77777777" w:rsidR="006E1E8A" w:rsidRPr="006E1E8A" w:rsidRDefault="006E1E8A" w:rsidP="006E1E8A">
      <w:pPr>
        <w:widowControl/>
        <w:autoSpaceDE/>
        <w:autoSpaceDN/>
        <w:adjustRightInd/>
        <w:rPr>
          <w:rFonts w:cs="Calibri"/>
          <w:bCs/>
        </w:rPr>
      </w:pPr>
    </w:p>
    <w:p w14:paraId="49740CCE" w14:textId="54F09875" w:rsidR="006E1E8A" w:rsidRDefault="006E1E8A" w:rsidP="006E1E8A">
      <w:pPr>
        <w:widowControl/>
        <w:autoSpaceDE/>
        <w:autoSpaceDN/>
        <w:adjustRightInd/>
        <w:rPr>
          <w:rFonts w:cs="Calibri"/>
          <w:bCs/>
        </w:rPr>
      </w:pPr>
      <w:r w:rsidRPr="006E1E8A">
        <w:rPr>
          <w:rFonts w:cs="Calibri"/>
          <w:bCs/>
        </w:rPr>
        <w:t xml:space="preserve">The PEOSH Act under Section 34:6A-41 has been interpreted by PEOSH that citations can be issued more than six months following the occurrence of the violation. </w:t>
      </w:r>
      <w:r w:rsidR="00D9553D">
        <w:rPr>
          <w:rFonts w:cs="Calibri"/>
          <w:bCs/>
        </w:rPr>
        <w:t xml:space="preserve"> </w:t>
      </w:r>
      <w:r w:rsidRPr="006E1E8A">
        <w:rPr>
          <w:rFonts w:cs="Calibri"/>
          <w:bCs/>
        </w:rPr>
        <w:t>The six-month date is not based on the date of last employee exposure or the opening conference date, but the date that PEOSH determines that a violative condition exists.</w:t>
      </w:r>
    </w:p>
    <w:p w14:paraId="35A5E66B" w14:textId="77777777" w:rsidR="006E1E8A" w:rsidRDefault="006E1E8A" w:rsidP="006E1E8A">
      <w:pPr>
        <w:widowControl/>
        <w:autoSpaceDE/>
        <w:autoSpaceDN/>
        <w:adjustRightInd/>
        <w:rPr>
          <w:rFonts w:cs="Calibri"/>
          <w:bCs/>
        </w:rPr>
      </w:pPr>
    </w:p>
    <w:p w14:paraId="27183496" w14:textId="3BEFCA51" w:rsidR="00185FBD" w:rsidRDefault="006E1E8A" w:rsidP="006E1E8A">
      <w:pPr>
        <w:widowControl/>
        <w:autoSpaceDE/>
        <w:autoSpaceDN/>
        <w:adjustRightInd/>
        <w:rPr>
          <w:rFonts w:cs="Calibri"/>
          <w:bCs/>
        </w:rPr>
      </w:pPr>
      <w:r>
        <w:rPr>
          <w:rFonts w:cs="Calibri"/>
          <w:b/>
        </w:rPr>
        <w:t xml:space="preserve">Status: </w:t>
      </w:r>
      <w:r w:rsidR="008A1127">
        <w:rPr>
          <w:rFonts w:cs="Calibri"/>
          <w:bCs/>
        </w:rPr>
        <w:t>The</w:t>
      </w:r>
      <w:r w:rsidR="00F2505E">
        <w:rPr>
          <w:rFonts w:cs="Calibri"/>
          <w:bCs/>
        </w:rPr>
        <w:t xml:space="preserve"> OIS Open Inspection Report</w:t>
      </w:r>
      <w:r w:rsidR="00BF7999">
        <w:rPr>
          <w:rFonts w:cs="Calibri"/>
          <w:bCs/>
        </w:rPr>
        <w:t>,</w:t>
      </w:r>
      <w:r w:rsidR="00F2505E">
        <w:rPr>
          <w:rFonts w:cs="Calibri"/>
          <w:bCs/>
        </w:rPr>
        <w:t xml:space="preserve"> run on February 9, 2025</w:t>
      </w:r>
      <w:r w:rsidR="00315927">
        <w:rPr>
          <w:rFonts w:cs="Calibri"/>
          <w:bCs/>
        </w:rPr>
        <w:t>,</w:t>
      </w:r>
      <w:r w:rsidR="00F2505E">
        <w:rPr>
          <w:rFonts w:cs="Calibri"/>
          <w:bCs/>
        </w:rPr>
        <w:t xml:space="preserve"> showed 15 inspection</w:t>
      </w:r>
      <w:r w:rsidR="00185FBD">
        <w:rPr>
          <w:rFonts w:cs="Calibri"/>
          <w:bCs/>
        </w:rPr>
        <w:t xml:space="preserve"> files </w:t>
      </w:r>
      <w:r w:rsidR="00F2505E">
        <w:rPr>
          <w:rFonts w:cs="Calibri"/>
          <w:bCs/>
        </w:rPr>
        <w:t xml:space="preserve">that were opened more than 180 </w:t>
      </w:r>
      <w:r w:rsidR="00185FBD">
        <w:rPr>
          <w:rFonts w:cs="Calibri"/>
          <w:bCs/>
        </w:rPr>
        <w:t xml:space="preserve">calendar </w:t>
      </w:r>
      <w:r w:rsidR="00F2505E">
        <w:rPr>
          <w:rFonts w:cs="Calibri"/>
          <w:bCs/>
        </w:rPr>
        <w:t xml:space="preserve">days or six months. </w:t>
      </w:r>
      <w:r w:rsidR="00D9553D">
        <w:rPr>
          <w:rFonts w:cs="Calibri"/>
          <w:bCs/>
        </w:rPr>
        <w:t xml:space="preserve"> </w:t>
      </w:r>
      <w:r w:rsidR="00185FBD">
        <w:rPr>
          <w:rFonts w:cs="Calibri"/>
          <w:bCs/>
        </w:rPr>
        <w:t>The number of days opened ranged from 201</w:t>
      </w:r>
      <w:r w:rsidR="00F37866">
        <w:rPr>
          <w:rFonts w:cs="Calibri"/>
          <w:bCs/>
        </w:rPr>
        <w:t xml:space="preserve"> to </w:t>
      </w:r>
      <w:r w:rsidR="00185FBD">
        <w:rPr>
          <w:rFonts w:cs="Calibri"/>
          <w:bCs/>
        </w:rPr>
        <w:t>1,377 calendar days.</w:t>
      </w:r>
      <w:r w:rsidR="00397EE9">
        <w:rPr>
          <w:rFonts w:cs="Calibri"/>
          <w:bCs/>
        </w:rPr>
        <w:t xml:space="preserve"> </w:t>
      </w:r>
      <w:r w:rsidR="00D9553D">
        <w:rPr>
          <w:rFonts w:cs="Calibri"/>
          <w:bCs/>
        </w:rPr>
        <w:t xml:space="preserve"> </w:t>
      </w:r>
      <w:r w:rsidR="00F2505E" w:rsidRPr="00F2505E">
        <w:rPr>
          <w:rFonts w:cs="Calibri"/>
          <w:bCs/>
        </w:rPr>
        <w:t xml:space="preserve">This observation </w:t>
      </w:r>
      <w:r w:rsidR="007727E3">
        <w:rPr>
          <w:rFonts w:cs="Calibri"/>
          <w:bCs/>
        </w:rPr>
        <w:t xml:space="preserve">is </w:t>
      </w:r>
      <w:r w:rsidR="00F2505E" w:rsidRPr="00F2505E">
        <w:rPr>
          <w:rFonts w:cs="Calibri"/>
          <w:bCs/>
        </w:rPr>
        <w:t xml:space="preserve">continued and will be amended to reflect the </w:t>
      </w:r>
      <w:r w:rsidR="00F2505E">
        <w:rPr>
          <w:rFonts w:cs="Calibri"/>
          <w:bCs/>
        </w:rPr>
        <w:t xml:space="preserve">new OIS </w:t>
      </w:r>
      <w:r w:rsidR="00F2505E" w:rsidRPr="00F2505E">
        <w:rPr>
          <w:rFonts w:cs="Calibri"/>
          <w:bCs/>
        </w:rPr>
        <w:t xml:space="preserve">data from </w:t>
      </w:r>
      <w:r w:rsidR="00185FBD">
        <w:rPr>
          <w:rFonts w:cs="Calibri"/>
          <w:bCs/>
        </w:rPr>
        <w:t xml:space="preserve">the February 9, </w:t>
      </w:r>
      <w:proofErr w:type="gramStart"/>
      <w:r w:rsidR="00185FBD">
        <w:rPr>
          <w:rFonts w:cs="Calibri"/>
          <w:bCs/>
        </w:rPr>
        <w:t>2025</w:t>
      </w:r>
      <w:proofErr w:type="gramEnd"/>
      <w:r w:rsidR="00185FBD">
        <w:rPr>
          <w:rFonts w:cs="Calibri"/>
          <w:bCs/>
        </w:rPr>
        <w:t xml:space="preserve"> report.</w:t>
      </w:r>
    </w:p>
    <w:p w14:paraId="0FCF1D72" w14:textId="77777777" w:rsidR="00185FBD" w:rsidRDefault="00185FBD" w:rsidP="006E1E8A">
      <w:pPr>
        <w:widowControl/>
        <w:autoSpaceDE/>
        <w:autoSpaceDN/>
        <w:adjustRightInd/>
        <w:rPr>
          <w:rFonts w:cs="Calibri"/>
          <w:bCs/>
        </w:rPr>
      </w:pPr>
    </w:p>
    <w:p w14:paraId="4FA36B8C" w14:textId="6C89C13B" w:rsidR="00185FBD" w:rsidRPr="00185FBD" w:rsidRDefault="00185FBD" w:rsidP="00185FBD">
      <w:pPr>
        <w:widowControl/>
        <w:autoSpaceDE/>
        <w:autoSpaceDN/>
        <w:adjustRightInd/>
        <w:rPr>
          <w:rFonts w:cs="Calibri"/>
          <w:b/>
          <w:i/>
          <w:iCs/>
        </w:rPr>
      </w:pPr>
      <w:r w:rsidRPr="00185FBD">
        <w:rPr>
          <w:rFonts w:cs="Calibri"/>
          <w:b/>
        </w:rPr>
        <w:t>Observation FY 2024-</w:t>
      </w:r>
      <w:r w:rsidR="004C169B">
        <w:rPr>
          <w:rFonts w:cs="Calibri"/>
          <w:b/>
        </w:rPr>
        <w:t>OB-</w:t>
      </w:r>
      <w:r w:rsidRPr="00185FBD">
        <w:rPr>
          <w:rFonts w:cs="Calibri"/>
          <w:b/>
        </w:rPr>
        <w:t>02 (FY 2023-OB-02 FY 2022-OB-07):</w:t>
      </w:r>
      <w:r w:rsidRPr="00185FBD">
        <w:rPr>
          <w:rFonts w:cs="Calibri"/>
          <w:bCs/>
          <w:i/>
          <w:iCs/>
        </w:rPr>
        <w:t xml:space="preserve"> </w:t>
      </w:r>
      <w:r w:rsidRPr="00AE4F3D">
        <w:rPr>
          <w:rFonts w:cs="Calibri"/>
          <w:b/>
        </w:rPr>
        <w:t>OIS Open Inspection Report-Pending Abatement</w:t>
      </w:r>
    </w:p>
    <w:p w14:paraId="4B61B14D" w14:textId="0C5F42B0" w:rsidR="00185FBD" w:rsidRPr="00185FBD" w:rsidRDefault="00185FBD" w:rsidP="00185FBD">
      <w:pPr>
        <w:widowControl/>
        <w:autoSpaceDE/>
        <w:autoSpaceDN/>
        <w:adjustRightInd/>
        <w:rPr>
          <w:rFonts w:cs="Calibri"/>
          <w:bCs/>
        </w:rPr>
      </w:pPr>
      <w:r w:rsidRPr="00185FBD">
        <w:rPr>
          <w:rFonts w:cs="Calibri"/>
          <w:bCs/>
        </w:rPr>
        <w:t xml:space="preserve">The OIS Open Inspection Report, run on February 5, 2024, showed 15 inspections with overdue abatement. </w:t>
      </w:r>
      <w:bookmarkStart w:id="25" w:name="_Hlk190073032"/>
      <w:r w:rsidR="00D9553D">
        <w:rPr>
          <w:rFonts w:cs="Calibri"/>
          <w:bCs/>
        </w:rPr>
        <w:t xml:space="preserve"> </w:t>
      </w:r>
      <w:r w:rsidRPr="00185FBD">
        <w:rPr>
          <w:rFonts w:cs="Calibri"/>
          <w:bCs/>
        </w:rPr>
        <w:t>The number of days overdue for these inspections ranged from 10 to 3,423 days.</w:t>
      </w:r>
    </w:p>
    <w:p w14:paraId="17BD35B5" w14:textId="77777777" w:rsidR="00E906C3" w:rsidRDefault="00E906C3" w:rsidP="00E906C3">
      <w:pPr>
        <w:widowControl/>
        <w:autoSpaceDE/>
        <w:autoSpaceDN/>
        <w:adjustRightInd/>
        <w:rPr>
          <w:rFonts w:cs="Calibri"/>
          <w:bCs/>
        </w:rPr>
      </w:pPr>
    </w:p>
    <w:bookmarkEnd w:id="25"/>
    <w:p w14:paraId="372CFD24" w14:textId="5659ADB2" w:rsidR="00185FBD" w:rsidRDefault="00185FBD" w:rsidP="00AC4BC1">
      <w:pPr>
        <w:rPr>
          <w:rFonts w:cs="Calibri"/>
          <w:bCs/>
        </w:rPr>
      </w:pPr>
      <w:r>
        <w:rPr>
          <w:rFonts w:cs="Calibri"/>
          <w:b/>
        </w:rPr>
        <w:t xml:space="preserve">Status: </w:t>
      </w:r>
      <w:r w:rsidR="008A1127">
        <w:rPr>
          <w:rFonts w:cs="Calibri"/>
          <w:bCs/>
        </w:rPr>
        <w:t>The</w:t>
      </w:r>
      <w:r w:rsidRPr="00185FBD">
        <w:rPr>
          <w:rFonts w:cs="Calibri"/>
          <w:bCs/>
        </w:rPr>
        <w:t xml:space="preserve"> OIS Open Inspection Report</w:t>
      </w:r>
      <w:r w:rsidR="00BF7999">
        <w:rPr>
          <w:rFonts w:cs="Calibri"/>
          <w:bCs/>
        </w:rPr>
        <w:t>,</w:t>
      </w:r>
      <w:r w:rsidRPr="00185FBD">
        <w:rPr>
          <w:rFonts w:cs="Calibri"/>
          <w:bCs/>
        </w:rPr>
        <w:t xml:space="preserve"> run on February 9, 2025</w:t>
      </w:r>
      <w:r w:rsidR="00E42170">
        <w:rPr>
          <w:rFonts w:cs="Calibri"/>
          <w:bCs/>
        </w:rPr>
        <w:t>,</w:t>
      </w:r>
      <w:r w:rsidRPr="00185FBD">
        <w:rPr>
          <w:rFonts w:cs="Calibri"/>
          <w:bCs/>
        </w:rPr>
        <w:t xml:space="preserve"> showed 1</w:t>
      </w:r>
      <w:r>
        <w:rPr>
          <w:rFonts w:cs="Calibri"/>
          <w:bCs/>
        </w:rPr>
        <w:t>7</w:t>
      </w:r>
      <w:r w:rsidRPr="00185FBD">
        <w:rPr>
          <w:rFonts w:cs="Calibri"/>
          <w:bCs/>
        </w:rPr>
        <w:t xml:space="preserve"> inspection files that </w:t>
      </w:r>
      <w:r>
        <w:rPr>
          <w:rFonts w:cs="Calibri"/>
          <w:bCs/>
        </w:rPr>
        <w:t>had abatement past due by 14 calendar days.</w:t>
      </w:r>
      <w:r w:rsidRPr="00185FBD">
        <w:rPr>
          <w:rFonts w:cs="Calibri"/>
          <w:bCs/>
        </w:rPr>
        <w:t xml:space="preserve"> </w:t>
      </w:r>
      <w:r w:rsidR="00D9553D">
        <w:rPr>
          <w:rFonts w:cs="Calibri"/>
          <w:bCs/>
        </w:rPr>
        <w:t xml:space="preserve"> </w:t>
      </w:r>
      <w:r w:rsidR="00AC4BC1" w:rsidRPr="00AC4BC1">
        <w:rPr>
          <w:rFonts w:cs="Calibri"/>
          <w:bCs/>
        </w:rPr>
        <w:t xml:space="preserve">The number of days overdue for these inspections ranged from </w:t>
      </w:r>
      <w:r w:rsidR="00AC4BC1">
        <w:rPr>
          <w:rFonts w:cs="Calibri"/>
          <w:bCs/>
        </w:rPr>
        <w:t>16</w:t>
      </w:r>
      <w:r w:rsidR="00AC4BC1" w:rsidRPr="00AC4BC1">
        <w:rPr>
          <w:rFonts w:cs="Calibri"/>
          <w:bCs/>
        </w:rPr>
        <w:t xml:space="preserve"> to </w:t>
      </w:r>
      <w:r w:rsidR="00AC4BC1">
        <w:rPr>
          <w:rFonts w:cs="Calibri"/>
          <w:bCs/>
        </w:rPr>
        <w:t>1,026 calendar</w:t>
      </w:r>
      <w:r w:rsidR="00AC4BC1" w:rsidRPr="00AC4BC1">
        <w:rPr>
          <w:rFonts w:cs="Calibri"/>
          <w:bCs/>
        </w:rPr>
        <w:t xml:space="preserve"> days.</w:t>
      </w:r>
      <w:r w:rsidR="00AC4BC1">
        <w:rPr>
          <w:rFonts w:cs="Calibri"/>
          <w:bCs/>
        </w:rPr>
        <w:t xml:space="preserve"> </w:t>
      </w:r>
      <w:r w:rsidR="00D9553D">
        <w:rPr>
          <w:rFonts w:cs="Calibri"/>
          <w:bCs/>
        </w:rPr>
        <w:t xml:space="preserve"> </w:t>
      </w:r>
      <w:r w:rsidRPr="00185FBD">
        <w:rPr>
          <w:rFonts w:cs="Calibri"/>
          <w:bCs/>
        </w:rPr>
        <w:t xml:space="preserve">This observation </w:t>
      </w:r>
      <w:r w:rsidR="007727E3">
        <w:rPr>
          <w:rFonts w:cs="Calibri"/>
          <w:bCs/>
        </w:rPr>
        <w:t xml:space="preserve">is </w:t>
      </w:r>
      <w:r w:rsidRPr="00185FBD">
        <w:rPr>
          <w:rFonts w:cs="Calibri"/>
          <w:bCs/>
        </w:rPr>
        <w:t>continued and will be amended to reflect the new OIS data from the February 9, 2025 report.</w:t>
      </w:r>
    </w:p>
    <w:p w14:paraId="31B483B7" w14:textId="77777777" w:rsidR="00185FBD" w:rsidRPr="00185FBD" w:rsidRDefault="00185FBD" w:rsidP="00E906C3">
      <w:pPr>
        <w:widowControl/>
        <w:autoSpaceDE/>
        <w:autoSpaceDN/>
        <w:adjustRightInd/>
        <w:rPr>
          <w:rFonts w:cs="Calibri"/>
          <w:b/>
        </w:rPr>
      </w:pPr>
    </w:p>
    <w:p w14:paraId="207FBF16" w14:textId="5073112F" w:rsidR="00AC4BC1" w:rsidRPr="00AC4BC1" w:rsidRDefault="00AC4BC1" w:rsidP="00AC4BC1">
      <w:pPr>
        <w:widowControl/>
        <w:autoSpaceDE/>
        <w:autoSpaceDN/>
        <w:adjustRightInd/>
        <w:rPr>
          <w:rFonts w:cs="Calibri"/>
          <w:b/>
          <w:i/>
          <w:iCs/>
        </w:rPr>
      </w:pPr>
      <w:r w:rsidRPr="00AC4BC1">
        <w:rPr>
          <w:rFonts w:cs="Calibri"/>
          <w:b/>
        </w:rPr>
        <w:t xml:space="preserve">Observation </w:t>
      </w:r>
      <w:r>
        <w:rPr>
          <w:rFonts w:cs="Calibri"/>
          <w:b/>
        </w:rPr>
        <w:t>FY 2024-</w:t>
      </w:r>
      <w:r w:rsidR="004C169B">
        <w:rPr>
          <w:rFonts w:cs="Calibri"/>
          <w:b/>
        </w:rPr>
        <w:t>OB-</w:t>
      </w:r>
      <w:r>
        <w:rPr>
          <w:rFonts w:cs="Calibri"/>
          <w:b/>
        </w:rPr>
        <w:t>03 (</w:t>
      </w:r>
      <w:r w:rsidRPr="00AC4BC1">
        <w:rPr>
          <w:rFonts w:cs="Calibri"/>
          <w:b/>
        </w:rPr>
        <w:t>FY 2023-OB-03</w:t>
      </w:r>
      <w:r>
        <w:rPr>
          <w:rFonts w:cs="Calibri"/>
          <w:b/>
        </w:rPr>
        <w:t>)</w:t>
      </w:r>
      <w:r w:rsidRPr="00AC4BC1">
        <w:rPr>
          <w:rFonts w:cs="Calibri"/>
          <w:b/>
        </w:rPr>
        <w:t xml:space="preserve">: </w:t>
      </w:r>
      <w:r w:rsidRPr="00AE4F3D">
        <w:rPr>
          <w:rFonts w:cs="Calibri"/>
          <w:b/>
        </w:rPr>
        <w:t>OIS Open Inspection Report-Citations Not Received</w:t>
      </w:r>
    </w:p>
    <w:p w14:paraId="5FD273C6" w14:textId="5DBBE24D" w:rsidR="00AC4BC1" w:rsidRPr="00AC4BC1" w:rsidRDefault="00AC4BC1" w:rsidP="00AC4BC1">
      <w:pPr>
        <w:widowControl/>
        <w:autoSpaceDE/>
        <w:autoSpaceDN/>
        <w:adjustRightInd/>
        <w:rPr>
          <w:rFonts w:cs="Calibri"/>
          <w:bCs/>
        </w:rPr>
      </w:pPr>
      <w:r w:rsidRPr="00AC4BC1">
        <w:rPr>
          <w:rFonts w:cs="Calibri"/>
          <w:bCs/>
        </w:rPr>
        <w:t xml:space="preserve">The OIS Open Inspection Report, run on February 5, 2024, showed 60 inspection files listed that had not been updated in OIS to reflect the receipt of citations. </w:t>
      </w:r>
      <w:r w:rsidR="00D9553D">
        <w:rPr>
          <w:rFonts w:cs="Calibri"/>
          <w:bCs/>
        </w:rPr>
        <w:t xml:space="preserve"> </w:t>
      </w:r>
      <w:r w:rsidRPr="00AC4BC1">
        <w:rPr>
          <w:rFonts w:cs="Calibri"/>
          <w:bCs/>
        </w:rPr>
        <w:t>OIS needs to be updated</w:t>
      </w:r>
    </w:p>
    <w:p w14:paraId="35C801D6" w14:textId="2613CD3D" w:rsidR="00AC4BC1" w:rsidRDefault="00AC4BC1" w:rsidP="00AC4BC1">
      <w:pPr>
        <w:widowControl/>
        <w:autoSpaceDE/>
        <w:autoSpaceDN/>
        <w:adjustRightInd/>
        <w:rPr>
          <w:rFonts w:cs="Calibri"/>
          <w:bCs/>
        </w:rPr>
      </w:pPr>
      <w:r w:rsidRPr="00AC4BC1">
        <w:rPr>
          <w:rFonts w:cs="Calibri"/>
          <w:bCs/>
        </w:rPr>
        <w:t xml:space="preserve">when the State Plan has confirmation that citations have been received so that the system can properly track </w:t>
      </w:r>
      <w:r w:rsidR="004A0854" w:rsidRPr="00AC4BC1">
        <w:rPr>
          <w:rFonts w:cs="Calibri"/>
          <w:bCs/>
        </w:rPr>
        <w:t>abatement,</w:t>
      </w:r>
      <w:r w:rsidRPr="00AC4BC1">
        <w:rPr>
          <w:rFonts w:cs="Calibri"/>
          <w:bCs/>
        </w:rPr>
        <w:t xml:space="preserve"> and the files closed.</w:t>
      </w:r>
    </w:p>
    <w:p w14:paraId="2AB5D48B" w14:textId="77777777" w:rsidR="00AC4BC1" w:rsidRDefault="00AC4BC1" w:rsidP="00AC4BC1">
      <w:pPr>
        <w:widowControl/>
        <w:autoSpaceDE/>
        <w:autoSpaceDN/>
        <w:adjustRightInd/>
        <w:rPr>
          <w:rFonts w:cs="Calibri"/>
          <w:bCs/>
        </w:rPr>
      </w:pPr>
    </w:p>
    <w:p w14:paraId="4E220589" w14:textId="7A8C22F9" w:rsidR="00AC4BC1" w:rsidRPr="00AC4BC1" w:rsidRDefault="00AC4BC1" w:rsidP="00AC4BC1">
      <w:pPr>
        <w:widowControl/>
        <w:autoSpaceDE/>
        <w:autoSpaceDN/>
        <w:adjustRightInd/>
        <w:rPr>
          <w:rFonts w:cs="Calibri"/>
          <w:bCs/>
        </w:rPr>
      </w:pPr>
      <w:r w:rsidRPr="00AC4BC1">
        <w:rPr>
          <w:rFonts w:cs="Calibri"/>
          <w:b/>
        </w:rPr>
        <w:t>Status:</w:t>
      </w:r>
      <w:r>
        <w:rPr>
          <w:rFonts w:cs="Calibri"/>
          <w:b/>
        </w:rPr>
        <w:t xml:space="preserve"> </w:t>
      </w:r>
      <w:r w:rsidR="008A1127">
        <w:rPr>
          <w:rFonts w:asciiTheme="minorHAnsi" w:hAnsiTheme="minorHAnsi" w:cstheme="minorHAnsi"/>
          <w:iCs/>
        </w:rPr>
        <w:t>The</w:t>
      </w:r>
      <w:r w:rsidRPr="00186817">
        <w:rPr>
          <w:rFonts w:asciiTheme="minorHAnsi" w:hAnsiTheme="minorHAnsi" w:cstheme="minorHAnsi"/>
          <w:iCs/>
        </w:rPr>
        <w:t xml:space="preserve"> OIS Open Inspection Report</w:t>
      </w:r>
      <w:r w:rsidR="00240F29">
        <w:rPr>
          <w:rFonts w:asciiTheme="minorHAnsi" w:hAnsiTheme="minorHAnsi" w:cstheme="minorHAnsi"/>
          <w:iCs/>
        </w:rPr>
        <w:t>,</w:t>
      </w:r>
      <w:r w:rsidRPr="00186817">
        <w:rPr>
          <w:rFonts w:asciiTheme="minorHAnsi" w:hAnsiTheme="minorHAnsi" w:cstheme="minorHAnsi"/>
          <w:iCs/>
        </w:rPr>
        <w:t xml:space="preserve"> run on February 9, 2025</w:t>
      </w:r>
      <w:r w:rsidR="00D9553D">
        <w:rPr>
          <w:rFonts w:asciiTheme="minorHAnsi" w:hAnsiTheme="minorHAnsi" w:cstheme="minorHAnsi"/>
          <w:iCs/>
        </w:rPr>
        <w:t>,</w:t>
      </w:r>
      <w:r w:rsidRPr="00186817">
        <w:rPr>
          <w:rFonts w:asciiTheme="minorHAnsi" w:hAnsiTheme="minorHAnsi" w:cstheme="minorHAnsi"/>
          <w:iCs/>
        </w:rPr>
        <w:t xml:space="preserve"> showed 18 inspection files that had not been updated in OIS to reflect the receipt of citations. </w:t>
      </w:r>
      <w:r w:rsidR="00D9553D">
        <w:rPr>
          <w:rFonts w:asciiTheme="minorHAnsi" w:hAnsiTheme="minorHAnsi" w:cstheme="minorHAnsi"/>
          <w:iCs/>
        </w:rPr>
        <w:t xml:space="preserve"> </w:t>
      </w:r>
      <w:r w:rsidR="00186817">
        <w:rPr>
          <w:rFonts w:cs="Calibri"/>
          <w:bCs/>
        </w:rPr>
        <w:t>This</w:t>
      </w:r>
      <w:r w:rsidRPr="00AC4BC1">
        <w:rPr>
          <w:rFonts w:cs="Calibri"/>
          <w:bCs/>
        </w:rPr>
        <w:t xml:space="preserve"> observation </w:t>
      </w:r>
      <w:r w:rsidR="007727E3">
        <w:rPr>
          <w:rFonts w:cs="Calibri"/>
          <w:bCs/>
        </w:rPr>
        <w:t xml:space="preserve">is </w:t>
      </w:r>
      <w:r w:rsidRPr="00AC4BC1">
        <w:rPr>
          <w:rFonts w:cs="Calibri"/>
          <w:bCs/>
        </w:rPr>
        <w:t>continued and will be amended to reflect the new OIS data from the February 9, 2025 report.</w:t>
      </w:r>
    </w:p>
    <w:p w14:paraId="6275DBC9" w14:textId="77777777" w:rsidR="00AC4BC1" w:rsidRDefault="00AC4BC1" w:rsidP="00E906C3">
      <w:pPr>
        <w:widowControl/>
        <w:autoSpaceDE/>
        <w:autoSpaceDN/>
        <w:adjustRightInd/>
        <w:rPr>
          <w:rFonts w:cs="Calibri"/>
          <w:b/>
        </w:rPr>
      </w:pPr>
    </w:p>
    <w:p w14:paraId="28F92347" w14:textId="6F471395" w:rsidR="004A0854" w:rsidRPr="004A0854" w:rsidRDefault="004A0854" w:rsidP="004A0854">
      <w:pPr>
        <w:widowControl/>
        <w:autoSpaceDE/>
        <w:autoSpaceDN/>
        <w:adjustRightInd/>
        <w:rPr>
          <w:rFonts w:cs="Calibri"/>
          <w:b/>
          <w:i/>
          <w:iCs/>
        </w:rPr>
      </w:pPr>
      <w:r w:rsidRPr="004A0854">
        <w:rPr>
          <w:rFonts w:cs="Calibri"/>
          <w:b/>
        </w:rPr>
        <w:lastRenderedPageBreak/>
        <w:t>Observation FY 2024-</w:t>
      </w:r>
      <w:r>
        <w:rPr>
          <w:rFonts w:cs="Calibri"/>
          <w:b/>
        </w:rPr>
        <w:t>OB-</w:t>
      </w:r>
      <w:r w:rsidRPr="004A0854">
        <w:rPr>
          <w:rFonts w:cs="Calibri"/>
          <w:b/>
        </w:rPr>
        <w:t>04 (FY 2023-OB-04, FY 2022-01, FY 2021-01):</w:t>
      </w:r>
      <w:r w:rsidRPr="00724392">
        <w:rPr>
          <w:rFonts w:cs="Calibri"/>
          <w:b/>
        </w:rPr>
        <w:t xml:space="preserve"> </w:t>
      </w:r>
      <w:r w:rsidRPr="00AE4F3D">
        <w:rPr>
          <w:rFonts w:cs="Calibri"/>
          <w:b/>
        </w:rPr>
        <w:t>Complaint Investigation Processing</w:t>
      </w:r>
    </w:p>
    <w:p w14:paraId="78CB263E" w14:textId="0C616C27" w:rsidR="004A0854" w:rsidRDefault="004A0854" w:rsidP="004A0854">
      <w:pPr>
        <w:widowControl/>
        <w:autoSpaceDE/>
        <w:autoSpaceDN/>
        <w:adjustRightInd/>
        <w:rPr>
          <w:rFonts w:cs="Calibri"/>
          <w:bCs/>
        </w:rPr>
      </w:pPr>
      <w:r w:rsidRPr="004A0854">
        <w:rPr>
          <w:rFonts w:cs="Calibri"/>
          <w:bCs/>
        </w:rPr>
        <w:t>During the</w:t>
      </w:r>
      <w:r>
        <w:rPr>
          <w:rFonts w:cs="Calibri"/>
          <w:bCs/>
        </w:rPr>
        <w:t xml:space="preserve"> 2023</w:t>
      </w:r>
      <w:r w:rsidRPr="004A0854">
        <w:rPr>
          <w:rFonts w:cs="Calibri"/>
          <w:bCs/>
        </w:rPr>
        <w:t xml:space="preserve"> case file review, 10 health complaint investigations were reviewed. </w:t>
      </w:r>
      <w:r w:rsidR="00D9553D">
        <w:rPr>
          <w:rFonts w:cs="Calibri"/>
          <w:bCs/>
        </w:rPr>
        <w:t xml:space="preserve"> </w:t>
      </w:r>
      <w:r w:rsidRPr="004A0854">
        <w:rPr>
          <w:rFonts w:cs="Calibri"/>
          <w:bCs/>
        </w:rPr>
        <w:t xml:space="preserve">Safety complaints are addressed with inspections only. </w:t>
      </w:r>
      <w:r w:rsidR="00D9553D">
        <w:rPr>
          <w:rFonts w:cs="Calibri"/>
          <w:bCs/>
        </w:rPr>
        <w:t xml:space="preserve"> </w:t>
      </w:r>
      <w:r w:rsidRPr="004A0854">
        <w:rPr>
          <w:rFonts w:cs="Calibri"/>
          <w:bCs/>
        </w:rPr>
        <w:t xml:space="preserve">Four of these 10 (40%) health investigations were missing evidence that the certification of posting was returned and signed by the employer before the investigation was closed. </w:t>
      </w:r>
      <w:r w:rsidR="00D9553D">
        <w:rPr>
          <w:rFonts w:cs="Calibri"/>
          <w:bCs/>
        </w:rPr>
        <w:t xml:space="preserve"> </w:t>
      </w:r>
      <w:r w:rsidRPr="004A0854">
        <w:rPr>
          <w:rFonts w:cs="Calibri"/>
          <w:bCs/>
        </w:rPr>
        <w:t xml:space="preserve">The certification of posting was emailed to the employer with the </w:t>
      </w:r>
      <w:r w:rsidR="00413334" w:rsidRPr="004A0854">
        <w:rPr>
          <w:rFonts w:cs="Calibri"/>
          <w:bCs/>
        </w:rPr>
        <w:t>complaint but</w:t>
      </w:r>
      <w:r w:rsidRPr="004A0854">
        <w:rPr>
          <w:rFonts w:cs="Calibri"/>
          <w:bCs/>
        </w:rPr>
        <w:t xml:space="preserve"> not tracked to ensure that it was </w:t>
      </w:r>
      <w:r w:rsidR="00DC4AB6" w:rsidRPr="004A0854">
        <w:rPr>
          <w:rFonts w:cs="Calibri"/>
          <w:bCs/>
        </w:rPr>
        <w:t>returned and</w:t>
      </w:r>
      <w:r w:rsidRPr="004A0854">
        <w:rPr>
          <w:rFonts w:cs="Calibri"/>
          <w:bCs/>
        </w:rPr>
        <w:t xml:space="preserve"> signed by the employer. </w:t>
      </w:r>
      <w:r w:rsidR="00D9553D">
        <w:rPr>
          <w:rFonts w:cs="Calibri"/>
          <w:bCs/>
        </w:rPr>
        <w:t xml:space="preserve"> </w:t>
      </w:r>
      <w:r w:rsidRPr="004A0854">
        <w:rPr>
          <w:rFonts w:cs="Calibri"/>
          <w:bCs/>
        </w:rPr>
        <w:t>The PEOSH Field Operations Manual (FOM) requires a certification of posting be received for all complaint investigations.</w:t>
      </w:r>
    </w:p>
    <w:p w14:paraId="5FD80935" w14:textId="77777777" w:rsidR="004A0854" w:rsidRPr="004A0854" w:rsidRDefault="004A0854" w:rsidP="004A0854">
      <w:pPr>
        <w:widowControl/>
        <w:autoSpaceDE/>
        <w:autoSpaceDN/>
        <w:adjustRightInd/>
        <w:rPr>
          <w:rFonts w:cs="Calibri"/>
          <w:bCs/>
        </w:rPr>
      </w:pPr>
    </w:p>
    <w:p w14:paraId="2487155B" w14:textId="4778EDF4" w:rsidR="004A0854" w:rsidRPr="004A0854" w:rsidRDefault="004A0854" w:rsidP="004A0854">
      <w:pPr>
        <w:widowControl/>
        <w:autoSpaceDE/>
        <w:autoSpaceDN/>
        <w:adjustRightInd/>
        <w:rPr>
          <w:rFonts w:cs="Calibri"/>
          <w:bCs/>
        </w:rPr>
      </w:pPr>
      <w:r w:rsidRPr="004A0854">
        <w:rPr>
          <w:rFonts w:cs="Calibri"/>
          <w:bCs/>
        </w:rPr>
        <w:t xml:space="preserve">The FY 2021 and FY 2022 FAME reports issued a finding for complaint investigation processing that included references to missing OIS letters for non-indoor quality investigations and data entry errors in OIS, in addition to the certificate of posting requirement. </w:t>
      </w:r>
      <w:r w:rsidR="00D9553D">
        <w:rPr>
          <w:rFonts w:cs="Calibri"/>
          <w:bCs/>
        </w:rPr>
        <w:t xml:space="preserve"> </w:t>
      </w:r>
      <w:r w:rsidRPr="004A0854">
        <w:rPr>
          <w:rFonts w:cs="Calibri"/>
          <w:bCs/>
        </w:rPr>
        <w:t xml:space="preserve">This FAME identified that the State Plan was issuing all required letters for investigations and making all the required entries into OIS for the 10 health investigations reviewed. </w:t>
      </w:r>
      <w:r w:rsidR="00D9553D">
        <w:rPr>
          <w:rFonts w:cs="Calibri"/>
          <w:bCs/>
        </w:rPr>
        <w:t xml:space="preserve"> </w:t>
      </w:r>
      <w:r w:rsidRPr="004A0854">
        <w:rPr>
          <w:rFonts w:cs="Calibri"/>
          <w:bCs/>
        </w:rPr>
        <w:t xml:space="preserve">The only item from the original finding that was not addressed was to ensure that certificates of postings were returned. </w:t>
      </w:r>
      <w:r w:rsidR="00D9553D">
        <w:rPr>
          <w:rFonts w:cs="Calibri"/>
          <w:bCs/>
        </w:rPr>
        <w:t xml:space="preserve"> </w:t>
      </w:r>
      <w:r w:rsidRPr="004A0854">
        <w:rPr>
          <w:rFonts w:cs="Calibri"/>
          <w:bCs/>
        </w:rPr>
        <w:t>Therefore, this finding was converted to an observation.</w:t>
      </w:r>
    </w:p>
    <w:p w14:paraId="00B05B9D" w14:textId="77777777" w:rsidR="004A0854" w:rsidRDefault="004A0854" w:rsidP="00E906C3">
      <w:pPr>
        <w:widowControl/>
        <w:autoSpaceDE/>
        <w:autoSpaceDN/>
        <w:adjustRightInd/>
        <w:rPr>
          <w:rFonts w:cs="Calibri"/>
          <w:b/>
        </w:rPr>
      </w:pPr>
    </w:p>
    <w:p w14:paraId="637CF518" w14:textId="5AB6E482" w:rsidR="00E906C3" w:rsidRPr="00B26605" w:rsidRDefault="00E906C3" w:rsidP="00E906C3">
      <w:pPr>
        <w:widowControl/>
        <w:autoSpaceDE/>
        <w:autoSpaceDN/>
        <w:adjustRightInd/>
        <w:rPr>
          <w:rFonts w:cs="Calibri"/>
          <w:bCs/>
        </w:rPr>
      </w:pPr>
      <w:r w:rsidRPr="00B26605">
        <w:rPr>
          <w:rFonts w:cs="Calibri"/>
          <w:b/>
        </w:rPr>
        <w:t xml:space="preserve">Status: </w:t>
      </w:r>
      <w:r w:rsidR="00277345">
        <w:rPr>
          <w:rFonts w:cs="Calibri"/>
          <w:b/>
        </w:rPr>
        <w:t xml:space="preserve"> </w:t>
      </w:r>
      <w:r w:rsidRPr="00B26605">
        <w:rPr>
          <w:rFonts w:cs="Calibri"/>
          <w:bCs/>
        </w:rPr>
        <w:t xml:space="preserve">A case file review is necessary to gather the facts needed to evaluate performance in relation to this observation. </w:t>
      </w:r>
      <w:r w:rsidR="00D9553D">
        <w:rPr>
          <w:rFonts w:cs="Calibri"/>
          <w:bCs/>
        </w:rPr>
        <w:t xml:space="preserve"> </w:t>
      </w:r>
      <w:r w:rsidRPr="00B26605">
        <w:rPr>
          <w:rFonts w:cs="Calibri"/>
          <w:bCs/>
        </w:rPr>
        <w:t>This observation will be a focus of next year’s on-site case file review during the FY 202</w:t>
      </w:r>
      <w:r w:rsidR="004A0854">
        <w:rPr>
          <w:rFonts w:cs="Calibri"/>
          <w:bCs/>
        </w:rPr>
        <w:t>5</w:t>
      </w:r>
      <w:r w:rsidRPr="00B26605">
        <w:rPr>
          <w:rFonts w:cs="Calibri"/>
          <w:bCs/>
        </w:rPr>
        <w:t xml:space="preserve"> comprehensive FAME. </w:t>
      </w:r>
      <w:r w:rsidR="00D9553D">
        <w:rPr>
          <w:rFonts w:cs="Calibri"/>
          <w:bCs/>
        </w:rPr>
        <w:t xml:space="preserve"> </w:t>
      </w:r>
      <w:r w:rsidRPr="00B26605">
        <w:rPr>
          <w:rFonts w:cs="Calibri"/>
          <w:bCs/>
        </w:rPr>
        <w:t xml:space="preserve">This observation </w:t>
      </w:r>
      <w:r w:rsidR="007727E3">
        <w:rPr>
          <w:rFonts w:cs="Calibri"/>
          <w:bCs/>
        </w:rPr>
        <w:t xml:space="preserve">is </w:t>
      </w:r>
      <w:r w:rsidRPr="00B26605">
        <w:rPr>
          <w:rFonts w:cs="Calibri"/>
          <w:bCs/>
        </w:rPr>
        <w:t>continued.</w:t>
      </w:r>
    </w:p>
    <w:p w14:paraId="4BD38DB5" w14:textId="77777777" w:rsidR="00E906C3" w:rsidRPr="00B26605" w:rsidRDefault="00E906C3" w:rsidP="00E906C3">
      <w:pPr>
        <w:widowControl/>
        <w:autoSpaceDE/>
        <w:autoSpaceDN/>
        <w:adjustRightInd/>
        <w:rPr>
          <w:rFonts w:cs="Calibri"/>
          <w:bCs/>
        </w:rPr>
      </w:pPr>
    </w:p>
    <w:p w14:paraId="573B60FF" w14:textId="55DDEEEC" w:rsidR="004A0854" w:rsidRPr="004A0854" w:rsidRDefault="004A0854" w:rsidP="004A0854">
      <w:pPr>
        <w:widowControl/>
        <w:autoSpaceDE/>
        <w:autoSpaceDN/>
        <w:adjustRightInd/>
        <w:rPr>
          <w:rFonts w:cs="Calibri"/>
          <w:b/>
          <w:i/>
          <w:iCs/>
        </w:rPr>
      </w:pPr>
      <w:r w:rsidRPr="004A0854">
        <w:rPr>
          <w:rFonts w:cs="Calibri"/>
          <w:b/>
        </w:rPr>
        <w:t>Observation FY 2024-</w:t>
      </w:r>
      <w:r>
        <w:rPr>
          <w:rFonts w:cs="Calibri"/>
          <w:b/>
        </w:rPr>
        <w:t>OB-05</w:t>
      </w:r>
      <w:r w:rsidRPr="004A0854">
        <w:rPr>
          <w:rFonts w:cs="Calibri"/>
          <w:b/>
        </w:rPr>
        <w:t xml:space="preserve"> (FY 2023-OB-05, FY 2022-OB-03, FY 2021-OB-04): </w:t>
      </w:r>
      <w:r w:rsidRPr="00AE4F3D">
        <w:rPr>
          <w:rFonts w:cs="Calibri"/>
          <w:b/>
        </w:rPr>
        <w:t>Failure to Issue Order to Comply (OTC) to Employer for Not Reporting Within Eight Hours of a Fatality</w:t>
      </w:r>
    </w:p>
    <w:p w14:paraId="1C050588" w14:textId="072BF96F" w:rsidR="004A0854" w:rsidRDefault="004A0854" w:rsidP="004A0854">
      <w:pPr>
        <w:widowControl/>
        <w:autoSpaceDE/>
        <w:autoSpaceDN/>
        <w:adjustRightInd/>
        <w:rPr>
          <w:rFonts w:cs="Calibri"/>
          <w:bCs/>
        </w:rPr>
      </w:pPr>
      <w:r w:rsidRPr="004A0854">
        <w:rPr>
          <w:rFonts w:cs="Calibri"/>
          <w:bCs/>
        </w:rPr>
        <w:t xml:space="preserve">The </w:t>
      </w:r>
      <w:r w:rsidR="003D7FC0">
        <w:rPr>
          <w:rFonts w:cs="Calibri"/>
          <w:bCs/>
        </w:rPr>
        <w:t xml:space="preserve">New Jersey </w:t>
      </w:r>
      <w:r w:rsidRPr="004A0854">
        <w:rPr>
          <w:rFonts w:cs="Calibri"/>
          <w:bCs/>
        </w:rPr>
        <w:t>State Plan did not document in one of three (33%) closed fatality inspections why an OTC was not proposed for the employer not reporting to PEOSH the fatality within eight hours of being notified of the death.</w:t>
      </w:r>
      <w:r w:rsidR="00D9553D">
        <w:rPr>
          <w:rFonts w:cs="Calibri"/>
          <w:bCs/>
        </w:rPr>
        <w:t xml:space="preserve"> </w:t>
      </w:r>
      <w:r w:rsidRPr="004A0854">
        <w:rPr>
          <w:rFonts w:cs="Calibri"/>
          <w:bCs/>
        </w:rPr>
        <w:t xml:space="preserve"> Additionally, PEOSH received notification of three fatalities in FY 2023 that were not investigated and reported timely.</w:t>
      </w:r>
    </w:p>
    <w:p w14:paraId="7F3E1342" w14:textId="77777777" w:rsidR="004A0854" w:rsidRPr="004A0854" w:rsidRDefault="004A0854" w:rsidP="004A0854">
      <w:pPr>
        <w:widowControl/>
        <w:autoSpaceDE/>
        <w:autoSpaceDN/>
        <w:adjustRightInd/>
        <w:rPr>
          <w:rFonts w:cs="Calibri"/>
          <w:bCs/>
        </w:rPr>
      </w:pPr>
    </w:p>
    <w:p w14:paraId="2EF21142" w14:textId="22D3F59C" w:rsidR="005B7803" w:rsidRPr="009B35FE" w:rsidRDefault="004A0854" w:rsidP="00E906C3">
      <w:pPr>
        <w:widowControl/>
        <w:autoSpaceDE/>
        <w:autoSpaceDN/>
        <w:adjustRightInd/>
        <w:rPr>
          <w:rFonts w:cs="Calibri"/>
          <w:bCs/>
        </w:rPr>
      </w:pPr>
      <w:r>
        <w:rPr>
          <w:rFonts w:cs="Calibri"/>
          <w:b/>
        </w:rPr>
        <w:t>Status:</w:t>
      </w:r>
      <w:r w:rsidRPr="004A0854">
        <w:t xml:space="preserve"> </w:t>
      </w:r>
      <w:r w:rsidRPr="004A0854">
        <w:rPr>
          <w:rFonts w:cs="Calibri"/>
          <w:bCs/>
        </w:rPr>
        <w:t xml:space="preserve">A case file review is necessary to gather the facts needed to evaluate performance in relation to this observation. </w:t>
      </w:r>
      <w:r w:rsidR="00D9553D">
        <w:rPr>
          <w:rFonts w:cs="Calibri"/>
          <w:bCs/>
        </w:rPr>
        <w:t xml:space="preserve"> </w:t>
      </w:r>
      <w:r w:rsidRPr="004A0854">
        <w:rPr>
          <w:rFonts w:cs="Calibri"/>
          <w:bCs/>
        </w:rPr>
        <w:t xml:space="preserve">This observation will be a focus of next year’s on-site case file review during the FY 2025 comprehensive FAME. </w:t>
      </w:r>
      <w:r w:rsidR="00D9553D">
        <w:rPr>
          <w:rFonts w:cs="Calibri"/>
          <w:bCs/>
        </w:rPr>
        <w:t xml:space="preserve"> </w:t>
      </w:r>
      <w:r w:rsidR="00FF0F92">
        <w:rPr>
          <w:rFonts w:cs="Calibri"/>
          <w:bCs/>
        </w:rPr>
        <w:t>Although this is the fourth year this observation has been identified, OSHA believes that the FY 2025 review will indicate that NJ PEOSH has taken corrective action; therefore, t</w:t>
      </w:r>
      <w:r w:rsidRPr="004A0854">
        <w:rPr>
          <w:rFonts w:cs="Calibri"/>
          <w:bCs/>
        </w:rPr>
        <w:t xml:space="preserve">his observation </w:t>
      </w:r>
      <w:r w:rsidR="007727E3">
        <w:rPr>
          <w:rFonts w:cs="Calibri"/>
          <w:bCs/>
        </w:rPr>
        <w:t xml:space="preserve">is </w:t>
      </w:r>
      <w:r w:rsidRPr="004A0854">
        <w:rPr>
          <w:rFonts w:cs="Calibri"/>
          <w:bCs/>
        </w:rPr>
        <w:t>continued.</w:t>
      </w:r>
    </w:p>
    <w:p w14:paraId="6DD2E689" w14:textId="77777777" w:rsidR="00587AB9" w:rsidRDefault="00587AB9" w:rsidP="004A0854">
      <w:pPr>
        <w:widowControl/>
        <w:autoSpaceDE/>
        <w:autoSpaceDN/>
        <w:adjustRightInd/>
        <w:rPr>
          <w:rFonts w:cs="Calibri"/>
          <w:b/>
        </w:rPr>
      </w:pPr>
    </w:p>
    <w:p w14:paraId="02D5D5EB" w14:textId="74FECB87" w:rsidR="004A0854" w:rsidRPr="004A0854" w:rsidRDefault="004A0854" w:rsidP="004A0854">
      <w:pPr>
        <w:widowControl/>
        <w:autoSpaceDE/>
        <w:autoSpaceDN/>
        <w:adjustRightInd/>
        <w:rPr>
          <w:rFonts w:cs="Calibri"/>
          <w:b/>
          <w:i/>
          <w:iCs/>
        </w:rPr>
      </w:pPr>
      <w:r w:rsidRPr="004A0854">
        <w:rPr>
          <w:rFonts w:cs="Calibri"/>
          <w:b/>
        </w:rPr>
        <w:t xml:space="preserve">Observation </w:t>
      </w:r>
      <w:r>
        <w:rPr>
          <w:rFonts w:cs="Calibri"/>
          <w:b/>
        </w:rPr>
        <w:t>FY 2024-OB-06 (</w:t>
      </w:r>
      <w:r w:rsidRPr="004A0854">
        <w:rPr>
          <w:rFonts w:cs="Calibri"/>
          <w:b/>
        </w:rPr>
        <w:t>FY 2023-OB-06</w:t>
      </w:r>
      <w:r>
        <w:rPr>
          <w:rFonts w:cs="Calibri"/>
          <w:b/>
        </w:rPr>
        <w:t>)</w:t>
      </w:r>
      <w:r w:rsidRPr="004A0854">
        <w:rPr>
          <w:rFonts w:cs="Calibri"/>
          <w:b/>
        </w:rPr>
        <w:t>:</w:t>
      </w:r>
      <w:r w:rsidRPr="004A0854">
        <w:rPr>
          <w:rFonts w:cs="Calibri"/>
          <w:b/>
          <w:i/>
          <w:iCs/>
        </w:rPr>
        <w:t xml:space="preserve"> </w:t>
      </w:r>
      <w:r w:rsidRPr="00AE4F3D">
        <w:rPr>
          <w:rFonts w:cs="Calibri"/>
          <w:b/>
        </w:rPr>
        <w:t>Issuing OTCs for 1910.38 and 1910.39</w:t>
      </w:r>
    </w:p>
    <w:p w14:paraId="21E30CB4" w14:textId="5612F215" w:rsidR="004A0854" w:rsidRDefault="004A0854" w:rsidP="004A0854">
      <w:pPr>
        <w:widowControl/>
        <w:autoSpaceDE/>
        <w:autoSpaceDN/>
        <w:adjustRightInd/>
        <w:rPr>
          <w:rFonts w:cs="Calibri"/>
          <w:bCs/>
        </w:rPr>
      </w:pPr>
      <w:r>
        <w:rPr>
          <w:rFonts w:cs="Calibri"/>
          <w:bCs/>
        </w:rPr>
        <w:t>During the 2023 FAME case file review, f</w:t>
      </w:r>
      <w:r w:rsidRPr="004A0854">
        <w:rPr>
          <w:rFonts w:cs="Calibri"/>
          <w:bCs/>
        </w:rPr>
        <w:t>our of 23 (17%) of closed safety files with OTCs that had issued an OTC for either OSHA standard 1910.38 or 1910.39 lacked evidence to support the orders and incorrectly cited</w:t>
      </w:r>
      <w:r>
        <w:rPr>
          <w:rFonts w:cs="Calibri"/>
          <w:bCs/>
        </w:rPr>
        <w:t xml:space="preserve"> </w:t>
      </w:r>
      <w:r w:rsidRPr="004A0854">
        <w:rPr>
          <w:rFonts w:cs="Calibri"/>
          <w:bCs/>
        </w:rPr>
        <w:t xml:space="preserve">1910.38 or 1910.39 directly. </w:t>
      </w:r>
      <w:r w:rsidR="00D9553D">
        <w:rPr>
          <w:rFonts w:cs="Calibri"/>
          <w:bCs/>
        </w:rPr>
        <w:t xml:space="preserve"> </w:t>
      </w:r>
      <w:r w:rsidRPr="004A0854">
        <w:rPr>
          <w:rFonts w:cs="Calibri"/>
          <w:bCs/>
        </w:rPr>
        <w:t xml:space="preserve">OSHA standard 1910.38, Emergency Action Plans (EAP) and 1910.39, Fire Prevention Plans (FPP), requires these plans be developed </w:t>
      </w:r>
      <w:r w:rsidRPr="004A0854">
        <w:rPr>
          <w:rFonts w:cs="Calibri"/>
          <w:bCs/>
        </w:rPr>
        <w:lastRenderedPageBreak/>
        <w:t xml:space="preserve">when required by another OSHA standard. </w:t>
      </w:r>
      <w:r w:rsidR="00D9553D">
        <w:rPr>
          <w:rFonts w:cs="Calibri"/>
          <w:bCs/>
        </w:rPr>
        <w:t xml:space="preserve"> </w:t>
      </w:r>
      <w:r w:rsidRPr="004A0854">
        <w:rPr>
          <w:rFonts w:cs="Calibri"/>
          <w:bCs/>
        </w:rPr>
        <w:t xml:space="preserve">Per CPL 2-1.037, Compliance Policy for Emergency Action Plans </w:t>
      </w:r>
      <w:r w:rsidR="003D7FC0">
        <w:rPr>
          <w:rFonts w:cs="Calibri"/>
          <w:bCs/>
        </w:rPr>
        <w:t xml:space="preserve">(EAP) </w:t>
      </w:r>
      <w:r w:rsidRPr="004A0854">
        <w:rPr>
          <w:rFonts w:cs="Calibri"/>
          <w:bCs/>
        </w:rPr>
        <w:t>and Fire Prevention Plans</w:t>
      </w:r>
      <w:r w:rsidR="003D7FC0">
        <w:rPr>
          <w:rFonts w:cs="Calibri"/>
          <w:bCs/>
        </w:rPr>
        <w:t xml:space="preserve"> (FPP)</w:t>
      </w:r>
      <w:r w:rsidRPr="004A0854">
        <w:rPr>
          <w:rFonts w:cs="Calibri"/>
          <w:bCs/>
        </w:rPr>
        <w:t xml:space="preserve">, 1910.38 and 1910.39 are not to be cited directly but included as a reference to the specific standard that requires these plans. </w:t>
      </w:r>
      <w:r w:rsidR="00D9553D">
        <w:rPr>
          <w:rFonts w:cs="Calibri"/>
          <w:bCs/>
        </w:rPr>
        <w:t xml:space="preserve"> </w:t>
      </w:r>
      <w:r w:rsidRPr="004A0854">
        <w:rPr>
          <w:rFonts w:cs="Calibri"/>
          <w:bCs/>
        </w:rPr>
        <w:t>There was no documentation in these cases noting which OSHA standard required an EAP and/or a FPP be developed to support the OTCs.</w:t>
      </w:r>
    </w:p>
    <w:p w14:paraId="7483CB69" w14:textId="77777777" w:rsidR="004A0854" w:rsidRDefault="004A0854" w:rsidP="004A0854">
      <w:pPr>
        <w:widowControl/>
        <w:autoSpaceDE/>
        <w:autoSpaceDN/>
        <w:adjustRightInd/>
        <w:rPr>
          <w:rFonts w:cs="Calibri"/>
          <w:bCs/>
        </w:rPr>
      </w:pPr>
    </w:p>
    <w:p w14:paraId="7724C78F" w14:textId="1582AD38" w:rsidR="004A0854" w:rsidRPr="004A0854" w:rsidRDefault="004A0854" w:rsidP="004A0854">
      <w:pPr>
        <w:widowControl/>
        <w:autoSpaceDE/>
        <w:autoSpaceDN/>
        <w:adjustRightInd/>
        <w:rPr>
          <w:rFonts w:cs="Calibri"/>
          <w:bCs/>
        </w:rPr>
      </w:pPr>
      <w:r>
        <w:rPr>
          <w:rFonts w:cs="Calibri"/>
          <w:b/>
        </w:rPr>
        <w:t xml:space="preserve">Status: </w:t>
      </w:r>
      <w:bookmarkStart w:id="26" w:name="_Hlk190074676"/>
      <w:r w:rsidRPr="004A0854">
        <w:rPr>
          <w:rFonts w:cs="Calibri"/>
          <w:bCs/>
        </w:rPr>
        <w:t>A case file review is necessary to gather the facts needed to evaluate performance in relation to this observation</w:t>
      </w:r>
      <w:r w:rsidR="00D9553D">
        <w:rPr>
          <w:rFonts w:cs="Calibri"/>
          <w:bCs/>
        </w:rPr>
        <w:t xml:space="preserve">.  </w:t>
      </w:r>
      <w:r w:rsidRPr="004A0854">
        <w:rPr>
          <w:rFonts w:cs="Calibri"/>
          <w:bCs/>
        </w:rPr>
        <w:t>This observation will be a focus of next year’s on-site case file review during the FY 2025 comprehensive FAME.</w:t>
      </w:r>
      <w:r w:rsidR="00D9553D">
        <w:rPr>
          <w:rFonts w:cs="Calibri"/>
          <w:bCs/>
        </w:rPr>
        <w:t xml:space="preserve">  </w:t>
      </w:r>
      <w:r w:rsidRPr="004A0854">
        <w:rPr>
          <w:rFonts w:cs="Calibri"/>
          <w:bCs/>
        </w:rPr>
        <w:t xml:space="preserve">This observation </w:t>
      </w:r>
      <w:r w:rsidR="007727E3">
        <w:rPr>
          <w:rFonts w:cs="Calibri"/>
          <w:bCs/>
        </w:rPr>
        <w:t xml:space="preserve">is </w:t>
      </w:r>
      <w:r w:rsidRPr="004A0854">
        <w:rPr>
          <w:rFonts w:cs="Calibri"/>
          <w:bCs/>
        </w:rPr>
        <w:t>continued.</w:t>
      </w:r>
    </w:p>
    <w:p w14:paraId="711A2495" w14:textId="77777777" w:rsidR="00E906C3" w:rsidRDefault="00E906C3" w:rsidP="00E906C3">
      <w:pPr>
        <w:widowControl/>
        <w:autoSpaceDE/>
        <w:autoSpaceDN/>
        <w:adjustRightInd/>
        <w:rPr>
          <w:rFonts w:cs="Calibri"/>
          <w:bCs/>
          <w:u w:val="single"/>
        </w:rPr>
      </w:pPr>
    </w:p>
    <w:bookmarkEnd w:id="26"/>
    <w:p w14:paraId="651A9441" w14:textId="7A2D5694" w:rsidR="004C169B" w:rsidRDefault="004C169B" w:rsidP="00E906C3">
      <w:pPr>
        <w:widowControl/>
        <w:autoSpaceDE/>
        <w:autoSpaceDN/>
        <w:adjustRightInd/>
        <w:rPr>
          <w:rFonts w:cs="Calibri"/>
          <w:b/>
        </w:rPr>
      </w:pPr>
      <w:r w:rsidRPr="004C169B">
        <w:rPr>
          <w:rFonts w:cs="Calibri"/>
          <w:b/>
        </w:rPr>
        <w:t xml:space="preserve">Observation FY </w:t>
      </w:r>
      <w:r>
        <w:rPr>
          <w:rFonts w:cs="Calibri"/>
          <w:b/>
        </w:rPr>
        <w:t>2024-</w:t>
      </w:r>
      <w:r w:rsidR="008D1F2F">
        <w:rPr>
          <w:rFonts w:cs="Calibri"/>
          <w:b/>
        </w:rPr>
        <w:t xml:space="preserve">OB-07 (FY </w:t>
      </w:r>
      <w:r w:rsidRPr="004C169B">
        <w:rPr>
          <w:rFonts w:cs="Calibri"/>
          <w:b/>
        </w:rPr>
        <w:t>2023-OB-07</w:t>
      </w:r>
      <w:r w:rsidR="008D1F2F">
        <w:rPr>
          <w:rFonts w:cs="Calibri"/>
          <w:b/>
        </w:rPr>
        <w:t>,</w:t>
      </w:r>
      <w:r w:rsidR="008D1F2F">
        <w:rPr>
          <w:rStyle w:val="CommentReference"/>
        </w:rPr>
        <w:t xml:space="preserve"> </w:t>
      </w:r>
      <w:r w:rsidRPr="004C169B">
        <w:rPr>
          <w:rFonts w:cs="Calibri"/>
          <w:b/>
        </w:rPr>
        <w:t>FY 2022-OB-04, FY 2021-OB-06):</w:t>
      </w:r>
      <w:r w:rsidRPr="00AE4F3D">
        <w:rPr>
          <w:rFonts w:cs="Calibri"/>
          <w:b/>
        </w:rPr>
        <w:t xml:space="preserve"> Case File Documentatio</w:t>
      </w:r>
      <w:r w:rsidRPr="00724392">
        <w:rPr>
          <w:rFonts w:cs="Calibri"/>
          <w:b/>
        </w:rPr>
        <w:t xml:space="preserve">n </w:t>
      </w:r>
    </w:p>
    <w:p w14:paraId="069F6211" w14:textId="50E26C1F" w:rsidR="004C169B" w:rsidRPr="004C169B" w:rsidRDefault="004C169B" w:rsidP="00E906C3">
      <w:pPr>
        <w:widowControl/>
        <w:autoSpaceDE/>
        <w:autoSpaceDN/>
        <w:adjustRightInd/>
        <w:rPr>
          <w:rFonts w:cs="Calibri"/>
          <w:b/>
          <w:u w:val="single"/>
        </w:rPr>
      </w:pPr>
      <w:r w:rsidRPr="004C169B">
        <w:rPr>
          <w:rFonts w:cs="Calibri"/>
          <w:bCs/>
        </w:rPr>
        <w:t>During the FY 2023 FAME review, in 18 of the 48 (38%) safety inspection case files reviewed, diary sheets were incomplete.</w:t>
      </w:r>
    </w:p>
    <w:p w14:paraId="78D5D88E" w14:textId="77777777" w:rsidR="003938FD" w:rsidRDefault="003938FD" w:rsidP="004C169B">
      <w:pPr>
        <w:rPr>
          <w:rFonts w:cs="Calibri"/>
          <w:b/>
        </w:rPr>
      </w:pPr>
    </w:p>
    <w:p w14:paraId="4EAEA9B8" w14:textId="179DE53D" w:rsidR="004C169B" w:rsidRPr="004C169B" w:rsidRDefault="004C169B" w:rsidP="004C169B">
      <w:pPr>
        <w:rPr>
          <w:rFonts w:cs="Calibri"/>
          <w:bCs/>
        </w:rPr>
      </w:pPr>
      <w:r w:rsidRPr="004C169B">
        <w:rPr>
          <w:rFonts w:cs="Calibri"/>
          <w:b/>
        </w:rPr>
        <w:t>Status:</w:t>
      </w:r>
      <w:r>
        <w:rPr>
          <w:rFonts w:cs="Calibri"/>
          <w:b/>
        </w:rPr>
        <w:t xml:space="preserve"> </w:t>
      </w:r>
      <w:r w:rsidRPr="004C169B">
        <w:rPr>
          <w:rFonts w:cs="Calibri"/>
          <w:bCs/>
        </w:rPr>
        <w:t xml:space="preserve">A case file review is necessary to gather the facts needed to evaluate performance in relation to this observation. </w:t>
      </w:r>
      <w:r w:rsidR="00D9553D">
        <w:rPr>
          <w:rFonts w:cs="Calibri"/>
          <w:bCs/>
        </w:rPr>
        <w:t xml:space="preserve"> </w:t>
      </w:r>
      <w:r w:rsidRPr="004C169B">
        <w:rPr>
          <w:rFonts w:cs="Calibri"/>
          <w:bCs/>
        </w:rPr>
        <w:t>This observation will be a focus of next year’s on-site case file review during the FY 2025 comprehensive FAME.</w:t>
      </w:r>
      <w:r w:rsidR="0074225E">
        <w:rPr>
          <w:rFonts w:cs="Calibri"/>
          <w:bCs/>
        </w:rPr>
        <w:t xml:space="preserve"> </w:t>
      </w:r>
      <w:r w:rsidR="00D9553D">
        <w:rPr>
          <w:rFonts w:cs="Calibri"/>
          <w:bCs/>
        </w:rPr>
        <w:t xml:space="preserve">  </w:t>
      </w:r>
      <w:r w:rsidR="0074225E">
        <w:rPr>
          <w:rFonts w:cs="Calibri"/>
          <w:bCs/>
        </w:rPr>
        <w:t>Although this is the fourth year this observation has been identified, OSHA believes that the FY 2025 review will indicate that NJ PEOSH has taken corrective action; therefore, t</w:t>
      </w:r>
      <w:r w:rsidRPr="004C169B">
        <w:rPr>
          <w:rFonts w:cs="Calibri"/>
          <w:bCs/>
        </w:rPr>
        <w:t xml:space="preserve">his observation </w:t>
      </w:r>
      <w:r w:rsidR="00DC4AB6">
        <w:rPr>
          <w:rFonts w:cs="Calibri"/>
          <w:bCs/>
        </w:rPr>
        <w:t>is</w:t>
      </w:r>
      <w:r w:rsidRPr="004C169B">
        <w:rPr>
          <w:rFonts w:cs="Calibri"/>
          <w:bCs/>
        </w:rPr>
        <w:t xml:space="preserve"> continued.</w:t>
      </w:r>
    </w:p>
    <w:p w14:paraId="0FFDFA9F" w14:textId="1DB1E1DF" w:rsidR="004C169B" w:rsidRDefault="004C169B" w:rsidP="00E906C3">
      <w:pPr>
        <w:widowControl/>
        <w:autoSpaceDE/>
        <w:autoSpaceDN/>
        <w:adjustRightInd/>
        <w:rPr>
          <w:rFonts w:cs="Calibri"/>
          <w:bCs/>
          <w:highlight w:val="yellow"/>
          <w:u w:val="single"/>
        </w:rPr>
      </w:pPr>
    </w:p>
    <w:p w14:paraId="4D0437B2" w14:textId="46A2667B" w:rsidR="00FB5CFA" w:rsidRPr="00FB5CFA" w:rsidRDefault="00FB5CFA" w:rsidP="00FB5CFA">
      <w:pPr>
        <w:widowControl/>
        <w:autoSpaceDE/>
        <w:autoSpaceDN/>
        <w:adjustRightInd/>
        <w:rPr>
          <w:rFonts w:cs="Calibri"/>
          <w:b/>
          <w:i/>
          <w:iCs/>
        </w:rPr>
      </w:pPr>
      <w:r w:rsidRPr="00FB5CFA">
        <w:rPr>
          <w:rFonts w:cs="Calibri"/>
          <w:b/>
        </w:rPr>
        <w:t xml:space="preserve">Observation </w:t>
      </w:r>
      <w:r w:rsidR="00796948">
        <w:rPr>
          <w:rFonts w:cs="Calibri"/>
          <w:b/>
        </w:rPr>
        <w:t>FY 2024-OB-08 (</w:t>
      </w:r>
      <w:r w:rsidRPr="00FB5CFA">
        <w:rPr>
          <w:rFonts w:cs="Calibri"/>
          <w:b/>
        </w:rPr>
        <w:t>FY 2023-OB-08</w:t>
      </w:r>
      <w:r w:rsidR="00796948">
        <w:rPr>
          <w:rFonts w:cs="Calibri"/>
          <w:b/>
        </w:rPr>
        <w:t>)</w:t>
      </w:r>
      <w:r w:rsidRPr="00FB5CFA">
        <w:rPr>
          <w:rFonts w:cs="Calibri"/>
          <w:b/>
        </w:rPr>
        <w:t xml:space="preserve">: </w:t>
      </w:r>
      <w:r w:rsidR="00BE5D9A" w:rsidRPr="00AE4F3D">
        <w:rPr>
          <w:rFonts w:cs="Calibri"/>
          <w:b/>
        </w:rPr>
        <w:t>OIS Request Pending Report</w:t>
      </w:r>
    </w:p>
    <w:p w14:paraId="02446E47" w14:textId="491BDE07" w:rsidR="00FB5CFA" w:rsidRDefault="00FB5CFA" w:rsidP="00FB5CFA">
      <w:pPr>
        <w:widowControl/>
        <w:autoSpaceDE/>
        <w:autoSpaceDN/>
        <w:adjustRightInd/>
        <w:rPr>
          <w:rFonts w:cs="Calibri"/>
        </w:rPr>
      </w:pPr>
      <w:r w:rsidRPr="00FB5CFA">
        <w:rPr>
          <w:rFonts w:cs="Calibri"/>
        </w:rPr>
        <w:t>The OIS Request Pending Report</w:t>
      </w:r>
      <w:r w:rsidR="007727E3">
        <w:rPr>
          <w:rFonts w:cs="Calibri"/>
        </w:rPr>
        <w:t>,</w:t>
      </w:r>
      <w:r w:rsidRPr="00FB5CFA">
        <w:rPr>
          <w:rFonts w:cs="Calibri"/>
        </w:rPr>
        <w:t xml:space="preserve"> run on February 14, 2024</w:t>
      </w:r>
      <w:r w:rsidR="00D9553D">
        <w:rPr>
          <w:rFonts w:cs="Calibri"/>
        </w:rPr>
        <w:t>,</w:t>
      </w:r>
      <w:r w:rsidRPr="00FB5CFA">
        <w:rPr>
          <w:rFonts w:cs="Calibri"/>
        </w:rPr>
        <w:t xml:space="preserve"> showed that there were 120 requests pending a consultation visit. </w:t>
      </w:r>
      <w:r w:rsidR="00D9553D">
        <w:rPr>
          <w:rFonts w:cs="Calibri"/>
        </w:rPr>
        <w:t xml:space="preserve"> </w:t>
      </w:r>
      <w:r w:rsidRPr="00FB5CFA">
        <w:rPr>
          <w:rFonts w:cs="Calibri"/>
        </w:rPr>
        <w:t xml:space="preserve">Out of these 120 requests, there were 110 requests that had been received more than 30 days ago. </w:t>
      </w:r>
      <w:r w:rsidR="00D9553D">
        <w:rPr>
          <w:rFonts w:cs="Calibri"/>
        </w:rPr>
        <w:t xml:space="preserve"> </w:t>
      </w:r>
      <w:r w:rsidRPr="00FB5CFA">
        <w:rPr>
          <w:rFonts w:cs="Calibri"/>
        </w:rPr>
        <w:t>Of the requests that had an identified service scope listed, there were 53 health requests pending a visit on this list.</w:t>
      </w:r>
    </w:p>
    <w:p w14:paraId="55F39A5B" w14:textId="77777777" w:rsidR="00FB5CFA" w:rsidRDefault="00FB5CFA" w:rsidP="00FB5CFA">
      <w:pPr>
        <w:widowControl/>
        <w:autoSpaceDE/>
        <w:autoSpaceDN/>
        <w:adjustRightInd/>
        <w:rPr>
          <w:rFonts w:cs="Calibri"/>
        </w:rPr>
      </w:pPr>
    </w:p>
    <w:p w14:paraId="1E938F10" w14:textId="793F0AE9" w:rsidR="00FB5CFA" w:rsidRPr="00FB5CFA" w:rsidRDefault="00FB5CFA" w:rsidP="00FB5CFA">
      <w:pPr>
        <w:widowControl/>
        <w:autoSpaceDE/>
        <w:autoSpaceDN/>
        <w:adjustRightInd/>
        <w:rPr>
          <w:rFonts w:cs="Calibri"/>
        </w:rPr>
      </w:pPr>
      <w:r>
        <w:rPr>
          <w:rFonts w:cs="Calibri"/>
          <w:b/>
          <w:bCs/>
        </w:rPr>
        <w:t xml:space="preserve">Status: </w:t>
      </w:r>
      <w:r w:rsidR="008A1127">
        <w:rPr>
          <w:rFonts w:cs="Calibri"/>
        </w:rPr>
        <w:t>The</w:t>
      </w:r>
      <w:r w:rsidRPr="00FB5CFA">
        <w:rPr>
          <w:rFonts w:cs="Calibri"/>
        </w:rPr>
        <w:t xml:space="preserve"> OIS Request Pending Report</w:t>
      </w:r>
      <w:r w:rsidR="008A1127">
        <w:rPr>
          <w:rFonts w:cs="Calibri"/>
        </w:rPr>
        <w:t>,</w:t>
      </w:r>
      <w:r w:rsidRPr="00FB5CFA">
        <w:rPr>
          <w:rFonts w:cs="Calibri"/>
        </w:rPr>
        <w:t xml:space="preserve"> run on February 9, 2025</w:t>
      </w:r>
      <w:r w:rsidR="003D7FC0">
        <w:rPr>
          <w:rFonts w:cs="Calibri"/>
        </w:rPr>
        <w:t>,</w:t>
      </w:r>
      <w:r w:rsidRPr="00FB5CFA">
        <w:rPr>
          <w:rFonts w:cs="Calibri"/>
        </w:rPr>
        <w:t xml:space="preserve"> showed 98 consultation requests pending a consultation visit. </w:t>
      </w:r>
      <w:r w:rsidR="007727E3">
        <w:rPr>
          <w:rFonts w:cs="Calibri"/>
        </w:rPr>
        <w:t xml:space="preserve"> </w:t>
      </w:r>
      <w:r w:rsidRPr="00FB5CFA">
        <w:rPr>
          <w:rFonts w:cs="Calibri"/>
        </w:rPr>
        <w:t>There were 92 requests that had been received more than 30 calendar days ago.</w:t>
      </w:r>
      <w:r w:rsidR="00D9553D">
        <w:rPr>
          <w:rFonts w:cs="Calibri"/>
        </w:rPr>
        <w:t xml:space="preserve"> </w:t>
      </w:r>
      <w:r w:rsidRPr="00FB5CFA">
        <w:rPr>
          <w:rFonts w:cs="Calibri"/>
        </w:rPr>
        <w:t xml:space="preserve"> Of the requests that had an identified service scope listed, there were 60 health requests pending a visit on this list. </w:t>
      </w:r>
      <w:r w:rsidR="00D9553D">
        <w:rPr>
          <w:rFonts w:cs="Calibri"/>
        </w:rPr>
        <w:t xml:space="preserve"> </w:t>
      </w:r>
      <w:r w:rsidRPr="00FB5CFA">
        <w:rPr>
          <w:rFonts w:cs="Calibri"/>
        </w:rPr>
        <w:t xml:space="preserve">This observation </w:t>
      </w:r>
      <w:r w:rsidR="00DC4AB6">
        <w:rPr>
          <w:rFonts w:cs="Calibri"/>
        </w:rPr>
        <w:t xml:space="preserve">is </w:t>
      </w:r>
      <w:r w:rsidRPr="00FB5CFA">
        <w:rPr>
          <w:rFonts w:cs="Calibri"/>
        </w:rPr>
        <w:t xml:space="preserve">continued and will be amended to reflect the new OIS data from the February 9, </w:t>
      </w:r>
      <w:proofErr w:type="gramStart"/>
      <w:r w:rsidRPr="00FB5CFA">
        <w:rPr>
          <w:rFonts w:cs="Calibri"/>
        </w:rPr>
        <w:t>2025</w:t>
      </w:r>
      <w:proofErr w:type="gramEnd"/>
      <w:r w:rsidRPr="00FB5CFA">
        <w:rPr>
          <w:rFonts w:cs="Calibri"/>
        </w:rPr>
        <w:t xml:space="preserve"> report.</w:t>
      </w:r>
    </w:p>
    <w:p w14:paraId="71F56341" w14:textId="77777777" w:rsidR="003938FD" w:rsidRDefault="003938FD" w:rsidP="00796948">
      <w:pPr>
        <w:widowControl/>
        <w:autoSpaceDE/>
        <w:autoSpaceDN/>
        <w:adjustRightInd/>
        <w:rPr>
          <w:rFonts w:cs="Calibri"/>
          <w:b/>
          <w:bCs/>
        </w:rPr>
      </w:pPr>
    </w:p>
    <w:p w14:paraId="64B8ED90" w14:textId="3EE1A7F6" w:rsidR="00796948" w:rsidRPr="00796948" w:rsidRDefault="00796948" w:rsidP="00796948">
      <w:pPr>
        <w:widowControl/>
        <w:autoSpaceDE/>
        <w:autoSpaceDN/>
        <w:adjustRightInd/>
        <w:rPr>
          <w:rFonts w:cs="Calibri"/>
          <w:b/>
          <w:bCs/>
          <w:i/>
          <w:iCs/>
        </w:rPr>
      </w:pPr>
      <w:r w:rsidRPr="00796948">
        <w:rPr>
          <w:rFonts w:cs="Calibri"/>
          <w:b/>
          <w:bCs/>
        </w:rPr>
        <w:t xml:space="preserve">Observation </w:t>
      </w:r>
      <w:r>
        <w:rPr>
          <w:rFonts w:cs="Calibri"/>
          <w:b/>
          <w:bCs/>
        </w:rPr>
        <w:t>FY 2024-OB-09 (</w:t>
      </w:r>
      <w:r w:rsidRPr="00796948">
        <w:rPr>
          <w:rFonts w:cs="Calibri"/>
          <w:b/>
          <w:bCs/>
        </w:rPr>
        <w:t>FY 2023-OB-09</w:t>
      </w:r>
      <w:r>
        <w:rPr>
          <w:rFonts w:cs="Calibri"/>
          <w:b/>
          <w:bCs/>
        </w:rPr>
        <w:t xml:space="preserve">, </w:t>
      </w:r>
      <w:r w:rsidRPr="00796948">
        <w:rPr>
          <w:rFonts w:cs="Calibri"/>
          <w:b/>
          <w:bCs/>
        </w:rPr>
        <w:t xml:space="preserve">FY 2022-OB-01, FY 2021-OB-01): </w:t>
      </w:r>
      <w:r w:rsidRPr="00AE4F3D">
        <w:rPr>
          <w:rFonts w:cs="Calibri"/>
          <w:b/>
          <w:bCs/>
        </w:rPr>
        <w:t>OIS Uncorrected Hazards Report</w:t>
      </w:r>
    </w:p>
    <w:p w14:paraId="257E9A1C" w14:textId="6E4F781D" w:rsidR="00796948" w:rsidRPr="00796948" w:rsidRDefault="00796948" w:rsidP="00796948">
      <w:pPr>
        <w:widowControl/>
        <w:autoSpaceDE/>
        <w:autoSpaceDN/>
        <w:adjustRightInd/>
        <w:rPr>
          <w:rFonts w:cs="Calibri"/>
        </w:rPr>
      </w:pPr>
      <w:bookmarkStart w:id="27" w:name="_Hlk190077852"/>
      <w:r w:rsidRPr="00796948">
        <w:rPr>
          <w:rFonts w:cs="Calibri"/>
        </w:rPr>
        <w:t xml:space="preserve">The OIS Uncorrected Hazards Report, run on February 5, 2024, showed 34 serious hazards that were overdue by more than </w:t>
      </w:r>
      <w:r w:rsidR="004D0830">
        <w:rPr>
          <w:rFonts w:cs="Calibri"/>
        </w:rPr>
        <w:t xml:space="preserve">14 </w:t>
      </w:r>
      <w:r w:rsidRPr="00796948">
        <w:rPr>
          <w:rFonts w:cs="Calibri"/>
        </w:rPr>
        <w:t>calendar</w:t>
      </w:r>
      <w:r w:rsidR="004D0830">
        <w:rPr>
          <w:rFonts w:cs="Calibri"/>
        </w:rPr>
        <w:t xml:space="preserve"> </w:t>
      </w:r>
      <w:r w:rsidRPr="00796948">
        <w:rPr>
          <w:rFonts w:cs="Calibri"/>
        </w:rPr>
        <w:t xml:space="preserve">days. </w:t>
      </w:r>
      <w:r w:rsidR="00D9553D">
        <w:rPr>
          <w:rFonts w:cs="Calibri"/>
        </w:rPr>
        <w:t xml:space="preserve"> </w:t>
      </w:r>
      <w:r w:rsidRPr="00796948">
        <w:rPr>
          <w:rFonts w:cs="Calibri"/>
        </w:rPr>
        <w:t>The overdue hazards ranged from 17-70 calendar days overdue.</w:t>
      </w:r>
    </w:p>
    <w:bookmarkEnd w:id="27"/>
    <w:p w14:paraId="577B7C75" w14:textId="77777777" w:rsidR="00FB5CFA" w:rsidRDefault="00FB5CFA" w:rsidP="00783189">
      <w:pPr>
        <w:widowControl/>
        <w:autoSpaceDE/>
        <w:autoSpaceDN/>
        <w:adjustRightInd/>
        <w:rPr>
          <w:rFonts w:cs="Calibri"/>
          <w:b/>
          <w:bCs/>
        </w:rPr>
      </w:pPr>
    </w:p>
    <w:p w14:paraId="5DA4D2E4" w14:textId="1F917E35" w:rsidR="00796948" w:rsidRPr="00796948" w:rsidRDefault="00796948" w:rsidP="00796948">
      <w:pPr>
        <w:rPr>
          <w:rFonts w:cs="Calibri"/>
          <w:b/>
          <w:bCs/>
        </w:rPr>
      </w:pPr>
      <w:r w:rsidRPr="00796948">
        <w:rPr>
          <w:rFonts w:cs="Calibri"/>
          <w:b/>
          <w:bCs/>
        </w:rPr>
        <w:t xml:space="preserve">Status: </w:t>
      </w:r>
      <w:r w:rsidRPr="009770F3">
        <w:rPr>
          <w:rFonts w:cs="Calibri"/>
        </w:rPr>
        <w:t>An OIS Uncorrected Hazards Report</w:t>
      </w:r>
      <w:r w:rsidR="008A1127">
        <w:rPr>
          <w:rFonts w:cs="Calibri"/>
        </w:rPr>
        <w:t>,</w:t>
      </w:r>
      <w:r w:rsidRPr="009770F3">
        <w:rPr>
          <w:rFonts w:cs="Calibri"/>
        </w:rPr>
        <w:t xml:space="preserve"> run on February 9, 2025</w:t>
      </w:r>
      <w:r w:rsidR="00D9553D">
        <w:rPr>
          <w:rFonts w:cs="Calibri"/>
        </w:rPr>
        <w:t>,</w:t>
      </w:r>
      <w:r w:rsidRPr="009770F3">
        <w:rPr>
          <w:rFonts w:cs="Calibri"/>
        </w:rPr>
        <w:t xml:space="preserve"> showed three serious</w:t>
      </w:r>
      <w:r w:rsidR="009770F3" w:rsidRPr="009770F3">
        <w:rPr>
          <w:rFonts w:cs="Calibri"/>
        </w:rPr>
        <w:t xml:space="preserve"> </w:t>
      </w:r>
      <w:r w:rsidR="009770F3" w:rsidRPr="009770F3">
        <w:rPr>
          <w:rFonts w:cs="Calibri"/>
        </w:rPr>
        <w:lastRenderedPageBreak/>
        <w:t>health hazards that were 23 calendar days overdue for correction.</w:t>
      </w:r>
      <w:r w:rsidR="00D9553D">
        <w:rPr>
          <w:rFonts w:cs="Calibri"/>
        </w:rPr>
        <w:t xml:space="preserve"> </w:t>
      </w:r>
      <w:r w:rsidR="009770F3" w:rsidRPr="009770F3">
        <w:rPr>
          <w:rFonts w:cs="Calibri"/>
        </w:rPr>
        <w:t xml:space="preserve"> </w:t>
      </w:r>
      <w:r w:rsidR="00DA149E">
        <w:rPr>
          <w:rFonts w:cs="Calibri"/>
          <w:bCs/>
        </w:rPr>
        <w:t xml:space="preserve">Although this is the fourth year this observation has been identified, OSHA believes that the FY 2025 review will indicate that NJ PEOSH has taken corrective action; therefore, </w:t>
      </w:r>
      <w:r w:rsidR="00DA149E">
        <w:rPr>
          <w:rFonts w:cs="Calibri"/>
        </w:rPr>
        <w:t>t</w:t>
      </w:r>
      <w:r w:rsidRPr="009770F3">
        <w:rPr>
          <w:rFonts w:cs="Calibri"/>
        </w:rPr>
        <w:t xml:space="preserve">his observation </w:t>
      </w:r>
      <w:r w:rsidR="00DC4AB6">
        <w:rPr>
          <w:rFonts w:cs="Calibri"/>
        </w:rPr>
        <w:t xml:space="preserve">is </w:t>
      </w:r>
      <w:r w:rsidRPr="009770F3">
        <w:rPr>
          <w:rFonts w:cs="Calibri"/>
        </w:rPr>
        <w:t>continued</w:t>
      </w:r>
      <w:r w:rsidR="00DA149E">
        <w:rPr>
          <w:rFonts w:cs="Calibri"/>
        </w:rPr>
        <w:t xml:space="preserve">. </w:t>
      </w:r>
      <w:r w:rsidRPr="009770F3">
        <w:rPr>
          <w:rFonts w:cs="Calibri"/>
        </w:rPr>
        <w:t xml:space="preserve"> </w:t>
      </w:r>
      <w:r w:rsidR="00C22C6E">
        <w:rPr>
          <w:rFonts w:cs="Calibri"/>
        </w:rPr>
        <w:t xml:space="preserve">A </w:t>
      </w:r>
      <w:r w:rsidR="00195892">
        <w:rPr>
          <w:rFonts w:cs="Calibri"/>
        </w:rPr>
        <w:t xml:space="preserve">comparison between the 2024 and 2025 report shows that the number of uncorrected hazards has been significantly reduced. </w:t>
      </w:r>
      <w:r w:rsidR="005274EF">
        <w:rPr>
          <w:rFonts w:cs="Calibri"/>
        </w:rPr>
        <w:t xml:space="preserve"> </w:t>
      </w:r>
      <w:r w:rsidR="00DA149E">
        <w:rPr>
          <w:rFonts w:cs="Calibri"/>
        </w:rPr>
        <w:t xml:space="preserve">It </w:t>
      </w:r>
      <w:r w:rsidRPr="009770F3">
        <w:rPr>
          <w:rFonts w:cs="Calibri"/>
        </w:rPr>
        <w:t>will be amended to reflect the new OIS data from the February 9, 2025 report.</w:t>
      </w:r>
    </w:p>
    <w:p w14:paraId="1C825175" w14:textId="173B569D" w:rsidR="00796948" w:rsidRPr="00796948" w:rsidRDefault="00796948" w:rsidP="00783189">
      <w:pPr>
        <w:widowControl/>
        <w:autoSpaceDE/>
        <w:autoSpaceDN/>
        <w:adjustRightInd/>
        <w:rPr>
          <w:rFonts w:cs="Calibri"/>
          <w:b/>
          <w:bCs/>
        </w:rPr>
      </w:pPr>
    </w:p>
    <w:p w14:paraId="60205B8E" w14:textId="2070A272" w:rsidR="006672E3" w:rsidRDefault="00443054" w:rsidP="00783189">
      <w:pPr>
        <w:widowControl/>
        <w:autoSpaceDE/>
        <w:autoSpaceDN/>
        <w:adjustRightInd/>
        <w:rPr>
          <w:rFonts w:cs="Calibri"/>
          <w:b/>
          <w:bCs/>
        </w:rPr>
      </w:pPr>
      <w:bookmarkStart w:id="28" w:name="_Hlk194306103"/>
      <w:r w:rsidRPr="0061362E">
        <w:rPr>
          <w:rFonts w:cs="Calibri"/>
          <w:b/>
          <w:bCs/>
        </w:rPr>
        <w:t>New FY 20</w:t>
      </w:r>
      <w:r w:rsidR="00185C7D" w:rsidRPr="0061362E">
        <w:rPr>
          <w:rFonts w:cs="Calibri"/>
          <w:b/>
          <w:bCs/>
        </w:rPr>
        <w:t>2</w:t>
      </w:r>
      <w:r w:rsidR="00022F16">
        <w:rPr>
          <w:rFonts w:cs="Calibri"/>
          <w:b/>
          <w:bCs/>
        </w:rPr>
        <w:t>4</w:t>
      </w:r>
      <w:r w:rsidRPr="0061362E">
        <w:rPr>
          <w:rFonts w:cs="Calibri"/>
          <w:b/>
          <w:bCs/>
        </w:rPr>
        <w:t xml:space="preserve"> </w:t>
      </w:r>
      <w:r w:rsidR="006672E3" w:rsidRPr="0061362E">
        <w:rPr>
          <w:rFonts w:cs="Calibri"/>
          <w:b/>
          <w:bCs/>
        </w:rPr>
        <w:t>Observations</w:t>
      </w:r>
    </w:p>
    <w:p w14:paraId="7B686281" w14:textId="77777777" w:rsidR="00075310" w:rsidRDefault="00075310" w:rsidP="00783189">
      <w:pPr>
        <w:widowControl/>
        <w:autoSpaceDE/>
        <w:autoSpaceDN/>
        <w:adjustRightInd/>
        <w:rPr>
          <w:rFonts w:cs="Calibri"/>
          <w:b/>
          <w:bCs/>
        </w:rPr>
      </w:pPr>
    </w:p>
    <w:p w14:paraId="53E3C622" w14:textId="395594F6" w:rsidR="00075310" w:rsidRDefault="00796948" w:rsidP="00783189">
      <w:pPr>
        <w:widowControl/>
        <w:autoSpaceDE/>
        <w:autoSpaceDN/>
        <w:adjustRightInd/>
        <w:rPr>
          <w:rFonts w:cs="Calibri"/>
          <w:b/>
          <w:bCs/>
          <w:i/>
          <w:iCs/>
        </w:rPr>
      </w:pPr>
      <w:r>
        <w:rPr>
          <w:rFonts w:cs="Calibri"/>
          <w:b/>
          <w:bCs/>
        </w:rPr>
        <w:t>Observation FY 2024</w:t>
      </w:r>
      <w:r w:rsidR="009770F3">
        <w:rPr>
          <w:rFonts w:cs="Calibri"/>
          <w:b/>
          <w:bCs/>
        </w:rPr>
        <w:t>-OB-</w:t>
      </w:r>
      <w:r w:rsidR="00BE5D9A">
        <w:rPr>
          <w:rFonts w:cs="Calibri"/>
          <w:b/>
          <w:bCs/>
        </w:rPr>
        <w:t>10</w:t>
      </w:r>
      <w:r w:rsidR="009770F3">
        <w:rPr>
          <w:rFonts w:cs="Calibri"/>
          <w:b/>
          <w:bCs/>
        </w:rPr>
        <w:t xml:space="preserve">: </w:t>
      </w:r>
      <w:r w:rsidR="009770F3">
        <w:rPr>
          <w:rFonts w:cs="Calibri"/>
          <w:b/>
          <w:bCs/>
          <w:i/>
          <w:iCs/>
        </w:rPr>
        <w:t xml:space="preserve"> </w:t>
      </w:r>
      <w:r w:rsidR="007660C8" w:rsidRPr="00AE4F3D">
        <w:rPr>
          <w:rFonts w:cs="Calibri"/>
          <w:b/>
          <w:bCs/>
        </w:rPr>
        <w:t xml:space="preserve">Average </w:t>
      </w:r>
      <w:r w:rsidR="009770F3" w:rsidRPr="00AE4F3D">
        <w:rPr>
          <w:rFonts w:cs="Calibri"/>
          <w:b/>
          <w:bCs/>
        </w:rPr>
        <w:t>Health Lapse Time</w:t>
      </w:r>
    </w:p>
    <w:p w14:paraId="7311C8DC" w14:textId="49F85B51" w:rsidR="00DF038C" w:rsidRPr="00DF038C" w:rsidRDefault="00DF038C" w:rsidP="00783189">
      <w:pPr>
        <w:widowControl/>
        <w:autoSpaceDE/>
        <w:autoSpaceDN/>
        <w:adjustRightInd/>
        <w:rPr>
          <w:rFonts w:cs="Calibri"/>
        </w:rPr>
      </w:pPr>
      <w:r w:rsidRPr="00DF038C">
        <w:rPr>
          <w:rFonts w:cs="Calibri"/>
        </w:rPr>
        <w:t>In FY 2024, the average health lapse time (SAMM 11</w:t>
      </w:r>
      <w:r>
        <w:rPr>
          <w:rFonts w:cs="Calibri"/>
        </w:rPr>
        <w:t>b</w:t>
      </w:r>
      <w:r w:rsidRPr="00DF038C">
        <w:rPr>
          <w:rFonts w:cs="Calibri"/>
        </w:rPr>
        <w:t xml:space="preserve">) for citations was calculated at </w:t>
      </w:r>
      <w:r>
        <w:rPr>
          <w:rFonts w:cs="Calibri"/>
        </w:rPr>
        <w:t xml:space="preserve">88.31 </w:t>
      </w:r>
      <w:r w:rsidR="00B02489">
        <w:rPr>
          <w:rFonts w:cs="Calibri"/>
        </w:rPr>
        <w:t>work</w:t>
      </w:r>
      <w:r w:rsidRPr="00DF038C">
        <w:rPr>
          <w:rFonts w:cs="Calibri"/>
        </w:rPr>
        <w:t xml:space="preserve">days which </w:t>
      </w:r>
      <w:r w:rsidR="00CB0957">
        <w:rPr>
          <w:rFonts w:cs="Calibri"/>
        </w:rPr>
        <w:t>was</w:t>
      </w:r>
      <w:r w:rsidRPr="00DF038C">
        <w:rPr>
          <w:rFonts w:cs="Calibri"/>
        </w:rPr>
        <w:t xml:space="preserve"> above the FRL range </w:t>
      </w:r>
      <w:r>
        <w:rPr>
          <w:rFonts w:cs="Calibri"/>
        </w:rPr>
        <w:t>of 53.77 to 80.65</w:t>
      </w:r>
      <w:r w:rsidRPr="00DF038C">
        <w:rPr>
          <w:rFonts w:cs="Calibri"/>
        </w:rPr>
        <w:t xml:space="preserve"> days for health.</w:t>
      </w:r>
    </w:p>
    <w:p w14:paraId="5465536A" w14:textId="77777777" w:rsidR="006672E3" w:rsidRPr="001C1E47" w:rsidRDefault="006672E3" w:rsidP="00783189">
      <w:pPr>
        <w:widowControl/>
        <w:autoSpaceDE/>
        <w:autoSpaceDN/>
        <w:adjustRightInd/>
        <w:rPr>
          <w:rFonts w:cs="Calibri"/>
          <w:highlight w:val="yellow"/>
          <w:u w:val="single"/>
        </w:rPr>
      </w:pPr>
    </w:p>
    <w:p w14:paraId="6CFEAD7C" w14:textId="76A6A55D" w:rsidR="00BE5D9A" w:rsidRDefault="00E75A69" w:rsidP="00E75A69">
      <w:pPr>
        <w:widowControl/>
        <w:autoSpaceDE/>
        <w:autoSpaceDN/>
        <w:adjustRightInd/>
        <w:rPr>
          <w:rFonts w:cs="Calibri"/>
          <w:iCs/>
        </w:rPr>
      </w:pPr>
      <w:r w:rsidRPr="00CA5DF7">
        <w:rPr>
          <w:rFonts w:cs="Calibri"/>
          <w:b/>
          <w:bCs/>
          <w:iCs/>
        </w:rPr>
        <w:t>Federal Monitoring Plan:</w:t>
      </w:r>
      <w:r w:rsidR="00277345">
        <w:rPr>
          <w:rFonts w:cs="Calibri"/>
          <w:b/>
          <w:bCs/>
          <w:iCs/>
        </w:rPr>
        <w:t xml:space="preserve"> </w:t>
      </w:r>
      <w:r w:rsidRPr="00CA5DF7">
        <w:rPr>
          <w:rFonts w:cs="Calibri"/>
          <w:iCs/>
        </w:rPr>
        <w:t xml:space="preserve">OSHA will monitor </w:t>
      </w:r>
      <w:r w:rsidR="00DF038C">
        <w:rPr>
          <w:rFonts w:cs="Calibri"/>
          <w:iCs/>
        </w:rPr>
        <w:t xml:space="preserve">the </w:t>
      </w:r>
      <w:r w:rsidRPr="00CA5DF7">
        <w:rPr>
          <w:rFonts w:cs="Calibri"/>
          <w:iCs/>
        </w:rPr>
        <w:t>N</w:t>
      </w:r>
      <w:r w:rsidR="00DF038C">
        <w:rPr>
          <w:rFonts w:cs="Calibri"/>
          <w:iCs/>
        </w:rPr>
        <w:t xml:space="preserve">ew Jersey State Plan </w:t>
      </w:r>
      <w:r w:rsidR="00BE5D9A">
        <w:rPr>
          <w:rFonts w:cs="Calibri"/>
          <w:iCs/>
        </w:rPr>
        <w:t>in</w:t>
      </w:r>
      <w:r w:rsidR="00DF038C">
        <w:rPr>
          <w:rFonts w:cs="Calibri"/>
          <w:iCs/>
        </w:rPr>
        <w:t xml:space="preserve"> FY 2025</w:t>
      </w:r>
      <w:r w:rsidR="004A6878">
        <w:rPr>
          <w:rFonts w:cs="Calibri"/>
          <w:iCs/>
        </w:rPr>
        <w:t xml:space="preserve"> </w:t>
      </w:r>
      <w:r w:rsidR="00DF038C">
        <w:rPr>
          <w:rFonts w:cs="Calibri"/>
          <w:iCs/>
        </w:rPr>
        <w:t xml:space="preserve">during </w:t>
      </w:r>
      <w:r w:rsidR="00BE5D9A">
        <w:rPr>
          <w:rFonts w:cs="Calibri"/>
          <w:iCs/>
        </w:rPr>
        <w:t>quarterly</w:t>
      </w:r>
      <w:r w:rsidR="00DF038C">
        <w:rPr>
          <w:rFonts w:cs="Calibri"/>
          <w:iCs/>
        </w:rPr>
        <w:t xml:space="preserve"> meetings </w:t>
      </w:r>
      <w:r w:rsidR="004A6878">
        <w:rPr>
          <w:rFonts w:cs="Calibri"/>
          <w:iCs/>
        </w:rPr>
        <w:t xml:space="preserve">utilizing </w:t>
      </w:r>
      <w:r w:rsidR="00DF038C">
        <w:rPr>
          <w:rFonts w:cs="Calibri"/>
          <w:iCs/>
        </w:rPr>
        <w:t xml:space="preserve">the SAMM </w:t>
      </w:r>
      <w:r w:rsidR="00BE5D9A">
        <w:rPr>
          <w:rFonts w:cs="Calibri"/>
          <w:iCs/>
        </w:rPr>
        <w:t xml:space="preserve">report to evaluate </w:t>
      </w:r>
      <w:r w:rsidR="004D0830">
        <w:rPr>
          <w:rFonts w:cs="Calibri"/>
          <w:iCs/>
        </w:rPr>
        <w:t xml:space="preserve">progress in reducing the </w:t>
      </w:r>
      <w:r w:rsidR="00BE5D9A">
        <w:rPr>
          <w:rFonts w:cs="Calibri"/>
          <w:iCs/>
        </w:rPr>
        <w:t>average health lapse time</w:t>
      </w:r>
      <w:r w:rsidR="002071DC">
        <w:rPr>
          <w:rFonts w:cs="Calibri"/>
          <w:iCs/>
        </w:rPr>
        <w:t xml:space="preserve"> for issuing citations</w:t>
      </w:r>
      <w:r w:rsidR="007660C8">
        <w:rPr>
          <w:rFonts w:cs="Calibri"/>
          <w:iCs/>
        </w:rPr>
        <w:t xml:space="preserve"> to within the acceptable range of data</w:t>
      </w:r>
      <w:r w:rsidR="00BE5D9A">
        <w:rPr>
          <w:rFonts w:cs="Calibri"/>
          <w:iCs/>
        </w:rPr>
        <w:t>.</w:t>
      </w:r>
    </w:p>
    <w:p w14:paraId="501D52E3" w14:textId="77777777" w:rsidR="00922455" w:rsidRDefault="00922455" w:rsidP="00E75A69">
      <w:pPr>
        <w:widowControl/>
        <w:autoSpaceDE/>
        <w:autoSpaceDN/>
        <w:adjustRightInd/>
        <w:rPr>
          <w:rFonts w:cs="Calibri"/>
          <w:iCs/>
        </w:rPr>
      </w:pPr>
    </w:p>
    <w:p w14:paraId="4E8EEBD1" w14:textId="34370A6D" w:rsidR="00B02489" w:rsidRPr="00B02489" w:rsidRDefault="00922455" w:rsidP="00B02489">
      <w:pPr>
        <w:rPr>
          <w:rFonts w:cs="Calibri"/>
          <w:iCs/>
        </w:rPr>
      </w:pPr>
      <w:r w:rsidRPr="00922455">
        <w:rPr>
          <w:rFonts w:cs="Calibri"/>
          <w:b/>
          <w:bCs/>
          <w:iCs/>
        </w:rPr>
        <w:t xml:space="preserve">Discussion: </w:t>
      </w:r>
      <w:bookmarkStart w:id="29" w:name="_Hlk194303755"/>
      <w:r w:rsidR="00B02489" w:rsidRPr="00B02489">
        <w:rPr>
          <w:rFonts w:cs="Calibri"/>
          <w:iCs/>
        </w:rPr>
        <w:t>In FY 2023, the FRL for SAMM 11b, average health lapse time was +/- 20% of 69.72 which was based on a three-year national average.  The range of acceptable data not requiring further review was from 55.78 to 83.66.  The New Jersey State Plan’s average health lapse time was at 57.00 workdays which was below the FRL.</w:t>
      </w:r>
    </w:p>
    <w:p w14:paraId="44D3B4DB" w14:textId="77777777" w:rsidR="00B02489" w:rsidRDefault="00B02489" w:rsidP="00922455">
      <w:pPr>
        <w:rPr>
          <w:rFonts w:cs="Calibri"/>
          <w:b/>
          <w:bCs/>
          <w:iCs/>
        </w:rPr>
      </w:pPr>
    </w:p>
    <w:p w14:paraId="55E925E2" w14:textId="18A6AA2D" w:rsidR="00777708" w:rsidRDefault="00777708" w:rsidP="00922455">
      <w:pPr>
        <w:rPr>
          <w:rFonts w:cs="Calibri"/>
          <w:iCs/>
        </w:rPr>
      </w:pPr>
      <w:r>
        <w:rPr>
          <w:rFonts w:cs="Calibri"/>
          <w:iCs/>
        </w:rPr>
        <w:t>In FY 2024, t</w:t>
      </w:r>
      <w:r w:rsidR="00922455" w:rsidRPr="00922455">
        <w:rPr>
          <w:rFonts w:cs="Calibri"/>
          <w:iCs/>
        </w:rPr>
        <w:t xml:space="preserve">he FRL for SAMM 11b, average health lapse time </w:t>
      </w:r>
      <w:r w:rsidR="00CB0957">
        <w:rPr>
          <w:rFonts w:cs="Calibri"/>
          <w:iCs/>
        </w:rPr>
        <w:t>was</w:t>
      </w:r>
      <w:r w:rsidR="00922455" w:rsidRPr="00922455">
        <w:rPr>
          <w:rFonts w:cs="Calibri"/>
          <w:iCs/>
        </w:rPr>
        <w:t xml:space="preserve"> +/- 20% of 67.21 which </w:t>
      </w:r>
      <w:r w:rsidR="00CB0957">
        <w:rPr>
          <w:rFonts w:cs="Calibri"/>
          <w:iCs/>
        </w:rPr>
        <w:t>was</w:t>
      </w:r>
      <w:r w:rsidR="00922455" w:rsidRPr="00922455">
        <w:rPr>
          <w:rFonts w:cs="Calibri"/>
          <w:iCs/>
        </w:rPr>
        <w:t xml:space="preserve"> based on a three-year national average. </w:t>
      </w:r>
      <w:r w:rsidR="00D700FB">
        <w:rPr>
          <w:rFonts w:cs="Calibri"/>
          <w:iCs/>
        </w:rPr>
        <w:t xml:space="preserve"> </w:t>
      </w:r>
      <w:r w:rsidR="00922455" w:rsidRPr="00922455">
        <w:rPr>
          <w:rFonts w:cs="Calibri"/>
          <w:iCs/>
        </w:rPr>
        <w:t xml:space="preserve">The range of acceptable data not requiring further review </w:t>
      </w:r>
      <w:r w:rsidR="00CB0957">
        <w:rPr>
          <w:rFonts w:cs="Calibri"/>
          <w:iCs/>
        </w:rPr>
        <w:t>was</w:t>
      </w:r>
      <w:r w:rsidR="00922455" w:rsidRPr="00922455">
        <w:rPr>
          <w:rFonts w:cs="Calibri"/>
          <w:iCs/>
        </w:rPr>
        <w:t xml:space="preserve"> from 53.77 to 80.65. </w:t>
      </w:r>
      <w:r w:rsidR="00D700FB">
        <w:rPr>
          <w:rFonts w:cs="Calibri"/>
          <w:iCs/>
        </w:rPr>
        <w:t xml:space="preserve"> </w:t>
      </w:r>
      <w:r w:rsidR="00922455" w:rsidRPr="00922455">
        <w:rPr>
          <w:rFonts w:cs="Calibri"/>
          <w:iCs/>
        </w:rPr>
        <w:t xml:space="preserve">The </w:t>
      </w:r>
      <w:r w:rsidR="00922455">
        <w:rPr>
          <w:rFonts w:cs="Calibri"/>
          <w:iCs/>
        </w:rPr>
        <w:t>New Jersey</w:t>
      </w:r>
      <w:r w:rsidR="00922455" w:rsidRPr="00922455">
        <w:rPr>
          <w:rFonts w:cs="Calibri"/>
          <w:iCs/>
        </w:rPr>
        <w:t xml:space="preserve"> State Plan’s average </w:t>
      </w:r>
      <w:r w:rsidR="00922455">
        <w:rPr>
          <w:rFonts w:cs="Calibri"/>
          <w:iCs/>
        </w:rPr>
        <w:t>health</w:t>
      </w:r>
      <w:r w:rsidR="00922455" w:rsidRPr="00922455">
        <w:rPr>
          <w:rFonts w:cs="Calibri"/>
          <w:iCs/>
        </w:rPr>
        <w:t xml:space="preserve"> lapse time </w:t>
      </w:r>
      <w:r w:rsidR="00CB0957">
        <w:rPr>
          <w:rFonts w:cs="Calibri"/>
          <w:iCs/>
        </w:rPr>
        <w:t>was</w:t>
      </w:r>
      <w:r w:rsidR="00922455" w:rsidRPr="00922455">
        <w:rPr>
          <w:rFonts w:cs="Calibri"/>
          <w:iCs/>
        </w:rPr>
        <w:t xml:space="preserve"> at 8</w:t>
      </w:r>
      <w:r w:rsidR="00922455">
        <w:rPr>
          <w:rFonts w:cs="Calibri"/>
          <w:iCs/>
        </w:rPr>
        <w:t>8.31</w:t>
      </w:r>
      <w:r w:rsidR="00922455" w:rsidRPr="00922455">
        <w:rPr>
          <w:rFonts w:cs="Calibri"/>
          <w:iCs/>
        </w:rPr>
        <w:t xml:space="preserve"> </w:t>
      </w:r>
      <w:r w:rsidR="00B02489">
        <w:rPr>
          <w:rFonts w:cs="Calibri"/>
          <w:iCs/>
        </w:rPr>
        <w:t xml:space="preserve">workdays </w:t>
      </w:r>
      <w:r w:rsidR="00922455" w:rsidRPr="00922455">
        <w:rPr>
          <w:rFonts w:cs="Calibri"/>
          <w:iCs/>
        </w:rPr>
        <w:t xml:space="preserve">which </w:t>
      </w:r>
      <w:r w:rsidR="00CB0957">
        <w:rPr>
          <w:rFonts w:cs="Calibri"/>
          <w:iCs/>
        </w:rPr>
        <w:t>was</w:t>
      </w:r>
      <w:r w:rsidR="00922455" w:rsidRPr="00922455">
        <w:rPr>
          <w:rFonts w:cs="Calibri"/>
          <w:iCs/>
        </w:rPr>
        <w:t xml:space="preserve"> above the FRL and could be a cause for concern</w:t>
      </w:r>
      <w:bookmarkEnd w:id="29"/>
      <w:r w:rsidR="00922455" w:rsidRPr="00922455">
        <w:rPr>
          <w:rFonts w:cs="Calibri"/>
          <w:iCs/>
        </w:rPr>
        <w:t>.</w:t>
      </w:r>
      <w:r w:rsidR="00D700FB">
        <w:rPr>
          <w:rFonts w:cs="Calibri"/>
          <w:iCs/>
        </w:rPr>
        <w:t xml:space="preserve">  </w:t>
      </w:r>
    </w:p>
    <w:p w14:paraId="1DA80448" w14:textId="77777777" w:rsidR="00B02489" w:rsidRDefault="00B02489" w:rsidP="00922455">
      <w:pPr>
        <w:rPr>
          <w:rFonts w:cs="Calibri"/>
          <w:iCs/>
        </w:rPr>
      </w:pPr>
    </w:p>
    <w:p w14:paraId="0423F78D" w14:textId="23DF96AF" w:rsidR="00C5209A" w:rsidRPr="00B65D22" w:rsidRDefault="00B02489" w:rsidP="00922455">
      <w:pPr>
        <w:rPr>
          <w:rFonts w:cs="Calibri"/>
          <w:iCs/>
        </w:rPr>
      </w:pPr>
      <w:r w:rsidRPr="00B65D22">
        <w:rPr>
          <w:rFonts w:cs="Calibri"/>
          <w:iCs/>
        </w:rPr>
        <w:t xml:space="preserve">The State Plan contributes the increase in </w:t>
      </w:r>
      <w:r w:rsidR="00C5209A" w:rsidRPr="00B65D22">
        <w:rPr>
          <w:rFonts w:cs="Calibri"/>
          <w:iCs/>
        </w:rPr>
        <w:t xml:space="preserve">health </w:t>
      </w:r>
      <w:r w:rsidRPr="00B65D22">
        <w:rPr>
          <w:rFonts w:cs="Calibri"/>
          <w:iCs/>
        </w:rPr>
        <w:t xml:space="preserve">lapse time from FY 2023 to FY 2024 </w:t>
      </w:r>
      <w:r w:rsidR="00C5209A" w:rsidRPr="00B65D22">
        <w:rPr>
          <w:rFonts w:cs="Calibri"/>
          <w:iCs/>
        </w:rPr>
        <w:t>due to the following factors:</w:t>
      </w:r>
    </w:p>
    <w:p w14:paraId="14F2CB93" w14:textId="77777777" w:rsidR="00C5209A" w:rsidRPr="00B65D22" w:rsidRDefault="00C5209A" w:rsidP="00922455">
      <w:pPr>
        <w:rPr>
          <w:rFonts w:cs="Calibri"/>
          <w:iCs/>
        </w:rPr>
      </w:pPr>
    </w:p>
    <w:p w14:paraId="3F8AC07B" w14:textId="29D6BF1C" w:rsidR="00B02489" w:rsidRPr="008A1127" w:rsidRDefault="00C5209A" w:rsidP="008A1127">
      <w:pPr>
        <w:pStyle w:val="ListParagraph"/>
        <w:numPr>
          <w:ilvl w:val="0"/>
          <w:numId w:val="15"/>
        </w:numPr>
        <w:ind w:left="810"/>
        <w:rPr>
          <w:iCs/>
          <w:sz w:val="24"/>
          <w:szCs w:val="24"/>
        </w:rPr>
      </w:pPr>
      <w:r w:rsidRPr="008A1127">
        <w:rPr>
          <w:iCs/>
          <w:sz w:val="24"/>
          <w:szCs w:val="24"/>
        </w:rPr>
        <w:t>Two complex fatality inspections that involved working with other agencies including the United States Coast Guard and the local prosecutor’s office.</w:t>
      </w:r>
    </w:p>
    <w:p w14:paraId="432AA98C" w14:textId="77777777" w:rsidR="008A1127" w:rsidRPr="008A1127" w:rsidRDefault="008A1127" w:rsidP="008A1127">
      <w:pPr>
        <w:pStyle w:val="ListParagraph"/>
        <w:ind w:left="810"/>
        <w:rPr>
          <w:iCs/>
          <w:sz w:val="24"/>
          <w:szCs w:val="24"/>
        </w:rPr>
      </w:pPr>
    </w:p>
    <w:p w14:paraId="359444D0" w14:textId="56A4B297" w:rsidR="00C5209A" w:rsidRPr="008A1127" w:rsidRDefault="00C5209A" w:rsidP="008A1127">
      <w:pPr>
        <w:pStyle w:val="ListParagraph"/>
        <w:numPr>
          <w:ilvl w:val="0"/>
          <w:numId w:val="15"/>
        </w:numPr>
        <w:ind w:left="810"/>
        <w:rPr>
          <w:iCs/>
          <w:sz w:val="24"/>
          <w:szCs w:val="24"/>
        </w:rPr>
      </w:pPr>
      <w:r w:rsidRPr="008A1127">
        <w:rPr>
          <w:iCs/>
          <w:sz w:val="24"/>
          <w:szCs w:val="24"/>
        </w:rPr>
        <w:t xml:space="preserve">Thirteen inspections from the same municipality conducted at the same time </w:t>
      </w:r>
      <w:r w:rsidR="00B65D22" w:rsidRPr="008A1127">
        <w:rPr>
          <w:iCs/>
          <w:sz w:val="24"/>
          <w:szCs w:val="24"/>
        </w:rPr>
        <w:t>involving the evaluation of lead and asbestos hazards in these buildings.</w:t>
      </w:r>
    </w:p>
    <w:p w14:paraId="3CF41193" w14:textId="77777777" w:rsidR="008A1127" w:rsidRPr="008A1127" w:rsidRDefault="008A1127" w:rsidP="00AE4F3D">
      <w:pPr>
        <w:pStyle w:val="ListParagraph"/>
        <w:ind w:left="810"/>
        <w:rPr>
          <w:iCs/>
          <w:sz w:val="24"/>
          <w:szCs w:val="24"/>
        </w:rPr>
      </w:pPr>
    </w:p>
    <w:p w14:paraId="17B7DEC1" w14:textId="308CDB7F" w:rsidR="00B65D22" w:rsidRPr="008A1127" w:rsidRDefault="00B65D22" w:rsidP="00AE4F3D">
      <w:pPr>
        <w:pStyle w:val="ListParagraph"/>
        <w:numPr>
          <w:ilvl w:val="0"/>
          <w:numId w:val="15"/>
        </w:numPr>
        <w:ind w:left="810"/>
        <w:rPr>
          <w:iCs/>
          <w:sz w:val="24"/>
          <w:szCs w:val="24"/>
        </w:rPr>
      </w:pPr>
      <w:r w:rsidRPr="008A1127">
        <w:rPr>
          <w:iCs/>
          <w:sz w:val="24"/>
          <w:szCs w:val="24"/>
        </w:rPr>
        <w:t xml:space="preserve">Limitation in the number of health enforcement staff.  </w:t>
      </w:r>
    </w:p>
    <w:p w14:paraId="14E2BC31" w14:textId="57D402AC" w:rsidR="00922455" w:rsidRPr="00B65D22" w:rsidRDefault="00922455" w:rsidP="00922455">
      <w:pPr>
        <w:rPr>
          <w:rFonts w:cs="Calibri"/>
          <w:iCs/>
        </w:rPr>
      </w:pPr>
      <w:r w:rsidRPr="00B65D22">
        <w:rPr>
          <w:rFonts w:cs="Calibri"/>
          <w:iCs/>
        </w:rPr>
        <w:t>OSHA will monitor this situation as an observation.</w:t>
      </w:r>
      <w:r w:rsidR="00B65D22">
        <w:rPr>
          <w:rFonts w:cs="Calibri"/>
          <w:iCs/>
        </w:rPr>
        <w:t xml:space="preserve">  NJ PEOSH Department of Health has committed to working with health staff in FY 2025 to reduce average lapse time by using reports </w:t>
      </w:r>
      <w:r w:rsidR="00B65D22">
        <w:rPr>
          <w:rFonts w:cs="Calibri"/>
          <w:iCs/>
        </w:rPr>
        <w:lastRenderedPageBreak/>
        <w:t>to identify cases with high lapse time, issuing cases as quickly as possible without delay</w:t>
      </w:r>
      <w:r w:rsidR="00CB0957">
        <w:rPr>
          <w:rFonts w:cs="Calibri"/>
          <w:iCs/>
        </w:rPr>
        <w:t>,</w:t>
      </w:r>
      <w:r w:rsidR="00B65D22">
        <w:rPr>
          <w:rFonts w:cs="Calibri"/>
          <w:iCs/>
        </w:rPr>
        <w:t xml:space="preserve"> and hiring additional health enforcement staff.   </w:t>
      </w:r>
    </w:p>
    <w:bookmarkEnd w:id="28"/>
    <w:p w14:paraId="61742FDC" w14:textId="77777777" w:rsidR="00922455" w:rsidRDefault="00922455" w:rsidP="00E75A69">
      <w:pPr>
        <w:widowControl/>
        <w:autoSpaceDE/>
        <w:autoSpaceDN/>
        <w:adjustRightInd/>
        <w:rPr>
          <w:rFonts w:cs="Calibri"/>
          <w:iCs/>
        </w:rPr>
      </w:pPr>
    </w:p>
    <w:p w14:paraId="2287F1A4" w14:textId="097D03E4" w:rsidR="00E75A69" w:rsidRDefault="00BE5D9A" w:rsidP="00E75A69">
      <w:pPr>
        <w:widowControl/>
        <w:autoSpaceDE/>
        <w:autoSpaceDN/>
        <w:adjustRightInd/>
        <w:rPr>
          <w:rFonts w:cs="Calibri"/>
          <w:b/>
          <w:bCs/>
          <w:i/>
        </w:rPr>
      </w:pPr>
      <w:r w:rsidRPr="004D0830">
        <w:rPr>
          <w:rFonts w:cs="Calibri"/>
          <w:b/>
          <w:bCs/>
          <w:iCs/>
        </w:rPr>
        <w:t xml:space="preserve">Observation FY 2024-OB-11: </w:t>
      </w:r>
      <w:r w:rsidR="004D0830" w:rsidRPr="00AE4F3D">
        <w:rPr>
          <w:rFonts w:cs="Calibri"/>
          <w:b/>
          <w:bCs/>
          <w:iCs/>
        </w:rPr>
        <w:t>OIS Written Reports Pending Report</w:t>
      </w:r>
    </w:p>
    <w:p w14:paraId="6D688C60" w14:textId="4DEAA1C2" w:rsidR="004D0830" w:rsidRPr="004D0830" w:rsidRDefault="004D0830" w:rsidP="004D0830">
      <w:pPr>
        <w:widowControl/>
        <w:autoSpaceDE/>
        <w:autoSpaceDN/>
        <w:adjustRightInd/>
        <w:rPr>
          <w:rFonts w:cs="Calibri"/>
          <w:iCs/>
        </w:rPr>
      </w:pPr>
      <w:r w:rsidRPr="004D0830">
        <w:rPr>
          <w:rFonts w:cs="Calibri"/>
          <w:iCs/>
        </w:rPr>
        <w:t>The OIS Written Reports Pending Report</w:t>
      </w:r>
      <w:r w:rsidR="008A1127">
        <w:rPr>
          <w:rFonts w:cs="Calibri"/>
          <w:iCs/>
        </w:rPr>
        <w:t>,</w:t>
      </w:r>
      <w:r w:rsidRPr="004D0830">
        <w:rPr>
          <w:rFonts w:cs="Calibri"/>
          <w:iCs/>
        </w:rPr>
        <w:t xml:space="preserve"> run on February 5, 2024, showed 10 reports pending issuance past 20 federal working days from the closing conference date. </w:t>
      </w:r>
      <w:r w:rsidR="00D700FB">
        <w:rPr>
          <w:rFonts w:cs="Calibri"/>
          <w:iCs/>
        </w:rPr>
        <w:t xml:space="preserve"> </w:t>
      </w:r>
      <w:r w:rsidRPr="004D0830">
        <w:rPr>
          <w:rFonts w:cs="Calibri"/>
          <w:iCs/>
        </w:rPr>
        <w:t>The number of working days past the closing conference day ranged from 58</w:t>
      </w:r>
      <w:r w:rsidR="00195095">
        <w:rPr>
          <w:rFonts w:cs="Calibri"/>
          <w:iCs/>
        </w:rPr>
        <w:t xml:space="preserve"> to </w:t>
      </w:r>
      <w:r w:rsidRPr="004D0830">
        <w:rPr>
          <w:rFonts w:cs="Calibri"/>
          <w:iCs/>
        </w:rPr>
        <w:t xml:space="preserve">250 working days. </w:t>
      </w:r>
    </w:p>
    <w:p w14:paraId="22BC39D1" w14:textId="77777777" w:rsidR="004D0830" w:rsidRDefault="004D0830" w:rsidP="00E75A69">
      <w:pPr>
        <w:widowControl/>
        <w:autoSpaceDE/>
        <w:autoSpaceDN/>
        <w:adjustRightInd/>
        <w:rPr>
          <w:rFonts w:cs="Calibri"/>
          <w:b/>
          <w:bCs/>
          <w:iCs/>
        </w:rPr>
      </w:pPr>
    </w:p>
    <w:p w14:paraId="544DED3B" w14:textId="21919320" w:rsidR="00E75A69" w:rsidRDefault="004D0830" w:rsidP="00E75A69">
      <w:pPr>
        <w:widowControl/>
        <w:autoSpaceDE/>
        <w:autoSpaceDN/>
        <w:adjustRightInd/>
        <w:rPr>
          <w:rFonts w:cs="Calibri"/>
          <w:iCs/>
          <w:color w:val="0070C0"/>
        </w:rPr>
      </w:pPr>
      <w:r w:rsidRPr="004D0830">
        <w:rPr>
          <w:rFonts w:cs="Calibri"/>
          <w:b/>
          <w:bCs/>
          <w:iCs/>
        </w:rPr>
        <w:t xml:space="preserve">Federal Monitoring Plan: </w:t>
      </w:r>
      <w:r w:rsidRPr="004D0830">
        <w:rPr>
          <w:rFonts w:cs="Calibri"/>
          <w:iCs/>
        </w:rPr>
        <w:t>OSHA will monitor the New Jersey State Plan in FY 2025 during quarterly meetings utilizing th</w:t>
      </w:r>
      <w:r>
        <w:rPr>
          <w:rFonts w:cs="Calibri"/>
          <w:iCs/>
        </w:rPr>
        <w:t xml:space="preserve">is OIS report </w:t>
      </w:r>
      <w:r w:rsidRPr="004D0830">
        <w:rPr>
          <w:rFonts w:cs="Calibri"/>
          <w:iCs/>
        </w:rPr>
        <w:t xml:space="preserve">to evaluate </w:t>
      </w:r>
      <w:r>
        <w:rPr>
          <w:rFonts w:cs="Calibri"/>
          <w:iCs/>
        </w:rPr>
        <w:t xml:space="preserve">progress in reducing the number of consultation reports that are issued more than 20 federal working days after the closing conference date. </w:t>
      </w:r>
    </w:p>
    <w:p w14:paraId="4F6493F5" w14:textId="77777777" w:rsidR="003938FD" w:rsidRDefault="003938FD" w:rsidP="00DA149E">
      <w:pPr>
        <w:widowControl/>
        <w:autoSpaceDE/>
        <w:autoSpaceDN/>
        <w:adjustRightInd/>
        <w:rPr>
          <w:rFonts w:cs="Calibri"/>
          <w:b/>
          <w:bCs/>
          <w:iCs/>
        </w:rPr>
      </w:pPr>
    </w:p>
    <w:p w14:paraId="3DA9F664" w14:textId="6DED9B1D" w:rsidR="00DA149E" w:rsidRPr="004D0830" w:rsidRDefault="00DA149E" w:rsidP="00DA149E">
      <w:pPr>
        <w:widowControl/>
        <w:autoSpaceDE/>
        <w:autoSpaceDN/>
        <w:adjustRightInd/>
        <w:rPr>
          <w:rFonts w:cs="Calibri"/>
          <w:iCs/>
        </w:rPr>
      </w:pPr>
      <w:r w:rsidRPr="00D61DDA">
        <w:rPr>
          <w:rFonts w:cs="Calibri"/>
          <w:b/>
          <w:bCs/>
          <w:iCs/>
        </w:rPr>
        <w:t>Discussion:</w:t>
      </w:r>
      <w:r w:rsidRPr="00D61DDA">
        <w:rPr>
          <w:rFonts w:cs="Calibri"/>
          <w:iCs/>
        </w:rPr>
        <w:t xml:space="preserve"> </w:t>
      </w:r>
      <w:r>
        <w:rPr>
          <w:rFonts w:cs="Calibri"/>
          <w:iCs/>
        </w:rPr>
        <w:t>The federal Consultation Policies and Procedures Manual (CPPM)</w:t>
      </w:r>
      <w:r w:rsidR="00195095">
        <w:rPr>
          <w:rFonts w:cs="Calibri"/>
          <w:iCs/>
        </w:rPr>
        <w:t xml:space="preserve">, </w:t>
      </w:r>
      <w:r>
        <w:rPr>
          <w:rFonts w:cs="Calibri"/>
          <w:iCs/>
        </w:rPr>
        <w:t>which was adopted by the New Jersey State Plan</w:t>
      </w:r>
      <w:r w:rsidR="00195095">
        <w:rPr>
          <w:rFonts w:cs="Calibri"/>
          <w:iCs/>
        </w:rPr>
        <w:t>,</w:t>
      </w:r>
      <w:r>
        <w:rPr>
          <w:rFonts w:cs="Calibri"/>
          <w:iCs/>
        </w:rPr>
        <w:t xml:space="preserve"> requires that consultation reports be </w:t>
      </w:r>
      <w:r w:rsidRPr="004D0830">
        <w:rPr>
          <w:rFonts w:cs="Calibri"/>
          <w:iCs/>
        </w:rPr>
        <w:t>sent to the employer by the consultant as soon as possible but no later than 20 federal working days after the closing conference, regardless of whether industrial hygiene sampling</w:t>
      </w:r>
      <w:r>
        <w:rPr>
          <w:rFonts w:cs="Calibri"/>
          <w:iCs/>
        </w:rPr>
        <w:t xml:space="preserve"> </w:t>
      </w:r>
      <w:r w:rsidRPr="004D0830">
        <w:rPr>
          <w:rFonts w:cs="Calibri"/>
          <w:iCs/>
        </w:rPr>
        <w:t xml:space="preserve">results were received by the </w:t>
      </w:r>
      <w:r>
        <w:rPr>
          <w:rFonts w:cs="Calibri"/>
          <w:iCs/>
        </w:rPr>
        <w:t>c</w:t>
      </w:r>
      <w:r w:rsidRPr="004D0830">
        <w:rPr>
          <w:rFonts w:cs="Calibri"/>
          <w:iCs/>
        </w:rPr>
        <w:t>onsultation program.</w:t>
      </w:r>
      <w:r>
        <w:rPr>
          <w:rFonts w:cs="Calibri"/>
          <w:iCs/>
        </w:rPr>
        <w:t xml:space="preserve"> </w:t>
      </w:r>
      <w:r w:rsidR="00D700FB">
        <w:rPr>
          <w:rFonts w:cs="Calibri"/>
          <w:iCs/>
        </w:rPr>
        <w:t xml:space="preserve"> </w:t>
      </w:r>
      <w:r>
        <w:rPr>
          <w:rFonts w:cs="Calibri"/>
          <w:iCs/>
        </w:rPr>
        <w:t>Th</w:t>
      </w:r>
      <w:r w:rsidR="00625465">
        <w:rPr>
          <w:rFonts w:cs="Calibri"/>
          <w:iCs/>
        </w:rPr>
        <w:t>e New Jersey</w:t>
      </w:r>
      <w:r>
        <w:rPr>
          <w:rFonts w:cs="Calibri"/>
          <w:iCs/>
        </w:rPr>
        <w:t xml:space="preserve"> State Plan adopted the federal CPPM.</w:t>
      </w:r>
    </w:p>
    <w:p w14:paraId="54872F8D" w14:textId="77777777" w:rsidR="0093395B" w:rsidRPr="00DA149E" w:rsidRDefault="0093395B" w:rsidP="00E75A69">
      <w:pPr>
        <w:widowControl/>
        <w:autoSpaceDE/>
        <w:autoSpaceDN/>
        <w:adjustRightInd/>
        <w:rPr>
          <w:rFonts w:cs="Calibri"/>
          <w:iCs/>
          <w:color w:val="0070C0"/>
        </w:rPr>
      </w:pPr>
    </w:p>
    <w:p w14:paraId="3B828F9D" w14:textId="6C45BA5D" w:rsidR="00F132A8" w:rsidRPr="0061362E" w:rsidRDefault="00F132A8" w:rsidP="0061362E">
      <w:pPr>
        <w:pStyle w:val="Heading3"/>
      </w:pPr>
      <w:bookmarkStart w:id="30" w:name="_Toc118900177"/>
      <w:bookmarkStart w:id="31" w:name="_Toc118905016"/>
      <w:bookmarkStart w:id="32" w:name="_Toc119418668"/>
      <w:r w:rsidRPr="0061362E">
        <w:t>State Activity Mandated Measures (SAMM)</w:t>
      </w:r>
      <w:r w:rsidR="00A243D6" w:rsidRPr="0061362E">
        <w:t xml:space="preserve"> Highlights</w:t>
      </w:r>
      <w:bookmarkEnd w:id="30"/>
      <w:bookmarkEnd w:id="31"/>
      <w:bookmarkEnd w:id="32"/>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F9395D2" w14:textId="3D28BD9C" w:rsidR="007928A1" w:rsidRDefault="007928A1" w:rsidP="007928A1">
      <w:pPr>
        <w:widowControl/>
        <w:autoSpaceDE/>
        <w:adjustRightInd/>
        <w:rPr>
          <w:rFonts w:cs="Calibri"/>
        </w:rPr>
      </w:pPr>
      <w:r w:rsidRPr="007928A1">
        <w:rPr>
          <w:rFonts w:cs="Calibri"/>
        </w:rPr>
        <w:t xml:space="preserve">Each SAMM has an agreed upon FRL which can be either a single number, or a range of numbers above and below the national average. </w:t>
      </w:r>
      <w:r w:rsidR="00D700FB">
        <w:rPr>
          <w:rFonts w:cs="Calibri"/>
        </w:rPr>
        <w:t xml:space="preserve"> </w:t>
      </w:r>
      <w:r w:rsidRPr="007928A1">
        <w:rPr>
          <w:rFonts w:cs="Calibri"/>
        </w:rPr>
        <w:t>State Plan SAMM data that falls outside the FRL triggers a closer look at the underlying performance of the mandatory activity.</w:t>
      </w:r>
      <w:r>
        <w:rPr>
          <w:rFonts w:cs="Calibri"/>
        </w:rPr>
        <w:t xml:space="preserve"> </w:t>
      </w:r>
      <w:r w:rsidR="00D700FB">
        <w:rPr>
          <w:rFonts w:cs="Calibri"/>
        </w:rPr>
        <w:t xml:space="preserve"> </w:t>
      </w:r>
      <w:r w:rsidRPr="007928A1">
        <w:rPr>
          <w:rFonts w:cs="Calibri"/>
        </w:rPr>
        <w:t>Appendix D presents the State Plan’s FY 202</w:t>
      </w:r>
      <w:r w:rsidR="003A6AFD">
        <w:rPr>
          <w:rFonts w:cs="Calibri"/>
        </w:rPr>
        <w:t>4</w:t>
      </w:r>
      <w:r w:rsidRPr="007928A1">
        <w:rPr>
          <w:rFonts w:cs="Calibri"/>
        </w:rPr>
        <w:t xml:space="preserve"> State Activity Mandated Measures (SAMM) Report and includes the FRLs for each measure. </w:t>
      </w:r>
      <w:r>
        <w:rPr>
          <w:rFonts w:cs="Calibri"/>
        </w:rPr>
        <w:t xml:space="preserve"> </w:t>
      </w:r>
    </w:p>
    <w:p w14:paraId="5CFF1789" w14:textId="4136BC75" w:rsidR="007928A1" w:rsidRDefault="007928A1" w:rsidP="007928A1">
      <w:pPr>
        <w:widowControl/>
        <w:autoSpaceDE/>
        <w:adjustRightInd/>
        <w:rPr>
          <w:rFonts w:cs="Calibri"/>
        </w:rPr>
      </w:pPr>
    </w:p>
    <w:p w14:paraId="134DE148" w14:textId="381AC2D4" w:rsidR="007928A1" w:rsidRPr="00DB278E" w:rsidRDefault="007928A1" w:rsidP="007928A1">
      <w:pPr>
        <w:widowControl/>
        <w:autoSpaceDE/>
        <w:adjustRightInd/>
        <w:rPr>
          <w:rFonts w:cs="Calibri"/>
        </w:rPr>
      </w:pPr>
      <w:bookmarkStart w:id="33" w:name="_Hlk130570594"/>
      <w:r w:rsidRPr="00DB278E">
        <w:rPr>
          <w:rFonts w:cs="Calibri"/>
        </w:rPr>
        <w:t xml:space="preserve">It should be noted that OSHA </w:t>
      </w:r>
      <w:r w:rsidR="000B73BD">
        <w:rPr>
          <w:rFonts w:cs="Calibri"/>
        </w:rPr>
        <w:t xml:space="preserve">is transitioning to new </w:t>
      </w:r>
      <w:r w:rsidR="00D43991">
        <w:rPr>
          <w:rFonts w:cs="Calibri"/>
        </w:rPr>
        <w:t>SAMM measures in FY 2025.</w:t>
      </w:r>
      <w:r w:rsidR="00D700FB">
        <w:rPr>
          <w:rFonts w:cs="Calibri"/>
        </w:rPr>
        <w:t xml:space="preserve"> </w:t>
      </w:r>
      <w:r w:rsidR="00D43991">
        <w:rPr>
          <w:rFonts w:cs="Calibri"/>
        </w:rPr>
        <w:t xml:space="preserve"> </w:t>
      </w:r>
      <w:r w:rsidR="00D00E80">
        <w:rPr>
          <w:rFonts w:cs="Calibri"/>
        </w:rPr>
        <w:t xml:space="preserve">Therefore, </w:t>
      </w:r>
      <w:r w:rsidR="00D00E80" w:rsidRPr="00DB278E">
        <w:rPr>
          <w:rFonts w:cs="Calibri"/>
        </w:rPr>
        <w:t>OSHA</w:t>
      </w:r>
      <w:r w:rsidRPr="00DB278E">
        <w:rPr>
          <w:rFonts w:cs="Calibri"/>
        </w:rPr>
        <w:t xml:space="preserve"> will not be relying on SAMMs 14, 15, or 16 in their evaluation of the State Plans whistleblower programs for FY 202</w:t>
      </w:r>
      <w:r w:rsidR="00D0212A">
        <w:rPr>
          <w:rFonts w:cs="Calibri"/>
        </w:rPr>
        <w:t>4</w:t>
      </w:r>
      <w:r w:rsidRPr="00DB278E">
        <w:rPr>
          <w:rFonts w:cs="Calibri"/>
        </w:rPr>
        <w:t>.</w:t>
      </w:r>
      <w:r w:rsidR="00D700FB">
        <w:rPr>
          <w:rFonts w:cs="Calibri"/>
        </w:rPr>
        <w:t xml:space="preserve"> </w:t>
      </w:r>
      <w:r w:rsidR="009D6DBB">
        <w:rPr>
          <w:rFonts w:cs="Calibri"/>
        </w:rPr>
        <w:t xml:space="preserve"> PEOSH </w:t>
      </w:r>
      <w:r w:rsidR="00E125FF">
        <w:rPr>
          <w:rFonts w:cs="Calibri"/>
        </w:rPr>
        <w:t>docketed five new whistleblower cases and administrat</w:t>
      </w:r>
      <w:r w:rsidR="009B0D94">
        <w:rPr>
          <w:rFonts w:cs="Calibri"/>
        </w:rPr>
        <w:t>ivel</w:t>
      </w:r>
      <w:r w:rsidR="00E125FF">
        <w:rPr>
          <w:rFonts w:cs="Calibri"/>
        </w:rPr>
        <w:t xml:space="preserve">y </w:t>
      </w:r>
      <w:r w:rsidR="009B0D94">
        <w:rPr>
          <w:rFonts w:cs="Calibri"/>
        </w:rPr>
        <w:t xml:space="preserve">closed 19 cases. </w:t>
      </w:r>
      <w:r w:rsidR="00D700FB">
        <w:rPr>
          <w:rFonts w:cs="Calibri"/>
        </w:rPr>
        <w:t xml:space="preserve"> </w:t>
      </w:r>
      <w:r w:rsidR="009B0D94">
        <w:rPr>
          <w:rFonts w:cs="Calibri"/>
        </w:rPr>
        <w:t xml:space="preserve">There was </w:t>
      </w:r>
      <w:r w:rsidR="00442234">
        <w:rPr>
          <w:rFonts w:cs="Calibri"/>
        </w:rPr>
        <w:t xml:space="preserve">three whistleblower cases open at the end of </w:t>
      </w:r>
      <w:r w:rsidR="00407D14">
        <w:rPr>
          <w:rFonts w:cs="Calibri"/>
        </w:rPr>
        <w:t>FY 2024.</w:t>
      </w:r>
      <w:r w:rsidR="009B0D94">
        <w:rPr>
          <w:rFonts w:cs="Calibri"/>
        </w:rPr>
        <w:t xml:space="preserve"> </w:t>
      </w:r>
      <w:r w:rsidR="00E125FF">
        <w:rPr>
          <w:rFonts w:cs="Calibri"/>
        </w:rPr>
        <w:t xml:space="preserve"> </w:t>
      </w:r>
    </w:p>
    <w:bookmarkEnd w:id="33"/>
    <w:p w14:paraId="2DC84D71" w14:textId="77777777" w:rsidR="007928A1" w:rsidRDefault="007928A1" w:rsidP="007928A1">
      <w:pPr>
        <w:widowControl/>
        <w:autoSpaceDE/>
        <w:adjustRightInd/>
        <w:rPr>
          <w:rFonts w:cs="Calibri"/>
        </w:rPr>
      </w:pPr>
    </w:p>
    <w:p w14:paraId="784FAA0F" w14:textId="22F77FD8" w:rsidR="007928A1" w:rsidRPr="001C1E47" w:rsidRDefault="007928A1" w:rsidP="007928A1">
      <w:pPr>
        <w:widowControl/>
        <w:autoSpaceDE/>
        <w:adjustRightInd/>
        <w:rPr>
          <w:rFonts w:cs="Calibri"/>
        </w:rPr>
      </w:pPr>
      <w:r w:rsidRPr="001C1E47">
        <w:rPr>
          <w:rFonts w:cs="Calibri"/>
        </w:rPr>
        <w:t xml:space="preserve">The </w:t>
      </w:r>
      <w:r w:rsidR="00C0159F">
        <w:rPr>
          <w:rFonts w:cs="Calibri"/>
        </w:rPr>
        <w:t xml:space="preserve">New Jersey </w:t>
      </w:r>
      <w:r w:rsidRPr="001C1E47">
        <w:rPr>
          <w:rFonts w:cs="Calibri"/>
        </w:rPr>
        <w:t>State Plan was outside the FRL on the following SAMMs:</w:t>
      </w:r>
    </w:p>
    <w:p w14:paraId="6BE8BE9A" w14:textId="77777777" w:rsidR="007928A1" w:rsidRPr="007928A1" w:rsidRDefault="007928A1" w:rsidP="007928A1">
      <w:pPr>
        <w:widowControl/>
        <w:autoSpaceDE/>
        <w:adjustRightInd/>
        <w:rPr>
          <w:rFonts w:cs="Calibri"/>
          <w:color w:val="0070C0"/>
        </w:rPr>
      </w:pPr>
    </w:p>
    <w:p w14:paraId="0BE78E7B" w14:textId="77777777" w:rsidR="007928A1" w:rsidRPr="007928A1" w:rsidRDefault="007928A1" w:rsidP="007928A1">
      <w:pPr>
        <w:widowControl/>
        <w:autoSpaceDE/>
        <w:adjustRightInd/>
        <w:rPr>
          <w:rFonts w:cs="Calibri"/>
          <w:b/>
          <w:bCs/>
        </w:rPr>
      </w:pPr>
      <w:r w:rsidRPr="007928A1">
        <w:rPr>
          <w:rFonts w:cs="Calibri"/>
          <w:b/>
          <w:bCs/>
        </w:rPr>
        <w:t>SAMM 1a – Average Number of Workdays to Initiate Complaint Inspections</w:t>
      </w:r>
    </w:p>
    <w:p w14:paraId="4D51BB75" w14:textId="77777777" w:rsidR="007928A1" w:rsidRPr="00595243" w:rsidRDefault="007928A1" w:rsidP="007928A1">
      <w:pPr>
        <w:widowControl/>
        <w:autoSpaceDE/>
        <w:adjustRightInd/>
        <w:rPr>
          <w:rFonts w:cs="Calibri"/>
          <w:b/>
          <w:bCs/>
        </w:rPr>
      </w:pPr>
    </w:p>
    <w:p w14:paraId="539148E0" w14:textId="5C8493C8" w:rsidR="007928A1" w:rsidRPr="00595243" w:rsidRDefault="007928A1" w:rsidP="007928A1">
      <w:pPr>
        <w:widowControl/>
        <w:autoSpaceDE/>
        <w:adjustRightInd/>
        <w:rPr>
          <w:rFonts w:cs="Calibri"/>
        </w:rPr>
      </w:pPr>
      <w:r w:rsidRPr="00AE4F3D">
        <w:rPr>
          <w:rFonts w:cs="Calibri"/>
          <w:b/>
          <w:bCs/>
        </w:rPr>
        <w:t>Discussion of State Plan Data and FRL</w:t>
      </w:r>
      <w:r w:rsidRPr="00595243">
        <w:rPr>
          <w:rFonts w:cs="Calibri"/>
          <w:b/>
          <w:bCs/>
        </w:rPr>
        <w:t>:</w:t>
      </w:r>
      <w:r w:rsidRPr="00595243">
        <w:rPr>
          <w:rFonts w:cs="Calibri"/>
        </w:rPr>
        <w:t xml:space="preserve"> The FRL for average number of workdays to initiate complaint inspections is five days for serious hazards and 120 days for other-than serious hazards. </w:t>
      </w:r>
      <w:r w:rsidR="00D700FB" w:rsidRPr="00595243">
        <w:rPr>
          <w:rFonts w:cs="Calibri"/>
        </w:rPr>
        <w:t xml:space="preserve"> </w:t>
      </w:r>
      <w:r w:rsidRPr="00595243">
        <w:rPr>
          <w:rFonts w:cs="Calibri"/>
        </w:rPr>
        <w:t xml:space="preserve">The New Jersey State Plan’s average number of workdays to initiate complaint </w:t>
      </w:r>
      <w:r w:rsidRPr="00595243">
        <w:rPr>
          <w:rFonts w:cs="Calibri"/>
        </w:rPr>
        <w:lastRenderedPageBreak/>
        <w:t>inspections in FY 202</w:t>
      </w:r>
      <w:r w:rsidR="00407D14" w:rsidRPr="00595243">
        <w:rPr>
          <w:rFonts w:cs="Calibri"/>
        </w:rPr>
        <w:t>4</w:t>
      </w:r>
      <w:r w:rsidRPr="00595243">
        <w:rPr>
          <w:rFonts w:cs="Calibri"/>
        </w:rPr>
        <w:t xml:space="preserve"> was </w:t>
      </w:r>
      <w:r w:rsidR="007D5AB4" w:rsidRPr="00595243">
        <w:rPr>
          <w:rFonts w:cs="Calibri"/>
        </w:rPr>
        <w:t>43.57</w:t>
      </w:r>
      <w:r w:rsidRPr="00595243">
        <w:rPr>
          <w:rFonts w:cs="Calibri"/>
        </w:rPr>
        <w:t xml:space="preserve"> days. </w:t>
      </w:r>
      <w:r w:rsidR="00D700FB" w:rsidRPr="00595243">
        <w:rPr>
          <w:rFonts w:cs="Calibri"/>
        </w:rPr>
        <w:t xml:space="preserve"> </w:t>
      </w:r>
      <w:r w:rsidRPr="00595243">
        <w:rPr>
          <w:rFonts w:cs="Calibri"/>
        </w:rPr>
        <w:t>This was above the FRL for serious hazards</w:t>
      </w:r>
      <w:r w:rsidR="007D5AB4" w:rsidRPr="00595243">
        <w:rPr>
          <w:rFonts w:cs="Calibri"/>
        </w:rPr>
        <w:t xml:space="preserve"> </w:t>
      </w:r>
      <w:r w:rsidR="00552E89" w:rsidRPr="00595243">
        <w:rPr>
          <w:rFonts w:cs="Calibri"/>
        </w:rPr>
        <w:t xml:space="preserve">but </w:t>
      </w:r>
      <w:r w:rsidR="000D3139" w:rsidRPr="00595243">
        <w:rPr>
          <w:rFonts w:cs="Calibri"/>
        </w:rPr>
        <w:t xml:space="preserve">below </w:t>
      </w:r>
      <w:r w:rsidR="00552E89" w:rsidRPr="00595243">
        <w:rPr>
          <w:rFonts w:cs="Calibri"/>
        </w:rPr>
        <w:t>for other-than serious hazards</w:t>
      </w:r>
      <w:r w:rsidRPr="00595243">
        <w:rPr>
          <w:rFonts w:cs="Calibri"/>
        </w:rPr>
        <w:t>.</w:t>
      </w:r>
      <w:r w:rsidR="00552E89" w:rsidRPr="00595243">
        <w:rPr>
          <w:rFonts w:cs="Calibri"/>
        </w:rPr>
        <w:t xml:space="preserve">  </w:t>
      </w:r>
    </w:p>
    <w:p w14:paraId="7CFE59A6" w14:textId="77777777" w:rsidR="00731D13" w:rsidRPr="00595243" w:rsidRDefault="00731D13" w:rsidP="007928A1">
      <w:pPr>
        <w:widowControl/>
        <w:autoSpaceDE/>
        <w:adjustRightInd/>
        <w:rPr>
          <w:rFonts w:cs="Calibri"/>
        </w:rPr>
      </w:pPr>
    </w:p>
    <w:p w14:paraId="36692B68" w14:textId="47082DCD" w:rsidR="007928A1" w:rsidRDefault="007928A1" w:rsidP="007928A1">
      <w:pPr>
        <w:widowControl/>
        <w:autoSpaceDE/>
        <w:adjustRightInd/>
        <w:rPr>
          <w:rFonts w:cs="Calibri"/>
        </w:rPr>
      </w:pPr>
      <w:r w:rsidRPr="00AE4F3D">
        <w:rPr>
          <w:rFonts w:cs="Calibri"/>
          <w:b/>
          <w:bCs/>
        </w:rPr>
        <w:t>Explanation:</w:t>
      </w:r>
      <w:r w:rsidRPr="007248B3">
        <w:rPr>
          <w:rFonts w:cs="Calibri"/>
          <w:b/>
          <w:bCs/>
        </w:rPr>
        <w:t xml:space="preserve"> </w:t>
      </w:r>
      <w:r w:rsidRPr="007928A1">
        <w:rPr>
          <w:rFonts w:cs="Calibri"/>
        </w:rPr>
        <w:t xml:space="preserve">The New Jersey State Plan’s significant increase in the average number of workdays to initiate complaint inspections </w:t>
      </w:r>
      <w:r w:rsidR="00E762B9">
        <w:rPr>
          <w:rFonts w:cs="Calibri"/>
        </w:rPr>
        <w:t>from FY 2023 to</w:t>
      </w:r>
      <w:r w:rsidR="00470C10">
        <w:rPr>
          <w:rFonts w:cs="Calibri"/>
        </w:rPr>
        <w:t xml:space="preserve"> FY 2024</w:t>
      </w:r>
      <w:r w:rsidRPr="007928A1">
        <w:rPr>
          <w:rFonts w:cs="Calibri"/>
        </w:rPr>
        <w:t xml:space="preserve"> is directly related to the inspection of indoor air quality and or sanitation complaints that were initially assigned as phone/fax investigations but converted to inspections when a satisfactory response was not received from the employer, or the complainant disputed the response. </w:t>
      </w:r>
      <w:r w:rsidR="00D700FB">
        <w:rPr>
          <w:rFonts w:cs="Calibri"/>
        </w:rPr>
        <w:t xml:space="preserve"> </w:t>
      </w:r>
      <w:r w:rsidRPr="007928A1">
        <w:rPr>
          <w:rFonts w:cs="Calibri"/>
        </w:rPr>
        <w:t>The program did not conduct inspections for these complaints within five</w:t>
      </w:r>
      <w:r w:rsidR="00277345">
        <w:rPr>
          <w:rFonts w:cs="Calibri"/>
        </w:rPr>
        <w:t xml:space="preserve"> </w:t>
      </w:r>
      <w:r w:rsidRPr="007928A1">
        <w:rPr>
          <w:rFonts w:cs="Calibri"/>
        </w:rPr>
        <w:t>days of deciding to conduct an inspection due to staff vacancies, a backlog of these complaints</w:t>
      </w:r>
      <w:r w:rsidR="00B33535">
        <w:rPr>
          <w:rFonts w:cs="Calibri"/>
        </w:rPr>
        <w:t>,</w:t>
      </w:r>
      <w:r w:rsidRPr="007928A1">
        <w:rPr>
          <w:rFonts w:cs="Calibri"/>
        </w:rPr>
        <w:t xml:space="preserve"> and other higher priority enforcement activities. However, these complaints are usually classified as other-than-serious complaints. </w:t>
      </w:r>
      <w:r w:rsidR="00D700FB">
        <w:rPr>
          <w:rFonts w:cs="Calibri"/>
        </w:rPr>
        <w:t xml:space="preserve"> </w:t>
      </w:r>
      <w:r w:rsidRPr="007928A1">
        <w:rPr>
          <w:rFonts w:cs="Calibri"/>
        </w:rPr>
        <w:t>The FRL for responding to other-than-serious hazards is 120 days.</w:t>
      </w:r>
    </w:p>
    <w:p w14:paraId="1A1B7602" w14:textId="77777777" w:rsidR="003938FD" w:rsidRDefault="003938FD" w:rsidP="007928A1">
      <w:pPr>
        <w:widowControl/>
        <w:autoSpaceDE/>
        <w:adjustRightInd/>
        <w:rPr>
          <w:rFonts w:cs="Calibri"/>
        </w:rPr>
      </w:pPr>
    </w:p>
    <w:p w14:paraId="3D5F3385" w14:textId="608CF18C" w:rsidR="008A0F27" w:rsidRDefault="008A0F27" w:rsidP="007928A1">
      <w:pPr>
        <w:widowControl/>
        <w:autoSpaceDE/>
        <w:adjustRightInd/>
        <w:rPr>
          <w:rFonts w:cs="Calibri"/>
        </w:rPr>
      </w:pPr>
      <w:r w:rsidRPr="008A0F27">
        <w:rPr>
          <w:rFonts w:cs="Calibri"/>
        </w:rPr>
        <w:t>This SAMM for FY 2024 did not report a separate value for complaints inspected that were classified as serious and those complaints with hazards classified as other-than serious only. The new SAMM</w:t>
      </w:r>
      <w:r w:rsidR="008A1127">
        <w:rPr>
          <w:rFonts w:cs="Calibri"/>
        </w:rPr>
        <w:t xml:space="preserve">s </w:t>
      </w:r>
      <w:r w:rsidRPr="008A0F27">
        <w:rPr>
          <w:rFonts w:cs="Calibri"/>
        </w:rPr>
        <w:t>for FY 2025 will report separate numbers for hazards marked as serious and for those marked other-than</w:t>
      </w:r>
      <w:r w:rsidR="008A1127">
        <w:rPr>
          <w:rFonts w:cs="Calibri"/>
        </w:rPr>
        <w:t>-</w:t>
      </w:r>
      <w:r w:rsidRPr="008A0F27">
        <w:rPr>
          <w:rFonts w:cs="Calibri"/>
        </w:rPr>
        <w:t xml:space="preserve">serious in the complaint. </w:t>
      </w:r>
      <w:r w:rsidR="00D700FB">
        <w:rPr>
          <w:rFonts w:cs="Calibri"/>
        </w:rPr>
        <w:t xml:space="preserve"> </w:t>
      </w:r>
      <w:r w:rsidRPr="008A0F27">
        <w:rPr>
          <w:rFonts w:cs="Calibri"/>
        </w:rPr>
        <w:t xml:space="preserve">This will allow this SAMM to be more effectively evaluated because the data will be readily available.  </w:t>
      </w:r>
    </w:p>
    <w:p w14:paraId="1718E03A" w14:textId="77777777" w:rsidR="008A1127" w:rsidRDefault="008A1127" w:rsidP="007928A1">
      <w:pPr>
        <w:widowControl/>
        <w:autoSpaceDE/>
        <w:adjustRightInd/>
        <w:rPr>
          <w:rFonts w:cs="Calibri"/>
        </w:rPr>
      </w:pPr>
    </w:p>
    <w:p w14:paraId="5B607B0D" w14:textId="522A01EF" w:rsidR="00277345" w:rsidRPr="00277345" w:rsidRDefault="00277345" w:rsidP="00277345">
      <w:pPr>
        <w:kinsoku w:val="0"/>
        <w:overflowPunct w:val="0"/>
        <w:spacing w:before="59"/>
        <w:ind w:right="281"/>
        <w:rPr>
          <w:rFonts w:cs="Calibri"/>
        </w:rPr>
      </w:pPr>
      <w:r w:rsidRPr="00277345">
        <w:rPr>
          <w:rFonts w:cs="Calibri"/>
        </w:rPr>
        <w:t>When</w:t>
      </w:r>
      <w:r w:rsidRPr="00277345">
        <w:rPr>
          <w:rFonts w:cs="Calibri"/>
          <w:spacing w:val="-3"/>
        </w:rPr>
        <w:t xml:space="preserve"> </w:t>
      </w:r>
      <w:r w:rsidRPr="00277345">
        <w:rPr>
          <w:rFonts w:cs="Calibri"/>
        </w:rPr>
        <w:t>a</w:t>
      </w:r>
      <w:r w:rsidRPr="00277345">
        <w:rPr>
          <w:rFonts w:cs="Calibri"/>
          <w:spacing w:val="-3"/>
        </w:rPr>
        <w:t xml:space="preserve"> </w:t>
      </w:r>
      <w:r w:rsidRPr="00277345">
        <w:rPr>
          <w:rFonts w:cs="Calibri"/>
        </w:rPr>
        <w:t>SAMM</w:t>
      </w:r>
      <w:r w:rsidRPr="00277345">
        <w:rPr>
          <w:rFonts w:cs="Calibri"/>
          <w:spacing w:val="-3"/>
        </w:rPr>
        <w:t xml:space="preserve"> </w:t>
      </w:r>
      <w:r w:rsidRPr="00277345">
        <w:rPr>
          <w:rFonts w:cs="Calibri"/>
        </w:rPr>
        <w:t>report</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measure</w:t>
      </w:r>
      <w:r w:rsidRPr="00277345">
        <w:rPr>
          <w:rFonts w:cs="Calibri"/>
          <w:spacing w:val="-3"/>
        </w:rPr>
        <w:t xml:space="preserve"> </w:t>
      </w:r>
      <w:r w:rsidRPr="00277345">
        <w:rPr>
          <w:rFonts w:cs="Calibri"/>
        </w:rPr>
        <w:t>1a</w:t>
      </w:r>
      <w:r w:rsidRPr="00277345">
        <w:rPr>
          <w:rFonts w:cs="Calibri"/>
          <w:spacing w:val="-3"/>
        </w:rPr>
        <w:t xml:space="preserve"> </w:t>
      </w:r>
      <w:r w:rsidRPr="00277345">
        <w:rPr>
          <w:rFonts w:cs="Calibri"/>
        </w:rPr>
        <w:t>is</w:t>
      </w:r>
      <w:r w:rsidRPr="00277345">
        <w:rPr>
          <w:rFonts w:cs="Calibri"/>
          <w:spacing w:val="-3"/>
        </w:rPr>
        <w:t xml:space="preserve"> </w:t>
      </w:r>
      <w:r w:rsidRPr="00277345">
        <w:rPr>
          <w:rFonts w:cs="Calibri"/>
        </w:rPr>
        <w:t>run</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the</w:t>
      </w:r>
      <w:r w:rsidRPr="00277345">
        <w:rPr>
          <w:rFonts w:cs="Calibri"/>
          <w:spacing w:val="-2"/>
        </w:rPr>
        <w:t xml:space="preserve"> </w:t>
      </w:r>
      <w:r w:rsidRPr="00277345">
        <w:rPr>
          <w:rFonts w:cs="Calibri"/>
        </w:rPr>
        <w:t>NJDOL</w:t>
      </w:r>
      <w:r w:rsidRPr="00277345">
        <w:rPr>
          <w:rFonts w:cs="Calibri"/>
          <w:spacing w:val="-3"/>
        </w:rPr>
        <w:t xml:space="preserve"> </w:t>
      </w:r>
      <w:r w:rsidRPr="00277345">
        <w:rPr>
          <w:rFonts w:cs="Calibri"/>
        </w:rPr>
        <w:t>Safety</w:t>
      </w:r>
      <w:r w:rsidRPr="00277345">
        <w:rPr>
          <w:rFonts w:cs="Calibri"/>
          <w:spacing w:val="-2"/>
        </w:rPr>
        <w:t xml:space="preserve"> </w:t>
      </w:r>
      <w:r w:rsidRPr="00277345">
        <w:rPr>
          <w:rFonts w:cs="Calibri"/>
        </w:rPr>
        <w:t>Program</w:t>
      </w:r>
      <w:r w:rsidRPr="00277345">
        <w:rPr>
          <w:rFonts w:cs="Calibri"/>
          <w:spacing w:val="-2"/>
        </w:rPr>
        <w:t xml:space="preserve"> </w:t>
      </w:r>
      <w:r w:rsidRPr="00277345">
        <w:rPr>
          <w:rFonts w:cs="Calibri"/>
        </w:rPr>
        <w:t>only</w:t>
      </w:r>
      <w:r w:rsidRPr="00277345">
        <w:rPr>
          <w:rFonts w:cs="Calibri"/>
          <w:spacing w:val="-2"/>
        </w:rPr>
        <w:t xml:space="preserve"> </w:t>
      </w:r>
      <w:r w:rsidRPr="00277345">
        <w:rPr>
          <w:rFonts w:cs="Calibri"/>
        </w:rPr>
        <w:t>for</w:t>
      </w:r>
      <w:r w:rsidRPr="00277345">
        <w:rPr>
          <w:rFonts w:cs="Calibri"/>
          <w:spacing w:val="-3"/>
        </w:rPr>
        <w:t xml:space="preserve"> </w:t>
      </w:r>
      <w:r w:rsidRPr="00277345">
        <w:rPr>
          <w:rFonts w:cs="Calibri"/>
        </w:rPr>
        <w:t>FY</w:t>
      </w:r>
      <w:r w:rsidRPr="00277345">
        <w:rPr>
          <w:rFonts w:cs="Calibri"/>
          <w:spacing w:val="-2"/>
        </w:rPr>
        <w:t xml:space="preserve"> </w:t>
      </w:r>
      <w:r w:rsidRPr="00277345">
        <w:rPr>
          <w:rFonts w:cs="Calibri"/>
        </w:rPr>
        <w:t>202</w:t>
      </w:r>
      <w:r w:rsidR="00015D53">
        <w:rPr>
          <w:rFonts w:cs="Calibri"/>
        </w:rPr>
        <w:t>4</w:t>
      </w:r>
      <w:r w:rsidRPr="00277345">
        <w:rPr>
          <w:rFonts w:cs="Calibri"/>
        </w:rPr>
        <w:t>,</w:t>
      </w:r>
      <w:r w:rsidRPr="00277345">
        <w:rPr>
          <w:rFonts w:cs="Calibri"/>
          <w:spacing w:val="-3"/>
        </w:rPr>
        <w:t xml:space="preserve"> </w:t>
      </w:r>
      <w:r w:rsidRPr="00277345">
        <w:rPr>
          <w:rFonts w:cs="Calibri"/>
        </w:rPr>
        <w:t>the</w:t>
      </w:r>
      <w:r w:rsidRPr="00277345">
        <w:rPr>
          <w:rFonts w:cs="Calibri"/>
          <w:spacing w:val="-1"/>
        </w:rPr>
        <w:t xml:space="preserve"> </w:t>
      </w:r>
      <w:r w:rsidRPr="00277345">
        <w:rPr>
          <w:rFonts w:cs="Calibri"/>
        </w:rPr>
        <w:t>report</w:t>
      </w:r>
      <w:r w:rsidRPr="00277345">
        <w:rPr>
          <w:rFonts w:cs="Calibri"/>
          <w:spacing w:val="-3"/>
        </w:rPr>
        <w:t xml:space="preserve"> </w:t>
      </w:r>
      <w:r w:rsidRPr="00277345">
        <w:rPr>
          <w:rFonts w:cs="Calibri"/>
        </w:rPr>
        <w:t>documented</w:t>
      </w:r>
      <w:r w:rsidRPr="00277345">
        <w:rPr>
          <w:rFonts w:cs="Calibri"/>
          <w:spacing w:val="-3"/>
        </w:rPr>
        <w:t xml:space="preserve"> </w:t>
      </w:r>
      <w:r w:rsidRPr="00277345">
        <w:rPr>
          <w:rFonts w:cs="Calibri"/>
        </w:rPr>
        <w:t>that</w:t>
      </w:r>
      <w:r w:rsidRPr="00277345">
        <w:rPr>
          <w:rFonts w:cs="Calibri"/>
          <w:spacing w:val="-4"/>
        </w:rPr>
        <w:t xml:space="preserve"> </w:t>
      </w:r>
      <w:r w:rsidRPr="00277345">
        <w:rPr>
          <w:rFonts w:cs="Calibri"/>
        </w:rPr>
        <w:t>the</w:t>
      </w:r>
      <w:r w:rsidRPr="00277345">
        <w:rPr>
          <w:rFonts w:cs="Calibri"/>
          <w:spacing w:val="-2"/>
        </w:rPr>
        <w:t xml:space="preserve"> </w:t>
      </w:r>
      <w:r w:rsidRPr="00277345">
        <w:rPr>
          <w:rFonts w:cs="Calibri"/>
        </w:rPr>
        <w:t xml:space="preserve">average number of workdays to initiate complaint inspections is </w:t>
      </w:r>
      <w:r w:rsidR="00367B10">
        <w:rPr>
          <w:rFonts w:cs="Calibri"/>
        </w:rPr>
        <w:t xml:space="preserve">4.35 </w:t>
      </w:r>
      <w:r w:rsidRPr="00277345">
        <w:rPr>
          <w:rFonts w:cs="Calibri"/>
        </w:rPr>
        <w:t>days.</w:t>
      </w:r>
      <w:r w:rsidR="003D7FC0">
        <w:rPr>
          <w:rFonts w:cs="Calibri"/>
        </w:rPr>
        <w:t xml:space="preserve"> </w:t>
      </w:r>
      <w:r w:rsidR="00D700FB">
        <w:rPr>
          <w:rFonts w:cs="Calibri"/>
        </w:rPr>
        <w:t xml:space="preserve"> </w:t>
      </w:r>
      <w:r w:rsidRPr="00277345">
        <w:rPr>
          <w:rFonts w:cs="Calibri"/>
        </w:rPr>
        <w:t>The N</w:t>
      </w:r>
      <w:r w:rsidR="003D7FC0">
        <w:rPr>
          <w:rFonts w:cs="Calibri"/>
        </w:rPr>
        <w:t>ew Jersey Department of Labor</w:t>
      </w:r>
      <w:r w:rsidRPr="00277345">
        <w:rPr>
          <w:rFonts w:cs="Calibri"/>
        </w:rPr>
        <w:t xml:space="preserve"> Safety Program conducts inspections for all complaints and </w:t>
      </w:r>
      <w:r w:rsidR="00E750C6" w:rsidRPr="00277345">
        <w:rPr>
          <w:rFonts w:cs="Calibri"/>
        </w:rPr>
        <w:t>does</w:t>
      </w:r>
      <w:r w:rsidR="00E750C6">
        <w:rPr>
          <w:rFonts w:cs="Calibri"/>
        </w:rPr>
        <w:t xml:space="preserve"> not </w:t>
      </w:r>
      <w:r w:rsidRPr="00277345">
        <w:rPr>
          <w:rFonts w:cs="Calibri"/>
        </w:rPr>
        <w:t>typically utilize investigations as a tool to address complaints regardless of the severity alleged.</w:t>
      </w:r>
    </w:p>
    <w:p w14:paraId="1F5D9317" w14:textId="77777777" w:rsidR="00277345" w:rsidRPr="00277345" w:rsidRDefault="00277345" w:rsidP="00277345">
      <w:pPr>
        <w:kinsoku w:val="0"/>
        <w:overflowPunct w:val="0"/>
        <w:spacing w:before="1"/>
        <w:rPr>
          <w:rFonts w:cs="Calibri"/>
        </w:rPr>
      </w:pPr>
    </w:p>
    <w:p w14:paraId="63E0AC60" w14:textId="56301AE7" w:rsidR="00277345" w:rsidRPr="00277345" w:rsidRDefault="00277345" w:rsidP="00277345">
      <w:pPr>
        <w:kinsoku w:val="0"/>
        <w:overflowPunct w:val="0"/>
        <w:rPr>
          <w:rFonts w:cs="Calibri"/>
          <w:b/>
          <w:bCs/>
          <w:spacing w:val="-5"/>
        </w:rPr>
      </w:pPr>
      <w:r w:rsidRPr="00277345">
        <w:rPr>
          <w:rFonts w:cs="Calibri"/>
          <w:b/>
          <w:bCs/>
        </w:rPr>
        <w:t>SAMM</w:t>
      </w:r>
      <w:r w:rsidRPr="00277345">
        <w:rPr>
          <w:rFonts w:cs="Calibri"/>
          <w:b/>
          <w:bCs/>
          <w:spacing w:val="-6"/>
        </w:rPr>
        <w:t xml:space="preserve"> </w:t>
      </w:r>
      <w:r w:rsidRPr="00277345">
        <w:rPr>
          <w:rFonts w:cs="Calibri"/>
          <w:b/>
          <w:bCs/>
        </w:rPr>
        <w:t>5a</w:t>
      </w:r>
      <w:r w:rsidRPr="00277345">
        <w:rPr>
          <w:rFonts w:cs="Calibri"/>
          <w:b/>
          <w:bCs/>
          <w:spacing w:val="-2"/>
        </w:rPr>
        <w:t xml:space="preserve"> </w:t>
      </w:r>
      <w:r w:rsidRPr="00277345">
        <w:rPr>
          <w:rFonts w:cs="Calibri"/>
          <w:b/>
          <w:bCs/>
        </w:rPr>
        <w:t>and</w:t>
      </w:r>
      <w:r w:rsidRPr="00277345">
        <w:rPr>
          <w:rFonts w:cs="Calibri"/>
          <w:b/>
          <w:bCs/>
          <w:spacing w:val="-4"/>
        </w:rPr>
        <w:t xml:space="preserve"> </w:t>
      </w:r>
      <w:r w:rsidRPr="00277345">
        <w:rPr>
          <w:rFonts w:cs="Calibri"/>
          <w:b/>
          <w:bCs/>
        </w:rPr>
        <w:t>5b-Average</w:t>
      </w:r>
      <w:r w:rsidRPr="00277345">
        <w:rPr>
          <w:rFonts w:cs="Calibri"/>
          <w:b/>
          <w:bCs/>
          <w:spacing w:val="-2"/>
        </w:rPr>
        <w:t xml:space="preserve"> </w:t>
      </w:r>
      <w:r w:rsidRPr="00277345">
        <w:rPr>
          <w:rFonts w:cs="Calibri"/>
          <w:b/>
          <w:bCs/>
        </w:rPr>
        <w:t>Number</w:t>
      </w:r>
      <w:r w:rsidRPr="00277345">
        <w:rPr>
          <w:rFonts w:cs="Calibri"/>
          <w:b/>
          <w:bCs/>
          <w:spacing w:val="-4"/>
        </w:rPr>
        <w:t xml:space="preserve"> </w:t>
      </w:r>
      <w:r w:rsidRPr="00277345">
        <w:rPr>
          <w:rFonts w:cs="Calibri"/>
          <w:b/>
          <w:bCs/>
        </w:rPr>
        <w:t>of</w:t>
      </w:r>
      <w:r w:rsidRPr="00277345">
        <w:rPr>
          <w:rFonts w:cs="Calibri"/>
          <w:b/>
          <w:bCs/>
          <w:spacing w:val="-3"/>
        </w:rPr>
        <w:t xml:space="preserve"> </w:t>
      </w:r>
      <w:r w:rsidRPr="00277345">
        <w:rPr>
          <w:rFonts w:cs="Calibri"/>
          <w:b/>
          <w:bCs/>
        </w:rPr>
        <w:t>Violations</w:t>
      </w:r>
      <w:r w:rsidRPr="00277345">
        <w:rPr>
          <w:rFonts w:cs="Calibri"/>
          <w:b/>
          <w:bCs/>
          <w:spacing w:val="-4"/>
        </w:rPr>
        <w:t xml:space="preserve"> </w:t>
      </w:r>
      <w:r w:rsidRPr="00277345">
        <w:rPr>
          <w:rFonts w:cs="Calibri"/>
          <w:b/>
          <w:bCs/>
        </w:rPr>
        <w:t>Per</w:t>
      </w:r>
      <w:r w:rsidRPr="00277345">
        <w:rPr>
          <w:rFonts w:cs="Calibri"/>
          <w:b/>
          <w:bCs/>
          <w:spacing w:val="-3"/>
        </w:rPr>
        <w:t xml:space="preserve"> </w:t>
      </w:r>
      <w:r w:rsidRPr="00277345">
        <w:rPr>
          <w:rFonts w:cs="Calibri"/>
          <w:b/>
          <w:bCs/>
        </w:rPr>
        <w:t>Inspection</w:t>
      </w:r>
      <w:r w:rsidRPr="00277345">
        <w:rPr>
          <w:rFonts w:cs="Calibri"/>
          <w:b/>
          <w:bCs/>
          <w:spacing w:val="-3"/>
        </w:rPr>
        <w:t xml:space="preserve"> </w:t>
      </w:r>
      <w:r w:rsidRPr="00277345">
        <w:rPr>
          <w:rFonts w:cs="Calibri"/>
          <w:b/>
          <w:bCs/>
        </w:rPr>
        <w:t>with</w:t>
      </w:r>
      <w:r w:rsidRPr="00277345">
        <w:rPr>
          <w:rFonts w:cs="Calibri"/>
          <w:b/>
          <w:bCs/>
          <w:spacing w:val="-3"/>
        </w:rPr>
        <w:t xml:space="preserve"> </w:t>
      </w:r>
      <w:r w:rsidRPr="00277345">
        <w:rPr>
          <w:rFonts w:cs="Calibri"/>
          <w:b/>
          <w:bCs/>
        </w:rPr>
        <w:t>Violations</w:t>
      </w:r>
      <w:r w:rsidRPr="00277345">
        <w:rPr>
          <w:rFonts w:cs="Calibri"/>
          <w:b/>
          <w:bCs/>
          <w:spacing w:val="-2"/>
        </w:rPr>
        <w:t xml:space="preserve"> </w:t>
      </w:r>
      <w:r w:rsidRPr="00277345">
        <w:rPr>
          <w:rFonts w:cs="Calibri"/>
          <w:b/>
          <w:bCs/>
        </w:rPr>
        <w:t>by</w:t>
      </w:r>
      <w:r w:rsidRPr="00277345">
        <w:rPr>
          <w:rFonts w:cs="Calibri"/>
          <w:b/>
          <w:bCs/>
          <w:spacing w:val="-3"/>
        </w:rPr>
        <w:t xml:space="preserve"> </w:t>
      </w:r>
      <w:r w:rsidRPr="00277345">
        <w:rPr>
          <w:rFonts w:cs="Calibri"/>
          <w:b/>
          <w:bCs/>
        </w:rPr>
        <w:t>Violation</w:t>
      </w:r>
      <w:r w:rsidRPr="00277345">
        <w:rPr>
          <w:rFonts w:cs="Calibri"/>
          <w:b/>
          <w:bCs/>
          <w:spacing w:val="-3"/>
        </w:rPr>
        <w:t xml:space="preserve"> </w:t>
      </w:r>
      <w:r w:rsidRPr="00277345">
        <w:rPr>
          <w:rFonts w:cs="Calibri"/>
          <w:b/>
          <w:bCs/>
        </w:rPr>
        <w:t>Type</w:t>
      </w:r>
      <w:r w:rsidRPr="00277345">
        <w:rPr>
          <w:rFonts w:cs="Calibri"/>
          <w:b/>
          <w:bCs/>
          <w:spacing w:val="-3"/>
        </w:rPr>
        <w:t xml:space="preserve"> </w:t>
      </w:r>
      <w:r w:rsidR="00995069">
        <w:rPr>
          <w:rFonts w:cs="Calibri"/>
          <w:b/>
          <w:bCs/>
          <w:spacing w:val="-3"/>
        </w:rPr>
        <w:t>Serious, Willful, Repeat</w:t>
      </w:r>
      <w:r w:rsidR="008D7456">
        <w:rPr>
          <w:rFonts w:cs="Calibri"/>
          <w:b/>
          <w:bCs/>
          <w:spacing w:val="-3"/>
        </w:rPr>
        <w:t>,</w:t>
      </w:r>
      <w:r w:rsidR="00995069">
        <w:rPr>
          <w:rFonts w:cs="Calibri"/>
          <w:b/>
          <w:bCs/>
          <w:spacing w:val="-3"/>
        </w:rPr>
        <w:t xml:space="preserve"> and Unclassified </w:t>
      </w:r>
      <w:r w:rsidRPr="00277345">
        <w:rPr>
          <w:rFonts w:cs="Calibri"/>
          <w:b/>
          <w:bCs/>
        </w:rPr>
        <w:t>(SWRU)</w:t>
      </w:r>
      <w:r w:rsidR="008D7456">
        <w:rPr>
          <w:rFonts w:cs="Calibri"/>
          <w:b/>
          <w:bCs/>
        </w:rPr>
        <w:t>,</w:t>
      </w:r>
      <w:r w:rsidRPr="00277345">
        <w:rPr>
          <w:rFonts w:cs="Calibri"/>
          <w:b/>
          <w:bCs/>
          <w:spacing w:val="-3"/>
        </w:rPr>
        <w:t xml:space="preserve"> </w:t>
      </w:r>
      <w:r w:rsidRPr="00277345">
        <w:rPr>
          <w:rFonts w:cs="Calibri"/>
          <w:b/>
          <w:bCs/>
        </w:rPr>
        <w:t>and</w:t>
      </w:r>
      <w:r w:rsidRPr="00277345">
        <w:rPr>
          <w:rFonts w:cs="Calibri"/>
          <w:b/>
          <w:bCs/>
          <w:spacing w:val="-3"/>
        </w:rPr>
        <w:t xml:space="preserve"> </w:t>
      </w:r>
      <w:r w:rsidR="00995069">
        <w:rPr>
          <w:rFonts w:cs="Calibri"/>
          <w:b/>
          <w:bCs/>
          <w:spacing w:val="-3"/>
        </w:rPr>
        <w:t>Other-than Serious (</w:t>
      </w:r>
      <w:r w:rsidRPr="00277345">
        <w:rPr>
          <w:rFonts w:cs="Calibri"/>
          <w:b/>
          <w:bCs/>
          <w:spacing w:val="-5"/>
        </w:rPr>
        <w:t>OTS</w:t>
      </w:r>
      <w:r w:rsidR="00995069">
        <w:rPr>
          <w:rFonts w:cs="Calibri"/>
          <w:b/>
          <w:bCs/>
          <w:spacing w:val="-5"/>
        </w:rPr>
        <w:t>)</w:t>
      </w:r>
    </w:p>
    <w:p w14:paraId="3D41C29B" w14:textId="77777777" w:rsidR="00277345" w:rsidRPr="00277345" w:rsidRDefault="00277345" w:rsidP="00277345">
      <w:pPr>
        <w:kinsoku w:val="0"/>
        <w:overflowPunct w:val="0"/>
        <w:spacing w:before="11"/>
        <w:rPr>
          <w:rFonts w:cs="Calibri"/>
          <w:b/>
          <w:bCs/>
          <w:sz w:val="23"/>
          <w:szCs w:val="23"/>
        </w:rPr>
      </w:pPr>
    </w:p>
    <w:p w14:paraId="199CC9CF" w14:textId="5894B10D" w:rsidR="00277345" w:rsidRPr="00277345" w:rsidRDefault="00277345" w:rsidP="009B35FE">
      <w:pPr>
        <w:kinsoku w:val="0"/>
        <w:overflowPunct w:val="0"/>
        <w:spacing w:before="1"/>
        <w:rPr>
          <w:rFonts w:cs="Calibri"/>
        </w:rPr>
      </w:pPr>
      <w:bookmarkStart w:id="34" w:name="_Hlk190012551"/>
      <w:r w:rsidRPr="00AE4F3D">
        <w:rPr>
          <w:rFonts w:cs="Calibri"/>
          <w:b/>
          <w:bCs/>
        </w:rPr>
        <w:t>Discussion</w:t>
      </w:r>
      <w:r w:rsidRPr="00AE4F3D">
        <w:rPr>
          <w:rFonts w:cs="Calibri"/>
          <w:b/>
          <w:bCs/>
          <w:spacing w:val="-3"/>
        </w:rPr>
        <w:t xml:space="preserve"> </w:t>
      </w:r>
      <w:r w:rsidRPr="00AE4F3D">
        <w:rPr>
          <w:rFonts w:cs="Calibri"/>
          <w:b/>
          <w:bCs/>
        </w:rPr>
        <w:t>of</w:t>
      </w:r>
      <w:r w:rsidRPr="00AE4F3D">
        <w:rPr>
          <w:rFonts w:cs="Calibri"/>
          <w:b/>
          <w:bCs/>
          <w:spacing w:val="-3"/>
        </w:rPr>
        <w:t xml:space="preserve"> </w:t>
      </w:r>
      <w:r w:rsidRPr="00AE4F3D">
        <w:rPr>
          <w:rFonts w:cs="Calibri"/>
          <w:b/>
          <w:bCs/>
        </w:rPr>
        <w:t>State</w:t>
      </w:r>
      <w:r w:rsidRPr="00AE4F3D">
        <w:rPr>
          <w:rFonts w:cs="Calibri"/>
          <w:b/>
          <w:bCs/>
          <w:spacing w:val="-2"/>
        </w:rPr>
        <w:t xml:space="preserve"> </w:t>
      </w:r>
      <w:r w:rsidRPr="00AE4F3D">
        <w:rPr>
          <w:rFonts w:cs="Calibri"/>
          <w:b/>
          <w:bCs/>
        </w:rPr>
        <w:t>Plan</w:t>
      </w:r>
      <w:r w:rsidRPr="00AE4F3D">
        <w:rPr>
          <w:rFonts w:cs="Calibri"/>
          <w:b/>
          <w:bCs/>
          <w:spacing w:val="-3"/>
        </w:rPr>
        <w:t xml:space="preserve"> </w:t>
      </w:r>
      <w:r w:rsidRPr="00AE4F3D">
        <w:rPr>
          <w:rFonts w:cs="Calibri"/>
          <w:b/>
          <w:bCs/>
        </w:rPr>
        <w:t>Data</w:t>
      </w:r>
      <w:r w:rsidRPr="00AE4F3D">
        <w:rPr>
          <w:rFonts w:cs="Calibri"/>
          <w:b/>
          <w:bCs/>
          <w:spacing w:val="-2"/>
        </w:rPr>
        <w:t xml:space="preserve"> </w:t>
      </w:r>
      <w:r w:rsidRPr="00AE4F3D">
        <w:rPr>
          <w:rFonts w:cs="Calibri"/>
          <w:b/>
          <w:bCs/>
        </w:rPr>
        <w:t>and</w:t>
      </w:r>
      <w:r w:rsidRPr="00AE4F3D">
        <w:rPr>
          <w:rFonts w:cs="Calibri"/>
          <w:b/>
          <w:bCs/>
          <w:spacing w:val="-3"/>
        </w:rPr>
        <w:t xml:space="preserve"> </w:t>
      </w:r>
      <w:r w:rsidRPr="00AE4F3D">
        <w:rPr>
          <w:rFonts w:cs="Calibri"/>
          <w:b/>
          <w:bCs/>
        </w:rPr>
        <w:t>FRL</w:t>
      </w:r>
      <w:r w:rsidRPr="00595243">
        <w:rPr>
          <w:rFonts w:cs="Calibri"/>
          <w:b/>
          <w:bCs/>
        </w:rPr>
        <w:t>:</w:t>
      </w:r>
      <w:r w:rsidRPr="00277345">
        <w:rPr>
          <w:rFonts w:cs="Calibri"/>
          <w:b/>
          <w:bCs/>
          <w:spacing w:val="-2"/>
        </w:rPr>
        <w:t xml:space="preserve"> </w:t>
      </w:r>
      <w:r w:rsidRPr="00277345">
        <w:rPr>
          <w:rFonts w:cs="Calibri"/>
        </w:rPr>
        <w:t>The</w:t>
      </w:r>
      <w:r w:rsidRPr="00277345">
        <w:rPr>
          <w:rFonts w:cs="Calibri"/>
          <w:spacing w:val="-2"/>
        </w:rPr>
        <w:t xml:space="preserve"> </w:t>
      </w:r>
      <w:r w:rsidRPr="00277345">
        <w:rPr>
          <w:rFonts w:cs="Calibri"/>
        </w:rPr>
        <w:t>FRL</w:t>
      </w:r>
      <w:r w:rsidRPr="00277345">
        <w:rPr>
          <w:rFonts w:cs="Calibri"/>
          <w:spacing w:val="-3"/>
        </w:rPr>
        <w:t xml:space="preserve"> </w:t>
      </w:r>
      <w:r w:rsidRPr="00277345">
        <w:rPr>
          <w:rFonts w:cs="Calibri"/>
        </w:rPr>
        <w:t>for</w:t>
      </w:r>
      <w:r w:rsidRPr="00277345">
        <w:rPr>
          <w:rFonts w:cs="Calibri"/>
          <w:spacing w:val="-2"/>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1"/>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2"/>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2"/>
        </w:rPr>
        <w:t xml:space="preserve"> </w:t>
      </w:r>
      <w:r w:rsidRPr="00277345">
        <w:rPr>
          <w:rFonts w:cs="Calibri"/>
        </w:rPr>
        <w:t>(SWRU)</w:t>
      </w:r>
      <w:r w:rsidRPr="00277345">
        <w:rPr>
          <w:rFonts w:cs="Calibri"/>
          <w:spacing w:val="-2"/>
        </w:rPr>
        <w:t xml:space="preserve"> </w:t>
      </w:r>
      <w:r w:rsidRPr="00277345">
        <w:rPr>
          <w:rFonts w:cs="Calibri"/>
        </w:rPr>
        <w:t>is</w:t>
      </w:r>
      <w:r w:rsidRPr="00277345">
        <w:rPr>
          <w:rFonts w:cs="Calibri"/>
          <w:spacing w:val="-3"/>
        </w:rPr>
        <w:t xml:space="preserve"> </w:t>
      </w:r>
      <w:r w:rsidRPr="00277345">
        <w:rPr>
          <w:rFonts w:cs="Calibri"/>
        </w:rPr>
        <w:t>+/-20%</w:t>
      </w:r>
      <w:r w:rsidRPr="00277345">
        <w:rPr>
          <w:rFonts w:cs="Calibri"/>
          <w:spacing w:val="-2"/>
        </w:rPr>
        <w:t xml:space="preserve"> </w:t>
      </w:r>
      <w:r w:rsidRPr="00277345">
        <w:rPr>
          <w:rFonts w:cs="Calibri"/>
          <w:spacing w:val="-5"/>
        </w:rPr>
        <w:t>of</w:t>
      </w:r>
      <w:r>
        <w:rPr>
          <w:rFonts w:cs="Calibri"/>
          <w:spacing w:val="-5"/>
        </w:rPr>
        <w:t xml:space="preserve"> </w:t>
      </w:r>
      <w:r w:rsidRPr="00277345">
        <w:rPr>
          <w:rFonts w:cs="Calibri"/>
        </w:rPr>
        <w:t>1.7</w:t>
      </w:r>
      <w:r w:rsidR="00EC5CF0">
        <w:rPr>
          <w:rFonts w:cs="Calibri"/>
        </w:rPr>
        <w:t>4</w:t>
      </w:r>
      <w:r w:rsidR="007737D6">
        <w:rPr>
          <w:rFonts w:cs="Calibri"/>
        </w:rPr>
        <w:t xml:space="preserve">, </w:t>
      </w:r>
      <w:r w:rsidR="007C3EBF">
        <w:rPr>
          <w:rFonts w:cs="Calibri"/>
        </w:rPr>
        <w:t xml:space="preserve">or </w:t>
      </w:r>
      <w:r w:rsidR="007737D6" w:rsidRPr="001C1E47">
        <w:rPr>
          <w:rFonts w:eastAsia="PMingLiU" w:cs="Calibri"/>
        </w:rPr>
        <w:t>1.</w:t>
      </w:r>
      <w:r w:rsidR="007737D6">
        <w:rPr>
          <w:rFonts w:eastAsia="PMingLiU" w:cs="Calibri"/>
        </w:rPr>
        <w:t>39</w:t>
      </w:r>
      <w:r w:rsidR="007737D6" w:rsidRPr="001C1E47">
        <w:rPr>
          <w:rFonts w:eastAsia="PMingLiU" w:cs="Calibri"/>
        </w:rPr>
        <w:t xml:space="preserve"> to 2.</w:t>
      </w:r>
      <w:r w:rsidR="007737D6">
        <w:rPr>
          <w:rFonts w:eastAsia="PMingLiU" w:cs="Calibri"/>
        </w:rPr>
        <w:t>08</w:t>
      </w:r>
      <w:r w:rsidR="0093395B">
        <w:rPr>
          <w:rFonts w:eastAsia="PMingLiU" w:cs="Calibri"/>
        </w:rPr>
        <w:t xml:space="preserve"> violations per inspection</w:t>
      </w:r>
      <w:r w:rsidR="007737D6">
        <w:rPr>
          <w:rFonts w:eastAsia="PMingLiU" w:cs="Calibri"/>
        </w:rPr>
        <w:t xml:space="preserve">.  </w:t>
      </w:r>
      <w:r w:rsidRPr="00277345">
        <w:rPr>
          <w:rFonts w:cs="Calibri"/>
        </w:rPr>
        <w:t>The</w:t>
      </w:r>
      <w:r w:rsidRPr="00277345">
        <w:rPr>
          <w:rFonts w:cs="Calibri"/>
          <w:spacing w:val="-2"/>
        </w:rPr>
        <w:t xml:space="preserve"> </w:t>
      </w:r>
      <w:r w:rsidRPr="00277345">
        <w:rPr>
          <w:rFonts w:cs="Calibri"/>
        </w:rPr>
        <w:t>New</w:t>
      </w:r>
      <w:r w:rsidRPr="00277345">
        <w:rPr>
          <w:rFonts w:cs="Calibri"/>
          <w:spacing w:val="-3"/>
        </w:rPr>
        <w:t xml:space="preserve"> </w:t>
      </w:r>
      <w:r w:rsidRPr="00277345">
        <w:rPr>
          <w:rFonts w:cs="Calibri"/>
        </w:rPr>
        <w:t>Jersey</w:t>
      </w:r>
      <w:r w:rsidRPr="00277345">
        <w:rPr>
          <w:rFonts w:cs="Calibri"/>
          <w:spacing w:val="-2"/>
        </w:rPr>
        <w:t xml:space="preserve"> </w:t>
      </w:r>
      <w:r w:rsidRPr="00277345">
        <w:rPr>
          <w:rFonts w:cs="Calibri"/>
        </w:rPr>
        <w:t>State</w:t>
      </w:r>
      <w:r w:rsidRPr="00277345">
        <w:rPr>
          <w:rFonts w:cs="Calibri"/>
          <w:spacing w:val="-2"/>
        </w:rPr>
        <w:t xml:space="preserve"> </w:t>
      </w:r>
      <w:r w:rsidRPr="00277345">
        <w:rPr>
          <w:rFonts w:cs="Calibri"/>
        </w:rPr>
        <w:t>Plan’s</w:t>
      </w:r>
      <w:r w:rsidRPr="00277345">
        <w:rPr>
          <w:rFonts w:cs="Calibri"/>
          <w:spacing w:val="-3"/>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2"/>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2"/>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4"/>
        </w:rPr>
        <w:t xml:space="preserve"> </w:t>
      </w:r>
      <w:r w:rsidRPr="00277345">
        <w:rPr>
          <w:rFonts w:cs="Calibri"/>
        </w:rPr>
        <w:t>(SWRU)</w:t>
      </w:r>
      <w:r w:rsidRPr="00277345">
        <w:rPr>
          <w:rFonts w:cs="Calibri"/>
          <w:spacing w:val="-2"/>
        </w:rPr>
        <w:t xml:space="preserve"> </w:t>
      </w:r>
      <w:r w:rsidRPr="00277345">
        <w:rPr>
          <w:rFonts w:cs="Calibri"/>
        </w:rPr>
        <w:t>was</w:t>
      </w:r>
      <w:r w:rsidRPr="00277345">
        <w:rPr>
          <w:rFonts w:cs="Calibri"/>
          <w:spacing w:val="-4"/>
        </w:rPr>
        <w:t xml:space="preserve"> </w:t>
      </w:r>
      <w:r w:rsidR="00EC5CF0">
        <w:rPr>
          <w:rFonts w:cs="Calibri"/>
          <w:spacing w:val="-4"/>
        </w:rPr>
        <w:t>4.23</w:t>
      </w:r>
      <w:r w:rsidRPr="00277345">
        <w:rPr>
          <w:rFonts w:cs="Calibri"/>
          <w:spacing w:val="-3"/>
        </w:rPr>
        <w:t xml:space="preserve"> </w:t>
      </w:r>
      <w:r w:rsidRPr="00277345">
        <w:rPr>
          <w:rFonts w:cs="Calibri"/>
        </w:rPr>
        <w:t>which</w:t>
      </w:r>
      <w:r w:rsidRPr="00277345">
        <w:rPr>
          <w:rFonts w:cs="Calibri"/>
          <w:spacing w:val="-2"/>
        </w:rPr>
        <w:t xml:space="preserve"> </w:t>
      </w:r>
      <w:r w:rsidRPr="00277345">
        <w:rPr>
          <w:rFonts w:cs="Calibri"/>
        </w:rPr>
        <w:t>was</w:t>
      </w:r>
      <w:r w:rsidRPr="00277345">
        <w:rPr>
          <w:rFonts w:cs="Calibri"/>
          <w:spacing w:val="-3"/>
        </w:rPr>
        <w:t xml:space="preserve"> </w:t>
      </w:r>
      <w:r w:rsidRPr="00277345">
        <w:rPr>
          <w:rFonts w:cs="Calibri"/>
        </w:rPr>
        <w:t>above the FRL.</w:t>
      </w:r>
      <w:bookmarkEnd w:id="34"/>
      <w:r w:rsidR="009B35FE">
        <w:rPr>
          <w:rFonts w:cs="Calibri"/>
        </w:rPr>
        <w:t xml:space="preserve">  </w:t>
      </w:r>
      <w:r w:rsidRPr="00277345">
        <w:rPr>
          <w:rFonts w:cs="Calibri"/>
        </w:rPr>
        <w:t>The</w:t>
      </w:r>
      <w:r w:rsidRPr="00277345">
        <w:rPr>
          <w:rFonts w:cs="Calibri"/>
          <w:spacing w:val="-2"/>
        </w:rPr>
        <w:t xml:space="preserve"> </w:t>
      </w:r>
      <w:r w:rsidRPr="00277345">
        <w:rPr>
          <w:rFonts w:cs="Calibri"/>
        </w:rPr>
        <w:t>FRL</w:t>
      </w:r>
      <w:r w:rsidRPr="00277345">
        <w:rPr>
          <w:rFonts w:cs="Calibri"/>
          <w:spacing w:val="-3"/>
        </w:rPr>
        <w:t xml:space="preserve"> </w:t>
      </w:r>
      <w:r w:rsidRPr="00277345">
        <w:rPr>
          <w:rFonts w:cs="Calibri"/>
        </w:rPr>
        <w:t>for</w:t>
      </w:r>
      <w:r w:rsidRPr="00277345">
        <w:rPr>
          <w:rFonts w:cs="Calibri"/>
          <w:spacing w:val="-4"/>
        </w:rPr>
        <w:t xml:space="preserve"> </w:t>
      </w:r>
      <w:r w:rsidRPr="00277345">
        <w:rPr>
          <w:rFonts w:cs="Calibri"/>
        </w:rPr>
        <w:t>average</w:t>
      </w:r>
      <w:r w:rsidRPr="00277345">
        <w:rPr>
          <w:rFonts w:cs="Calibri"/>
          <w:spacing w:val="-2"/>
        </w:rPr>
        <w:t xml:space="preserve"> </w:t>
      </w:r>
      <w:r w:rsidRPr="00277345">
        <w:rPr>
          <w:rFonts w:cs="Calibri"/>
        </w:rPr>
        <w:t>number</w:t>
      </w:r>
      <w:r w:rsidRPr="00277345">
        <w:rPr>
          <w:rFonts w:cs="Calibri"/>
          <w:spacing w:val="-2"/>
        </w:rPr>
        <w:t xml:space="preserve"> </w:t>
      </w:r>
      <w:r w:rsidRPr="00277345">
        <w:rPr>
          <w:rFonts w:cs="Calibri"/>
        </w:rPr>
        <w:t>of</w:t>
      </w:r>
      <w:r w:rsidRPr="00277345">
        <w:rPr>
          <w:rFonts w:cs="Calibri"/>
          <w:spacing w:val="-3"/>
        </w:rPr>
        <w:t xml:space="preserve"> </w:t>
      </w:r>
      <w:r w:rsidRPr="00277345">
        <w:rPr>
          <w:rFonts w:cs="Calibri"/>
        </w:rPr>
        <w:t>violations</w:t>
      </w:r>
      <w:r w:rsidRPr="00277345">
        <w:rPr>
          <w:rFonts w:cs="Calibri"/>
          <w:spacing w:val="-3"/>
        </w:rPr>
        <w:t xml:space="preserve"> </w:t>
      </w:r>
      <w:r w:rsidRPr="00277345">
        <w:rPr>
          <w:rFonts w:cs="Calibri"/>
        </w:rPr>
        <w:t>per</w:t>
      </w:r>
      <w:r w:rsidRPr="00277345">
        <w:rPr>
          <w:rFonts w:cs="Calibri"/>
          <w:spacing w:val="-2"/>
        </w:rPr>
        <w:t xml:space="preserve"> </w:t>
      </w:r>
      <w:r w:rsidRPr="00277345">
        <w:rPr>
          <w:rFonts w:cs="Calibri"/>
        </w:rPr>
        <w:t>inspection</w:t>
      </w:r>
      <w:r w:rsidRPr="00277345">
        <w:rPr>
          <w:rFonts w:cs="Calibri"/>
          <w:spacing w:val="-3"/>
        </w:rPr>
        <w:t xml:space="preserve"> </w:t>
      </w:r>
      <w:r w:rsidRPr="00277345">
        <w:rPr>
          <w:rFonts w:cs="Calibri"/>
        </w:rPr>
        <w:t>by</w:t>
      </w:r>
      <w:r w:rsidRPr="00277345">
        <w:rPr>
          <w:rFonts w:cs="Calibri"/>
          <w:spacing w:val="-4"/>
        </w:rPr>
        <w:t xml:space="preserve"> </w:t>
      </w:r>
      <w:r w:rsidRPr="00277345">
        <w:rPr>
          <w:rFonts w:cs="Calibri"/>
        </w:rPr>
        <w:t>violation</w:t>
      </w:r>
      <w:r w:rsidRPr="00277345">
        <w:rPr>
          <w:rFonts w:cs="Calibri"/>
          <w:spacing w:val="-3"/>
        </w:rPr>
        <w:t xml:space="preserve"> </w:t>
      </w:r>
      <w:r w:rsidRPr="00277345">
        <w:rPr>
          <w:rFonts w:cs="Calibri"/>
        </w:rPr>
        <w:t>type</w:t>
      </w:r>
      <w:r w:rsidRPr="00277345">
        <w:rPr>
          <w:rFonts w:cs="Calibri"/>
          <w:spacing w:val="-2"/>
        </w:rPr>
        <w:t xml:space="preserve"> </w:t>
      </w:r>
      <w:r w:rsidRPr="00277345">
        <w:rPr>
          <w:rFonts w:cs="Calibri"/>
        </w:rPr>
        <w:t>(OTS)</w:t>
      </w:r>
      <w:r w:rsidRPr="00277345">
        <w:rPr>
          <w:rFonts w:cs="Calibri"/>
          <w:spacing w:val="-2"/>
        </w:rPr>
        <w:t xml:space="preserve"> </w:t>
      </w:r>
      <w:r w:rsidRPr="00277345">
        <w:rPr>
          <w:rFonts w:cs="Calibri"/>
        </w:rPr>
        <w:t>is</w:t>
      </w:r>
      <w:r w:rsidRPr="00277345">
        <w:rPr>
          <w:rFonts w:cs="Calibri"/>
          <w:spacing w:val="-3"/>
        </w:rPr>
        <w:t xml:space="preserve"> </w:t>
      </w:r>
      <w:r w:rsidRPr="00277345">
        <w:rPr>
          <w:rFonts w:cs="Calibri"/>
        </w:rPr>
        <w:t>+/-</w:t>
      </w:r>
      <w:r w:rsidRPr="00277345">
        <w:rPr>
          <w:rFonts w:cs="Calibri"/>
          <w:spacing w:val="-3"/>
        </w:rPr>
        <w:t xml:space="preserve"> </w:t>
      </w:r>
      <w:r w:rsidRPr="00277345">
        <w:rPr>
          <w:rFonts w:cs="Calibri"/>
        </w:rPr>
        <w:t>20%</w:t>
      </w:r>
      <w:r w:rsidRPr="00277345">
        <w:rPr>
          <w:rFonts w:cs="Calibri"/>
          <w:spacing w:val="-3"/>
        </w:rPr>
        <w:t xml:space="preserve"> </w:t>
      </w:r>
      <w:r w:rsidRPr="00277345">
        <w:rPr>
          <w:rFonts w:cs="Calibri"/>
        </w:rPr>
        <w:t>of</w:t>
      </w:r>
      <w:r w:rsidRPr="00277345">
        <w:rPr>
          <w:rFonts w:cs="Calibri"/>
          <w:spacing w:val="-3"/>
        </w:rPr>
        <w:t xml:space="preserve"> </w:t>
      </w:r>
      <w:r w:rsidR="00B33535">
        <w:rPr>
          <w:rFonts w:cs="Calibri"/>
          <w:spacing w:val="-3"/>
        </w:rPr>
        <w:t>0</w:t>
      </w:r>
      <w:r w:rsidRPr="00277345">
        <w:rPr>
          <w:rFonts w:cs="Calibri"/>
        </w:rPr>
        <w:t>.9</w:t>
      </w:r>
      <w:r w:rsidR="00C2557F">
        <w:rPr>
          <w:rFonts w:cs="Calibri"/>
        </w:rPr>
        <w:t>4</w:t>
      </w:r>
      <w:r w:rsidR="007737D6">
        <w:rPr>
          <w:rFonts w:cs="Calibri"/>
        </w:rPr>
        <w:t xml:space="preserve">, </w:t>
      </w:r>
      <w:r w:rsidR="007C3EBF">
        <w:rPr>
          <w:rFonts w:cs="Calibri"/>
        </w:rPr>
        <w:t>or</w:t>
      </w:r>
      <w:r w:rsidR="007737D6">
        <w:rPr>
          <w:rFonts w:cs="Calibri"/>
        </w:rPr>
        <w:t xml:space="preserve"> </w:t>
      </w:r>
      <w:r w:rsidR="007737D6" w:rsidRPr="001C1E47">
        <w:rPr>
          <w:rFonts w:eastAsia="PMingLiU" w:cs="Calibri"/>
        </w:rPr>
        <w:t>0.7</w:t>
      </w:r>
      <w:r w:rsidR="007737D6">
        <w:rPr>
          <w:rFonts w:eastAsia="PMingLiU" w:cs="Calibri"/>
        </w:rPr>
        <w:t>5</w:t>
      </w:r>
      <w:r w:rsidR="007737D6" w:rsidRPr="001C1E47">
        <w:rPr>
          <w:rFonts w:eastAsia="PMingLiU" w:cs="Calibri"/>
        </w:rPr>
        <w:t xml:space="preserve"> to 1.</w:t>
      </w:r>
      <w:r w:rsidR="007737D6">
        <w:rPr>
          <w:rFonts w:eastAsia="PMingLiU" w:cs="Calibri"/>
        </w:rPr>
        <w:t>12 OTS violations per</w:t>
      </w:r>
      <w:r w:rsidR="0093395B">
        <w:rPr>
          <w:rFonts w:eastAsia="PMingLiU" w:cs="Calibri"/>
        </w:rPr>
        <w:t xml:space="preserve"> inspection.</w:t>
      </w:r>
      <w:r w:rsidR="007737D6" w:rsidRPr="001C1E47">
        <w:rPr>
          <w:rFonts w:eastAsia="PMingLiU" w:cs="Calibri"/>
        </w:rPr>
        <w:t xml:space="preserve"> </w:t>
      </w:r>
      <w:r w:rsidR="0093395B">
        <w:rPr>
          <w:rFonts w:eastAsia="PMingLiU" w:cs="Calibri"/>
        </w:rPr>
        <w:t xml:space="preserve"> </w:t>
      </w:r>
      <w:r w:rsidRPr="00277345">
        <w:rPr>
          <w:rFonts w:cs="Calibri"/>
        </w:rPr>
        <w:t>The</w:t>
      </w:r>
      <w:r w:rsidRPr="00277345">
        <w:rPr>
          <w:rFonts w:cs="Calibri"/>
          <w:spacing w:val="-2"/>
        </w:rPr>
        <w:t xml:space="preserve"> </w:t>
      </w:r>
      <w:r w:rsidRPr="00277345">
        <w:rPr>
          <w:rFonts w:cs="Calibri"/>
        </w:rPr>
        <w:t>New</w:t>
      </w:r>
      <w:r w:rsidRPr="00277345">
        <w:rPr>
          <w:rFonts w:cs="Calibri"/>
          <w:spacing w:val="-3"/>
        </w:rPr>
        <w:t xml:space="preserve"> </w:t>
      </w:r>
      <w:r w:rsidRPr="00277345">
        <w:rPr>
          <w:rFonts w:cs="Calibri"/>
        </w:rPr>
        <w:t>Jersey</w:t>
      </w:r>
      <w:r w:rsidRPr="00277345">
        <w:rPr>
          <w:rFonts w:cs="Calibri"/>
          <w:spacing w:val="-2"/>
        </w:rPr>
        <w:t xml:space="preserve"> </w:t>
      </w:r>
      <w:r w:rsidRPr="00277345">
        <w:rPr>
          <w:rFonts w:cs="Calibri"/>
        </w:rPr>
        <w:t>State</w:t>
      </w:r>
      <w:r w:rsidRPr="00277345">
        <w:rPr>
          <w:rFonts w:cs="Calibri"/>
          <w:spacing w:val="-2"/>
        </w:rPr>
        <w:t xml:space="preserve"> </w:t>
      </w:r>
      <w:r w:rsidRPr="00277345">
        <w:rPr>
          <w:rFonts w:cs="Calibri"/>
        </w:rPr>
        <w:t>Plan’s average number of violations per inspection by violation type (OTS) was 2.</w:t>
      </w:r>
      <w:r w:rsidR="00C2557F">
        <w:rPr>
          <w:rFonts w:cs="Calibri"/>
        </w:rPr>
        <w:t>25</w:t>
      </w:r>
      <w:r w:rsidRPr="00277345">
        <w:rPr>
          <w:rFonts w:cs="Calibri"/>
        </w:rPr>
        <w:t xml:space="preserve"> which was above the FRL.</w:t>
      </w:r>
    </w:p>
    <w:p w14:paraId="2EF6DA13" w14:textId="77777777" w:rsidR="00277345" w:rsidRPr="00277345" w:rsidRDefault="00277345" w:rsidP="00277345">
      <w:pPr>
        <w:kinsoku w:val="0"/>
        <w:overflowPunct w:val="0"/>
        <w:spacing w:before="1"/>
        <w:rPr>
          <w:rFonts w:cs="Calibri"/>
        </w:rPr>
      </w:pPr>
    </w:p>
    <w:p w14:paraId="4F18D681" w14:textId="1937D949" w:rsidR="00277345" w:rsidRPr="00595243" w:rsidRDefault="00277345" w:rsidP="00277345">
      <w:pPr>
        <w:kinsoku w:val="0"/>
        <w:overflowPunct w:val="0"/>
        <w:ind w:right="281"/>
        <w:rPr>
          <w:rFonts w:cs="Calibri"/>
        </w:rPr>
      </w:pPr>
      <w:r w:rsidRPr="00AE4F3D">
        <w:rPr>
          <w:rFonts w:cs="Calibri"/>
          <w:b/>
          <w:bCs/>
        </w:rPr>
        <w:t>Explanation:</w:t>
      </w:r>
      <w:r w:rsidRPr="00595243">
        <w:rPr>
          <w:rFonts w:cs="Calibri"/>
          <w:b/>
          <w:bCs/>
        </w:rPr>
        <w:t xml:space="preserve"> </w:t>
      </w:r>
      <w:r w:rsidR="00B33535" w:rsidRPr="00595243">
        <w:rPr>
          <w:rFonts w:cs="Calibri"/>
        </w:rPr>
        <w:t>T</w:t>
      </w:r>
      <w:r w:rsidRPr="00595243">
        <w:rPr>
          <w:rFonts w:cs="Calibri"/>
        </w:rPr>
        <w:t>he average number of violations per inspection for both SWRU and OTS citations exceeded the FRL.</w:t>
      </w:r>
      <w:r w:rsidR="00995069" w:rsidRPr="00595243">
        <w:rPr>
          <w:rFonts w:cs="Calibri"/>
        </w:rPr>
        <w:t xml:space="preserve"> </w:t>
      </w:r>
      <w:r w:rsidR="00D700FB" w:rsidRPr="00595243">
        <w:rPr>
          <w:rFonts w:cs="Calibri"/>
        </w:rPr>
        <w:t xml:space="preserve"> </w:t>
      </w:r>
      <w:r w:rsidRPr="00595243">
        <w:rPr>
          <w:rFonts w:cs="Calibri"/>
        </w:rPr>
        <w:t>This indicated</w:t>
      </w:r>
      <w:r w:rsidRPr="00595243">
        <w:rPr>
          <w:rFonts w:cs="Calibri"/>
          <w:spacing w:val="-3"/>
        </w:rPr>
        <w:t xml:space="preserve"> </w:t>
      </w:r>
      <w:r w:rsidRPr="00595243">
        <w:rPr>
          <w:rFonts w:cs="Calibri"/>
        </w:rPr>
        <w:t>that</w:t>
      </w:r>
      <w:r w:rsidRPr="00595243">
        <w:rPr>
          <w:rFonts w:cs="Calibri"/>
          <w:spacing w:val="-3"/>
        </w:rPr>
        <w:t xml:space="preserve"> </w:t>
      </w:r>
      <w:r w:rsidRPr="00595243">
        <w:rPr>
          <w:rFonts w:cs="Calibri"/>
        </w:rPr>
        <w:t>the</w:t>
      </w:r>
      <w:r w:rsidRPr="00595243">
        <w:rPr>
          <w:rFonts w:cs="Calibri"/>
          <w:spacing w:val="-2"/>
        </w:rPr>
        <w:t xml:space="preserve"> </w:t>
      </w:r>
      <w:r w:rsidRPr="00595243">
        <w:rPr>
          <w:rFonts w:cs="Calibri"/>
        </w:rPr>
        <w:t>New</w:t>
      </w:r>
      <w:r w:rsidRPr="00595243">
        <w:rPr>
          <w:rFonts w:cs="Calibri"/>
          <w:spacing w:val="-3"/>
        </w:rPr>
        <w:t xml:space="preserve"> </w:t>
      </w:r>
      <w:r w:rsidRPr="00595243">
        <w:rPr>
          <w:rFonts w:cs="Calibri"/>
        </w:rPr>
        <w:t>Jersey</w:t>
      </w:r>
      <w:r w:rsidRPr="00595243">
        <w:rPr>
          <w:rFonts w:cs="Calibri"/>
          <w:spacing w:val="-2"/>
        </w:rPr>
        <w:t xml:space="preserve"> </w:t>
      </w:r>
      <w:r w:rsidRPr="00595243">
        <w:rPr>
          <w:rFonts w:cs="Calibri"/>
        </w:rPr>
        <w:t>State</w:t>
      </w:r>
      <w:r w:rsidRPr="00595243">
        <w:rPr>
          <w:rFonts w:cs="Calibri"/>
          <w:spacing w:val="-3"/>
        </w:rPr>
        <w:t xml:space="preserve"> </w:t>
      </w:r>
      <w:r w:rsidRPr="00595243">
        <w:rPr>
          <w:rFonts w:cs="Calibri"/>
        </w:rPr>
        <w:t>Plan</w:t>
      </w:r>
      <w:r w:rsidRPr="00595243">
        <w:rPr>
          <w:rFonts w:cs="Calibri"/>
          <w:spacing w:val="-3"/>
        </w:rPr>
        <w:t xml:space="preserve"> </w:t>
      </w:r>
      <w:r w:rsidRPr="00595243">
        <w:rPr>
          <w:rFonts w:cs="Calibri"/>
        </w:rPr>
        <w:t>was</w:t>
      </w:r>
      <w:r w:rsidRPr="00595243">
        <w:rPr>
          <w:rFonts w:cs="Calibri"/>
          <w:spacing w:val="-3"/>
        </w:rPr>
        <w:t xml:space="preserve"> </w:t>
      </w:r>
      <w:r w:rsidRPr="00595243">
        <w:rPr>
          <w:rFonts w:cs="Calibri"/>
        </w:rPr>
        <w:t>issuing</w:t>
      </w:r>
      <w:r w:rsidRPr="00595243">
        <w:rPr>
          <w:rFonts w:cs="Calibri"/>
          <w:spacing w:val="-3"/>
        </w:rPr>
        <w:t xml:space="preserve"> </w:t>
      </w:r>
      <w:r w:rsidRPr="00595243">
        <w:rPr>
          <w:rFonts w:cs="Calibri"/>
        </w:rPr>
        <w:t>more</w:t>
      </w:r>
      <w:r w:rsidRPr="00595243">
        <w:rPr>
          <w:rFonts w:cs="Calibri"/>
          <w:spacing w:val="-2"/>
        </w:rPr>
        <w:t xml:space="preserve"> </w:t>
      </w:r>
      <w:r w:rsidRPr="00595243">
        <w:rPr>
          <w:rFonts w:cs="Calibri"/>
        </w:rPr>
        <w:t>citations</w:t>
      </w:r>
      <w:r w:rsidRPr="00595243">
        <w:rPr>
          <w:rFonts w:cs="Calibri"/>
          <w:spacing w:val="-3"/>
        </w:rPr>
        <w:t xml:space="preserve"> </w:t>
      </w:r>
      <w:r w:rsidRPr="00595243">
        <w:rPr>
          <w:rFonts w:cs="Calibri"/>
        </w:rPr>
        <w:t>of</w:t>
      </w:r>
      <w:r w:rsidRPr="00595243">
        <w:rPr>
          <w:rFonts w:cs="Calibri"/>
          <w:spacing w:val="-3"/>
        </w:rPr>
        <w:t xml:space="preserve"> </w:t>
      </w:r>
      <w:r w:rsidRPr="00595243">
        <w:rPr>
          <w:rFonts w:cs="Calibri"/>
        </w:rPr>
        <w:t>both</w:t>
      </w:r>
      <w:r w:rsidRPr="00595243">
        <w:rPr>
          <w:rFonts w:cs="Calibri"/>
          <w:spacing w:val="-3"/>
        </w:rPr>
        <w:t xml:space="preserve"> </w:t>
      </w:r>
      <w:r w:rsidRPr="00595243">
        <w:rPr>
          <w:rFonts w:cs="Calibri"/>
        </w:rPr>
        <w:t>types</w:t>
      </w:r>
      <w:r w:rsidRPr="00595243">
        <w:rPr>
          <w:rFonts w:cs="Calibri"/>
          <w:spacing w:val="-3"/>
        </w:rPr>
        <w:t xml:space="preserve"> </w:t>
      </w:r>
      <w:r w:rsidRPr="00595243">
        <w:rPr>
          <w:rFonts w:cs="Calibri"/>
        </w:rPr>
        <w:t>during</w:t>
      </w:r>
      <w:r w:rsidRPr="00595243">
        <w:rPr>
          <w:rFonts w:cs="Calibri"/>
          <w:spacing w:val="-3"/>
        </w:rPr>
        <w:t xml:space="preserve"> </w:t>
      </w:r>
      <w:r w:rsidRPr="00595243">
        <w:rPr>
          <w:rFonts w:cs="Calibri"/>
        </w:rPr>
        <w:t>inspections</w:t>
      </w:r>
      <w:r w:rsidRPr="00595243">
        <w:rPr>
          <w:rFonts w:cs="Calibri"/>
          <w:spacing w:val="-3"/>
        </w:rPr>
        <w:t xml:space="preserve"> </w:t>
      </w:r>
      <w:r w:rsidRPr="00595243">
        <w:rPr>
          <w:rFonts w:cs="Calibri"/>
        </w:rPr>
        <w:t>then</w:t>
      </w:r>
      <w:r w:rsidRPr="00595243">
        <w:rPr>
          <w:rFonts w:cs="Calibri"/>
          <w:spacing w:val="-3"/>
        </w:rPr>
        <w:t xml:space="preserve"> </w:t>
      </w:r>
      <w:r w:rsidRPr="00595243">
        <w:rPr>
          <w:rFonts w:cs="Calibri"/>
        </w:rPr>
        <w:t>the</w:t>
      </w:r>
      <w:r w:rsidRPr="00595243">
        <w:rPr>
          <w:rFonts w:cs="Calibri"/>
          <w:spacing w:val="-2"/>
        </w:rPr>
        <w:t xml:space="preserve"> </w:t>
      </w:r>
      <w:r w:rsidRPr="00595243">
        <w:rPr>
          <w:rFonts w:cs="Calibri"/>
        </w:rPr>
        <w:t>FRLs.</w:t>
      </w:r>
      <w:r w:rsidR="00995069" w:rsidRPr="00595243">
        <w:rPr>
          <w:rFonts w:cs="Calibri"/>
        </w:rPr>
        <w:t xml:space="preserve"> </w:t>
      </w:r>
      <w:r w:rsidR="00D700FB" w:rsidRPr="00595243">
        <w:rPr>
          <w:rFonts w:cs="Calibri"/>
        </w:rPr>
        <w:t xml:space="preserve"> </w:t>
      </w:r>
      <w:r w:rsidRPr="00595243">
        <w:rPr>
          <w:rFonts w:cs="Calibri"/>
        </w:rPr>
        <w:t>The</w:t>
      </w:r>
      <w:r w:rsidRPr="00595243">
        <w:rPr>
          <w:rFonts w:cs="Calibri"/>
          <w:spacing w:val="-2"/>
        </w:rPr>
        <w:t xml:space="preserve"> </w:t>
      </w:r>
      <w:r w:rsidRPr="00595243">
        <w:rPr>
          <w:rFonts w:cs="Calibri"/>
        </w:rPr>
        <w:t xml:space="preserve">percentage of SWRU violations issued was </w:t>
      </w:r>
      <w:r w:rsidR="00F94D4E" w:rsidRPr="00595243">
        <w:rPr>
          <w:rFonts w:cs="Calibri"/>
        </w:rPr>
        <w:t xml:space="preserve">65% </w:t>
      </w:r>
      <w:r w:rsidRPr="00595243">
        <w:rPr>
          <w:rFonts w:cs="Calibri"/>
        </w:rPr>
        <w:t>of all violations while the percentage of OTS is approximately</w:t>
      </w:r>
      <w:r w:rsidR="00BE574C" w:rsidRPr="00595243">
        <w:rPr>
          <w:rFonts w:cs="Calibri"/>
        </w:rPr>
        <w:t xml:space="preserve"> </w:t>
      </w:r>
      <w:r w:rsidR="00C26B4E" w:rsidRPr="00595243">
        <w:rPr>
          <w:rFonts w:cs="Calibri"/>
        </w:rPr>
        <w:t>35%</w:t>
      </w:r>
      <w:r w:rsidR="00D700FB" w:rsidRPr="00595243">
        <w:rPr>
          <w:rFonts w:cs="Calibri"/>
        </w:rPr>
        <w:t xml:space="preserve">.  </w:t>
      </w:r>
      <w:r w:rsidRPr="00595243">
        <w:rPr>
          <w:rFonts w:cs="Calibri"/>
        </w:rPr>
        <w:t xml:space="preserve">Exceeding </w:t>
      </w:r>
      <w:r w:rsidRPr="00595243">
        <w:rPr>
          <w:rFonts w:cs="Calibri"/>
        </w:rPr>
        <w:lastRenderedPageBreak/>
        <w:t xml:space="preserve">the FRLs for this SAMM in this situation </w:t>
      </w:r>
      <w:r w:rsidR="00E750C6" w:rsidRPr="00595243">
        <w:rPr>
          <w:rFonts w:cs="Calibri"/>
        </w:rPr>
        <w:t xml:space="preserve">does not </w:t>
      </w:r>
      <w:r w:rsidRPr="00595243">
        <w:rPr>
          <w:rFonts w:cs="Calibri"/>
        </w:rPr>
        <w:t>reflect negatively on performance.</w:t>
      </w:r>
    </w:p>
    <w:p w14:paraId="51B2392C" w14:textId="77777777" w:rsidR="00995069" w:rsidRPr="00595243" w:rsidRDefault="00995069" w:rsidP="00277345">
      <w:pPr>
        <w:kinsoku w:val="0"/>
        <w:overflowPunct w:val="0"/>
        <w:ind w:right="281"/>
        <w:rPr>
          <w:rFonts w:cs="Calibri"/>
        </w:rPr>
      </w:pPr>
    </w:p>
    <w:p w14:paraId="6B137556" w14:textId="34A84D46" w:rsidR="00A31A39" w:rsidRPr="00595243" w:rsidRDefault="002F15B2" w:rsidP="00277345">
      <w:pPr>
        <w:kinsoku w:val="0"/>
        <w:overflowPunct w:val="0"/>
        <w:ind w:right="281"/>
        <w:rPr>
          <w:rFonts w:cs="Calibri"/>
          <w:b/>
          <w:bCs/>
        </w:rPr>
      </w:pPr>
      <w:r w:rsidRPr="00595243">
        <w:rPr>
          <w:rFonts w:cs="Calibri"/>
          <w:b/>
          <w:bCs/>
        </w:rPr>
        <w:t xml:space="preserve">SAMM </w:t>
      </w:r>
      <w:r w:rsidR="00A31A39" w:rsidRPr="00595243">
        <w:rPr>
          <w:rFonts w:cs="Calibri"/>
          <w:b/>
          <w:bCs/>
        </w:rPr>
        <w:t>7b-Planned vs. Actual Inspections (</w:t>
      </w:r>
      <w:r w:rsidR="00724392" w:rsidRPr="00595243">
        <w:rPr>
          <w:rFonts w:cs="Calibri"/>
          <w:b/>
          <w:bCs/>
        </w:rPr>
        <w:t>H</w:t>
      </w:r>
      <w:r w:rsidR="00A31A39" w:rsidRPr="00595243">
        <w:rPr>
          <w:rFonts w:cs="Calibri"/>
          <w:b/>
          <w:bCs/>
        </w:rPr>
        <w:t>ealth)</w:t>
      </w:r>
    </w:p>
    <w:p w14:paraId="00BD9658" w14:textId="77777777" w:rsidR="00A31A39" w:rsidRPr="00595243" w:rsidRDefault="00A31A39" w:rsidP="00277345">
      <w:pPr>
        <w:kinsoku w:val="0"/>
        <w:overflowPunct w:val="0"/>
        <w:ind w:right="281"/>
        <w:rPr>
          <w:rFonts w:cs="Calibri"/>
          <w:b/>
          <w:bCs/>
        </w:rPr>
      </w:pPr>
    </w:p>
    <w:p w14:paraId="7700B106" w14:textId="27B02CE8" w:rsidR="00064243" w:rsidRPr="00595243" w:rsidRDefault="0039243E" w:rsidP="0039243E">
      <w:pPr>
        <w:kinsoku w:val="0"/>
        <w:overflowPunct w:val="0"/>
        <w:spacing w:before="1"/>
        <w:rPr>
          <w:rFonts w:cs="Calibri"/>
        </w:rPr>
      </w:pPr>
      <w:r w:rsidRPr="00AE4F3D">
        <w:rPr>
          <w:rFonts w:cs="Calibri"/>
          <w:b/>
          <w:bCs/>
        </w:rPr>
        <w:t>Discussion</w:t>
      </w:r>
      <w:r w:rsidRPr="00AE4F3D">
        <w:rPr>
          <w:rFonts w:cs="Calibri"/>
          <w:b/>
          <w:bCs/>
          <w:spacing w:val="-3"/>
        </w:rPr>
        <w:t xml:space="preserve"> </w:t>
      </w:r>
      <w:r w:rsidRPr="00AE4F3D">
        <w:rPr>
          <w:rFonts w:cs="Calibri"/>
          <w:b/>
          <w:bCs/>
        </w:rPr>
        <w:t>of</w:t>
      </w:r>
      <w:r w:rsidRPr="00AE4F3D">
        <w:rPr>
          <w:rFonts w:cs="Calibri"/>
          <w:b/>
          <w:bCs/>
          <w:spacing w:val="-3"/>
        </w:rPr>
        <w:t xml:space="preserve"> </w:t>
      </w:r>
      <w:r w:rsidRPr="00AE4F3D">
        <w:rPr>
          <w:rFonts w:cs="Calibri"/>
          <w:b/>
          <w:bCs/>
        </w:rPr>
        <w:t>State</w:t>
      </w:r>
      <w:r w:rsidRPr="00AE4F3D">
        <w:rPr>
          <w:rFonts w:cs="Calibri"/>
          <w:b/>
          <w:bCs/>
          <w:spacing w:val="-2"/>
        </w:rPr>
        <w:t xml:space="preserve"> </w:t>
      </w:r>
      <w:r w:rsidRPr="00AE4F3D">
        <w:rPr>
          <w:rFonts w:cs="Calibri"/>
          <w:b/>
          <w:bCs/>
        </w:rPr>
        <w:t>Plan</w:t>
      </w:r>
      <w:r w:rsidRPr="00AE4F3D">
        <w:rPr>
          <w:rFonts w:cs="Calibri"/>
          <w:b/>
          <w:bCs/>
          <w:spacing w:val="-3"/>
        </w:rPr>
        <w:t xml:space="preserve"> </w:t>
      </w:r>
      <w:r w:rsidRPr="00AE4F3D">
        <w:rPr>
          <w:rFonts w:cs="Calibri"/>
          <w:b/>
          <w:bCs/>
        </w:rPr>
        <w:t>Data</w:t>
      </w:r>
      <w:r w:rsidRPr="00AE4F3D">
        <w:rPr>
          <w:rFonts w:cs="Calibri"/>
          <w:b/>
          <w:bCs/>
          <w:spacing w:val="-2"/>
        </w:rPr>
        <w:t xml:space="preserve"> </w:t>
      </w:r>
      <w:r w:rsidRPr="00AE4F3D">
        <w:rPr>
          <w:rFonts w:cs="Calibri"/>
          <w:b/>
          <w:bCs/>
        </w:rPr>
        <w:t>and</w:t>
      </w:r>
      <w:r w:rsidRPr="00AE4F3D">
        <w:rPr>
          <w:rFonts w:cs="Calibri"/>
          <w:b/>
          <w:bCs/>
          <w:spacing w:val="-3"/>
        </w:rPr>
        <w:t xml:space="preserve"> </w:t>
      </w:r>
      <w:r w:rsidRPr="00AE4F3D">
        <w:rPr>
          <w:rFonts w:cs="Calibri"/>
          <w:b/>
          <w:bCs/>
        </w:rPr>
        <w:t>FRL</w:t>
      </w:r>
      <w:r w:rsidRPr="00595243">
        <w:rPr>
          <w:rFonts w:cs="Calibri"/>
          <w:b/>
          <w:bCs/>
        </w:rPr>
        <w:t>:</w:t>
      </w:r>
      <w:r w:rsidRPr="00595243">
        <w:rPr>
          <w:rFonts w:cs="Calibri"/>
          <w:b/>
          <w:bCs/>
          <w:spacing w:val="-2"/>
        </w:rPr>
        <w:t xml:space="preserve"> </w:t>
      </w:r>
      <w:r w:rsidRPr="00595243">
        <w:rPr>
          <w:rFonts w:cs="Calibri"/>
        </w:rPr>
        <w:t>The</w:t>
      </w:r>
      <w:r w:rsidRPr="00595243">
        <w:rPr>
          <w:rFonts w:cs="Calibri"/>
          <w:spacing w:val="-2"/>
        </w:rPr>
        <w:t xml:space="preserve"> </w:t>
      </w:r>
      <w:r w:rsidRPr="00595243">
        <w:rPr>
          <w:rFonts w:cs="Calibri"/>
        </w:rPr>
        <w:t>FRL</w:t>
      </w:r>
      <w:r w:rsidRPr="00595243">
        <w:rPr>
          <w:rFonts w:cs="Calibri"/>
          <w:spacing w:val="-3"/>
        </w:rPr>
        <w:t xml:space="preserve"> </w:t>
      </w:r>
      <w:r w:rsidRPr="00595243">
        <w:rPr>
          <w:rFonts w:cs="Calibri"/>
        </w:rPr>
        <w:t>for</w:t>
      </w:r>
      <w:r w:rsidRPr="00595243">
        <w:rPr>
          <w:rFonts w:cs="Calibri"/>
          <w:spacing w:val="-2"/>
        </w:rPr>
        <w:t xml:space="preserve"> </w:t>
      </w:r>
      <w:r w:rsidRPr="00595243">
        <w:rPr>
          <w:rFonts w:cs="Calibri"/>
        </w:rPr>
        <w:t>number</w:t>
      </w:r>
      <w:r w:rsidRPr="00595243">
        <w:rPr>
          <w:rFonts w:cs="Calibri"/>
          <w:spacing w:val="-1"/>
        </w:rPr>
        <w:t xml:space="preserve"> </w:t>
      </w:r>
      <w:r w:rsidRPr="00595243">
        <w:rPr>
          <w:rFonts w:cs="Calibri"/>
        </w:rPr>
        <w:t>of</w:t>
      </w:r>
      <w:r w:rsidRPr="00595243">
        <w:rPr>
          <w:rFonts w:cs="Calibri"/>
          <w:spacing w:val="-3"/>
        </w:rPr>
        <w:t xml:space="preserve"> </w:t>
      </w:r>
      <w:r w:rsidR="0075144B" w:rsidRPr="00595243">
        <w:rPr>
          <w:rFonts w:cs="Calibri"/>
          <w:spacing w:val="-3"/>
        </w:rPr>
        <w:t xml:space="preserve">planned </w:t>
      </w:r>
      <w:r w:rsidR="004F4F30" w:rsidRPr="00595243">
        <w:rPr>
          <w:rFonts w:cs="Calibri"/>
          <w:spacing w:val="-3"/>
        </w:rPr>
        <w:t>versus</w:t>
      </w:r>
      <w:r w:rsidR="0075144B" w:rsidRPr="00595243">
        <w:rPr>
          <w:rFonts w:cs="Calibri"/>
          <w:spacing w:val="-3"/>
        </w:rPr>
        <w:t xml:space="preserve"> actual number of </w:t>
      </w:r>
      <w:r w:rsidRPr="00595243">
        <w:rPr>
          <w:rFonts w:cs="Calibri"/>
          <w:spacing w:val="-3"/>
        </w:rPr>
        <w:t xml:space="preserve">health inspections </w:t>
      </w:r>
      <w:r w:rsidR="0075144B" w:rsidRPr="00595243">
        <w:rPr>
          <w:rFonts w:cs="Calibri"/>
          <w:spacing w:val="-3"/>
        </w:rPr>
        <w:t xml:space="preserve">is </w:t>
      </w:r>
      <w:r w:rsidRPr="00595243">
        <w:rPr>
          <w:rFonts w:cs="Calibri"/>
        </w:rPr>
        <w:t>+/-20%</w:t>
      </w:r>
      <w:r w:rsidRPr="00595243">
        <w:rPr>
          <w:rFonts w:cs="Calibri"/>
          <w:spacing w:val="-2"/>
        </w:rPr>
        <w:t xml:space="preserve"> </w:t>
      </w:r>
      <w:r w:rsidRPr="00595243">
        <w:rPr>
          <w:rFonts w:cs="Calibri"/>
          <w:spacing w:val="-5"/>
        </w:rPr>
        <w:t xml:space="preserve">of </w:t>
      </w:r>
      <w:r w:rsidR="004F4F30" w:rsidRPr="00595243">
        <w:rPr>
          <w:rFonts w:cs="Calibri"/>
          <w:spacing w:val="-5"/>
        </w:rPr>
        <w:t>125 or 119 to 131 inspections</w:t>
      </w:r>
      <w:r w:rsidRPr="00595243">
        <w:rPr>
          <w:rFonts w:cs="Calibri"/>
        </w:rPr>
        <w:t>.</w:t>
      </w:r>
      <w:r w:rsidR="004F4F30" w:rsidRPr="00595243">
        <w:rPr>
          <w:rFonts w:cs="Calibri"/>
        </w:rPr>
        <w:t xml:space="preserve"> </w:t>
      </w:r>
      <w:r w:rsidR="00064243" w:rsidRPr="00595243">
        <w:rPr>
          <w:rFonts w:cs="Calibri"/>
        </w:rPr>
        <w:t xml:space="preserve"> A total of </w:t>
      </w:r>
      <w:r w:rsidR="0018526A" w:rsidRPr="00595243">
        <w:rPr>
          <w:rFonts w:cs="Calibri"/>
        </w:rPr>
        <w:t>85</w:t>
      </w:r>
      <w:r w:rsidR="004B7053" w:rsidRPr="00595243">
        <w:rPr>
          <w:rFonts w:cs="Calibri"/>
        </w:rPr>
        <w:t xml:space="preserve"> </w:t>
      </w:r>
      <w:r w:rsidR="00064243" w:rsidRPr="00595243">
        <w:rPr>
          <w:rFonts w:cs="Calibri"/>
        </w:rPr>
        <w:t>health inspections was conducted which was below the FRL.</w:t>
      </w:r>
    </w:p>
    <w:p w14:paraId="7F47D692" w14:textId="77777777" w:rsidR="00064243" w:rsidRPr="00595243" w:rsidRDefault="00064243" w:rsidP="0039243E">
      <w:pPr>
        <w:kinsoku w:val="0"/>
        <w:overflowPunct w:val="0"/>
        <w:spacing w:before="1"/>
        <w:rPr>
          <w:rFonts w:cs="Calibri"/>
        </w:rPr>
      </w:pPr>
    </w:p>
    <w:p w14:paraId="36C049FD" w14:textId="06B6A7BF" w:rsidR="000A134A" w:rsidRDefault="00DA03B6" w:rsidP="00803B36">
      <w:pPr>
        <w:kinsoku w:val="0"/>
        <w:overflowPunct w:val="0"/>
        <w:spacing w:before="1"/>
        <w:rPr>
          <w:rFonts w:cs="Calibri"/>
        </w:rPr>
      </w:pPr>
      <w:r w:rsidRPr="00AE4F3D">
        <w:rPr>
          <w:rFonts w:cs="Calibri"/>
          <w:b/>
          <w:bCs/>
        </w:rPr>
        <w:t>Explanation:</w:t>
      </w:r>
      <w:r w:rsidR="00FB0EF1" w:rsidRPr="005C7C65">
        <w:rPr>
          <w:rFonts w:cs="Calibri"/>
          <w:b/>
          <w:bCs/>
        </w:rPr>
        <w:t xml:space="preserve"> </w:t>
      </w:r>
      <w:r w:rsidR="00FB0EF1" w:rsidRPr="005C7C65">
        <w:rPr>
          <w:rFonts w:cs="Calibri"/>
        </w:rPr>
        <w:t xml:space="preserve">The </w:t>
      </w:r>
      <w:r w:rsidR="00803B36" w:rsidRPr="005C7C65">
        <w:rPr>
          <w:rFonts w:cs="Calibri"/>
        </w:rPr>
        <w:t xml:space="preserve">New Jersey Department </w:t>
      </w:r>
      <w:r w:rsidR="00134151" w:rsidRPr="005C7C65">
        <w:rPr>
          <w:rFonts w:cs="Calibri"/>
        </w:rPr>
        <w:t>of</w:t>
      </w:r>
      <w:r w:rsidR="00803B36" w:rsidRPr="005C7C65">
        <w:rPr>
          <w:rFonts w:cs="Calibri"/>
        </w:rPr>
        <w:t xml:space="preserve"> Health </w:t>
      </w:r>
      <w:r w:rsidR="00101B41" w:rsidRPr="005C7C65">
        <w:rPr>
          <w:rFonts w:cs="Calibri"/>
        </w:rPr>
        <w:t xml:space="preserve">(NJDOH) </w:t>
      </w:r>
      <w:r w:rsidR="00FB0EF1" w:rsidRPr="005C7C65">
        <w:rPr>
          <w:rFonts w:cs="Calibri"/>
        </w:rPr>
        <w:t xml:space="preserve">PEOSH Program conducted </w:t>
      </w:r>
      <w:r w:rsidR="008D5490">
        <w:rPr>
          <w:rFonts w:cs="Calibri"/>
        </w:rPr>
        <w:t>85</w:t>
      </w:r>
      <w:r w:rsidR="00FB0EF1" w:rsidRPr="005C7C65">
        <w:rPr>
          <w:rFonts w:cs="Calibri"/>
        </w:rPr>
        <w:t xml:space="preserve"> inspections which were below the goal of 125.</w:t>
      </w:r>
      <w:r w:rsidR="00803B36" w:rsidRPr="005C7C65">
        <w:rPr>
          <w:rFonts w:cs="Calibri"/>
        </w:rPr>
        <w:t xml:space="preserve"> </w:t>
      </w:r>
      <w:r w:rsidR="00FB0EF1" w:rsidRPr="005C7C65">
        <w:rPr>
          <w:rFonts w:cs="Calibri"/>
        </w:rPr>
        <w:t xml:space="preserve"> NJDOH PEOSH </w:t>
      </w:r>
      <w:r w:rsidR="00134151" w:rsidRPr="005C7C65">
        <w:rPr>
          <w:rFonts w:cs="Calibri"/>
        </w:rPr>
        <w:t>had</w:t>
      </w:r>
      <w:r w:rsidR="00FB0EF1" w:rsidRPr="005C7C65">
        <w:rPr>
          <w:rFonts w:cs="Calibri"/>
        </w:rPr>
        <w:t xml:space="preserve"> four </w:t>
      </w:r>
      <w:r w:rsidR="00101B41" w:rsidRPr="005C7C65">
        <w:rPr>
          <w:rFonts w:cs="Calibri"/>
        </w:rPr>
        <w:t>compliance safety and health officers (</w:t>
      </w:r>
      <w:r w:rsidR="00FB0EF1" w:rsidRPr="005C7C65">
        <w:rPr>
          <w:rFonts w:cs="Calibri"/>
        </w:rPr>
        <w:t>CSHOs</w:t>
      </w:r>
      <w:r w:rsidR="00101B41" w:rsidRPr="005C7C65">
        <w:rPr>
          <w:rFonts w:cs="Calibri"/>
        </w:rPr>
        <w:t>)</w:t>
      </w:r>
      <w:r w:rsidR="00FB0EF1" w:rsidRPr="005C7C65">
        <w:rPr>
          <w:rFonts w:cs="Calibri"/>
        </w:rPr>
        <w:t xml:space="preserve"> assigned to field work and one CSHO assigned to</w:t>
      </w:r>
      <w:r w:rsidR="00101B41" w:rsidRPr="005C7C65">
        <w:rPr>
          <w:rFonts w:cs="Calibri"/>
        </w:rPr>
        <w:t xml:space="preserve"> processing</w:t>
      </w:r>
      <w:r w:rsidR="00547964" w:rsidRPr="005C7C65">
        <w:rPr>
          <w:rFonts w:cs="Calibri"/>
        </w:rPr>
        <w:t xml:space="preserve"> indoor air quality complaints and investigations</w:t>
      </w:r>
      <w:r w:rsidR="00134151" w:rsidRPr="005C7C65">
        <w:rPr>
          <w:rFonts w:cs="Calibri"/>
        </w:rPr>
        <w:t xml:space="preserve"> in FY 2024</w:t>
      </w:r>
      <w:r w:rsidR="00547964" w:rsidRPr="005C7C65">
        <w:rPr>
          <w:rFonts w:cs="Calibri"/>
        </w:rPr>
        <w:t xml:space="preserve">. </w:t>
      </w:r>
      <w:r w:rsidR="00DA159A" w:rsidRPr="005C7C65">
        <w:rPr>
          <w:rFonts w:cs="Calibri"/>
        </w:rPr>
        <w:t xml:space="preserve"> </w:t>
      </w:r>
      <w:r w:rsidR="00867B7B" w:rsidRPr="005C7C65">
        <w:rPr>
          <w:rFonts w:cs="Calibri"/>
        </w:rPr>
        <w:t xml:space="preserve">An additional CSHO was hired </w:t>
      </w:r>
      <w:r w:rsidR="0043055B" w:rsidRPr="005C7C65">
        <w:rPr>
          <w:rFonts w:cs="Calibri"/>
        </w:rPr>
        <w:t>in November</w:t>
      </w:r>
      <w:r w:rsidR="00D1047B" w:rsidRPr="005C7C65">
        <w:rPr>
          <w:rFonts w:cs="Calibri"/>
        </w:rPr>
        <w:t xml:space="preserve"> 202</w:t>
      </w:r>
      <w:r w:rsidR="00690CF4" w:rsidRPr="005C7C65">
        <w:rPr>
          <w:rFonts w:cs="Calibri"/>
        </w:rPr>
        <w:t>4</w:t>
      </w:r>
      <w:r w:rsidR="00867B7B" w:rsidRPr="005C7C65">
        <w:rPr>
          <w:rFonts w:cs="Calibri"/>
        </w:rPr>
        <w:t>.</w:t>
      </w:r>
      <w:r w:rsidR="00134151" w:rsidRPr="005C7C65">
        <w:rPr>
          <w:rFonts w:cs="Calibri"/>
        </w:rPr>
        <w:t xml:space="preserve"> </w:t>
      </w:r>
      <w:r w:rsidR="00FB0EF1" w:rsidRPr="005C7C65">
        <w:rPr>
          <w:rFonts w:cs="Calibri"/>
        </w:rPr>
        <w:t xml:space="preserve"> Approval for one CSHO position is currently being pursued. </w:t>
      </w:r>
      <w:r w:rsidR="00F15DD4">
        <w:rPr>
          <w:rFonts w:cs="Calibri"/>
        </w:rPr>
        <w:t xml:space="preserve"> </w:t>
      </w:r>
      <w:r w:rsidR="00F15DD4" w:rsidRPr="00F15DD4">
        <w:rPr>
          <w:rStyle w:val="cf01"/>
          <w:rFonts w:asciiTheme="minorHAnsi" w:hAnsiTheme="minorHAnsi" w:cstheme="minorHAnsi"/>
          <w:sz w:val="24"/>
          <w:szCs w:val="24"/>
        </w:rPr>
        <w:t xml:space="preserve">OSHA </w:t>
      </w:r>
      <w:r w:rsidR="00F15DD4">
        <w:rPr>
          <w:rStyle w:val="cf01"/>
          <w:rFonts w:asciiTheme="minorHAnsi" w:hAnsiTheme="minorHAnsi" w:cstheme="minorHAnsi"/>
          <w:sz w:val="24"/>
          <w:szCs w:val="24"/>
        </w:rPr>
        <w:t xml:space="preserve">also </w:t>
      </w:r>
      <w:r w:rsidR="00F15DD4" w:rsidRPr="00F15DD4">
        <w:rPr>
          <w:rStyle w:val="cf01"/>
          <w:rFonts w:asciiTheme="minorHAnsi" w:hAnsiTheme="minorHAnsi" w:cstheme="minorHAnsi"/>
          <w:sz w:val="24"/>
          <w:szCs w:val="24"/>
        </w:rPr>
        <w:t>recognizes the potential impact caused by the reduction in State Plan 23(g) grant funding during the last quarter of fiscal year 2024</w:t>
      </w:r>
      <w:r w:rsidR="00F15DD4">
        <w:rPr>
          <w:rStyle w:val="cf01"/>
          <w:rFonts w:asciiTheme="minorHAnsi" w:hAnsiTheme="minorHAnsi" w:cstheme="minorHAnsi"/>
          <w:sz w:val="24"/>
          <w:szCs w:val="24"/>
        </w:rPr>
        <w:t xml:space="preserve">. </w:t>
      </w:r>
    </w:p>
    <w:p w14:paraId="71887E66" w14:textId="77777777" w:rsidR="008D5490" w:rsidRDefault="008D5490" w:rsidP="00803B36">
      <w:pPr>
        <w:kinsoku w:val="0"/>
        <w:overflowPunct w:val="0"/>
        <w:spacing w:before="1"/>
        <w:rPr>
          <w:rFonts w:cs="Calibri"/>
        </w:rPr>
      </w:pPr>
    </w:p>
    <w:p w14:paraId="1824551E" w14:textId="01A4EB6D" w:rsidR="008D5490" w:rsidRDefault="008D5490" w:rsidP="00803B36">
      <w:pPr>
        <w:kinsoku w:val="0"/>
        <w:overflowPunct w:val="0"/>
        <w:spacing w:before="1"/>
        <w:rPr>
          <w:rFonts w:cs="Calibri"/>
          <w:b/>
          <w:bCs/>
        </w:rPr>
      </w:pPr>
      <w:r>
        <w:rPr>
          <w:rFonts w:cs="Calibri"/>
          <w:b/>
          <w:bCs/>
        </w:rPr>
        <w:t>SAMM 9a-Percent In-Compliance (</w:t>
      </w:r>
      <w:r w:rsidR="00724392">
        <w:rPr>
          <w:rFonts w:cs="Calibri"/>
          <w:b/>
          <w:bCs/>
        </w:rPr>
        <w:t>S</w:t>
      </w:r>
      <w:r>
        <w:rPr>
          <w:rFonts w:cs="Calibri"/>
          <w:b/>
          <w:bCs/>
        </w:rPr>
        <w:t>afety)</w:t>
      </w:r>
    </w:p>
    <w:p w14:paraId="2E768AFE" w14:textId="77777777" w:rsidR="008D5490" w:rsidRDefault="008D5490" w:rsidP="00803B36">
      <w:pPr>
        <w:kinsoku w:val="0"/>
        <w:overflowPunct w:val="0"/>
        <w:spacing w:before="1"/>
        <w:rPr>
          <w:rFonts w:cs="Calibri"/>
          <w:b/>
          <w:bCs/>
        </w:rPr>
      </w:pPr>
    </w:p>
    <w:p w14:paraId="5B83AFA3" w14:textId="7F71C7AF" w:rsidR="006D5011" w:rsidRPr="00595243" w:rsidRDefault="008D5490" w:rsidP="00803B36">
      <w:pPr>
        <w:kinsoku w:val="0"/>
        <w:overflowPunct w:val="0"/>
        <w:spacing w:before="1"/>
        <w:rPr>
          <w:rFonts w:cs="Calibri"/>
          <w:b/>
          <w:bCs/>
        </w:rPr>
      </w:pPr>
      <w:r w:rsidRPr="00AE4F3D">
        <w:rPr>
          <w:rFonts w:cs="Calibri"/>
          <w:b/>
          <w:bCs/>
        </w:rPr>
        <w:t>Discussion of State Plan Data and FRL</w:t>
      </w:r>
      <w:r w:rsidRPr="00595243">
        <w:rPr>
          <w:rFonts w:cs="Calibri"/>
          <w:b/>
          <w:bCs/>
        </w:rPr>
        <w:t xml:space="preserve">: </w:t>
      </w:r>
      <w:r w:rsidRPr="00595243">
        <w:rPr>
          <w:rFonts w:cs="Calibri"/>
        </w:rPr>
        <w:t>The FRL for percent in-compliance for safety is +/- 20% of 32.83%.  The New Jersey State Plan’s percent in-compliance for safety was 21.79 % which was below the FRL</w:t>
      </w:r>
      <w:r w:rsidR="006D5011" w:rsidRPr="00595243">
        <w:rPr>
          <w:rFonts w:cs="Calibri"/>
        </w:rPr>
        <w:t xml:space="preserve"> and outside the acceptable range of 26.27% to 39.40%</w:t>
      </w:r>
      <w:r w:rsidRPr="00595243">
        <w:rPr>
          <w:rFonts w:cs="Calibri"/>
        </w:rPr>
        <w:t>.</w:t>
      </w:r>
    </w:p>
    <w:p w14:paraId="4215C816" w14:textId="77777777" w:rsidR="006D5011" w:rsidRPr="00595243" w:rsidRDefault="006D5011" w:rsidP="00803B36">
      <w:pPr>
        <w:kinsoku w:val="0"/>
        <w:overflowPunct w:val="0"/>
        <w:spacing w:before="1"/>
        <w:rPr>
          <w:rFonts w:cs="Calibri"/>
          <w:b/>
          <w:bCs/>
        </w:rPr>
      </w:pPr>
    </w:p>
    <w:p w14:paraId="7988BF4A" w14:textId="54E95750" w:rsidR="006D5011" w:rsidRDefault="006D5011" w:rsidP="00803B36">
      <w:pPr>
        <w:kinsoku w:val="0"/>
        <w:overflowPunct w:val="0"/>
        <w:spacing w:before="1"/>
        <w:rPr>
          <w:rFonts w:cs="Calibri"/>
          <w:b/>
          <w:bCs/>
        </w:rPr>
      </w:pPr>
      <w:r w:rsidRPr="00AE4F3D">
        <w:rPr>
          <w:rFonts w:cs="Calibri"/>
          <w:b/>
          <w:bCs/>
        </w:rPr>
        <w:t>Explanation</w:t>
      </w:r>
      <w:r w:rsidRPr="00595243">
        <w:rPr>
          <w:rFonts w:cs="Calibri"/>
          <w:b/>
          <w:bCs/>
        </w:rPr>
        <w:t>:</w:t>
      </w:r>
      <w:r>
        <w:rPr>
          <w:rFonts w:cs="Calibri"/>
          <w:b/>
          <w:bCs/>
        </w:rPr>
        <w:t xml:space="preserve"> </w:t>
      </w:r>
      <w:r w:rsidRPr="00D61DDA">
        <w:rPr>
          <w:rFonts w:cs="Calibri"/>
        </w:rPr>
        <w:t>The percent in-compliance for safety was below the FRL. This indicated that the</w:t>
      </w:r>
      <w:r w:rsidR="0054681A" w:rsidRPr="00D61DDA">
        <w:rPr>
          <w:rFonts w:cs="Calibri"/>
        </w:rPr>
        <w:t xml:space="preserve"> percentage of in-compliance inspections being issued by the </w:t>
      </w:r>
      <w:r w:rsidRPr="00D61DDA">
        <w:rPr>
          <w:rFonts w:cs="Calibri"/>
        </w:rPr>
        <w:t xml:space="preserve">New Jersey State Plan </w:t>
      </w:r>
      <w:r w:rsidR="0054681A" w:rsidRPr="00D61DDA">
        <w:rPr>
          <w:rFonts w:cs="Calibri"/>
        </w:rPr>
        <w:t>was less</w:t>
      </w:r>
      <w:r w:rsidRPr="00D61DDA">
        <w:rPr>
          <w:rFonts w:cs="Calibri"/>
        </w:rPr>
        <w:t xml:space="preserve"> </w:t>
      </w:r>
      <w:r w:rsidR="0054681A" w:rsidRPr="00D61DDA">
        <w:rPr>
          <w:rFonts w:cs="Calibri"/>
        </w:rPr>
        <w:t>t</w:t>
      </w:r>
      <w:r w:rsidRPr="00D61DDA">
        <w:rPr>
          <w:rFonts w:cs="Calibri"/>
        </w:rPr>
        <w:t>han the FRL</w:t>
      </w:r>
      <w:r w:rsidR="009C30BC" w:rsidRPr="00D61DDA">
        <w:rPr>
          <w:rFonts w:cs="Calibri"/>
        </w:rPr>
        <w:t xml:space="preserve"> which was a</w:t>
      </w:r>
      <w:r w:rsidR="0054681A" w:rsidRPr="00D61DDA">
        <w:rPr>
          <w:rFonts w:cs="Calibri"/>
        </w:rPr>
        <w:t xml:space="preserve"> positive outcome</w:t>
      </w:r>
      <w:r w:rsidRPr="00D61DDA">
        <w:rPr>
          <w:rFonts w:cs="Calibri"/>
        </w:rPr>
        <w:t>.</w:t>
      </w:r>
    </w:p>
    <w:p w14:paraId="7844AB86" w14:textId="77777777" w:rsidR="006D5011" w:rsidRDefault="006D5011" w:rsidP="00803B36">
      <w:pPr>
        <w:kinsoku w:val="0"/>
        <w:overflowPunct w:val="0"/>
        <w:spacing w:before="1"/>
        <w:rPr>
          <w:rFonts w:cs="Calibri"/>
          <w:b/>
          <w:bCs/>
        </w:rPr>
      </w:pPr>
    </w:p>
    <w:p w14:paraId="7EB2A469" w14:textId="07B22899" w:rsidR="006D5011" w:rsidRDefault="006D5011" w:rsidP="00803B36">
      <w:pPr>
        <w:kinsoku w:val="0"/>
        <w:overflowPunct w:val="0"/>
        <w:spacing w:before="1"/>
        <w:rPr>
          <w:rFonts w:cs="Calibri"/>
          <w:b/>
          <w:bCs/>
        </w:rPr>
      </w:pPr>
      <w:r>
        <w:rPr>
          <w:rFonts w:cs="Calibri"/>
          <w:b/>
          <w:bCs/>
        </w:rPr>
        <w:t>SAMM 9b-Percent In-Compliance (</w:t>
      </w:r>
      <w:r w:rsidR="00724392">
        <w:rPr>
          <w:rFonts w:cs="Calibri"/>
          <w:b/>
          <w:bCs/>
        </w:rPr>
        <w:t>H</w:t>
      </w:r>
      <w:r>
        <w:rPr>
          <w:rFonts w:cs="Calibri"/>
          <w:b/>
          <w:bCs/>
        </w:rPr>
        <w:t>ealth)</w:t>
      </w:r>
    </w:p>
    <w:p w14:paraId="13BBD320" w14:textId="77777777" w:rsidR="006D5011" w:rsidRDefault="006D5011" w:rsidP="00803B36">
      <w:pPr>
        <w:kinsoku w:val="0"/>
        <w:overflowPunct w:val="0"/>
        <w:spacing w:before="1"/>
        <w:rPr>
          <w:rFonts w:cs="Calibri"/>
          <w:b/>
          <w:bCs/>
        </w:rPr>
      </w:pPr>
    </w:p>
    <w:p w14:paraId="199FA7BF" w14:textId="17E53217" w:rsidR="006D5011" w:rsidRPr="00D61DDA" w:rsidRDefault="006D5011" w:rsidP="00803B36">
      <w:pPr>
        <w:kinsoku w:val="0"/>
        <w:overflowPunct w:val="0"/>
        <w:spacing w:before="1"/>
        <w:rPr>
          <w:rFonts w:cs="Calibri"/>
        </w:rPr>
      </w:pPr>
      <w:r w:rsidRPr="00AE4F3D">
        <w:rPr>
          <w:rFonts w:cs="Calibri"/>
          <w:b/>
          <w:bCs/>
        </w:rPr>
        <w:t>Discussion of State Plan Data and FRL</w:t>
      </w:r>
      <w:r w:rsidRPr="00595243">
        <w:rPr>
          <w:rFonts w:cs="Calibri"/>
          <w:b/>
          <w:bCs/>
        </w:rPr>
        <w:t>:</w:t>
      </w:r>
      <w:r w:rsidRPr="006D5011">
        <w:rPr>
          <w:rFonts w:cs="Calibri"/>
          <w:b/>
          <w:bCs/>
        </w:rPr>
        <w:t xml:space="preserve"> </w:t>
      </w:r>
      <w:r w:rsidRPr="00D61DDA">
        <w:rPr>
          <w:rFonts w:cs="Calibri"/>
        </w:rPr>
        <w:t xml:space="preserve">The FRL for percent in-compliance for </w:t>
      </w:r>
      <w:r w:rsidR="0054681A" w:rsidRPr="00D61DDA">
        <w:rPr>
          <w:rFonts w:cs="Calibri"/>
        </w:rPr>
        <w:t>health</w:t>
      </w:r>
      <w:r w:rsidRPr="00D61DDA">
        <w:rPr>
          <w:rFonts w:cs="Calibri"/>
        </w:rPr>
        <w:t xml:space="preserve"> is +/- 20% of </w:t>
      </w:r>
      <w:r w:rsidR="0054681A" w:rsidRPr="00D61DDA">
        <w:rPr>
          <w:rFonts w:cs="Calibri"/>
        </w:rPr>
        <w:t>44.18</w:t>
      </w:r>
      <w:r w:rsidRPr="00D61DDA">
        <w:rPr>
          <w:rFonts w:cs="Calibri"/>
        </w:rPr>
        <w:t xml:space="preserve">%.  The New Jersey State Plan’s percent in-compliance for </w:t>
      </w:r>
      <w:r w:rsidR="0054681A" w:rsidRPr="00D61DDA">
        <w:rPr>
          <w:rFonts w:cs="Calibri"/>
        </w:rPr>
        <w:t>health</w:t>
      </w:r>
      <w:r w:rsidRPr="00D61DDA">
        <w:rPr>
          <w:rFonts w:cs="Calibri"/>
        </w:rPr>
        <w:t xml:space="preserve"> was </w:t>
      </w:r>
      <w:r w:rsidR="0054681A" w:rsidRPr="00D61DDA">
        <w:rPr>
          <w:rFonts w:cs="Calibri"/>
        </w:rPr>
        <w:t>22.73%</w:t>
      </w:r>
      <w:r w:rsidRPr="00D61DDA">
        <w:rPr>
          <w:rFonts w:cs="Calibri"/>
        </w:rPr>
        <w:t xml:space="preserve"> which was below the FRL and outside the acceptable range of </w:t>
      </w:r>
      <w:r w:rsidR="0054681A" w:rsidRPr="00D61DDA">
        <w:rPr>
          <w:rFonts w:cs="Calibri"/>
        </w:rPr>
        <w:t>35.34</w:t>
      </w:r>
      <w:r w:rsidRPr="00D61DDA">
        <w:rPr>
          <w:rFonts w:cs="Calibri"/>
        </w:rPr>
        <w:t xml:space="preserve">% to </w:t>
      </w:r>
      <w:r w:rsidR="0054681A" w:rsidRPr="00D61DDA">
        <w:rPr>
          <w:rFonts w:cs="Calibri"/>
        </w:rPr>
        <w:t>53.01</w:t>
      </w:r>
      <w:r w:rsidRPr="00D61DDA">
        <w:rPr>
          <w:rFonts w:cs="Calibri"/>
        </w:rPr>
        <w:t>%.</w:t>
      </w:r>
      <w:r w:rsidR="008D5490" w:rsidRPr="00D61DDA">
        <w:rPr>
          <w:rFonts w:cs="Calibri"/>
        </w:rPr>
        <w:t xml:space="preserve"> </w:t>
      </w:r>
    </w:p>
    <w:p w14:paraId="3E8A53F7" w14:textId="77777777" w:rsidR="006D5011" w:rsidRDefault="006D5011" w:rsidP="00803B36">
      <w:pPr>
        <w:kinsoku w:val="0"/>
        <w:overflowPunct w:val="0"/>
        <w:spacing w:before="1"/>
        <w:rPr>
          <w:rFonts w:cs="Calibri"/>
          <w:b/>
          <w:bCs/>
        </w:rPr>
      </w:pPr>
    </w:p>
    <w:p w14:paraId="3082C6D8" w14:textId="44C3DC04" w:rsidR="008D5490" w:rsidRDefault="006D5011" w:rsidP="00803B36">
      <w:pPr>
        <w:kinsoku w:val="0"/>
        <w:overflowPunct w:val="0"/>
        <w:spacing w:before="1"/>
        <w:rPr>
          <w:rFonts w:cs="Calibri"/>
          <w:b/>
          <w:bCs/>
        </w:rPr>
      </w:pPr>
      <w:r w:rsidRPr="00AE4F3D">
        <w:rPr>
          <w:rFonts w:cs="Calibri"/>
          <w:b/>
          <w:bCs/>
        </w:rPr>
        <w:t>Explanation</w:t>
      </w:r>
      <w:r w:rsidRPr="00595243">
        <w:rPr>
          <w:rFonts w:cs="Calibri"/>
          <w:b/>
          <w:bCs/>
        </w:rPr>
        <w:t>:</w:t>
      </w:r>
      <w:r w:rsidRPr="00172D34">
        <w:rPr>
          <w:rFonts w:cs="Calibri"/>
          <w:b/>
          <w:bCs/>
        </w:rPr>
        <w:t xml:space="preserve"> </w:t>
      </w:r>
      <w:r w:rsidRPr="00D61DDA">
        <w:rPr>
          <w:rFonts w:cs="Calibri"/>
        </w:rPr>
        <w:t>The percent in-compliance for health was below the FRL. This indicated that the</w:t>
      </w:r>
      <w:r w:rsidR="0054681A" w:rsidRPr="00D61DDA">
        <w:rPr>
          <w:rFonts w:cs="Calibri"/>
        </w:rPr>
        <w:t xml:space="preserve"> percentage of in-compliance inspections being issued by the</w:t>
      </w:r>
      <w:r w:rsidRPr="00D61DDA">
        <w:rPr>
          <w:rFonts w:cs="Calibri"/>
        </w:rPr>
        <w:t xml:space="preserve"> New Jersey State Plan was less than the FRL</w:t>
      </w:r>
      <w:r w:rsidR="009C30BC" w:rsidRPr="00D61DDA">
        <w:rPr>
          <w:rFonts w:cs="Calibri"/>
        </w:rPr>
        <w:t xml:space="preserve"> which was a positive outcome.</w:t>
      </w:r>
    </w:p>
    <w:p w14:paraId="38DE93EF" w14:textId="77777777" w:rsidR="0054681A" w:rsidRDefault="0054681A" w:rsidP="00803B36">
      <w:pPr>
        <w:kinsoku w:val="0"/>
        <w:overflowPunct w:val="0"/>
        <w:spacing w:before="1"/>
        <w:rPr>
          <w:rFonts w:cs="Calibri"/>
          <w:b/>
          <w:bCs/>
        </w:rPr>
      </w:pPr>
    </w:p>
    <w:p w14:paraId="3458CFE4" w14:textId="1C3EC808" w:rsidR="0054681A" w:rsidRDefault="0054681A" w:rsidP="00803B36">
      <w:pPr>
        <w:kinsoku w:val="0"/>
        <w:overflowPunct w:val="0"/>
        <w:spacing w:before="1"/>
        <w:rPr>
          <w:rFonts w:cs="Calibri"/>
          <w:b/>
          <w:bCs/>
        </w:rPr>
      </w:pPr>
      <w:r>
        <w:rPr>
          <w:rFonts w:cs="Calibri"/>
          <w:b/>
          <w:bCs/>
        </w:rPr>
        <w:t>SAMM 11a-Average Lapse Time (</w:t>
      </w:r>
      <w:r w:rsidR="00724392">
        <w:rPr>
          <w:rFonts w:cs="Calibri"/>
          <w:b/>
          <w:bCs/>
        </w:rPr>
        <w:t>S</w:t>
      </w:r>
      <w:r>
        <w:rPr>
          <w:rFonts w:cs="Calibri"/>
          <w:b/>
          <w:bCs/>
        </w:rPr>
        <w:t>afety)</w:t>
      </w:r>
    </w:p>
    <w:p w14:paraId="3ECD459D" w14:textId="77777777" w:rsidR="0054681A" w:rsidRDefault="0054681A" w:rsidP="00803B36">
      <w:pPr>
        <w:kinsoku w:val="0"/>
        <w:overflowPunct w:val="0"/>
        <w:spacing w:before="1"/>
        <w:rPr>
          <w:rFonts w:cs="Calibri"/>
          <w:b/>
          <w:bCs/>
        </w:rPr>
      </w:pPr>
    </w:p>
    <w:p w14:paraId="65A10AD4" w14:textId="77777777" w:rsidR="009C30BC" w:rsidRPr="00D61DDA" w:rsidRDefault="0054681A" w:rsidP="00803B36">
      <w:pPr>
        <w:kinsoku w:val="0"/>
        <w:overflowPunct w:val="0"/>
        <w:spacing w:before="1"/>
        <w:rPr>
          <w:rFonts w:cs="Calibri"/>
        </w:rPr>
      </w:pPr>
      <w:r w:rsidRPr="00AE4F3D">
        <w:rPr>
          <w:rFonts w:cs="Calibri"/>
          <w:b/>
          <w:bCs/>
        </w:rPr>
        <w:t>Discussion of State Plan Data and FRL</w:t>
      </w:r>
      <w:r w:rsidRPr="00595243">
        <w:rPr>
          <w:rFonts w:cs="Calibri"/>
          <w:b/>
          <w:bCs/>
        </w:rPr>
        <w:t>:</w:t>
      </w:r>
      <w:r>
        <w:rPr>
          <w:rFonts w:cs="Calibri"/>
          <w:b/>
          <w:bCs/>
        </w:rPr>
        <w:t xml:space="preserve"> </w:t>
      </w:r>
      <w:r w:rsidRPr="00D61DDA">
        <w:rPr>
          <w:rFonts w:cs="Calibri"/>
        </w:rPr>
        <w:t xml:space="preserve">The FRL for average lapse time for safety is +/-20% of 56.02 workdays. The New Jersey State Plan’s average lapse time for safety was 12.51 workdays </w:t>
      </w:r>
      <w:r w:rsidRPr="00D61DDA">
        <w:rPr>
          <w:rFonts w:cs="Calibri"/>
        </w:rPr>
        <w:lastRenderedPageBreak/>
        <w:t xml:space="preserve">which was below the FRL and outside the acceptable range of </w:t>
      </w:r>
      <w:r w:rsidR="009C30BC" w:rsidRPr="00D61DDA">
        <w:rPr>
          <w:rFonts w:cs="Calibri"/>
        </w:rPr>
        <w:t>44.82 to 67.23 workdays.</w:t>
      </w:r>
    </w:p>
    <w:p w14:paraId="5F997E5B" w14:textId="77777777" w:rsidR="009C30BC" w:rsidRDefault="009C30BC" w:rsidP="00803B36">
      <w:pPr>
        <w:kinsoku w:val="0"/>
        <w:overflowPunct w:val="0"/>
        <w:spacing w:before="1"/>
        <w:rPr>
          <w:rFonts w:cs="Calibri"/>
          <w:b/>
          <w:bCs/>
        </w:rPr>
      </w:pPr>
    </w:p>
    <w:p w14:paraId="677A7EA1" w14:textId="6BBE666E" w:rsidR="0054681A" w:rsidRPr="00D61DDA" w:rsidRDefault="009C30BC" w:rsidP="00803B36">
      <w:pPr>
        <w:kinsoku w:val="0"/>
        <w:overflowPunct w:val="0"/>
        <w:spacing w:before="1"/>
        <w:rPr>
          <w:rFonts w:cs="Calibri"/>
        </w:rPr>
      </w:pPr>
      <w:r w:rsidRPr="00AE4F3D">
        <w:rPr>
          <w:rFonts w:cs="Calibri"/>
          <w:b/>
          <w:bCs/>
        </w:rPr>
        <w:t>Explanation</w:t>
      </w:r>
      <w:r w:rsidRPr="00595243">
        <w:rPr>
          <w:rFonts w:cs="Calibri"/>
          <w:b/>
          <w:bCs/>
        </w:rPr>
        <w:t>:</w:t>
      </w:r>
      <w:r>
        <w:rPr>
          <w:rFonts w:cs="Calibri"/>
          <w:b/>
          <w:bCs/>
        </w:rPr>
        <w:t xml:space="preserve"> </w:t>
      </w:r>
      <w:r w:rsidRPr="00D61DDA">
        <w:rPr>
          <w:rFonts w:cs="Calibri"/>
        </w:rPr>
        <w:t xml:space="preserve">The average lapse time for safety was considerably below the FRL. This indicated that safety inspection files on average were being completed in considerably less time than the FRL of 56.02 workdays.    </w:t>
      </w:r>
    </w:p>
    <w:p w14:paraId="1DC711DF" w14:textId="77777777" w:rsidR="00144F64" w:rsidRDefault="00144F64" w:rsidP="00803B36">
      <w:pPr>
        <w:kinsoku w:val="0"/>
        <w:overflowPunct w:val="0"/>
        <w:spacing w:before="1"/>
        <w:rPr>
          <w:rFonts w:cs="Calibri"/>
          <w:b/>
          <w:bCs/>
        </w:rPr>
      </w:pPr>
    </w:p>
    <w:p w14:paraId="22E8C7CF" w14:textId="0951727D" w:rsidR="00144F64" w:rsidRDefault="00144F64" w:rsidP="00803B36">
      <w:pPr>
        <w:kinsoku w:val="0"/>
        <w:overflowPunct w:val="0"/>
        <w:spacing w:before="1"/>
        <w:rPr>
          <w:rFonts w:cs="Calibri"/>
          <w:b/>
          <w:bCs/>
        </w:rPr>
      </w:pPr>
      <w:r>
        <w:rPr>
          <w:rFonts w:cs="Calibri"/>
          <w:b/>
          <w:bCs/>
        </w:rPr>
        <w:t>SAMM</w:t>
      </w:r>
      <w:r w:rsidR="000C7862">
        <w:rPr>
          <w:rFonts w:cs="Calibri"/>
          <w:b/>
          <w:bCs/>
        </w:rPr>
        <w:t xml:space="preserve"> 11b-Average Lapse Time (</w:t>
      </w:r>
      <w:r w:rsidR="00595243">
        <w:rPr>
          <w:rFonts w:cs="Calibri"/>
          <w:b/>
          <w:bCs/>
        </w:rPr>
        <w:t>H</w:t>
      </w:r>
      <w:r w:rsidR="000C7862">
        <w:rPr>
          <w:rFonts w:cs="Calibri"/>
          <w:b/>
          <w:bCs/>
        </w:rPr>
        <w:t>ealth)</w:t>
      </w:r>
    </w:p>
    <w:p w14:paraId="2F2E056C" w14:textId="77777777" w:rsidR="000C7862" w:rsidRPr="00595243" w:rsidRDefault="000C7862" w:rsidP="00803B36">
      <w:pPr>
        <w:kinsoku w:val="0"/>
        <w:overflowPunct w:val="0"/>
        <w:spacing w:before="1"/>
        <w:rPr>
          <w:rFonts w:cs="Calibri"/>
          <w:b/>
          <w:bCs/>
        </w:rPr>
      </w:pPr>
    </w:p>
    <w:p w14:paraId="7C29218F" w14:textId="73D5C847" w:rsidR="000C7862" w:rsidRDefault="000C7862" w:rsidP="000C7862">
      <w:pPr>
        <w:rPr>
          <w:rFonts w:cs="Calibri"/>
          <w:iCs/>
        </w:rPr>
      </w:pPr>
      <w:r w:rsidRPr="00AE4F3D">
        <w:rPr>
          <w:rFonts w:cs="Calibri"/>
          <w:b/>
          <w:bCs/>
        </w:rPr>
        <w:t>Discussion of State Plan Data and FRL</w:t>
      </w:r>
      <w:r w:rsidRPr="00595243">
        <w:rPr>
          <w:rFonts w:cs="Calibri"/>
          <w:b/>
          <w:bCs/>
        </w:rPr>
        <w:t>:</w:t>
      </w:r>
      <w:r>
        <w:rPr>
          <w:rFonts w:cs="Calibri"/>
          <w:b/>
          <w:bCs/>
        </w:rPr>
        <w:t xml:space="preserve"> </w:t>
      </w:r>
      <w:r w:rsidRPr="00922455">
        <w:rPr>
          <w:rFonts w:cs="Calibri"/>
          <w:iCs/>
        </w:rPr>
        <w:t xml:space="preserve">The FRL for SAMM 11b, average health lapse time is +/- 20% of 67.21 which is based on a three-year national average. </w:t>
      </w:r>
      <w:r>
        <w:rPr>
          <w:rFonts w:cs="Calibri"/>
          <w:iCs/>
        </w:rPr>
        <w:t xml:space="preserve"> </w:t>
      </w:r>
      <w:r w:rsidRPr="00922455">
        <w:rPr>
          <w:rFonts w:cs="Calibri"/>
          <w:iCs/>
        </w:rPr>
        <w:t xml:space="preserve">The range of acceptable data not requiring further review is from 53.77 to 80.65. </w:t>
      </w:r>
      <w:r>
        <w:rPr>
          <w:rFonts w:cs="Calibri"/>
          <w:iCs/>
        </w:rPr>
        <w:t xml:space="preserve"> </w:t>
      </w:r>
      <w:r w:rsidRPr="00922455">
        <w:rPr>
          <w:rFonts w:cs="Calibri"/>
          <w:iCs/>
        </w:rPr>
        <w:t xml:space="preserve">The </w:t>
      </w:r>
      <w:r>
        <w:rPr>
          <w:rFonts w:cs="Calibri"/>
          <w:iCs/>
        </w:rPr>
        <w:t>New Jersey</w:t>
      </w:r>
      <w:r w:rsidRPr="00922455">
        <w:rPr>
          <w:rFonts w:cs="Calibri"/>
          <w:iCs/>
        </w:rPr>
        <w:t xml:space="preserve"> State Plan’s average </w:t>
      </w:r>
      <w:r>
        <w:rPr>
          <w:rFonts w:cs="Calibri"/>
          <w:iCs/>
        </w:rPr>
        <w:t>health</w:t>
      </w:r>
      <w:r w:rsidRPr="00922455">
        <w:rPr>
          <w:rFonts w:cs="Calibri"/>
          <w:iCs/>
        </w:rPr>
        <w:t xml:space="preserve"> lapse time is at 8</w:t>
      </w:r>
      <w:r>
        <w:rPr>
          <w:rFonts w:cs="Calibri"/>
          <w:iCs/>
        </w:rPr>
        <w:t>8.31</w:t>
      </w:r>
      <w:r w:rsidRPr="00922455">
        <w:rPr>
          <w:rFonts w:cs="Calibri"/>
          <w:iCs/>
        </w:rPr>
        <w:t xml:space="preserve"> which is above the FRL</w:t>
      </w:r>
      <w:r w:rsidR="0037297D">
        <w:rPr>
          <w:rFonts w:cs="Calibri"/>
          <w:iCs/>
        </w:rPr>
        <w:t>.</w:t>
      </w:r>
    </w:p>
    <w:p w14:paraId="70D4318B" w14:textId="77777777" w:rsidR="0037297D" w:rsidRDefault="0037297D" w:rsidP="000C7862">
      <w:pPr>
        <w:rPr>
          <w:rFonts w:cs="Calibri"/>
          <w:iCs/>
        </w:rPr>
      </w:pPr>
    </w:p>
    <w:p w14:paraId="4DD4CBB7" w14:textId="7EB65C09" w:rsidR="000C7862" w:rsidRPr="0037297D" w:rsidRDefault="0037297D" w:rsidP="0037297D">
      <w:pPr>
        <w:rPr>
          <w:rFonts w:cs="Calibri"/>
          <w:iCs/>
        </w:rPr>
        <w:sectPr w:rsidR="000C7862" w:rsidRPr="0037297D" w:rsidSect="00AE4F3D">
          <w:footerReference w:type="default" r:id="rId10"/>
          <w:footerReference w:type="first" r:id="rId11"/>
          <w:pgSz w:w="12240" w:h="15840"/>
          <w:pgMar w:top="1440" w:right="1260" w:bottom="1260" w:left="1440" w:header="720" w:footer="376" w:gutter="0"/>
          <w:pgNumType w:start="1"/>
          <w:cols w:space="720"/>
          <w:titlePg/>
          <w:docGrid w:linePitch="360"/>
        </w:sectPr>
      </w:pPr>
      <w:r w:rsidRPr="00AE4F3D">
        <w:rPr>
          <w:rFonts w:cs="Calibri"/>
          <w:b/>
          <w:bCs/>
          <w:iCs/>
        </w:rPr>
        <w:t>Explanation:</w:t>
      </w:r>
      <w:r>
        <w:rPr>
          <w:rFonts w:cs="Calibri"/>
          <w:iCs/>
        </w:rPr>
        <w:t xml:space="preserve"> </w:t>
      </w:r>
      <w:r w:rsidRPr="0037297D">
        <w:rPr>
          <w:rFonts w:cs="Calibri"/>
          <w:iCs/>
        </w:rPr>
        <w:t xml:space="preserve">See </w:t>
      </w:r>
      <w:r w:rsidRPr="0037297D">
        <w:rPr>
          <w:rFonts w:cs="Calibri"/>
        </w:rPr>
        <w:t>Observation FY 2024-OB-10</w:t>
      </w:r>
      <w:r w:rsidR="00595243">
        <w:rPr>
          <w:rFonts w:cs="Calibri"/>
        </w:rPr>
        <w:t>.</w:t>
      </w:r>
    </w:p>
    <w:p w14:paraId="516D3ECD" w14:textId="1632F758" w:rsidR="00B6741C" w:rsidRPr="0002572C" w:rsidRDefault="00B6741C" w:rsidP="000F63C1">
      <w:pPr>
        <w:pStyle w:val="Heading3"/>
        <w:numPr>
          <w:ilvl w:val="0"/>
          <w:numId w:val="0"/>
        </w:numPr>
      </w:pPr>
      <w:bookmarkStart w:id="35" w:name="_Toc118905017"/>
      <w:bookmarkStart w:id="36" w:name="_Toc119418669"/>
      <w:r w:rsidRPr="0002572C">
        <w:lastRenderedPageBreak/>
        <w:t>Appendix A – New and Continued Findings and Recommendations</w:t>
      </w:r>
      <w:bookmarkEnd w:id="35"/>
      <w:bookmarkEnd w:id="36"/>
    </w:p>
    <w:p w14:paraId="670F195C" w14:textId="5AA170C0" w:rsidR="00B6741C" w:rsidRDefault="00B6741C" w:rsidP="00B6741C">
      <w:r>
        <w:t>FY 202</w:t>
      </w:r>
      <w:r w:rsidR="00075310">
        <w:t>4</w:t>
      </w:r>
      <w:r>
        <w:t xml:space="preserve"> </w:t>
      </w:r>
      <w:r w:rsidR="004F199D">
        <w:t>NJ PEOSH</w:t>
      </w:r>
      <w:r w:rsidRPr="00476C08">
        <w:rPr>
          <w:color w:val="0070C0"/>
        </w:rPr>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0F7563B8" w:rsidR="000A134A" w:rsidRPr="00DA2299" w:rsidRDefault="000A134A" w:rsidP="00111494">
            <w:pPr>
              <w:widowControl/>
              <w:autoSpaceDE/>
              <w:autoSpaceDN/>
              <w:adjustRightInd/>
              <w:rPr>
                <w:rFonts w:cs="Calibri"/>
                <w:b/>
              </w:rPr>
            </w:pPr>
            <w:bookmarkStart w:id="37" w:name="_Hlk134620090"/>
            <w:r w:rsidRPr="00DA2299">
              <w:rPr>
                <w:rFonts w:cs="Calibri"/>
                <w:b/>
              </w:rPr>
              <w:t xml:space="preserve">FY </w:t>
            </w:r>
            <w:r w:rsidR="00DC4A62" w:rsidRPr="00DA2299">
              <w:rPr>
                <w:rFonts w:cs="Calibri"/>
                <w:b/>
              </w:rPr>
              <w:t>20</w:t>
            </w:r>
            <w:r w:rsidR="00277345" w:rsidRPr="00DA2299">
              <w:rPr>
                <w:rFonts w:cs="Calibri"/>
                <w:b/>
              </w:rPr>
              <w:t>2</w:t>
            </w:r>
            <w:r w:rsidR="00075310">
              <w:rPr>
                <w:rFonts w:cs="Calibri"/>
                <w:b/>
              </w:rPr>
              <w:t>4</w:t>
            </w:r>
            <w:r w:rsidRPr="00DA2299">
              <w:rPr>
                <w:rFonts w:cs="Calibri"/>
                <w:b/>
              </w:rPr>
              <w:t>-</w:t>
            </w:r>
            <w:r w:rsidR="00BB0343" w:rsidRPr="00DA2299">
              <w:rPr>
                <w:rFonts w:cs="Calibri"/>
                <w:b/>
              </w:rPr>
              <w:t>#</w:t>
            </w:r>
          </w:p>
        </w:tc>
        <w:tc>
          <w:tcPr>
            <w:tcW w:w="4721" w:type="dxa"/>
          </w:tcPr>
          <w:p w14:paraId="0C140B4B" w14:textId="77777777" w:rsidR="000A134A" w:rsidRPr="00DA2299" w:rsidRDefault="000A134A" w:rsidP="00111494">
            <w:pPr>
              <w:widowControl/>
              <w:autoSpaceDE/>
              <w:autoSpaceDN/>
              <w:adjustRightInd/>
              <w:rPr>
                <w:rFonts w:cs="Calibri"/>
                <w:b/>
              </w:rPr>
            </w:pPr>
            <w:r w:rsidRPr="00DA2299">
              <w:rPr>
                <w:rFonts w:cs="Calibri"/>
                <w:b/>
              </w:rPr>
              <w:t>Finding</w:t>
            </w:r>
          </w:p>
        </w:tc>
        <w:tc>
          <w:tcPr>
            <w:tcW w:w="4819" w:type="dxa"/>
          </w:tcPr>
          <w:p w14:paraId="7801EA8C" w14:textId="77777777" w:rsidR="000A134A" w:rsidRPr="00DA2299" w:rsidRDefault="000A134A" w:rsidP="00111494">
            <w:pPr>
              <w:widowControl/>
              <w:autoSpaceDE/>
              <w:autoSpaceDN/>
              <w:adjustRightInd/>
              <w:rPr>
                <w:rFonts w:cs="Calibri"/>
                <w:b/>
              </w:rPr>
            </w:pPr>
            <w:r w:rsidRPr="00DA2299">
              <w:rPr>
                <w:rFonts w:cs="Calibri"/>
                <w:b/>
              </w:rPr>
              <w:t>Recommendation</w:t>
            </w:r>
          </w:p>
        </w:tc>
        <w:tc>
          <w:tcPr>
            <w:tcW w:w="1890" w:type="dxa"/>
          </w:tcPr>
          <w:p w14:paraId="7C9006CD" w14:textId="20292464" w:rsidR="00BB0343" w:rsidRPr="001C1E47" w:rsidRDefault="00BB0343" w:rsidP="00111494">
            <w:pPr>
              <w:widowControl/>
              <w:autoSpaceDE/>
              <w:autoSpaceDN/>
              <w:adjustRightInd/>
              <w:ind w:left="-20"/>
              <w:rPr>
                <w:rFonts w:cs="Calibri"/>
                <w:b/>
              </w:rPr>
            </w:pPr>
            <w:r w:rsidRPr="001C1E47">
              <w:rPr>
                <w:rFonts w:cs="Calibri"/>
                <w:b/>
              </w:rPr>
              <w:t xml:space="preserve">FY </w:t>
            </w:r>
            <w:r w:rsidR="00DC4A62" w:rsidRPr="001C1E47">
              <w:rPr>
                <w:rFonts w:cs="Calibri"/>
                <w:b/>
              </w:rPr>
              <w:t>20</w:t>
            </w:r>
            <w:r w:rsidR="00277345">
              <w:rPr>
                <w:rFonts w:cs="Calibri"/>
                <w:b/>
              </w:rPr>
              <w:t>2</w:t>
            </w:r>
            <w:r w:rsidR="00075310">
              <w:rPr>
                <w:rFonts w:cs="Calibri"/>
                <w:b/>
              </w:rPr>
              <w:t>3</w:t>
            </w:r>
            <w:r w:rsidRPr="001C1E47">
              <w:rPr>
                <w:rFonts w:cs="Calibri"/>
                <w:b/>
              </w:rPr>
              <w:t xml:space="preserve">-# or </w:t>
            </w:r>
          </w:p>
          <w:p w14:paraId="3C61CFBF" w14:textId="0E15307E" w:rsidR="000A134A" w:rsidRPr="001C1E47" w:rsidRDefault="00BB0343" w:rsidP="00111494">
            <w:pPr>
              <w:widowControl/>
              <w:autoSpaceDE/>
              <w:autoSpaceDN/>
              <w:adjustRightInd/>
              <w:rPr>
                <w:rFonts w:cs="Calibri"/>
                <w:b/>
              </w:rPr>
            </w:pPr>
            <w:r w:rsidRPr="001C1E47">
              <w:rPr>
                <w:rFonts w:cs="Calibri"/>
                <w:b/>
              </w:rPr>
              <w:t xml:space="preserve">FY </w:t>
            </w:r>
            <w:r w:rsidR="00DC4A62" w:rsidRPr="001C1E47">
              <w:rPr>
                <w:rFonts w:cs="Calibri"/>
                <w:b/>
              </w:rPr>
              <w:t>20</w:t>
            </w:r>
            <w:r w:rsidR="00277345">
              <w:rPr>
                <w:rFonts w:cs="Calibri"/>
                <w:b/>
              </w:rPr>
              <w:t>2</w:t>
            </w:r>
            <w:r w:rsidR="00075310">
              <w:rPr>
                <w:rFonts w:cs="Calibri"/>
                <w:b/>
              </w:rPr>
              <w:t>3</w:t>
            </w:r>
            <w:r w:rsidRPr="001C1E47">
              <w:rPr>
                <w:rFonts w:cs="Calibri"/>
                <w:b/>
              </w:rPr>
              <w:t>-OB-#</w:t>
            </w:r>
          </w:p>
        </w:tc>
      </w:tr>
      <w:bookmarkEnd w:id="37"/>
      <w:tr w:rsidR="00277345" w:rsidRPr="001C1E47" w14:paraId="103CA6F2" w14:textId="77777777" w:rsidTr="00185C7D">
        <w:tc>
          <w:tcPr>
            <w:tcW w:w="1440" w:type="dxa"/>
          </w:tcPr>
          <w:p w14:paraId="673AF147" w14:textId="04D6EEEA" w:rsidR="00277345" w:rsidRPr="00DA2299" w:rsidRDefault="00277345" w:rsidP="00277345">
            <w:pPr>
              <w:widowControl/>
              <w:autoSpaceDE/>
              <w:autoSpaceDN/>
              <w:adjustRightInd/>
              <w:rPr>
                <w:rFonts w:cs="Calibri"/>
              </w:rPr>
            </w:pPr>
            <w:r w:rsidRPr="00DA2299">
              <w:t>FY</w:t>
            </w:r>
            <w:r w:rsidRPr="00DA2299">
              <w:rPr>
                <w:spacing w:val="-4"/>
              </w:rPr>
              <w:t xml:space="preserve"> </w:t>
            </w:r>
            <w:r w:rsidRPr="00DA2299">
              <w:t>202</w:t>
            </w:r>
            <w:r w:rsidR="00EA72BE">
              <w:t>4</w:t>
            </w:r>
            <w:r w:rsidRPr="00DA2299">
              <w:t>-</w:t>
            </w:r>
            <w:r w:rsidRPr="00DA2299">
              <w:rPr>
                <w:spacing w:val="-5"/>
              </w:rPr>
              <w:t>01</w:t>
            </w:r>
          </w:p>
        </w:tc>
        <w:tc>
          <w:tcPr>
            <w:tcW w:w="4721" w:type="dxa"/>
          </w:tcPr>
          <w:p w14:paraId="7CDF3ACE" w14:textId="0C2800DB" w:rsidR="00724392" w:rsidRPr="00AE4F3D" w:rsidRDefault="00EA72BE" w:rsidP="00EA72BE">
            <w:pPr>
              <w:kinsoku w:val="0"/>
              <w:overflowPunct w:val="0"/>
              <w:rPr>
                <w:rFonts w:cs="Calibri"/>
                <w:b/>
                <w:bCs/>
              </w:rPr>
            </w:pPr>
            <w:r w:rsidRPr="00AE4F3D">
              <w:rPr>
                <w:rFonts w:cs="Calibri"/>
                <w:b/>
                <w:bCs/>
              </w:rPr>
              <w:t>Complain</w:t>
            </w:r>
            <w:r w:rsidR="00FE7F4D">
              <w:rPr>
                <w:rFonts w:cs="Calibri"/>
                <w:b/>
                <w:bCs/>
              </w:rPr>
              <w:t>ant</w:t>
            </w:r>
            <w:r w:rsidRPr="00AE4F3D">
              <w:rPr>
                <w:rFonts w:cs="Calibri"/>
                <w:b/>
                <w:bCs/>
              </w:rPr>
              <w:t xml:space="preserve"> Notification</w:t>
            </w:r>
          </w:p>
          <w:p w14:paraId="53C5489A" w14:textId="2EEA24CA" w:rsidR="00277345" w:rsidRPr="00DA2299" w:rsidRDefault="00EA72BE" w:rsidP="00EA72BE">
            <w:pPr>
              <w:kinsoku w:val="0"/>
              <w:overflowPunct w:val="0"/>
              <w:rPr>
                <w:rFonts w:cs="Calibri"/>
              </w:rPr>
            </w:pPr>
            <w:r>
              <w:rPr>
                <w:rFonts w:cs="Calibri"/>
                <w:i/>
                <w:iCs/>
              </w:rPr>
              <w:t xml:space="preserve"> </w:t>
            </w:r>
            <w:r w:rsidRPr="00EA72BE">
              <w:rPr>
                <w:rFonts w:cs="Calibri"/>
              </w:rPr>
              <w:t>The letter to the complainant at the conclusion of the inspection documenting the results of the inspection was missing in five of 16 (31%) of the complaint files reviewed</w:t>
            </w:r>
            <w:r w:rsidR="00591C96">
              <w:rPr>
                <w:rFonts w:cs="Calibri"/>
              </w:rPr>
              <w:t xml:space="preserve"> from FY 2023</w:t>
            </w:r>
            <w:r w:rsidRPr="00EA72BE">
              <w:rPr>
                <w:rFonts w:cs="Calibri"/>
              </w:rPr>
              <w:t>.</w:t>
            </w:r>
          </w:p>
        </w:tc>
        <w:tc>
          <w:tcPr>
            <w:tcW w:w="4819" w:type="dxa"/>
          </w:tcPr>
          <w:p w14:paraId="7375EF07" w14:textId="566E5D84" w:rsidR="00277345" w:rsidRPr="00DA2299" w:rsidRDefault="00EA72BE" w:rsidP="00277345">
            <w:pPr>
              <w:widowControl/>
              <w:autoSpaceDE/>
              <w:autoSpaceDN/>
              <w:adjustRightInd/>
              <w:rPr>
                <w:rFonts w:cs="Calibri"/>
              </w:rPr>
            </w:pPr>
            <w:r w:rsidRPr="00EA72BE">
              <w:rPr>
                <w:rFonts w:cs="Calibri"/>
              </w:rPr>
              <w:t>PEOSH needs to ensure that the complainant receives a letter at the conclusion of the inspection with all allegations addressed and a copy is maintained in the electronic file.</w:t>
            </w:r>
            <w:r w:rsidR="00671C39">
              <w:rPr>
                <w:rFonts w:cs="Calibri"/>
              </w:rPr>
              <w:t xml:space="preserve"> </w:t>
            </w:r>
            <w:r w:rsidR="00671C39" w:rsidRPr="00671C39">
              <w:rPr>
                <w:rFonts w:cs="Calibri"/>
              </w:rPr>
              <w:t>Corrective action complete, awaiting verification.</w:t>
            </w:r>
          </w:p>
        </w:tc>
        <w:tc>
          <w:tcPr>
            <w:tcW w:w="1890" w:type="dxa"/>
          </w:tcPr>
          <w:p w14:paraId="0DE911A1" w14:textId="77777777" w:rsidR="00277345" w:rsidRDefault="00EA72BE" w:rsidP="00277345">
            <w:pPr>
              <w:widowControl/>
              <w:autoSpaceDE/>
              <w:autoSpaceDN/>
              <w:adjustRightInd/>
              <w:rPr>
                <w:rFonts w:cs="Calibri"/>
              </w:rPr>
            </w:pPr>
            <w:r>
              <w:rPr>
                <w:rFonts w:cs="Calibri"/>
              </w:rPr>
              <w:t>FY 2023-01</w:t>
            </w:r>
          </w:p>
          <w:p w14:paraId="036C72AC" w14:textId="77777777" w:rsidR="00EA72BE" w:rsidRDefault="00EA72BE" w:rsidP="00277345">
            <w:pPr>
              <w:widowControl/>
              <w:autoSpaceDE/>
              <w:autoSpaceDN/>
              <w:adjustRightInd/>
              <w:rPr>
                <w:rFonts w:cs="Calibri"/>
              </w:rPr>
            </w:pPr>
            <w:r>
              <w:rPr>
                <w:rFonts w:cs="Calibri"/>
              </w:rPr>
              <w:t>FY 2022-02</w:t>
            </w:r>
          </w:p>
          <w:p w14:paraId="61ADA2C4" w14:textId="77777777" w:rsidR="00EA72BE" w:rsidRDefault="00EA72BE" w:rsidP="00277345">
            <w:pPr>
              <w:widowControl/>
              <w:autoSpaceDE/>
              <w:autoSpaceDN/>
              <w:adjustRightInd/>
              <w:rPr>
                <w:rFonts w:cs="Calibri"/>
              </w:rPr>
            </w:pPr>
            <w:r>
              <w:rPr>
                <w:rFonts w:cs="Calibri"/>
              </w:rPr>
              <w:t>FY 2021-01</w:t>
            </w:r>
          </w:p>
          <w:p w14:paraId="0D15ABC2" w14:textId="77777777" w:rsidR="00EA72BE" w:rsidRDefault="00EA72BE" w:rsidP="00277345">
            <w:pPr>
              <w:widowControl/>
              <w:autoSpaceDE/>
              <w:autoSpaceDN/>
              <w:adjustRightInd/>
              <w:rPr>
                <w:rFonts w:cs="Calibri"/>
              </w:rPr>
            </w:pPr>
            <w:r>
              <w:rPr>
                <w:rFonts w:cs="Calibri"/>
              </w:rPr>
              <w:t>FY 2020-OB-01</w:t>
            </w:r>
          </w:p>
          <w:p w14:paraId="754B97CA" w14:textId="77777777" w:rsidR="00EA72BE" w:rsidRDefault="00EA72BE" w:rsidP="00277345">
            <w:pPr>
              <w:widowControl/>
              <w:autoSpaceDE/>
              <w:autoSpaceDN/>
              <w:adjustRightInd/>
              <w:rPr>
                <w:rFonts w:cs="Calibri"/>
              </w:rPr>
            </w:pPr>
            <w:r>
              <w:rPr>
                <w:rFonts w:cs="Calibri"/>
              </w:rPr>
              <w:t>FY 2019-OB-02</w:t>
            </w:r>
          </w:p>
          <w:p w14:paraId="0497F615" w14:textId="77777777" w:rsidR="00EA72BE" w:rsidRDefault="00EA72BE" w:rsidP="00277345">
            <w:pPr>
              <w:widowControl/>
              <w:autoSpaceDE/>
              <w:autoSpaceDN/>
              <w:adjustRightInd/>
              <w:rPr>
                <w:rFonts w:cs="Calibri"/>
              </w:rPr>
            </w:pPr>
            <w:r>
              <w:rPr>
                <w:rFonts w:cs="Calibri"/>
              </w:rPr>
              <w:t>FY 2018-OB-01</w:t>
            </w:r>
          </w:p>
          <w:p w14:paraId="0E5FE764" w14:textId="5494C19A" w:rsidR="00EA72BE" w:rsidRPr="001C1E47" w:rsidRDefault="00EA72BE" w:rsidP="00277345">
            <w:pPr>
              <w:widowControl/>
              <w:autoSpaceDE/>
              <w:autoSpaceDN/>
              <w:adjustRightInd/>
              <w:rPr>
                <w:rFonts w:cs="Calibri"/>
              </w:rPr>
            </w:pPr>
            <w:r>
              <w:rPr>
                <w:rFonts w:cs="Calibri"/>
              </w:rPr>
              <w:t>FY 2017-OB-01</w:t>
            </w:r>
          </w:p>
        </w:tc>
      </w:tr>
      <w:tr w:rsidR="00277345" w14:paraId="22543EDD" w14:textId="77777777" w:rsidTr="00277345">
        <w:tblPrEx>
          <w:tblLook w:val="04A0" w:firstRow="1" w:lastRow="0" w:firstColumn="1" w:lastColumn="0" w:noHBand="0" w:noVBand="1"/>
        </w:tblPrEx>
        <w:trPr>
          <w:trHeight w:val="1404"/>
        </w:trPr>
        <w:tc>
          <w:tcPr>
            <w:tcW w:w="1440" w:type="dxa"/>
          </w:tcPr>
          <w:p w14:paraId="32ADEB32" w14:textId="4F16AEAB" w:rsidR="00277345" w:rsidRPr="00DA2299" w:rsidRDefault="00277345" w:rsidP="00207116">
            <w:pPr>
              <w:pStyle w:val="TableParagraph"/>
              <w:kinsoku w:val="0"/>
              <w:overflowPunct w:val="0"/>
              <w:spacing w:line="292" w:lineRule="exact"/>
              <w:ind w:left="0"/>
              <w:rPr>
                <w:spacing w:val="-5"/>
              </w:rPr>
            </w:pPr>
            <w:bookmarkStart w:id="38" w:name="_Hlk134620039"/>
            <w:r w:rsidRPr="00DA2299">
              <w:t>FY</w:t>
            </w:r>
            <w:r w:rsidRPr="00DA2299">
              <w:rPr>
                <w:spacing w:val="-4"/>
              </w:rPr>
              <w:t xml:space="preserve"> </w:t>
            </w:r>
            <w:r w:rsidRPr="00DA2299">
              <w:t>202</w:t>
            </w:r>
            <w:r w:rsidR="00EA72BE">
              <w:t>4</w:t>
            </w:r>
            <w:r w:rsidRPr="00DA2299">
              <w:t>-</w:t>
            </w:r>
            <w:r w:rsidRPr="00DA2299">
              <w:rPr>
                <w:spacing w:val="-5"/>
              </w:rPr>
              <w:t>02</w:t>
            </w:r>
          </w:p>
        </w:tc>
        <w:tc>
          <w:tcPr>
            <w:tcW w:w="4721" w:type="dxa"/>
          </w:tcPr>
          <w:p w14:paraId="30700F3B" w14:textId="77777777" w:rsidR="00EA72BE" w:rsidRPr="00AE4F3D" w:rsidRDefault="00EA72BE" w:rsidP="00EA72BE">
            <w:pPr>
              <w:pStyle w:val="TableParagraph"/>
              <w:kinsoku w:val="0"/>
              <w:overflowPunct w:val="0"/>
              <w:spacing w:line="280" w:lineRule="atLeast"/>
              <w:rPr>
                <w:rFonts w:eastAsia="Calibri"/>
                <w:b/>
              </w:rPr>
            </w:pPr>
            <w:r w:rsidRPr="00AE4F3D">
              <w:rPr>
                <w:rFonts w:eastAsia="Calibri"/>
                <w:b/>
              </w:rPr>
              <w:t>Next-of-Kin Letters</w:t>
            </w:r>
          </w:p>
          <w:p w14:paraId="7868C2C1" w14:textId="1D93D036" w:rsidR="00E26101" w:rsidRPr="005B7803" w:rsidRDefault="00EA72BE" w:rsidP="002C6A22">
            <w:pPr>
              <w:pStyle w:val="TableParagraph"/>
              <w:kinsoku w:val="0"/>
              <w:overflowPunct w:val="0"/>
              <w:spacing w:line="280" w:lineRule="atLeast"/>
              <w:rPr>
                <w:rFonts w:eastAsia="Calibri"/>
                <w:bCs/>
              </w:rPr>
            </w:pPr>
            <w:r w:rsidRPr="00EA72BE">
              <w:rPr>
                <w:rFonts w:eastAsia="Calibri"/>
                <w:bCs/>
              </w:rPr>
              <w:t xml:space="preserve">In </w:t>
            </w:r>
            <w:r w:rsidR="00591C96">
              <w:rPr>
                <w:rFonts w:eastAsia="Calibri"/>
                <w:bCs/>
              </w:rPr>
              <w:t xml:space="preserve">FY 2023, </w:t>
            </w:r>
            <w:r w:rsidRPr="00EA72BE">
              <w:rPr>
                <w:rFonts w:eastAsia="Calibri"/>
                <w:bCs/>
              </w:rPr>
              <w:t xml:space="preserve">one of the two (50%) fatality inspections requiring a next-of-kin letter, both the initial and final next-of-kin letters were not sent to the family of the victim. </w:t>
            </w:r>
          </w:p>
        </w:tc>
        <w:tc>
          <w:tcPr>
            <w:tcW w:w="4819" w:type="dxa"/>
          </w:tcPr>
          <w:p w14:paraId="66045801" w14:textId="4FC72621" w:rsidR="00277345" w:rsidRPr="00DA2299" w:rsidRDefault="00EA72BE" w:rsidP="00EA72BE">
            <w:pPr>
              <w:pStyle w:val="TableParagraph"/>
              <w:kinsoku w:val="0"/>
              <w:overflowPunct w:val="0"/>
              <w:ind w:left="0"/>
            </w:pPr>
            <w:r w:rsidRPr="00EA72BE">
              <w:t>The State Plan needs to issue next-of-kin letters as required by its FOM and the OSHA</w:t>
            </w:r>
            <w:r>
              <w:t xml:space="preserve"> directive.</w:t>
            </w:r>
            <w:r w:rsidR="00671C39">
              <w:t xml:space="preserve"> </w:t>
            </w:r>
            <w:r w:rsidR="002C6A22" w:rsidRPr="00EA72BE">
              <w:rPr>
                <w:rFonts w:eastAsia="Calibri"/>
                <w:bCs/>
              </w:rPr>
              <w:t>The State Plan adopted directive CPL 02-00-166, Communicating OSHA Fatality Inspection Procedures to a Victim’s Family that requires an initial letter notifying the family of the investigation, and a final letter at the conclusion of the inspection with the results</w:t>
            </w:r>
            <w:r w:rsidR="002C6A22">
              <w:rPr>
                <w:rFonts w:eastAsia="Calibri"/>
                <w:bCs/>
              </w:rPr>
              <w:t xml:space="preserve">.  </w:t>
            </w:r>
            <w:r w:rsidR="00671C39" w:rsidRPr="00671C39">
              <w:t>Corrective action complete, awaiting verification.</w:t>
            </w:r>
          </w:p>
        </w:tc>
        <w:tc>
          <w:tcPr>
            <w:tcW w:w="1890" w:type="dxa"/>
          </w:tcPr>
          <w:p w14:paraId="5238AB72" w14:textId="77777777" w:rsidR="00277345" w:rsidRDefault="00EA72BE" w:rsidP="00EA72BE">
            <w:pPr>
              <w:pStyle w:val="TableParagraph"/>
              <w:kinsoku w:val="0"/>
              <w:overflowPunct w:val="0"/>
              <w:ind w:left="0"/>
              <w:jc w:val="both"/>
              <w:rPr>
                <w:spacing w:val="-5"/>
              </w:rPr>
            </w:pPr>
            <w:r>
              <w:rPr>
                <w:spacing w:val="-5"/>
              </w:rPr>
              <w:t>FY 2023-02</w:t>
            </w:r>
          </w:p>
          <w:p w14:paraId="73860297" w14:textId="77777777" w:rsidR="00EA72BE" w:rsidRDefault="00EA72BE" w:rsidP="00EA72BE">
            <w:pPr>
              <w:pStyle w:val="TableParagraph"/>
              <w:kinsoku w:val="0"/>
              <w:overflowPunct w:val="0"/>
              <w:ind w:left="0"/>
              <w:jc w:val="both"/>
              <w:rPr>
                <w:spacing w:val="-5"/>
              </w:rPr>
            </w:pPr>
            <w:r>
              <w:rPr>
                <w:spacing w:val="-5"/>
              </w:rPr>
              <w:t>FY 2022-03</w:t>
            </w:r>
          </w:p>
          <w:p w14:paraId="47B5BE59" w14:textId="0CD511A3" w:rsidR="00EA72BE" w:rsidRDefault="00EA72BE" w:rsidP="00EA72BE">
            <w:pPr>
              <w:pStyle w:val="TableParagraph"/>
              <w:kinsoku w:val="0"/>
              <w:overflowPunct w:val="0"/>
              <w:ind w:left="0"/>
              <w:jc w:val="both"/>
              <w:rPr>
                <w:spacing w:val="-5"/>
              </w:rPr>
            </w:pPr>
            <w:r>
              <w:rPr>
                <w:spacing w:val="-5"/>
              </w:rPr>
              <w:t>FY 2021-03</w:t>
            </w:r>
          </w:p>
        </w:tc>
      </w:tr>
      <w:bookmarkEnd w:id="38"/>
      <w:tr w:rsidR="00277345" w14:paraId="0466EE29" w14:textId="77777777" w:rsidTr="00277345">
        <w:tblPrEx>
          <w:tblLook w:val="04A0" w:firstRow="1" w:lastRow="0" w:firstColumn="1" w:lastColumn="0" w:noHBand="0" w:noVBand="1"/>
        </w:tblPrEx>
        <w:trPr>
          <w:trHeight w:val="1404"/>
        </w:trPr>
        <w:tc>
          <w:tcPr>
            <w:tcW w:w="1440" w:type="dxa"/>
          </w:tcPr>
          <w:p w14:paraId="45057985" w14:textId="59E18575" w:rsidR="00277345" w:rsidRPr="00DA2299" w:rsidRDefault="00277345" w:rsidP="00277345">
            <w:pPr>
              <w:pStyle w:val="TableParagraph"/>
              <w:kinsoku w:val="0"/>
              <w:overflowPunct w:val="0"/>
              <w:spacing w:line="292" w:lineRule="exact"/>
              <w:ind w:left="0"/>
            </w:pPr>
            <w:r w:rsidRPr="00DA2299">
              <w:t>FY 202</w:t>
            </w:r>
            <w:r w:rsidR="00EA72BE">
              <w:t>4</w:t>
            </w:r>
            <w:r w:rsidRPr="00DA2299">
              <w:t>-03</w:t>
            </w:r>
          </w:p>
        </w:tc>
        <w:tc>
          <w:tcPr>
            <w:tcW w:w="4721" w:type="dxa"/>
          </w:tcPr>
          <w:p w14:paraId="78EE4370" w14:textId="77777777" w:rsidR="00EA72BE" w:rsidRPr="00AE4F3D" w:rsidRDefault="00EA72BE" w:rsidP="00EA72BE">
            <w:pPr>
              <w:pStyle w:val="TableParagraph"/>
              <w:kinsoku w:val="0"/>
              <w:overflowPunct w:val="0"/>
              <w:rPr>
                <w:rFonts w:eastAsia="Times New Roman"/>
                <w:b/>
                <w:bCs/>
              </w:rPr>
            </w:pPr>
            <w:r w:rsidRPr="00AE4F3D">
              <w:rPr>
                <w:rFonts w:eastAsia="Times New Roman"/>
                <w:b/>
                <w:bCs/>
              </w:rPr>
              <w:t>Case File Documentation for Fatalities Not Investigated</w:t>
            </w:r>
          </w:p>
          <w:p w14:paraId="679E085C" w14:textId="77777777" w:rsidR="00EA72BE" w:rsidRPr="00EA72BE" w:rsidRDefault="00EA72BE" w:rsidP="00EA72BE">
            <w:pPr>
              <w:pStyle w:val="TableParagraph"/>
              <w:kinsoku w:val="0"/>
              <w:overflowPunct w:val="0"/>
              <w:rPr>
                <w:rFonts w:eastAsia="Times New Roman"/>
              </w:rPr>
            </w:pPr>
            <w:r w:rsidRPr="00EA72BE">
              <w:rPr>
                <w:rFonts w:eastAsia="Times New Roman"/>
              </w:rPr>
              <w:t xml:space="preserve">In FY 2023, the State Plan received nine reports of fatalities that were not investigated or inspected. Of these nine fatality reports, one of these fatalities was not required to be reported to PEOSH because it involved a motor vehicle accident that caused the death. The other eight </w:t>
            </w:r>
            <w:r w:rsidRPr="00EA72BE">
              <w:rPr>
                <w:rFonts w:eastAsia="Times New Roman"/>
              </w:rPr>
              <w:lastRenderedPageBreak/>
              <w:t>fatality reports appeared to meet the reporting requirements of 1904.39.</w:t>
            </w:r>
          </w:p>
          <w:p w14:paraId="7E13B19D" w14:textId="34B3A82F" w:rsidR="00E26101" w:rsidRPr="005B7803" w:rsidRDefault="00EA72BE" w:rsidP="00EA72BE">
            <w:pPr>
              <w:pStyle w:val="TableParagraph"/>
              <w:kinsoku w:val="0"/>
              <w:overflowPunct w:val="0"/>
              <w:rPr>
                <w:rFonts w:eastAsia="Times New Roman"/>
              </w:rPr>
            </w:pPr>
            <w:r w:rsidRPr="00EA72BE">
              <w:rPr>
                <w:rFonts w:eastAsia="Times New Roman"/>
              </w:rPr>
              <w:t>In seven of eight (87%) of these fatality reports, PEOSH did not acquire medical documentation to support the conclusion that the fatality was medically related and non-occupationally related.</w:t>
            </w:r>
          </w:p>
        </w:tc>
        <w:tc>
          <w:tcPr>
            <w:tcW w:w="4819" w:type="dxa"/>
          </w:tcPr>
          <w:p w14:paraId="5491CD1E" w14:textId="097187BB" w:rsidR="00277345" w:rsidRPr="00DA2299" w:rsidRDefault="00671C39" w:rsidP="00277345">
            <w:pPr>
              <w:pStyle w:val="TableParagraph"/>
              <w:kinsoku w:val="0"/>
              <w:overflowPunct w:val="0"/>
              <w:ind w:left="106" w:right="195"/>
            </w:pPr>
            <w:r w:rsidRPr="00671C39">
              <w:lastRenderedPageBreak/>
              <w:t xml:space="preserve">Before concluding that a reported fatality is medically related and not related to an occupational exposure, PEOSH should obtain medical documentation confirming this conclusion, or conduct a thorough inspection to evaluate the circumstances of the death to reach a conclusion. Diary sheets should be utilized to document all actions taken during the inquiry and/or </w:t>
            </w:r>
            <w:r w:rsidRPr="00671C39">
              <w:lastRenderedPageBreak/>
              <w:t>investigation.</w:t>
            </w:r>
            <w:r>
              <w:t xml:space="preserve"> </w:t>
            </w:r>
            <w:r w:rsidRPr="00671C39">
              <w:t>Corrective action complete, awaiting verification.</w:t>
            </w:r>
          </w:p>
        </w:tc>
        <w:tc>
          <w:tcPr>
            <w:tcW w:w="1890" w:type="dxa"/>
          </w:tcPr>
          <w:p w14:paraId="7876E61D" w14:textId="1AF40087" w:rsidR="00277345" w:rsidRDefault="004F199D" w:rsidP="00277345">
            <w:pPr>
              <w:pStyle w:val="TableParagraph"/>
              <w:kinsoku w:val="0"/>
              <w:overflowPunct w:val="0"/>
              <w:spacing w:before="1"/>
              <w:ind w:left="106"/>
              <w:jc w:val="both"/>
              <w:rPr>
                <w:spacing w:val="-5"/>
              </w:rPr>
            </w:pPr>
            <w:r>
              <w:rPr>
                <w:spacing w:val="-5"/>
              </w:rPr>
              <w:lastRenderedPageBreak/>
              <w:t>FY 202</w:t>
            </w:r>
            <w:r w:rsidR="00671C39">
              <w:rPr>
                <w:spacing w:val="-5"/>
              </w:rPr>
              <w:t>3</w:t>
            </w:r>
            <w:r>
              <w:rPr>
                <w:spacing w:val="-5"/>
              </w:rPr>
              <w:t>-03</w:t>
            </w:r>
          </w:p>
        </w:tc>
      </w:tr>
      <w:tr w:rsidR="004F199D" w14:paraId="698FC07A" w14:textId="77777777" w:rsidTr="00277345">
        <w:tblPrEx>
          <w:tblLook w:val="04A0" w:firstRow="1" w:lastRow="0" w:firstColumn="1" w:lastColumn="0" w:noHBand="0" w:noVBand="1"/>
        </w:tblPrEx>
        <w:trPr>
          <w:trHeight w:val="1404"/>
        </w:trPr>
        <w:tc>
          <w:tcPr>
            <w:tcW w:w="1440" w:type="dxa"/>
          </w:tcPr>
          <w:p w14:paraId="2ECFEF93" w14:textId="09E702BB" w:rsidR="004F199D" w:rsidRPr="00DA2299" w:rsidRDefault="004F199D" w:rsidP="00277345">
            <w:pPr>
              <w:pStyle w:val="TableParagraph"/>
              <w:kinsoku w:val="0"/>
              <w:overflowPunct w:val="0"/>
              <w:spacing w:line="292" w:lineRule="exact"/>
              <w:ind w:left="0"/>
            </w:pPr>
            <w:r w:rsidRPr="00DA2299">
              <w:t>FY 202</w:t>
            </w:r>
            <w:r w:rsidR="00671C39">
              <w:t>4</w:t>
            </w:r>
            <w:r w:rsidRPr="00DA2299">
              <w:t>-04</w:t>
            </w:r>
          </w:p>
        </w:tc>
        <w:tc>
          <w:tcPr>
            <w:tcW w:w="4721" w:type="dxa"/>
          </w:tcPr>
          <w:p w14:paraId="6D016159" w14:textId="77777777" w:rsidR="00671C39" w:rsidRPr="00AE4F3D" w:rsidRDefault="00671C39" w:rsidP="00671C39">
            <w:pPr>
              <w:pStyle w:val="TableParagraph"/>
              <w:kinsoku w:val="0"/>
              <w:overflowPunct w:val="0"/>
              <w:rPr>
                <w:rFonts w:eastAsia="Times New Roman"/>
                <w:b/>
                <w:bCs/>
              </w:rPr>
            </w:pPr>
            <w:r w:rsidRPr="00AE4F3D">
              <w:rPr>
                <w:rFonts w:eastAsia="Times New Roman"/>
                <w:b/>
                <w:bCs/>
              </w:rPr>
              <w:t>Advanced Notice of Inspections</w:t>
            </w:r>
          </w:p>
          <w:p w14:paraId="7A26B42A" w14:textId="473B8FF4" w:rsidR="004F199D" w:rsidRPr="00DA2299" w:rsidRDefault="00671C39" w:rsidP="005366EC">
            <w:pPr>
              <w:pStyle w:val="TableParagraph"/>
              <w:kinsoku w:val="0"/>
              <w:overflowPunct w:val="0"/>
              <w:rPr>
                <w:rFonts w:eastAsia="Times New Roman"/>
              </w:rPr>
            </w:pPr>
            <w:r w:rsidRPr="00671C39">
              <w:rPr>
                <w:rFonts w:eastAsia="Times New Roman"/>
              </w:rPr>
              <w:t xml:space="preserve">In </w:t>
            </w:r>
            <w:r w:rsidR="00591C96">
              <w:rPr>
                <w:rFonts w:eastAsia="Times New Roman"/>
              </w:rPr>
              <w:t xml:space="preserve">FY 2023 </w:t>
            </w:r>
            <w:r w:rsidRPr="00671C39">
              <w:rPr>
                <w:rFonts w:eastAsia="Times New Roman"/>
              </w:rPr>
              <w:t>five of 48 (10%) closed inspection files</w:t>
            </w:r>
            <w:r w:rsidR="0092454C">
              <w:rPr>
                <w:rFonts w:eastAsia="Times New Roman"/>
              </w:rPr>
              <w:t>,</w:t>
            </w:r>
            <w:r w:rsidRPr="00671C39">
              <w:rPr>
                <w:rFonts w:eastAsia="Times New Roman"/>
              </w:rPr>
              <w:t xml:space="preserve"> there was evidence that advanced notice of the</w:t>
            </w:r>
            <w:r>
              <w:rPr>
                <w:rFonts w:eastAsia="Times New Roman"/>
              </w:rPr>
              <w:t xml:space="preserve"> </w:t>
            </w:r>
            <w:r w:rsidRPr="00671C39">
              <w:rPr>
                <w:rFonts w:eastAsia="Times New Roman"/>
              </w:rPr>
              <w:t>inspection was provided to the employer.</w:t>
            </w:r>
          </w:p>
        </w:tc>
        <w:tc>
          <w:tcPr>
            <w:tcW w:w="4819" w:type="dxa"/>
          </w:tcPr>
          <w:p w14:paraId="14174BDF" w14:textId="77777777" w:rsidR="00671C39" w:rsidRDefault="00671C39" w:rsidP="00671C39">
            <w:pPr>
              <w:pStyle w:val="TableParagraph"/>
              <w:kinsoku w:val="0"/>
              <w:overflowPunct w:val="0"/>
              <w:ind w:left="106" w:right="195"/>
            </w:pPr>
            <w:r>
              <w:t>PEOSH should follow the requirements of their FOM when issuing advanced notice of</w:t>
            </w:r>
          </w:p>
          <w:p w14:paraId="39DAA053" w14:textId="4359C049" w:rsidR="004F199D" w:rsidRPr="00DA2299" w:rsidRDefault="00671C39" w:rsidP="005366EC">
            <w:pPr>
              <w:pStyle w:val="TableParagraph"/>
              <w:kinsoku w:val="0"/>
              <w:overflowPunct w:val="0"/>
              <w:ind w:left="106" w:right="195"/>
            </w:pPr>
            <w:r>
              <w:t xml:space="preserve">inspections and secure the required authorizations. </w:t>
            </w:r>
            <w:r w:rsidRPr="00671C39">
              <w:t>Corrective action complete, awaiting verification.</w:t>
            </w:r>
          </w:p>
        </w:tc>
        <w:tc>
          <w:tcPr>
            <w:tcW w:w="1890" w:type="dxa"/>
          </w:tcPr>
          <w:p w14:paraId="12248C13" w14:textId="77777777" w:rsidR="004F199D" w:rsidRDefault="004F199D" w:rsidP="00277345">
            <w:pPr>
              <w:pStyle w:val="TableParagraph"/>
              <w:kinsoku w:val="0"/>
              <w:overflowPunct w:val="0"/>
              <w:spacing w:before="1"/>
              <w:ind w:left="106"/>
              <w:jc w:val="both"/>
              <w:rPr>
                <w:spacing w:val="-5"/>
              </w:rPr>
            </w:pPr>
            <w:r>
              <w:rPr>
                <w:spacing w:val="-5"/>
              </w:rPr>
              <w:t>FY 202</w:t>
            </w:r>
            <w:r w:rsidR="00671C39">
              <w:rPr>
                <w:spacing w:val="-5"/>
              </w:rPr>
              <w:t>3</w:t>
            </w:r>
            <w:r>
              <w:rPr>
                <w:spacing w:val="-5"/>
              </w:rPr>
              <w:t>-04</w:t>
            </w:r>
          </w:p>
          <w:p w14:paraId="37053A66" w14:textId="77777777" w:rsidR="00671C39" w:rsidRDefault="00671C39" w:rsidP="00277345">
            <w:pPr>
              <w:pStyle w:val="TableParagraph"/>
              <w:kinsoku w:val="0"/>
              <w:overflowPunct w:val="0"/>
              <w:spacing w:before="1"/>
              <w:ind w:left="106"/>
              <w:jc w:val="both"/>
              <w:rPr>
                <w:spacing w:val="-5"/>
              </w:rPr>
            </w:pPr>
            <w:r>
              <w:rPr>
                <w:spacing w:val="-5"/>
              </w:rPr>
              <w:t>FY 2022-04</w:t>
            </w:r>
          </w:p>
          <w:p w14:paraId="13456DBE" w14:textId="35EB6FDC" w:rsidR="00671C39" w:rsidRDefault="00671C39" w:rsidP="00277345">
            <w:pPr>
              <w:pStyle w:val="TableParagraph"/>
              <w:kinsoku w:val="0"/>
              <w:overflowPunct w:val="0"/>
              <w:spacing w:before="1"/>
              <w:ind w:left="106"/>
              <w:jc w:val="both"/>
              <w:rPr>
                <w:spacing w:val="-5"/>
              </w:rPr>
            </w:pPr>
            <w:r>
              <w:rPr>
                <w:spacing w:val="-5"/>
              </w:rPr>
              <w:t>FY 2021-04</w:t>
            </w:r>
          </w:p>
        </w:tc>
      </w:tr>
      <w:tr w:rsidR="004F199D" w14:paraId="624DC3D6" w14:textId="77777777" w:rsidTr="00277345">
        <w:tblPrEx>
          <w:tblLook w:val="04A0" w:firstRow="1" w:lastRow="0" w:firstColumn="1" w:lastColumn="0" w:noHBand="0" w:noVBand="1"/>
        </w:tblPrEx>
        <w:trPr>
          <w:trHeight w:val="1404"/>
        </w:trPr>
        <w:tc>
          <w:tcPr>
            <w:tcW w:w="1440" w:type="dxa"/>
          </w:tcPr>
          <w:p w14:paraId="00E92A6C" w14:textId="552155DA" w:rsidR="004F199D" w:rsidRPr="00DA2299" w:rsidRDefault="004F199D" w:rsidP="00277345">
            <w:pPr>
              <w:pStyle w:val="TableParagraph"/>
              <w:kinsoku w:val="0"/>
              <w:overflowPunct w:val="0"/>
              <w:spacing w:line="292" w:lineRule="exact"/>
              <w:ind w:left="0"/>
            </w:pPr>
            <w:r w:rsidRPr="00DA2299">
              <w:t>FY 202</w:t>
            </w:r>
            <w:r w:rsidR="00671C39">
              <w:t>4</w:t>
            </w:r>
            <w:r w:rsidRPr="00DA2299">
              <w:t>-05</w:t>
            </w:r>
          </w:p>
        </w:tc>
        <w:tc>
          <w:tcPr>
            <w:tcW w:w="4721" w:type="dxa"/>
          </w:tcPr>
          <w:p w14:paraId="009E58AC" w14:textId="77777777" w:rsidR="00671C39" w:rsidRPr="00AE4F3D" w:rsidRDefault="00671C39" w:rsidP="00671C39">
            <w:pPr>
              <w:pStyle w:val="TableParagraph"/>
              <w:kinsoku w:val="0"/>
              <w:overflowPunct w:val="0"/>
              <w:ind w:left="0"/>
              <w:rPr>
                <w:rFonts w:eastAsia="Times New Roman"/>
                <w:b/>
                <w:bCs/>
              </w:rPr>
            </w:pPr>
            <w:r w:rsidRPr="00AE4F3D">
              <w:rPr>
                <w:rFonts w:eastAsia="Times New Roman"/>
                <w:b/>
                <w:bCs/>
              </w:rPr>
              <w:t>General Duty Clause Violations</w:t>
            </w:r>
          </w:p>
          <w:p w14:paraId="0C0D1A86" w14:textId="5DD7272F" w:rsidR="00FE5768" w:rsidRPr="00DA2299" w:rsidRDefault="00591C96" w:rsidP="009C76E7">
            <w:pPr>
              <w:pStyle w:val="TableParagraph"/>
              <w:kinsoku w:val="0"/>
              <w:overflowPunct w:val="0"/>
              <w:ind w:left="0"/>
              <w:rPr>
                <w:rFonts w:eastAsia="Times New Roman"/>
              </w:rPr>
            </w:pPr>
            <w:r>
              <w:rPr>
                <w:rFonts w:eastAsia="Times New Roman"/>
              </w:rPr>
              <w:t>In FY 2023, t</w:t>
            </w:r>
            <w:r w:rsidR="00671C39" w:rsidRPr="00671C39">
              <w:rPr>
                <w:rFonts w:eastAsia="Times New Roman"/>
              </w:rPr>
              <w:t xml:space="preserve">en of </w:t>
            </w:r>
            <w:r w:rsidR="00B66C28">
              <w:rPr>
                <w:rFonts w:eastAsia="Times New Roman"/>
              </w:rPr>
              <w:t>12</w:t>
            </w:r>
            <w:r w:rsidR="00671C39" w:rsidRPr="00671C39">
              <w:rPr>
                <w:rFonts w:eastAsia="Times New Roman"/>
              </w:rPr>
              <w:t xml:space="preserve"> (83%) safety files with OTCs did not document all four of the elements required</w:t>
            </w:r>
            <w:r w:rsidR="00671C39">
              <w:rPr>
                <w:rFonts w:eastAsia="Times New Roman"/>
              </w:rPr>
              <w:t xml:space="preserve"> </w:t>
            </w:r>
            <w:r w:rsidR="00671C39" w:rsidRPr="00671C39">
              <w:rPr>
                <w:rFonts w:eastAsia="Times New Roman"/>
              </w:rPr>
              <w:t>to support a general duty violation.</w:t>
            </w:r>
            <w:r w:rsidR="009C76E7">
              <w:rPr>
                <w:rFonts w:eastAsia="Times New Roman"/>
              </w:rPr>
              <w:t xml:space="preserve"> </w:t>
            </w:r>
          </w:p>
        </w:tc>
        <w:tc>
          <w:tcPr>
            <w:tcW w:w="4819" w:type="dxa"/>
          </w:tcPr>
          <w:p w14:paraId="6DBF3D60" w14:textId="5EEFDD39" w:rsidR="004F199D" w:rsidRPr="00DA2299" w:rsidRDefault="00671C39" w:rsidP="005366EC">
            <w:pPr>
              <w:pStyle w:val="TableParagraph"/>
              <w:kinsoku w:val="0"/>
              <w:overflowPunct w:val="0"/>
              <w:ind w:left="106" w:right="195"/>
            </w:pPr>
            <w:r>
              <w:t>PEOSH should ensure that all required elements of a general duty clause violation are documented on the worksheets.  C</w:t>
            </w:r>
            <w:r w:rsidRPr="00671C39">
              <w:t>orrective action complete, awaiting verification.</w:t>
            </w:r>
          </w:p>
        </w:tc>
        <w:tc>
          <w:tcPr>
            <w:tcW w:w="1890" w:type="dxa"/>
          </w:tcPr>
          <w:p w14:paraId="5CA28824" w14:textId="15E342F7" w:rsidR="004F199D" w:rsidRDefault="00FE5768" w:rsidP="00277345">
            <w:pPr>
              <w:pStyle w:val="TableParagraph"/>
              <w:kinsoku w:val="0"/>
              <w:overflowPunct w:val="0"/>
              <w:spacing w:before="1"/>
              <w:ind w:left="106"/>
              <w:jc w:val="both"/>
              <w:rPr>
                <w:spacing w:val="-5"/>
              </w:rPr>
            </w:pPr>
            <w:r>
              <w:rPr>
                <w:spacing w:val="-5"/>
              </w:rPr>
              <w:t>FY 202</w:t>
            </w:r>
            <w:r w:rsidR="00671C39">
              <w:rPr>
                <w:spacing w:val="-5"/>
              </w:rPr>
              <w:t>3</w:t>
            </w:r>
            <w:r>
              <w:rPr>
                <w:spacing w:val="-5"/>
              </w:rPr>
              <w:t>-05</w:t>
            </w:r>
          </w:p>
        </w:tc>
      </w:tr>
      <w:tr w:rsidR="004F199D" w14:paraId="4E55F59A" w14:textId="77777777" w:rsidTr="00277345">
        <w:tblPrEx>
          <w:tblLook w:val="04A0" w:firstRow="1" w:lastRow="0" w:firstColumn="1" w:lastColumn="0" w:noHBand="0" w:noVBand="1"/>
        </w:tblPrEx>
        <w:trPr>
          <w:trHeight w:val="1404"/>
        </w:trPr>
        <w:tc>
          <w:tcPr>
            <w:tcW w:w="1440" w:type="dxa"/>
          </w:tcPr>
          <w:p w14:paraId="0F811983" w14:textId="7F7DF008" w:rsidR="004F199D" w:rsidRPr="00DA2299" w:rsidRDefault="004F199D" w:rsidP="00277345">
            <w:pPr>
              <w:pStyle w:val="TableParagraph"/>
              <w:kinsoku w:val="0"/>
              <w:overflowPunct w:val="0"/>
              <w:spacing w:line="292" w:lineRule="exact"/>
              <w:ind w:left="0"/>
            </w:pPr>
            <w:r w:rsidRPr="00DA2299">
              <w:t>FY 202</w:t>
            </w:r>
            <w:r w:rsidR="00671C39">
              <w:t>4</w:t>
            </w:r>
            <w:r w:rsidRPr="00DA2299">
              <w:t>-06</w:t>
            </w:r>
          </w:p>
        </w:tc>
        <w:tc>
          <w:tcPr>
            <w:tcW w:w="4721" w:type="dxa"/>
          </w:tcPr>
          <w:p w14:paraId="17F8832F" w14:textId="77777777" w:rsidR="00671C39" w:rsidRPr="00AE4F3D" w:rsidRDefault="00671C39" w:rsidP="00671C39">
            <w:pPr>
              <w:pStyle w:val="TableParagraph"/>
              <w:kinsoku w:val="0"/>
              <w:overflowPunct w:val="0"/>
              <w:ind w:left="0"/>
              <w:rPr>
                <w:rFonts w:eastAsia="Times New Roman"/>
                <w:b/>
                <w:bCs/>
              </w:rPr>
            </w:pPr>
            <w:r w:rsidRPr="00AE4F3D">
              <w:rPr>
                <w:rFonts w:eastAsia="Times New Roman"/>
                <w:b/>
                <w:bCs/>
              </w:rPr>
              <w:t>Adequate Abatement</w:t>
            </w:r>
          </w:p>
          <w:p w14:paraId="33CD6DE7" w14:textId="4DDAEB95" w:rsidR="00671C39" w:rsidRPr="00671C39" w:rsidRDefault="00671C39" w:rsidP="00671C39">
            <w:pPr>
              <w:pStyle w:val="TableParagraph"/>
              <w:kinsoku w:val="0"/>
              <w:overflowPunct w:val="0"/>
              <w:ind w:left="0"/>
              <w:rPr>
                <w:rFonts w:eastAsia="Times New Roman"/>
              </w:rPr>
            </w:pPr>
            <w:r w:rsidRPr="00671C39">
              <w:rPr>
                <w:rFonts w:eastAsia="Times New Roman"/>
              </w:rPr>
              <w:t xml:space="preserve">In </w:t>
            </w:r>
            <w:r w:rsidR="00591C96">
              <w:rPr>
                <w:rFonts w:eastAsia="Times New Roman"/>
              </w:rPr>
              <w:t xml:space="preserve">FY 2023, </w:t>
            </w:r>
            <w:r w:rsidRPr="00671C39">
              <w:rPr>
                <w:rFonts w:eastAsia="Times New Roman"/>
              </w:rPr>
              <w:t xml:space="preserve">10 of 23 (43%) of closed safety files, evidence of abatement of all the issued OTCs </w:t>
            </w:r>
            <w:r>
              <w:rPr>
                <w:rFonts w:eastAsia="Times New Roman"/>
              </w:rPr>
              <w:t>was not available for review in the case files.</w:t>
            </w:r>
          </w:p>
          <w:p w14:paraId="66BC8197" w14:textId="2ECD400C" w:rsidR="004F199D" w:rsidRPr="00DA2299" w:rsidRDefault="004F199D" w:rsidP="00671C39">
            <w:pPr>
              <w:pStyle w:val="TableParagraph"/>
              <w:kinsoku w:val="0"/>
              <w:overflowPunct w:val="0"/>
              <w:rPr>
                <w:rFonts w:eastAsia="Times New Roman"/>
                <w:i/>
                <w:iCs/>
              </w:rPr>
            </w:pPr>
          </w:p>
        </w:tc>
        <w:tc>
          <w:tcPr>
            <w:tcW w:w="4819" w:type="dxa"/>
          </w:tcPr>
          <w:p w14:paraId="20C9840F" w14:textId="77777777" w:rsidR="00671C39" w:rsidRDefault="00671C39" w:rsidP="00671C39">
            <w:pPr>
              <w:pStyle w:val="TableParagraph"/>
              <w:kinsoku w:val="0"/>
              <w:overflowPunct w:val="0"/>
              <w:ind w:left="0"/>
            </w:pPr>
            <w:r>
              <w:t>PEOSH needs to ensure that all OTCs have adequate documentation of abatement, that</w:t>
            </w:r>
          </w:p>
          <w:p w14:paraId="6DDC06B2" w14:textId="77777777" w:rsidR="00671C39" w:rsidRDefault="00671C39" w:rsidP="00671C39">
            <w:pPr>
              <w:pStyle w:val="TableParagraph"/>
              <w:kinsoku w:val="0"/>
              <w:overflowPunct w:val="0"/>
              <w:ind w:left="0"/>
            </w:pPr>
            <w:r>
              <w:t>the abatement accepted completely addresses the requirements of the standard issued, and all instances cited are addressed in the abatement provided by the employer.</w:t>
            </w:r>
          </w:p>
          <w:p w14:paraId="68C4773D" w14:textId="00EF625C" w:rsidR="004F199D" w:rsidRPr="00DA2299" w:rsidRDefault="00671C39" w:rsidP="00671C39">
            <w:pPr>
              <w:pStyle w:val="TableParagraph"/>
              <w:kinsoku w:val="0"/>
              <w:overflowPunct w:val="0"/>
              <w:ind w:left="0"/>
            </w:pPr>
            <w:r w:rsidRPr="00671C39">
              <w:t>Corrective action complete, awaiting verification.</w:t>
            </w:r>
          </w:p>
        </w:tc>
        <w:tc>
          <w:tcPr>
            <w:tcW w:w="1890" w:type="dxa"/>
          </w:tcPr>
          <w:p w14:paraId="541F42E4" w14:textId="794792EC" w:rsidR="004F199D" w:rsidRDefault="004F199D" w:rsidP="00277345">
            <w:pPr>
              <w:pStyle w:val="TableParagraph"/>
              <w:kinsoku w:val="0"/>
              <w:overflowPunct w:val="0"/>
              <w:spacing w:before="1"/>
              <w:ind w:left="106"/>
              <w:jc w:val="both"/>
              <w:rPr>
                <w:spacing w:val="-5"/>
              </w:rPr>
            </w:pPr>
            <w:r>
              <w:rPr>
                <w:spacing w:val="-5"/>
              </w:rPr>
              <w:t>FY 202</w:t>
            </w:r>
            <w:r w:rsidR="00671C39">
              <w:rPr>
                <w:spacing w:val="-5"/>
              </w:rPr>
              <w:t>3</w:t>
            </w:r>
            <w:r>
              <w:rPr>
                <w:spacing w:val="-5"/>
              </w:rPr>
              <w:t>-06</w:t>
            </w:r>
          </w:p>
        </w:tc>
      </w:tr>
      <w:tr w:rsidR="00671C39" w14:paraId="4A70D09D" w14:textId="77777777" w:rsidTr="00277345">
        <w:tblPrEx>
          <w:tblLook w:val="04A0" w:firstRow="1" w:lastRow="0" w:firstColumn="1" w:lastColumn="0" w:noHBand="0" w:noVBand="1"/>
        </w:tblPrEx>
        <w:trPr>
          <w:trHeight w:val="1404"/>
        </w:trPr>
        <w:tc>
          <w:tcPr>
            <w:tcW w:w="1440" w:type="dxa"/>
          </w:tcPr>
          <w:p w14:paraId="77ABB35A" w14:textId="2F85092A" w:rsidR="00671C39" w:rsidRPr="00DA2299" w:rsidRDefault="009C76E7" w:rsidP="00277345">
            <w:pPr>
              <w:pStyle w:val="TableParagraph"/>
              <w:kinsoku w:val="0"/>
              <w:overflowPunct w:val="0"/>
              <w:spacing w:line="292" w:lineRule="exact"/>
              <w:ind w:left="0"/>
            </w:pPr>
            <w:r>
              <w:t>FY 2024-07</w:t>
            </w:r>
          </w:p>
        </w:tc>
        <w:tc>
          <w:tcPr>
            <w:tcW w:w="4721" w:type="dxa"/>
          </w:tcPr>
          <w:p w14:paraId="6C51ADE3" w14:textId="77777777" w:rsidR="009C76E7" w:rsidRPr="00AE4F3D" w:rsidRDefault="009C76E7" w:rsidP="009C76E7">
            <w:pPr>
              <w:pStyle w:val="TableParagraph"/>
              <w:kinsoku w:val="0"/>
              <w:overflowPunct w:val="0"/>
              <w:ind w:left="0"/>
              <w:rPr>
                <w:rFonts w:eastAsia="Times New Roman"/>
                <w:b/>
                <w:bCs/>
              </w:rPr>
            </w:pPr>
            <w:r w:rsidRPr="00AE4F3D">
              <w:rPr>
                <w:rFonts w:eastAsia="Times New Roman"/>
                <w:b/>
                <w:bCs/>
              </w:rPr>
              <w:t>Worker Involvement</w:t>
            </w:r>
          </w:p>
          <w:p w14:paraId="110C6F12" w14:textId="20213EC5" w:rsidR="00671C39" w:rsidRPr="005366EC" w:rsidRDefault="009C76E7" w:rsidP="009C76E7">
            <w:pPr>
              <w:pStyle w:val="TableParagraph"/>
              <w:kinsoku w:val="0"/>
              <w:overflowPunct w:val="0"/>
              <w:ind w:left="0"/>
              <w:rPr>
                <w:rFonts w:eastAsia="Times New Roman"/>
              </w:rPr>
            </w:pPr>
            <w:r w:rsidRPr="009C76E7">
              <w:rPr>
                <w:rFonts w:eastAsia="Times New Roman"/>
              </w:rPr>
              <w:t xml:space="preserve">In </w:t>
            </w:r>
            <w:r w:rsidR="00591C96">
              <w:rPr>
                <w:rFonts w:eastAsia="Times New Roman"/>
              </w:rPr>
              <w:t xml:space="preserve">FY 2023, in </w:t>
            </w:r>
            <w:r w:rsidRPr="009C76E7">
              <w:rPr>
                <w:rFonts w:eastAsia="Times New Roman"/>
              </w:rPr>
              <w:t xml:space="preserve">six of 12 (50%) of closed health files, employee interviews were not documented in the field notes. For both health fatality inspections reviewed there was no evidence in the files that non-managerial </w:t>
            </w:r>
            <w:r w:rsidRPr="009C76E7">
              <w:rPr>
                <w:rFonts w:eastAsia="Times New Roman"/>
              </w:rPr>
              <w:lastRenderedPageBreak/>
              <w:t>employees were interviewed to obtain information about their knowledge of the victim’s death and the general safety and health policies in place at the site. In 19 of 36 (53%) of the closed safety files, employee interviews were not documented.</w:t>
            </w:r>
          </w:p>
        </w:tc>
        <w:tc>
          <w:tcPr>
            <w:tcW w:w="4819" w:type="dxa"/>
          </w:tcPr>
          <w:p w14:paraId="1E717D92" w14:textId="749FCC31" w:rsidR="009C76E7" w:rsidRDefault="002B4AFA" w:rsidP="009C76E7">
            <w:pPr>
              <w:pStyle w:val="TableParagraph"/>
              <w:kinsoku w:val="0"/>
              <w:overflowPunct w:val="0"/>
              <w:ind w:left="0"/>
            </w:pPr>
            <w:r>
              <w:lastRenderedPageBreak/>
              <w:t>PEOSH need</w:t>
            </w:r>
            <w:r w:rsidR="006F40DF">
              <w:t>s</w:t>
            </w:r>
            <w:r>
              <w:t xml:space="preserve"> to follow its </w:t>
            </w:r>
            <w:r w:rsidR="009C76E7">
              <w:t xml:space="preserve">FOM to conduct and document employee interviews during inspections. </w:t>
            </w:r>
            <w:r w:rsidR="009C76E7" w:rsidRPr="009C76E7">
              <w:t>Corrective action complete, awaiting verification.</w:t>
            </w:r>
          </w:p>
          <w:p w14:paraId="250DC442" w14:textId="4D1C41E0" w:rsidR="00671C39" w:rsidRDefault="00671C39" w:rsidP="009C76E7">
            <w:pPr>
              <w:pStyle w:val="TableParagraph"/>
              <w:kinsoku w:val="0"/>
              <w:overflowPunct w:val="0"/>
              <w:ind w:left="0"/>
            </w:pPr>
          </w:p>
        </w:tc>
        <w:tc>
          <w:tcPr>
            <w:tcW w:w="1890" w:type="dxa"/>
          </w:tcPr>
          <w:p w14:paraId="291FCF8C" w14:textId="77777777" w:rsidR="00671C39" w:rsidRDefault="009C76E7" w:rsidP="009C76E7">
            <w:pPr>
              <w:pStyle w:val="TableParagraph"/>
              <w:kinsoku w:val="0"/>
              <w:overflowPunct w:val="0"/>
              <w:ind w:left="0"/>
              <w:jc w:val="both"/>
              <w:rPr>
                <w:spacing w:val="-5"/>
              </w:rPr>
            </w:pPr>
            <w:r>
              <w:rPr>
                <w:spacing w:val="-5"/>
              </w:rPr>
              <w:t>FY 2023-07</w:t>
            </w:r>
          </w:p>
          <w:p w14:paraId="3EFE944D" w14:textId="77777777" w:rsidR="009C76E7" w:rsidRDefault="009C76E7" w:rsidP="009C76E7">
            <w:pPr>
              <w:pStyle w:val="TableParagraph"/>
              <w:kinsoku w:val="0"/>
              <w:overflowPunct w:val="0"/>
              <w:ind w:left="0"/>
              <w:jc w:val="both"/>
              <w:rPr>
                <w:spacing w:val="-5"/>
              </w:rPr>
            </w:pPr>
            <w:r>
              <w:rPr>
                <w:spacing w:val="-5"/>
              </w:rPr>
              <w:t>FY 2022-05</w:t>
            </w:r>
          </w:p>
          <w:p w14:paraId="1C2ECCBB" w14:textId="1F73E378" w:rsidR="009C76E7" w:rsidRDefault="009C76E7" w:rsidP="009C76E7">
            <w:pPr>
              <w:pStyle w:val="TableParagraph"/>
              <w:kinsoku w:val="0"/>
              <w:overflowPunct w:val="0"/>
              <w:ind w:left="0"/>
              <w:jc w:val="both"/>
              <w:rPr>
                <w:spacing w:val="-5"/>
              </w:rPr>
            </w:pPr>
            <w:r>
              <w:rPr>
                <w:spacing w:val="-5"/>
              </w:rPr>
              <w:t>FY 2021-05</w:t>
            </w:r>
          </w:p>
        </w:tc>
      </w:tr>
      <w:tr w:rsidR="009C76E7" w14:paraId="54BCC97E" w14:textId="77777777" w:rsidTr="00277345">
        <w:tblPrEx>
          <w:tblLook w:val="04A0" w:firstRow="1" w:lastRow="0" w:firstColumn="1" w:lastColumn="0" w:noHBand="0" w:noVBand="1"/>
        </w:tblPrEx>
        <w:trPr>
          <w:trHeight w:val="1404"/>
        </w:trPr>
        <w:tc>
          <w:tcPr>
            <w:tcW w:w="1440" w:type="dxa"/>
          </w:tcPr>
          <w:p w14:paraId="4F1995A1" w14:textId="44714E39" w:rsidR="009C76E7" w:rsidRDefault="009C76E7" w:rsidP="00277345">
            <w:pPr>
              <w:pStyle w:val="TableParagraph"/>
              <w:kinsoku w:val="0"/>
              <w:overflowPunct w:val="0"/>
              <w:spacing w:line="292" w:lineRule="exact"/>
              <w:ind w:left="0"/>
            </w:pPr>
            <w:r>
              <w:t xml:space="preserve">FY 2024-08 </w:t>
            </w:r>
          </w:p>
        </w:tc>
        <w:tc>
          <w:tcPr>
            <w:tcW w:w="4721" w:type="dxa"/>
          </w:tcPr>
          <w:p w14:paraId="19E02ACD" w14:textId="77777777" w:rsidR="009C76E7" w:rsidRPr="00AE4F3D" w:rsidRDefault="009C76E7" w:rsidP="009C76E7">
            <w:pPr>
              <w:pStyle w:val="TableParagraph"/>
              <w:kinsoku w:val="0"/>
              <w:overflowPunct w:val="0"/>
              <w:ind w:left="0"/>
              <w:rPr>
                <w:rFonts w:eastAsia="Times New Roman"/>
                <w:b/>
                <w:bCs/>
              </w:rPr>
            </w:pPr>
            <w:r w:rsidRPr="00AE4F3D">
              <w:rPr>
                <w:rFonts w:eastAsia="Times New Roman"/>
                <w:b/>
                <w:bCs/>
              </w:rPr>
              <w:t>Consultation File Documentation</w:t>
            </w:r>
          </w:p>
          <w:p w14:paraId="238E175C" w14:textId="7B8D3E96" w:rsidR="009C76E7" w:rsidRPr="005366EC" w:rsidRDefault="00591C96" w:rsidP="009C76E7">
            <w:pPr>
              <w:pStyle w:val="TableParagraph"/>
              <w:kinsoku w:val="0"/>
              <w:overflowPunct w:val="0"/>
              <w:ind w:left="0"/>
              <w:rPr>
                <w:rFonts w:eastAsia="Times New Roman"/>
              </w:rPr>
            </w:pPr>
            <w:r>
              <w:rPr>
                <w:rFonts w:eastAsia="Times New Roman"/>
              </w:rPr>
              <w:t>In FY 2023, c</w:t>
            </w:r>
            <w:r w:rsidR="009C76E7" w:rsidRPr="009C76E7">
              <w:rPr>
                <w:rFonts w:eastAsia="Times New Roman"/>
              </w:rPr>
              <w:t>onsultation case file documentation was lacking. Specifically, the health files were missing the following: three out of five (60%) of the initial visits lacked a report, three out of five (60%) of the initial visits showing chlorine cylinder storage lacked evidence that coverage under the</w:t>
            </w:r>
            <w:r w:rsidR="009C76E7">
              <w:rPr>
                <w:rFonts w:eastAsia="Times New Roman"/>
              </w:rPr>
              <w:t xml:space="preserve"> </w:t>
            </w:r>
            <w:r w:rsidR="009C76E7" w:rsidRPr="009C76E7">
              <w:rPr>
                <w:rFonts w:eastAsia="Times New Roman"/>
              </w:rPr>
              <w:t>OSHA Process Safety Management Standard was evaluated and two of the three (66%) of the reports did not include all required years of injury/illness data. The safety consultation files were specifically missing the following: evidence in three of six (50%) of initial visits to support the issuance of notices under 1910.38, in two of two (100%) of the visits with an extension that the employer received an updated List of Hazards, evidence to support issuing lockout/tagout program notices for two visits and in two visits how hazards were corrected.</w:t>
            </w:r>
          </w:p>
        </w:tc>
        <w:tc>
          <w:tcPr>
            <w:tcW w:w="4819" w:type="dxa"/>
          </w:tcPr>
          <w:p w14:paraId="77AD4BA4" w14:textId="4D27C8EB" w:rsidR="009C76E7" w:rsidRDefault="009C76E7" w:rsidP="009C76E7">
            <w:pPr>
              <w:pStyle w:val="TableParagraph"/>
              <w:kinsoku w:val="0"/>
              <w:overflowPunct w:val="0"/>
              <w:ind w:left="0"/>
            </w:pPr>
            <w:r>
              <w:t xml:space="preserve">PEOSH should improve documentation in its consultation case files by adhering to CSP 02-00-05, Consultation Policies and Procedures Manual. </w:t>
            </w:r>
            <w:r w:rsidRPr="009C76E7">
              <w:t>Corrective action complete, awaiting verification.</w:t>
            </w:r>
          </w:p>
          <w:p w14:paraId="1D22DE0B" w14:textId="22C67981" w:rsidR="009C76E7" w:rsidRDefault="009C76E7" w:rsidP="009C76E7">
            <w:pPr>
              <w:pStyle w:val="TableParagraph"/>
              <w:kinsoku w:val="0"/>
              <w:overflowPunct w:val="0"/>
              <w:ind w:left="0"/>
            </w:pPr>
          </w:p>
        </w:tc>
        <w:tc>
          <w:tcPr>
            <w:tcW w:w="1890" w:type="dxa"/>
          </w:tcPr>
          <w:p w14:paraId="209B60C5" w14:textId="2DE4AABB" w:rsidR="009C76E7" w:rsidRDefault="009C76E7" w:rsidP="009C76E7">
            <w:pPr>
              <w:pStyle w:val="TableParagraph"/>
              <w:kinsoku w:val="0"/>
              <w:overflowPunct w:val="0"/>
              <w:ind w:left="0"/>
              <w:jc w:val="both"/>
              <w:rPr>
                <w:spacing w:val="-5"/>
              </w:rPr>
            </w:pPr>
            <w:r>
              <w:rPr>
                <w:spacing w:val="-5"/>
              </w:rPr>
              <w:t>FY 2023-08</w:t>
            </w:r>
          </w:p>
          <w:p w14:paraId="369403DB" w14:textId="341972C3" w:rsidR="009C76E7" w:rsidRDefault="009C76E7" w:rsidP="009C76E7">
            <w:pPr>
              <w:pStyle w:val="TableParagraph"/>
              <w:kinsoku w:val="0"/>
              <w:overflowPunct w:val="0"/>
              <w:ind w:left="0"/>
              <w:jc w:val="both"/>
              <w:rPr>
                <w:spacing w:val="-5"/>
              </w:rPr>
            </w:pPr>
            <w:r>
              <w:rPr>
                <w:spacing w:val="-5"/>
              </w:rPr>
              <w:t>FY 2022-06</w:t>
            </w:r>
          </w:p>
          <w:p w14:paraId="739F7AA7" w14:textId="5ADB2866" w:rsidR="009C76E7" w:rsidRDefault="009C76E7" w:rsidP="009C76E7">
            <w:pPr>
              <w:pStyle w:val="TableParagraph"/>
              <w:kinsoku w:val="0"/>
              <w:overflowPunct w:val="0"/>
              <w:ind w:left="0"/>
              <w:jc w:val="both"/>
              <w:rPr>
                <w:spacing w:val="-5"/>
              </w:rPr>
            </w:pPr>
            <w:r>
              <w:rPr>
                <w:spacing w:val="-5"/>
              </w:rPr>
              <w:t>FY 2021-06</w:t>
            </w:r>
          </w:p>
          <w:p w14:paraId="1C054541" w14:textId="3BC18AAB" w:rsidR="009C76E7" w:rsidRDefault="009C76E7" w:rsidP="009C76E7">
            <w:pPr>
              <w:pStyle w:val="TableParagraph"/>
              <w:kinsoku w:val="0"/>
              <w:overflowPunct w:val="0"/>
              <w:ind w:left="0"/>
              <w:jc w:val="both"/>
              <w:rPr>
                <w:spacing w:val="-5"/>
              </w:rPr>
            </w:pPr>
            <w:r>
              <w:rPr>
                <w:spacing w:val="-5"/>
              </w:rPr>
              <w:t>FY 2020-02</w:t>
            </w:r>
          </w:p>
          <w:p w14:paraId="713B4692" w14:textId="0583AEC4" w:rsidR="009C76E7" w:rsidRDefault="009C76E7" w:rsidP="009C76E7">
            <w:pPr>
              <w:pStyle w:val="TableParagraph"/>
              <w:kinsoku w:val="0"/>
              <w:overflowPunct w:val="0"/>
              <w:ind w:left="0"/>
              <w:jc w:val="both"/>
              <w:rPr>
                <w:spacing w:val="-5"/>
              </w:rPr>
            </w:pPr>
            <w:r>
              <w:rPr>
                <w:spacing w:val="-5"/>
              </w:rPr>
              <w:t>FY 2019-03</w:t>
            </w:r>
          </w:p>
          <w:p w14:paraId="5DAD199F" w14:textId="16944749" w:rsidR="009C76E7" w:rsidRDefault="009C76E7" w:rsidP="009C76E7">
            <w:pPr>
              <w:pStyle w:val="TableParagraph"/>
              <w:kinsoku w:val="0"/>
              <w:overflowPunct w:val="0"/>
              <w:ind w:left="0"/>
              <w:jc w:val="both"/>
              <w:rPr>
                <w:spacing w:val="-5"/>
              </w:rPr>
            </w:pPr>
          </w:p>
        </w:tc>
      </w:tr>
      <w:tr w:rsidR="009C76E7" w14:paraId="47EAC409" w14:textId="77777777" w:rsidTr="00AE4F3D">
        <w:trPr>
          <w:trHeight w:val="1070"/>
        </w:trPr>
        <w:tc>
          <w:tcPr>
            <w:tcW w:w="1440" w:type="dxa"/>
          </w:tcPr>
          <w:p w14:paraId="31DD5DB7" w14:textId="2CD95C9C" w:rsidR="009C76E7" w:rsidRDefault="009C76E7" w:rsidP="00277345">
            <w:pPr>
              <w:pStyle w:val="TableParagraph"/>
              <w:kinsoku w:val="0"/>
              <w:overflowPunct w:val="0"/>
              <w:spacing w:line="292" w:lineRule="exact"/>
              <w:ind w:left="0"/>
            </w:pPr>
            <w:bookmarkStart w:id="39" w:name="_Hlk190092780"/>
            <w:r>
              <w:t>FY 2024-09</w:t>
            </w:r>
          </w:p>
        </w:tc>
        <w:tc>
          <w:tcPr>
            <w:tcW w:w="4721" w:type="dxa"/>
          </w:tcPr>
          <w:p w14:paraId="35F415D4" w14:textId="03B227CD" w:rsidR="009C76E7" w:rsidRPr="00AE4F3D" w:rsidRDefault="009C76E7" w:rsidP="009C76E7">
            <w:pPr>
              <w:pStyle w:val="TableParagraph"/>
              <w:kinsoku w:val="0"/>
              <w:overflowPunct w:val="0"/>
              <w:ind w:left="0"/>
              <w:rPr>
                <w:rFonts w:eastAsia="Times New Roman"/>
                <w:b/>
                <w:bCs/>
              </w:rPr>
            </w:pPr>
            <w:r w:rsidRPr="00AE4F3D">
              <w:rPr>
                <w:rFonts w:eastAsia="Times New Roman"/>
                <w:b/>
                <w:bCs/>
              </w:rPr>
              <w:t xml:space="preserve">Revision to Consultation Policies and Procedures Manual </w:t>
            </w:r>
            <w:r w:rsidR="005B0627" w:rsidRPr="00AE4F3D">
              <w:rPr>
                <w:rFonts w:eastAsia="Times New Roman"/>
                <w:b/>
                <w:bCs/>
              </w:rPr>
              <w:t xml:space="preserve">(CPPM) </w:t>
            </w:r>
            <w:r w:rsidRPr="00AE4F3D">
              <w:rPr>
                <w:rFonts w:eastAsia="Times New Roman"/>
                <w:b/>
                <w:bCs/>
              </w:rPr>
              <w:t>Chapter on SHARP</w:t>
            </w:r>
          </w:p>
          <w:p w14:paraId="146113AB" w14:textId="20D79D7F" w:rsidR="009C76E7" w:rsidRPr="009C76E7" w:rsidRDefault="00587AD1" w:rsidP="004B7053">
            <w:r>
              <w:t>In FY 2024, t</w:t>
            </w:r>
            <w:r w:rsidRPr="00952D14">
              <w:t xml:space="preserve">he State Plan </w:t>
            </w:r>
            <w:r>
              <w:t xml:space="preserve">initiated </w:t>
            </w:r>
            <w:r w:rsidRPr="00952D14">
              <w:t xml:space="preserve">a Safety </w:t>
            </w:r>
            <w:r w:rsidRPr="00952D14">
              <w:lastRenderedPageBreak/>
              <w:t xml:space="preserve">and Health Achievement Program (SHARP) for </w:t>
            </w:r>
            <w:r>
              <w:t xml:space="preserve">state and local government </w:t>
            </w:r>
            <w:r w:rsidRPr="00952D14">
              <w:t xml:space="preserve">worksites to receive recognition for safety and health performance </w:t>
            </w:r>
            <w:r>
              <w:t xml:space="preserve">to include </w:t>
            </w:r>
            <w:r w:rsidRPr="00952D14">
              <w:t>exempt</w:t>
            </w:r>
            <w:r>
              <w:t>ions</w:t>
            </w:r>
            <w:r w:rsidRPr="00952D14">
              <w:t xml:space="preserve"> from programmed inspections</w:t>
            </w:r>
            <w:r>
              <w:t xml:space="preserve">.  </w:t>
            </w:r>
            <w:r w:rsidRPr="00952D14">
              <w:t xml:space="preserve">The </w:t>
            </w:r>
            <w:r>
              <w:t xml:space="preserve">New Jersey </w:t>
            </w:r>
            <w:r w:rsidRPr="00952D14">
              <w:t>State Plan has adopted the federal CPPM but the chapter on SHARP in this manual outlines the procedures for approving a SHARP request under procedures for the 21(d) and not the 23(g) grant</w:t>
            </w:r>
            <w:r>
              <w:t>, which are different</w:t>
            </w:r>
            <w:r w:rsidRPr="00952D14">
              <w:t xml:space="preserve">. </w:t>
            </w:r>
          </w:p>
        </w:tc>
        <w:tc>
          <w:tcPr>
            <w:tcW w:w="4819" w:type="dxa"/>
          </w:tcPr>
          <w:p w14:paraId="6B3C46F5" w14:textId="2E37B714" w:rsidR="009C76E7" w:rsidRDefault="002B4AFA" w:rsidP="009C76E7">
            <w:pPr>
              <w:pStyle w:val="TableParagraph"/>
              <w:kinsoku w:val="0"/>
              <w:overflowPunct w:val="0"/>
              <w:ind w:left="0"/>
            </w:pPr>
            <w:r>
              <w:lastRenderedPageBreak/>
              <w:t xml:space="preserve">PEOSH </w:t>
            </w:r>
            <w:r w:rsidR="005B0627">
              <w:t xml:space="preserve">needs to revise the chapter for SHARP in </w:t>
            </w:r>
            <w:r>
              <w:t>its</w:t>
            </w:r>
            <w:r w:rsidR="005B0627">
              <w:t xml:space="preserve"> CPPM</w:t>
            </w:r>
            <w:r w:rsidR="00952D14">
              <w:t xml:space="preserve"> to reflect their internal procedures for awarding SHARP status to</w:t>
            </w:r>
            <w:r w:rsidR="00995069">
              <w:t xml:space="preserve"> </w:t>
            </w:r>
            <w:r w:rsidR="00952D14">
              <w:t>worksites</w:t>
            </w:r>
            <w:r w:rsidR="00995069">
              <w:t xml:space="preserve"> covered by NJ PEOSH</w:t>
            </w:r>
            <w:r w:rsidR="005B0627">
              <w:t>.</w:t>
            </w:r>
          </w:p>
        </w:tc>
        <w:tc>
          <w:tcPr>
            <w:tcW w:w="1890" w:type="dxa"/>
          </w:tcPr>
          <w:p w14:paraId="027B1BEB" w14:textId="764C813C" w:rsidR="009C76E7" w:rsidRDefault="00B05B04" w:rsidP="009C76E7">
            <w:pPr>
              <w:pStyle w:val="TableParagraph"/>
              <w:kinsoku w:val="0"/>
              <w:overflowPunct w:val="0"/>
              <w:ind w:left="0"/>
              <w:jc w:val="both"/>
              <w:rPr>
                <w:spacing w:val="-5"/>
              </w:rPr>
            </w:pPr>
            <w:r>
              <w:rPr>
                <w:spacing w:val="-5"/>
              </w:rPr>
              <w:t>New</w:t>
            </w:r>
          </w:p>
        </w:tc>
      </w:tr>
      <w:bookmarkEnd w:id="39"/>
      <w:tr w:rsidR="005B0627" w14:paraId="5E9FBDDD" w14:textId="77777777" w:rsidTr="00277345">
        <w:tblPrEx>
          <w:tblLook w:val="04A0" w:firstRow="1" w:lastRow="0" w:firstColumn="1" w:lastColumn="0" w:noHBand="0" w:noVBand="1"/>
        </w:tblPrEx>
        <w:trPr>
          <w:trHeight w:val="1404"/>
        </w:trPr>
        <w:tc>
          <w:tcPr>
            <w:tcW w:w="1440" w:type="dxa"/>
          </w:tcPr>
          <w:p w14:paraId="5FCF031C" w14:textId="2C39AAE0" w:rsidR="005B0627" w:rsidRDefault="005B0627" w:rsidP="00277345">
            <w:pPr>
              <w:pStyle w:val="TableParagraph"/>
              <w:kinsoku w:val="0"/>
              <w:overflowPunct w:val="0"/>
              <w:spacing w:line="292" w:lineRule="exact"/>
              <w:ind w:left="0"/>
            </w:pPr>
            <w:r>
              <w:t>FY 2024-10</w:t>
            </w:r>
          </w:p>
        </w:tc>
        <w:tc>
          <w:tcPr>
            <w:tcW w:w="4721" w:type="dxa"/>
          </w:tcPr>
          <w:p w14:paraId="47FB7E7E" w14:textId="77777777" w:rsidR="00130713" w:rsidRPr="00AE4F3D" w:rsidRDefault="00130713" w:rsidP="00130713">
            <w:pPr>
              <w:pStyle w:val="TableParagraph"/>
              <w:kinsoku w:val="0"/>
              <w:overflowPunct w:val="0"/>
              <w:ind w:left="0"/>
              <w:rPr>
                <w:rFonts w:eastAsia="Times New Roman"/>
                <w:b/>
                <w:bCs/>
              </w:rPr>
            </w:pPr>
            <w:r w:rsidRPr="00AE4F3D">
              <w:rPr>
                <w:rFonts w:eastAsia="Times New Roman"/>
                <w:b/>
                <w:bCs/>
              </w:rPr>
              <w:t>Consultation Visit Exemption Policy for Enforcement Inspections</w:t>
            </w:r>
          </w:p>
          <w:p w14:paraId="464C3232" w14:textId="06C97F9D" w:rsidR="00A328D0" w:rsidRDefault="00A328D0" w:rsidP="00A328D0">
            <w:pPr>
              <w:widowControl/>
              <w:autoSpaceDE/>
              <w:autoSpaceDN/>
              <w:adjustRightInd/>
              <w:rPr>
                <w:rFonts w:cs="Calibri"/>
                <w:bCs/>
              </w:rPr>
            </w:pPr>
            <w:r w:rsidRPr="00952D14">
              <w:rPr>
                <w:rFonts w:cs="Calibri"/>
                <w:bCs/>
              </w:rPr>
              <w:t>New Jersey Administrative Code (N.J.A.C) 12:110-8.7(d) permits</w:t>
            </w:r>
            <w:r>
              <w:rPr>
                <w:rFonts w:cs="Calibri"/>
                <w:bCs/>
              </w:rPr>
              <w:t xml:space="preserve"> </w:t>
            </w:r>
            <w:r w:rsidRPr="00952D14">
              <w:rPr>
                <w:rFonts w:cs="Calibri"/>
                <w:bCs/>
              </w:rPr>
              <w:t>employers to be exempted from programmed enforcement inspections for one year following either a full-service safety or health consultation visit</w:t>
            </w:r>
            <w:r>
              <w:rPr>
                <w:rFonts w:cs="Calibri"/>
                <w:bCs/>
              </w:rPr>
              <w:t xml:space="preserve"> </w:t>
            </w:r>
            <w:r w:rsidRPr="00952D14">
              <w:rPr>
                <w:rFonts w:cs="Calibri"/>
                <w:bCs/>
              </w:rPr>
              <w:t>without the employer fulfilling the requirements of SHARP, or its equivalent</w:t>
            </w:r>
            <w:r>
              <w:rPr>
                <w:rFonts w:cs="Calibri"/>
                <w:bCs/>
              </w:rPr>
              <w:t>.  T</w:t>
            </w:r>
            <w:r w:rsidRPr="00952D14">
              <w:rPr>
                <w:rFonts w:cs="Calibri"/>
                <w:bCs/>
              </w:rPr>
              <w:t xml:space="preserve">his </w:t>
            </w:r>
            <w:r>
              <w:rPr>
                <w:rFonts w:cs="Calibri"/>
                <w:bCs/>
              </w:rPr>
              <w:t>policy</w:t>
            </w:r>
            <w:r w:rsidRPr="00952D14">
              <w:rPr>
                <w:rFonts w:cs="Calibri"/>
                <w:bCs/>
              </w:rPr>
              <w:t xml:space="preserve"> does not meet the criteria for federal OSHA’s enforcement programmed inspection exemption</w:t>
            </w:r>
            <w:r>
              <w:rPr>
                <w:rFonts w:cs="Calibri"/>
                <w:bCs/>
              </w:rPr>
              <w:t>.</w:t>
            </w:r>
            <w:r w:rsidRPr="00952D14">
              <w:rPr>
                <w:rFonts w:cs="Calibri"/>
                <w:bCs/>
              </w:rPr>
              <w:t xml:space="preserve"> </w:t>
            </w:r>
          </w:p>
          <w:p w14:paraId="23B738E4" w14:textId="1A122CC5" w:rsidR="005B0627" w:rsidRDefault="005B0627" w:rsidP="00130713">
            <w:pPr>
              <w:pStyle w:val="TableParagraph"/>
              <w:kinsoku w:val="0"/>
              <w:overflowPunct w:val="0"/>
              <w:ind w:left="0"/>
              <w:rPr>
                <w:rFonts w:eastAsia="Times New Roman"/>
                <w:i/>
                <w:iCs/>
              </w:rPr>
            </w:pPr>
          </w:p>
        </w:tc>
        <w:tc>
          <w:tcPr>
            <w:tcW w:w="4819" w:type="dxa"/>
          </w:tcPr>
          <w:p w14:paraId="04C8917B" w14:textId="3474D4E0" w:rsidR="00130713" w:rsidRDefault="002B4AFA" w:rsidP="00130713">
            <w:pPr>
              <w:pStyle w:val="TableParagraph"/>
              <w:kinsoku w:val="0"/>
              <w:overflowPunct w:val="0"/>
            </w:pPr>
            <w:r>
              <w:t xml:space="preserve">PEOSH </w:t>
            </w:r>
            <w:r w:rsidR="00130713">
              <w:t xml:space="preserve">needs to continue to work with </w:t>
            </w:r>
            <w:r>
              <w:t xml:space="preserve">its </w:t>
            </w:r>
            <w:r w:rsidR="00130713">
              <w:t>counsel’s office to repeal this enforcement exemption policy as soon as possible and ensure that the future exemption program is at least as effective as OSHA’s inspection programmed exemption policy.</w:t>
            </w:r>
          </w:p>
          <w:p w14:paraId="1D81C366" w14:textId="77777777" w:rsidR="00130713" w:rsidRDefault="00130713" w:rsidP="00130713">
            <w:pPr>
              <w:pStyle w:val="TableParagraph"/>
              <w:kinsoku w:val="0"/>
              <w:overflowPunct w:val="0"/>
            </w:pPr>
          </w:p>
          <w:p w14:paraId="55CEABA7" w14:textId="63647BE6" w:rsidR="005B0627" w:rsidRDefault="00130713" w:rsidP="00A328D0">
            <w:pPr>
              <w:pStyle w:val="TableParagraph"/>
              <w:kinsoku w:val="0"/>
              <w:overflowPunct w:val="0"/>
            </w:pPr>
            <w:r>
              <w:t xml:space="preserve">In the interim, </w:t>
            </w:r>
            <w:r w:rsidR="002B4AFA">
              <w:t xml:space="preserve">PEOSH </w:t>
            </w:r>
            <w:r>
              <w:t xml:space="preserve">should notify employers and stakeholders of this pending change, encourage employers to participate in the Pre-SHARP and SHARP programs, and ensure that enforcement staff is aware of the sites exempted from programmed inspections. </w:t>
            </w:r>
          </w:p>
          <w:p w14:paraId="470E5600" w14:textId="29E8EC88" w:rsidR="00A328D0" w:rsidRDefault="00A328D0" w:rsidP="00A328D0">
            <w:pPr>
              <w:pStyle w:val="TableParagraph"/>
              <w:kinsoku w:val="0"/>
              <w:overflowPunct w:val="0"/>
            </w:pPr>
          </w:p>
        </w:tc>
        <w:tc>
          <w:tcPr>
            <w:tcW w:w="1890" w:type="dxa"/>
          </w:tcPr>
          <w:p w14:paraId="0C06094E" w14:textId="3BDC5D7A" w:rsidR="005B0627" w:rsidRDefault="00B05B04" w:rsidP="009C76E7">
            <w:pPr>
              <w:pStyle w:val="TableParagraph"/>
              <w:kinsoku w:val="0"/>
              <w:overflowPunct w:val="0"/>
              <w:ind w:left="0"/>
              <w:jc w:val="both"/>
              <w:rPr>
                <w:spacing w:val="-5"/>
              </w:rPr>
            </w:pPr>
            <w:r>
              <w:rPr>
                <w:spacing w:val="-5"/>
              </w:rPr>
              <w:t>New</w:t>
            </w:r>
          </w:p>
        </w:tc>
      </w:tr>
    </w:tbl>
    <w:p w14:paraId="3C1E0E19" w14:textId="77777777" w:rsidR="000A134A" w:rsidRPr="001C1E47" w:rsidRDefault="000A134A" w:rsidP="007A71AC">
      <w:pPr>
        <w:widowControl/>
        <w:autoSpaceDE/>
        <w:autoSpaceDN/>
        <w:adjustRightInd/>
        <w:rPr>
          <w:rFonts w:cs="Calibri"/>
        </w:rPr>
      </w:pPr>
    </w:p>
    <w:p w14:paraId="003E7189" w14:textId="77777777" w:rsidR="000A134A" w:rsidRPr="00476C08" w:rsidRDefault="000A134A" w:rsidP="007A71AC">
      <w:pPr>
        <w:widowControl/>
        <w:autoSpaceDE/>
        <w:autoSpaceDN/>
        <w:adjustRightInd/>
        <w:rPr>
          <w:rFonts w:cs="Calibri"/>
          <w:iCs/>
          <w:color w:val="0070C0"/>
        </w:rPr>
      </w:pPr>
    </w:p>
    <w:p w14:paraId="715EFD78" w14:textId="29B931A0" w:rsidR="00D86879" w:rsidRDefault="00D86879" w:rsidP="007A71AC">
      <w:pPr>
        <w:widowControl/>
        <w:autoSpaceDE/>
        <w:autoSpaceDN/>
        <w:adjustRightInd/>
        <w:rPr>
          <w:rFonts w:cs="Calibri"/>
          <w:i/>
        </w:rPr>
      </w:pPr>
    </w:p>
    <w:p w14:paraId="40B19B7F" w14:textId="78A71ED7" w:rsidR="005B7803" w:rsidRDefault="005B7803" w:rsidP="007A71AC">
      <w:pPr>
        <w:widowControl/>
        <w:autoSpaceDE/>
        <w:autoSpaceDN/>
        <w:adjustRightInd/>
        <w:rPr>
          <w:rFonts w:cs="Calibri"/>
          <w:i/>
        </w:rPr>
      </w:pPr>
    </w:p>
    <w:p w14:paraId="3E5717CA" w14:textId="2E3879A0" w:rsidR="005B7803" w:rsidRDefault="005B7803" w:rsidP="007A71AC">
      <w:pPr>
        <w:widowControl/>
        <w:autoSpaceDE/>
        <w:autoSpaceDN/>
        <w:adjustRightInd/>
        <w:rPr>
          <w:rFonts w:cs="Calibri"/>
          <w:i/>
        </w:rPr>
      </w:pPr>
    </w:p>
    <w:p w14:paraId="25F1A5DD" w14:textId="77777777" w:rsidR="00300149" w:rsidRPr="001C1E47" w:rsidRDefault="0030014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40" w:name="_Toc118905018"/>
      <w:bookmarkStart w:id="41" w:name="_Toc119418670"/>
      <w:r w:rsidRPr="0002572C">
        <w:lastRenderedPageBreak/>
        <w:t>Appendix B – Observations Subject to Continued Monitoring</w:t>
      </w:r>
      <w:bookmarkEnd w:id="40"/>
      <w:bookmarkEnd w:id="41"/>
    </w:p>
    <w:p w14:paraId="73014EBD" w14:textId="27FCC2B8" w:rsidR="00B6741C" w:rsidRPr="00F0678A" w:rsidRDefault="00B6741C" w:rsidP="0002572C">
      <w:r>
        <w:t>FY 20</w:t>
      </w:r>
      <w:r w:rsidR="00FE5768">
        <w:t>2</w:t>
      </w:r>
      <w:r w:rsidR="00075310">
        <w:t>4</w:t>
      </w:r>
      <w:r w:rsidR="00FE5768">
        <w:t xml:space="preserve"> NJ PEOSH</w:t>
      </w:r>
      <w:r w:rsidRPr="00476C08">
        <w:rPr>
          <w:color w:val="0070C0"/>
        </w:rPr>
        <w:t xml:space="preserve"> </w:t>
      </w:r>
      <w:r>
        <w:t>Follow-up FAME Report</w:t>
      </w:r>
    </w:p>
    <w:p w14:paraId="1ABEA8F4" w14:textId="77777777" w:rsidR="00492379" w:rsidRDefault="00492379" w:rsidP="007A71AC">
      <w:pPr>
        <w:widowControl/>
        <w:autoSpaceDE/>
        <w:autoSpaceDN/>
        <w:adjustRightInd/>
        <w:rPr>
          <w:rFonts w:cs="Calibri"/>
          <w:i/>
        </w:rPr>
      </w:pPr>
    </w:p>
    <w:p w14:paraId="61F273E4" w14:textId="42784367" w:rsidR="00DA2299" w:rsidRPr="001C1E47" w:rsidRDefault="00DA2299" w:rsidP="007A71AC">
      <w:pPr>
        <w:widowControl/>
        <w:autoSpaceDE/>
        <w:autoSpaceDN/>
        <w:adjustRightInd/>
        <w:rPr>
          <w:rFonts w:cs="Calibri"/>
          <w:i/>
        </w:rPr>
        <w:sectPr w:rsidR="00DA229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1"/>
        <w:tblW w:w="13586" w:type="dxa"/>
        <w:tblLook w:val="04A0" w:firstRow="1" w:lastRow="0" w:firstColumn="1" w:lastColumn="0" w:noHBand="0" w:noVBand="1"/>
      </w:tblPr>
      <w:tblGrid>
        <w:gridCol w:w="2657"/>
        <w:gridCol w:w="2108"/>
        <w:gridCol w:w="3420"/>
        <w:gridCol w:w="3961"/>
        <w:gridCol w:w="1440"/>
      </w:tblGrid>
      <w:tr w:rsidR="00B6741C" w:rsidRPr="004A34BD" w14:paraId="266E8016" w14:textId="4E26EFF8" w:rsidTr="00AE4F3D">
        <w:trPr>
          <w:trHeight w:val="845"/>
        </w:trPr>
        <w:tc>
          <w:tcPr>
            <w:tcW w:w="2657" w:type="dxa"/>
          </w:tcPr>
          <w:p w14:paraId="5950BEA4" w14:textId="77777777"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Observation #</w:t>
            </w:r>
          </w:p>
          <w:p w14:paraId="09AE72D2" w14:textId="337C0810"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FY 20</w:t>
            </w:r>
            <w:r w:rsidR="00FE5768" w:rsidRPr="004A34BD">
              <w:rPr>
                <w:rFonts w:asciiTheme="minorHAnsi" w:hAnsiTheme="minorHAnsi" w:cstheme="minorHAnsi"/>
                <w:b/>
              </w:rPr>
              <w:t>2</w:t>
            </w:r>
            <w:r w:rsidR="00075310">
              <w:rPr>
                <w:rFonts w:asciiTheme="minorHAnsi" w:hAnsiTheme="minorHAnsi" w:cstheme="minorHAnsi"/>
                <w:b/>
              </w:rPr>
              <w:t>4</w:t>
            </w:r>
            <w:r w:rsidRPr="004A34BD">
              <w:rPr>
                <w:rFonts w:asciiTheme="minorHAnsi" w:hAnsiTheme="minorHAnsi" w:cstheme="minorHAnsi"/>
                <w:b/>
              </w:rPr>
              <w:t>-OB-#</w:t>
            </w:r>
          </w:p>
          <w:p w14:paraId="07702D17" w14:textId="77777777" w:rsidR="00B6741C" w:rsidRPr="004A34BD" w:rsidRDefault="00B6741C" w:rsidP="00B6741C">
            <w:pPr>
              <w:widowControl/>
              <w:autoSpaceDE/>
              <w:autoSpaceDN/>
              <w:adjustRightInd/>
              <w:rPr>
                <w:rFonts w:asciiTheme="minorHAnsi" w:hAnsiTheme="minorHAnsi" w:cstheme="minorHAnsi"/>
                <w:i/>
              </w:rPr>
            </w:pPr>
          </w:p>
        </w:tc>
        <w:tc>
          <w:tcPr>
            <w:tcW w:w="2108" w:type="dxa"/>
          </w:tcPr>
          <w:p w14:paraId="5B8F9311" w14:textId="77777777"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Observation#</w:t>
            </w:r>
          </w:p>
          <w:p w14:paraId="757E85A6" w14:textId="70CA74CB"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FY 20</w:t>
            </w:r>
            <w:r w:rsidR="00FE5768" w:rsidRPr="004A34BD">
              <w:rPr>
                <w:rFonts w:asciiTheme="minorHAnsi" w:hAnsiTheme="minorHAnsi" w:cstheme="minorHAnsi"/>
                <w:b/>
              </w:rPr>
              <w:t>2</w:t>
            </w:r>
            <w:r w:rsidR="005B0627">
              <w:rPr>
                <w:rFonts w:asciiTheme="minorHAnsi" w:hAnsiTheme="minorHAnsi" w:cstheme="minorHAnsi"/>
                <w:b/>
              </w:rPr>
              <w:t>3</w:t>
            </w:r>
            <w:r w:rsidRPr="004A34BD">
              <w:rPr>
                <w:rFonts w:asciiTheme="minorHAnsi" w:hAnsiTheme="minorHAnsi" w:cstheme="minorHAnsi"/>
                <w:b/>
              </w:rPr>
              <w:t xml:space="preserve">-OB-# </w:t>
            </w:r>
            <w:r w:rsidRPr="004A34BD">
              <w:rPr>
                <w:rFonts w:asciiTheme="minorHAnsi" w:hAnsiTheme="minorHAnsi" w:cstheme="minorHAnsi"/>
                <w:b/>
                <w:i/>
              </w:rPr>
              <w:t>or</w:t>
            </w:r>
            <w:r w:rsidRPr="004A34BD">
              <w:rPr>
                <w:rFonts w:asciiTheme="minorHAnsi" w:hAnsiTheme="minorHAnsi" w:cstheme="minorHAnsi"/>
                <w:b/>
              </w:rPr>
              <w:t xml:space="preserve"> FY 20</w:t>
            </w:r>
            <w:r w:rsidR="00FE5768" w:rsidRPr="004A34BD">
              <w:rPr>
                <w:rFonts w:asciiTheme="minorHAnsi" w:hAnsiTheme="minorHAnsi" w:cstheme="minorHAnsi"/>
                <w:b/>
              </w:rPr>
              <w:t>2</w:t>
            </w:r>
            <w:r w:rsidR="005B0627">
              <w:rPr>
                <w:rFonts w:asciiTheme="minorHAnsi" w:hAnsiTheme="minorHAnsi" w:cstheme="minorHAnsi"/>
                <w:b/>
              </w:rPr>
              <w:t>3</w:t>
            </w:r>
            <w:r w:rsidRPr="004A34BD">
              <w:rPr>
                <w:rFonts w:asciiTheme="minorHAnsi" w:hAnsiTheme="minorHAnsi" w:cstheme="minorHAnsi"/>
                <w:b/>
              </w:rPr>
              <w:t>-#</w:t>
            </w:r>
          </w:p>
        </w:tc>
        <w:tc>
          <w:tcPr>
            <w:tcW w:w="3420" w:type="dxa"/>
          </w:tcPr>
          <w:p w14:paraId="11DA1749" w14:textId="7AE042CC"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Observation</w:t>
            </w:r>
          </w:p>
        </w:tc>
        <w:tc>
          <w:tcPr>
            <w:tcW w:w="3961" w:type="dxa"/>
          </w:tcPr>
          <w:p w14:paraId="76BC073C" w14:textId="70BBC1B0" w:rsidR="00B6741C" w:rsidRPr="004A34BD" w:rsidRDefault="00B6741C" w:rsidP="00B6741C">
            <w:pPr>
              <w:widowControl/>
              <w:autoSpaceDE/>
              <w:autoSpaceDN/>
              <w:adjustRightInd/>
              <w:rPr>
                <w:rFonts w:asciiTheme="minorHAnsi" w:hAnsiTheme="minorHAnsi" w:cstheme="minorHAnsi"/>
                <w:i/>
              </w:rPr>
            </w:pPr>
            <w:r w:rsidRPr="004A34BD">
              <w:rPr>
                <w:rFonts w:asciiTheme="minorHAnsi" w:hAnsiTheme="minorHAnsi" w:cstheme="minorHAnsi"/>
                <w:b/>
              </w:rPr>
              <w:t>Federal Monitoring Plan</w:t>
            </w:r>
          </w:p>
        </w:tc>
        <w:tc>
          <w:tcPr>
            <w:tcW w:w="1440" w:type="dxa"/>
          </w:tcPr>
          <w:p w14:paraId="46D0EE63" w14:textId="4A2BA825" w:rsidR="00B6741C" w:rsidRPr="004A34BD" w:rsidRDefault="00B6741C" w:rsidP="00B6741C">
            <w:pPr>
              <w:widowControl/>
              <w:autoSpaceDE/>
              <w:autoSpaceDN/>
              <w:adjustRightInd/>
              <w:rPr>
                <w:rFonts w:asciiTheme="minorHAnsi" w:hAnsiTheme="minorHAnsi" w:cstheme="minorHAnsi"/>
                <w:b/>
              </w:rPr>
            </w:pPr>
            <w:r w:rsidRPr="004A34BD">
              <w:rPr>
                <w:rFonts w:asciiTheme="minorHAnsi" w:hAnsiTheme="minorHAnsi" w:cstheme="minorHAnsi"/>
                <w:b/>
              </w:rPr>
              <w:t>Current Status</w:t>
            </w:r>
          </w:p>
        </w:tc>
      </w:tr>
      <w:tr w:rsidR="00B6741C" w:rsidRPr="004A34BD" w14:paraId="715083EB" w14:textId="58561804" w:rsidTr="00AE4F3D">
        <w:tc>
          <w:tcPr>
            <w:tcW w:w="2657" w:type="dxa"/>
          </w:tcPr>
          <w:p w14:paraId="7834860F" w14:textId="35B07193" w:rsidR="00B6741C" w:rsidRPr="005B0627" w:rsidRDefault="005B0627" w:rsidP="00B6741C">
            <w:pPr>
              <w:widowControl/>
              <w:autoSpaceDE/>
              <w:autoSpaceDN/>
              <w:adjustRightInd/>
              <w:rPr>
                <w:rFonts w:asciiTheme="minorHAnsi" w:hAnsiTheme="minorHAnsi" w:cstheme="minorHAnsi"/>
                <w:iCs/>
              </w:rPr>
            </w:pPr>
            <w:r>
              <w:rPr>
                <w:rFonts w:asciiTheme="minorHAnsi" w:hAnsiTheme="minorHAnsi" w:cstheme="minorHAnsi"/>
                <w:iCs/>
              </w:rPr>
              <w:t>FY 2024-OB-01</w:t>
            </w:r>
          </w:p>
        </w:tc>
        <w:tc>
          <w:tcPr>
            <w:tcW w:w="2108" w:type="dxa"/>
          </w:tcPr>
          <w:p w14:paraId="090AE0CF" w14:textId="77777777" w:rsidR="005B0627" w:rsidRDefault="005B0627" w:rsidP="00B6741C">
            <w:pPr>
              <w:widowControl/>
              <w:autoSpaceDE/>
              <w:autoSpaceDN/>
              <w:adjustRightInd/>
              <w:rPr>
                <w:rFonts w:asciiTheme="minorHAnsi" w:hAnsiTheme="minorHAnsi" w:cstheme="minorHAnsi"/>
                <w:iCs/>
              </w:rPr>
            </w:pPr>
            <w:r>
              <w:rPr>
                <w:rFonts w:asciiTheme="minorHAnsi" w:hAnsiTheme="minorHAnsi" w:cstheme="minorHAnsi"/>
                <w:iCs/>
              </w:rPr>
              <w:t>FY 2023-OB-01</w:t>
            </w:r>
          </w:p>
          <w:p w14:paraId="1207E4E3" w14:textId="1999F7D3" w:rsidR="00B6741C" w:rsidRPr="004A34BD" w:rsidRDefault="005B0627" w:rsidP="00B6741C">
            <w:pPr>
              <w:widowControl/>
              <w:autoSpaceDE/>
              <w:autoSpaceDN/>
              <w:adjustRightInd/>
              <w:rPr>
                <w:rFonts w:asciiTheme="minorHAnsi" w:hAnsiTheme="minorHAnsi" w:cstheme="minorHAnsi"/>
                <w:iCs/>
                <w:color w:val="0070C0"/>
              </w:rPr>
            </w:pPr>
            <w:r>
              <w:rPr>
                <w:rFonts w:asciiTheme="minorHAnsi" w:hAnsiTheme="minorHAnsi" w:cstheme="minorHAnsi"/>
                <w:iCs/>
              </w:rPr>
              <w:t>FY 2022-OB-08</w:t>
            </w:r>
            <w:r>
              <w:rPr>
                <w:rFonts w:asciiTheme="minorHAnsi" w:hAnsiTheme="minorHAnsi" w:cstheme="minorHAnsi"/>
                <w:iCs/>
                <w:color w:val="0070C0"/>
              </w:rPr>
              <w:t xml:space="preserve"> </w:t>
            </w:r>
          </w:p>
        </w:tc>
        <w:tc>
          <w:tcPr>
            <w:tcW w:w="3420" w:type="dxa"/>
          </w:tcPr>
          <w:p w14:paraId="14E32AED" w14:textId="77777777" w:rsidR="00186817" w:rsidRPr="00AE4F3D" w:rsidRDefault="00186817" w:rsidP="00EA72BE">
            <w:pPr>
              <w:widowControl/>
              <w:autoSpaceDE/>
              <w:autoSpaceDN/>
              <w:adjustRightInd/>
              <w:rPr>
                <w:rFonts w:asciiTheme="minorHAnsi" w:hAnsiTheme="minorHAnsi" w:cstheme="minorHAnsi"/>
                <w:b/>
                <w:bCs/>
                <w:iCs/>
              </w:rPr>
            </w:pPr>
            <w:r w:rsidRPr="00AE4F3D">
              <w:rPr>
                <w:rFonts w:asciiTheme="minorHAnsi" w:hAnsiTheme="minorHAnsi" w:cstheme="minorHAnsi"/>
                <w:b/>
                <w:bCs/>
                <w:iCs/>
              </w:rPr>
              <w:t>OIS Open Inspection Report-Pending Citations</w:t>
            </w:r>
          </w:p>
          <w:p w14:paraId="53E4A09F" w14:textId="2320E0A0" w:rsidR="00E26101" w:rsidRPr="004A34BD" w:rsidRDefault="00186817" w:rsidP="00EA72BE">
            <w:pPr>
              <w:widowControl/>
              <w:autoSpaceDE/>
              <w:autoSpaceDN/>
              <w:adjustRightInd/>
              <w:rPr>
                <w:rFonts w:asciiTheme="minorHAnsi" w:hAnsiTheme="minorHAnsi" w:cstheme="minorHAnsi"/>
                <w:iCs/>
                <w:color w:val="0070C0"/>
              </w:rPr>
            </w:pPr>
            <w:r w:rsidRPr="00186817">
              <w:rPr>
                <w:rFonts w:asciiTheme="minorHAnsi" w:hAnsiTheme="minorHAnsi" w:cstheme="minorHAnsi"/>
                <w:iCs/>
              </w:rPr>
              <w:t>An OIS Open Inspection Report</w:t>
            </w:r>
            <w:r w:rsidR="00EE21AD">
              <w:rPr>
                <w:rFonts w:asciiTheme="minorHAnsi" w:hAnsiTheme="minorHAnsi" w:cstheme="minorHAnsi"/>
                <w:iCs/>
              </w:rPr>
              <w:t>,</w:t>
            </w:r>
            <w:r w:rsidRPr="00186817">
              <w:rPr>
                <w:rFonts w:asciiTheme="minorHAnsi" w:hAnsiTheme="minorHAnsi" w:cstheme="minorHAnsi"/>
                <w:iCs/>
              </w:rPr>
              <w:t xml:space="preserve"> run on February 9, 2025</w:t>
            </w:r>
            <w:r w:rsidR="00EE21AD">
              <w:rPr>
                <w:rFonts w:asciiTheme="minorHAnsi" w:hAnsiTheme="minorHAnsi" w:cstheme="minorHAnsi"/>
                <w:iCs/>
              </w:rPr>
              <w:t>,</w:t>
            </w:r>
            <w:r w:rsidRPr="00186817">
              <w:rPr>
                <w:rFonts w:asciiTheme="minorHAnsi" w:hAnsiTheme="minorHAnsi" w:cstheme="minorHAnsi"/>
                <w:iCs/>
              </w:rPr>
              <w:t xml:space="preserve"> showed 15 inspection files that were opened more than 180 calendar days or six months. The number of days opened ranged from 201-1,377 calendar days</w:t>
            </w:r>
            <w:r w:rsidR="00300149">
              <w:rPr>
                <w:rFonts w:asciiTheme="minorHAnsi" w:hAnsiTheme="minorHAnsi" w:cstheme="minorHAnsi"/>
                <w:iCs/>
              </w:rPr>
              <w:t>.</w:t>
            </w:r>
          </w:p>
        </w:tc>
        <w:tc>
          <w:tcPr>
            <w:tcW w:w="3961" w:type="dxa"/>
          </w:tcPr>
          <w:p w14:paraId="04F2CA88" w14:textId="4338B9E9" w:rsidR="00B6741C" w:rsidRPr="004A34BD" w:rsidRDefault="00186817" w:rsidP="00B6741C">
            <w:pPr>
              <w:widowControl/>
              <w:autoSpaceDE/>
              <w:autoSpaceDN/>
              <w:adjustRightInd/>
              <w:rPr>
                <w:rFonts w:asciiTheme="minorHAnsi" w:hAnsiTheme="minorHAnsi" w:cstheme="minorHAnsi"/>
                <w:iCs/>
                <w:color w:val="0070C0"/>
              </w:rPr>
            </w:pPr>
            <w:r w:rsidRPr="00186817">
              <w:rPr>
                <w:rFonts w:asciiTheme="minorHAnsi" w:hAnsiTheme="minorHAnsi" w:cstheme="minorHAnsi"/>
                <w:iCs/>
              </w:rPr>
              <w:t>OSHA will continue to review the OIS Open Inspection Report quarterly to monitor the State Plan’s progress in issuing these citations. OSHA will encourage PEOSH to revise this section of the FOM and clarify the discrepancy between these documents but ensure that federal at least as effective (ALAE) standards are met.</w:t>
            </w:r>
          </w:p>
        </w:tc>
        <w:tc>
          <w:tcPr>
            <w:tcW w:w="1440" w:type="dxa"/>
          </w:tcPr>
          <w:p w14:paraId="79E4394D" w14:textId="07739DD6" w:rsidR="00B6741C" w:rsidRPr="004A34BD" w:rsidRDefault="005B0627" w:rsidP="00B6741C">
            <w:pPr>
              <w:widowControl/>
              <w:autoSpaceDE/>
              <w:autoSpaceDN/>
              <w:adjustRightInd/>
              <w:rPr>
                <w:rFonts w:asciiTheme="minorHAnsi" w:hAnsiTheme="minorHAnsi" w:cstheme="minorHAnsi"/>
                <w:iCs/>
              </w:rPr>
            </w:pPr>
            <w:r>
              <w:rPr>
                <w:rFonts w:asciiTheme="minorHAnsi" w:hAnsiTheme="minorHAnsi" w:cstheme="minorHAnsi"/>
                <w:iCs/>
              </w:rPr>
              <w:t>Continued</w:t>
            </w:r>
          </w:p>
        </w:tc>
      </w:tr>
      <w:tr w:rsidR="00067DAA" w:rsidRPr="004A34BD" w14:paraId="5167D119" w14:textId="77777777" w:rsidTr="00AE4F3D">
        <w:tc>
          <w:tcPr>
            <w:tcW w:w="2657" w:type="dxa"/>
          </w:tcPr>
          <w:p w14:paraId="19F829A8" w14:textId="6C298377" w:rsidR="00067DAA" w:rsidRPr="004A34BD" w:rsidRDefault="00186817" w:rsidP="00B6741C">
            <w:pPr>
              <w:widowControl/>
              <w:autoSpaceDE/>
              <w:autoSpaceDN/>
              <w:adjustRightInd/>
              <w:rPr>
                <w:rFonts w:asciiTheme="minorHAnsi" w:hAnsiTheme="minorHAnsi" w:cstheme="minorHAnsi"/>
                <w:iCs/>
                <w:color w:val="0070C0"/>
              </w:rPr>
            </w:pPr>
            <w:r w:rsidRPr="00186817">
              <w:rPr>
                <w:rFonts w:asciiTheme="minorHAnsi" w:hAnsiTheme="minorHAnsi" w:cstheme="minorHAnsi"/>
                <w:iCs/>
              </w:rPr>
              <w:t>FY 2024-OB-02</w:t>
            </w:r>
          </w:p>
        </w:tc>
        <w:tc>
          <w:tcPr>
            <w:tcW w:w="2108" w:type="dxa"/>
          </w:tcPr>
          <w:p w14:paraId="778BB99D" w14:textId="77777777" w:rsidR="00067DAA" w:rsidRDefault="00186817" w:rsidP="00B6741C">
            <w:pPr>
              <w:widowControl/>
              <w:autoSpaceDE/>
              <w:autoSpaceDN/>
              <w:adjustRightInd/>
              <w:rPr>
                <w:rFonts w:asciiTheme="minorHAnsi" w:hAnsiTheme="minorHAnsi" w:cstheme="minorHAnsi"/>
                <w:iCs/>
              </w:rPr>
            </w:pPr>
            <w:r>
              <w:rPr>
                <w:rFonts w:asciiTheme="minorHAnsi" w:hAnsiTheme="minorHAnsi" w:cstheme="minorHAnsi"/>
                <w:iCs/>
              </w:rPr>
              <w:t>FY 2023-OB-02</w:t>
            </w:r>
          </w:p>
          <w:p w14:paraId="6062E161" w14:textId="52C2EF77" w:rsidR="00186817" w:rsidRPr="004A34BD" w:rsidRDefault="00186817" w:rsidP="00B6741C">
            <w:pPr>
              <w:widowControl/>
              <w:autoSpaceDE/>
              <w:autoSpaceDN/>
              <w:adjustRightInd/>
              <w:rPr>
                <w:rFonts w:asciiTheme="minorHAnsi" w:hAnsiTheme="minorHAnsi" w:cstheme="minorHAnsi"/>
                <w:iCs/>
              </w:rPr>
            </w:pPr>
            <w:r>
              <w:rPr>
                <w:rFonts w:asciiTheme="minorHAnsi" w:hAnsiTheme="minorHAnsi" w:cstheme="minorHAnsi"/>
                <w:iCs/>
              </w:rPr>
              <w:t>FY 2022-OB-07</w:t>
            </w:r>
          </w:p>
        </w:tc>
        <w:tc>
          <w:tcPr>
            <w:tcW w:w="3420" w:type="dxa"/>
          </w:tcPr>
          <w:p w14:paraId="7DCF0985" w14:textId="77777777" w:rsidR="00186817" w:rsidRPr="00AE4F3D" w:rsidRDefault="00186817" w:rsidP="00186817">
            <w:pPr>
              <w:widowControl/>
              <w:autoSpaceDE/>
              <w:autoSpaceDN/>
              <w:adjustRightInd/>
              <w:rPr>
                <w:rFonts w:asciiTheme="minorHAnsi" w:hAnsiTheme="minorHAnsi" w:cstheme="minorHAnsi"/>
                <w:b/>
                <w:bCs/>
              </w:rPr>
            </w:pPr>
            <w:r w:rsidRPr="00AE4F3D">
              <w:rPr>
                <w:rFonts w:asciiTheme="minorHAnsi" w:hAnsiTheme="minorHAnsi" w:cstheme="minorHAnsi"/>
                <w:b/>
                <w:bCs/>
              </w:rPr>
              <w:t>OIS Open Inspection Report-Pending Abatement</w:t>
            </w:r>
          </w:p>
          <w:p w14:paraId="4ED7A936" w14:textId="3A33ED95" w:rsidR="00186817" w:rsidRPr="00186817" w:rsidRDefault="00186817" w:rsidP="00186817">
            <w:pPr>
              <w:widowControl/>
              <w:autoSpaceDE/>
              <w:autoSpaceDN/>
              <w:adjustRightInd/>
              <w:rPr>
                <w:rFonts w:asciiTheme="minorHAnsi" w:hAnsiTheme="minorHAnsi" w:cstheme="minorHAnsi"/>
              </w:rPr>
            </w:pPr>
            <w:r w:rsidRPr="00186817">
              <w:rPr>
                <w:rFonts w:asciiTheme="minorHAnsi" w:hAnsiTheme="minorHAnsi" w:cstheme="minorHAnsi"/>
              </w:rPr>
              <w:t>An OIS Open Inspection Report</w:t>
            </w:r>
            <w:r w:rsidR="004043DC">
              <w:rPr>
                <w:rFonts w:asciiTheme="minorHAnsi" w:hAnsiTheme="minorHAnsi" w:cstheme="minorHAnsi"/>
              </w:rPr>
              <w:t>,</w:t>
            </w:r>
            <w:r w:rsidRPr="00186817">
              <w:rPr>
                <w:rFonts w:asciiTheme="minorHAnsi" w:hAnsiTheme="minorHAnsi" w:cstheme="minorHAnsi"/>
              </w:rPr>
              <w:t xml:space="preserve"> run on February 9, 2025</w:t>
            </w:r>
            <w:r w:rsidR="004043DC">
              <w:rPr>
                <w:rFonts w:asciiTheme="minorHAnsi" w:hAnsiTheme="minorHAnsi" w:cstheme="minorHAnsi"/>
              </w:rPr>
              <w:t>,</w:t>
            </w:r>
            <w:r w:rsidRPr="00186817">
              <w:rPr>
                <w:rFonts w:asciiTheme="minorHAnsi" w:hAnsiTheme="minorHAnsi" w:cstheme="minorHAnsi"/>
              </w:rPr>
              <w:t xml:space="preserve"> showed 17 inspection files that had abatement past due by 14 calendar days. The number of days overdue for these inspections ranged from 16 to 1,026 calendar days.</w:t>
            </w:r>
          </w:p>
          <w:p w14:paraId="4C6D2DCA" w14:textId="3BA95511" w:rsidR="00067DAA" w:rsidRPr="00186817" w:rsidRDefault="00067DAA" w:rsidP="00186817">
            <w:pPr>
              <w:widowControl/>
              <w:autoSpaceDE/>
              <w:autoSpaceDN/>
              <w:adjustRightInd/>
              <w:rPr>
                <w:rFonts w:asciiTheme="minorHAnsi" w:hAnsiTheme="minorHAnsi" w:cstheme="minorHAnsi"/>
              </w:rPr>
            </w:pPr>
          </w:p>
        </w:tc>
        <w:tc>
          <w:tcPr>
            <w:tcW w:w="3961" w:type="dxa"/>
          </w:tcPr>
          <w:p w14:paraId="13827946" w14:textId="7EC1B2F1" w:rsidR="00067DAA" w:rsidRPr="004A34BD" w:rsidRDefault="00186817" w:rsidP="00B6741C">
            <w:pPr>
              <w:widowControl/>
              <w:autoSpaceDE/>
              <w:autoSpaceDN/>
              <w:adjustRightInd/>
              <w:rPr>
                <w:rFonts w:asciiTheme="minorHAnsi" w:hAnsiTheme="minorHAnsi" w:cstheme="minorHAnsi"/>
                <w:iCs/>
                <w:color w:val="0070C0"/>
              </w:rPr>
            </w:pPr>
            <w:r w:rsidRPr="00186817">
              <w:rPr>
                <w:rFonts w:asciiTheme="minorHAnsi" w:hAnsiTheme="minorHAnsi" w:cstheme="minorHAnsi"/>
                <w:iCs/>
              </w:rPr>
              <w:t>OSHA will continue to review the OIS Open Inspection Report quarterly to monitor the State Plan’s progress in obtaining abatement and updating OIS.</w:t>
            </w:r>
          </w:p>
        </w:tc>
        <w:tc>
          <w:tcPr>
            <w:tcW w:w="1440" w:type="dxa"/>
          </w:tcPr>
          <w:p w14:paraId="0F733292" w14:textId="0955CFCC" w:rsidR="00067DAA" w:rsidRPr="004A34BD" w:rsidRDefault="00186817" w:rsidP="00B6741C">
            <w:pPr>
              <w:widowControl/>
              <w:autoSpaceDE/>
              <w:autoSpaceDN/>
              <w:adjustRightInd/>
              <w:rPr>
                <w:rFonts w:asciiTheme="minorHAnsi" w:hAnsiTheme="minorHAnsi" w:cstheme="minorHAnsi"/>
                <w:iCs/>
              </w:rPr>
            </w:pPr>
            <w:r>
              <w:rPr>
                <w:rFonts w:asciiTheme="minorHAnsi" w:hAnsiTheme="minorHAnsi" w:cstheme="minorHAnsi"/>
                <w:iCs/>
              </w:rPr>
              <w:t>Continued</w:t>
            </w:r>
          </w:p>
        </w:tc>
      </w:tr>
      <w:tr w:rsidR="00B6741C" w:rsidRPr="004A34BD" w14:paraId="414575F4" w14:textId="437735BC" w:rsidTr="00AE4F3D">
        <w:tc>
          <w:tcPr>
            <w:tcW w:w="2657" w:type="dxa"/>
          </w:tcPr>
          <w:p w14:paraId="38E1B745" w14:textId="0AA17D4D" w:rsidR="00B6741C" w:rsidRPr="004A34BD" w:rsidRDefault="00FE5768" w:rsidP="00B6741C">
            <w:pPr>
              <w:widowControl/>
              <w:autoSpaceDE/>
              <w:autoSpaceDN/>
              <w:adjustRightInd/>
              <w:rPr>
                <w:rFonts w:asciiTheme="minorHAnsi" w:hAnsiTheme="minorHAnsi" w:cstheme="minorHAnsi"/>
                <w:iCs/>
                <w:color w:val="0070C0"/>
              </w:rPr>
            </w:pPr>
            <w:r w:rsidRPr="004A34BD">
              <w:rPr>
                <w:rFonts w:asciiTheme="minorHAnsi" w:hAnsiTheme="minorHAnsi" w:cstheme="minorHAnsi"/>
                <w:iCs/>
              </w:rPr>
              <w:t>FY 202</w:t>
            </w:r>
            <w:r w:rsidR="00186817">
              <w:rPr>
                <w:rFonts w:asciiTheme="minorHAnsi" w:hAnsiTheme="minorHAnsi" w:cstheme="minorHAnsi"/>
                <w:iCs/>
              </w:rPr>
              <w:t>4</w:t>
            </w:r>
            <w:r w:rsidRPr="004A34BD">
              <w:rPr>
                <w:rFonts w:asciiTheme="minorHAnsi" w:hAnsiTheme="minorHAnsi" w:cstheme="minorHAnsi"/>
                <w:iCs/>
              </w:rPr>
              <w:t>-OB-0</w:t>
            </w:r>
            <w:r w:rsidR="00186817">
              <w:rPr>
                <w:rFonts w:asciiTheme="minorHAnsi" w:hAnsiTheme="minorHAnsi" w:cstheme="minorHAnsi"/>
                <w:iCs/>
              </w:rPr>
              <w:t>3</w:t>
            </w:r>
            <w:r w:rsidRPr="004A34BD">
              <w:rPr>
                <w:rFonts w:asciiTheme="minorHAnsi" w:hAnsiTheme="minorHAnsi" w:cstheme="minorHAnsi"/>
                <w:iCs/>
                <w:color w:val="0070C0"/>
              </w:rPr>
              <w:t xml:space="preserve"> </w:t>
            </w:r>
          </w:p>
        </w:tc>
        <w:tc>
          <w:tcPr>
            <w:tcW w:w="2108" w:type="dxa"/>
          </w:tcPr>
          <w:p w14:paraId="4640B74B" w14:textId="72BEEC13" w:rsidR="00B6741C" w:rsidRPr="004A34BD" w:rsidRDefault="00186817" w:rsidP="00B6741C">
            <w:pPr>
              <w:widowControl/>
              <w:autoSpaceDE/>
              <w:autoSpaceDN/>
              <w:adjustRightInd/>
              <w:rPr>
                <w:rFonts w:asciiTheme="minorHAnsi" w:hAnsiTheme="minorHAnsi" w:cstheme="minorHAnsi"/>
                <w:iCs/>
                <w:color w:val="0070C0"/>
              </w:rPr>
            </w:pPr>
            <w:r w:rsidRPr="00186817">
              <w:rPr>
                <w:rFonts w:asciiTheme="minorHAnsi" w:hAnsiTheme="minorHAnsi" w:cstheme="minorHAnsi"/>
                <w:iCs/>
              </w:rPr>
              <w:t>FY 2023-OB-03</w:t>
            </w:r>
          </w:p>
        </w:tc>
        <w:tc>
          <w:tcPr>
            <w:tcW w:w="3420" w:type="dxa"/>
          </w:tcPr>
          <w:p w14:paraId="0DF59574" w14:textId="47EAA09C" w:rsidR="00843599" w:rsidRPr="00AE4F3D" w:rsidRDefault="00843599" w:rsidP="00186817">
            <w:pPr>
              <w:widowControl/>
              <w:autoSpaceDE/>
              <w:autoSpaceDN/>
              <w:adjustRightInd/>
              <w:rPr>
                <w:rFonts w:asciiTheme="minorHAnsi" w:hAnsiTheme="minorHAnsi" w:cstheme="minorHAnsi"/>
                <w:b/>
                <w:bCs/>
                <w:iCs/>
              </w:rPr>
            </w:pPr>
            <w:r w:rsidRPr="00AE4F3D">
              <w:rPr>
                <w:rFonts w:asciiTheme="minorHAnsi" w:hAnsiTheme="minorHAnsi" w:cstheme="minorHAnsi"/>
                <w:b/>
                <w:bCs/>
                <w:iCs/>
              </w:rPr>
              <w:t>OIS Open Inspection Report-Citations Not Received</w:t>
            </w:r>
          </w:p>
          <w:p w14:paraId="3BC4A14C" w14:textId="5EC5E4DF" w:rsidR="00E26101" w:rsidRPr="004A34BD" w:rsidRDefault="00843599" w:rsidP="00186817">
            <w:pPr>
              <w:widowControl/>
              <w:autoSpaceDE/>
              <w:autoSpaceDN/>
              <w:adjustRightInd/>
              <w:rPr>
                <w:rFonts w:asciiTheme="minorHAnsi" w:hAnsiTheme="minorHAnsi" w:cstheme="minorHAnsi"/>
                <w:iCs/>
                <w:color w:val="0070C0"/>
              </w:rPr>
            </w:pPr>
            <w:r w:rsidRPr="00843599">
              <w:rPr>
                <w:rFonts w:asciiTheme="minorHAnsi" w:hAnsiTheme="minorHAnsi" w:cstheme="minorHAnsi"/>
                <w:iCs/>
              </w:rPr>
              <w:t>An OIS Open Inspection Report</w:t>
            </w:r>
            <w:r w:rsidR="00EE21AD">
              <w:rPr>
                <w:rFonts w:asciiTheme="minorHAnsi" w:hAnsiTheme="minorHAnsi" w:cstheme="minorHAnsi"/>
                <w:iCs/>
              </w:rPr>
              <w:t>,</w:t>
            </w:r>
            <w:r w:rsidRPr="00843599">
              <w:rPr>
                <w:rFonts w:asciiTheme="minorHAnsi" w:hAnsiTheme="minorHAnsi" w:cstheme="minorHAnsi"/>
                <w:iCs/>
              </w:rPr>
              <w:t xml:space="preserve"> run on February 9, 2025</w:t>
            </w:r>
            <w:r w:rsidR="00EE21AD">
              <w:rPr>
                <w:rFonts w:asciiTheme="minorHAnsi" w:hAnsiTheme="minorHAnsi" w:cstheme="minorHAnsi"/>
                <w:iCs/>
              </w:rPr>
              <w:t>,</w:t>
            </w:r>
            <w:r w:rsidRPr="00843599">
              <w:rPr>
                <w:rFonts w:asciiTheme="minorHAnsi" w:hAnsiTheme="minorHAnsi" w:cstheme="minorHAnsi"/>
                <w:iCs/>
              </w:rPr>
              <w:t xml:space="preserve"> </w:t>
            </w:r>
            <w:r w:rsidRPr="00843599">
              <w:rPr>
                <w:rFonts w:asciiTheme="minorHAnsi" w:hAnsiTheme="minorHAnsi" w:cstheme="minorHAnsi"/>
                <w:iCs/>
              </w:rPr>
              <w:lastRenderedPageBreak/>
              <w:t>showed 18 inspection files that had not been updated in OIS to reflect the receipt of citations</w:t>
            </w:r>
            <w:r w:rsidR="004043DC">
              <w:rPr>
                <w:rFonts w:asciiTheme="minorHAnsi" w:hAnsiTheme="minorHAnsi" w:cstheme="minorHAnsi"/>
                <w:iCs/>
              </w:rPr>
              <w:t>.</w:t>
            </w:r>
          </w:p>
        </w:tc>
        <w:tc>
          <w:tcPr>
            <w:tcW w:w="3961" w:type="dxa"/>
          </w:tcPr>
          <w:p w14:paraId="38C2710F" w14:textId="77777777" w:rsidR="00186817" w:rsidRPr="00186817" w:rsidRDefault="00186817" w:rsidP="00186817">
            <w:pPr>
              <w:widowControl/>
              <w:autoSpaceDE/>
              <w:autoSpaceDN/>
              <w:adjustRightInd/>
              <w:rPr>
                <w:rFonts w:asciiTheme="minorHAnsi" w:hAnsiTheme="minorHAnsi" w:cstheme="minorHAnsi"/>
                <w:iCs/>
              </w:rPr>
            </w:pPr>
            <w:r w:rsidRPr="00186817">
              <w:rPr>
                <w:rFonts w:asciiTheme="minorHAnsi" w:hAnsiTheme="minorHAnsi" w:cstheme="minorHAnsi"/>
                <w:iCs/>
              </w:rPr>
              <w:lastRenderedPageBreak/>
              <w:t xml:space="preserve">OSHA will continue to review the OIS Open Inspection Report quarterly to monitor the State Plan’s progress in </w:t>
            </w:r>
            <w:r w:rsidRPr="00186817">
              <w:rPr>
                <w:rFonts w:asciiTheme="minorHAnsi" w:hAnsiTheme="minorHAnsi" w:cstheme="minorHAnsi"/>
                <w:iCs/>
              </w:rPr>
              <w:lastRenderedPageBreak/>
              <w:t>obtaining abatement and updating OIS.</w:t>
            </w:r>
          </w:p>
          <w:p w14:paraId="016CAD6A" w14:textId="692EC6BB" w:rsidR="00B6741C" w:rsidRPr="004A34BD" w:rsidRDefault="00B6741C" w:rsidP="00186817">
            <w:pPr>
              <w:widowControl/>
              <w:autoSpaceDE/>
              <w:autoSpaceDN/>
              <w:adjustRightInd/>
              <w:rPr>
                <w:rFonts w:asciiTheme="minorHAnsi" w:hAnsiTheme="minorHAnsi" w:cstheme="minorHAnsi"/>
                <w:iCs/>
                <w:color w:val="0070C0"/>
              </w:rPr>
            </w:pPr>
          </w:p>
        </w:tc>
        <w:tc>
          <w:tcPr>
            <w:tcW w:w="1440" w:type="dxa"/>
          </w:tcPr>
          <w:p w14:paraId="4F554364" w14:textId="37DD34C1" w:rsidR="00B6741C" w:rsidRPr="004A34BD" w:rsidRDefault="00FE5768" w:rsidP="00B6741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Continued</w:t>
            </w:r>
          </w:p>
        </w:tc>
      </w:tr>
      <w:tr w:rsidR="00FE5768" w:rsidRPr="004A34BD" w14:paraId="1E17CC00" w14:textId="77777777" w:rsidTr="00AE4F3D">
        <w:tc>
          <w:tcPr>
            <w:tcW w:w="2657" w:type="dxa"/>
          </w:tcPr>
          <w:p w14:paraId="425660FF" w14:textId="5962B3AE" w:rsidR="00FE5768" w:rsidRPr="004A34BD" w:rsidRDefault="00FE5768"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843599">
              <w:rPr>
                <w:rFonts w:asciiTheme="minorHAnsi" w:hAnsiTheme="minorHAnsi" w:cstheme="minorHAnsi"/>
                <w:iCs/>
              </w:rPr>
              <w:t>4</w:t>
            </w:r>
            <w:r w:rsidRPr="004A34BD">
              <w:rPr>
                <w:rFonts w:asciiTheme="minorHAnsi" w:hAnsiTheme="minorHAnsi" w:cstheme="minorHAnsi"/>
                <w:iCs/>
              </w:rPr>
              <w:t>-OB-0</w:t>
            </w:r>
            <w:r w:rsidR="00843599">
              <w:rPr>
                <w:rFonts w:asciiTheme="minorHAnsi" w:hAnsiTheme="minorHAnsi" w:cstheme="minorHAnsi"/>
                <w:iCs/>
              </w:rPr>
              <w:t>4</w:t>
            </w:r>
          </w:p>
        </w:tc>
        <w:tc>
          <w:tcPr>
            <w:tcW w:w="2108" w:type="dxa"/>
          </w:tcPr>
          <w:p w14:paraId="06D3E4A4" w14:textId="4EE811D1" w:rsidR="00FE5768" w:rsidRPr="004A34BD" w:rsidRDefault="00843599" w:rsidP="00B6741C">
            <w:pPr>
              <w:widowControl/>
              <w:autoSpaceDE/>
              <w:autoSpaceDN/>
              <w:adjustRightInd/>
              <w:rPr>
                <w:rFonts w:asciiTheme="minorHAnsi" w:hAnsiTheme="minorHAnsi" w:cstheme="minorHAnsi"/>
                <w:iCs/>
              </w:rPr>
            </w:pPr>
            <w:r>
              <w:rPr>
                <w:rFonts w:asciiTheme="minorHAnsi" w:hAnsiTheme="minorHAnsi" w:cstheme="minorHAnsi"/>
                <w:iCs/>
              </w:rPr>
              <w:t>FY 2023-OB-04</w:t>
            </w:r>
          </w:p>
        </w:tc>
        <w:tc>
          <w:tcPr>
            <w:tcW w:w="3420" w:type="dxa"/>
          </w:tcPr>
          <w:p w14:paraId="63819327" w14:textId="77777777" w:rsidR="00843599" w:rsidRPr="00AE4F3D" w:rsidRDefault="00843599" w:rsidP="00BB6694">
            <w:pPr>
              <w:pStyle w:val="TableParagraph"/>
              <w:kinsoku w:val="0"/>
              <w:overflowPunct w:val="0"/>
              <w:ind w:left="0" w:right="137"/>
              <w:rPr>
                <w:rFonts w:asciiTheme="minorHAnsi" w:hAnsiTheme="minorHAnsi" w:cstheme="minorHAnsi"/>
                <w:b/>
                <w:bCs/>
              </w:rPr>
            </w:pPr>
            <w:r w:rsidRPr="00AE4F3D">
              <w:rPr>
                <w:rFonts w:asciiTheme="minorHAnsi" w:hAnsiTheme="minorHAnsi" w:cstheme="minorHAnsi"/>
                <w:b/>
                <w:bCs/>
              </w:rPr>
              <w:t>Complaint Investigation Processing</w:t>
            </w:r>
          </w:p>
          <w:p w14:paraId="09F71E6E" w14:textId="569E0E0F" w:rsidR="00FE5768" w:rsidRPr="000A0991" w:rsidRDefault="00843599" w:rsidP="000A0991">
            <w:pPr>
              <w:pStyle w:val="TableParagraph"/>
              <w:kinsoku w:val="0"/>
              <w:overflowPunct w:val="0"/>
              <w:ind w:left="0" w:right="137"/>
              <w:rPr>
                <w:rFonts w:asciiTheme="minorHAnsi" w:hAnsiTheme="minorHAnsi" w:cstheme="minorHAnsi"/>
              </w:rPr>
            </w:pPr>
            <w:r w:rsidRPr="00843599">
              <w:rPr>
                <w:rFonts w:asciiTheme="minorHAnsi" w:hAnsiTheme="minorHAnsi" w:cstheme="minorHAnsi"/>
              </w:rPr>
              <w:t xml:space="preserve">During the </w:t>
            </w:r>
            <w:r>
              <w:rPr>
                <w:rFonts w:asciiTheme="minorHAnsi" w:hAnsiTheme="minorHAnsi" w:cstheme="minorHAnsi"/>
              </w:rPr>
              <w:t xml:space="preserve">FAME </w:t>
            </w:r>
            <w:r w:rsidRPr="00843599">
              <w:rPr>
                <w:rFonts w:asciiTheme="minorHAnsi" w:hAnsiTheme="minorHAnsi" w:cstheme="minorHAnsi"/>
              </w:rPr>
              <w:t xml:space="preserve">2023 case file review, 10 health complaint investigations were reviewed. Safety complaints are addressed with inspections only. Four of these 10 (40%) health investigations were missing evidence that the certification of posting was returned and signed by the employer before the investigation was closed. The certification of posting was emailed to the employer with the </w:t>
            </w:r>
            <w:r w:rsidR="000A0991" w:rsidRPr="00843599">
              <w:rPr>
                <w:rFonts w:asciiTheme="minorHAnsi" w:hAnsiTheme="minorHAnsi" w:cstheme="minorHAnsi"/>
              </w:rPr>
              <w:t>complaint but</w:t>
            </w:r>
            <w:r w:rsidRPr="00843599">
              <w:rPr>
                <w:rFonts w:asciiTheme="minorHAnsi" w:hAnsiTheme="minorHAnsi" w:cstheme="minorHAnsi"/>
              </w:rPr>
              <w:t xml:space="preserve"> not tracked to ensure that it was </w:t>
            </w:r>
            <w:r w:rsidR="007727E3" w:rsidRPr="00843599">
              <w:rPr>
                <w:rFonts w:asciiTheme="minorHAnsi" w:hAnsiTheme="minorHAnsi" w:cstheme="minorHAnsi"/>
              </w:rPr>
              <w:t>returned and</w:t>
            </w:r>
            <w:r w:rsidRPr="00843599">
              <w:rPr>
                <w:rFonts w:asciiTheme="minorHAnsi" w:hAnsiTheme="minorHAnsi" w:cstheme="minorHAnsi"/>
              </w:rPr>
              <w:t xml:space="preserve"> signed by the employer. The PEOSH Field Operations Manual (FOM) requires a certification of posting be received for all complaint investigations.</w:t>
            </w:r>
          </w:p>
        </w:tc>
        <w:tc>
          <w:tcPr>
            <w:tcW w:w="3961" w:type="dxa"/>
          </w:tcPr>
          <w:p w14:paraId="7C055666" w14:textId="77777777" w:rsidR="00843599" w:rsidRPr="00843599" w:rsidRDefault="00843599" w:rsidP="00843599">
            <w:pPr>
              <w:widowControl/>
              <w:autoSpaceDE/>
              <w:autoSpaceDN/>
              <w:adjustRightInd/>
              <w:rPr>
                <w:rFonts w:asciiTheme="minorHAnsi" w:hAnsiTheme="minorHAnsi" w:cstheme="minorHAnsi"/>
              </w:rPr>
            </w:pPr>
            <w:r w:rsidRPr="00843599">
              <w:rPr>
                <w:rFonts w:asciiTheme="minorHAnsi" w:hAnsiTheme="minorHAnsi" w:cstheme="minorHAnsi"/>
              </w:rPr>
              <w:t>During the next comprehensive FAME review, a limited number of investigations will be selected randomly to determine if these are isolated instances or if this represents a trend that requires further evaluation.</w:t>
            </w:r>
          </w:p>
          <w:p w14:paraId="685713F0" w14:textId="780DDC98" w:rsidR="00FE5768" w:rsidRPr="004A34BD" w:rsidRDefault="00FE5768" w:rsidP="00843599">
            <w:pPr>
              <w:widowControl/>
              <w:autoSpaceDE/>
              <w:autoSpaceDN/>
              <w:adjustRightInd/>
              <w:rPr>
                <w:rFonts w:asciiTheme="minorHAnsi" w:hAnsiTheme="minorHAnsi" w:cstheme="minorHAnsi"/>
              </w:rPr>
            </w:pPr>
          </w:p>
        </w:tc>
        <w:tc>
          <w:tcPr>
            <w:tcW w:w="1440" w:type="dxa"/>
          </w:tcPr>
          <w:p w14:paraId="6FA4BDF1" w14:textId="3B3BC5B6" w:rsidR="00FE5768"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067DAA" w:rsidRPr="004A34BD" w14:paraId="5D8ED556" w14:textId="77777777" w:rsidTr="00AE4F3D">
        <w:tc>
          <w:tcPr>
            <w:tcW w:w="2657" w:type="dxa"/>
          </w:tcPr>
          <w:p w14:paraId="7C5F9E4C" w14:textId="1AB279D1"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843599">
              <w:rPr>
                <w:rFonts w:asciiTheme="minorHAnsi" w:hAnsiTheme="minorHAnsi" w:cstheme="minorHAnsi"/>
                <w:iCs/>
              </w:rPr>
              <w:t>4</w:t>
            </w:r>
            <w:r w:rsidRPr="004A34BD">
              <w:rPr>
                <w:rFonts w:asciiTheme="minorHAnsi" w:hAnsiTheme="minorHAnsi" w:cstheme="minorHAnsi"/>
                <w:iCs/>
              </w:rPr>
              <w:t>-OB-0</w:t>
            </w:r>
            <w:r w:rsidR="00843599">
              <w:rPr>
                <w:rFonts w:asciiTheme="minorHAnsi" w:hAnsiTheme="minorHAnsi" w:cstheme="minorHAnsi"/>
                <w:iCs/>
              </w:rPr>
              <w:t>5</w:t>
            </w:r>
          </w:p>
        </w:tc>
        <w:tc>
          <w:tcPr>
            <w:tcW w:w="2108" w:type="dxa"/>
          </w:tcPr>
          <w:p w14:paraId="0DB85198" w14:textId="77777777" w:rsidR="00067DAA"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843599">
              <w:rPr>
                <w:rFonts w:asciiTheme="minorHAnsi" w:hAnsiTheme="minorHAnsi" w:cstheme="minorHAnsi"/>
                <w:iCs/>
              </w:rPr>
              <w:t>3</w:t>
            </w:r>
            <w:r w:rsidRPr="004A34BD">
              <w:rPr>
                <w:rFonts w:asciiTheme="minorHAnsi" w:hAnsiTheme="minorHAnsi" w:cstheme="minorHAnsi"/>
                <w:iCs/>
              </w:rPr>
              <w:t>-OB-0</w:t>
            </w:r>
            <w:r w:rsidR="00843599">
              <w:rPr>
                <w:rFonts w:asciiTheme="minorHAnsi" w:hAnsiTheme="minorHAnsi" w:cstheme="minorHAnsi"/>
                <w:iCs/>
              </w:rPr>
              <w:t>5</w:t>
            </w:r>
          </w:p>
          <w:p w14:paraId="2D1B900A" w14:textId="77777777" w:rsidR="00843599" w:rsidRDefault="00843599" w:rsidP="00B6741C">
            <w:pPr>
              <w:widowControl/>
              <w:autoSpaceDE/>
              <w:autoSpaceDN/>
              <w:adjustRightInd/>
              <w:rPr>
                <w:rFonts w:asciiTheme="minorHAnsi" w:hAnsiTheme="minorHAnsi" w:cstheme="minorHAnsi"/>
                <w:iCs/>
              </w:rPr>
            </w:pPr>
            <w:r>
              <w:rPr>
                <w:rFonts w:asciiTheme="minorHAnsi" w:hAnsiTheme="minorHAnsi" w:cstheme="minorHAnsi"/>
                <w:iCs/>
              </w:rPr>
              <w:t>FY 2022-OB-03</w:t>
            </w:r>
          </w:p>
          <w:p w14:paraId="7B48D041" w14:textId="540B28E7" w:rsidR="00843599" w:rsidRPr="004A34BD" w:rsidRDefault="00843599" w:rsidP="00B6741C">
            <w:pPr>
              <w:widowControl/>
              <w:autoSpaceDE/>
              <w:autoSpaceDN/>
              <w:adjustRightInd/>
              <w:rPr>
                <w:rFonts w:asciiTheme="minorHAnsi" w:hAnsiTheme="minorHAnsi" w:cstheme="minorHAnsi"/>
                <w:iCs/>
              </w:rPr>
            </w:pPr>
            <w:r>
              <w:rPr>
                <w:rFonts w:asciiTheme="minorHAnsi" w:hAnsiTheme="minorHAnsi" w:cstheme="minorHAnsi"/>
                <w:iCs/>
              </w:rPr>
              <w:t>FY 2021-OB-04</w:t>
            </w:r>
          </w:p>
        </w:tc>
        <w:tc>
          <w:tcPr>
            <w:tcW w:w="3420" w:type="dxa"/>
          </w:tcPr>
          <w:p w14:paraId="7299442E" w14:textId="77777777" w:rsidR="000A0991" w:rsidRDefault="000A0991" w:rsidP="00843599">
            <w:pPr>
              <w:pStyle w:val="TableParagraph"/>
              <w:kinsoku w:val="0"/>
              <w:overflowPunct w:val="0"/>
              <w:ind w:left="0"/>
              <w:rPr>
                <w:rFonts w:asciiTheme="minorHAnsi" w:hAnsiTheme="minorHAnsi" w:cstheme="minorHAnsi"/>
                <w:b/>
                <w:bCs/>
              </w:rPr>
            </w:pPr>
            <w:r>
              <w:rPr>
                <w:rFonts w:asciiTheme="minorHAnsi" w:hAnsiTheme="minorHAnsi" w:cstheme="minorHAnsi"/>
                <w:b/>
                <w:bCs/>
              </w:rPr>
              <w:t>Fatality Reporting</w:t>
            </w:r>
          </w:p>
          <w:p w14:paraId="336A3730" w14:textId="321E7B1C" w:rsidR="00067DAA" w:rsidRPr="004A34BD" w:rsidRDefault="000A0991" w:rsidP="00843599">
            <w:pPr>
              <w:pStyle w:val="TableParagraph"/>
              <w:kinsoku w:val="0"/>
              <w:overflowPunct w:val="0"/>
              <w:ind w:left="0" w:right="137"/>
              <w:rPr>
                <w:rFonts w:asciiTheme="minorHAnsi" w:hAnsiTheme="minorHAnsi" w:cstheme="minorHAnsi"/>
              </w:rPr>
            </w:pPr>
            <w:r>
              <w:rPr>
                <w:rFonts w:asciiTheme="minorHAnsi" w:hAnsiTheme="minorHAnsi" w:cstheme="minorHAnsi"/>
              </w:rPr>
              <w:t xml:space="preserve">PEOSH </w:t>
            </w:r>
            <w:r w:rsidR="00843599" w:rsidRPr="00843599">
              <w:rPr>
                <w:rFonts w:asciiTheme="minorHAnsi" w:hAnsiTheme="minorHAnsi" w:cstheme="minorHAnsi"/>
              </w:rPr>
              <w:t xml:space="preserve">did not document in one of three (33%) closed fatality inspections why an OTC </w:t>
            </w:r>
            <w:r w:rsidR="00843599" w:rsidRPr="00843599">
              <w:rPr>
                <w:rFonts w:asciiTheme="minorHAnsi" w:hAnsiTheme="minorHAnsi" w:cstheme="minorHAnsi"/>
              </w:rPr>
              <w:lastRenderedPageBreak/>
              <w:t>was not proposed for the employer not reporting to PEOSH the fatality within eight hours of being notified of the death. Additionally, PEOSH received notification of three fatalities in FY</w:t>
            </w:r>
            <w:r w:rsidR="00843599">
              <w:rPr>
                <w:rFonts w:asciiTheme="minorHAnsi" w:hAnsiTheme="minorHAnsi" w:cstheme="minorHAnsi"/>
              </w:rPr>
              <w:t xml:space="preserve"> 2023 that were not investigated </w:t>
            </w:r>
            <w:r>
              <w:rPr>
                <w:rFonts w:asciiTheme="minorHAnsi" w:hAnsiTheme="minorHAnsi" w:cstheme="minorHAnsi"/>
              </w:rPr>
              <w:t>or</w:t>
            </w:r>
            <w:r w:rsidR="00843599">
              <w:rPr>
                <w:rFonts w:asciiTheme="minorHAnsi" w:hAnsiTheme="minorHAnsi" w:cstheme="minorHAnsi"/>
              </w:rPr>
              <w:t xml:space="preserve"> reported timely.</w:t>
            </w:r>
          </w:p>
        </w:tc>
        <w:tc>
          <w:tcPr>
            <w:tcW w:w="3961" w:type="dxa"/>
          </w:tcPr>
          <w:p w14:paraId="0CD403BB" w14:textId="4B75439A" w:rsidR="00067DAA" w:rsidRPr="004A34BD" w:rsidRDefault="00843599" w:rsidP="00B6741C">
            <w:pPr>
              <w:widowControl/>
              <w:autoSpaceDE/>
              <w:autoSpaceDN/>
              <w:adjustRightInd/>
              <w:rPr>
                <w:rFonts w:asciiTheme="minorHAnsi" w:hAnsiTheme="minorHAnsi" w:cstheme="minorHAnsi"/>
              </w:rPr>
            </w:pPr>
            <w:r w:rsidRPr="00843599">
              <w:rPr>
                <w:rFonts w:asciiTheme="minorHAnsi" w:hAnsiTheme="minorHAnsi" w:cstheme="minorHAnsi"/>
              </w:rPr>
              <w:lastRenderedPageBreak/>
              <w:t xml:space="preserve">During the next comprehensive FAME review, a limited number of case files will be selected randomly and reviewed to determine if these are </w:t>
            </w:r>
            <w:r w:rsidRPr="00843599">
              <w:rPr>
                <w:rFonts w:asciiTheme="minorHAnsi" w:hAnsiTheme="minorHAnsi" w:cstheme="minorHAnsi"/>
              </w:rPr>
              <w:lastRenderedPageBreak/>
              <w:t>isolated instances or if this represents a trend that requires further evaluation.</w:t>
            </w:r>
          </w:p>
        </w:tc>
        <w:tc>
          <w:tcPr>
            <w:tcW w:w="1440" w:type="dxa"/>
          </w:tcPr>
          <w:p w14:paraId="3C9FE7DD" w14:textId="7CBACDF1"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lastRenderedPageBreak/>
              <w:t>Continued</w:t>
            </w:r>
          </w:p>
        </w:tc>
      </w:tr>
      <w:tr w:rsidR="00067DAA" w:rsidRPr="004A34BD" w14:paraId="12DE2A19" w14:textId="77777777" w:rsidTr="00AE4F3D">
        <w:tc>
          <w:tcPr>
            <w:tcW w:w="2657" w:type="dxa"/>
          </w:tcPr>
          <w:p w14:paraId="3581B0FB" w14:textId="24B46883"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843599">
              <w:rPr>
                <w:rFonts w:asciiTheme="minorHAnsi" w:hAnsiTheme="minorHAnsi" w:cstheme="minorHAnsi"/>
                <w:iCs/>
              </w:rPr>
              <w:t>4</w:t>
            </w:r>
            <w:r w:rsidRPr="004A34BD">
              <w:rPr>
                <w:rFonts w:asciiTheme="minorHAnsi" w:hAnsiTheme="minorHAnsi" w:cstheme="minorHAnsi"/>
                <w:iCs/>
              </w:rPr>
              <w:t>-OB-0</w:t>
            </w:r>
            <w:r w:rsidR="00843599">
              <w:rPr>
                <w:rFonts w:asciiTheme="minorHAnsi" w:hAnsiTheme="minorHAnsi" w:cstheme="minorHAnsi"/>
                <w:iCs/>
              </w:rPr>
              <w:t>6</w:t>
            </w:r>
          </w:p>
        </w:tc>
        <w:tc>
          <w:tcPr>
            <w:tcW w:w="2108" w:type="dxa"/>
          </w:tcPr>
          <w:p w14:paraId="4B6F6A2B" w14:textId="2D2D2AB9" w:rsidR="00067DAA" w:rsidRPr="004A34BD" w:rsidRDefault="00067DAA" w:rsidP="00B6741C">
            <w:pPr>
              <w:widowControl/>
              <w:autoSpaceDE/>
              <w:autoSpaceDN/>
              <w:adjustRightInd/>
              <w:rPr>
                <w:rFonts w:asciiTheme="minorHAnsi" w:hAnsiTheme="minorHAnsi" w:cstheme="minorHAnsi"/>
                <w:iCs/>
              </w:rPr>
            </w:pPr>
            <w:r w:rsidRPr="004A34BD">
              <w:rPr>
                <w:rFonts w:asciiTheme="minorHAnsi" w:hAnsiTheme="minorHAnsi" w:cstheme="minorHAnsi"/>
                <w:iCs/>
              </w:rPr>
              <w:t xml:space="preserve"> </w:t>
            </w:r>
            <w:r w:rsidR="00A6788C">
              <w:rPr>
                <w:rFonts w:asciiTheme="minorHAnsi" w:hAnsiTheme="minorHAnsi" w:cstheme="minorHAnsi"/>
                <w:iCs/>
              </w:rPr>
              <w:t>FY 2023-OB-06</w:t>
            </w:r>
          </w:p>
        </w:tc>
        <w:tc>
          <w:tcPr>
            <w:tcW w:w="3420" w:type="dxa"/>
          </w:tcPr>
          <w:p w14:paraId="069F4029" w14:textId="77777777" w:rsidR="00724392" w:rsidRPr="00BB6694" w:rsidRDefault="00724392" w:rsidP="00A6788C">
            <w:pPr>
              <w:pStyle w:val="TableParagraph"/>
              <w:kinsoku w:val="0"/>
              <w:overflowPunct w:val="0"/>
              <w:ind w:left="0" w:right="134"/>
              <w:rPr>
                <w:rFonts w:asciiTheme="minorHAnsi" w:hAnsiTheme="minorHAnsi" w:cstheme="minorHAnsi"/>
                <w:b/>
                <w:bCs/>
              </w:rPr>
            </w:pPr>
            <w:r w:rsidRPr="00BB6694">
              <w:rPr>
                <w:rFonts w:asciiTheme="minorHAnsi" w:hAnsiTheme="minorHAnsi" w:cstheme="minorHAnsi"/>
                <w:b/>
                <w:bCs/>
              </w:rPr>
              <w:t>Case File Documentation</w:t>
            </w:r>
          </w:p>
          <w:p w14:paraId="0C48DD6C" w14:textId="48D3D83A" w:rsidR="00067DAA" w:rsidRPr="004A34BD" w:rsidRDefault="00A6788C" w:rsidP="00A6788C">
            <w:pPr>
              <w:pStyle w:val="TableParagraph"/>
              <w:kinsoku w:val="0"/>
              <w:overflowPunct w:val="0"/>
              <w:ind w:left="0" w:right="134"/>
              <w:rPr>
                <w:rFonts w:asciiTheme="minorHAnsi" w:hAnsiTheme="minorHAnsi" w:cstheme="minorHAnsi"/>
              </w:rPr>
            </w:pPr>
            <w:r>
              <w:rPr>
                <w:rFonts w:asciiTheme="minorHAnsi" w:hAnsiTheme="minorHAnsi" w:cstheme="minorHAnsi"/>
              </w:rPr>
              <w:t>During the 2023 FAME case file review, f</w:t>
            </w:r>
            <w:r w:rsidRPr="00A6788C">
              <w:rPr>
                <w:rFonts w:asciiTheme="minorHAnsi" w:hAnsiTheme="minorHAnsi" w:cstheme="minorHAnsi"/>
              </w:rPr>
              <w:t>our of 23 (17%) of closed safety files with OTCs that had issued an OTC for either OSHA standard 1910.38 or 1910.39 lacked evidence to support the orders and incorrectly cited</w:t>
            </w:r>
            <w:r w:rsidR="007727E3">
              <w:rPr>
                <w:rFonts w:asciiTheme="minorHAnsi" w:hAnsiTheme="minorHAnsi" w:cstheme="minorHAnsi"/>
              </w:rPr>
              <w:t xml:space="preserve"> </w:t>
            </w:r>
            <w:r w:rsidRPr="00A6788C">
              <w:rPr>
                <w:rFonts w:asciiTheme="minorHAnsi" w:hAnsiTheme="minorHAnsi" w:cstheme="minorHAnsi"/>
              </w:rPr>
              <w:t xml:space="preserve">1910.38 or 1910.39 directly. </w:t>
            </w:r>
          </w:p>
        </w:tc>
        <w:tc>
          <w:tcPr>
            <w:tcW w:w="3961" w:type="dxa"/>
          </w:tcPr>
          <w:p w14:paraId="62633DFE" w14:textId="518EC1B0" w:rsidR="00067DAA" w:rsidRPr="004A34BD" w:rsidRDefault="00F902BC" w:rsidP="00B6741C">
            <w:pPr>
              <w:widowControl/>
              <w:autoSpaceDE/>
              <w:autoSpaceDN/>
              <w:adjustRightInd/>
              <w:rPr>
                <w:rFonts w:asciiTheme="minorHAnsi" w:hAnsiTheme="minorHAnsi" w:cstheme="minorHAnsi"/>
              </w:rPr>
            </w:pPr>
            <w:r w:rsidRPr="004A34BD">
              <w:rPr>
                <w:rFonts w:asciiTheme="minorHAnsi" w:hAnsiTheme="minorHAnsi" w:cstheme="minorHAnsi"/>
              </w:rPr>
              <w:t>During the next comprehensive FAME review,</w:t>
            </w:r>
            <w:r w:rsidRPr="004A34BD">
              <w:rPr>
                <w:rFonts w:asciiTheme="minorHAnsi" w:hAnsiTheme="minorHAnsi" w:cstheme="minorHAnsi"/>
                <w:spacing w:val="-13"/>
              </w:rPr>
              <w:t xml:space="preserve"> </w:t>
            </w:r>
            <w:r w:rsidRPr="004A34BD">
              <w:rPr>
                <w:rFonts w:asciiTheme="minorHAnsi" w:hAnsiTheme="minorHAnsi" w:cstheme="minorHAnsi"/>
              </w:rPr>
              <w:t>a</w:t>
            </w:r>
            <w:r w:rsidRPr="004A34BD">
              <w:rPr>
                <w:rFonts w:asciiTheme="minorHAnsi" w:hAnsiTheme="minorHAnsi" w:cstheme="minorHAnsi"/>
                <w:spacing w:val="-12"/>
              </w:rPr>
              <w:t xml:space="preserve"> </w:t>
            </w:r>
            <w:r w:rsidRPr="004A34BD">
              <w:rPr>
                <w:rFonts w:asciiTheme="minorHAnsi" w:hAnsiTheme="minorHAnsi" w:cstheme="minorHAnsi"/>
              </w:rPr>
              <w:t>limited</w:t>
            </w:r>
            <w:r w:rsidRPr="004A34BD">
              <w:rPr>
                <w:rFonts w:asciiTheme="minorHAnsi" w:hAnsiTheme="minorHAnsi" w:cstheme="minorHAnsi"/>
                <w:spacing w:val="-13"/>
              </w:rPr>
              <w:t xml:space="preserve"> </w:t>
            </w:r>
            <w:r w:rsidRPr="004A34BD">
              <w:rPr>
                <w:rFonts w:asciiTheme="minorHAnsi" w:hAnsiTheme="minorHAnsi" w:cstheme="minorHAnsi"/>
              </w:rPr>
              <w:t xml:space="preserve">number of case files will be selected randomly to determine if these are isolated instances or if this represents a trend that requires further </w:t>
            </w:r>
            <w:r w:rsidRPr="004A34BD">
              <w:rPr>
                <w:rFonts w:asciiTheme="minorHAnsi" w:hAnsiTheme="minorHAnsi" w:cstheme="minorHAnsi"/>
                <w:spacing w:val="-2"/>
              </w:rPr>
              <w:t>evaluation.</w:t>
            </w:r>
          </w:p>
        </w:tc>
        <w:tc>
          <w:tcPr>
            <w:tcW w:w="1440" w:type="dxa"/>
          </w:tcPr>
          <w:p w14:paraId="144E173D" w14:textId="5E222EAA" w:rsidR="00067DAA" w:rsidRPr="004A34BD" w:rsidRDefault="00F902BC" w:rsidP="00B6741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A6788C" w:rsidRPr="004A34BD" w14:paraId="62FA3AE8" w14:textId="77777777" w:rsidTr="00AE4F3D">
        <w:tc>
          <w:tcPr>
            <w:tcW w:w="2657" w:type="dxa"/>
          </w:tcPr>
          <w:p w14:paraId="6B030E03" w14:textId="2171A87C" w:rsidR="00A6788C" w:rsidRPr="004A34BD" w:rsidRDefault="00A6788C" w:rsidP="00A6788C">
            <w:pPr>
              <w:widowControl/>
              <w:autoSpaceDE/>
              <w:autoSpaceDN/>
              <w:adjustRightInd/>
              <w:rPr>
                <w:rFonts w:asciiTheme="minorHAnsi" w:hAnsiTheme="minorHAnsi" w:cstheme="minorHAnsi"/>
                <w:iCs/>
              </w:rPr>
            </w:pPr>
            <w:r w:rsidRPr="004A34BD">
              <w:rPr>
                <w:rFonts w:asciiTheme="minorHAnsi" w:hAnsiTheme="minorHAnsi" w:cstheme="minorHAnsi"/>
                <w:iCs/>
              </w:rPr>
              <w:t>FY 202</w:t>
            </w:r>
            <w:r>
              <w:rPr>
                <w:rFonts w:asciiTheme="minorHAnsi" w:hAnsiTheme="minorHAnsi" w:cstheme="minorHAnsi"/>
                <w:iCs/>
              </w:rPr>
              <w:t>4</w:t>
            </w:r>
            <w:r w:rsidRPr="004A34BD">
              <w:rPr>
                <w:rFonts w:asciiTheme="minorHAnsi" w:hAnsiTheme="minorHAnsi" w:cstheme="minorHAnsi"/>
                <w:iCs/>
              </w:rPr>
              <w:t>-OB-0</w:t>
            </w:r>
            <w:r>
              <w:rPr>
                <w:rFonts w:asciiTheme="minorHAnsi" w:hAnsiTheme="minorHAnsi" w:cstheme="minorHAnsi"/>
                <w:iCs/>
              </w:rPr>
              <w:t>7</w:t>
            </w:r>
          </w:p>
        </w:tc>
        <w:tc>
          <w:tcPr>
            <w:tcW w:w="2108" w:type="dxa"/>
          </w:tcPr>
          <w:p w14:paraId="2FFB60D7" w14:textId="0BB3D557" w:rsidR="00A6788C" w:rsidRDefault="00A6788C" w:rsidP="00A6788C">
            <w:pPr>
              <w:widowControl/>
              <w:autoSpaceDE/>
              <w:autoSpaceDN/>
              <w:adjustRightInd/>
              <w:rPr>
                <w:rFonts w:asciiTheme="minorHAnsi" w:hAnsiTheme="minorHAnsi" w:cstheme="minorHAnsi"/>
                <w:iCs/>
              </w:rPr>
            </w:pPr>
            <w:r>
              <w:rPr>
                <w:rFonts w:asciiTheme="minorHAnsi" w:hAnsiTheme="minorHAnsi" w:cstheme="minorHAnsi"/>
                <w:iCs/>
              </w:rPr>
              <w:t>FY 2023-OB-07</w:t>
            </w:r>
          </w:p>
          <w:p w14:paraId="282997ED" w14:textId="029664E6" w:rsidR="00A6788C" w:rsidRDefault="00A6788C" w:rsidP="00A6788C">
            <w:pPr>
              <w:widowControl/>
              <w:autoSpaceDE/>
              <w:autoSpaceDN/>
              <w:adjustRightInd/>
              <w:rPr>
                <w:rFonts w:asciiTheme="minorHAnsi" w:hAnsiTheme="minorHAnsi" w:cstheme="minorHAnsi"/>
                <w:iCs/>
              </w:rPr>
            </w:pPr>
            <w:r>
              <w:rPr>
                <w:rFonts w:asciiTheme="minorHAnsi" w:hAnsiTheme="minorHAnsi" w:cstheme="minorHAnsi"/>
                <w:iCs/>
              </w:rPr>
              <w:t>FY 2022-OB-04</w:t>
            </w:r>
          </w:p>
          <w:p w14:paraId="247E89FC" w14:textId="19909196" w:rsidR="00A6788C" w:rsidRDefault="00A6788C" w:rsidP="00A6788C">
            <w:pPr>
              <w:widowControl/>
              <w:autoSpaceDE/>
              <w:autoSpaceDN/>
              <w:adjustRightInd/>
              <w:rPr>
                <w:rFonts w:asciiTheme="minorHAnsi" w:hAnsiTheme="minorHAnsi" w:cstheme="minorHAnsi"/>
                <w:iCs/>
              </w:rPr>
            </w:pPr>
            <w:r>
              <w:rPr>
                <w:rFonts w:asciiTheme="minorHAnsi" w:hAnsiTheme="minorHAnsi" w:cstheme="minorHAnsi"/>
                <w:iCs/>
              </w:rPr>
              <w:t>FY 2021-OB-06</w:t>
            </w:r>
          </w:p>
          <w:p w14:paraId="6F3D8A6A" w14:textId="63BB6A5D" w:rsidR="00A6788C" w:rsidRPr="004A34BD" w:rsidRDefault="00A6788C" w:rsidP="00A6788C">
            <w:pPr>
              <w:widowControl/>
              <w:autoSpaceDE/>
              <w:autoSpaceDN/>
              <w:adjustRightInd/>
              <w:rPr>
                <w:rFonts w:asciiTheme="minorHAnsi" w:hAnsiTheme="minorHAnsi" w:cstheme="minorHAnsi"/>
                <w:iCs/>
              </w:rPr>
            </w:pPr>
          </w:p>
        </w:tc>
        <w:tc>
          <w:tcPr>
            <w:tcW w:w="3420" w:type="dxa"/>
          </w:tcPr>
          <w:p w14:paraId="3B22B62A" w14:textId="77777777" w:rsidR="00A6788C" w:rsidRPr="00AE4F3D" w:rsidRDefault="00A6788C" w:rsidP="00A6788C">
            <w:pPr>
              <w:pStyle w:val="TableParagraph"/>
              <w:kinsoku w:val="0"/>
              <w:overflowPunct w:val="0"/>
              <w:ind w:left="0" w:right="101"/>
              <w:rPr>
                <w:b/>
                <w:bCs/>
              </w:rPr>
            </w:pPr>
            <w:r w:rsidRPr="00AE4F3D">
              <w:rPr>
                <w:b/>
                <w:bCs/>
              </w:rPr>
              <w:t xml:space="preserve">Case File Documentation </w:t>
            </w:r>
          </w:p>
          <w:p w14:paraId="26F3F221" w14:textId="550BD546" w:rsidR="00A6788C" w:rsidRPr="004A34BD" w:rsidRDefault="00A6788C" w:rsidP="00A6788C">
            <w:pPr>
              <w:pStyle w:val="TableParagraph"/>
              <w:kinsoku w:val="0"/>
              <w:overflowPunct w:val="0"/>
              <w:ind w:left="0" w:right="101"/>
              <w:rPr>
                <w:rFonts w:asciiTheme="minorHAnsi" w:hAnsiTheme="minorHAnsi" w:cstheme="minorHAnsi"/>
                <w:i/>
                <w:iCs/>
              </w:rPr>
            </w:pPr>
            <w:r>
              <w:t>During the FY 2023 FAME case file review, i</w:t>
            </w:r>
            <w:r w:rsidRPr="00685B07">
              <w:t>n 18 of the 48</w:t>
            </w:r>
            <w:r w:rsidR="007727E3">
              <w:t xml:space="preserve"> </w:t>
            </w:r>
            <w:r w:rsidRPr="00685B07">
              <w:t>(38%) safety inspection case files reviewed, diary sheets were incomplete.</w:t>
            </w:r>
          </w:p>
        </w:tc>
        <w:tc>
          <w:tcPr>
            <w:tcW w:w="3961" w:type="dxa"/>
          </w:tcPr>
          <w:p w14:paraId="779CABEF" w14:textId="225D656E" w:rsidR="00A6788C" w:rsidRPr="004A34BD" w:rsidRDefault="00A6788C" w:rsidP="00A6788C">
            <w:pPr>
              <w:widowControl/>
              <w:autoSpaceDE/>
              <w:autoSpaceDN/>
              <w:adjustRightInd/>
              <w:rPr>
                <w:rFonts w:asciiTheme="minorHAnsi" w:hAnsiTheme="minorHAnsi" w:cstheme="minorHAnsi"/>
              </w:rPr>
            </w:pPr>
            <w:r w:rsidRPr="004A34BD">
              <w:rPr>
                <w:rFonts w:asciiTheme="minorHAnsi" w:hAnsiTheme="minorHAnsi" w:cstheme="minorHAnsi"/>
              </w:rPr>
              <w:t>During the next comprehensive FAME review, a limited number of case files will be selected randomly to determine if these are isolated instances or if this represents a trend that requires further evaluation.</w:t>
            </w:r>
          </w:p>
        </w:tc>
        <w:tc>
          <w:tcPr>
            <w:tcW w:w="1440" w:type="dxa"/>
          </w:tcPr>
          <w:p w14:paraId="507CE8C2" w14:textId="7EC04B21" w:rsidR="00A6788C" w:rsidRPr="004A34BD" w:rsidRDefault="00A6788C" w:rsidP="00A6788C">
            <w:pPr>
              <w:widowControl/>
              <w:autoSpaceDE/>
              <w:autoSpaceDN/>
              <w:adjustRightInd/>
              <w:rPr>
                <w:rFonts w:asciiTheme="minorHAnsi" w:hAnsiTheme="minorHAnsi" w:cstheme="minorHAnsi"/>
                <w:iCs/>
              </w:rPr>
            </w:pPr>
            <w:r w:rsidRPr="004A34BD">
              <w:rPr>
                <w:rFonts w:asciiTheme="minorHAnsi" w:hAnsiTheme="minorHAnsi" w:cstheme="minorHAnsi"/>
                <w:iCs/>
              </w:rPr>
              <w:t>Continued</w:t>
            </w:r>
          </w:p>
        </w:tc>
      </w:tr>
      <w:tr w:rsidR="00F902BC" w:rsidRPr="004A34BD" w14:paraId="73D1950D" w14:textId="77777777" w:rsidTr="00AE4F3D">
        <w:tc>
          <w:tcPr>
            <w:tcW w:w="2657" w:type="dxa"/>
          </w:tcPr>
          <w:p w14:paraId="5D0C6BF2" w14:textId="2A08441B" w:rsidR="00F902BC" w:rsidRPr="004A34BD" w:rsidRDefault="00F902BC" w:rsidP="00F902B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A6788C">
              <w:rPr>
                <w:rFonts w:asciiTheme="minorHAnsi" w:hAnsiTheme="minorHAnsi" w:cstheme="minorHAnsi"/>
                <w:iCs/>
              </w:rPr>
              <w:t>4</w:t>
            </w:r>
            <w:r w:rsidRPr="004A34BD">
              <w:rPr>
                <w:rFonts w:asciiTheme="minorHAnsi" w:hAnsiTheme="minorHAnsi" w:cstheme="minorHAnsi"/>
                <w:iCs/>
              </w:rPr>
              <w:t>-OB-0</w:t>
            </w:r>
            <w:r w:rsidR="00A6788C">
              <w:rPr>
                <w:rFonts w:asciiTheme="minorHAnsi" w:hAnsiTheme="minorHAnsi" w:cstheme="minorHAnsi"/>
                <w:iCs/>
              </w:rPr>
              <w:t>8</w:t>
            </w:r>
          </w:p>
        </w:tc>
        <w:tc>
          <w:tcPr>
            <w:tcW w:w="2108" w:type="dxa"/>
          </w:tcPr>
          <w:p w14:paraId="40960A51" w14:textId="76BFFDBC" w:rsidR="00F902BC" w:rsidRPr="004A34BD"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FY 2023-OB-08</w:t>
            </w:r>
          </w:p>
        </w:tc>
        <w:tc>
          <w:tcPr>
            <w:tcW w:w="3420" w:type="dxa"/>
          </w:tcPr>
          <w:p w14:paraId="6FF01369" w14:textId="77777777" w:rsidR="002071DC" w:rsidRPr="00AE4F3D" w:rsidRDefault="002071DC" w:rsidP="00F902BC">
            <w:pPr>
              <w:pStyle w:val="TableParagraph"/>
              <w:kinsoku w:val="0"/>
              <w:overflowPunct w:val="0"/>
              <w:ind w:left="0"/>
              <w:rPr>
                <w:rFonts w:asciiTheme="minorHAnsi" w:hAnsiTheme="minorHAnsi" w:cstheme="minorHAnsi"/>
                <w:b/>
                <w:bCs/>
                <w:spacing w:val="-2"/>
              </w:rPr>
            </w:pPr>
            <w:r w:rsidRPr="00AE4F3D">
              <w:rPr>
                <w:rFonts w:asciiTheme="minorHAnsi" w:hAnsiTheme="minorHAnsi" w:cstheme="minorHAnsi"/>
                <w:b/>
                <w:bCs/>
                <w:spacing w:val="-2"/>
              </w:rPr>
              <w:t>OIS Request Pending Report</w:t>
            </w:r>
          </w:p>
          <w:p w14:paraId="57169260" w14:textId="3E0A68F0" w:rsidR="00F902BC" w:rsidRPr="004A34BD" w:rsidRDefault="00A6788C" w:rsidP="00F902BC">
            <w:pPr>
              <w:pStyle w:val="TableParagraph"/>
              <w:kinsoku w:val="0"/>
              <w:overflowPunct w:val="0"/>
              <w:ind w:left="0"/>
              <w:rPr>
                <w:rFonts w:asciiTheme="minorHAnsi" w:hAnsiTheme="minorHAnsi" w:cstheme="minorHAnsi"/>
                <w:spacing w:val="-2"/>
              </w:rPr>
            </w:pPr>
            <w:r w:rsidRPr="00A6788C">
              <w:rPr>
                <w:rFonts w:asciiTheme="minorHAnsi" w:hAnsiTheme="minorHAnsi" w:cstheme="minorHAnsi"/>
                <w:spacing w:val="-2"/>
              </w:rPr>
              <w:t>An OIS Request Pending Report</w:t>
            </w:r>
            <w:r w:rsidR="007727E3">
              <w:rPr>
                <w:rFonts w:asciiTheme="minorHAnsi" w:hAnsiTheme="minorHAnsi" w:cstheme="minorHAnsi"/>
                <w:spacing w:val="-2"/>
              </w:rPr>
              <w:t>,</w:t>
            </w:r>
            <w:r w:rsidRPr="00A6788C">
              <w:rPr>
                <w:rFonts w:asciiTheme="minorHAnsi" w:hAnsiTheme="minorHAnsi" w:cstheme="minorHAnsi"/>
                <w:spacing w:val="-2"/>
              </w:rPr>
              <w:t xml:space="preserve"> run on February 9, 2025</w:t>
            </w:r>
            <w:r w:rsidR="007727E3">
              <w:rPr>
                <w:rFonts w:asciiTheme="minorHAnsi" w:hAnsiTheme="minorHAnsi" w:cstheme="minorHAnsi"/>
                <w:spacing w:val="-2"/>
              </w:rPr>
              <w:t>,</w:t>
            </w:r>
            <w:r w:rsidRPr="00A6788C">
              <w:rPr>
                <w:rFonts w:asciiTheme="minorHAnsi" w:hAnsiTheme="minorHAnsi" w:cstheme="minorHAnsi"/>
                <w:spacing w:val="-2"/>
              </w:rPr>
              <w:t xml:space="preserve"> showed 98 consultation requests pending a consultation visit. There were 92 requests that had been </w:t>
            </w:r>
            <w:r w:rsidRPr="00A6788C">
              <w:rPr>
                <w:rFonts w:asciiTheme="minorHAnsi" w:hAnsiTheme="minorHAnsi" w:cstheme="minorHAnsi"/>
                <w:spacing w:val="-2"/>
              </w:rPr>
              <w:lastRenderedPageBreak/>
              <w:t>received more than 30 calendar days ago. Of the requests that had an identified service scope listed, there were 60 health requests pending a visit on this list.</w:t>
            </w:r>
          </w:p>
        </w:tc>
        <w:tc>
          <w:tcPr>
            <w:tcW w:w="3961" w:type="dxa"/>
          </w:tcPr>
          <w:p w14:paraId="17FA5B9F" w14:textId="3166B9DF" w:rsidR="00F902BC" w:rsidRPr="004A34BD" w:rsidRDefault="00A6788C" w:rsidP="00F902BC">
            <w:pPr>
              <w:widowControl/>
              <w:autoSpaceDE/>
              <w:autoSpaceDN/>
              <w:adjustRightInd/>
              <w:rPr>
                <w:rFonts w:asciiTheme="minorHAnsi" w:hAnsiTheme="minorHAnsi" w:cstheme="minorHAnsi"/>
              </w:rPr>
            </w:pPr>
            <w:r w:rsidRPr="00A6788C">
              <w:rPr>
                <w:rFonts w:asciiTheme="minorHAnsi" w:hAnsiTheme="minorHAnsi" w:cstheme="minorHAnsi"/>
              </w:rPr>
              <w:lastRenderedPageBreak/>
              <w:t>The Region will monitor quarterly with OIS reports and discuss at quarterly meetings.</w:t>
            </w:r>
          </w:p>
        </w:tc>
        <w:tc>
          <w:tcPr>
            <w:tcW w:w="1440" w:type="dxa"/>
          </w:tcPr>
          <w:p w14:paraId="7A99A811" w14:textId="60B33C58" w:rsidR="00F902BC" w:rsidRPr="004A34BD"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Continued</w:t>
            </w:r>
          </w:p>
        </w:tc>
      </w:tr>
      <w:tr w:rsidR="005A010E" w:rsidRPr="004A34BD" w14:paraId="34A11806" w14:textId="77777777" w:rsidTr="00AE4F3D">
        <w:tc>
          <w:tcPr>
            <w:tcW w:w="2657" w:type="dxa"/>
          </w:tcPr>
          <w:p w14:paraId="0609A78A" w14:textId="0DBE42B9"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A6788C">
              <w:rPr>
                <w:rFonts w:asciiTheme="minorHAnsi" w:hAnsiTheme="minorHAnsi" w:cstheme="minorHAnsi"/>
                <w:iCs/>
              </w:rPr>
              <w:t>4</w:t>
            </w:r>
            <w:r w:rsidRPr="004A34BD">
              <w:rPr>
                <w:rFonts w:asciiTheme="minorHAnsi" w:hAnsiTheme="minorHAnsi" w:cstheme="minorHAnsi"/>
                <w:iCs/>
              </w:rPr>
              <w:t>-OB-0</w:t>
            </w:r>
            <w:r w:rsidR="00A6788C">
              <w:rPr>
                <w:rFonts w:asciiTheme="minorHAnsi" w:hAnsiTheme="minorHAnsi" w:cstheme="minorHAnsi"/>
                <w:iCs/>
              </w:rPr>
              <w:t>9</w:t>
            </w:r>
          </w:p>
        </w:tc>
        <w:tc>
          <w:tcPr>
            <w:tcW w:w="2108" w:type="dxa"/>
          </w:tcPr>
          <w:p w14:paraId="2BCD9286" w14:textId="77777777" w:rsidR="005A010E"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FY 2023-OB-09</w:t>
            </w:r>
          </w:p>
          <w:p w14:paraId="3511AC83" w14:textId="77777777" w:rsidR="00A6788C"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FY 2022-OB-01</w:t>
            </w:r>
          </w:p>
          <w:p w14:paraId="3B6CFA54" w14:textId="238B6452" w:rsidR="00A6788C" w:rsidRPr="004A34BD"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FY 2021-OB-01</w:t>
            </w:r>
          </w:p>
        </w:tc>
        <w:tc>
          <w:tcPr>
            <w:tcW w:w="3420" w:type="dxa"/>
          </w:tcPr>
          <w:p w14:paraId="359F5655" w14:textId="77777777" w:rsidR="002071DC" w:rsidRPr="00AE4F3D" w:rsidRDefault="002071DC" w:rsidP="005A010E">
            <w:pPr>
              <w:pStyle w:val="TableParagraph"/>
              <w:kinsoku w:val="0"/>
              <w:overflowPunct w:val="0"/>
              <w:ind w:left="0"/>
              <w:rPr>
                <w:rFonts w:asciiTheme="minorHAnsi" w:hAnsiTheme="minorHAnsi" w:cstheme="minorHAnsi"/>
                <w:b/>
                <w:bCs/>
              </w:rPr>
            </w:pPr>
            <w:r w:rsidRPr="00AE4F3D">
              <w:rPr>
                <w:rFonts w:asciiTheme="minorHAnsi" w:hAnsiTheme="minorHAnsi" w:cstheme="minorHAnsi"/>
                <w:b/>
                <w:bCs/>
              </w:rPr>
              <w:t>OIS Uncorrected Hazards Report</w:t>
            </w:r>
          </w:p>
          <w:p w14:paraId="5ECC2DE6" w14:textId="261B5118" w:rsidR="005A010E" w:rsidRPr="004A34BD" w:rsidRDefault="002071DC" w:rsidP="005A010E">
            <w:pPr>
              <w:pStyle w:val="TableParagraph"/>
              <w:kinsoku w:val="0"/>
              <w:overflowPunct w:val="0"/>
              <w:ind w:left="0"/>
              <w:rPr>
                <w:rFonts w:asciiTheme="minorHAnsi" w:hAnsiTheme="minorHAnsi" w:cstheme="minorHAnsi"/>
              </w:rPr>
            </w:pPr>
            <w:r w:rsidRPr="002071DC">
              <w:rPr>
                <w:rFonts w:asciiTheme="minorHAnsi" w:hAnsiTheme="minorHAnsi" w:cstheme="minorHAnsi"/>
              </w:rPr>
              <w:t>An OIS Uncorrected Hazards Report</w:t>
            </w:r>
            <w:r w:rsidR="007727E3">
              <w:rPr>
                <w:rFonts w:asciiTheme="minorHAnsi" w:hAnsiTheme="minorHAnsi" w:cstheme="minorHAnsi"/>
              </w:rPr>
              <w:t>,</w:t>
            </w:r>
            <w:r w:rsidRPr="002071DC">
              <w:rPr>
                <w:rFonts w:asciiTheme="minorHAnsi" w:hAnsiTheme="minorHAnsi" w:cstheme="minorHAnsi"/>
              </w:rPr>
              <w:t xml:space="preserve"> run on February 9, 2025</w:t>
            </w:r>
            <w:r w:rsidR="007727E3">
              <w:rPr>
                <w:rFonts w:asciiTheme="minorHAnsi" w:hAnsiTheme="minorHAnsi" w:cstheme="minorHAnsi"/>
              </w:rPr>
              <w:t>,</w:t>
            </w:r>
            <w:r w:rsidRPr="002071DC">
              <w:rPr>
                <w:rFonts w:asciiTheme="minorHAnsi" w:hAnsiTheme="minorHAnsi" w:cstheme="minorHAnsi"/>
              </w:rPr>
              <w:t xml:space="preserve"> showed three serious health hazards that were 23 calendar days overdue for correction</w:t>
            </w:r>
            <w:r w:rsidR="007727E3">
              <w:rPr>
                <w:rFonts w:asciiTheme="minorHAnsi" w:hAnsiTheme="minorHAnsi" w:cstheme="minorHAnsi"/>
              </w:rPr>
              <w:t>.</w:t>
            </w:r>
          </w:p>
        </w:tc>
        <w:tc>
          <w:tcPr>
            <w:tcW w:w="3961" w:type="dxa"/>
          </w:tcPr>
          <w:p w14:paraId="5A09B209" w14:textId="661944B0" w:rsidR="005A010E" w:rsidRPr="004A34BD" w:rsidRDefault="00A6788C" w:rsidP="00F902BC">
            <w:pPr>
              <w:widowControl/>
              <w:autoSpaceDE/>
              <w:autoSpaceDN/>
              <w:adjustRightInd/>
              <w:rPr>
                <w:rFonts w:asciiTheme="minorHAnsi" w:hAnsiTheme="minorHAnsi" w:cstheme="minorHAnsi"/>
              </w:rPr>
            </w:pPr>
            <w:r w:rsidRPr="00A6788C">
              <w:rPr>
                <w:rFonts w:asciiTheme="minorHAnsi" w:hAnsiTheme="minorHAnsi" w:cstheme="minorHAnsi"/>
              </w:rPr>
              <w:t>OSHA will monitor this report quarterly and discuss at quarterly meetings</w:t>
            </w:r>
            <w:r w:rsidR="007727E3">
              <w:rPr>
                <w:rFonts w:asciiTheme="minorHAnsi" w:hAnsiTheme="minorHAnsi" w:cstheme="minorHAnsi"/>
              </w:rPr>
              <w:t>.</w:t>
            </w:r>
          </w:p>
        </w:tc>
        <w:tc>
          <w:tcPr>
            <w:tcW w:w="1440" w:type="dxa"/>
          </w:tcPr>
          <w:p w14:paraId="40FFE92C" w14:textId="48C81213" w:rsidR="005A010E" w:rsidRPr="004A34BD" w:rsidRDefault="00A6788C" w:rsidP="00F902BC">
            <w:pPr>
              <w:widowControl/>
              <w:autoSpaceDE/>
              <w:autoSpaceDN/>
              <w:adjustRightInd/>
              <w:rPr>
                <w:rFonts w:asciiTheme="minorHAnsi" w:hAnsiTheme="minorHAnsi" w:cstheme="minorHAnsi"/>
                <w:iCs/>
              </w:rPr>
            </w:pPr>
            <w:r>
              <w:rPr>
                <w:rFonts w:asciiTheme="minorHAnsi" w:hAnsiTheme="minorHAnsi" w:cstheme="minorHAnsi"/>
                <w:iCs/>
              </w:rPr>
              <w:t>Continued</w:t>
            </w:r>
          </w:p>
        </w:tc>
      </w:tr>
      <w:tr w:rsidR="005A010E" w:rsidRPr="004A34BD" w14:paraId="315D7552" w14:textId="77777777" w:rsidTr="00AE4F3D">
        <w:tc>
          <w:tcPr>
            <w:tcW w:w="2657" w:type="dxa"/>
          </w:tcPr>
          <w:p w14:paraId="789D7DAA" w14:textId="451F1B11"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t>FY 202</w:t>
            </w:r>
            <w:r w:rsidR="002071DC">
              <w:rPr>
                <w:rFonts w:asciiTheme="minorHAnsi" w:hAnsiTheme="minorHAnsi" w:cstheme="minorHAnsi"/>
                <w:iCs/>
              </w:rPr>
              <w:t>4</w:t>
            </w:r>
            <w:r w:rsidRPr="004A34BD">
              <w:rPr>
                <w:rFonts w:asciiTheme="minorHAnsi" w:hAnsiTheme="minorHAnsi" w:cstheme="minorHAnsi"/>
                <w:iCs/>
              </w:rPr>
              <w:t>-OB-</w:t>
            </w:r>
            <w:r w:rsidR="002071DC">
              <w:rPr>
                <w:rFonts w:asciiTheme="minorHAnsi" w:hAnsiTheme="minorHAnsi" w:cstheme="minorHAnsi"/>
                <w:iCs/>
              </w:rPr>
              <w:t>10</w:t>
            </w:r>
          </w:p>
        </w:tc>
        <w:tc>
          <w:tcPr>
            <w:tcW w:w="2108" w:type="dxa"/>
          </w:tcPr>
          <w:p w14:paraId="4CEAD579" w14:textId="77777777" w:rsidR="005A010E" w:rsidRPr="004A34BD" w:rsidRDefault="005A010E" w:rsidP="00F902BC">
            <w:pPr>
              <w:widowControl/>
              <w:autoSpaceDE/>
              <w:autoSpaceDN/>
              <w:adjustRightInd/>
              <w:rPr>
                <w:rFonts w:asciiTheme="minorHAnsi" w:hAnsiTheme="minorHAnsi" w:cstheme="minorHAnsi"/>
                <w:iCs/>
              </w:rPr>
            </w:pPr>
          </w:p>
        </w:tc>
        <w:tc>
          <w:tcPr>
            <w:tcW w:w="3420" w:type="dxa"/>
          </w:tcPr>
          <w:p w14:paraId="680C6064" w14:textId="5AB78BD6" w:rsidR="005A010E" w:rsidRPr="004A34BD" w:rsidRDefault="002071DC" w:rsidP="005A010E">
            <w:pPr>
              <w:widowControl/>
              <w:autoSpaceDE/>
              <w:autoSpaceDN/>
              <w:adjustRightInd/>
              <w:rPr>
                <w:rFonts w:asciiTheme="minorHAnsi" w:hAnsiTheme="minorHAnsi" w:cstheme="minorHAnsi"/>
                <w:iCs/>
              </w:rPr>
            </w:pPr>
            <w:r w:rsidRPr="002071DC">
              <w:rPr>
                <w:rFonts w:asciiTheme="minorHAnsi" w:hAnsiTheme="minorHAnsi" w:cstheme="minorHAnsi"/>
                <w:iCs/>
              </w:rPr>
              <w:t>In FY 2024, the average health lapse time (SAMM 11b) for citations was calculated at 88.31 days which is above the FRL range of 53.77 to 80.65 days for health.</w:t>
            </w:r>
          </w:p>
        </w:tc>
        <w:tc>
          <w:tcPr>
            <w:tcW w:w="3961" w:type="dxa"/>
          </w:tcPr>
          <w:p w14:paraId="3DDAC993" w14:textId="57C3B3F1" w:rsidR="005A010E" w:rsidRPr="004A34BD" w:rsidRDefault="002071DC" w:rsidP="00F902BC">
            <w:pPr>
              <w:widowControl/>
              <w:autoSpaceDE/>
              <w:autoSpaceDN/>
              <w:adjustRightInd/>
              <w:rPr>
                <w:rFonts w:asciiTheme="minorHAnsi" w:hAnsiTheme="minorHAnsi" w:cstheme="minorHAnsi"/>
              </w:rPr>
            </w:pPr>
            <w:r w:rsidRPr="002071DC">
              <w:rPr>
                <w:rFonts w:asciiTheme="minorHAnsi" w:hAnsiTheme="minorHAnsi" w:cstheme="minorHAnsi"/>
              </w:rPr>
              <w:t>OSHA will monitor the New Jersey State Plan in FY 2025 during quarterly meetings utilizing the SAMM report to evaluate progress in reducing the average health lapse time for issuing citations.</w:t>
            </w:r>
          </w:p>
        </w:tc>
        <w:tc>
          <w:tcPr>
            <w:tcW w:w="1440" w:type="dxa"/>
          </w:tcPr>
          <w:p w14:paraId="0D73DFCD" w14:textId="78883689" w:rsidR="005A010E" w:rsidRPr="004A34BD" w:rsidRDefault="005A010E" w:rsidP="00F902BC">
            <w:pPr>
              <w:widowControl/>
              <w:autoSpaceDE/>
              <w:autoSpaceDN/>
              <w:adjustRightInd/>
              <w:rPr>
                <w:rFonts w:asciiTheme="minorHAnsi" w:hAnsiTheme="minorHAnsi" w:cstheme="minorHAnsi"/>
                <w:iCs/>
              </w:rPr>
            </w:pPr>
            <w:r w:rsidRPr="004A34BD">
              <w:rPr>
                <w:rFonts w:asciiTheme="minorHAnsi" w:hAnsiTheme="minorHAnsi" w:cstheme="minorHAnsi"/>
                <w:iCs/>
              </w:rPr>
              <w:t>New</w:t>
            </w:r>
          </w:p>
        </w:tc>
      </w:tr>
      <w:tr w:rsidR="002071DC" w:rsidRPr="004A34BD" w14:paraId="0F16C6AB" w14:textId="77777777" w:rsidTr="00AE4F3D">
        <w:tc>
          <w:tcPr>
            <w:tcW w:w="2657" w:type="dxa"/>
          </w:tcPr>
          <w:p w14:paraId="5780CD7B" w14:textId="0C598466" w:rsidR="002071DC" w:rsidRPr="004A34BD" w:rsidRDefault="002071DC" w:rsidP="00F902BC">
            <w:pPr>
              <w:widowControl/>
              <w:autoSpaceDE/>
              <w:autoSpaceDN/>
              <w:adjustRightInd/>
              <w:rPr>
                <w:rFonts w:asciiTheme="minorHAnsi" w:hAnsiTheme="minorHAnsi" w:cstheme="minorHAnsi"/>
                <w:iCs/>
              </w:rPr>
            </w:pPr>
            <w:r>
              <w:rPr>
                <w:rFonts w:asciiTheme="minorHAnsi" w:hAnsiTheme="minorHAnsi" w:cstheme="minorHAnsi"/>
                <w:iCs/>
              </w:rPr>
              <w:t>FY 2024-OB-11</w:t>
            </w:r>
          </w:p>
        </w:tc>
        <w:tc>
          <w:tcPr>
            <w:tcW w:w="2108" w:type="dxa"/>
          </w:tcPr>
          <w:p w14:paraId="0357DB3A" w14:textId="77777777" w:rsidR="002071DC" w:rsidRPr="004A34BD" w:rsidRDefault="002071DC" w:rsidP="00F902BC">
            <w:pPr>
              <w:widowControl/>
              <w:autoSpaceDE/>
              <w:autoSpaceDN/>
              <w:adjustRightInd/>
              <w:rPr>
                <w:rFonts w:asciiTheme="minorHAnsi" w:hAnsiTheme="minorHAnsi" w:cstheme="minorHAnsi"/>
                <w:iCs/>
              </w:rPr>
            </w:pPr>
          </w:p>
        </w:tc>
        <w:tc>
          <w:tcPr>
            <w:tcW w:w="3420" w:type="dxa"/>
          </w:tcPr>
          <w:p w14:paraId="13A164D5" w14:textId="77777777" w:rsidR="002071DC" w:rsidRPr="00AE4F3D" w:rsidRDefault="002071DC" w:rsidP="002071DC">
            <w:pPr>
              <w:widowControl/>
              <w:autoSpaceDE/>
              <w:autoSpaceDN/>
              <w:adjustRightInd/>
              <w:rPr>
                <w:rFonts w:asciiTheme="minorHAnsi" w:hAnsiTheme="minorHAnsi" w:cstheme="minorHAnsi"/>
                <w:b/>
                <w:bCs/>
                <w:iCs/>
              </w:rPr>
            </w:pPr>
            <w:r w:rsidRPr="00AE4F3D">
              <w:rPr>
                <w:rFonts w:asciiTheme="minorHAnsi" w:hAnsiTheme="minorHAnsi" w:cstheme="minorHAnsi"/>
                <w:b/>
                <w:bCs/>
                <w:iCs/>
              </w:rPr>
              <w:t>OIS Written Reports Pending Report</w:t>
            </w:r>
          </w:p>
          <w:p w14:paraId="11243BC3" w14:textId="622DF26F" w:rsidR="00E6451D" w:rsidRPr="004D0830" w:rsidRDefault="00E6451D" w:rsidP="00E6451D">
            <w:pPr>
              <w:widowControl/>
              <w:autoSpaceDE/>
              <w:autoSpaceDN/>
              <w:adjustRightInd/>
              <w:rPr>
                <w:rFonts w:cs="Calibri"/>
                <w:iCs/>
              </w:rPr>
            </w:pPr>
            <w:r w:rsidRPr="004D0830">
              <w:rPr>
                <w:rFonts w:cs="Calibri"/>
                <w:iCs/>
              </w:rPr>
              <w:t xml:space="preserve">The OIS Written Reports Pending Report run on February 5, 2024, showed 10 reports pending issuance past 20 federal working days from the closing conference date. </w:t>
            </w:r>
            <w:r>
              <w:rPr>
                <w:rFonts w:cs="Calibri"/>
                <w:iCs/>
              </w:rPr>
              <w:t xml:space="preserve"> </w:t>
            </w:r>
            <w:r w:rsidRPr="004D0830">
              <w:rPr>
                <w:rFonts w:cs="Calibri"/>
                <w:iCs/>
              </w:rPr>
              <w:t>The number of working days past the closing conference day ranged from 58</w:t>
            </w:r>
            <w:r w:rsidR="00195095">
              <w:rPr>
                <w:rFonts w:cs="Calibri"/>
                <w:iCs/>
              </w:rPr>
              <w:t xml:space="preserve"> to </w:t>
            </w:r>
            <w:r w:rsidRPr="004D0830">
              <w:rPr>
                <w:rFonts w:cs="Calibri"/>
                <w:iCs/>
              </w:rPr>
              <w:t xml:space="preserve">250 working days. </w:t>
            </w:r>
          </w:p>
          <w:p w14:paraId="5C81F6FE" w14:textId="1B97299D" w:rsidR="002071DC" w:rsidRPr="002071DC" w:rsidRDefault="002071DC" w:rsidP="002071DC">
            <w:pPr>
              <w:widowControl/>
              <w:autoSpaceDE/>
              <w:autoSpaceDN/>
              <w:adjustRightInd/>
              <w:rPr>
                <w:rFonts w:asciiTheme="minorHAnsi" w:hAnsiTheme="minorHAnsi" w:cstheme="minorHAnsi"/>
                <w:iCs/>
              </w:rPr>
            </w:pPr>
          </w:p>
        </w:tc>
        <w:tc>
          <w:tcPr>
            <w:tcW w:w="3961" w:type="dxa"/>
          </w:tcPr>
          <w:p w14:paraId="00ED4D96" w14:textId="220D3079" w:rsidR="002071DC" w:rsidRPr="002071DC" w:rsidRDefault="002071DC" w:rsidP="00F902BC">
            <w:pPr>
              <w:widowControl/>
              <w:autoSpaceDE/>
              <w:autoSpaceDN/>
              <w:adjustRightInd/>
              <w:rPr>
                <w:rFonts w:asciiTheme="minorHAnsi" w:hAnsiTheme="minorHAnsi" w:cstheme="minorHAnsi"/>
              </w:rPr>
            </w:pPr>
            <w:r w:rsidRPr="002071DC">
              <w:rPr>
                <w:rFonts w:asciiTheme="minorHAnsi" w:hAnsiTheme="minorHAnsi" w:cstheme="minorHAnsi"/>
              </w:rPr>
              <w:t>OSHA will monitor the New Jersey State Plan in FY 2025 during quarterly meetings utilizing this OIS report to evaluate progress in reducing the number of consultation reports that are issued more than 20 federal working days after the closing conference date.</w:t>
            </w:r>
          </w:p>
        </w:tc>
        <w:tc>
          <w:tcPr>
            <w:tcW w:w="1440" w:type="dxa"/>
          </w:tcPr>
          <w:p w14:paraId="2AC628C5" w14:textId="582B5EBD" w:rsidR="002071DC" w:rsidRPr="004A34BD" w:rsidRDefault="002071DC" w:rsidP="00F902BC">
            <w:pPr>
              <w:widowControl/>
              <w:autoSpaceDE/>
              <w:autoSpaceDN/>
              <w:adjustRightInd/>
              <w:rPr>
                <w:rFonts w:asciiTheme="minorHAnsi" w:hAnsiTheme="minorHAnsi" w:cstheme="minorHAnsi"/>
                <w:iCs/>
              </w:rPr>
            </w:pPr>
            <w:r>
              <w:rPr>
                <w:rFonts w:asciiTheme="minorHAnsi" w:hAnsiTheme="minorHAnsi" w:cstheme="minorHAnsi"/>
                <w:iCs/>
              </w:rPr>
              <w:t>New</w:t>
            </w:r>
          </w:p>
        </w:tc>
      </w:tr>
    </w:tbl>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23C6949A" w:rsidR="00747710" w:rsidRDefault="00747710" w:rsidP="000F63C1">
      <w:pPr>
        <w:pStyle w:val="Heading3"/>
        <w:numPr>
          <w:ilvl w:val="0"/>
          <w:numId w:val="0"/>
        </w:numPr>
      </w:pPr>
      <w:bookmarkStart w:id="42" w:name="_Toc118905019"/>
      <w:bookmarkStart w:id="43" w:name="_Toc119418671"/>
      <w:r w:rsidRPr="00747710">
        <w:lastRenderedPageBreak/>
        <w:t>Appendix C - Status of FY 20</w:t>
      </w:r>
      <w:r w:rsidR="005A010E">
        <w:t>2</w:t>
      </w:r>
      <w:r w:rsidR="00075310">
        <w:t>3</w:t>
      </w:r>
      <w:r w:rsidRPr="00747710">
        <w:t xml:space="preserve"> Findings and Recommendations</w:t>
      </w:r>
      <w:bookmarkEnd w:id="42"/>
      <w:bookmarkEnd w:id="43"/>
    </w:p>
    <w:p w14:paraId="3D850E81" w14:textId="652ABC06" w:rsidR="00747710" w:rsidRPr="00747710" w:rsidRDefault="00747710" w:rsidP="005367D5">
      <w:r w:rsidRPr="00747710">
        <w:t>FY 202</w:t>
      </w:r>
      <w:r w:rsidR="00075310">
        <w:t>4</w:t>
      </w:r>
      <w:r w:rsidRPr="00747710">
        <w:t xml:space="preserve"> </w:t>
      </w:r>
      <w:r w:rsidR="005A010E">
        <w:t>NJ PEOSH</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610"/>
        <w:gridCol w:w="2250"/>
        <w:gridCol w:w="3060"/>
        <w:gridCol w:w="1980"/>
        <w:gridCol w:w="2250"/>
      </w:tblGrid>
      <w:tr w:rsidR="005367D5" w:rsidRPr="001C1E47" w14:paraId="04152CB8" w14:textId="77777777" w:rsidTr="00097060">
        <w:trPr>
          <w:trHeight w:val="412"/>
        </w:trPr>
        <w:tc>
          <w:tcPr>
            <w:tcW w:w="1435" w:type="dxa"/>
          </w:tcPr>
          <w:p w14:paraId="0FAB4AA2" w14:textId="13817C44" w:rsidR="005367D5" w:rsidRPr="001C1E47" w:rsidRDefault="005367D5" w:rsidP="00D93CB3">
            <w:pPr>
              <w:rPr>
                <w:rFonts w:cs="Calibri"/>
                <w:b/>
              </w:rPr>
            </w:pPr>
            <w:r w:rsidRPr="001C1E47">
              <w:rPr>
                <w:rFonts w:cs="Calibri"/>
                <w:b/>
              </w:rPr>
              <w:t>FY 20</w:t>
            </w:r>
            <w:r w:rsidR="005A010E">
              <w:rPr>
                <w:rFonts w:cs="Calibri"/>
                <w:b/>
              </w:rPr>
              <w:t>2</w:t>
            </w:r>
            <w:r w:rsidR="00022F16">
              <w:rPr>
                <w:rFonts w:cs="Calibri"/>
                <w:b/>
              </w:rPr>
              <w:t>3</w:t>
            </w:r>
            <w:r w:rsidRPr="001C1E47">
              <w:rPr>
                <w:rFonts w:cs="Calibri"/>
                <w:b/>
              </w:rPr>
              <w:t>-#</w:t>
            </w:r>
          </w:p>
        </w:tc>
        <w:tc>
          <w:tcPr>
            <w:tcW w:w="2610"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0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980"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BB1B65" w:rsidRPr="00E62017" w14:paraId="7244A508" w14:textId="77777777" w:rsidTr="00097060">
        <w:trPr>
          <w:trHeight w:val="412"/>
        </w:trPr>
        <w:tc>
          <w:tcPr>
            <w:tcW w:w="1435" w:type="dxa"/>
          </w:tcPr>
          <w:p w14:paraId="3B6143AB" w14:textId="3E8CD20A" w:rsidR="00BB1B65" w:rsidRPr="00E62017" w:rsidRDefault="00BB1B65" w:rsidP="002071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rPr>
            </w:pPr>
            <w:r w:rsidRPr="00E62017">
              <w:rPr>
                <w:rFonts w:asciiTheme="minorHAnsi" w:eastAsia="PMingLiU" w:hAnsiTheme="minorHAnsi" w:cstheme="minorHAnsi"/>
              </w:rPr>
              <w:t>FY 202</w:t>
            </w:r>
            <w:r w:rsidR="002071DC">
              <w:rPr>
                <w:rFonts w:asciiTheme="minorHAnsi" w:eastAsia="PMingLiU" w:hAnsiTheme="minorHAnsi" w:cstheme="minorHAnsi"/>
              </w:rPr>
              <w:t>3</w:t>
            </w:r>
            <w:r w:rsidRPr="00E62017">
              <w:rPr>
                <w:rFonts w:asciiTheme="minorHAnsi" w:eastAsia="PMingLiU" w:hAnsiTheme="minorHAnsi" w:cstheme="minorHAnsi"/>
              </w:rPr>
              <w:t xml:space="preserve">-01 </w:t>
            </w:r>
            <w:r w:rsidRPr="00E62017">
              <w:rPr>
                <w:rFonts w:asciiTheme="minorHAnsi" w:eastAsia="PMingLiU" w:hAnsiTheme="minorHAnsi" w:cstheme="minorHAnsi"/>
                <w:b/>
                <w:bCs/>
              </w:rPr>
              <w:t xml:space="preserve"> </w:t>
            </w:r>
          </w:p>
        </w:tc>
        <w:tc>
          <w:tcPr>
            <w:tcW w:w="2610" w:type="dxa"/>
          </w:tcPr>
          <w:p w14:paraId="08D61E80" w14:textId="77777777" w:rsidR="005419E5" w:rsidRPr="00AE4F3D" w:rsidRDefault="005419E5" w:rsidP="005419E5">
            <w:pPr>
              <w:pStyle w:val="TableParagraph"/>
              <w:kinsoku w:val="0"/>
              <w:overflowPunct w:val="0"/>
              <w:spacing w:before="1"/>
              <w:ind w:left="0"/>
              <w:jc w:val="both"/>
              <w:rPr>
                <w:b/>
                <w:bCs/>
              </w:rPr>
            </w:pPr>
            <w:r w:rsidRPr="00AE4F3D">
              <w:rPr>
                <w:b/>
                <w:bCs/>
              </w:rPr>
              <w:t>Complainant Notification</w:t>
            </w:r>
          </w:p>
          <w:p w14:paraId="1D6DD323" w14:textId="5B0B8E05" w:rsidR="00BB1B65" w:rsidRPr="00E62017" w:rsidRDefault="005419E5" w:rsidP="005419E5">
            <w:pPr>
              <w:pStyle w:val="TableParagraph"/>
              <w:kinsoku w:val="0"/>
              <w:overflowPunct w:val="0"/>
              <w:spacing w:before="1"/>
              <w:ind w:left="0"/>
            </w:pPr>
            <w:r w:rsidRPr="005419E5">
              <w:t>The letter to the complainant at the conclusion of the inspection documenting the results of the inspection was missing in five of 16 (31%) of the</w:t>
            </w:r>
            <w:r>
              <w:t xml:space="preserve"> complaint files reviewed.</w:t>
            </w:r>
          </w:p>
        </w:tc>
        <w:tc>
          <w:tcPr>
            <w:tcW w:w="2250" w:type="dxa"/>
          </w:tcPr>
          <w:p w14:paraId="261351C6" w14:textId="77777777" w:rsidR="005419E5" w:rsidRPr="005419E5" w:rsidRDefault="005419E5" w:rsidP="005419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5419E5">
              <w:rPr>
                <w:rFonts w:asciiTheme="minorHAnsi" w:eastAsia="PMingLiU" w:hAnsiTheme="minorHAnsi" w:cstheme="minorHAnsi"/>
                <w:bCs/>
              </w:rPr>
              <w:t>PEOSH needs to ensure that the complainant receives a letter at the conclusion of the inspection with all allegations addressed and a copy is maintained in the electronic file.</w:t>
            </w:r>
          </w:p>
          <w:p w14:paraId="19499B4B" w14:textId="4F54C3CD" w:rsidR="00BB1B65" w:rsidRPr="00E62017" w:rsidRDefault="00BB1B65" w:rsidP="005419E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tc>
        <w:tc>
          <w:tcPr>
            <w:tcW w:w="3060" w:type="dxa"/>
          </w:tcPr>
          <w:p w14:paraId="37D73ADA" w14:textId="54FDD58D" w:rsidR="00BB1B65" w:rsidRPr="00936249" w:rsidRDefault="000429A3"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0429A3">
              <w:rPr>
                <w:rFonts w:asciiTheme="minorHAnsi" w:eastAsia="PMingLiU" w:hAnsiTheme="minorHAnsi" w:cstheme="minorHAnsi"/>
                <w:bCs/>
              </w:rPr>
              <w:t xml:space="preserve">PEOSH developed and implemented a standardized checklist for supervisory review of safety case files. This enforcement inspection case file review checklist included a review of all complaint allegations and subsequent findings.  This checklist was provided and reviewed by the New York City Regional </w:t>
            </w:r>
            <w:r w:rsidR="00D527EE">
              <w:rPr>
                <w:rFonts w:asciiTheme="minorHAnsi" w:eastAsia="PMingLiU" w:hAnsiTheme="minorHAnsi" w:cstheme="minorHAnsi"/>
                <w:bCs/>
              </w:rPr>
              <w:t>O</w:t>
            </w:r>
            <w:r w:rsidRPr="000429A3">
              <w:rPr>
                <w:rFonts w:asciiTheme="minorHAnsi" w:eastAsia="PMingLiU" w:hAnsiTheme="minorHAnsi" w:cstheme="minorHAnsi"/>
                <w:bCs/>
              </w:rPr>
              <w:t>ffice to verify that this checklist included a review by the supervisor of the complainant notification letter as part of the final file review.</w:t>
            </w:r>
          </w:p>
        </w:tc>
        <w:tc>
          <w:tcPr>
            <w:tcW w:w="1980" w:type="dxa"/>
          </w:tcPr>
          <w:p w14:paraId="56F99649" w14:textId="7058F122" w:rsidR="00BB1B65" w:rsidRPr="00E62017" w:rsidRDefault="005419E5"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7/1/2024</w:t>
            </w:r>
          </w:p>
        </w:tc>
        <w:tc>
          <w:tcPr>
            <w:tcW w:w="2250" w:type="dxa"/>
          </w:tcPr>
          <w:p w14:paraId="4007473C" w14:textId="66039C6C" w:rsidR="00BB1B65" w:rsidRPr="00E62017" w:rsidRDefault="00BB1B65" w:rsidP="00BB1B6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E62017">
              <w:rPr>
                <w:rFonts w:asciiTheme="minorHAnsi" w:eastAsia="PMingLiU" w:hAnsiTheme="minorHAnsi" w:cstheme="minorHAnsi"/>
                <w:bCs/>
              </w:rPr>
              <w:t>Awaiting Verification</w:t>
            </w:r>
            <w:r w:rsidRPr="00E62017">
              <w:rPr>
                <w:rFonts w:asciiTheme="minorHAnsi" w:eastAsia="PMingLiU" w:hAnsiTheme="minorHAnsi" w:cstheme="minorHAnsi"/>
                <w:b/>
              </w:rPr>
              <w:t> </w:t>
            </w:r>
          </w:p>
        </w:tc>
      </w:tr>
      <w:tr w:rsidR="00842D41" w:rsidRPr="00E62017" w14:paraId="4703F521" w14:textId="77777777" w:rsidTr="00097060">
        <w:trPr>
          <w:trHeight w:val="385"/>
        </w:trPr>
        <w:tc>
          <w:tcPr>
            <w:tcW w:w="1435" w:type="dxa"/>
          </w:tcPr>
          <w:p w14:paraId="4E7C14BF" w14:textId="72CF45E5"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w:t>
            </w:r>
            <w:r w:rsidR="00936249">
              <w:rPr>
                <w:rFonts w:asciiTheme="minorHAnsi" w:eastAsia="PMingLiU" w:hAnsiTheme="minorHAnsi" w:cstheme="minorHAnsi"/>
              </w:rPr>
              <w:t>3</w:t>
            </w:r>
            <w:r w:rsidRPr="00E62017">
              <w:rPr>
                <w:rFonts w:asciiTheme="minorHAnsi" w:eastAsia="PMingLiU" w:hAnsiTheme="minorHAnsi" w:cstheme="minorHAnsi"/>
              </w:rPr>
              <w:t>-02 </w:t>
            </w:r>
          </w:p>
        </w:tc>
        <w:tc>
          <w:tcPr>
            <w:tcW w:w="2610" w:type="dxa"/>
          </w:tcPr>
          <w:p w14:paraId="2408BF6D" w14:textId="77777777" w:rsidR="00936249" w:rsidRPr="00AE4F3D" w:rsidRDefault="00936249" w:rsidP="0093624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AE4F3D">
              <w:rPr>
                <w:rFonts w:asciiTheme="minorHAnsi" w:eastAsia="PMingLiU" w:hAnsiTheme="minorHAnsi" w:cstheme="minorHAnsi"/>
                <w:b/>
              </w:rPr>
              <w:t>Next-of-Kin Letters</w:t>
            </w:r>
          </w:p>
          <w:p w14:paraId="0934D282" w14:textId="77B670D1" w:rsidR="00842D41" w:rsidRPr="00E62017" w:rsidRDefault="00936249" w:rsidP="0093624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Pr>
                <w:rFonts w:asciiTheme="minorHAnsi" w:eastAsia="PMingLiU" w:hAnsiTheme="minorHAnsi" w:cstheme="minorHAnsi"/>
                <w:bCs/>
              </w:rPr>
              <w:t>I</w:t>
            </w:r>
            <w:r w:rsidRPr="00936249">
              <w:rPr>
                <w:rFonts w:asciiTheme="minorHAnsi" w:eastAsia="PMingLiU" w:hAnsiTheme="minorHAnsi" w:cstheme="minorHAnsi"/>
                <w:bCs/>
              </w:rPr>
              <w:t xml:space="preserve">n one of the two (50%) fatality inspections requiring a next-of-kin letter, both the initial and final next-of-kin letters were not sent to the family of the victim. The State Plan noted in </w:t>
            </w:r>
            <w:r w:rsidRPr="00936249">
              <w:rPr>
                <w:rFonts w:asciiTheme="minorHAnsi" w:eastAsia="PMingLiU" w:hAnsiTheme="minorHAnsi" w:cstheme="minorHAnsi"/>
                <w:bCs/>
              </w:rPr>
              <w:lastRenderedPageBreak/>
              <w:t>the case file that they did not send the letters because the death was determined not to occupationally related even though there was information in the file on the next-of-kin. The State Plan adopted directive CPL 02-00-166, Communicating OSHA Fatality Inspection Procedures to a Victim’s Family that requires an initial letter notifying the family of the investigation, and a final letter at the conclusion of the inspection with the results.</w:t>
            </w:r>
          </w:p>
        </w:tc>
        <w:tc>
          <w:tcPr>
            <w:tcW w:w="2250" w:type="dxa"/>
          </w:tcPr>
          <w:p w14:paraId="4A7C8703" w14:textId="170BF869" w:rsidR="00842D41" w:rsidRPr="00936249" w:rsidRDefault="00936249"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936249">
              <w:rPr>
                <w:rFonts w:asciiTheme="minorHAnsi" w:eastAsia="PMingLiU" w:hAnsiTheme="minorHAnsi" w:cstheme="minorHAnsi"/>
                <w:bCs/>
              </w:rPr>
              <w:lastRenderedPageBreak/>
              <w:t>The State Plan needs to issue next-of-kin letters as required by its FOM and the OSHA directive.</w:t>
            </w:r>
          </w:p>
        </w:tc>
        <w:tc>
          <w:tcPr>
            <w:tcW w:w="3060" w:type="dxa"/>
          </w:tcPr>
          <w:p w14:paraId="26546A5D" w14:textId="4A1E5F67" w:rsidR="00842D41" w:rsidRPr="00936249" w:rsidRDefault="000429A3"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0429A3">
              <w:rPr>
                <w:rFonts w:asciiTheme="minorHAnsi" w:eastAsia="PMingLiU" w:hAnsiTheme="minorHAnsi" w:cstheme="minorHAnsi"/>
                <w:bCs/>
              </w:rPr>
              <w:t xml:space="preserve">The New Jersey State Plan issued memorandum 24-05B “Next of Kin Letters” to all staff via email on April 19, 2024, which referenced the procedures in OSHA Compliance Directive CPL 02-00-166, Communicating OSHA Fatality Inspection </w:t>
            </w:r>
            <w:r w:rsidRPr="000429A3">
              <w:rPr>
                <w:rFonts w:asciiTheme="minorHAnsi" w:eastAsia="PMingLiU" w:hAnsiTheme="minorHAnsi" w:cstheme="minorHAnsi"/>
                <w:bCs/>
              </w:rPr>
              <w:lastRenderedPageBreak/>
              <w:t>Procedures to a Victim’s Family.   Staff received training on this memo on June 5, 2024.   The New York City Regional Office reviewed and concurred with this memo.</w:t>
            </w:r>
          </w:p>
        </w:tc>
        <w:tc>
          <w:tcPr>
            <w:tcW w:w="1980" w:type="dxa"/>
          </w:tcPr>
          <w:p w14:paraId="0F813752" w14:textId="4E5A3C50" w:rsidR="00842D41" w:rsidRPr="00E62017" w:rsidRDefault="00936249"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lastRenderedPageBreak/>
              <w:t>6/5/2024</w:t>
            </w:r>
            <w:r w:rsidR="00842D41" w:rsidRPr="00E62017">
              <w:rPr>
                <w:rFonts w:asciiTheme="minorHAnsi" w:eastAsia="PMingLiU" w:hAnsiTheme="minorHAnsi" w:cstheme="minorHAnsi"/>
                <w:bCs/>
              </w:rPr>
              <w:t> </w:t>
            </w:r>
          </w:p>
        </w:tc>
        <w:tc>
          <w:tcPr>
            <w:tcW w:w="2250" w:type="dxa"/>
          </w:tcPr>
          <w:p w14:paraId="6B340DD8" w14:textId="0385143C"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842D41" w:rsidRPr="00E62017" w14:paraId="3FC304A6" w14:textId="77777777" w:rsidTr="00097060">
        <w:trPr>
          <w:trHeight w:val="385"/>
        </w:trPr>
        <w:tc>
          <w:tcPr>
            <w:tcW w:w="1435" w:type="dxa"/>
          </w:tcPr>
          <w:p w14:paraId="2D7BC92D" w14:textId="6B2DC8EB"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w:t>
            </w:r>
            <w:r w:rsidR="00936249">
              <w:rPr>
                <w:rFonts w:asciiTheme="minorHAnsi" w:eastAsia="PMingLiU" w:hAnsiTheme="minorHAnsi" w:cstheme="minorHAnsi"/>
              </w:rPr>
              <w:t>3</w:t>
            </w:r>
            <w:r w:rsidRPr="00E62017">
              <w:rPr>
                <w:rFonts w:asciiTheme="minorHAnsi" w:eastAsia="PMingLiU" w:hAnsiTheme="minorHAnsi" w:cstheme="minorHAnsi"/>
              </w:rPr>
              <w:t>-03</w:t>
            </w:r>
          </w:p>
        </w:tc>
        <w:tc>
          <w:tcPr>
            <w:tcW w:w="2610" w:type="dxa"/>
          </w:tcPr>
          <w:p w14:paraId="0F264623" w14:textId="77777777" w:rsidR="00D8525E" w:rsidRPr="00AE4F3D"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AE4F3D">
              <w:rPr>
                <w:rFonts w:asciiTheme="minorHAnsi" w:eastAsia="PMingLiU" w:hAnsiTheme="minorHAnsi" w:cstheme="minorHAnsi"/>
                <w:b/>
              </w:rPr>
              <w:t>Case File Documentation of Fatalities Not Inspected</w:t>
            </w:r>
          </w:p>
          <w:p w14:paraId="00E182D1" w14:textId="4A5D5720" w:rsidR="00842D41" w:rsidRPr="00E62017"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D8525E">
              <w:rPr>
                <w:rFonts w:asciiTheme="minorHAnsi" w:eastAsia="PMingLiU" w:hAnsiTheme="minorHAnsi" w:cstheme="minorHAnsi"/>
                <w:bCs/>
              </w:rPr>
              <w:t>The case files of eight reported fatalities not inspected lacked evidence to support the conclusion that the death was not occupationally- related.</w:t>
            </w:r>
          </w:p>
        </w:tc>
        <w:tc>
          <w:tcPr>
            <w:tcW w:w="2250" w:type="dxa"/>
          </w:tcPr>
          <w:p w14:paraId="632C6C17" w14:textId="77777777" w:rsidR="00D8525E" w:rsidRPr="00D8525E" w:rsidRDefault="00D8525E" w:rsidP="00D8525E">
            <w:pPr>
              <w:rPr>
                <w:rFonts w:asciiTheme="minorHAnsi" w:eastAsia="PMingLiU" w:hAnsiTheme="minorHAnsi" w:cstheme="minorHAnsi"/>
                <w:bCs/>
              </w:rPr>
            </w:pPr>
            <w:r w:rsidRPr="00D8525E">
              <w:rPr>
                <w:rFonts w:asciiTheme="minorHAnsi" w:eastAsia="PMingLiU" w:hAnsiTheme="minorHAnsi" w:cstheme="minorHAnsi"/>
                <w:bCs/>
              </w:rPr>
              <w:t xml:space="preserve">Before concluding that a reported fatality is medically related and not related to an occupational exposure, PEOSH should obtain medical documentation confirming this </w:t>
            </w:r>
            <w:r w:rsidRPr="00D8525E">
              <w:rPr>
                <w:rFonts w:asciiTheme="minorHAnsi" w:eastAsia="PMingLiU" w:hAnsiTheme="minorHAnsi" w:cstheme="minorHAnsi"/>
                <w:bCs/>
              </w:rPr>
              <w:lastRenderedPageBreak/>
              <w:t>conclusion, or conduct a thorough inspection to evaluate the circumstances of the death to reach a conclusion.   Diary sheets should be utilized to document all actions taken during the inquiry and/or investigation.</w:t>
            </w:r>
          </w:p>
          <w:p w14:paraId="666439A1" w14:textId="505E08AA"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p>
        </w:tc>
        <w:tc>
          <w:tcPr>
            <w:tcW w:w="3060" w:type="dxa"/>
          </w:tcPr>
          <w:p w14:paraId="2E03CE0D" w14:textId="20B2996E" w:rsidR="00842D41" w:rsidRPr="00A12A87" w:rsidRDefault="00A12A87"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bookmarkStart w:id="44" w:name="_Hlk190089907"/>
            <w:r w:rsidRPr="00A12A87">
              <w:rPr>
                <w:rFonts w:asciiTheme="minorHAnsi" w:eastAsia="PMingLiU" w:hAnsiTheme="minorHAnsi" w:cstheme="minorHAnsi"/>
                <w:bCs/>
              </w:rPr>
              <w:lastRenderedPageBreak/>
              <w:t>PEOSH implemented the use of a standardized Rapid Response Investigation case file template at the initial phase of the inquiry.  Staff ha</w:t>
            </w:r>
            <w:r w:rsidR="00B0161D">
              <w:rPr>
                <w:rFonts w:asciiTheme="minorHAnsi" w:eastAsia="PMingLiU" w:hAnsiTheme="minorHAnsi" w:cstheme="minorHAnsi"/>
                <w:bCs/>
              </w:rPr>
              <w:t>s</w:t>
            </w:r>
            <w:r w:rsidRPr="00A12A87">
              <w:rPr>
                <w:rFonts w:asciiTheme="minorHAnsi" w:eastAsia="PMingLiU" w:hAnsiTheme="minorHAnsi" w:cstheme="minorHAnsi"/>
                <w:bCs/>
              </w:rPr>
              <w:t xml:space="preserve"> been advised to obtain copies of post-mortem examinations in all fatality cases.  If it is necessary to convert the UPA into an inspection, a standardized </w:t>
            </w:r>
            <w:r w:rsidRPr="00A12A87">
              <w:rPr>
                <w:rFonts w:asciiTheme="minorHAnsi" w:eastAsia="PMingLiU" w:hAnsiTheme="minorHAnsi" w:cstheme="minorHAnsi"/>
                <w:bCs/>
              </w:rPr>
              <w:lastRenderedPageBreak/>
              <w:t>full inspection case file template will be completed.</w:t>
            </w:r>
            <w:bookmarkEnd w:id="44"/>
          </w:p>
        </w:tc>
        <w:tc>
          <w:tcPr>
            <w:tcW w:w="1980" w:type="dxa"/>
          </w:tcPr>
          <w:p w14:paraId="630491A0" w14:textId="7863BFDC" w:rsidR="00842D41" w:rsidRPr="00BE7A74" w:rsidRDefault="00A12A87" w:rsidP="00BE7A7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lastRenderedPageBreak/>
              <w:t>7/1/2024</w:t>
            </w:r>
          </w:p>
        </w:tc>
        <w:tc>
          <w:tcPr>
            <w:tcW w:w="2250" w:type="dxa"/>
          </w:tcPr>
          <w:p w14:paraId="41539D36" w14:textId="199B2B52" w:rsidR="00842D41" w:rsidRPr="00E62017" w:rsidRDefault="00842D41" w:rsidP="00842D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CB2A84" w:rsidRPr="00E62017" w14:paraId="20E7D2F3" w14:textId="77777777" w:rsidTr="00097060">
        <w:trPr>
          <w:trHeight w:val="385"/>
        </w:trPr>
        <w:tc>
          <w:tcPr>
            <w:tcW w:w="1435" w:type="dxa"/>
          </w:tcPr>
          <w:p w14:paraId="6536F0DE" w14:textId="4EAD24AF"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w:t>
            </w:r>
            <w:r w:rsidR="00936249">
              <w:rPr>
                <w:rFonts w:asciiTheme="minorHAnsi" w:eastAsia="PMingLiU" w:hAnsiTheme="minorHAnsi" w:cstheme="minorHAnsi"/>
              </w:rPr>
              <w:t>3</w:t>
            </w:r>
            <w:r w:rsidRPr="00E62017">
              <w:rPr>
                <w:rFonts w:asciiTheme="minorHAnsi" w:eastAsia="PMingLiU" w:hAnsiTheme="minorHAnsi" w:cstheme="minorHAnsi"/>
              </w:rPr>
              <w:t>-04</w:t>
            </w:r>
          </w:p>
        </w:tc>
        <w:tc>
          <w:tcPr>
            <w:tcW w:w="2610" w:type="dxa"/>
          </w:tcPr>
          <w:p w14:paraId="112B16A9" w14:textId="77777777" w:rsidR="00D8525E" w:rsidRPr="00AE4F3D" w:rsidRDefault="00D8525E" w:rsidP="00D8525E">
            <w:pPr>
              <w:pStyle w:val="TableParagraph"/>
              <w:kinsoku w:val="0"/>
              <w:overflowPunct w:val="0"/>
              <w:spacing w:before="1"/>
              <w:ind w:left="0"/>
              <w:rPr>
                <w:rFonts w:asciiTheme="minorHAnsi" w:hAnsiTheme="minorHAnsi" w:cstheme="minorHAnsi"/>
                <w:b/>
                <w:bCs/>
              </w:rPr>
            </w:pPr>
            <w:r w:rsidRPr="00AE4F3D">
              <w:rPr>
                <w:rFonts w:asciiTheme="minorHAnsi" w:hAnsiTheme="minorHAnsi" w:cstheme="minorHAnsi"/>
                <w:b/>
                <w:bCs/>
              </w:rPr>
              <w:t>Advanced Notice of Inspections</w:t>
            </w:r>
          </w:p>
          <w:p w14:paraId="07C350AA" w14:textId="51E06614" w:rsidR="00CB2A84" w:rsidRPr="00D8525E" w:rsidRDefault="00D8525E" w:rsidP="00D8525E">
            <w:pPr>
              <w:pStyle w:val="TableParagraph"/>
              <w:kinsoku w:val="0"/>
              <w:overflowPunct w:val="0"/>
              <w:spacing w:before="1"/>
              <w:ind w:left="0"/>
              <w:rPr>
                <w:rFonts w:asciiTheme="minorHAnsi" w:hAnsiTheme="minorHAnsi" w:cstheme="minorHAnsi"/>
              </w:rPr>
            </w:pPr>
            <w:r w:rsidRPr="00D8525E">
              <w:rPr>
                <w:rFonts w:asciiTheme="minorHAnsi" w:hAnsiTheme="minorHAnsi" w:cstheme="minorHAnsi"/>
              </w:rPr>
              <w:t>In five of 48 (10%) closed inspection files there was evidence that advanced notice of the inspection was provided to the employer</w:t>
            </w:r>
            <w:r>
              <w:rPr>
                <w:rFonts w:asciiTheme="minorHAnsi" w:hAnsiTheme="minorHAnsi" w:cstheme="minorHAnsi"/>
              </w:rPr>
              <w:t>.</w:t>
            </w:r>
          </w:p>
        </w:tc>
        <w:tc>
          <w:tcPr>
            <w:tcW w:w="2250" w:type="dxa"/>
          </w:tcPr>
          <w:p w14:paraId="0205B09A" w14:textId="77777777" w:rsidR="00D8525E" w:rsidRPr="00D8525E"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8525E">
              <w:rPr>
                <w:rFonts w:asciiTheme="minorHAnsi" w:hAnsiTheme="minorHAnsi" w:cstheme="minorHAnsi"/>
              </w:rPr>
              <w:t>PEOSH should follow the requirements of their FOM when issuing advanced notice of</w:t>
            </w:r>
          </w:p>
          <w:p w14:paraId="6AFA3F54" w14:textId="07E1381F" w:rsidR="00CB2A84" w:rsidRPr="00E62017"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8525E">
              <w:rPr>
                <w:rFonts w:asciiTheme="minorHAnsi" w:hAnsiTheme="minorHAnsi" w:cstheme="minorHAnsi"/>
              </w:rPr>
              <w:t>inspections and secure the required authorizations. Advanced notice should be given under the exemptions permitted in the FOM, but the notice provided should be the shortest amount of time</w:t>
            </w:r>
            <w:r>
              <w:rPr>
                <w:rFonts w:asciiTheme="minorHAnsi" w:hAnsiTheme="minorHAnsi" w:cstheme="minorHAnsi"/>
              </w:rPr>
              <w:t xml:space="preserve"> </w:t>
            </w:r>
            <w:r w:rsidR="009348C8">
              <w:rPr>
                <w:rFonts w:asciiTheme="minorHAnsi" w:hAnsiTheme="minorHAnsi" w:cstheme="minorHAnsi"/>
              </w:rPr>
              <w:t>needed</w:t>
            </w:r>
            <w:r>
              <w:rPr>
                <w:rFonts w:asciiTheme="minorHAnsi" w:hAnsiTheme="minorHAnsi" w:cstheme="minorHAnsi"/>
              </w:rPr>
              <w:t xml:space="preserve"> to </w:t>
            </w:r>
            <w:r>
              <w:rPr>
                <w:rFonts w:asciiTheme="minorHAnsi" w:hAnsiTheme="minorHAnsi" w:cstheme="minorHAnsi"/>
              </w:rPr>
              <w:lastRenderedPageBreak/>
              <w:t>begin the inspection.</w:t>
            </w:r>
          </w:p>
        </w:tc>
        <w:tc>
          <w:tcPr>
            <w:tcW w:w="3060" w:type="dxa"/>
          </w:tcPr>
          <w:p w14:paraId="1D5C74DA" w14:textId="3C9F827E" w:rsidR="00CB2A84" w:rsidRPr="00E62017" w:rsidRDefault="002B4AFA"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lastRenderedPageBreak/>
              <w:t xml:space="preserve">PEOSH </w:t>
            </w:r>
            <w:r w:rsidR="00B05B04" w:rsidRPr="00B05B04">
              <w:rPr>
                <w:rFonts w:asciiTheme="minorHAnsi" w:hAnsiTheme="minorHAnsi" w:cstheme="minorHAnsi"/>
              </w:rPr>
              <w:t>developed a written policy on advanced notice and trained staff on the policy.  The New York City Regional Office reviewed and concurred with the written policy.</w:t>
            </w:r>
          </w:p>
        </w:tc>
        <w:tc>
          <w:tcPr>
            <w:tcW w:w="1980" w:type="dxa"/>
          </w:tcPr>
          <w:p w14:paraId="7EFB8211" w14:textId="06D65BFB" w:rsidR="00CB2A84" w:rsidRPr="00E62017"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9/19/2024</w:t>
            </w:r>
          </w:p>
        </w:tc>
        <w:tc>
          <w:tcPr>
            <w:tcW w:w="2250" w:type="dxa"/>
          </w:tcPr>
          <w:p w14:paraId="11B9D332" w14:textId="1FD5BBD7"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CB2A84" w:rsidRPr="00E62017" w14:paraId="0BC1AA24" w14:textId="77777777" w:rsidTr="00097060">
        <w:trPr>
          <w:trHeight w:val="385"/>
        </w:trPr>
        <w:tc>
          <w:tcPr>
            <w:tcW w:w="1435" w:type="dxa"/>
          </w:tcPr>
          <w:p w14:paraId="688BF0E0" w14:textId="7FFE86E6"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w:t>
            </w:r>
            <w:r w:rsidR="00D8525E">
              <w:rPr>
                <w:rFonts w:asciiTheme="minorHAnsi" w:eastAsia="PMingLiU" w:hAnsiTheme="minorHAnsi" w:cstheme="minorHAnsi"/>
              </w:rPr>
              <w:t>3</w:t>
            </w:r>
            <w:r w:rsidRPr="00E62017">
              <w:rPr>
                <w:rFonts w:asciiTheme="minorHAnsi" w:eastAsia="PMingLiU" w:hAnsiTheme="minorHAnsi" w:cstheme="minorHAnsi"/>
              </w:rPr>
              <w:t>-05</w:t>
            </w:r>
          </w:p>
        </w:tc>
        <w:tc>
          <w:tcPr>
            <w:tcW w:w="2610" w:type="dxa"/>
          </w:tcPr>
          <w:p w14:paraId="14F4F4C3" w14:textId="77777777" w:rsidR="004713CF" w:rsidRPr="00AE4F3D" w:rsidRDefault="004713CF" w:rsidP="004713CF">
            <w:pPr>
              <w:pStyle w:val="TableParagraph"/>
              <w:kinsoku w:val="0"/>
              <w:overflowPunct w:val="0"/>
              <w:ind w:left="0" w:right="95"/>
              <w:rPr>
                <w:rFonts w:asciiTheme="minorHAnsi" w:hAnsiTheme="minorHAnsi" w:cstheme="minorHAnsi"/>
                <w:b/>
                <w:bCs/>
              </w:rPr>
            </w:pPr>
            <w:r w:rsidRPr="00AE4F3D">
              <w:rPr>
                <w:rFonts w:asciiTheme="minorHAnsi" w:hAnsiTheme="minorHAnsi" w:cstheme="minorHAnsi"/>
                <w:b/>
                <w:bCs/>
              </w:rPr>
              <w:t>General Duty Clause Violations</w:t>
            </w:r>
          </w:p>
          <w:p w14:paraId="145E9AE2" w14:textId="77777777" w:rsidR="004713CF" w:rsidRPr="004713CF" w:rsidRDefault="004713CF" w:rsidP="004713CF">
            <w:pPr>
              <w:pStyle w:val="TableParagraph"/>
              <w:kinsoku w:val="0"/>
              <w:overflowPunct w:val="0"/>
              <w:ind w:left="0" w:right="95"/>
              <w:rPr>
                <w:rFonts w:asciiTheme="minorHAnsi" w:hAnsiTheme="minorHAnsi" w:cstheme="minorHAnsi"/>
              </w:rPr>
            </w:pPr>
            <w:r w:rsidRPr="004713CF">
              <w:rPr>
                <w:rFonts w:asciiTheme="minorHAnsi" w:hAnsiTheme="minorHAnsi" w:cstheme="minorHAnsi"/>
              </w:rPr>
              <w:t>Ten of 12 (83%) safety files with OTCs did not document all four of the elements required</w:t>
            </w:r>
          </w:p>
          <w:p w14:paraId="5BA4B177" w14:textId="0C6892DE" w:rsidR="00CB2A84" w:rsidRPr="00E62017" w:rsidRDefault="004713CF" w:rsidP="004713CF">
            <w:pPr>
              <w:pStyle w:val="TableParagraph"/>
              <w:kinsoku w:val="0"/>
              <w:overflowPunct w:val="0"/>
              <w:ind w:left="0" w:right="95"/>
              <w:rPr>
                <w:rFonts w:asciiTheme="minorHAnsi" w:hAnsiTheme="minorHAnsi" w:cstheme="minorHAnsi"/>
              </w:rPr>
            </w:pPr>
            <w:r w:rsidRPr="004713CF">
              <w:rPr>
                <w:rFonts w:asciiTheme="minorHAnsi" w:hAnsiTheme="minorHAnsi" w:cstheme="minorHAnsi"/>
              </w:rPr>
              <w:t>to support a general duty violation.</w:t>
            </w:r>
          </w:p>
        </w:tc>
        <w:tc>
          <w:tcPr>
            <w:tcW w:w="2250" w:type="dxa"/>
          </w:tcPr>
          <w:p w14:paraId="69C13C0A" w14:textId="77777777" w:rsidR="00D8525E" w:rsidRPr="00D8525E"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8525E">
              <w:rPr>
                <w:rFonts w:asciiTheme="minorHAnsi" w:hAnsiTheme="minorHAnsi" w:cstheme="minorHAnsi"/>
              </w:rPr>
              <w:t>PEOSH should ensure that all required elements of a general duty clause violation are</w:t>
            </w:r>
          </w:p>
          <w:p w14:paraId="5839183E" w14:textId="35293309" w:rsidR="00CB2A84" w:rsidRPr="00E62017" w:rsidRDefault="00D8525E"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8525E">
              <w:rPr>
                <w:rFonts w:asciiTheme="minorHAnsi" w:hAnsiTheme="minorHAnsi" w:cstheme="minorHAnsi"/>
              </w:rPr>
              <w:t>documented on the worksheets</w:t>
            </w:r>
          </w:p>
        </w:tc>
        <w:tc>
          <w:tcPr>
            <w:tcW w:w="3060" w:type="dxa"/>
          </w:tcPr>
          <w:p w14:paraId="2163DF96" w14:textId="2D5BAC68" w:rsidR="00CB2A84" w:rsidRPr="00E62017" w:rsidRDefault="002B4AFA" w:rsidP="00D8525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PEOSH </w:t>
            </w:r>
            <w:r w:rsidR="00EA445B" w:rsidRPr="00EA445B">
              <w:rPr>
                <w:rFonts w:asciiTheme="minorHAnsi" w:hAnsiTheme="minorHAnsi" w:cstheme="minorHAnsi"/>
              </w:rPr>
              <w:t>provided training to all staff on the required elements to document when issuing a GDC violation.</w:t>
            </w:r>
          </w:p>
        </w:tc>
        <w:tc>
          <w:tcPr>
            <w:tcW w:w="1980" w:type="dxa"/>
          </w:tcPr>
          <w:p w14:paraId="0F8547E6" w14:textId="6156E962" w:rsidR="00CB2A84" w:rsidRPr="00E62017" w:rsidRDefault="00B05B0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1/22/2025</w:t>
            </w:r>
          </w:p>
        </w:tc>
        <w:tc>
          <w:tcPr>
            <w:tcW w:w="2250" w:type="dxa"/>
          </w:tcPr>
          <w:p w14:paraId="07240432" w14:textId="61A33B6D" w:rsidR="00CB2A84" w:rsidRPr="00E62017" w:rsidRDefault="00CB2A8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874537" w:rsidRPr="00E62017" w14:paraId="0A6736EF" w14:textId="77777777" w:rsidTr="00097060">
        <w:trPr>
          <w:trHeight w:val="385"/>
        </w:trPr>
        <w:tc>
          <w:tcPr>
            <w:tcW w:w="1435" w:type="dxa"/>
          </w:tcPr>
          <w:p w14:paraId="6B4BEE87" w14:textId="22910238" w:rsidR="00874537" w:rsidRPr="00E62017" w:rsidRDefault="00874537"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sidRPr="00E62017">
              <w:rPr>
                <w:rFonts w:asciiTheme="minorHAnsi" w:eastAsia="PMingLiU" w:hAnsiTheme="minorHAnsi" w:cstheme="minorHAnsi"/>
              </w:rPr>
              <w:t>FY 202</w:t>
            </w:r>
            <w:r w:rsidR="00D8525E">
              <w:rPr>
                <w:rFonts w:asciiTheme="minorHAnsi" w:eastAsia="PMingLiU" w:hAnsiTheme="minorHAnsi" w:cstheme="minorHAnsi"/>
              </w:rPr>
              <w:t>3</w:t>
            </w:r>
            <w:r w:rsidRPr="00E62017">
              <w:rPr>
                <w:rFonts w:asciiTheme="minorHAnsi" w:eastAsia="PMingLiU" w:hAnsiTheme="minorHAnsi" w:cstheme="minorHAnsi"/>
              </w:rPr>
              <w:t>-06</w:t>
            </w:r>
          </w:p>
        </w:tc>
        <w:tc>
          <w:tcPr>
            <w:tcW w:w="2610" w:type="dxa"/>
          </w:tcPr>
          <w:p w14:paraId="51348BBD" w14:textId="77777777" w:rsidR="004713CF" w:rsidRPr="00AE4F3D" w:rsidRDefault="004713CF" w:rsidP="004713CF">
            <w:pPr>
              <w:pStyle w:val="TableParagraph"/>
              <w:kinsoku w:val="0"/>
              <w:overflowPunct w:val="0"/>
              <w:ind w:left="0" w:right="169"/>
              <w:rPr>
                <w:rFonts w:asciiTheme="minorHAnsi" w:hAnsiTheme="minorHAnsi" w:cstheme="minorHAnsi"/>
                <w:b/>
                <w:bCs/>
              </w:rPr>
            </w:pPr>
            <w:r w:rsidRPr="00AE4F3D">
              <w:rPr>
                <w:rFonts w:asciiTheme="minorHAnsi" w:hAnsiTheme="minorHAnsi" w:cstheme="minorHAnsi"/>
                <w:b/>
                <w:bCs/>
              </w:rPr>
              <w:t>Adequate Abatement</w:t>
            </w:r>
          </w:p>
          <w:p w14:paraId="5B0A9B24" w14:textId="67E1AA39" w:rsidR="00874537" w:rsidRPr="004713CF" w:rsidRDefault="004713CF" w:rsidP="004713CF">
            <w:pPr>
              <w:pStyle w:val="TableParagraph"/>
              <w:kinsoku w:val="0"/>
              <w:overflowPunct w:val="0"/>
              <w:ind w:left="0" w:right="169"/>
              <w:rPr>
                <w:rFonts w:asciiTheme="minorHAnsi" w:hAnsiTheme="minorHAnsi" w:cstheme="minorHAnsi"/>
              </w:rPr>
            </w:pPr>
            <w:r w:rsidRPr="004713CF">
              <w:rPr>
                <w:rFonts w:asciiTheme="minorHAnsi" w:hAnsiTheme="minorHAnsi" w:cstheme="minorHAnsi"/>
              </w:rPr>
              <w:t>In 10 of 23 (43%) of closed safety files, evidence of abatement of all the issued OTCs was not available for review in the case files.</w:t>
            </w:r>
          </w:p>
        </w:tc>
        <w:tc>
          <w:tcPr>
            <w:tcW w:w="2250" w:type="dxa"/>
          </w:tcPr>
          <w:p w14:paraId="6E351099" w14:textId="77777777" w:rsidR="004713CF" w:rsidRPr="004713CF" w:rsidRDefault="004713CF"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4713CF">
              <w:rPr>
                <w:rFonts w:asciiTheme="minorHAnsi" w:hAnsiTheme="minorHAnsi" w:cstheme="minorHAnsi"/>
              </w:rPr>
              <w:t>PEOSH needs to ensure that all OTCs have adequate documentation of abatement, that</w:t>
            </w:r>
          </w:p>
          <w:p w14:paraId="40EE95B6" w14:textId="7F4DE906" w:rsidR="00874537" w:rsidRPr="00E62017" w:rsidRDefault="004713CF"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4713CF">
              <w:rPr>
                <w:rFonts w:asciiTheme="minorHAnsi" w:hAnsiTheme="minorHAnsi" w:cstheme="minorHAnsi"/>
              </w:rPr>
              <w:t>the abatement accepted completely addresses the requirements of the standard issued and all instances cited are addressed in the abatement</w:t>
            </w:r>
            <w:r>
              <w:rPr>
                <w:rFonts w:asciiTheme="minorHAnsi" w:hAnsiTheme="minorHAnsi" w:cstheme="minorHAnsi"/>
              </w:rPr>
              <w:t xml:space="preserve"> provided by the employer.</w:t>
            </w:r>
          </w:p>
        </w:tc>
        <w:tc>
          <w:tcPr>
            <w:tcW w:w="3060" w:type="dxa"/>
          </w:tcPr>
          <w:p w14:paraId="1BF23498" w14:textId="1D876434" w:rsidR="00874537" w:rsidRPr="00E62017" w:rsidRDefault="002B4AFA"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PEOSH </w:t>
            </w:r>
            <w:r w:rsidR="00EA445B" w:rsidRPr="00EA445B">
              <w:rPr>
                <w:rFonts w:asciiTheme="minorHAnsi" w:hAnsiTheme="minorHAnsi" w:cstheme="minorHAnsi"/>
              </w:rPr>
              <w:t>implemented the use of a standardized abatement worksheet to be distributed with all Orders to Comply.  This worksheet was designed to meet the requirements of 29 CFR 1903.19.  Employers will be directed to complete the worksheet and provide applicable abatement documentation.</w:t>
            </w:r>
          </w:p>
        </w:tc>
        <w:tc>
          <w:tcPr>
            <w:tcW w:w="1980" w:type="dxa"/>
          </w:tcPr>
          <w:p w14:paraId="35D87E04" w14:textId="4C41416B" w:rsidR="00874537" w:rsidRPr="00E62017"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7/1/2024</w:t>
            </w:r>
          </w:p>
        </w:tc>
        <w:tc>
          <w:tcPr>
            <w:tcW w:w="2250" w:type="dxa"/>
          </w:tcPr>
          <w:p w14:paraId="4D672E47" w14:textId="7CF17E5F" w:rsidR="00874537" w:rsidRPr="00E62017" w:rsidRDefault="00874537"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E62017">
              <w:rPr>
                <w:rFonts w:asciiTheme="minorHAnsi" w:eastAsia="PMingLiU" w:hAnsiTheme="minorHAnsi" w:cstheme="minorHAnsi"/>
                <w:bCs/>
              </w:rPr>
              <w:t>Awaiting Verification</w:t>
            </w:r>
          </w:p>
        </w:tc>
      </w:tr>
      <w:tr w:rsidR="00D8525E" w:rsidRPr="00E62017" w14:paraId="2145E4F2" w14:textId="77777777" w:rsidTr="00097060">
        <w:trPr>
          <w:trHeight w:val="385"/>
        </w:trPr>
        <w:tc>
          <w:tcPr>
            <w:tcW w:w="1435" w:type="dxa"/>
          </w:tcPr>
          <w:p w14:paraId="57766D6C" w14:textId="5FF870A9" w:rsidR="00D8525E" w:rsidRPr="00E62017" w:rsidRDefault="00D8525E"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Pr>
                <w:rFonts w:asciiTheme="minorHAnsi" w:eastAsia="PMingLiU" w:hAnsiTheme="minorHAnsi" w:cstheme="minorHAnsi"/>
              </w:rPr>
              <w:t>FY 2023-07</w:t>
            </w:r>
          </w:p>
        </w:tc>
        <w:tc>
          <w:tcPr>
            <w:tcW w:w="2610" w:type="dxa"/>
          </w:tcPr>
          <w:p w14:paraId="66BE24E8" w14:textId="77777777" w:rsidR="004713CF" w:rsidRPr="00AE4F3D" w:rsidRDefault="004713CF" w:rsidP="004713CF">
            <w:pPr>
              <w:pStyle w:val="TableParagraph"/>
              <w:kinsoku w:val="0"/>
              <w:overflowPunct w:val="0"/>
              <w:ind w:left="0" w:right="475"/>
              <w:rPr>
                <w:rFonts w:asciiTheme="minorHAnsi" w:hAnsiTheme="minorHAnsi" w:cstheme="minorHAnsi"/>
                <w:b/>
                <w:bCs/>
              </w:rPr>
            </w:pPr>
            <w:r w:rsidRPr="00AE4F3D">
              <w:rPr>
                <w:rFonts w:asciiTheme="minorHAnsi" w:hAnsiTheme="minorHAnsi" w:cstheme="minorHAnsi"/>
                <w:b/>
                <w:bCs/>
              </w:rPr>
              <w:t>Worker Involvement</w:t>
            </w:r>
          </w:p>
          <w:p w14:paraId="279ABE69" w14:textId="77777777" w:rsidR="004713CF" w:rsidRPr="004713CF" w:rsidRDefault="004713CF" w:rsidP="004713CF">
            <w:pPr>
              <w:pStyle w:val="TableParagraph"/>
              <w:kinsoku w:val="0"/>
              <w:overflowPunct w:val="0"/>
              <w:ind w:left="0" w:right="475"/>
              <w:rPr>
                <w:rFonts w:asciiTheme="minorHAnsi" w:hAnsiTheme="minorHAnsi" w:cstheme="minorHAnsi"/>
              </w:rPr>
            </w:pPr>
            <w:r w:rsidRPr="004713CF">
              <w:rPr>
                <w:rFonts w:asciiTheme="minorHAnsi" w:hAnsiTheme="minorHAnsi" w:cstheme="minorHAnsi"/>
              </w:rPr>
              <w:t xml:space="preserve">In six of 12 (50%) of closed health files, employee interviews were not documented in </w:t>
            </w:r>
            <w:r w:rsidRPr="004713CF">
              <w:rPr>
                <w:rFonts w:asciiTheme="minorHAnsi" w:hAnsiTheme="minorHAnsi" w:cstheme="minorHAnsi"/>
              </w:rPr>
              <w:lastRenderedPageBreak/>
              <w:t>the field notes. For both health fatality inspections reviewed there was no evidence in the files that employees were</w:t>
            </w:r>
          </w:p>
          <w:p w14:paraId="76878BB9" w14:textId="77777777" w:rsidR="004713CF" w:rsidRPr="004713CF" w:rsidRDefault="004713CF" w:rsidP="004713CF">
            <w:pPr>
              <w:pStyle w:val="TableParagraph"/>
              <w:kinsoku w:val="0"/>
              <w:overflowPunct w:val="0"/>
              <w:ind w:left="0" w:right="475"/>
              <w:rPr>
                <w:rFonts w:asciiTheme="minorHAnsi" w:hAnsiTheme="minorHAnsi" w:cstheme="minorHAnsi"/>
              </w:rPr>
            </w:pPr>
            <w:r w:rsidRPr="004713CF">
              <w:rPr>
                <w:rFonts w:asciiTheme="minorHAnsi" w:hAnsiTheme="minorHAnsi" w:cstheme="minorHAnsi"/>
              </w:rPr>
              <w:t>interviewed to obtain information about their knowledge of the victim’s death and the general</w:t>
            </w:r>
          </w:p>
          <w:p w14:paraId="49082048" w14:textId="77777777" w:rsidR="004713CF" w:rsidRPr="004713CF" w:rsidRDefault="004713CF" w:rsidP="004713CF">
            <w:pPr>
              <w:pStyle w:val="TableParagraph"/>
              <w:kinsoku w:val="0"/>
              <w:overflowPunct w:val="0"/>
              <w:ind w:left="0" w:right="475"/>
              <w:rPr>
                <w:rFonts w:asciiTheme="minorHAnsi" w:hAnsiTheme="minorHAnsi" w:cstheme="minorHAnsi"/>
              </w:rPr>
            </w:pPr>
            <w:r w:rsidRPr="004713CF">
              <w:rPr>
                <w:rFonts w:asciiTheme="minorHAnsi" w:hAnsiTheme="minorHAnsi" w:cstheme="minorHAnsi"/>
              </w:rPr>
              <w:t>safety and health policies in place at the site.</w:t>
            </w:r>
          </w:p>
          <w:p w14:paraId="75509DF3" w14:textId="57CB4F88" w:rsidR="00D8525E" w:rsidRPr="00E62017" w:rsidRDefault="004713CF" w:rsidP="004713CF">
            <w:pPr>
              <w:pStyle w:val="TableParagraph"/>
              <w:kinsoku w:val="0"/>
              <w:overflowPunct w:val="0"/>
              <w:ind w:left="0" w:right="475"/>
              <w:rPr>
                <w:rFonts w:asciiTheme="minorHAnsi" w:hAnsiTheme="minorHAnsi" w:cstheme="minorHAnsi"/>
                <w:i/>
                <w:iCs/>
              </w:rPr>
            </w:pPr>
            <w:r w:rsidRPr="004713CF">
              <w:rPr>
                <w:rFonts w:asciiTheme="minorHAnsi" w:hAnsiTheme="minorHAnsi" w:cstheme="minorHAnsi"/>
              </w:rPr>
              <w:t>In 19 of 36 (53%) of the closed safety files, employee interviews were not documented.</w:t>
            </w:r>
          </w:p>
        </w:tc>
        <w:tc>
          <w:tcPr>
            <w:tcW w:w="2250" w:type="dxa"/>
          </w:tcPr>
          <w:p w14:paraId="188E8B9C" w14:textId="77777777" w:rsidR="004713CF" w:rsidRPr="004713CF" w:rsidRDefault="004713CF"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4713CF">
              <w:rPr>
                <w:rFonts w:asciiTheme="minorHAnsi" w:hAnsiTheme="minorHAnsi" w:cstheme="minorHAnsi"/>
              </w:rPr>
              <w:lastRenderedPageBreak/>
              <w:t>PEOSH should follow the PEOSH FOM to conduct and document employee interviews during inspections.</w:t>
            </w:r>
          </w:p>
          <w:p w14:paraId="30C86BB0" w14:textId="30AA82AD" w:rsidR="00D8525E" w:rsidRDefault="00D8525E"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c>
        <w:tc>
          <w:tcPr>
            <w:tcW w:w="3060" w:type="dxa"/>
          </w:tcPr>
          <w:p w14:paraId="13D814E2" w14:textId="4B77ECA5" w:rsidR="00D8525E" w:rsidRDefault="002B4AFA"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PEOSH </w:t>
            </w:r>
            <w:r w:rsidR="00EA445B" w:rsidRPr="00EA445B">
              <w:rPr>
                <w:rFonts w:asciiTheme="minorHAnsi" w:hAnsiTheme="minorHAnsi" w:cstheme="minorHAnsi"/>
              </w:rPr>
              <w:t>provided training to all staff instructing them to ensure all employee interviews are documented in OIS and case file notes.</w:t>
            </w:r>
          </w:p>
        </w:tc>
        <w:tc>
          <w:tcPr>
            <w:tcW w:w="1980" w:type="dxa"/>
          </w:tcPr>
          <w:p w14:paraId="63A5E2B0" w14:textId="1D78ABD2" w:rsidR="00D8525E" w:rsidRPr="00E62017" w:rsidRDefault="00B05B04"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1/2</w:t>
            </w:r>
            <w:r w:rsidR="00EA445B">
              <w:rPr>
                <w:rFonts w:asciiTheme="minorHAnsi" w:eastAsia="PMingLiU" w:hAnsiTheme="minorHAnsi" w:cstheme="minorHAnsi"/>
                <w:bCs/>
              </w:rPr>
              <w:t>2</w:t>
            </w:r>
            <w:r>
              <w:rPr>
                <w:rFonts w:asciiTheme="minorHAnsi" w:eastAsia="PMingLiU" w:hAnsiTheme="minorHAnsi" w:cstheme="minorHAnsi"/>
                <w:bCs/>
              </w:rPr>
              <w:t>/2025</w:t>
            </w:r>
          </w:p>
        </w:tc>
        <w:tc>
          <w:tcPr>
            <w:tcW w:w="2250" w:type="dxa"/>
          </w:tcPr>
          <w:p w14:paraId="6DF669CE" w14:textId="7AEFE5DF" w:rsidR="00D8525E" w:rsidRPr="00E62017" w:rsidRDefault="00D8525E"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Awaiting Verification</w:t>
            </w:r>
          </w:p>
        </w:tc>
      </w:tr>
      <w:tr w:rsidR="00D8525E" w:rsidRPr="00E62017" w14:paraId="3790BF20" w14:textId="77777777" w:rsidTr="00097060">
        <w:trPr>
          <w:trHeight w:val="385"/>
        </w:trPr>
        <w:tc>
          <w:tcPr>
            <w:tcW w:w="1435" w:type="dxa"/>
          </w:tcPr>
          <w:p w14:paraId="2CD2AF50" w14:textId="2164BAA5" w:rsidR="00D8525E" w:rsidRDefault="00D8525E"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rPr>
            </w:pPr>
            <w:r>
              <w:rPr>
                <w:rFonts w:asciiTheme="minorHAnsi" w:eastAsia="PMingLiU" w:hAnsiTheme="minorHAnsi" w:cstheme="minorHAnsi"/>
              </w:rPr>
              <w:t>FY 2023-08</w:t>
            </w:r>
          </w:p>
        </w:tc>
        <w:tc>
          <w:tcPr>
            <w:tcW w:w="2610" w:type="dxa"/>
          </w:tcPr>
          <w:p w14:paraId="1CF0A77E" w14:textId="77777777" w:rsidR="004713CF" w:rsidRPr="00AE4F3D" w:rsidRDefault="004713CF" w:rsidP="004713CF">
            <w:pPr>
              <w:pStyle w:val="TableParagraph"/>
              <w:kinsoku w:val="0"/>
              <w:overflowPunct w:val="0"/>
              <w:ind w:left="0" w:right="475"/>
              <w:rPr>
                <w:rFonts w:asciiTheme="minorHAnsi" w:hAnsiTheme="minorHAnsi" w:cstheme="minorHAnsi"/>
                <w:b/>
                <w:bCs/>
              </w:rPr>
            </w:pPr>
            <w:r w:rsidRPr="00AE4F3D">
              <w:rPr>
                <w:rFonts w:asciiTheme="minorHAnsi" w:hAnsiTheme="minorHAnsi" w:cstheme="minorHAnsi"/>
                <w:b/>
                <w:bCs/>
              </w:rPr>
              <w:t>Consultation File Documentation</w:t>
            </w:r>
          </w:p>
          <w:p w14:paraId="299C4B42" w14:textId="29A2B82D" w:rsidR="00D8525E" w:rsidRPr="00E62017" w:rsidRDefault="00EA445B" w:rsidP="004713CF">
            <w:pPr>
              <w:pStyle w:val="TableParagraph"/>
              <w:kinsoku w:val="0"/>
              <w:overflowPunct w:val="0"/>
              <w:ind w:left="0" w:right="475"/>
              <w:rPr>
                <w:rFonts w:asciiTheme="minorHAnsi" w:hAnsiTheme="minorHAnsi" w:cstheme="minorHAnsi"/>
                <w:i/>
                <w:iCs/>
              </w:rPr>
            </w:pPr>
            <w:r>
              <w:rPr>
                <w:rFonts w:asciiTheme="minorHAnsi" w:hAnsiTheme="minorHAnsi" w:cstheme="minorHAnsi"/>
              </w:rPr>
              <w:t xml:space="preserve">Consultation case file documentation was missing. </w:t>
            </w:r>
            <w:r w:rsidR="004713CF" w:rsidRPr="004713CF">
              <w:rPr>
                <w:rFonts w:asciiTheme="minorHAnsi" w:hAnsiTheme="minorHAnsi" w:cstheme="minorHAnsi"/>
              </w:rPr>
              <w:t>Specifically, the health files were missing the following</w:t>
            </w:r>
            <w:r>
              <w:rPr>
                <w:rFonts w:asciiTheme="minorHAnsi" w:hAnsiTheme="minorHAnsi" w:cstheme="minorHAnsi"/>
              </w:rPr>
              <w:t>:</w:t>
            </w:r>
            <w:r w:rsidR="004713CF" w:rsidRPr="004713CF">
              <w:rPr>
                <w:rFonts w:asciiTheme="minorHAnsi" w:hAnsiTheme="minorHAnsi" w:cstheme="minorHAnsi"/>
              </w:rPr>
              <w:t xml:space="preserve"> three out of five (60%) of </w:t>
            </w:r>
            <w:r w:rsidR="004713CF" w:rsidRPr="004713CF">
              <w:rPr>
                <w:rFonts w:asciiTheme="minorHAnsi" w:hAnsiTheme="minorHAnsi" w:cstheme="minorHAnsi"/>
              </w:rPr>
              <w:lastRenderedPageBreak/>
              <w:t xml:space="preserve">the initial visits lacked a report, three out of five (60%) of the initial visits showing chlorine cylinder storage lacked evidence that coverage under the OSHA Process Safety Management Standard was evaluated and two of the three (66%) of the reports did not include all required years of injury/illness data. The safety consultation files were specifically missing the following: evidence in three of six (50%) of initial visits to support the issuance of notices under 1910.38, in two of two (100%) of the </w:t>
            </w:r>
            <w:r w:rsidR="004713CF" w:rsidRPr="004713CF">
              <w:rPr>
                <w:rFonts w:asciiTheme="minorHAnsi" w:hAnsiTheme="minorHAnsi" w:cstheme="minorHAnsi"/>
              </w:rPr>
              <w:lastRenderedPageBreak/>
              <w:t>visits with an extension that the employer received an updated List of Hazards, evidence to support issuing lockout/tagout program notices for two visits and in two visits how hazards were corrected.</w:t>
            </w:r>
          </w:p>
        </w:tc>
        <w:tc>
          <w:tcPr>
            <w:tcW w:w="2250" w:type="dxa"/>
          </w:tcPr>
          <w:p w14:paraId="4405EE48" w14:textId="77777777" w:rsidR="004713CF" w:rsidRPr="004713CF" w:rsidRDefault="004713CF"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4713CF">
              <w:rPr>
                <w:rFonts w:asciiTheme="minorHAnsi" w:hAnsiTheme="minorHAnsi" w:cstheme="minorHAnsi"/>
              </w:rPr>
              <w:lastRenderedPageBreak/>
              <w:t>PEOSH should improve documentation in its consultation case files by adhering to CSP 02-00-</w:t>
            </w:r>
          </w:p>
          <w:p w14:paraId="6BFFE97B" w14:textId="32932769" w:rsidR="00D8525E" w:rsidRDefault="004713CF" w:rsidP="004713C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4713CF">
              <w:rPr>
                <w:rFonts w:asciiTheme="minorHAnsi" w:hAnsiTheme="minorHAnsi" w:cstheme="minorHAnsi"/>
              </w:rPr>
              <w:t>05, Consultation Policies and Procedures Manual</w:t>
            </w:r>
          </w:p>
        </w:tc>
        <w:tc>
          <w:tcPr>
            <w:tcW w:w="3060" w:type="dxa"/>
          </w:tcPr>
          <w:p w14:paraId="77EFEC85" w14:textId="77777777" w:rsidR="00E15822" w:rsidRPr="00E15822" w:rsidRDefault="00E15822" w:rsidP="00E15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E15822">
              <w:rPr>
                <w:rFonts w:asciiTheme="minorHAnsi" w:hAnsiTheme="minorHAnsi" w:cstheme="minorHAnsi"/>
              </w:rPr>
              <w:t xml:space="preserve">Safety consultation staff were trained on the OSHA 1910.38 citation policy directive. The forwarding of the updated List of Hazards to the employer will be documented in the case file tracking sheet.  Abatements will be reviewed during case file review/closeout and </w:t>
            </w:r>
            <w:r w:rsidRPr="00E15822">
              <w:rPr>
                <w:rFonts w:asciiTheme="minorHAnsi" w:hAnsiTheme="minorHAnsi" w:cstheme="minorHAnsi"/>
              </w:rPr>
              <w:lastRenderedPageBreak/>
              <w:t>missing documentation will be addressed by the supervisor/consultant.</w:t>
            </w:r>
          </w:p>
          <w:p w14:paraId="4A519CBB" w14:textId="77777777" w:rsidR="00E15822" w:rsidRPr="00E15822" w:rsidRDefault="00E15822" w:rsidP="00E15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3AD10F6" w14:textId="458CA440" w:rsidR="00D8525E" w:rsidRDefault="00E15822" w:rsidP="00E1582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E15822">
              <w:rPr>
                <w:rFonts w:asciiTheme="minorHAnsi" w:hAnsiTheme="minorHAnsi" w:cstheme="minorHAnsi"/>
              </w:rPr>
              <w:t>Health consultation staff were instructed to create a separate report for each facilit</w:t>
            </w:r>
            <w:r w:rsidR="00952D14">
              <w:rPr>
                <w:rFonts w:asciiTheme="minorHAnsi" w:hAnsiTheme="minorHAnsi" w:cstheme="minorHAnsi"/>
              </w:rPr>
              <w:t xml:space="preserve">y visited </w:t>
            </w:r>
            <w:r w:rsidRPr="00E15822">
              <w:rPr>
                <w:rFonts w:asciiTheme="minorHAnsi" w:hAnsiTheme="minorHAnsi" w:cstheme="minorHAnsi"/>
              </w:rPr>
              <w:t>and include all workplace deficiencies for each facility location</w:t>
            </w:r>
            <w:r w:rsidR="00952D14">
              <w:rPr>
                <w:rFonts w:asciiTheme="minorHAnsi" w:hAnsiTheme="minorHAnsi" w:cstheme="minorHAnsi"/>
              </w:rPr>
              <w:t xml:space="preserve"> in the written report</w:t>
            </w:r>
            <w:r w:rsidRPr="00E15822">
              <w:rPr>
                <w:rFonts w:asciiTheme="minorHAnsi" w:hAnsiTheme="minorHAnsi" w:cstheme="minorHAnsi"/>
              </w:rPr>
              <w:t xml:space="preserve">. Staff have been advised to note in their documentation </w:t>
            </w:r>
            <w:r w:rsidR="009348C8" w:rsidRPr="00E15822">
              <w:rPr>
                <w:rFonts w:asciiTheme="minorHAnsi" w:hAnsiTheme="minorHAnsi" w:cstheme="minorHAnsi"/>
              </w:rPr>
              <w:t xml:space="preserve">if </w:t>
            </w:r>
            <w:r w:rsidR="009348C8">
              <w:rPr>
                <w:rFonts w:asciiTheme="minorHAnsi" w:hAnsiTheme="minorHAnsi" w:cstheme="minorHAnsi"/>
              </w:rPr>
              <w:t>compliance</w:t>
            </w:r>
            <w:r w:rsidRPr="00E15822">
              <w:rPr>
                <w:rFonts w:asciiTheme="minorHAnsi" w:hAnsiTheme="minorHAnsi" w:cstheme="minorHAnsi"/>
              </w:rPr>
              <w:t xml:space="preserve"> with the Process Safety Management Standard has been evaluated at water treatment facilities. Health consultation staff have been advised to include injury/illness logs in the file for each facility visited.</w:t>
            </w:r>
          </w:p>
        </w:tc>
        <w:tc>
          <w:tcPr>
            <w:tcW w:w="1980" w:type="dxa"/>
          </w:tcPr>
          <w:p w14:paraId="2EE09AAD" w14:textId="77777777" w:rsidR="00D8525E"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lastRenderedPageBreak/>
              <w:t>4/26/2024</w:t>
            </w:r>
          </w:p>
          <w:p w14:paraId="3EAC351F" w14:textId="77777777" w:rsidR="004713CF"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p w14:paraId="6A0754DC" w14:textId="77777777" w:rsidR="004713CF"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p w14:paraId="20993D79" w14:textId="77777777" w:rsidR="004713CF"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p w14:paraId="3170A22E" w14:textId="78941882" w:rsidR="004713CF" w:rsidRPr="00E62017" w:rsidRDefault="004713CF"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p>
        </w:tc>
        <w:tc>
          <w:tcPr>
            <w:tcW w:w="2250" w:type="dxa"/>
          </w:tcPr>
          <w:p w14:paraId="490A9F5E" w14:textId="6EF082BE" w:rsidR="00D8525E" w:rsidRPr="00E62017" w:rsidRDefault="00D8525E" w:rsidP="00CB2A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Pr>
                <w:rFonts w:asciiTheme="minorHAnsi" w:eastAsia="PMingLiU" w:hAnsiTheme="minorHAnsi" w:cstheme="minorHAnsi"/>
                <w:bCs/>
              </w:rPr>
              <w:t>Awaiting Verification</w:t>
            </w:r>
          </w:p>
        </w:tc>
      </w:tr>
    </w:tbl>
    <w:p w14:paraId="66921680" w14:textId="7B29DBAA" w:rsidR="00097060" w:rsidRPr="00B77FEF" w:rsidRDefault="00097060" w:rsidP="008164E8">
      <w:pPr>
        <w:widowControl/>
        <w:tabs>
          <w:tab w:val="left" w:pos="630"/>
        </w:tabs>
        <w:autoSpaceDE/>
        <w:autoSpaceDN/>
        <w:adjustRightInd/>
        <w:rPr>
          <w:rFonts w:asciiTheme="minorHAnsi" w:hAnsiTheme="minorHAnsi" w:cstheme="minorHAnsi"/>
          <w:iCs/>
          <w:color w:val="0070C0"/>
        </w:rPr>
      </w:pPr>
    </w:p>
    <w:p w14:paraId="26ADBB1D" w14:textId="77777777" w:rsidR="00097060" w:rsidRDefault="00097060" w:rsidP="008164E8">
      <w:pPr>
        <w:widowControl/>
        <w:tabs>
          <w:tab w:val="left" w:pos="630"/>
        </w:tabs>
        <w:autoSpaceDE/>
        <w:autoSpaceDN/>
        <w:adjustRightInd/>
        <w:rPr>
          <w:rFonts w:cs="Calibri"/>
          <w:iCs/>
          <w:color w:val="0070C0"/>
        </w:rPr>
        <w:sectPr w:rsidR="00097060" w:rsidSect="00097060">
          <w:headerReference w:type="default" r:id="rId18"/>
          <w:footerReference w:type="default" r:id="rId19"/>
          <w:pgSz w:w="15840" w:h="12240" w:orient="landscape" w:code="1"/>
          <w:pgMar w:top="1440" w:right="1440" w:bottom="1440" w:left="1440" w:header="720" w:footer="720" w:gutter="0"/>
          <w:cols w:space="720"/>
          <w:noEndnote/>
          <w:docGrid w:linePitch="326"/>
        </w:sectPr>
      </w:pPr>
    </w:p>
    <w:p w14:paraId="1B0B407C" w14:textId="4584259B" w:rsidR="00690C0D" w:rsidRPr="00D93CB3" w:rsidRDefault="00690C0D" w:rsidP="000F63C1">
      <w:pPr>
        <w:pStyle w:val="Heading3"/>
        <w:numPr>
          <w:ilvl w:val="0"/>
          <w:numId w:val="0"/>
        </w:numPr>
        <w:rPr>
          <w:color w:val="0070C0"/>
        </w:rPr>
      </w:pPr>
      <w:bookmarkStart w:id="45" w:name="_Toc119418672"/>
      <w:r w:rsidRPr="00D93CB3">
        <w:lastRenderedPageBreak/>
        <w:t xml:space="preserve">Appendix D – </w:t>
      </w:r>
      <w:bookmarkStart w:id="46" w:name="_Hlk119349018"/>
      <w:r w:rsidRPr="00D93CB3">
        <w:t>FY 202</w:t>
      </w:r>
      <w:r w:rsidR="00022F16">
        <w:t>4</w:t>
      </w:r>
      <w:r w:rsidRPr="00D93CB3">
        <w:t xml:space="preserve"> State Activity Mandated Measures (SAMM) Report</w:t>
      </w:r>
      <w:bookmarkEnd w:id="45"/>
      <w:bookmarkEnd w:id="46"/>
    </w:p>
    <w:p w14:paraId="19B594E3" w14:textId="1331BDB8" w:rsidR="00690C0D" w:rsidRPr="000767C0" w:rsidRDefault="00690C0D" w:rsidP="00476C08">
      <w:pPr>
        <w:pStyle w:val="Header"/>
      </w:pPr>
      <w:r w:rsidRPr="00042327">
        <w:t xml:space="preserve">FY </w:t>
      </w:r>
      <w:r>
        <w:t>202</w:t>
      </w:r>
      <w:r w:rsidR="00022F16">
        <w:t>4</w:t>
      </w:r>
      <w:r w:rsidRPr="00042327">
        <w:t xml:space="preserve"> </w:t>
      </w:r>
      <w:r w:rsidR="00874537">
        <w:t>NJ PEOSH</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536"/>
        <w:gridCol w:w="977"/>
        <w:gridCol w:w="1302"/>
        <w:gridCol w:w="4501"/>
      </w:tblGrid>
      <w:tr w:rsidR="00634539"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634539"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7762EC0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(state formula)</w:t>
            </w:r>
          </w:p>
        </w:tc>
        <w:tc>
          <w:tcPr>
            <w:tcW w:w="979" w:type="dxa"/>
          </w:tcPr>
          <w:p w14:paraId="50ED339E" w14:textId="4B9741C1" w:rsidR="00634539" w:rsidRPr="001C1E47" w:rsidRDefault="00726FB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43.57</w:t>
            </w:r>
          </w:p>
        </w:tc>
        <w:tc>
          <w:tcPr>
            <w:tcW w:w="1307" w:type="dxa"/>
          </w:tcPr>
          <w:p w14:paraId="291AEA10" w14:textId="77777777" w:rsidR="00874537" w:rsidRDefault="00874537" w:rsidP="00874537">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rPr>
                <w:spacing w:val="-2"/>
              </w:rPr>
            </w:pPr>
            <w:r>
              <w:t>5</w:t>
            </w:r>
            <w:r>
              <w:rPr>
                <w:spacing w:val="-14"/>
              </w:rPr>
              <w:t xml:space="preserve"> </w:t>
            </w:r>
            <w:r>
              <w:t>days</w:t>
            </w:r>
            <w:r>
              <w:rPr>
                <w:spacing w:val="-14"/>
              </w:rPr>
              <w:t xml:space="preserve"> </w:t>
            </w:r>
            <w:r>
              <w:t xml:space="preserve">for </w:t>
            </w:r>
            <w:r>
              <w:rPr>
                <w:spacing w:val="-2"/>
              </w:rPr>
              <w:t xml:space="preserve">serious hazards; </w:t>
            </w:r>
            <w:r>
              <w:t>120 days for</w:t>
            </w:r>
            <w:r>
              <w:rPr>
                <w:spacing w:val="-14"/>
              </w:rPr>
              <w:t xml:space="preserve"> </w:t>
            </w:r>
            <w:r>
              <w:t xml:space="preserve">other- </w:t>
            </w:r>
            <w:r>
              <w:rPr>
                <w:spacing w:val="-2"/>
              </w:rPr>
              <w:t>than-</w:t>
            </w:r>
          </w:p>
          <w:p w14:paraId="36E21F8C" w14:textId="08922C87" w:rsidR="00634539" w:rsidRPr="001C1E47" w:rsidRDefault="00874537" w:rsidP="0087453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spacing w:val="-2"/>
              </w:rPr>
              <w:t>serious hazards</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727EBFA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(federal formula)</w:t>
            </w:r>
          </w:p>
        </w:tc>
        <w:tc>
          <w:tcPr>
            <w:tcW w:w="979" w:type="dxa"/>
          </w:tcPr>
          <w:p w14:paraId="2DD44EDE" w14:textId="72B6C5C0" w:rsidR="00634539" w:rsidRPr="001C1E47" w:rsidRDefault="00C248A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29.96</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038B082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(state formula)</w:t>
            </w:r>
          </w:p>
        </w:tc>
        <w:tc>
          <w:tcPr>
            <w:tcW w:w="979" w:type="dxa"/>
          </w:tcPr>
          <w:p w14:paraId="5D15BC2D" w14:textId="58ECA0BC" w:rsidR="00634539" w:rsidRPr="001C1E47" w:rsidRDefault="00C248A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0.53</w:t>
            </w:r>
          </w:p>
        </w:tc>
        <w:tc>
          <w:tcPr>
            <w:tcW w:w="1307" w:type="dxa"/>
          </w:tcPr>
          <w:p w14:paraId="25E101C9" w14:textId="597AC5D3" w:rsidR="00634539" w:rsidRPr="001C1E47" w:rsidRDefault="00874537"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5604089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(federal formula)</w:t>
            </w:r>
          </w:p>
        </w:tc>
        <w:tc>
          <w:tcPr>
            <w:tcW w:w="979" w:type="dxa"/>
          </w:tcPr>
          <w:p w14:paraId="148E915C" w14:textId="569800A5" w:rsidR="00634539" w:rsidRPr="001C1E47" w:rsidRDefault="00C248A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0.26</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0896E44F" w:rsidR="00634539" w:rsidRPr="001C1E47" w:rsidRDefault="006439AC"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08988E21" w:rsidR="00634539" w:rsidRPr="001C1E47" w:rsidRDefault="00C248A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754D67CB" w:rsidR="00634539" w:rsidRPr="001C1E47" w:rsidRDefault="006439AC"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4.23</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051429BC"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w:t>
            </w:r>
            <w:r w:rsidR="006439AC">
              <w:rPr>
                <w:rFonts w:cs="Calibri"/>
              </w:rPr>
              <w:t>4</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0EBDCD5E"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1.</w:t>
            </w:r>
            <w:r w:rsidR="008E7B2D">
              <w:rPr>
                <w:rFonts w:eastAsia="PMingLiU" w:cs="Calibri"/>
              </w:rPr>
              <w:t>39</w:t>
            </w:r>
            <w:r w:rsidRPr="001C1E47">
              <w:rPr>
                <w:rFonts w:eastAsia="PMingLiU" w:cs="Calibri"/>
              </w:rPr>
              <w:t xml:space="preserve"> to 2.</w:t>
            </w:r>
            <w:r w:rsidR="008E7B2D">
              <w:rPr>
                <w:rFonts w:eastAsia="PMingLiU" w:cs="Calibri"/>
              </w:rPr>
              <w:t>08</w:t>
            </w:r>
            <w:r w:rsidRPr="001C1E47">
              <w:rPr>
                <w:rFonts w:eastAsia="PMingLiU" w:cs="Calibri"/>
              </w:rPr>
              <w:t xml:space="preserve"> for SWRU. </w:t>
            </w:r>
          </w:p>
        </w:tc>
      </w:tr>
      <w:tr w:rsidR="00634539"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Average number of violations per </w:t>
            </w:r>
            <w:r w:rsidRPr="001C1E47">
              <w:rPr>
                <w:rFonts w:cs="Calibri"/>
              </w:rPr>
              <w:lastRenderedPageBreak/>
              <w:t>inspection with violations by violation type (other)</w:t>
            </w:r>
          </w:p>
        </w:tc>
        <w:tc>
          <w:tcPr>
            <w:tcW w:w="979" w:type="dxa"/>
          </w:tcPr>
          <w:p w14:paraId="189B2CB4" w14:textId="5C86B8F1"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lastRenderedPageBreak/>
              <w:t>2.</w:t>
            </w:r>
            <w:r w:rsidR="006439AC">
              <w:rPr>
                <w:rFonts w:eastAsia="PMingLiU" w:cs="Calibri"/>
              </w:rPr>
              <w:t>25</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5FA5CB8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w:t>
            </w:r>
            <w:r w:rsidR="00591696">
              <w:rPr>
                <w:rFonts w:cs="Calibri"/>
              </w:rPr>
              <w:t>4</w:t>
            </w:r>
          </w:p>
        </w:tc>
        <w:tc>
          <w:tcPr>
            <w:tcW w:w="4599" w:type="dxa"/>
          </w:tcPr>
          <w:p w14:paraId="4F83BD91" w14:textId="42DD948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 xml:space="preserve">The further review level is based on a three-year national average.  The range of </w:t>
            </w:r>
            <w:r w:rsidRPr="001C1E47">
              <w:rPr>
                <w:rFonts w:eastAsia="PMingLiU" w:cs="Calibri"/>
              </w:rPr>
              <w:lastRenderedPageBreak/>
              <w:t>acceptable data not requiring further review is from 0.7</w:t>
            </w:r>
            <w:r w:rsidR="008E7B2D">
              <w:rPr>
                <w:rFonts w:eastAsia="PMingLiU" w:cs="Calibri"/>
              </w:rPr>
              <w:t>5</w:t>
            </w:r>
            <w:r w:rsidRPr="001C1E47">
              <w:rPr>
                <w:rFonts w:eastAsia="PMingLiU" w:cs="Calibri"/>
              </w:rPr>
              <w:t xml:space="preserve"> to 1.</w:t>
            </w:r>
            <w:r w:rsidR="008E7B2D">
              <w:rPr>
                <w:rFonts w:eastAsia="PMingLiU" w:cs="Calibri"/>
              </w:rPr>
              <w:t>12</w:t>
            </w:r>
            <w:r w:rsidRPr="001C1E47">
              <w:rPr>
                <w:rFonts w:eastAsia="PMingLiU" w:cs="Calibri"/>
              </w:rPr>
              <w:t xml:space="preserve"> for OTS.</w:t>
            </w:r>
          </w:p>
        </w:tc>
      </w:tr>
      <w:tr w:rsidR="00634539"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9" w:type="dxa"/>
          </w:tcPr>
          <w:p w14:paraId="01189742" w14:textId="5710C90B"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1307" w:type="dxa"/>
          </w:tcPr>
          <w:p w14:paraId="7678C0FD" w14:textId="195D303C"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4599" w:type="dxa"/>
          </w:tcPr>
          <w:p w14:paraId="11909732" w14:textId="3D1DC674"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Since this is a State and Local Government</w:t>
            </w:r>
            <w:r>
              <w:rPr>
                <w:spacing w:val="-10"/>
              </w:rPr>
              <w:t xml:space="preserve"> </w:t>
            </w:r>
            <w:r>
              <w:t>State</w:t>
            </w:r>
            <w:r>
              <w:rPr>
                <w:spacing w:val="-9"/>
              </w:rPr>
              <w:t xml:space="preserve"> </w:t>
            </w:r>
            <w:r>
              <w:t>Plan,</w:t>
            </w:r>
            <w:r>
              <w:rPr>
                <w:spacing w:val="-10"/>
              </w:rPr>
              <w:t xml:space="preserve"> </w:t>
            </w:r>
            <w:r>
              <w:t>all</w:t>
            </w:r>
            <w:r>
              <w:rPr>
                <w:spacing w:val="-10"/>
              </w:rPr>
              <w:t xml:space="preserve"> </w:t>
            </w:r>
            <w:r>
              <w:t xml:space="preserve">inspections are in state and local government </w:t>
            </w:r>
            <w:r>
              <w:rPr>
                <w:spacing w:val="-2"/>
              </w:rPr>
              <w:t>workplaces.</w:t>
            </w:r>
          </w:p>
        </w:tc>
      </w:tr>
      <w:tr w:rsidR="00634539"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39A7EE45" w:rsidR="00634539" w:rsidRPr="001C1E47" w:rsidRDefault="0018526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408</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00AE72E0"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400</w:t>
            </w:r>
          </w:p>
        </w:tc>
        <w:tc>
          <w:tcPr>
            <w:tcW w:w="4599" w:type="dxa"/>
          </w:tcPr>
          <w:p w14:paraId="127905E2" w14:textId="15BBF94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number negotiated by OSHA and the State Plan through the grant application.  The range of acceptable data not requiring further review is from</w:t>
            </w:r>
            <w:r w:rsidR="007651FA">
              <w:rPr>
                <w:rFonts w:cs="Calibri"/>
              </w:rPr>
              <w:t xml:space="preserve"> 380</w:t>
            </w:r>
            <w:r w:rsidRPr="001C1E47">
              <w:rPr>
                <w:rFonts w:cs="Calibri"/>
              </w:rPr>
              <w:t xml:space="preserve"> to </w:t>
            </w:r>
            <w:r w:rsidR="007651FA">
              <w:rPr>
                <w:rFonts w:cs="Calibri"/>
              </w:rPr>
              <w:t>420</w:t>
            </w:r>
            <w:r w:rsidRPr="001C1E47">
              <w:rPr>
                <w:rFonts w:cs="Calibri"/>
              </w:rPr>
              <w:t xml:space="preserve"> for safety.</w:t>
            </w:r>
          </w:p>
        </w:tc>
      </w:tr>
      <w:tr w:rsidR="00634539"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492FCA66" w:rsidR="00634539" w:rsidRPr="001C1E47" w:rsidRDefault="0018526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85</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500C3D6A"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125</w:t>
            </w:r>
          </w:p>
        </w:tc>
        <w:tc>
          <w:tcPr>
            <w:tcW w:w="4599" w:type="dxa"/>
          </w:tcPr>
          <w:p w14:paraId="4C49AF53" w14:textId="4962E41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B75310">
              <w:rPr>
                <w:rFonts w:cs="Calibri"/>
              </w:rPr>
              <w:t>119</w:t>
            </w:r>
            <w:r w:rsidR="007651FA">
              <w:rPr>
                <w:rFonts w:cs="Calibri"/>
              </w:rPr>
              <w:t xml:space="preserve"> </w:t>
            </w:r>
            <w:r w:rsidRPr="001C1E47">
              <w:rPr>
                <w:rFonts w:cs="Calibri"/>
              </w:rPr>
              <w:t xml:space="preserve">to </w:t>
            </w:r>
            <w:r w:rsidR="007651FA">
              <w:rPr>
                <w:rFonts w:cs="Calibri"/>
              </w:rPr>
              <w:t>131</w:t>
            </w:r>
            <w:r w:rsidRPr="001C1E47">
              <w:rPr>
                <w:rFonts w:cs="Calibri"/>
              </w:rPr>
              <w:t xml:space="preserve"> for health.</w:t>
            </w:r>
          </w:p>
        </w:tc>
      </w:tr>
      <w:tr w:rsidR="00634539"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136C0C33"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7AD30EF7" w14:textId="0E442E47" w:rsidR="00634539" w:rsidRPr="001C1E47" w:rsidRDefault="00340C04"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w:t>
            </w:r>
            <w:r w:rsidR="00104853">
              <w:rPr>
                <w:rFonts w:eastAsia="PMingLiU" w:cs="Calibri"/>
              </w:rPr>
              <w:t>2</w:t>
            </w:r>
            <w:r>
              <w:rPr>
                <w:rFonts w:eastAsia="PMingLiU" w:cs="Calibri"/>
              </w:rPr>
              <w:t xml:space="preserve">5% </w:t>
            </w:r>
            <w:r w:rsidR="00104853">
              <w:rPr>
                <w:rFonts w:eastAsia="PMingLiU" w:cs="Calibri"/>
              </w:rPr>
              <w:t>of $3,793.81</w:t>
            </w:r>
          </w:p>
        </w:tc>
        <w:tc>
          <w:tcPr>
            <w:tcW w:w="4599" w:type="dxa"/>
          </w:tcPr>
          <w:p w14:paraId="043BEAE2"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09AE9B00"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0DF20B53" w14:textId="0A7CF9A3" w:rsidR="00634539" w:rsidRPr="001C1E47" w:rsidRDefault="007651FA" w:rsidP="007651FA">
            <w:pPr>
              <w:ind w:right="144"/>
              <w:cnfStyle w:val="000000000000" w:firstRow="0" w:lastRow="0" w:firstColumn="0" w:lastColumn="0" w:oddVBand="0" w:evenVBand="0" w:oddHBand="0" w:evenHBand="0" w:firstRowFirstColumn="0" w:firstRowLastColumn="0" w:lastRowFirstColumn="0" w:lastRowLastColumn="0"/>
              <w:rPr>
                <w:rFonts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71B38BB1"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4DC91B0C" w14:textId="1DD48184" w:rsidR="00634539" w:rsidRPr="001C1E47" w:rsidRDefault="004B640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+/- 25% of $2,498.51</w:t>
            </w:r>
          </w:p>
        </w:tc>
        <w:tc>
          <w:tcPr>
            <w:tcW w:w="4599" w:type="dxa"/>
          </w:tcPr>
          <w:p w14:paraId="2EAE9F5C"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7C246B6D"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371F75E0" w14:textId="1C3A4117"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4D2E4101"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6AB595C0" w14:textId="1FCB284B" w:rsidR="00634539" w:rsidRPr="001C1E47" w:rsidRDefault="004B640A"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+/-25% of $4.322.61</w:t>
            </w:r>
          </w:p>
        </w:tc>
        <w:tc>
          <w:tcPr>
            <w:tcW w:w="4599" w:type="dxa"/>
          </w:tcPr>
          <w:p w14:paraId="6AE64CF0"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2022713A"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533EE6CD" w14:textId="645E700C"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397EB13F"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0194F828" w14:textId="0C7B4D52" w:rsidR="00634539" w:rsidRPr="001C1E47" w:rsidRDefault="00147B6B"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 xml:space="preserve">+/- 25% of $6,114.84 </w:t>
            </w:r>
          </w:p>
        </w:tc>
        <w:tc>
          <w:tcPr>
            <w:tcW w:w="4599" w:type="dxa"/>
          </w:tcPr>
          <w:p w14:paraId="15FD5C1F" w14:textId="77777777"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33C3C9FC"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4B00CAC2" w14:textId="79288F47" w:rsidR="00634539" w:rsidRPr="001C1E47"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634539"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lastRenderedPageBreak/>
              <w:t>(greater than 250 workers)</w:t>
            </w:r>
          </w:p>
        </w:tc>
        <w:tc>
          <w:tcPr>
            <w:tcW w:w="979" w:type="dxa"/>
          </w:tcPr>
          <w:p w14:paraId="7D66FCF1" w14:textId="4B315D09" w:rsidR="00634539" w:rsidRPr="001C1E47" w:rsidRDefault="007651FA"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lastRenderedPageBreak/>
              <w:t>N/A</w:t>
            </w:r>
          </w:p>
        </w:tc>
        <w:tc>
          <w:tcPr>
            <w:tcW w:w="1307" w:type="dxa"/>
          </w:tcPr>
          <w:p w14:paraId="3FB5515E" w14:textId="3FCC59D1" w:rsidR="00634539" w:rsidRPr="001C1E47" w:rsidRDefault="000A37B0" w:rsidP="007651FA">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 xml:space="preserve">+/- 25% of $7,533.58 </w:t>
            </w:r>
          </w:p>
        </w:tc>
        <w:tc>
          <w:tcPr>
            <w:tcW w:w="4599" w:type="dxa"/>
          </w:tcPr>
          <w:p w14:paraId="7CE42767" w14:textId="24D95C0D" w:rsidR="007651FA" w:rsidRDefault="007651FA" w:rsidP="007651FA">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57C89F0A" w14:textId="77777777" w:rsidR="007651FA" w:rsidRDefault="007651FA" w:rsidP="007651FA">
            <w:pPr>
              <w:pStyle w:val="TableParagraph"/>
              <w:kinsoku w:val="0"/>
              <w:overflowPunct w:val="0"/>
              <w:spacing w:before="4"/>
              <w:ind w:left="0"/>
              <w:cnfStyle w:val="000000000000" w:firstRow="0" w:lastRow="0" w:firstColumn="0" w:lastColumn="0" w:oddVBand="0" w:evenVBand="0" w:oddHBand="0" w:evenHBand="0" w:firstRowFirstColumn="0" w:firstRowLastColumn="0" w:lastRowFirstColumn="0" w:lastRowLastColumn="0"/>
              <w:rPr>
                <w:sz w:val="22"/>
                <w:szCs w:val="22"/>
              </w:rPr>
            </w:pPr>
          </w:p>
          <w:p w14:paraId="720FEDD3" w14:textId="77777777" w:rsidR="00634539" w:rsidRDefault="007651FA"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lastRenderedPageBreak/>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p w14:paraId="29FF5D83" w14:textId="4E56C6A8" w:rsidR="00C34EB5" w:rsidRPr="001C1E47" w:rsidRDefault="00C34EB5" w:rsidP="007651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71943252" w:rsidR="00634539" w:rsidRPr="001C1E47" w:rsidRDefault="0088161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21.79%</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5FB6FF4B" w:rsidR="00634539" w:rsidRPr="001C1E47" w:rsidRDefault="0088161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32.83%</w:t>
            </w:r>
          </w:p>
        </w:tc>
        <w:tc>
          <w:tcPr>
            <w:tcW w:w="4599" w:type="dxa"/>
          </w:tcPr>
          <w:p w14:paraId="2A829BA0" w14:textId="645849A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FA3DE7">
              <w:rPr>
                <w:rFonts w:cs="Calibri"/>
              </w:rPr>
              <w:t>26</w:t>
            </w:r>
            <w:r w:rsidR="00AD69EE">
              <w:rPr>
                <w:rFonts w:cs="Calibri"/>
              </w:rPr>
              <w:t>.27</w:t>
            </w:r>
            <w:r w:rsidR="00AF01A3">
              <w:rPr>
                <w:rFonts w:cs="Calibri"/>
              </w:rPr>
              <w:t xml:space="preserve">% </w:t>
            </w:r>
            <w:r w:rsidRPr="001C1E47">
              <w:rPr>
                <w:rFonts w:cs="Calibri"/>
              </w:rPr>
              <w:t xml:space="preserve">to </w:t>
            </w:r>
            <w:r w:rsidR="00AD69EE">
              <w:rPr>
                <w:rFonts w:cs="Calibri"/>
              </w:rPr>
              <w:t>39.40</w:t>
            </w:r>
            <w:r w:rsidR="00D5286E">
              <w:rPr>
                <w:rFonts w:cs="Calibri"/>
              </w:rPr>
              <w:t>%</w:t>
            </w:r>
            <w:r w:rsidRPr="001C1E47">
              <w:rPr>
                <w:rFonts w:cs="Calibri"/>
              </w:rPr>
              <w:t xml:space="preserve"> for safety.</w:t>
            </w:r>
          </w:p>
        </w:tc>
      </w:tr>
      <w:tr w:rsidR="00634539"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72085AD2" w:rsidR="00634539" w:rsidRPr="001C1E47" w:rsidRDefault="00AF01A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22.73%</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0F0CFB19" w:rsidR="00634539" w:rsidRPr="001C1E47" w:rsidRDefault="00E62B2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44.18%</w:t>
            </w:r>
          </w:p>
        </w:tc>
        <w:tc>
          <w:tcPr>
            <w:tcW w:w="4599" w:type="dxa"/>
          </w:tcPr>
          <w:p w14:paraId="7272F1E9" w14:textId="7E906DA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E62B22">
              <w:rPr>
                <w:rFonts w:cs="Calibri"/>
              </w:rPr>
              <w:t>35.34</w:t>
            </w:r>
            <w:r w:rsidRPr="001C1E47">
              <w:rPr>
                <w:rFonts w:cs="Calibri"/>
              </w:rPr>
              <w:t xml:space="preserve">% to </w:t>
            </w:r>
            <w:r w:rsidR="00720CC4">
              <w:rPr>
                <w:rFonts w:cs="Calibri"/>
              </w:rPr>
              <w:t>53.01</w:t>
            </w:r>
            <w:r w:rsidRPr="001C1E47">
              <w:rPr>
                <w:rFonts w:cs="Calibri"/>
              </w:rPr>
              <w:t>% for health.</w:t>
            </w:r>
          </w:p>
        </w:tc>
      </w:tr>
      <w:tr w:rsidR="00634539"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41A90EB1" w:rsidR="00634539" w:rsidRPr="001C1E47" w:rsidRDefault="004F61D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5CC51BD6" w:rsidR="00634539" w:rsidRPr="001C1E47" w:rsidRDefault="00923B7C"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12.51</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73C0474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5</w:t>
            </w:r>
            <w:r w:rsidR="00923B7C">
              <w:rPr>
                <w:rFonts w:cs="Calibri"/>
              </w:rPr>
              <w:t>6.02</w:t>
            </w:r>
          </w:p>
        </w:tc>
        <w:tc>
          <w:tcPr>
            <w:tcW w:w="4599" w:type="dxa"/>
          </w:tcPr>
          <w:p w14:paraId="1A7228CC" w14:textId="4208A1BD" w:rsidR="00634539" w:rsidRPr="001C1E47" w:rsidRDefault="00634539" w:rsidP="00C34E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864"/>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4</w:t>
            </w:r>
            <w:r w:rsidR="004F61D9">
              <w:rPr>
                <w:rFonts w:cs="Calibri"/>
              </w:rPr>
              <w:t xml:space="preserve">4.82 </w:t>
            </w:r>
            <w:r w:rsidRPr="001C1E47">
              <w:rPr>
                <w:rFonts w:cs="Calibri"/>
              </w:rPr>
              <w:t xml:space="preserve">to </w:t>
            </w:r>
            <w:r w:rsidR="004F61D9">
              <w:rPr>
                <w:rFonts w:cs="Calibri"/>
              </w:rPr>
              <w:t>67.23</w:t>
            </w:r>
            <w:r w:rsidRPr="001C1E47">
              <w:rPr>
                <w:rFonts w:cs="Calibri"/>
              </w:rPr>
              <w:t xml:space="preserve"> for safety.</w:t>
            </w:r>
          </w:p>
        </w:tc>
      </w:tr>
      <w:tr w:rsidR="00634539"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6C61E4C3" w:rsidR="00634539" w:rsidRPr="001C1E47" w:rsidRDefault="00923B7C"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88.31</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61BDB148" w:rsidR="00634539" w:rsidRPr="001C1E47" w:rsidRDefault="00923B7C"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67.21</w:t>
            </w:r>
          </w:p>
        </w:tc>
        <w:tc>
          <w:tcPr>
            <w:tcW w:w="4599" w:type="dxa"/>
          </w:tcPr>
          <w:p w14:paraId="77F448C9" w14:textId="6677BA5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5</w:t>
            </w:r>
            <w:r w:rsidR="00360522">
              <w:rPr>
                <w:rFonts w:cs="Calibri"/>
              </w:rPr>
              <w:t>3</w:t>
            </w:r>
            <w:r w:rsidRPr="001C1E47">
              <w:rPr>
                <w:rFonts w:cs="Calibri"/>
              </w:rPr>
              <w:t>.</w:t>
            </w:r>
            <w:r w:rsidR="00360522">
              <w:rPr>
                <w:rFonts w:cs="Calibri"/>
              </w:rPr>
              <w:t>77</w:t>
            </w:r>
            <w:r w:rsidRPr="001C1E47">
              <w:rPr>
                <w:rFonts w:cs="Calibri"/>
              </w:rPr>
              <w:t xml:space="preserve"> to </w:t>
            </w:r>
            <w:r w:rsidR="00360522">
              <w:rPr>
                <w:rFonts w:cs="Calibri"/>
              </w:rPr>
              <w:t>80.65</w:t>
            </w:r>
            <w:r w:rsidRPr="001C1E47">
              <w:rPr>
                <w:rFonts w:cs="Calibri"/>
              </w:rPr>
              <w:t xml:space="preserve"> for health.</w:t>
            </w:r>
          </w:p>
        </w:tc>
      </w:tr>
      <w:tr w:rsidR="00634539"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2FF98BD9"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5AD20280" w14:textId="61AF8F3E" w:rsidR="00634539" w:rsidRPr="001C1E47" w:rsidRDefault="00124B9F"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+/-15% of 70.81%</w:t>
            </w:r>
          </w:p>
        </w:tc>
        <w:tc>
          <w:tcPr>
            <w:tcW w:w="4599" w:type="dxa"/>
          </w:tcPr>
          <w:p w14:paraId="5B2AF28D" w14:textId="77777777" w:rsidR="00C34EB5" w:rsidRDefault="00C34EB5" w:rsidP="00C34EB5">
            <w:pPr>
              <w:pStyle w:val="TableParagraph"/>
              <w:kinsoku w:val="0"/>
              <w:overflowPunct w:val="0"/>
              <w:ind w:left="0" w:right="181"/>
              <w:cnfStyle w:val="000000000000" w:firstRow="0" w:lastRow="0" w:firstColumn="0" w:lastColumn="0" w:oddVBand="0" w:evenVBand="0" w:oddHBand="0" w:evenHBand="0" w:firstRowFirstColumn="0" w:firstRowLastColumn="0" w:lastRowFirstColumn="0" w:lastRowLastColumn="0"/>
            </w:pPr>
            <w:r>
              <w:t>NA – This is a State and Local Government</w:t>
            </w:r>
            <w:r>
              <w:rPr>
                <w:spacing w:val="-7"/>
              </w:rPr>
              <w:t xml:space="preserve"> </w:t>
            </w:r>
            <w:r>
              <w:t>State</w:t>
            </w:r>
            <w:r>
              <w:rPr>
                <w:spacing w:val="-6"/>
              </w:rPr>
              <w:t xml:space="preserve"> </w:t>
            </w:r>
            <w:r>
              <w:t>Plan</w:t>
            </w:r>
            <w:r>
              <w:rPr>
                <w:spacing w:val="-7"/>
              </w:rPr>
              <w:t xml:space="preserve"> </w:t>
            </w:r>
            <w:r>
              <w:t>and</w:t>
            </w:r>
            <w:r>
              <w:rPr>
                <w:spacing w:val="-7"/>
              </w:rPr>
              <w:t xml:space="preserve"> </w:t>
            </w:r>
            <w:r>
              <w:t>is</w:t>
            </w:r>
            <w:r>
              <w:rPr>
                <w:spacing w:val="-7"/>
              </w:rPr>
              <w:t xml:space="preserve"> </w:t>
            </w:r>
            <w:r>
              <w:t>not</w:t>
            </w:r>
            <w:r>
              <w:rPr>
                <w:spacing w:val="-7"/>
              </w:rPr>
              <w:t xml:space="preserve"> </w:t>
            </w:r>
            <w:r>
              <w:t>held to this SAMM.</w:t>
            </w:r>
          </w:p>
          <w:p w14:paraId="19A7E6CA" w14:textId="77777777" w:rsidR="00C34EB5" w:rsidRDefault="00C34EB5" w:rsidP="00C34EB5">
            <w:pPr>
              <w:pStyle w:val="TableParagraph"/>
              <w:kinsoku w:val="0"/>
              <w:overflowPunct w:val="0"/>
              <w:spacing w:before="5"/>
              <w:ind w:left="0"/>
              <w:cnfStyle w:val="000000000000" w:firstRow="0" w:lastRow="0" w:firstColumn="0" w:lastColumn="0" w:oddVBand="0" w:evenVBand="0" w:oddHBand="0" w:evenHBand="0" w:firstRowFirstColumn="0" w:firstRowLastColumn="0" w:lastRowFirstColumn="0" w:lastRowLastColumn="0"/>
              <w:rPr>
                <w:sz w:val="22"/>
                <w:szCs w:val="22"/>
              </w:rPr>
            </w:pPr>
          </w:p>
          <w:p w14:paraId="45B6E003" w14:textId="594D8582" w:rsidR="00634539" w:rsidRPr="001C1E47" w:rsidRDefault="00C34EB5" w:rsidP="00C34E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634539"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2E1ABB5A"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w:t>
            </w:r>
            <w:r w:rsidR="00124B9F">
              <w:rPr>
                <w:rFonts w:eastAsia="PMingLiU" w:cs="Calibri"/>
              </w:rPr>
              <w:t>9.39%</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00118080" w:rsidR="00634539" w:rsidRPr="001C1E47" w:rsidRDefault="00C34E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r w:rsidR="00C05382">
              <w:rPr>
                <w:rFonts w:cs="Calibri"/>
              </w:rPr>
              <w:t>*</w:t>
            </w:r>
          </w:p>
        </w:tc>
        <w:tc>
          <w:tcPr>
            <w:tcW w:w="1307" w:type="dxa"/>
          </w:tcPr>
          <w:p w14:paraId="39333E60" w14:textId="43F82ACF" w:rsidR="00634539" w:rsidRPr="001C1E47" w:rsidRDefault="00C0538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7DECCD0D" w14:textId="02A86E93" w:rsidR="00634539" w:rsidRPr="001C1E47" w:rsidRDefault="00C0538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05382">
              <w:rPr>
                <w:rFonts w:eastAsia="PMingLiU" w:cs="Calibri"/>
              </w:rPr>
              <w:t>This measure is not being reported for FY 2024 due to the transition to the new SAMM measures starting in FY 2025.</w:t>
            </w:r>
          </w:p>
        </w:tc>
      </w:tr>
      <w:tr w:rsidR="00634539"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Percent of 11(c) </w:t>
            </w:r>
            <w:r w:rsidRPr="001C1E47">
              <w:rPr>
                <w:rFonts w:cs="Calibri"/>
              </w:rPr>
              <w:lastRenderedPageBreak/>
              <w:t>complaints that are meritorious</w:t>
            </w:r>
          </w:p>
        </w:tc>
        <w:tc>
          <w:tcPr>
            <w:tcW w:w="979" w:type="dxa"/>
          </w:tcPr>
          <w:p w14:paraId="1E0B0B7D" w14:textId="419A949B"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N/A</w:t>
            </w:r>
            <w:r w:rsidR="0036398B">
              <w:rPr>
                <w:rFonts w:cs="Calibri"/>
              </w:rPr>
              <w:t>*</w:t>
            </w:r>
          </w:p>
        </w:tc>
        <w:tc>
          <w:tcPr>
            <w:tcW w:w="1307" w:type="dxa"/>
          </w:tcPr>
          <w:p w14:paraId="147E9AB5" w14:textId="1C684E05" w:rsidR="00634539" w:rsidRPr="001C1E47" w:rsidRDefault="0036398B" w:rsidP="004A3EBE">
            <w:pPr>
              <w:pStyle w:val="TableParagraph"/>
              <w:kinsoku w:val="0"/>
              <w:overflowPunct w:val="0"/>
              <w:spacing w:line="292" w:lineRule="exact"/>
              <w:ind w:left="120" w:right="112"/>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4599" w:type="dxa"/>
          </w:tcPr>
          <w:p w14:paraId="647B2E51" w14:textId="38F00128" w:rsidR="00634539" w:rsidRDefault="0036398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36398B">
              <w:t xml:space="preserve">This measure is not being reported for FY </w:t>
            </w:r>
            <w:r w:rsidRPr="0036398B">
              <w:lastRenderedPageBreak/>
              <w:t>2024 due to the transition to the new SAMM measures starting in FY 2025.</w:t>
            </w:r>
          </w:p>
          <w:p w14:paraId="5442DCE3" w14:textId="77777777" w:rsidR="004A3EBE"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p w14:paraId="5801C5D4" w14:textId="64ACCD0A" w:rsidR="004A3EBE"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6BE28848"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r w:rsidR="008D10ED">
              <w:rPr>
                <w:rFonts w:eastAsia="PMingLiU" w:cs="Calibri"/>
              </w:rPr>
              <w:t>*</w:t>
            </w:r>
          </w:p>
        </w:tc>
        <w:tc>
          <w:tcPr>
            <w:tcW w:w="1307" w:type="dxa"/>
            <w:shd w:val="clear" w:color="auto" w:fill="auto"/>
          </w:tcPr>
          <w:p w14:paraId="7022F7E0" w14:textId="581D6BA2" w:rsidR="00634539" w:rsidRPr="001C1E47" w:rsidRDefault="008D10E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4599" w:type="dxa"/>
          </w:tcPr>
          <w:p w14:paraId="088C3C3F" w14:textId="3624E47D" w:rsidR="00634539" w:rsidRPr="001C1E47" w:rsidRDefault="008D10E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 xml:space="preserve">This measure is not being reported for FY 2024 </w:t>
            </w:r>
            <w:r w:rsidR="00E14064">
              <w:rPr>
                <w:rFonts w:eastAsia="PMingLiU" w:cs="Calibri"/>
              </w:rPr>
              <w:t>due to the transition to the new SAMM measures starting in FY 2025.</w:t>
            </w:r>
          </w:p>
        </w:tc>
      </w:tr>
      <w:tr w:rsidR="00634539"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770D86FD" w:rsidR="00634539" w:rsidRPr="001C1E47" w:rsidRDefault="004A3EB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tcPr>
          <w:p w14:paraId="315D63EF" w14:textId="6D409BF2" w:rsidR="00634539" w:rsidRPr="001C1E47" w:rsidRDefault="00B341C3" w:rsidP="00B341C3">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4A7D3B88" w14:textId="77777777" w:rsidR="004A3EBE" w:rsidRDefault="004A3EBE" w:rsidP="004A3EBE">
            <w:pPr>
              <w:pStyle w:val="TableParagraph"/>
              <w:kinsoku w:val="0"/>
              <w:overflowPunct w:val="0"/>
              <w:ind w:left="0" w:right="181"/>
              <w:cnfStyle w:val="000000000000" w:firstRow="0" w:lastRow="0" w:firstColumn="0" w:lastColumn="0" w:oddVBand="0" w:evenVBand="0" w:oddHBand="0" w:evenHBand="0" w:firstRowFirstColumn="0" w:firstRowLastColumn="0" w:lastRowFirstColumn="0" w:lastRowLastColumn="0"/>
            </w:pPr>
            <w:r>
              <w:t>NA – This is a State and Local Government</w:t>
            </w:r>
            <w:r>
              <w:rPr>
                <w:spacing w:val="-7"/>
              </w:rPr>
              <w:t xml:space="preserve"> </w:t>
            </w:r>
            <w:r>
              <w:t>State</w:t>
            </w:r>
            <w:r>
              <w:rPr>
                <w:spacing w:val="-6"/>
              </w:rPr>
              <w:t xml:space="preserve"> </w:t>
            </w:r>
            <w:r>
              <w:t>Plan</w:t>
            </w:r>
            <w:r>
              <w:rPr>
                <w:spacing w:val="-7"/>
              </w:rPr>
              <w:t xml:space="preserve"> </w:t>
            </w:r>
            <w:r>
              <w:t>and</w:t>
            </w:r>
            <w:r>
              <w:rPr>
                <w:spacing w:val="-7"/>
              </w:rPr>
              <w:t xml:space="preserve"> </w:t>
            </w:r>
            <w:r>
              <w:t>is</w:t>
            </w:r>
            <w:r>
              <w:rPr>
                <w:spacing w:val="-7"/>
              </w:rPr>
              <w:t xml:space="preserve"> </w:t>
            </w:r>
            <w:r>
              <w:t>not</w:t>
            </w:r>
            <w:r>
              <w:rPr>
                <w:spacing w:val="-7"/>
              </w:rPr>
              <w:t xml:space="preserve"> </w:t>
            </w:r>
            <w:r>
              <w:t>held to this SAMM.</w:t>
            </w:r>
          </w:p>
          <w:p w14:paraId="4161ACA5" w14:textId="77777777" w:rsidR="004A3EBE" w:rsidRDefault="004A3EBE" w:rsidP="004A3EBE">
            <w:pPr>
              <w:pStyle w:val="TableParagraph"/>
              <w:kinsoku w:val="0"/>
              <w:overflowPunct w:val="0"/>
              <w:spacing w:before="5"/>
              <w:ind w:left="0"/>
              <w:cnfStyle w:val="000000000000" w:firstRow="0" w:lastRow="0" w:firstColumn="0" w:lastColumn="0" w:oddVBand="0" w:evenVBand="0" w:oddHBand="0" w:evenHBand="0" w:firstRowFirstColumn="0" w:firstRowLastColumn="0" w:lastRowFirstColumn="0" w:lastRowLastColumn="0"/>
              <w:rPr>
                <w:sz w:val="22"/>
                <w:szCs w:val="22"/>
              </w:rPr>
            </w:pPr>
          </w:p>
          <w:p w14:paraId="66CFA076" w14:textId="153D4DE8" w:rsidR="00634539" w:rsidRPr="001C1E47" w:rsidRDefault="00634539" w:rsidP="004A3EB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61A6198B" w14:textId="0E599864" w:rsidR="004A3EBE" w:rsidRDefault="004A3EBE" w:rsidP="004A3EBE">
      <w:pPr>
        <w:pStyle w:val="BodyText"/>
        <w:kinsoku w:val="0"/>
        <w:overflowPunct w:val="0"/>
        <w:spacing w:before="51"/>
        <w:ind w:right="501"/>
      </w:pPr>
      <w:r>
        <w:t>NOTE:</w:t>
      </w:r>
      <w:r>
        <w:rPr>
          <w:spacing w:val="40"/>
        </w:rPr>
        <w:t xml:space="preserve"> </w:t>
      </w:r>
      <w:r>
        <w:t>The national averages in this report are three-year rolling averages.</w:t>
      </w:r>
      <w:r>
        <w:rPr>
          <w:spacing w:val="40"/>
        </w:rPr>
        <w:t xml:space="preserve"> </w:t>
      </w:r>
      <w:r>
        <w:t>Unless otherwise noted, the data contained in this Appendix D is pulled from the State Activity Mandated Measures</w:t>
      </w:r>
      <w:r>
        <w:rPr>
          <w:spacing w:val="-3"/>
        </w:rPr>
        <w:t xml:space="preserve"> </w:t>
      </w:r>
      <w:r>
        <w:t>(SAMM)</w:t>
      </w:r>
      <w:r>
        <w:rPr>
          <w:spacing w:val="-2"/>
        </w:rPr>
        <w:t xml:space="preserve"> </w:t>
      </w:r>
      <w:r>
        <w:t>Report</w:t>
      </w:r>
      <w:r>
        <w:rPr>
          <w:spacing w:val="-3"/>
        </w:rPr>
        <w:t xml:space="preserve"> </w:t>
      </w:r>
      <w:r>
        <w:t>in</w:t>
      </w:r>
      <w:r>
        <w:rPr>
          <w:spacing w:val="-3"/>
        </w:rPr>
        <w:t xml:space="preserve"> </w:t>
      </w:r>
      <w:r>
        <w:t>OIS</w:t>
      </w:r>
      <w:r>
        <w:rPr>
          <w:spacing w:val="-3"/>
        </w:rPr>
        <w:t xml:space="preserve"> </w:t>
      </w:r>
      <w:r w:rsidR="002729D7">
        <w:rPr>
          <w:spacing w:val="-3"/>
        </w:rPr>
        <w:t xml:space="preserve">and the State Plan </w:t>
      </w:r>
      <w:r w:rsidR="009348C8">
        <w:rPr>
          <w:spacing w:val="-3"/>
        </w:rPr>
        <w:t>Web IMIS</w:t>
      </w:r>
      <w:r w:rsidR="002729D7">
        <w:rPr>
          <w:spacing w:val="-3"/>
        </w:rPr>
        <w:t xml:space="preserve"> report run </w:t>
      </w:r>
      <w:r>
        <w:t>on</w:t>
      </w:r>
      <w:r>
        <w:rPr>
          <w:spacing w:val="-3"/>
        </w:rPr>
        <w:t xml:space="preserve"> </w:t>
      </w:r>
      <w:r w:rsidRPr="00D44F25">
        <w:t>November</w:t>
      </w:r>
      <w:r w:rsidRPr="00D44F25">
        <w:rPr>
          <w:spacing w:val="-2"/>
        </w:rPr>
        <w:t xml:space="preserve"> </w:t>
      </w:r>
      <w:r w:rsidRPr="00D44F25">
        <w:t>1</w:t>
      </w:r>
      <w:r w:rsidR="002729D7" w:rsidRPr="00D44F25">
        <w:t>2</w:t>
      </w:r>
      <w:r w:rsidRPr="00D44F25">
        <w:t>,</w:t>
      </w:r>
      <w:r w:rsidRPr="00D44F25">
        <w:rPr>
          <w:spacing w:val="-3"/>
        </w:rPr>
        <w:t xml:space="preserve"> </w:t>
      </w:r>
      <w:r w:rsidRPr="00D44F25">
        <w:t>202</w:t>
      </w:r>
      <w:r w:rsidR="002729D7" w:rsidRPr="00D44F25">
        <w:t>4</w:t>
      </w:r>
      <w:r w:rsidRPr="00D44F25">
        <w:t>,</w:t>
      </w:r>
      <w:r>
        <w:rPr>
          <w:spacing w:val="-1"/>
        </w:rPr>
        <w:t xml:space="preserve"> </w:t>
      </w:r>
      <w:r>
        <w:t>as</w:t>
      </w:r>
      <w:r>
        <w:rPr>
          <w:spacing w:val="-3"/>
        </w:rPr>
        <w:t xml:space="preserve"> </w:t>
      </w:r>
      <w:r>
        <w:t>part</w:t>
      </w:r>
      <w:r>
        <w:rPr>
          <w:spacing w:val="-3"/>
        </w:rPr>
        <w:t xml:space="preserve"> </w:t>
      </w:r>
      <w:r>
        <w:t>of</w:t>
      </w:r>
      <w:r>
        <w:rPr>
          <w:spacing w:val="-3"/>
        </w:rPr>
        <w:t xml:space="preserve"> </w:t>
      </w:r>
      <w:r>
        <w:t>OSHA’s</w:t>
      </w:r>
      <w:r>
        <w:rPr>
          <w:spacing w:val="-3"/>
        </w:rPr>
        <w:t xml:space="preserve"> </w:t>
      </w:r>
      <w:r>
        <w:t>official</w:t>
      </w:r>
      <w:r>
        <w:rPr>
          <w:spacing w:val="-3"/>
        </w:rPr>
        <w:t xml:space="preserve"> </w:t>
      </w:r>
      <w:r>
        <w:t>end-of- year data run.</w:t>
      </w:r>
    </w:p>
    <w:p w14:paraId="2C4095E6" w14:textId="77777777" w:rsidR="004A3EBE" w:rsidRDefault="004A3EBE" w:rsidP="004A3EBE">
      <w:pPr>
        <w:pStyle w:val="BodyText"/>
        <w:kinsoku w:val="0"/>
        <w:overflowPunct w:val="0"/>
      </w:pPr>
    </w:p>
    <w:p w14:paraId="3C2ED9BD" w14:textId="604EEC52" w:rsidR="004A3EBE" w:rsidRDefault="004A3EBE" w:rsidP="004A3EBE">
      <w:pPr>
        <w:pStyle w:val="BodyText"/>
        <w:kinsoku w:val="0"/>
        <w:overflowPunct w:val="0"/>
        <w:ind w:right="501"/>
      </w:pPr>
      <w:r>
        <w:t>*Due</w:t>
      </w:r>
      <w:r>
        <w:rPr>
          <w:spacing w:val="-2"/>
        </w:rPr>
        <w:t xml:space="preserve"> </w:t>
      </w:r>
      <w:r>
        <w:t>to</w:t>
      </w:r>
      <w:r>
        <w:rPr>
          <w:spacing w:val="-2"/>
        </w:rPr>
        <w:t xml:space="preserve"> </w:t>
      </w:r>
      <w:r>
        <w:t>the</w:t>
      </w:r>
      <w:r>
        <w:rPr>
          <w:spacing w:val="-3"/>
        </w:rPr>
        <w:t xml:space="preserve"> </w:t>
      </w:r>
      <w:r w:rsidR="009B65B8">
        <w:rPr>
          <w:spacing w:val="-3"/>
        </w:rPr>
        <w:t xml:space="preserve">transition to the new </w:t>
      </w:r>
      <w:r w:rsidR="00305A0B">
        <w:rPr>
          <w:spacing w:val="-3"/>
        </w:rPr>
        <w:t xml:space="preserve">SAMM </w:t>
      </w:r>
      <w:r w:rsidR="00305A0B">
        <w:rPr>
          <w:spacing w:val="-4"/>
        </w:rPr>
        <w:t>measures</w:t>
      </w:r>
      <w:r w:rsidR="009B65B8">
        <w:rPr>
          <w:spacing w:val="-4"/>
        </w:rPr>
        <w:t xml:space="preserve"> </w:t>
      </w:r>
      <w:r w:rsidR="000D3139">
        <w:rPr>
          <w:spacing w:val="-4"/>
        </w:rPr>
        <w:t>in</w:t>
      </w:r>
      <w:r w:rsidR="009B65B8">
        <w:rPr>
          <w:spacing w:val="-4"/>
        </w:rPr>
        <w:t xml:space="preserve"> FY </w:t>
      </w:r>
      <w:r w:rsidR="009348C8">
        <w:rPr>
          <w:spacing w:val="-4"/>
        </w:rPr>
        <w:t>2025,</w:t>
      </w:r>
      <w:r>
        <w:rPr>
          <w:spacing w:val="-3"/>
        </w:rPr>
        <w:t xml:space="preserve"> </w:t>
      </w:r>
      <w:r>
        <w:t>SAMMs</w:t>
      </w:r>
      <w:r>
        <w:rPr>
          <w:spacing w:val="-2"/>
        </w:rPr>
        <w:t xml:space="preserve"> </w:t>
      </w:r>
      <w:r>
        <w:t>14,</w:t>
      </w:r>
      <w:r>
        <w:rPr>
          <w:spacing w:val="-3"/>
        </w:rPr>
        <w:t xml:space="preserve"> </w:t>
      </w:r>
      <w:r>
        <w:t>15,</w:t>
      </w:r>
      <w:r>
        <w:rPr>
          <w:spacing w:val="-3"/>
        </w:rPr>
        <w:t xml:space="preserve"> </w:t>
      </w:r>
      <w:r>
        <w:t>and</w:t>
      </w:r>
      <w:r>
        <w:rPr>
          <w:spacing w:val="-2"/>
        </w:rPr>
        <w:t xml:space="preserve"> </w:t>
      </w:r>
      <w:r>
        <w:t>16</w:t>
      </w:r>
      <w:r>
        <w:rPr>
          <w:spacing w:val="-3"/>
        </w:rPr>
        <w:t xml:space="preserve"> </w:t>
      </w:r>
      <w:r>
        <w:t>are</w:t>
      </w:r>
      <w:r>
        <w:rPr>
          <w:spacing w:val="-2"/>
        </w:rPr>
        <w:t xml:space="preserve"> </w:t>
      </w:r>
      <w:r>
        <w:t>not</w:t>
      </w:r>
      <w:r>
        <w:rPr>
          <w:spacing w:val="-3"/>
        </w:rPr>
        <w:t xml:space="preserve"> </w:t>
      </w:r>
      <w:r>
        <w:t>being reported for FY 202</w:t>
      </w:r>
      <w:r w:rsidR="00D44F25">
        <w:t>4</w:t>
      </w:r>
      <w:r>
        <w:t>.</w:t>
      </w:r>
    </w:p>
    <w:p w14:paraId="6573BAF6" w14:textId="3FAD77B0" w:rsidR="00634539" w:rsidRPr="001C1E47" w:rsidRDefault="00634539" w:rsidP="00634539">
      <w:pPr>
        <w:tabs>
          <w:tab w:val="left" w:pos="3405"/>
        </w:tabs>
        <w:rPr>
          <w:rFonts w:cs="Calibri"/>
        </w:rPr>
      </w:pPr>
    </w:p>
    <w:sectPr w:rsidR="00634539" w:rsidRPr="001C1E47" w:rsidSect="00097060">
      <w:headerReference w:type="default" r:id="rId2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EA04" w14:textId="77777777" w:rsidR="00747168" w:rsidRDefault="00747168" w:rsidP="00C872A0">
      <w:r>
        <w:separator/>
      </w:r>
    </w:p>
  </w:endnote>
  <w:endnote w:type="continuationSeparator" w:id="0">
    <w:p w14:paraId="06B568AA" w14:textId="77777777" w:rsidR="00747168" w:rsidRDefault="00747168"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p w14:paraId="0477758C" w14:textId="77777777" w:rsidR="007267AA" w:rsidRDefault="007267AA"/>
  <w:p w14:paraId="11A4B3F8" w14:textId="77777777" w:rsidR="007267AA" w:rsidRDefault="007267AA"/>
  <w:p w14:paraId="6E28B970" w14:textId="77777777" w:rsidR="007267AA" w:rsidRDefault="007267AA"/>
  <w:p w14:paraId="3C398676" w14:textId="77777777" w:rsidR="007267AA" w:rsidRDefault="007267AA"/>
  <w:p w14:paraId="66B93A5B" w14:textId="77777777" w:rsidR="007267AA" w:rsidRDefault="007267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p w14:paraId="6032C3BC" w14:textId="77777777" w:rsidR="007267AA" w:rsidRDefault="007267AA"/>
  <w:p w14:paraId="3B8705BD" w14:textId="77777777" w:rsidR="007267AA" w:rsidRDefault="007267AA"/>
  <w:p w14:paraId="49D87267" w14:textId="77777777" w:rsidR="007267AA" w:rsidRDefault="007267AA"/>
  <w:p w14:paraId="14E2A4FD" w14:textId="77777777" w:rsidR="007267AA" w:rsidRDefault="007267AA"/>
  <w:p w14:paraId="3388A4A5" w14:textId="77777777" w:rsidR="007267AA" w:rsidRDefault="007267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2F47" w14:textId="77777777" w:rsidR="00747168" w:rsidRDefault="00747168" w:rsidP="00C872A0">
      <w:r>
        <w:separator/>
      </w:r>
    </w:p>
  </w:footnote>
  <w:footnote w:type="continuationSeparator" w:id="0">
    <w:p w14:paraId="56D85616" w14:textId="77777777" w:rsidR="00747168" w:rsidRDefault="00747168"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54555029"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2"/>
    <w:multiLevelType w:val="multilevel"/>
    <w:tmpl w:val="FFFFFFFF"/>
    <w:lvl w:ilvl="0">
      <w:start w:val="1"/>
      <w:numFmt w:val="upperRoman"/>
      <w:lvlText w:val="%1."/>
      <w:lvlJc w:val="left"/>
      <w:pPr>
        <w:ind w:left="780" w:hanging="480"/>
      </w:pPr>
      <w:rPr>
        <w:rFonts w:ascii="Calibri" w:hAnsi="Calibri" w:cs="Calibri"/>
        <w:b w:val="0"/>
        <w:bCs w:val="0"/>
        <w:i w:val="0"/>
        <w:iCs w:val="0"/>
        <w:w w:val="99"/>
        <w:sz w:val="28"/>
        <w:szCs w:val="28"/>
      </w:rPr>
    </w:lvl>
    <w:lvl w:ilvl="1">
      <w:start w:val="1"/>
      <w:numFmt w:val="upperLetter"/>
      <w:lvlText w:val="%2."/>
      <w:lvlJc w:val="left"/>
      <w:pPr>
        <w:ind w:left="1020" w:hanging="480"/>
      </w:pPr>
      <w:rPr>
        <w:rFonts w:ascii="Calibri" w:hAnsi="Calibri" w:cs="Calibri"/>
        <w:b w:val="0"/>
        <w:bCs w:val="0"/>
        <w:i w:val="0"/>
        <w:iCs w:val="0"/>
        <w:w w:val="100"/>
        <w:sz w:val="24"/>
        <w:szCs w:val="24"/>
      </w:rPr>
    </w:lvl>
    <w:lvl w:ilvl="2">
      <w:numFmt w:val="bullet"/>
      <w:lvlText w:val="•"/>
      <w:lvlJc w:val="left"/>
      <w:pPr>
        <w:ind w:left="2406" w:hanging="480"/>
      </w:pPr>
    </w:lvl>
    <w:lvl w:ilvl="3">
      <w:numFmt w:val="bullet"/>
      <w:lvlText w:val="•"/>
      <w:lvlJc w:val="left"/>
      <w:pPr>
        <w:ind w:left="3793" w:hanging="480"/>
      </w:pPr>
    </w:lvl>
    <w:lvl w:ilvl="4">
      <w:numFmt w:val="bullet"/>
      <w:lvlText w:val="•"/>
      <w:lvlJc w:val="left"/>
      <w:pPr>
        <w:ind w:left="5180" w:hanging="480"/>
      </w:pPr>
    </w:lvl>
    <w:lvl w:ilvl="5">
      <w:numFmt w:val="bullet"/>
      <w:lvlText w:val="•"/>
      <w:lvlJc w:val="left"/>
      <w:pPr>
        <w:ind w:left="6566" w:hanging="480"/>
      </w:pPr>
    </w:lvl>
    <w:lvl w:ilvl="6">
      <w:numFmt w:val="bullet"/>
      <w:lvlText w:val="•"/>
      <w:lvlJc w:val="left"/>
      <w:pPr>
        <w:ind w:left="7953" w:hanging="480"/>
      </w:pPr>
    </w:lvl>
    <w:lvl w:ilvl="7">
      <w:numFmt w:val="bullet"/>
      <w:lvlText w:val="•"/>
      <w:lvlJc w:val="left"/>
      <w:pPr>
        <w:ind w:left="9340" w:hanging="480"/>
      </w:pPr>
    </w:lvl>
    <w:lvl w:ilvl="8">
      <w:numFmt w:val="bullet"/>
      <w:lvlText w:val="•"/>
      <w:lvlJc w:val="left"/>
      <w:pPr>
        <w:ind w:left="10726" w:hanging="480"/>
      </w:p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7C968CD"/>
    <w:multiLevelType w:val="hybridMultilevel"/>
    <w:tmpl w:val="A394F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AAE4025"/>
    <w:multiLevelType w:val="hybridMultilevel"/>
    <w:tmpl w:val="1A1056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3"/>
  </w:num>
  <w:num w:numId="11" w16cid:durableId="247546233">
    <w:abstractNumId w:val="24"/>
  </w:num>
  <w:num w:numId="12" w16cid:durableId="1587691524">
    <w:abstractNumId w:val="25"/>
  </w:num>
  <w:num w:numId="13" w16cid:durableId="280234208">
    <w:abstractNumId w:val="23"/>
  </w:num>
  <w:num w:numId="14" w16cid:durableId="349188258">
    <w:abstractNumId w:val="32"/>
  </w:num>
  <w:num w:numId="15" w16cid:durableId="150439297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revisionView w:markup="0"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4658"/>
    <w:rsid w:val="00005117"/>
    <w:rsid w:val="00007781"/>
    <w:rsid w:val="000116C0"/>
    <w:rsid w:val="00014C7A"/>
    <w:rsid w:val="00015D53"/>
    <w:rsid w:val="00016214"/>
    <w:rsid w:val="00016803"/>
    <w:rsid w:val="0001706D"/>
    <w:rsid w:val="00017349"/>
    <w:rsid w:val="00021274"/>
    <w:rsid w:val="000217D1"/>
    <w:rsid w:val="00021FE0"/>
    <w:rsid w:val="0002217A"/>
    <w:rsid w:val="00022BEE"/>
    <w:rsid w:val="00022F16"/>
    <w:rsid w:val="00023E67"/>
    <w:rsid w:val="00024163"/>
    <w:rsid w:val="000248F0"/>
    <w:rsid w:val="0002572C"/>
    <w:rsid w:val="00025F57"/>
    <w:rsid w:val="00026D63"/>
    <w:rsid w:val="00027093"/>
    <w:rsid w:val="000320CC"/>
    <w:rsid w:val="000337F9"/>
    <w:rsid w:val="0003442F"/>
    <w:rsid w:val="00034A4E"/>
    <w:rsid w:val="00035083"/>
    <w:rsid w:val="0003567C"/>
    <w:rsid w:val="000364D6"/>
    <w:rsid w:val="00036865"/>
    <w:rsid w:val="00036BF8"/>
    <w:rsid w:val="00036EB4"/>
    <w:rsid w:val="00036F0D"/>
    <w:rsid w:val="00037F48"/>
    <w:rsid w:val="000404ED"/>
    <w:rsid w:val="00042327"/>
    <w:rsid w:val="000429A3"/>
    <w:rsid w:val="00043515"/>
    <w:rsid w:val="00044436"/>
    <w:rsid w:val="000447C9"/>
    <w:rsid w:val="000449F8"/>
    <w:rsid w:val="00045479"/>
    <w:rsid w:val="00045BD6"/>
    <w:rsid w:val="00045C51"/>
    <w:rsid w:val="00046151"/>
    <w:rsid w:val="000467D3"/>
    <w:rsid w:val="000468C6"/>
    <w:rsid w:val="00046BEE"/>
    <w:rsid w:val="00046E13"/>
    <w:rsid w:val="000470EE"/>
    <w:rsid w:val="0005007B"/>
    <w:rsid w:val="00050DB6"/>
    <w:rsid w:val="00050FEB"/>
    <w:rsid w:val="000517FA"/>
    <w:rsid w:val="00052B36"/>
    <w:rsid w:val="00053A2C"/>
    <w:rsid w:val="00054416"/>
    <w:rsid w:val="00054900"/>
    <w:rsid w:val="00055243"/>
    <w:rsid w:val="00055B40"/>
    <w:rsid w:val="00055F2C"/>
    <w:rsid w:val="0005679E"/>
    <w:rsid w:val="00056CBA"/>
    <w:rsid w:val="00057840"/>
    <w:rsid w:val="00060D39"/>
    <w:rsid w:val="00060EAC"/>
    <w:rsid w:val="00061875"/>
    <w:rsid w:val="00061D1A"/>
    <w:rsid w:val="000625FB"/>
    <w:rsid w:val="0006398D"/>
    <w:rsid w:val="00064243"/>
    <w:rsid w:val="00065AB2"/>
    <w:rsid w:val="0006611A"/>
    <w:rsid w:val="00066A7B"/>
    <w:rsid w:val="00066C52"/>
    <w:rsid w:val="00066E4A"/>
    <w:rsid w:val="00067A12"/>
    <w:rsid w:val="00067DAA"/>
    <w:rsid w:val="000701E4"/>
    <w:rsid w:val="0007073F"/>
    <w:rsid w:val="0007157F"/>
    <w:rsid w:val="00071E71"/>
    <w:rsid w:val="000724F1"/>
    <w:rsid w:val="0007306B"/>
    <w:rsid w:val="000743D1"/>
    <w:rsid w:val="00074876"/>
    <w:rsid w:val="00075310"/>
    <w:rsid w:val="000760CB"/>
    <w:rsid w:val="00076601"/>
    <w:rsid w:val="000767C0"/>
    <w:rsid w:val="00077410"/>
    <w:rsid w:val="000778A9"/>
    <w:rsid w:val="00083256"/>
    <w:rsid w:val="00083A76"/>
    <w:rsid w:val="00085230"/>
    <w:rsid w:val="00085BEF"/>
    <w:rsid w:val="000866AB"/>
    <w:rsid w:val="00086F2F"/>
    <w:rsid w:val="0008759E"/>
    <w:rsid w:val="00087EE9"/>
    <w:rsid w:val="00090155"/>
    <w:rsid w:val="000902ED"/>
    <w:rsid w:val="0009134A"/>
    <w:rsid w:val="00091ABD"/>
    <w:rsid w:val="00091AE2"/>
    <w:rsid w:val="00091B54"/>
    <w:rsid w:val="00091DA2"/>
    <w:rsid w:val="000923E0"/>
    <w:rsid w:val="00092555"/>
    <w:rsid w:val="000929B5"/>
    <w:rsid w:val="00092F1B"/>
    <w:rsid w:val="00093239"/>
    <w:rsid w:val="000949A8"/>
    <w:rsid w:val="0009535D"/>
    <w:rsid w:val="0009583F"/>
    <w:rsid w:val="00095974"/>
    <w:rsid w:val="000969E2"/>
    <w:rsid w:val="00097060"/>
    <w:rsid w:val="000A0991"/>
    <w:rsid w:val="000A134A"/>
    <w:rsid w:val="000A1CE9"/>
    <w:rsid w:val="000A2DE7"/>
    <w:rsid w:val="000A37B0"/>
    <w:rsid w:val="000A3878"/>
    <w:rsid w:val="000A40EC"/>
    <w:rsid w:val="000A4B03"/>
    <w:rsid w:val="000A55DB"/>
    <w:rsid w:val="000A658C"/>
    <w:rsid w:val="000A7279"/>
    <w:rsid w:val="000A7A05"/>
    <w:rsid w:val="000B07D7"/>
    <w:rsid w:val="000B1A5B"/>
    <w:rsid w:val="000B1ECC"/>
    <w:rsid w:val="000B22E4"/>
    <w:rsid w:val="000B3A37"/>
    <w:rsid w:val="000B440B"/>
    <w:rsid w:val="000B4852"/>
    <w:rsid w:val="000B5E85"/>
    <w:rsid w:val="000B6A8A"/>
    <w:rsid w:val="000B73BD"/>
    <w:rsid w:val="000C04C6"/>
    <w:rsid w:val="000C07BB"/>
    <w:rsid w:val="000C0E15"/>
    <w:rsid w:val="000C12C6"/>
    <w:rsid w:val="000C1882"/>
    <w:rsid w:val="000C1ED8"/>
    <w:rsid w:val="000C295F"/>
    <w:rsid w:val="000C2E74"/>
    <w:rsid w:val="000C368E"/>
    <w:rsid w:val="000C38BD"/>
    <w:rsid w:val="000C4141"/>
    <w:rsid w:val="000C43DE"/>
    <w:rsid w:val="000C46E4"/>
    <w:rsid w:val="000C5C82"/>
    <w:rsid w:val="000C61E7"/>
    <w:rsid w:val="000C75BA"/>
    <w:rsid w:val="000C7862"/>
    <w:rsid w:val="000C7C9A"/>
    <w:rsid w:val="000D23F8"/>
    <w:rsid w:val="000D3081"/>
    <w:rsid w:val="000D3139"/>
    <w:rsid w:val="000D343F"/>
    <w:rsid w:val="000D4560"/>
    <w:rsid w:val="000D4A64"/>
    <w:rsid w:val="000D750A"/>
    <w:rsid w:val="000D7AAD"/>
    <w:rsid w:val="000E0408"/>
    <w:rsid w:val="000E07E7"/>
    <w:rsid w:val="000E0C10"/>
    <w:rsid w:val="000E0DD1"/>
    <w:rsid w:val="000E1AA2"/>
    <w:rsid w:val="000E20A2"/>
    <w:rsid w:val="000E46F3"/>
    <w:rsid w:val="000E5C64"/>
    <w:rsid w:val="000E6466"/>
    <w:rsid w:val="000E7F42"/>
    <w:rsid w:val="000F1D68"/>
    <w:rsid w:val="000F1E49"/>
    <w:rsid w:val="000F46ED"/>
    <w:rsid w:val="000F4DA3"/>
    <w:rsid w:val="000F5631"/>
    <w:rsid w:val="000F5A36"/>
    <w:rsid w:val="000F63C1"/>
    <w:rsid w:val="000F6A5C"/>
    <w:rsid w:val="000F7093"/>
    <w:rsid w:val="000F7ECC"/>
    <w:rsid w:val="00100AC9"/>
    <w:rsid w:val="00101B41"/>
    <w:rsid w:val="001039FA"/>
    <w:rsid w:val="00104853"/>
    <w:rsid w:val="001056A7"/>
    <w:rsid w:val="0011011A"/>
    <w:rsid w:val="00110CB0"/>
    <w:rsid w:val="001113A1"/>
    <w:rsid w:val="00111494"/>
    <w:rsid w:val="00112C81"/>
    <w:rsid w:val="0011326F"/>
    <w:rsid w:val="00114091"/>
    <w:rsid w:val="0011522A"/>
    <w:rsid w:val="00115B48"/>
    <w:rsid w:val="00115DF5"/>
    <w:rsid w:val="00116055"/>
    <w:rsid w:val="001170E4"/>
    <w:rsid w:val="0011710F"/>
    <w:rsid w:val="00117115"/>
    <w:rsid w:val="001174A0"/>
    <w:rsid w:val="001206B1"/>
    <w:rsid w:val="0012164B"/>
    <w:rsid w:val="00122228"/>
    <w:rsid w:val="0012279E"/>
    <w:rsid w:val="00122839"/>
    <w:rsid w:val="00122BD3"/>
    <w:rsid w:val="00123AC4"/>
    <w:rsid w:val="00124B9F"/>
    <w:rsid w:val="00125065"/>
    <w:rsid w:val="00125345"/>
    <w:rsid w:val="00125C8A"/>
    <w:rsid w:val="00126880"/>
    <w:rsid w:val="00130713"/>
    <w:rsid w:val="0013275D"/>
    <w:rsid w:val="00132862"/>
    <w:rsid w:val="00132F71"/>
    <w:rsid w:val="001330E6"/>
    <w:rsid w:val="00134151"/>
    <w:rsid w:val="001341FE"/>
    <w:rsid w:val="00134F5C"/>
    <w:rsid w:val="00134F5D"/>
    <w:rsid w:val="0013525A"/>
    <w:rsid w:val="001358F0"/>
    <w:rsid w:val="00136DA3"/>
    <w:rsid w:val="001376D1"/>
    <w:rsid w:val="00140C21"/>
    <w:rsid w:val="00141758"/>
    <w:rsid w:val="0014199D"/>
    <w:rsid w:val="00142198"/>
    <w:rsid w:val="00143ACD"/>
    <w:rsid w:val="0014420A"/>
    <w:rsid w:val="00144A53"/>
    <w:rsid w:val="00144F64"/>
    <w:rsid w:val="00145BC1"/>
    <w:rsid w:val="001467B6"/>
    <w:rsid w:val="001469F6"/>
    <w:rsid w:val="001471B8"/>
    <w:rsid w:val="001473EF"/>
    <w:rsid w:val="00147B01"/>
    <w:rsid w:val="00147B6B"/>
    <w:rsid w:val="00147F8B"/>
    <w:rsid w:val="00150F03"/>
    <w:rsid w:val="001515BB"/>
    <w:rsid w:val="00151CFD"/>
    <w:rsid w:val="00152207"/>
    <w:rsid w:val="00154FCE"/>
    <w:rsid w:val="00155591"/>
    <w:rsid w:val="00156786"/>
    <w:rsid w:val="00156CD6"/>
    <w:rsid w:val="00156E0C"/>
    <w:rsid w:val="00157520"/>
    <w:rsid w:val="00161740"/>
    <w:rsid w:val="00161E48"/>
    <w:rsid w:val="00161FEF"/>
    <w:rsid w:val="0016336D"/>
    <w:rsid w:val="00163E90"/>
    <w:rsid w:val="00164C1C"/>
    <w:rsid w:val="00165582"/>
    <w:rsid w:val="00172085"/>
    <w:rsid w:val="00172D34"/>
    <w:rsid w:val="00173853"/>
    <w:rsid w:val="0017552C"/>
    <w:rsid w:val="00175BD1"/>
    <w:rsid w:val="001767C0"/>
    <w:rsid w:val="00176DF8"/>
    <w:rsid w:val="00177A1E"/>
    <w:rsid w:val="00177D70"/>
    <w:rsid w:val="001814E0"/>
    <w:rsid w:val="00182B5C"/>
    <w:rsid w:val="00182CE0"/>
    <w:rsid w:val="001843E2"/>
    <w:rsid w:val="0018443D"/>
    <w:rsid w:val="00184E43"/>
    <w:rsid w:val="0018526A"/>
    <w:rsid w:val="00185C7D"/>
    <w:rsid w:val="00185FBD"/>
    <w:rsid w:val="001861B8"/>
    <w:rsid w:val="00186817"/>
    <w:rsid w:val="00187065"/>
    <w:rsid w:val="00187182"/>
    <w:rsid w:val="001902FE"/>
    <w:rsid w:val="001927A4"/>
    <w:rsid w:val="00192881"/>
    <w:rsid w:val="00192C14"/>
    <w:rsid w:val="00193E53"/>
    <w:rsid w:val="001941DE"/>
    <w:rsid w:val="00195095"/>
    <w:rsid w:val="00195153"/>
    <w:rsid w:val="001953FA"/>
    <w:rsid w:val="00195892"/>
    <w:rsid w:val="001958C8"/>
    <w:rsid w:val="001A2967"/>
    <w:rsid w:val="001A335E"/>
    <w:rsid w:val="001A3671"/>
    <w:rsid w:val="001A4F3A"/>
    <w:rsid w:val="001A6B79"/>
    <w:rsid w:val="001A7BB9"/>
    <w:rsid w:val="001A7F60"/>
    <w:rsid w:val="001B0219"/>
    <w:rsid w:val="001B02D7"/>
    <w:rsid w:val="001B0632"/>
    <w:rsid w:val="001B0AF1"/>
    <w:rsid w:val="001B160F"/>
    <w:rsid w:val="001B284A"/>
    <w:rsid w:val="001B346B"/>
    <w:rsid w:val="001B6DA7"/>
    <w:rsid w:val="001B77A2"/>
    <w:rsid w:val="001C14F3"/>
    <w:rsid w:val="001C154D"/>
    <w:rsid w:val="001C1E47"/>
    <w:rsid w:val="001C2B11"/>
    <w:rsid w:val="001C3276"/>
    <w:rsid w:val="001C44E8"/>
    <w:rsid w:val="001C560E"/>
    <w:rsid w:val="001C58C2"/>
    <w:rsid w:val="001C620B"/>
    <w:rsid w:val="001D1819"/>
    <w:rsid w:val="001D1A16"/>
    <w:rsid w:val="001D6530"/>
    <w:rsid w:val="001D681F"/>
    <w:rsid w:val="001D6D59"/>
    <w:rsid w:val="001D71DF"/>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23A5"/>
    <w:rsid w:val="001F2ED7"/>
    <w:rsid w:val="001F359C"/>
    <w:rsid w:val="001F3750"/>
    <w:rsid w:val="001F40E1"/>
    <w:rsid w:val="001F4CAA"/>
    <w:rsid w:val="001F58B8"/>
    <w:rsid w:val="001F5D3F"/>
    <w:rsid w:val="001F7462"/>
    <w:rsid w:val="00200D27"/>
    <w:rsid w:val="002011AC"/>
    <w:rsid w:val="00201EB9"/>
    <w:rsid w:val="00202BD7"/>
    <w:rsid w:val="002048CC"/>
    <w:rsid w:val="0020506D"/>
    <w:rsid w:val="00205391"/>
    <w:rsid w:val="00205A99"/>
    <w:rsid w:val="00205B95"/>
    <w:rsid w:val="002071DC"/>
    <w:rsid w:val="0020733F"/>
    <w:rsid w:val="00207B94"/>
    <w:rsid w:val="00210E15"/>
    <w:rsid w:val="00211626"/>
    <w:rsid w:val="0021277A"/>
    <w:rsid w:val="00212BC7"/>
    <w:rsid w:val="0021380C"/>
    <w:rsid w:val="00213FCA"/>
    <w:rsid w:val="00214269"/>
    <w:rsid w:val="00216621"/>
    <w:rsid w:val="00216B0E"/>
    <w:rsid w:val="00217433"/>
    <w:rsid w:val="00217437"/>
    <w:rsid w:val="00221B7E"/>
    <w:rsid w:val="00222350"/>
    <w:rsid w:val="0022310F"/>
    <w:rsid w:val="002231D3"/>
    <w:rsid w:val="002235F3"/>
    <w:rsid w:val="0022374D"/>
    <w:rsid w:val="00223A6A"/>
    <w:rsid w:val="002247E7"/>
    <w:rsid w:val="0022537C"/>
    <w:rsid w:val="0022685E"/>
    <w:rsid w:val="00227868"/>
    <w:rsid w:val="00230915"/>
    <w:rsid w:val="00230D53"/>
    <w:rsid w:val="0023191B"/>
    <w:rsid w:val="002337B2"/>
    <w:rsid w:val="00233C64"/>
    <w:rsid w:val="0023628C"/>
    <w:rsid w:val="00237EE3"/>
    <w:rsid w:val="002404BA"/>
    <w:rsid w:val="00240F29"/>
    <w:rsid w:val="002427F7"/>
    <w:rsid w:val="00243015"/>
    <w:rsid w:val="0024338F"/>
    <w:rsid w:val="00250CF7"/>
    <w:rsid w:val="002511A8"/>
    <w:rsid w:val="002511E9"/>
    <w:rsid w:val="002512E8"/>
    <w:rsid w:val="00251FA2"/>
    <w:rsid w:val="002523FB"/>
    <w:rsid w:val="002529E8"/>
    <w:rsid w:val="00253249"/>
    <w:rsid w:val="002536CB"/>
    <w:rsid w:val="00253889"/>
    <w:rsid w:val="0025526A"/>
    <w:rsid w:val="00255EA4"/>
    <w:rsid w:val="0025796F"/>
    <w:rsid w:val="00260A89"/>
    <w:rsid w:val="00260C9F"/>
    <w:rsid w:val="00261A11"/>
    <w:rsid w:val="00262A51"/>
    <w:rsid w:val="00262DDC"/>
    <w:rsid w:val="002648FC"/>
    <w:rsid w:val="00264B6E"/>
    <w:rsid w:val="00265778"/>
    <w:rsid w:val="002658D0"/>
    <w:rsid w:val="002679E5"/>
    <w:rsid w:val="00270625"/>
    <w:rsid w:val="00270695"/>
    <w:rsid w:val="002707B8"/>
    <w:rsid w:val="0027084D"/>
    <w:rsid w:val="002725BC"/>
    <w:rsid w:val="002729D7"/>
    <w:rsid w:val="002731DE"/>
    <w:rsid w:val="002735F9"/>
    <w:rsid w:val="00273CD1"/>
    <w:rsid w:val="00274463"/>
    <w:rsid w:val="0027502F"/>
    <w:rsid w:val="00277345"/>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6F6"/>
    <w:rsid w:val="00296B1E"/>
    <w:rsid w:val="00297ABC"/>
    <w:rsid w:val="002A2421"/>
    <w:rsid w:val="002A40A1"/>
    <w:rsid w:val="002A4594"/>
    <w:rsid w:val="002A4934"/>
    <w:rsid w:val="002A50A7"/>
    <w:rsid w:val="002A5947"/>
    <w:rsid w:val="002A65C4"/>
    <w:rsid w:val="002A6CAA"/>
    <w:rsid w:val="002A6EA8"/>
    <w:rsid w:val="002A6EF7"/>
    <w:rsid w:val="002B020A"/>
    <w:rsid w:val="002B1213"/>
    <w:rsid w:val="002B334F"/>
    <w:rsid w:val="002B3E37"/>
    <w:rsid w:val="002B4100"/>
    <w:rsid w:val="002B4250"/>
    <w:rsid w:val="002B429D"/>
    <w:rsid w:val="002B43F3"/>
    <w:rsid w:val="002B4830"/>
    <w:rsid w:val="002B4AFA"/>
    <w:rsid w:val="002B4F49"/>
    <w:rsid w:val="002B63FA"/>
    <w:rsid w:val="002B7D36"/>
    <w:rsid w:val="002C1E78"/>
    <w:rsid w:val="002C21A1"/>
    <w:rsid w:val="002C31B1"/>
    <w:rsid w:val="002C38B0"/>
    <w:rsid w:val="002C439B"/>
    <w:rsid w:val="002C4E8C"/>
    <w:rsid w:val="002C65D1"/>
    <w:rsid w:val="002C6A22"/>
    <w:rsid w:val="002C6D41"/>
    <w:rsid w:val="002D0261"/>
    <w:rsid w:val="002D104D"/>
    <w:rsid w:val="002D1D1E"/>
    <w:rsid w:val="002D203D"/>
    <w:rsid w:val="002D34CA"/>
    <w:rsid w:val="002D473A"/>
    <w:rsid w:val="002D4F37"/>
    <w:rsid w:val="002D53BD"/>
    <w:rsid w:val="002D54B7"/>
    <w:rsid w:val="002D61CE"/>
    <w:rsid w:val="002D6E03"/>
    <w:rsid w:val="002E030B"/>
    <w:rsid w:val="002E211F"/>
    <w:rsid w:val="002E397D"/>
    <w:rsid w:val="002E423D"/>
    <w:rsid w:val="002E43B7"/>
    <w:rsid w:val="002E4405"/>
    <w:rsid w:val="002E4FDC"/>
    <w:rsid w:val="002E50F9"/>
    <w:rsid w:val="002E516E"/>
    <w:rsid w:val="002E5F0C"/>
    <w:rsid w:val="002E6170"/>
    <w:rsid w:val="002E6386"/>
    <w:rsid w:val="002E6E73"/>
    <w:rsid w:val="002E799C"/>
    <w:rsid w:val="002F140C"/>
    <w:rsid w:val="002F15B2"/>
    <w:rsid w:val="002F313C"/>
    <w:rsid w:val="002F4FA0"/>
    <w:rsid w:val="002F588B"/>
    <w:rsid w:val="002F5F07"/>
    <w:rsid w:val="002F78C9"/>
    <w:rsid w:val="002F7F47"/>
    <w:rsid w:val="00300149"/>
    <w:rsid w:val="0030105C"/>
    <w:rsid w:val="00304846"/>
    <w:rsid w:val="00304930"/>
    <w:rsid w:val="0030523E"/>
    <w:rsid w:val="00305A0B"/>
    <w:rsid w:val="00306137"/>
    <w:rsid w:val="00312D97"/>
    <w:rsid w:val="00312FDE"/>
    <w:rsid w:val="0031493F"/>
    <w:rsid w:val="00315927"/>
    <w:rsid w:val="00315E58"/>
    <w:rsid w:val="00320A32"/>
    <w:rsid w:val="00322518"/>
    <w:rsid w:val="00322C51"/>
    <w:rsid w:val="003235C8"/>
    <w:rsid w:val="003249AC"/>
    <w:rsid w:val="0032597C"/>
    <w:rsid w:val="00327926"/>
    <w:rsid w:val="00327E12"/>
    <w:rsid w:val="003306BF"/>
    <w:rsid w:val="003309EC"/>
    <w:rsid w:val="00331F49"/>
    <w:rsid w:val="00334155"/>
    <w:rsid w:val="00336613"/>
    <w:rsid w:val="00336FF6"/>
    <w:rsid w:val="0033715B"/>
    <w:rsid w:val="00337CC6"/>
    <w:rsid w:val="003400CE"/>
    <w:rsid w:val="00340C04"/>
    <w:rsid w:val="00340ED2"/>
    <w:rsid w:val="00341DD1"/>
    <w:rsid w:val="00343604"/>
    <w:rsid w:val="00344186"/>
    <w:rsid w:val="00344D3F"/>
    <w:rsid w:val="0034504D"/>
    <w:rsid w:val="00345174"/>
    <w:rsid w:val="0034562A"/>
    <w:rsid w:val="003478A8"/>
    <w:rsid w:val="00351ABE"/>
    <w:rsid w:val="00351DAD"/>
    <w:rsid w:val="0035483B"/>
    <w:rsid w:val="0035620E"/>
    <w:rsid w:val="00356C45"/>
    <w:rsid w:val="0035765D"/>
    <w:rsid w:val="00360522"/>
    <w:rsid w:val="00360CDE"/>
    <w:rsid w:val="003625AF"/>
    <w:rsid w:val="00363176"/>
    <w:rsid w:val="0036398B"/>
    <w:rsid w:val="00363AF6"/>
    <w:rsid w:val="0036420B"/>
    <w:rsid w:val="00366FCA"/>
    <w:rsid w:val="003675BA"/>
    <w:rsid w:val="00367B10"/>
    <w:rsid w:val="00371330"/>
    <w:rsid w:val="0037297D"/>
    <w:rsid w:val="00373067"/>
    <w:rsid w:val="00373624"/>
    <w:rsid w:val="00374643"/>
    <w:rsid w:val="00374E61"/>
    <w:rsid w:val="0037554E"/>
    <w:rsid w:val="003759CE"/>
    <w:rsid w:val="00375AFE"/>
    <w:rsid w:val="00380246"/>
    <w:rsid w:val="0038038C"/>
    <w:rsid w:val="00380DBE"/>
    <w:rsid w:val="003810F0"/>
    <w:rsid w:val="0038186A"/>
    <w:rsid w:val="00381F51"/>
    <w:rsid w:val="003822A8"/>
    <w:rsid w:val="00382632"/>
    <w:rsid w:val="00383151"/>
    <w:rsid w:val="00383223"/>
    <w:rsid w:val="00384BF5"/>
    <w:rsid w:val="00384D3F"/>
    <w:rsid w:val="0038594C"/>
    <w:rsid w:val="0038613B"/>
    <w:rsid w:val="003861AB"/>
    <w:rsid w:val="0038622A"/>
    <w:rsid w:val="00386A92"/>
    <w:rsid w:val="0038781D"/>
    <w:rsid w:val="00387B03"/>
    <w:rsid w:val="00387C8A"/>
    <w:rsid w:val="0039036E"/>
    <w:rsid w:val="00391D6F"/>
    <w:rsid w:val="003921B2"/>
    <w:rsid w:val="0039243E"/>
    <w:rsid w:val="00392C0A"/>
    <w:rsid w:val="003938FD"/>
    <w:rsid w:val="0039497C"/>
    <w:rsid w:val="00395A18"/>
    <w:rsid w:val="0039632A"/>
    <w:rsid w:val="00396CFB"/>
    <w:rsid w:val="00397372"/>
    <w:rsid w:val="00397EE9"/>
    <w:rsid w:val="003A15AE"/>
    <w:rsid w:val="003A1E5E"/>
    <w:rsid w:val="003A1F58"/>
    <w:rsid w:val="003A20DA"/>
    <w:rsid w:val="003A2119"/>
    <w:rsid w:val="003A4F3E"/>
    <w:rsid w:val="003A53CD"/>
    <w:rsid w:val="003A6AFD"/>
    <w:rsid w:val="003A6DB0"/>
    <w:rsid w:val="003A7151"/>
    <w:rsid w:val="003A79DB"/>
    <w:rsid w:val="003B0F52"/>
    <w:rsid w:val="003B2977"/>
    <w:rsid w:val="003B3314"/>
    <w:rsid w:val="003B3D85"/>
    <w:rsid w:val="003B3DD0"/>
    <w:rsid w:val="003B459A"/>
    <w:rsid w:val="003B572B"/>
    <w:rsid w:val="003B599D"/>
    <w:rsid w:val="003B5B99"/>
    <w:rsid w:val="003B7931"/>
    <w:rsid w:val="003C1790"/>
    <w:rsid w:val="003C24E4"/>
    <w:rsid w:val="003C25AC"/>
    <w:rsid w:val="003C45C1"/>
    <w:rsid w:val="003C553A"/>
    <w:rsid w:val="003C5C8B"/>
    <w:rsid w:val="003C664A"/>
    <w:rsid w:val="003C70C3"/>
    <w:rsid w:val="003C77CA"/>
    <w:rsid w:val="003D0C21"/>
    <w:rsid w:val="003D248B"/>
    <w:rsid w:val="003D2F9B"/>
    <w:rsid w:val="003D4ED4"/>
    <w:rsid w:val="003D53B8"/>
    <w:rsid w:val="003D592F"/>
    <w:rsid w:val="003D5D7B"/>
    <w:rsid w:val="003D6D33"/>
    <w:rsid w:val="003D750D"/>
    <w:rsid w:val="003D7FC0"/>
    <w:rsid w:val="003E01A1"/>
    <w:rsid w:val="003E1251"/>
    <w:rsid w:val="003E2170"/>
    <w:rsid w:val="003E2C46"/>
    <w:rsid w:val="003E375A"/>
    <w:rsid w:val="003E3B60"/>
    <w:rsid w:val="003E4294"/>
    <w:rsid w:val="003E4B5E"/>
    <w:rsid w:val="003E6165"/>
    <w:rsid w:val="003E6A8F"/>
    <w:rsid w:val="003E6E8B"/>
    <w:rsid w:val="003E7A6E"/>
    <w:rsid w:val="003E7AEA"/>
    <w:rsid w:val="003E7D1B"/>
    <w:rsid w:val="003F0994"/>
    <w:rsid w:val="003F0FB1"/>
    <w:rsid w:val="003F2C9D"/>
    <w:rsid w:val="003F2E2D"/>
    <w:rsid w:val="003F46FA"/>
    <w:rsid w:val="003F6C61"/>
    <w:rsid w:val="003F7844"/>
    <w:rsid w:val="003F78C1"/>
    <w:rsid w:val="003F7A1E"/>
    <w:rsid w:val="004007AC"/>
    <w:rsid w:val="00401DF0"/>
    <w:rsid w:val="0040227E"/>
    <w:rsid w:val="00403973"/>
    <w:rsid w:val="00403ADC"/>
    <w:rsid w:val="0040424A"/>
    <w:rsid w:val="004043DC"/>
    <w:rsid w:val="004057B2"/>
    <w:rsid w:val="00407D14"/>
    <w:rsid w:val="004103CD"/>
    <w:rsid w:val="00410A18"/>
    <w:rsid w:val="00410CBE"/>
    <w:rsid w:val="004119E8"/>
    <w:rsid w:val="00411E44"/>
    <w:rsid w:val="00413334"/>
    <w:rsid w:val="004134D7"/>
    <w:rsid w:val="004138A5"/>
    <w:rsid w:val="00413DA6"/>
    <w:rsid w:val="00414885"/>
    <w:rsid w:val="004148C0"/>
    <w:rsid w:val="00414F98"/>
    <w:rsid w:val="0041560D"/>
    <w:rsid w:val="00416112"/>
    <w:rsid w:val="00422070"/>
    <w:rsid w:val="0042395F"/>
    <w:rsid w:val="0042568D"/>
    <w:rsid w:val="00425EE1"/>
    <w:rsid w:val="00426918"/>
    <w:rsid w:val="0042694A"/>
    <w:rsid w:val="00426F12"/>
    <w:rsid w:val="0043055B"/>
    <w:rsid w:val="00430741"/>
    <w:rsid w:val="00431115"/>
    <w:rsid w:val="00431F6C"/>
    <w:rsid w:val="00435253"/>
    <w:rsid w:val="004359BB"/>
    <w:rsid w:val="0043763A"/>
    <w:rsid w:val="004404A0"/>
    <w:rsid w:val="00440DF1"/>
    <w:rsid w:val="004419F6"/>
    <w:rsid w:val="00442234"/>
    <w:rsid w:val="00443054"/>
    <w:rsid w:val="00443D46"/>
    <w:rsid w:val="00446455"/>
    <w:rsid w:val="0045049B"/>
    <w:rsid w:val="00451D3D"/>
    <w:rsid w:val="00451DA6"/>
    <w:rsid w:val="00454277"/>
    <w:rsid w:val="00454FE1"/>
    <w:rsid w:val="004554FC"/>
    <w:rsid w:val="00456A58"/>
    <w:rsid w:val="00456AB3"/>
    <w:rsid w:val="00456C45"/>
    <w:rsid w:val="00457149"/>
    <w:rsid w:val="0046047E"/>
    <w:rsid w:val="00464590"/>
    <w:rsid w:val="00464C75"/>
    <w:rsid w:val="004658D1"/>
    <w:rsid w:val="00466B8D"/>
    <w:rsid w:val="00470794"/>
    <w:rsid w:val="00470C10"/>
    <w:rsid w:val="004713CF"/>
    <w:rsid w:val="00471DCC"/>
    <w:rsid w:val="004729E0"/>
    <w:rsid w:val="00473850"/>
    <w:rsid w:val="00473A4D"/>
    <w:rsid w:val="00473DD7"/>
    <w:rsid w:val="00473E98"/>
    <w:rsid w:val="004740E8"/>
    <w:rsid w:val="004745DA"/>
    <w:rsid w:val="00474896"/>
    <w:rsid w:val="00475E79"/>
    <w:rsid w:val="00476859"/>
    <w:rsid w:val="00476C08"/>
    <w:rsid w:val="0047789A"/>
    <w:rsid w:val="0047799F"/>
    <w:rsid w:val="00480BEA"/>
    <w:rsid w:val="004811CE"/>
    <w:rsid w:val="00481B2A"/>
    <w:rsid w:val="00483334"/>
    <w:rsid w:val="004834B7"/>
    <w:rsid w:val="00483779"/>
    <w:rsid w:val="0048380E"/>
    <w:rsid w:val="00484824"/>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642E"/>
    <w:rsid w:val="00497316"/>
    <w:rsid w:val="00497C0D"/>
    <w:rsid w:val="00497CF7"/>
    <w:rsid w:val="004A0854"/>
    <w:rsid w:val="004A17E0"/>
    <w:rsid w:val="004A34BD"/>
    <w:rsid w:val="004A3EBE"/>
    <w:rsid w:val="004A57F6"/>
    <w:rsid w:val="004A5A2F"/>
    <w:rsid w:val="004A613F"/>
    <w:rsid w:val="004A681D"/>
    <w:rsid w:val="004A6878"/>
    <w:rsid w:val="004B0D97"/>
    <w:rsid w:val="004B106A"/>
    <w:rsid w:val="004B31ED"/>
    <w:rsid w:val="004B394F"/>
    <w:rsid w:val="004B3D81"/>
    <w:rsid w:val="004B640A"/>
    <w:rsid w:val="004B6E9F"/>
    <w:rsid w:val="004B7053"/>
    <w:rsid w:val="004B7EB9"/>
    <w:rsid w:val="004C0BCF"/>
    <w:rsid w:val="004C1432"/>
    <w:rsid w:val="004C169B"/>
    <w:rsid w:val="004C3ECD"/>
    <w:rsid w:val="004C4576"/>
    <w:rsid w:val="004C5E86"/>
    <w:rsid w:val="004C625A"/>
    <w:rsid w:val="004C641B"/>
    <w:rsid w:val="004C7EFC"/>
    <w:rsid w:val="004D04CB"/>
    <w:rsid w:val="004D0505"/>
    <w:rsid w:val="004D05C8"/>
    <w:rsid w:val="004D0830"/>
    <w:rsid w:val="004D0B18"/>
    <w:rsid w:val="004D0DD0"/>
    <w:rsid w:val="004D194A"/>
    <w:rsid w:val="004D425C"/>
    <w:rsid w:val="004D4A2C"/>
    <w:rsid w:val="004D5B45"/>
    <w:rsid w:val="004D7611"/>
    <w:rsid w:val="004E11D8"/>
    <w:rsid w:val="004E22AA"/>
    <w:rsid w:val="004E3225"/>
    <w:rsid w:val="004E40FD"/>
    <w:rsid w:val="004E4C79"/>
    <w:rsid w:val="004E4DE5"/>
    <w:rsid w:val="004E505A"/>
    <w:rsid w:val="004E58BC"/>
    <w:rsid w:val="004E6043"/>
    <w:rsid w:val="004E72DE"/>
    <w:rsid w:val="004E7417"/>
    <w:rsid w:val="004E7689"/>
    <w:rsid w:val="004F199D"/>
    <w:rsid w:val="004F3536"/>
    <w:rsid w:val="004F4B9A"/>
    <w:rsid w:val="004F4D6A"/>
    <w:rsid w:val="004F4F30"/>
    <w:rsid w:val="004F5900"/>
    <w:rsid w:val="004F5FF4"/>
    <w:rsid w:val="004F61D9"/>
    <w:rsid w:val="004F6AB1"/>
    <w:rsid w:val="004F706D"/>
    <w:rsid w:val="004F7483"/>
    <w:rsid w:val="004F7758"/>
    <w:rsid w:val="004F7FA6"/>
    <w:rsid w:val="0050077F"/>
    <w:rsid w:val="00500DEF"/>
    <w:rsid w:val="00501CB0"/>
    <w:rsid w:val="00502D50"/>
    <w:rsid w:val="0051006F"/>
    <w:rsid w:val="00510131"/>
    <w:rsid w:val="0051107A"/>
    <w:rsid w:val="00511296"/>
    <w:rsid w:val="00511BBB"/>
    <w:rsid w:val="00512339"/>
    <w:rsid w:val="005128CD"/>
    <w:rsid w:val="005129C3"/>
    <w:rsid w:val="005133E4"/>
    <w:rsid w:val="00513906"/>
    <w:rsid w:val="00513BF3"/>
    <w:rsid w:val="0051489E"/>
    <w:rsid w:val="00514AFF"/>
    <w:rsid w:val="00515C10"/>
    <w:rsid w:val="00516517"/>
    <w:rsid w:val="005175EF"/>
    <w:rsid w:val="005179A1"/>
    <w:rsid w:val="00521191"/>
    <w:rsid w:val="005218C3"/>
    <w:rsid w:val="00522159"/>
    <w:rsid w:val="0052483D"/>
    <w:rsid w:val="00525623"/>
    <w:rsid w:val="0052604A"/>
    <w:rsid w:val="00526189"/>
    <w:rsid w:val="005274EF"/>
    <w:rsid w:val="00530568"/>
    <w:rsid w:val="00531978"/>
    <w:rsid w:val="005335FE"/>
    <w:rsid w:val="005353EA"/>
    <w:rsid w:val="005366EC"/>
    <w:rsid w:val="005367D5"/>
    <w:rsid w:val="00536FF5"/>
    <w:rsid w:val="0053779D"/>
    <w:rsid w:val="00537E35"/>
    <w:rsid w:val="00540A1E"/>
    <w:rsid w:val="00540D4C"/>
    <w:rsid w:val="005419E5"/>
    <w:rsid w:val="00541BE6"/>
    <w:rsid w:val="00542FFC"/>
    <w:rsid w:val="00543046"/>
    <w:rsid w:val="00543D20"/>
    <w:rsid w:val="00543F37"/>
    <w:rsid w:val="00545AD4"/>
    <w:rsid w:val="005461C0"/>
    <w:rsid w:val="0054681A"/>
    <w:rsid w:val="00547964"/>
    <w:rsid w:val="00547B1C"/>
    <w:rsid w:val="005504BC"/>
    <w:rsid w:val="00551791"/>
    <w:rsid w:val="00552E89"/>
    <w:rsid w:val="00552EB3"/>
    <w:rsid w:val="00553AA5"/>
    <w:rsid w:val="005543E0"/>
    <w:rsid w:val="00555259"/>
    <w:rsid w:val="005556B2"/>
    <w:rsid w:val="00560C65"/>
    <w:rsid w:val="00560EC6"/>
    <w:rsid w:val="00561459"/>
    <w:rsid w:val="00561B12"/>
    <w:rsid w:val="0056204C"/>
    <w:rsid w:val="00562433"/>
    <w:rsid w:val="00562F0E"/>
    <w:rsid w:val="005647C8"/>
    <w:rsid w:val="00565D72"/>
    <w:rsid w:val="00565F80"/>
    <w:rsid w:val="005660FD"/>
    <w:rsid w:val="005672B5"/>
    <w:rsid w:val="005700FC"/>
    <w:rsid w:val="00571660"/>
    <w:rsid w:val="0057265E"/>
    <w:rsid w:val="0057283B"/>
    <w:rsid w:val="00572A58"/>
    <w:rsid w:val="00572E72"/>
    <w:rsid w:val="00573CB8"/>
    <w:rsid w:val="00575B51"/>
    <w:rsid w:val="00576178"/>
    <w:rsid w:val="0057789C"/>
    <w:rsid w:val="005819C5"/>
    <w:rsid w:val="005824E9"/>
    <w:rsid w:val="005837BD"/>
    <w:rsid w:val="005839A5"/>
    <w:rsid w:val="0058464C"/>
    <w:rsid w:val="00584756"/>
    <w:rsid w:val="005860FD"/>
    <w:rsid w:val="00587AB9"/>
    <w:rsid w:val="00587AD1"/>
    <w:rsid w:val="00587EE4"/>
    <w:rsid w:val="00590091"/>
    <w:rsid w:val="0059072C"/>
    <w:rsid w:val="005915D6"/>
    <w:rsid w:val="00591696"/>
    <w:rsid w:val="00591A40"/>
    <w:rsid w:val="00591C96"/>
    <w:rsid w:val="00591F96"/>
    <w:rsid w:val="00594F37"/>
    <w:rsid w:val="00595243"/>
    <w:rsid w:val="00597441"/>
    <w:rsid w:val="005A010E"/>
    <w:rsid w:val="005A0888"/>
    <w:rsid w:val="005A1AFE"/>
    <w:rsid w:val="005A2F63"/>
    <w:rsid w:val="005A2F6F"/>
    <w:rsid w:val="005A573D"/>
    <w:rsid w:val="005A59F4"/>
    <w:rsid w:val="005A5B9A"/>
    <w:rsid w:val="005A5C27"/>
    <w:rsid w:val="005A5EEE"/>
    <w:rsid w:val="005A61AD"/>
    <w:rsid w:val="005A6B9B"/>
    <w:rsid w:val="005A7708"/>
    <w:rsid w:val="005B0627"/>
    <w:rsid w:val="005B0F17"/>
    <w:rsid w:val="005B368D"/>
    <w:rsid w:val="005B3E85"/>
    <w:rsid w:val="005B4AB8"/>
    <w:rsid w:val="005B50B8"/>
    <w:rsid w:val="005B5B2D"/>
    <w:rsid w:val="005B5BFC"/>
    <w:rsid w:val="005B7803"/>
    <w:rsid w:val="005B7C09"/>
    <w:rsid w:val="005C138B"/>
    <w:rsid w:val="005C1BFC"/>
    <w:rsid w:val="005C3F96"/>
    <w:rsid w:val="005C489D"/>
    <w:rsid w:val="005C4BA3"/>
    <w:rsid w:val="005C59CE"/>
    <w:rsid w:val="005C5F99"/>
    <w:rsid w:val="005C6529"/>
    <w:rsid w:val="005C7C65"/>
    <w:rsid w:val="005D027D"/>
    <w:rsid w:val="005D1B1B"/>
    <w:rsid w:val="005D1F76"/>
    <w:rsid w:val="005D1FFE"/>
    <w:rsid w:val="005D25EC"/>
    <w:rsid w:val="005D2ABC"/>
    <w:rsid w:val="005D2D13"/>
    <w:rsid w:val="005D3C01"/>
    <w:rsid w:val="005D5383"/>
    <w:rsid w:val="005D54CA"/>
    <w:rsid w:val="005D5717"/>
    <w:rsid w:val="005D5CD7"/>
    <w:rsid w:val="005D6827"/>
    <w:rsid w:val="005D7D4E"/>
    <w:rsid w:val="005D7FB3"/>
    <w:rsid w:val="005E038B"/>
    <w:rsid w:val="005E0609"/>
    <w:rsid w:val="005E1543"/>
    <w:rsid w:val="005E18EB"/>
    <w:rsid w:val="005E1D1F"/>
    <w:rsid w:val="005E20BF"/>
    <w:rsid w:val="005E2179"/>
    <w:rsid w:val="005E2647"/>
    <w:rsid w:val="005E28CB"/>
    <w:rsid w:val="005E3EFB"/>
    <w:rsid w:val="005E56E6"/>
    <w:rsid w:val="005E61ED"/>
    <w:rsid w:val="005E7E64"/>
    <w:rsid w:val="005F128A"/>
    <w:rsid w:val="005F1373"/>
    <w:rsid w:val="005F4085"/>
    <w:rsid w:val="005F70AA"/>
    <w:rsid w:val="00600B02"/>
    <w:rsid w:val="00600D22"/>
    <w:rsid w:val="00601444"/>
    <w:rsid w:val="006025A4"/>
    <w:rsid w:val="00602EF3"/>
    <w:rsid w:val="006036FD"/>
    <w:rsid w:val="006049B0"/>
    <w:rsid w:val="0060578D"/>
    <w:rsid w:val="006109F6"/>
    <w:rsid w:val="0061177B"/>
    <w:rsid w:val="006124DB"/>
    <w:rsid w:val="0061276B"/>
    <w:rsid w:val="00612E0F"/>
    <w:rsid w:val="0061362E"/>
    <w:rsid w:val="00615210"/>
    <w:rsid w:val="00615341"/>
    <w:rsid w:val="0061616D"/>
    <w:rsid w:val="006163AE"/>
    <w:rsid w:val="00616ADA"/>
    <w:rsid w:val="006175A7"/>
    <w:rsid w:val="006220FA"/>
    <w:rsid w:val="00622440"/>
    <w:rsid w:val="006239C7"/>
    <w:rsid w:val="00623BE6"/>
    <w:rsid w:val="0062454B"/>
    <w:rsid w:val="00624558"/>
    <w:rsid w:val="006252C6"/>
    <w:rsid w:val="00625465"/>
    <w:rsid w:val="0062576C"/>
    <w:rsid w:val="00626033"/>
    <w:rsid w:val="00630505"/>
    <w:rsid w:val="00630922"/>
    <w:rsid w:val="00630C44"/>
    <w:rsid w:val="00630E11"/>
    <w:rsid w:val="00631143"/>
    <w:rsid w:val="00631459"/>
    <w:rsid w:val="00631C17"/>
    <w:rsid w:val="0063248E"/>
    <w:rsid w:val="006324CB"/>
    <w:rsid w:val="00632CF0"/>
    <w:rsid w:val="00632E7D"/>
    <w:rsid w:val="006331B0"/>
    <w:rsid w:val="0063415D"/>
    <w:rsid w:val="00634539"/>
    <w:rsid w:val="006345B2"/>
    <w:rsid w:val="00634948"/>
    <w:rsid w:val="006360DB"/>
    <w:rsid w:val="00636B85"/>
    <w:rsid w:val="006375CA"/>
    <w:rsid w:val="00641DFA"/>
    <w:rsid w:val="00643063"/>
    <w:rsid w:val="006439AC"/>
    <w:rsid w:val="00643DC9"/>
    <w:rsid w:val="006460B8"/>
    <w:rsid w:val="0064646B"/>
    <w:rsid w:val="006479EF"/>
    <w:rsid w:val="006514A3"/>
    <w:rsid w:val="0065154D"/>
    <w:rsid w:val="006529AA"/>
    <w:rsid w:val="00654707"/>
    <w:rsid w:val="00655FFC"/>
    <w:rsid w:val="0066010E"/>
    <w:rsid w:val="00660D00"/>
    <w:rsid w:val="00664D23"/>
    <w:rsid w:val="0066658E"/>
    <w:rsid w:val="006668D8"/>
    <w:rsid w:val="00666D5A"/>
    <w:rsid w:val="00667247"/>
    <w:rsid w:val="006672E3"/>
    <w:rsid w:val="006675BA"/>
    <w:rsid w:val="00667656"/>
    <w:rsid w:val="00667D72"/>
    <w:rsid w:val="00670051"/>
    <w:rsid w:val="00670523"/>
    <w:rsid w:val="00670587"/>
    <w:rsid w:val="0067081F"/>
    <w:rsid w:val="00671C39"/>
    <w:rsid w:val="0067254D"/>
    <w:rsid w:val="00672D7A"/>
    <w:rsid w:val="0067419C"/>
    <w:rsid w:val="00675794"/>
    <w:rsid w:val="006765F9"/>
    <w:rsid w:val="00680333"/>
    <w:rsid w:val="00680E08"/>
    <w:rsid w:val="00681DA9"/>
    <w:rsid w:val="00683C7D"/>
    <w:rsid w:val="006856D8"/>
    <w:rsid w:val="00686D1E"/>
    <w:rsid w:val="00686E4E"/>
    <w:rsid w:val="00687F36"/>
    <w:rsid w:val="00690C0D"/>
    <w:rsid w:val="00690CF4"/>
    <w:rsid w:val="006915C5"/>
    <w:rsid w:val="00692151"/>
    <w:rsid w:val="00692678"/>
    <w:rsid w:val="00692B5D"/>
    <w:rsid w:val="00693E90"/>
    <w:rsid w:val="00694365"/>
    <w:rsid w:val="0069437A"/>
    <w:rsid w:val="00695011"/>
    <w:rsid w:val="00695783"/>
    <w:rsid w:val="00696E76"/>
    <w:rsid w:val="00697198"/>
    <w:rsid w:val="00697AE2"/>
    <w:rsid w:val="00697B1F"/>
    <w:rsid w:val="006A01D7"/>
    <w:rsid w:val="006A424B"/>
    <w:rsid w:val="006A6EF2"/>
    <w:rsid w:val="006A7975"/>
    <w:rsid w:val="006A7B6C"/>
    <w:rsid w:val="006B16CD"/>
    <w:rsid w:val="006B22CB"/>
    <w:rsid w:val="006B2B59"/>
    <w:rsid w:val="006B2C36"/>
    <w:rsid w:val="006B4C20"/>
    <w:rsid w:val="006B5187"/>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011"/>
    <w:rsid w:val="006D526E"/>
    <w:rsid w:val="006D52C6"/>
    <w:rsid w:val="006D60CB"/>
    <w:rsid w:val="006D64A8"/>
    <w:rsid w:val="006D68FE"/>
    <w:rsid w:val="006D6F0C"/>
    <w:rsid w:val="006E02C8"/>
    <w:rsid w:val="006E0832"/>
    <w:rsid w:val="006E11C5"/>
    <w:rsid w:val="006E1E8A"/>
    <w:rsid w:val="006E2139"/>
    <w:rsid w:val="006E2E96"/>
    <w:rsid w:val="006E31DC"/>
    <w:rsid w:val="006E4ADC"/>
    <w:rsid w:val="006E5B1C"/>
    <w:rsid w:val="006E6CC3"/>
    <w:rsid w:val="006E7FE2"/>
    <w:rsid w:val="006F01DD"/>
    <w:rsid w:val="006F0327"/>
    <w:rsid w:val="006F10FB"/>
    <w:rsid w:val="006F1799"/>
    <w:rsid w:val="006F1912"/>
    <w:rsid w:val="006F22ED"/>
    <w:rsid w:val="006F2309"/>
    <w:rsid w:val="006F40DF"/>
    <w:rsid w:val="006F49F6"/>
    <w:rsid w:val="006F4D78"/>
    <w:rsid w:val="006F511E"/>
    <w:rsid w:val="006F5CBA"/>
    <w:rsid w:val="006F5D72"/>
    <w:rsid w:val="00700807"/>
    <w:rsid w:val="00702538"/>
    <w:rsid w:val="007025D9"/>
    <w:rsid w:val="0070369D"/>
    <w:rsid w:val="00704431"/>
    <w:rsid w:val="007052B7"/>
    <w:rsid w:val="007053E6"/>
    <w:rsid w:val="00705A09"/>
    <w:rsid w:val="007077BE"/>
    <w:rsid w:val="00710360"/>
    <w:rsid w:val="00714CC3"/>
    <w:rsid w:val="00716505"/>
    <w:rsid w:val="0072002A"/>
    <w:rsid w:val="0072015A"/>
    <w:rsid w:val="00720230"/>
    <w:rsid w:val="00720865"/>
    <w:rsid w:val="00720CC4"/>
    <w:rsid w:val="00721875"/>
    <w:rsid w:val="00723121"/>
    <w:rsid w:val="007232E0"/>
    <w:rsid w:val="00724392"/>
    <w:rsid w:val="007248B3"/>
    <w:rsid w:val="007249B2"/>
    <w:rsid w:val="00724A9A"/>
    <w:rsid w:val="00725BBB"/>
    <w:rsid w:val="007267AA"/>
    <w:rsid w:val="00726FB1"/>
    <w:rsid w:val="007270F4"/>
    <w:rsid w:val="00731276"/>
    <w:rsid w:val="00731D13"/>
    <w:rsid w:val="00733729"/>
    <w:rsid w:val="00733D36"/>
    <w:rsid w:val="007340FB"/>
    <w:rsid w:val="007379E6"/>
    <w:rsid w:val="00737B21"/>
    <w:rsid w:val="007408CB"/>
    <w:rsid w:val="00740DDB"/>
    <w:rsid w:val="00740F2A"/>
    <w:rsid w:val="0074225E"/>
    <w:rsid w:val="0074312B"/>
    <w:rsid w:val="007443F6"/>
    <w:rsid w:val="007453B6"/>
    <w:rsid w:val="007458FA"/>
    <w:rsid w:val="007467DE"/>
    <w:rsid w:val="00747168"/>
    <w:rsid w:val="00747710"/>
    <w:rsid w:val="00747E84"/>
    <w:rsid w:val="00750ADF"/>
    <w:rsid w:val="0075144B"/>
    <w:rsid w:val="00753357"/>
    <w:rsid w:val="00753E68"/>
    <w:rsid w:val="00755256"/>
    <w:rsid w:val="007552CC"/>
    <w:rsid w:val="00755907"/>
    <w:rsid w:val="007562DA"/>
    <w:rsid w:val="00757202"/>
    <w:rsid w:val="00757297"/>
    <w:rsid w:val="0075756B"/>
    <w:rsid w:val="0075791E"/>
    <w:rsid w:val="00757C70"/>
    <w:rsid w:val="0076059A"/>
    <w:rsid w:val="00760FAE"/>
    <w:rsid w:val="007627D2"/>
    <w:rsid w:val="00762C7C"/>
    <w:rsid w:val="00762FBE"/>
    <w:rsid w:val="007634A9"/>
    <w:rsid w:val="0076356B"/>
    <w:rsid w:val="00764B90"/>
    <w:rsid w:val="007651EA"/>
    <w:rsid w:val="007651FA"/>
    <w:rsid w:val="0076547C"/>
    <w:rsid w:val="007660C8"/>
    <w:rsid w:val="007664E4"/>
    <w:rsid w:val="00766A7A"/>
    <w:rsid w:val="00771BAB"/>
    <w:rsid w:val="00771C54"/>
    <w:rsid w:val="007727E3"/>
    <w:rsid w:val="007737D6"/>
    <w:rsid w:val="007740BD"/>
    <w:rsid w:val="007747BE"/>
    <w:rsid w:val="00775886"/>
    <w:rsid w:val="007768DF"/>
    <w:rsid w:val="007768FB"/>
    <w:rsid w:val="00776F99"/>
    <w:rsid w:val="00777708"/>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086C"/>
    <w:rsid w:val="007928A1"/>
    <w:rsid w:val="00793D9F"/>
    <w:rsid w:val="00795EF2"/>
    <w:rsid w:val="007968B8"/>
    <w:rsid w:val="00796948"/>
    <w:rsid w:val="00796B1B"/>
    <w:rsid w:val="007A0B2C"/>
    <w:rsid w:val="007A0FEC"/>
    <w:rsid w:val="007A12C9"/>
    <w:rsid w:val="007A17BB"/>
    <w:rsid w:val="007A272C"/>
    <w:rsid w:val="007A2B3E"/>
    <w:rsid w:val="007A2D54"/>
    <w:rsid w:val="007A2EE6"/>
    <w:rsid w:val="007A4EF0"/>
    <w:rsid w:val="007A4F3F"/>
    <w:rsid w:val="007A584C"/>
    <w:rsid w:val="007A6EEF"/>
    <w:rsid w:val="007A71AC"/>
    <w:rsid w:val="007A7AF1"/>
    <w:rsid w:val="007B18D0"/>
    <w:rsid w:val="007B1F3E"/>
    <w:rsid w:val="007B21AB"/>
    <w:rsid w:val="007B2CC7"/>
    <w:rsid w:val="007B2E9D"/>
    <w:rsid w:val="007B4F3A"/>
    <w:rsid w:val="007B5DE6"/>
    <w:rsid w:val="007B5E8E"/>
    <w:rsid w:val="007B6843"/>
    <w:rsid w:val="007C0A36"/>
    <w:rsid w:val="007C0B6B"/>
    <w:rsid w:val="007C0D75"/>
    <w:rsid w:val="007C126B"/>
    <w:rsid w:val="007C13B8"/>
    <w:rsid w:val="007C1D8E"/>
    <w:rsid w:val="007C2617"/>
    <w:rsid w:val="007C2FE3"/>
    <w:rsid w:val="007C3072"/>
    <w:rsid w:val="007C3449"/>
    <w:rsid w:val="007C38C6"/>
    <w:rsid w:val="007C3EBF"/>
    <w:rsid w:val="007C4D6B"/>
    <w:rsid w:val="007C4FEE"/>
    <w:rsid w:val="007C68B5"/>
    <w:rsid w:val="007C79A2"/>
    <w:rsid w:val="007D132B"/>
    <w:rsid w:val="007D1457"/>
    <w:rsid w:val="007D1D5D"/>
    <w:rsid w:val="007D2511"/>
    <w:rsid w:val="007D354A"/>
    <w:rsid w:val="007D41D8"/>
    <w:rsid w:val="007D4FDA"/>
    <w:rsid w:val="007D5AB4"/>
    <w:rsid w:val="007D5AD8"/>
    <w:rsid w:val="007D6269"/>
    <w:rsid w:val="007D62F3"/>
    <w:rsid w:val="007D6425"/>
    <w:rsid w:val="007D7696"/>
    <w:rsid w:val="007E00B0"/>
    <w:rsid w:val="007E01D5"/>
    <w:rsid w:val="007E120E"/>
    <w:rsid w:val="007E28FE"/>
    <w:rsid w:val="007E3323"/>
    <w:rsid w:val="007E48CF"/>
    <w:rsid w:val="007F00FF"/>
    <w:rsid w:val="007F035B"/>
    <w:rsid w:val="007F1946"/>
    <w:rsid w:val="007F2547"/>
    <w:rsid w:val="007F2865"/>
    <w:rsid w:val="007F2D88"/>
    <w:rsid w:val="007F31B2"/>
    <w:rsid w:val="007F34B6"/>
    <w:rsid w:val="007F352D"/>
    <w:rsid w:val="007F446E"/>
    <w:rsid w:val="007F497E"/>
    <w:rsid w:val="007F549E"/>
    <w:rsid w:val="007F569D"/>
    <w:rsid w:val="007F607A"/>
    <w:rsid w:val="007F6FB1"/>
    <w:rsid w:val="007F71DF"/>
    <w:rsid w:val="007F768E"/>
    <w:rsid w:val="0080076A"/>
    <w:rsid w:val="00801EB3"/>
    <w:rsid w:val="0080283C"/>
    <w:rsid w:val="00803052"/>
    <w:rsid w:val="008033C2"/>
    <w:rsid w:val="0080342B"/>
    <w:rsid w:val="00803AF3"/>
    <w:rsid w:val="00803B36"/>
    <w:rsid w:val="00803DB8"/>
    <w:rsid w:val="008045AE"/>
    <w:rsid w:val="00804AA4"/>
    <w:rsid w:val="00805212"/>
    <w:rsid w:val="00805FBE"/>
    <w:rsid w:val="00806A19"/>
    <w:rsid w:val="00806A3A"/>
    <w:rsid w:val="00810570"/>
    <w:rsid w:val="00810614"/>
    <w:rsid w:val="00810823"/>
    <w:rsid w:val="00812232"/>
    <w:rsid w:val="008122D8"/>
    <w:rsid w:val="00812AA1"/>
    <w:rsid w:val="008131FA"/>
    <w:rsid w:val="008133C0"/>
    <w:rsid w:val="00813533"/>
    <w:rsid w:val="00814A3A"/>
    <w:rsid w:val="00815552"/>
    <w:rsid w:val="00815A3E"/>
    <w:rsid w:val="008164E8"/>
    <w:rsid w:val="00816C1D"/>
    <w:rsid w:val="008177EE"/>
    <w:rsid w:val="00820BED"/>
    <w:rsid w:val="00821692"/>
    <w:rsid w:val="00821B54"/>
    <w:rsid w:val="00822091"/>
    <w:rsid w:val="008220A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42D41"/>
    <w:rsid w:val="00842FE7"/>
    <w:rsid w:val="00843599"/>
    <w:rsid w:val="00844277"/>
    <w:rsid w:val="00844434"/>
    <w:rsid w:val="00844F3B"/>
    <w:rsid w:val="008455EF"/>
    <w:rsid w:val="00845891"/>
    <w:rsid w:val="0084631D"/>
    <w:rsid w:val="0084695A"/>
    <w:rsid w:val="00850E16"/>
    <w:rsid w:val="00852018"/>
    <w:rsid w:val="008533AB"/>
    <w:rsid w:val="008543E8"/>
    <w:rsid w:val="00856121"/>
    <w:rsid w:val="00860AF0"/>
    <w:rsid w:val="00861208"/>
    <w:rsid w:val="008618B2"/>
    <w:rsid w:val="008626CE"/>
    <w:rsid w:val="00862760"/>
    <w:rsid w:val="00863E32"/>
    <w:rsid w:val="00867A25"/>
    <w:rsid w:val="00867B7B"/>
    <w:rsid w:val="00867DBF"/>
    <w:rsid w:val="008700BA"/>
    <w:rsid w:val="00873666"/>
    <w:rsid w:val="0087426E"/>
    <w:rsid w:val="00874537"/>
    <w:rsid w:val="00874736"/>
    <w:rsid w:val="008748B4"/>
    <w:rsid w:val="008751F6"/>
    <w:rsid w:val="00875CD5"/>
    <w:rsid w:val="00876854"/>
    <w:rsid w:val="00876986"/>
    <w:rsid w:val="008769F5"/>
    <w:rsid w:val="008804BC"/>
    <w:rsid w:val="00880D1A"/>
    <w:rsid w:val="00880D91"/>
    <w:rsid w:val="00881611"/>
    <w:rsid w:val="00881D81"/>
    <w:rsid w:val="00881E2C"/>
    <w:rsid w:val="00882F2B"/>
    <w:rsid w:val="00883566"/>
    <w:rsid w:val="008849FF"/>
    <w:rsid w:val="00884ED9"/>
    <w:rsid w:val="008859AC"/>
    <w:rsid w:val="008869C8"/>
    <w:rsid w:val="00886AC3"/>
    <w:rsid w:val="00894BEA"/>
    <w:rsid w:val="00896574"/>
    <w:rsid w:val="008979C1"/>
    <w:rsid w:val="008A0025"/>
    <w:rsid w:val="008A0F27"/>
    <w:rsid w:val="008A1127"/>
    <w:rsid w:val="008A2094"/>
    <w:rsid w:val="008A2249"/>
    <w:rsid w:val="008A262E"/>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27F4"/>
    <w:rsid w:val="008C3F3A"/>
    <w:rsid w:val="008C4902"/>
    <w:rsid w:val="008C5042"/>
    <w:rsid w:val="008C544B"/>
    <w:rsid w:val="008D10ED"/>
    <w:rsid w:val="008D1581"/>
    <w:rsid w:val="008D1BAD"/>
    <w:rsid w:val="008D1C55"/>
    <w:rsid w:val="008D1F2F"/>
    <w:rsid w:val="008D3274"/>
    <w:rsid w:val="008D33E2"/>
    <w:rsid w:val="008D4019"/>
    <w:rsid w:val="008D4041"/>
    <w:rsid w:val="008D51F3"/>
    <w:rsid w:val="008D5490"/>
    <w:rsid w:val="008D57CD"/>
    <w:rsid w:val="008D70F5"/>
    <w:rsid w:val="008D7456"/>
    <w:rsid w:val="008E051D"/>
    <w:rsid w:val="008E0F34"/>
    <w:rsid w:val="008E1E03"/>
    <w:rsid w:val="008E2B3B"/>
    <w:rsid w:val="008E4A0D"/>
    <w:rsid w:val="008E7142"/>
    <w:rsid w:val="008E7B2D"/>
    <w:rsid w:val="008F093F"/>
    <w:rsid w:val="008F1B64"/>
    <w:rsid w:val="008F2A12"/>
    <w:rsid w:val="008F431C"/>
    <w:rsid w:val="008F43B7"/>
    <w:rsid w:val="008F48D9"/>
    <w:rsid w:val="008F4901"/>
    <w:rsid w:val="008F5289"/>
    <w:rsid w:val="008F5430"/>
    <w:rsid w:val="008F6AD8"/>
    <w:rsid w:val="008F79E8"/>
    <w:rsid w:val="0090108A"/>
    <w:rsid w:val="00901219"/>
    <w:rsid w:val="00901BA6"/>
    <w:rsid w:val="009042CC"/>
    <w:rsid w:val="00904571"/>
    <w:rsid w:val="00904F4A"/>
    <w:rsid w:val="00906134"/>
    <w:rsid w:val="00907160"/>
    <w:rsid w:val="009076A8"/>
    <w:rsid w:val="00907EF2"/>
    <w:rsid w:val="00910D95"/>
    <w:rsid w:val="0091196B"/>
    <w:rsid w:val="00912020"/>
    <w:rsid w:val="009127A4"/>
    <w:rsid w:val="00912AE9"/>
    <w:rsid w:val="00913D5F"/>
    <w:rsid w:val="00914A3B"/>
    <w:rsid w:val="009159B2"/>
    <w:rsid w:val="0091695C"/>
    <w:rsid w:val="00916A3B"/>
    <w:rsid w:val="009179D3"/>
    <w:rsid w:val="00917B96"/>
    <w:rsid w:val="00920BBD"/>
    <w:rsid w:val="00921B96"/>
    <w:rsid w:val="00921D13"/>
    <w:rsid w:val="00922455"/>
    <w:rsid w:val="00923B7C"/>
    <w:rsid w:val="0092454C"/>
    <w:rsid w:val="00925876"/>
    <w:rsid w:val="0092646E"/>
    <w:rsid w:val="009310B5"/>
    <w:rsid w:val="00931611"/>
    <w:rsid w:val="009329AE"/>
    <w:rsid w:val="0093395B"/>
    <w:rsid w:val="00933C13"/>
    <w:rsid w:val="00933C53"/>
    <w:rsid w:val="00934556"/>
    <w:rsid w:val="009348C8"/>
    <w:rsid w:val="00934B12"/>
    <w:rsid w:val="00934C83"/>
    <w:rsid w:val="00936249"/>
    <w:rsid w:val="009366A9"/>
    <w:rsid w:val="009369AE"/>
    <w:rsid w:val="00940B64"/>
    <w:rsid w:val="0094439D"/>
    <w:rsid w:val="00944AFA"/>
    <w:rsid w:val="00945650"/>
    <w:rsid w:val="00945FE2"/>
    <w:rsid w:val="0094621D"/>
    <w:rsid w:val="00950727"/>
    <w:rsid w:val="009508E4"/>
    <w:rsid w:val="00951FDB"/>
    <w:rsid w:val="009522DA"/>
    <w:rsid w:val="00952D14"/>
    <w:rsid w:val="00953E02"/>
    <w:rsid w:val="00954323"/>
    <w:rsid w:val="00954BC2"/>
    <w:rsid w:val="009567B8"/>
    <w:rsid w:val="00957E7E"/>
    <w:rsid w:val="00960D34"/>
    <w:rsid w:val="009611D2"/>
    <w:rsid w:val="0096202E"/>
    <w:rsid w:val="009621A0"/>
    <w:rsid w:val="00962BC2"/>
    <w:rsid w:val="0096312A"/>
    <w:rsid w:val="00963D5E"/>
    <w:rsid w:val="00964224"/>
    <w:rsid w:val="0096696A"/>
    <w:rsid w:val="00967201"/>
    <w:rsid w:val="00967C74"/>
    <w:rsid w:val="0097105C"/>
    <w:rsid w:val="00971FDA"/>
    <w:rsid w:val="009722A8"/>
    <w:rsid w:val="00972548"/>
    <w:rsid w:val="009728FF"/>
    <w:rsid w:val="00974888"/>
    <w:rsid w:val="009748C8"/>
    <w:rsid w:val="00974B47"/>
    <w:rsid w:val="00974D53"/>
    <w:rsid w:val="00974D5D"/>
    <w:rsid w:val="009760C4"/>
    <w:rsid w:val="00976E27"/>
    <w:rsid w:val="009770F3"/>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5069"/>
    <w:rsid w:val="00996057"/>
    <w:rsid w:val="00996394"/>
    <w:rsid w:val="00996C89"/>
    <w:rsid w:val="009979B9"/>
    <w:rsid w:val="009A03C7"/>
    <w:rsid w:val="009A0703"/>
    <w:rsid w:val="009A1399"/>
    <w:rsid w:val="009A1585"/>
    <w:rsid w:val="009A22FD"/>
    <w:rsid w:val="009A2ED6"/>
    <w:rsid w:val="009A31E7"/>
    <w:rsid w:val="009A546A"/>
    <w:rsid w:val="009A621C"/>
    <w:rsid w:val="009A6677"/>
    <w:rsid w:val="009A6C66"/>
    <w:rsid w:val="009A6EF9"/>
    <w:rsid w:val="009A7BBC"/>
    <w:rsid w:val="009B0D94"/>
    <w:rsid w:val="009B2A11"/>
    <w:rsid w:val="009B35FE"/>
    <w:rsid w:val="009B5581"/>
    <w:rsid w:val="009B5940"/>
    <w:rsid w:val="009B63ED"/>
    <w:rsid w:val="009B65B8"/>
    <w:rsid w:val="009B6CFB"/>
    <w:rsid w:val="009B710D"/>
    <w:rsid w:val="009C30BC"/>
    <w:rsid w:val="009C3862"/>
    <w:rsid w:val="009C4171"/>
    <w:rsid w:val="009C475C"/>
    <w:rsid w:val="009C5878"/>
    <w:rsid w:val="009C60A5"/>
    <w:rsid w:val="009C75C9"/>
    <w:rsid w:val="009C76E7"/>
    <w:rsid w:val="009D1492"/>
    <w:rsid w:val="009D169E"/>
    <w:rsid w:val="009D17E7"/>
    <w:rsid w:val="009D1A14"/>
    <w:rsid w:val="009D2602"/>
    <w:rsid w:val="009D3234"/>
    <w:rsid w:val="009D41B7"/>
    <w:rsid w:val="009D5CA7"/>
    <w:rsid w:val="009D65CD"/>
    <w:rsid w:val="009D6DBB"/>
    <w:rsid w:val="009D6E2E"/>
    <w:rsid w:val="009D7298"/>
    <w:rsid w:val="009E03C7"/>
    <w:rsid w:val="009E12B5"/>
    <w:rsid w:val="009E3C1C"/>
    <w:rsid w:val="009E3F6F"/>
    <w:rsid w:val="009E6ACB"/>
    <w:rsid w:val="009F0848"/>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2A87"/>
    <w:rsid w:val="00A157B9"/>
    <w:rsid w:val="00A158FB"/>
    <w:rsid w:val="00A1712E"/>
    <w:rsid w:val="00A17F2D"/>
    <w:rsid w:val="00A20469"/>
    <w:rsid w:val="00A20667"/>
    <w:rsid w:val="00A22348"/>
    <w:rsid w:val="00A22407"/>
    <w:rsid w:val="00A243D6"/>
    <w:rsid w:val="00A24C62"/>
    <w:rsid w:val="00A254EC"/>
    <w:rsid w:val="00A25696"/>
    <w:rsid w:val="00A25F51"/>
    <w:rsid w:val="00A26182"/>
    <w:rsid w:val="00A30382"/>
    <w:rsid w:val="00A30CEC"/>
    <w:rsid w:val="00A31A39"/>
    <w:rsid w:val="00A32604"/>
    <w:rsid w:val="00A328D0"/>
    <w:rsid w:val="00A329A8"/>
    <w:rsid w:val="00A32EF3"/>
    <w:rsid w:val="00A32F2D"/>
    <w:rsid w:val="00A33959"/>
    <w:rsid w:val="00A35312"/>
    <w:rsid w:val="00A354C8"/>
    <w:rsid w:val="00A407E6"/>
    <w:rsid w:val="00A417AE"/>
    <w:rsid w:val="00A43345"/>
    <w:rsid w:val="00A447E6"/>
    <w:rsid w:val="00A463E3"/>
    <w:rsid w:val="00A50AD6"/>
    <w:rsid w:val="00A50D0F"/>
    <w:rsid w:val="00A50E2B"/>
    <w:rsid w:val="00A51495"/>
    <w:rsid w:val="00A51B74"/>
    <w:rsid w:val="00A539D1"/>
    <w:rsid w:val="00A54097"/>
    <w:rsid w:val="00A543A5"/>
    <w:rsid w:val="00A54DAA"/>
    <w:rsid w:val="00A57661"/>
    <w:rsid w:val="00A60C29"/>
    <w:rsid w:val="00A60E34"/>
    <w:rsid w:val="00A62074"/>
    <w:rsid w:val="00A62606"/>
    <w:rsid w:val="00A62EA7"/>
    <w:rsid w:val="00A6459E"/>
    <w:rsid w:val="00A64686"/>
    <w:rsid w:val="00A64CAE"/>
    <w:rsid w:val="00A6578C"/>
    <w:rsid w:val="00A6788C"/>
    <w:rsid w:val="00A71A0A"/>
    <w:rsid w:val="00A72227"/>
    <w:rsid w:val="00A72CC1"/>
    <w:rsid w:val="00A73E12"/>
    <w:rsid w:val="00A748F2"/>
    <w:rsid w:val="00A74939"/>
    <w:rsid w:val="00A76AED"/>
    <w:rsid w:val="00A77B52"/>
    <w:rsid w:val="00A77BE7"/>
    <w:rsid w:val="00A80044"/>
    <w:rsid w:val="00A81845"/>
    <w:rsid w:val="00A81A84"/>
    <w:rsid w:val="00A8271D"/>
    <w:rsid w:val="00A82B34"/>
    <w:rsid w:val="00A83611"/>
    <w:rsid w:val="00A84B21"/>
    <w:rsid w:val="00A8580C"/>
    <w:rsid w:val="00A85A45"/>
    <w:rsid w:val="00A85F3E"/>
    <w:rsid w:val="00A86226"/>
    <w:rsid w:val="00A86A92"/>
    <w:rsid w:val="00A86CEB"/>
    <w:rsid w:val="00A87378"/>
    <w:rsid w:val="00A90AA5"/>
    <w:rsid w:val="00A912BA"/>
    <w:rsid w:val="00A924F3"/>
    <w:rsid w:val="00A92AF0"/>
    <w:rsid w:val="00A94369"/>
    <w:rsid w:val="00A97923"/>
    <w:rsid w:val="00AA0E31"/>
    <w:rsid w:val="00AA1803"/>
    <w:rsid w:val="00AA20EA"/>
    <w:rsid w:val="00AA446F"/>
    <w:rsid w:val="00AA59A6"/>
    <w:rsid w:val="00AA5C05"/>
    <w:rsid w:val="00AA739B"/>
    <w:rsid w:val="00AB0D80"/>
    <w:rsid w:val="00AB16D9"/>
    <w:rsid w:val="00AB1BE9"/>
    <w:rsid w:val="00AB1C49"/>
    <w:rsid w:val="00AB1FC8"/>
    <w:rsid w:val="00AB284D"/>
    <w:rsid w:val="00AB2F02"/>
    <w:rsid w:val="00AB304E"/>
    <w:rsid w:val="00AB6C17"/>
    <w:rsid w:val="00AC0A9D"/>
    <w:rsid w:val="00AC0C9E"/>
    <w:rsid w:val="00AC20C0"/>
    <w:rsid w:val="00AC2876"/>
    <w:rsid w:val="00AC3349"/>
    <w:rsid w:val="00AC33C8"/>
    <w:rsid w:val="00AC449A"/>
    <w:rsid w:val="00AC4BC1"/>
    <w:rsid w:val="00AC4C13"/>
    <w:rsid w:val="00AC4C74"/>
    <w:rsid w:val="00AC4CD2"/>
    <w:rsid w:val="00AC5D5B"/>
    <w:rsid w:val="00AC7BE1"/>
    <w:rsid w:val="00AD059B"/>
    <w:rsid w:val="00AD102A"/>
    <w:rsid w:val="00AD1502"/>
    <w:rsid w:val="00AD1796"/>
    <w:rsid w:val="00AD1974"/>
    <w:rsid w:val="00AD219D"/>
    <w:rsid w:val="00AD2353"/>
    <w:rsid w:val="00AD239A"/>
    <w:rsid w:val="00AD26D4"/>
    <w:rsid w:val="00AD3102"/>
    <w:rsid w:val="00AD3EDC"/>
    <w:rsid w:val="00AD4BF1"/>
    <w:rsid w:val="00AD505E"/>
    <w:rsid w:val="00AD5CCC"/>
    <w:rsid w:val="00AD5DE9"/>
    <w:rsid w:val="00AD69EE"/>
    <w:rsid w:val="00AD6CC5"/>
    <w:rsid w:val="00AD713A"/>
    <w:rsid w:val="00AD789A"/>
    <w:rsid w:val="00AD7E0B"/>
    <w:rsid w:val="00AE049A"/>
    <w:rsid w:val="00AE0E58"/>
    <w:rsid w:val="00AE2836"/>
    <w:rsid w:val="00AE4F3D"/>
    <w:rsid w:val="00AE594A"/>
    <w:rsid w:val="00AE6097"/>
    <w:rsid w:val="00AF0189"/>
    <w:rsid w:val="00AF01A3"/>
    <w:rsid w:val="00AF061D"/>
    <w:rsid w:val="00AF1272"/>
    <w:rsid w:val="00AF12CE"/>
    <w:rsid w:val="00AF15FE"/>
    <w:rsid w:val="00AF3FE0"/>
    <w:rsid w:val="00AF45EB"/>
    <w:rsid w:val="00AF4794"/>
    <w:rsid w:val="00AF695E"/>
    <w:rsid w:val="00AF7191"/>
    <w:rsid w:val="00AF7C74"/>
    <w:rsid w:val="00B001EB"/>
    <w:rsid w:val="00B004D7"/>
    <w:rsid w:val="00B00586"/>
    <w:rsid w:val="00B00972"/>
    <w:rsid w:val="00B0098B"/>
    <w:rsid w:val="00B0161D"/>
    <w:rsid w:val="00B01E39"/>
    <w:rsid w:val="00B02489"/>
    <w:rsid w:val="00B0271B"/>
    <w:rsid w:val="00B041BF"/>
    <w:rsid w:val="00B05B04"/>
    <w:rsid w:val="00B06005"/>
    <w:rsid w:val="00B06B70"/>
    <w:rsid w:val="00B16A33"/>
    <w:rsid w:val="00B1753E"/>
    <w:rsid w:val="00B17AC0"/>
    <w:rsid w:val="00B17B7B"/>
    <w:rsid w:val="00B17D41"/>
    <w:rsid w:val="00B21333"/>
    <w:rsid w:val="00B24AD9"/>
    <w:rsid w:val="00B25959"/>
    <w:rsid w:val="00B26605"/>
    <w:rsid w:val="00B267CA"/>
    <w:rsid w:val="00B319DC"/>
    <w:rsid w:val="00B32A7C"/>
    <w:rsid w:val="00B33535"/>
    <w:rsid w:val="00B341C3"/>
    <w:rsid w:val="00B3572E"/>
    <w:rsid w:val="00B35F20"/>
    <w:rsid w:val="00B40734"/>
    <w:rsid w:val="00B40C90"/>
    <w:rsid w:val="00B41FAA"/>
    <w:rsid w:val="00B431FD"/>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D22"/>
    <w:rsid w:val="00B65E5A"/>
    <w:rsid w:val="00B66C28"/>
    <w:rsid w:val="00B66C2A"/>
    <w:rsid w:val="00B6741C"/>
    <w:rsid w:val="00B70AD6"/>
    <w:rsid w:val="00B710C6"/>
    <w:rsid w:val="00B71940"/>
    <w:rsid w:val="00B72D36"/>
    <w:rsid w:val="00B735E5"/>
    <w:rsid w:val="00B743E8"/>
    <w:rsid w:val="00B75310"/>
    <w:rsid w:val="00B75D2F"/>
    <w:rsid w:val="00B75FEC"/>
    <w:rsid w:val="00B76239"/>
    <w:rsid w:val="00B775F5"/>
    <w:rsid w:val="00B77BE0"/>
    <w:rsid w:val="00B77FEF"/>
    <w:rsid w:val="00B808E4"/>
    <w:rsid w:val="00B810C9"/>
    <w:rsid w:val="00B81A7D"/>
    <w:rsid w:val="00B823A3"/>
    <w:rsid w:val="00B83729"/>
    <w:rsid w:val="00B839FB"/>
    <w:rsid w:val="00B83DFF"/>
    <w:rsid w:val="00B84A9F"/>
    <w:rsid w:val="00B85C12"/>
    <w:rsid w:val="00B8620B"/>
    <w:rsid w:val="00B909F2"/>
    <w:rsid w:val="00B91FFA"/>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1B65"/>
    <w:rsid w:val="00BB235B"/>
    <w:rsid w:val="00BB27EB"/>
    <w:rsid w:val="00BB344E"/>
    <w:rsid w:val="00BB3CBD"/>
    <w:rsid w:val="00BB458D"/>
    <w:rsid w:val="00BB5CDE"/>
    <w:rsid w:val="00BB6000"/>
    <w:rsid w:val="00BB600D"/>
    <w:rsid w:val="00BB6694"/>
    <w:rsid w:val="00BB72F4"/>
    <w:rsid w:val="00BB7D5B"/>
    <w:rsid w:val="00BC0BB3"/>
    <w:rsid w:val="00BC0E8D"/>
    <w:rsid w:val="00BC10BC"/>
    <w:rsid w:val="00BC1235"/>
    <w:rsid w:val="00BC17C3"/>
    <w:rsid w:val="00BC23FB"/>
    <w:rsid w:val="00BC2458"/>
    <w:rsid w:val="00BC50EA"/>
    <w:rsid w:val="00BC6254"/>
    <w:rsid w:val="00BD05FC"/>
    <w:rsid w:val="00BD2B8D"/>
    <w:rsid w:val="00BD3834"/>
    <w:rsid w:val="00BD5923"/>
    <w:rsid w:val="00BD6750"/>
    <w:rsid w:val="00BD7018"/>
    <w:rsid w:val="00BD7A6B"/>
    <w:rsid w:val="00BD7D58"/>
    <w:rsid w:val="00BD7DD0"/>
    <w:rsid w:val="00BE0493"/>
    <w:rsid w:val="00BE574C"/>
    <w:rsid w:val="00BE5D9A"/>
    <w:rsid w:val="00BE7A74"/>
    <w:rsid w:val="00BF4442"/>
    <w:rsid w:val="00BF487A"/>
    <w:rsid w:val="00BF5642"/>
    <w:rsid w:val="00BF640F"/>
    <w:rsid w:val="00BF7129"/>
    <w:rsid w:val="00BF7999"/>
    <w:rsid w:val="00C0159F"/>
    <w:rsid w:val="00C033E7"/>
    <w:rsid w:val="00C04166"/>
    <w:rsid w:val="00C05382"/>
    <w:rsid w:val="00C0670B"/>
    <w:rsid w:val="00C07DF4"/>
    <w:rsid w:val="00C100A5"/>
    <w:rsid w:val="00C10836"/>
    <w:rsid w:val="00C11FD0"/>
    <w:rsid w:val="00C122BA"/>
    <w:rsid w:val="00C12D78"/>
    <w:rsid w:val="00C14885"/>
    <w:rsid w:val="00C15234"/>
    <w:rsid w:val="00C15A52"/>
    <w:rsid w:val="00C15E83"/>
    <w:rsid w:val="00C1632D"/>
    <w:rsid w:val="00C1652F"/>
    <w:rsid w:val="00C16AFC"/>
    <w:rsid w:val="00C170C0"/>
    <w:rsid w:val="00C17DE9"/>
    <w:rsid w:val="00C204A6"/>
    <w:rsid w:val="00C20B1A"/>
    <w:rsid w:val="00C2197D"/>
    <w:rsid w:val="00C22C6E"/>
    <w:rsid w:val="00C22DAC"/>
    <w:rsid w:val="00C2352A"/>
    <w:rsid w:val="00C23BD1"/>
    <w:rsid w:val="00C248A5"/>
    <w:rsid w:val="00C2557F"/>
    <w:rsid w:val="00C26B4E"/>
    <w:rsid w:val="00C300E4"/>
    <w:rsid w:val="00C303A9"/>
    <w:rsid w:val="00C303F0"/>
    <w:rsid w:val="00C306A7"/>
    <w:rsid w:val="00C30CD3"/>
    <w:rsid w:val="00C310C0"/>
    <w:rsid w:val="00C31569"/>
    <w:rsid w:val="00C31905"/>
    <w:rsid w:val="00C31AF7"/>
    <w:rsid w:val="00C33CFA"/>
    <w:rsid w:val="00C344E9"/>
    <w:rsid w:val="00C34EB5"/>
    <w:rsid w:val="00C35F90"/>
    <w:rsid w:val="00C36BFD"/>
    <w:rsid w:val="00C37C60"/>
    <w:rsid w:val="00C42588"/>
    <w:rsid w:val="00C443EA"/>
    <w:rsid w:val="00C449C8"/>
    <w:rsid w:val="00C451D8"/>
    <w:rsid w:val="00C4636A"/>
    <w:rsid w:val="00C4663F"/>
    <w:rsid w:val="00C51EEC"/>
    <w:rsid w:val="00C5209A"/>
    <w:rsid w:val="00C5303D"/>
    <w:rsid w:val="00C53328"/>
    <w:rsid w:val="00C53BC4"/>
    <w:rsid w:val="00C55A51"/>
    <w:rsid w:val="00C55A71"/>
    <w:rsid w:val="00C607C3"/>
    <w:rsid w:val="00C608B8"/>
    <w:rsid w:val="00C610FD"/>
    <w:rsid w:val="00C632AD"/>
    <w:rsid w:val="00C6348B"/>
    <w:rsid w:val="00C63620"/>
    <w:rsid w:val="00C66BC5"/>
    <w:rsid w:val="00C67434"/>
    <w:rsid w:val="00C70077"/>
    <w:rsid w:val="00C704AA"/>
    <w:rsid w:val="00C71652"/>
    <w:rsid w:val="00C7184D"/>
    <w:rsid w:val="00C72DC0"/>
    <w:rsid w:val="00C737CE"/>
    <w:rsid w:val="00C76AC4"/>
    <w:rsid w:val="00C779B2"/>
    <w:rsid w:val="00C77D6C"/>
    <w:rsid w:val="00C77F54"/>
    <w:rsid w:val="00C80798"/>
    <w:rsid w:val="00C818BD"/>
    <w:rsid w:val="00C81B55"/>
    <w:rsid w:val="00C822E1"/>
    <w:rsid w:val="00C82687"/>
    <w:rsid w:val="00C82A5B"/>
    <w:rsid w:val="00C83AF0"/>
    <w:rsid w:val="00C84DE1"/>
    <w:rsid w:val="00C8517B"/>
    <w:rsid w:val="00C85CAB"/>
    <w:rsid w:val="00C85F05"/>
    <w:rsid w:val="00C865A9"/>
    <w:rsid w:val="00C872A0"/>
    <w:rsid w:val="00C90EE5"/>
    <w:rsid w:val="00C92907"/>
    <w:rsid w:val="00C93677"/>
    <w:rsid w:val="00C94FA3"/>
    <w:rsid w:val="00C9589E"/>
    <w:rsid w:val="00C95F1F"/>
    <w:rsid w:val="00C95FC8"/>
    <w:rsid w:val="00C97809"/>
    <w:rsid w:val="00C97DDC"/>
    <w:rsid w:val="00CA0B60"/>
    <w:rsid w:val="00CA118A"/>
    <w:rsid w:val="00CA1905"/>
    <w:rsid w:val="00CA1A5A"/>
    <w:rsid w:val="00CA2CB6"/>
    <w:rsid w:val="00CA2E36"/>
    <w:rsid w:val="00CA396C"/>
    <w:rsid w:val="00CA3D17"/>
    <w:rsid w:val="00CA5380"/>
    <w:rsid w:val="00CA5DF7"/>
    <w:rsid w:val="00CB04A3"/>
    <w:rsid w:val="00CB0957"/>
    <w:rsid w:val="00CB0B25"/>
    <w:rsid w:val="00CB11F0"/>
    <w:rsid w:val="00CB1B3B"/>
    <w:rsid w:val="00CB28CD"/>
    <w:rsid w:val="00CB2A84"/>
    <w:rsid w:val="00CB5257"/>
    <w:rsid w:val="00CB52E3"/>
    <w:rsid w:val="00CB540B"/>
    <w:rsid w:val="00CC014E"/>
    <w:rsid w:val="00CC1054"/>
    <w:rsid w:val="00CC136D"/>
    <w:rsid w:val="00CC22A8"/>
    <w:rsid w:val="00CC4104"/>
    <w:rsid w:val="00CC665E"/>
    <w:rsid w:val="00CC6E87"/>
    <w:rsid w:val="00CC79E0"/>
    <w:rsid w:val="00CD059B"/>
    <w:rsid w:val="00CD1748"/>
    <w:rsid w:val="00CD251B"/>
    <w:rsid w:val="00CD25B8"/>
    <w:rsid w:val="00CD28AC"/>
    <w:rsid w:val="00CD5E06"/>
    <w:rsid w:val="00CD670F"/>
    <w:rsid w:val="00CE0290"/>
    <w:rsid w:val="00CE0BF0"/>
    <w:rsid w:val="00CE0EF4"/>
    <w:rsid w:val="00CE0FA9"/>
    <w:rsid w:val="00CE1258"/>
    <w:rsid w:val="00CE2BEB"/>
    <w:rsid w:val="00CE3842"/>
    <w:rsid w:val="00CE4800"/>
    <w:rsid w:val="00CE51EE"/>
    <w:rsid w:val="00CE57AA"/>
    <w:rsid w:val="00CE76BA"/>
    <w:rsid w:val="00CE7F54"/>
    <w:rsid w:val="00CF0BB6"/>
    <w:rsid w:val="00CF241D"/>
    <w:rsid w:val="00CF2BA3"/>
    <w:rsid w:val="00CF3423"/>
    <w:rsid w:val="00CF352B"/>
    <w:rsid w:val="00CF4C38"/>
    <w:rsid w:val="00D00330"/>
    <w:rsid w:val="00D0089D"/>
    <w:rsid w:val="00D00E80"/>
    <w:rsid w:val="00D00FD6"/>
    <w:rsid w:val="00D012B0"/>
    <w:rsid w:val="00D0212A"/>
    <w:rsid w:val="00D027E6"/>
    <w:rsid w:val="00D02C7B"/>
    <w:rsid w:val="00D02CA5"/>
    <w:rsid w:val="00D02E83"/>
    <w:rsid w:val="00D03079"/>
    <w:rsid w:val="00D03616"/>
    <w:rsid w:val="00D03F7E"/>
    <w:rsid w:val="00D04625"/>
    <w:rsid w:val="00D052AA"/>
    <w:rsid w:val="00D054F7"/>
    <w:rsid w:val="00D05841"/>
    <w:rsid w:val="00D05C27"/>
    <w:rsid w:val="00D05D30"/>
    <w:rsid w:val="00D05D49"/>
    <w:rsid w:val="00D05F8E"/>
    <w:rsid w:val="00D07BB7"/>
    <w:rsid w:val="00D1047B"/>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0884"/>
    <w:rsid w:val="00D31519"/>
    <w:rsid w:val="00D31E7C"/>
    <w:rsid w:val="00D32C28"/>
    <w:rsid w:val="00D3423C"/>
    <w:rsid w:val="00D3428F"/>
    <w:rsid w:val="00D3493F"/>
    <w:rsid w:val="00D34D18"/>
    <w:rsid w:val="00D35071"/>
    <w:rsid w:val="00D37B8F"/>
    <w:rsid w:val="00D37D8A"/>
    <w:rsid w:val="00D40574"/>
    <w:rsid w:val="00D41845"/>
    <w:rsid w:val="00D41A52"/>
    <w:rsid w:val="00D43991"/>
    <w:rsid w:val="00D44789"/>
    <w:rsid w:val="00D449B4"/>
    <w:rsid w:val="00D44F25"/>
    <w:rsid w:val="00D46800"/>
    <w:rsid w:val="00D46C7E"/>
    <w:rsid w:val="00D46D6E"/>
    <w:rsid w:val="00D47494"/>
    <w:rsid w:val="00D4786B"/>
    <w:rsid w:val="00D50B41"/>
    <w:rsid w:val="00D50E0E"/>
    <w:rsid w:val="00D51662"/>
    <w:rsid w:val="00D519B7"/>
    <w:rsid w:val="00D51D7E"/>
    <w:rsid w:val="00D527EE"/>
    <w:rsid w:val="00D5286E"/>
    <w:rsid w:val="00D54C49"/>
    <w:rsid w:val="00D55598"/>
    <w:rsid w:val="00D557BF"/>
    <w:rsid w:val="00D56517"/>
    <w:rsid w:val="00D571B4"/>
    <w:rsid w:val="00D57730"/>
    <w:rsid w:val="00D60C9C"/>
    <w:rsid w:val="00D61DDA"/>
    <w:rsid w:val="00D6211F"/>
    <w:rsid w:val="00D6289E"/>
    <w:rsid w:val="00D63201"/>
    <w:rsid w:val="00D6337A"/>
    <w:rsid w:val="00D63C8B"/>
    <w:rsid w:val="00D63CFD"/>
    <w:rsid w:val="00D641D6"/>
    <w:rsid w:val="00D65520"/>
    <w:rsid w:val="00D65888"/>
    <w:rsid w:val="00D66301"/>
    <w:rsid w:val="00D67B64"/>
    <w:rsid w:val="00D700FB"/>
    <w:rsid w:val="00D701DD"/>
    <w:rsid w:val="00D70610"/>
    <w:rsid w:val="00D70B1F"/>
    <w:rsid w:val="00D717AD"/>
    <w:rsid w:val="00D72659"/>
    <w:rsid w:val="00D72C6E"/>
    <w:rsid w:val="00D72DDD"/>
    <w:rsid w:val="00D7419B"/>
    <w:rsid w:val="00D742B5"/>
    <w:rsid w:val="00D76360"/>
    <w:rsid w:val="00D7654E"/>
    <w:rsid w:val="00D778D4"/>
    <w:rsid w:val="00D80147"/>
    <w:rsid w:val="00D80209"/>
    <w:rsid w:val="00D8047B"/>
    <w:rsid w:val="00D81445"/>
    <w:rsid w:val="00D82509"/>
    <w:rsid w:val="00D825EA"/>
    <w:rsid w:val="00D82A17"/>
    <w:rsid w:val="00D83319"/>
    <w:rsid w:val="00D83995"/>
    <w:rsid w:val="00D83CC0"/>
    <w:rsid w:val="00D83D8F"/>
    <w:rsid w:val="00D84607"/>
    <w:rsid w:val="00D84901"/>
    <w:rsid w:val="00D8525E"/>
    <w:rsid w:val="00D86250"/>
    <w:rsid w:val="00D8651C"/>
    <w:rsid w:val="00D86879"/>
    <w:rsid w:val="00D87EFC"/>
    <w:rsid w:val="00D90DD1"/>
    <w:rsid w:val="00D91654"/>
    <w:rsid w:val="00D93CB3"/>
    <w:rsid w:val="00D93FBA"/>
    <w:rsid w:val="00D9553D"/>
    <w:rsid w:val="00D95665"/>
    <w:rsid w:val="00D95DCF"/>
    <w:rsid w:val="00D96D6A"/>
    <w:rsid w:val="00D96F97"/>
    <w:rsid w:val="00D97421"/>
    <w:rsid w:val="00D97481"/>
    <w:rsid w:val="00D97C66"/>
    <w:rsid w:val="00DA03B6"/>
    <w:rsid w:val="00DA10A4"/>
    <w:rsid w:val="00DA149E"/>
    <w:rsid w:val="00DA159A"/>
    <w:rsid w:val="00DA1B90"/>
    <w:rsid w:val="00DA2299"/>
    <w:rsid w:val="00DA42B5"/>
    <w:rsid w:val="00DA59B0"/>
    <w:rsid w:val="00DA5B20"/>
    <w:rsid w:val="00DA6E93"/>
    <w:rsid w:val="00DA70B4"/>
    <w:rsid w:val="00DA78F5"/>
    <w:rsid w:val="00DB0CC6"/>
    <w:rsid w:val="00DB278E"/>
    <w:rsid w:val="00DB32BF"/>
    <w:rsid w:val="00DB3ABE"/>
    <w:rsid w:val="00DB5B03"/>
    <w:rsid w:val="00DB6078"/>
    <w:rsid w:val="00DB63A4"/>
    <w:rsid w:val="00DB70AC"/>
    <w:rsid w:val="00DB7462"/>
    <w:rsid w:val="00DB76D9"/>
    <w:rsid w:val="00DB7A60"/>
    <w:rsid w:val="00DC0E99"/>
    <w:rsid w:val="00DC162F"/>
    <w:rsid w:val="00DC2E09"/>
    <w:rsid w:val="00DC330A"/>
    <w:rsid w:val="00DC4A62"/>
    <w:rsid w:val="00DC4AB6"/>
    <w:rsid w:val="00DC4B35"/>
    <w:rsid w:val="00DC6559"/>
    <w:rsid w:val="00DC6563"/>
    <w:rsid w:val="00DC6A5E"/>
    <w:rsid w:val="00DC6CDF"/>
    <w:rsid w:val="00DC7221"/>
    <w:rsid w:val="00DD0966"/>
    <w:rsid w:val="00DD0F62"/>
    <w:rsid w:val="00DD20B7"/>
    <w:rsid w:val="00DD233A"/>
    <w:rsid w:val="00DD254F"/>
    <w:rsid w:val="00DD27EB"/>
    <w:rsid w:val="00DD2820"/>
    <w:rsid w:val="00DD303D"/>
    <w:rsid w:val="00DD54CA"/>
    <w:rsid w:val="00DD57EB"/>
    <w:rsid w:val="00DD5DE3"/>
    <w:rsid w:val="00DD5F50"/>
    <w:rsid w:val="00DD7206"/>
    <w:rsid w:val="00DD7D54"/>
    <w:rsid w:val="00DE04E7"/>
    <w:rsid w:val="00DE04F8"/>
    <w:rsid w:val="00DE069B"/>
    <w:rsid w:val="00DE096C"/>
    <w:rsid w:val="00DE1FFC"/>
    <w:rsid w:val="00DE2D03"/>
    <w:rsid w:val="00DE368D"/>
    <w:rsid w:val="00DE38DF"/>
    <w:rsid w:val="00DE3B47"/>
    <w:rsid w:val="00DE3D20"/>
    <w:rsid w:val="00DE4028"/>
    <w:rsid w:val="00DE43D9"/>
    <w:rsid w:val="00DE47B7"/>
    <w:rsid w:val="00DE6CFB"/>
    <w:rsid w:val="00DE7017"/>
    <w:rsid w:val="00DE76B9"/>
    <w:rsid w:val="00DF038C"/>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25FF"/>
    <w:rsid w:val="00E14064"/>
    <w:rsid w:val="00E14CF2"/>
    <w:rsid w:val="00E14F90"/>
    <w:rsid w:val="00E1548E"/>
    <w:rsid w:val="00E15822"/>
    <w:rsid w:val="00E162B6"/>
    <w:rsid w:val="00E163F7"/>
    <w:rsid w:val="00E1739F"/>
    <w:rsid w:val="00E1762B"/>
    <w:rsid w:val="00E179DC"/>
    <w:rsid w:val="00E20610"/>
    <w:rsid w:val="00E24AAC"/>
    <w:rsid w:val="00E258BC"/>
    <w:rsid w:val="00E25EE0"/>
    <w:rsid w:val="00E25FA3"/>
    <w:rsid w:val="00E26101"/>
    <w:rsid w:val="00E30C19"/>
    <w:rsid w:val="00E3116D"/>
    <w:rsid w:val="00E351DF"/>
    <w:rsid w:val="00E37663"/>
    <w:rsid w:val="00E3787C"/>
    <w:rsid w:val="00E37E61"/>
    <w:rsid w:val="00E40C85"/>
    <w:rsid w:val="00E42170"/>
    <w:rsid w:val="00E43E68"/>
    <w:rsid w:val="00E44556"/>
    <w:rsid w:val="00E44D46"/>
    <w:rsid w:val="00E454E2"/>
    <w:rsid w:val="00E458FF"/>
    <w:rsid w:val="00E46472"/>
    <w:rsid w:val="00E46890"/>
    <w:rsid w:val="00E46E66"/>
    <w:rsid w:val="00E4787F"/>
    <w:rsid w:val="00E50592"/>
    <w:rsid w:val="00E50A96"/>
    <w:rsid w:val="00E50B25"/>
    <w:rsid w:val="00E50ECC"/>
    <w:rsid w:val="00E523AE"/>
    <w:rsid w:val="00E52538"/>
    <w:rsid w:val="00E52E82"/>
    <w:rsid w:val="00E52F76"/>
    <w:rsid w:val="00E537FF"/>
    <w:rsid w:val="00E556FA"/>
    <w:rsid w:val="00E557C1"/>
    <w:rsid w:val="00E565FB"/>
    <w:rsid w:val="00E56885"/>
    <w:rsid w:val="00E56AC9"/>
    <w:rsid w:val="00E577BF"/>
    <w:rsid w:val="00E60DC6"/>
    <w:rsid w:val="00E61319"/>
    <w:rsid w:val="00E62017"/>
    <w:rsid w:val="00E62B22"/>
    <w:rsid w:val="00E6451D"/>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3B6E"/>
    <w:rsid w:val="00E743BD"/>
    <w:rsid w:val="00E74B98"/>
    <w:rsid w:val="00E750C6"/>
    <w:rsid w:val="00E759AB"/>
    <w:rsid w:val="00E75A69"/>
    <w:rsid w:val="00E75ACD"/>
    <w:rsid w:val="00E762B9"/>
    <w:rsid w:val="00E76ADF"/>
    <w:rsid w:val="00E77389"/>
    <w:rsid w:val="00E81AA1"/>
    <w:rsid w:val="00E81B98"/>
    <w:rsid w:val="00E821BF"/>
    <w:rsid w:val="00E83220"/>
    <w:rsid w:val="00E835E9"/>
    <w:rsid w:val="00E840AA"/>
    <w:rsid w:val="00E85252"/>
    <w:rsid w:val="00E85665"/>
    <w:rsid w:val="00E858C0"/>
    <w:rsid w:val="00E8692D"/>
    <w:rsid w:val="00E87299"/>
    <w:rsid w:val="00E906C3"/>
    <w:rsid w:val="00E909DF"/>
    <w:rsid w:val="00E90EE0"/>
    <w:rsid w:val="00E92647"/>
    <w:rsid w:val="00E9382A"/>
    <w:rsid w:val="00E9395E"/>
    <w:rsid w:val="00E940B0"/>
    <w:rsid w:val="00E950BC"/>
    <w:rsid w:val="00E95510"/>
    <w:rsid w:val="00E95FC7"/>
    <w:rsid w:val="00E97A61"/>
    <w:rsid w:val="00EA120A"/>
    <w:rsid w:val="00EA1480"/>
    <w:rsid w:val="00EA1B1C"/>
    <w:rsid w:val="00EA2ABA"/>
    <w:rsid w:val="00EA2E7A"/>
    <w:rsid w:val="00EA3756"/>
    <w:rsid w:val="00EA3BAC"/>
    <w:rsid w:val="00EA445B"/>
    <w:rsid w:val="00EA4B05"/>
    <w:rsid w:val="00EA5046"/>
    <w:rsid w:val="00EA546C"/>
    <w:rsid w:val="00EA5653"/>
    <w:rsid w:val="00EA5B26"/>
    <w:rsid w:val="00EA5B42"/>
    <w:rsid w:val="00EA70FF"/>
    <w:rsid w:val="00EA72BE"/>
    <w:rsid w:val="00EA77AC"/>
    <w:rsid w:val="00EA7911"/>
    <w:rsid w:val="00EA7C36"/>
    <w:rsid w:val="00EB1EB7"/>
    <w:rsid w:val="00EB264B"/>
    <w:rsid w:val="00EB30C9"/>
    <w:rsid w:val="00EB31F4"/>
    <w:rsid w:val="00EB37BB"/>
    <w:rsid w:val="00EB3A99"/>
    <w:rsid w:val="00EB4370"/>
    <w:rsid w:val="00EB5A71"/>
    <w:rsid w:val="00EB6D36"/>
    <w:rsid w:val="00EB7261"/>
    <w:rsid w:val="00EC26B0"/>
    <w:rsid w:val="00EC27F7"/>
    <w:rsid w:val="00EC3897"/>
    <w:rsid w:val="00EC3E42"/>
    <w:rsid w:val="00EC3E4C"/>
    <w:rsid w:val="00EC4745"/>
    <w:rsid w:val="00EC4FED"/>
    <w:rsid w:val="00EC5A36"/>
    <w:rsid w:val="00EC5CF0"/>
    <w:rsid w:val="00EC6B24"/>
    <w:rsid w:val="00EC7073"/>
    <w:rsid w:val="00EC7600"/>
    <w:rsid w:val="00ED3388"/>
    <w:rsid w:val="00ED440C"/>
    <w:rsid w:val="00ED6C6C"/>
    <w:rsid w:val="00EE15CE"/>
    <w:rsid w:val="00EE1C69"/>
    <w:rsid w:val="00EE21AD"/>
    <w:rsid w:val="00EE2BC4"/>
    <w:rsid w:val="00EE3379"/>
    <w:rsid w:val="00EE3D80"/>
    <w:rsid w:val="00EE4D5D"/>
    <w:rsid w:val="00EE52D6"/>
    <w:rsid w:val="00EE6C9E"/>
    <w:rsid w:val="00EE77F7"/>
    <w:rsid w:val="00EE7DB4"/>
    <w:rsid w:val="00EF0435"/>
    <w:rsid w:val="00EF11AE"/>
    <w:rsid w:val="00EF1969"/>
    <w:rsid w:val="00EF2589"/>
    <w:rsid w:val="00EF25EC"/>
    <w:rsid w:val="00EF2636"/>
    <w:rsid w:val="00EF34B9"/>
    <w:rsid w:val="00EF3651"/>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19D7"/>
    <w:rsid w:val="00F132A8"/>
    <w:rsid w:val="00F1394D"/>
    <w:rsid w:val="00F13C89"/>
    <w:rsid w:val="00F142FD"/>
    <w:rsid w:val="00F15947"/>
    <w:rsid w:val="00F15DD4"/>
    <w:rsid w:val="00F16CBF"/>
    <w:rsid w:val="00F177C2"/>
    <w:rsid w:val="00F178DC"/>
    <w:rsid w:val="00F201B9"/>
    <w:rsid w:val="00F218B7"/>
    <w:rsid w:val="00F21A48"/>
    <w:rsid w:val="00F24E6F"/>
    <w:rsid w:val="00F2505E"/>
    <w:rsid w:val="00F25BBC"/>
    <w:rsid w:val="00F26294"/>
    <w:rsid w:val="00F264DF"/>
    <w:rsid w:val="00F30C49"/>
    <w:rsid w:val="00F31BDD"/>
    <w:rsid w:val="00F33550"/>
    <w:rsid w:val="00F338E7"/>
    <w:rsid w:val="00F33973"/>
    <w:rsid w:val="00F35F68"/>
    <w:rsid w:val="00F36F7A"/>
    <w:rsid w:val="00F3765A"/>
    <w:rsid w:val="00F37866"/>
    <w:rsid w:val="00F40413"/>
    <w:rsid w:val="00F40E31"/>
    <w:rsid w:val="00F42E3D"/>
    <w:rsid w:val="00F43B23"/>
    <w:rsid w:val="00F5030C"/>
    <w:rsid w:val="00F52C95"/>
    <w:rsid w:val="00F5367B"/>
    <w:rsid w:val="00F5387B"/>
    <w:rsid w:val="00F5467E"/>
    <w:rsid w:val="00F54BA5"/>
    <w:rsid w:val="00F54BE0"/>
    <w:rsid w:val="00F54FF0"/>
    <w:rsid w:val="00F55002"/>
    <w:rsid w:val="00F57CFE"/>
    <w:rsid w:val="00F60A49"/>
    <w:rsid w:val="00F60F45"/>
    <w:rsid w:val="00F63864"/>
    <w:rsid w:val="00F6407E"/>
    <w:rsid w:val="00F66D2D"/>
    <w:rsid w:val="00F71596"/>
    <w:rsid w:val="00F7399D"/>
    <w:rsid w:val="00F73E5E"/>
    <w:rsid w:val="00F74C40"/>
    <w:rsid w:val="00F75697"/>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2BC"/>
    <w:rsid w:val="00F90909"/>
    <w:rsid w:val="00F9288D"/>
    <w:rsid w:val="00F93B5C"/>
    <w:rsid w:val="00F94116"/>
    <w:rsid w:val="00F94D4E"/>
    <w:rsid w:val="00F95126"/>
    <w:rsid w:val="00F95B7B"/>
    <w:rsid w:val="00F95D6A"/>
    <w:rsid w:val="00F962F3"/>
    <w:rsid w:val="00F96371"/>
    <w:rsid w:val="00F96718"/>
    <w:rsid w:val="00FA04AD"/>
    <w:rsid w:val="00FA19CC"/>
    <w:rsid w:val="00FA1DC6"/>
    <w:rsid w:val="00FA2035"/>
    <w:rsid w:val="00FA296B"/>
    <w:rsid w:val="00FA2C37"/>
    <w:rsid w:val="00FA3DE7"/>
    <w:rsid w:val="00FA41CF"/>
    <w:rsid w:val="00FA467D"/>
    <w:rsid w:val="00FA69A5"/>
    <w:rsid w:val="00FA6B86"/>
    <w:rsid w:val="00FA759D"/>
    <w:rsid w:val="00FB0EF1"/>
    <w:rsid w:val="00FB2C32"/>
    <w:rsid w:val="00FB37FF"/>
    <w:rsid w:val="00FB5436"/>
    <w:rsid w:val="00FB57A6"/>
    <w:rsid w:val="00FB5905"/>
    <w:rsid w:val="00FB5CFA"/>
    <w:rsid w:val="00FC0D89"/>
    <w:rsid w:val="00FC0FA3"/>
    <w:rsid w:val="00FC1E77"/>
    <w:rsid w:val="00FC41C1"/>
    <w:rsid w:val="00FC4360"/>
    <w:rsid w:val="00FC6328"/>
    <w:rsid w:val="00FC6FB3"/>
    <w:rsid w:val="00FD0B7B"/>
    <w:rsid w:val="00FD1787"/>
    <w:rsid w:val="00FD20F9"/>
    <w:rsid w:val="00FD2772"/>
    <w:rsid w:val="00FD31FF"/>
    <w:rsid w:val="00FE00B5"/>
    <w:rsid w:val="00FE027F"/>
    <w:rsid w:val="00FE2EE5"/>
    <w:rsid w:val="00FE3252"/>
    <w:rsid w:val="00FE32C0"/>
    <w:rsid w:val="00FE5768"/>
    <w:rsid w:val="00FE5F43"/>
    <w:rsid w:val="00FE6F63"/>
    <w:rsid w:val="00FE71B9"/>
    <w:rsid w:val="00FE76F1"/>
    <w:rsid w:val="00FE7F4D"/>
    <w:rsid w:val="00FF01BC"/>
    <w:rsid w:val="00FF0F92"/>
    <w:rsid w:val="00FF15AD"/>
    <w:rsid w:val="00FF1BB7"/>
    <w:rsid w:val="00FF2778"/>
    <w:rsid w:val="00FF2BC5"/>
    <w:rsid w:val="00FF3188"/>
    <w:rsid w:val="00FF4AE2"/>
    <w:rsid w:val="00FF50FC"/>
    <w:rsid w:val="00FF63B1"/>
    <w:rsid w:val="00FF66E9"/>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A1"/>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066E4A"/>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E4A"/>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tabs>
        <w:tab w:val="num" w:pos="360"/>
      </w:tabs>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customStyle="1" w:styleId="TableParagraph">
    <w:name w:val="Table Paragraph"/>
    <w:basedOn w:val="Normal"/>
    <w:uiPriority w:val="1"/>
    <w:qFormat/>
    <w:rsid w:val="00277345"/>
    <w:pPr>
      <w:ind w:left="107"/>
    </w:pPr>
    <w:rPr>
      <w:rFonts w:eastAsiaTheme="minorEastAsia" w:cs="Calibri"/>
    </w:rPr>
  </w:style>
  <w:style w:type="table" w:customStyle="1" w:styleId="TableGridLight1">
    <w:name w:val="Table Grid Light1"/>
    <w:basedOn w:val="TableNormal"/>
    <w:next w:val="TableGridLight"/>
    <w:uiPriority w:val="40"/>
    <w:rsid w:val="0027734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1"/>
    <w:qFormat/>
    <w:rsid w:val="004A3EBE"/>
    <w:rPr>
      <w:rFonts w:eastAsiaTheme="minorEastAsia" w:cs="Calibri"/>
    </w:rPr>
  </w:style>
  <w:style w:type="character" w:customStyle="1" w:styleId="BodyTextChar">
    <w:name w:val="Body Text Char"/>
    <w:basedOn w:val="DefaultParagraphFont"/>
    <w:link w:val="BodyText"/>
    <w:uiPriority w:val="1"/>
    <w:rsid w:val="004A3EBE"/>
    <w:rPr>
      <w:rFonts w:eastAsiaTheme="minorEastAsia" w:cs="Calibri"/>
      <w:sz w:val="24"/>
      <w:szCs w:val="24"/>
    </w:rPr>
  </w:style>
  <w:style w:type="character" w:customStyle="1" w:styleId="cf01">
    <w:name w:val="cf01"/>
    <w:basedOn w:val="DefaultParagraphFont"/>
    <w:rsid w:val="00F15D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71309552">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58010557">
      <w:bodyDiv w:val="1"/>
      <w:marLeft w:val="0"/>
      <w:marRight w:val="0"/>
      <w:marTop w:val="0"/>
      <w:marBottom w:val="0"/>
      <w:divBdr>
        <w:top w:val="none" w:sz="0" w:space="0" w:color="auto"/>
        <w:left w:val="none" w:sz="0" w:space="0" w:color="auto"/>
        <w:bottom w:val="none" w:sz="0" w:space="0" w:color="auto"/>
        <w:right w:val="none" w:sz="0" w:space="0" w:color="auto"/>
      </w:divBdr>
    </w:div>
    <w:div w:id="16524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10138</Words>
  <Characters>54952</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3</cp:revision>
  <cp:lastPrinted>2017-07-11T15:59:00Z</cp:lastPrinted>
  <dcterms:created xsi:type="dcterms:W3CDTF">2025-05-30T19:01:00Z</dcterms:created>
  <dcterms:modified xsi:type="dcterms:W3CDTF">2025-06-02T18:34:00Z</dcterms:modified>
</cp:coreProperties>
</file>