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D7AB" w14:textId="5F18F4C4" w:rsidR="000A134A" w:rsidRPr="003F6EC3" w:rsidRDefault="002511E9" w:rsidP="00115C24">
      <w:pPr>
        <w:pStyle w:val="Heading1"/>
        <w:jc w:val="center"/>
      </w:pPr>
      <w:bookmarkStart w:id="0" w:name="_Toc118900169"/>
      <w:bookmarkStart w:id="1" w:name="_Toc118905008"/>
      <w:r w:rsidRPr="001C1E47">
        <w:rPr>
          <w:iCs/>
        </w:rPr>
        <w:t xml:space="preserve">FY </w:t>
      </w:r>
      <w:r w:rsidRPr="003F6EC3">
        <w:rPr>
          <w:iCs/>
        </w:rPr>
        <w:t>2</w:t>
      </w:r>
      <w:r w:rsidR="00BD0358" w:rsidRPr="003F6EC3">
        <w:rPr>
          <w:iCs/>
        </w:rPr>
        <w:t>0</w:t>
      </w:r>
      <w:r w:rsidR="0058133E" w:rsidRPr="003F6EC3">
        <w:rPr>
          <w:iCs/>
        </w:rPr>
        <w:t>24</w:t>
      </w:r>
      <w:r w:rsidR="001C1E47" w:rsidRPr="003F6EC3">
        <w:rPr>
          <w:iCs/>
        </w:rPr>
        <w:t xml:space="preserve"> </w:t>
      </w:r>
      <w:r w:rsidR="000A134A" w:rsidRPr="003F6EC3">
        <w:rPr>
          <w:iCs/>
        </w:rPr>
        <w:t xml:space="preserve">Follow-up </w:t>
      </w:r>
      <w:r w:rsidR="00626033" w:rsidRPr="003F6EC3">
        <w:t>Federal Annual Monitoring</w:t>
      </w:r>
      <w:r w:rsidR="000A134A" w:rsidRPr="003F6EC3">
        <w:t xml:space="preserve"> Evaluation (FAME) Report</w:t>
      </w:r>
      <w:bookmarkEnd w:id="0"/>
      <w:bookmarkEnd w:id="1"/>
    </w:p>
    <w:p w14:paraId="5D01BB79" w14:textId="77777777" w:rsidR="000A134A" w:rsidRPr="003F6EC3" w:rsidRDefault="000A134A" w:rsidP="00115C24">
      <w:pPr>
        <w:widowControl/>
        <w:autoSpaceDE/>
        <w:autoSpaceDN/>
        <w:adjustRightInd/>
        <w:jc w:val="center"/>
        <w:rPr>
          <w:rFonts w:cs="Calibri"/>
          <w:bCs/>
          <w:iCs/>
        </w:rPr>
      </w:pPr>
    </w:p>
    <w:p w14:paraId="2681F091" w14:textId="2CA7235E" w:rsidR="000A134A" w:rsidRPr="003F6EC3" w:rsidRDefault="000A134A" w:rsidP="00115C24">
      <w:pPr>
        <w:widowControl/>
        <w:autoSpaceDE/>
        <w:autoSpaceDN/>
        <w:adjustRightInd/>
        <w:jc w:val="center"/>
        <w:rPr>
          <w:rFonts w:cs="Calibri"/>
        </w:rPr>
      </w:pPr>
    </w:p>
    <w:p w14:paraId="61F6BBD2" w14:textId="77777777" w:rsidR="000A134A" w:rsidRPr="003F6EC3" w:rsidRDefault="000A134A" w:rsidP="00115C24">
      <w:pPr>
        <w:widowControl/>
        <w:autoSpaceDE/>
        <w:autoSpaceDN/>
        <w:adjustRightInd/>
        <w:jc w:val="center"/>
        <w:rPr>
          <w:rFonts w:cs="Calibri"/>
          <w:b/>
        </w:rPr>
      </w:pPr>
    </w:p>
    <w:p w14:paraId="51905CA0" w14:textId="6E56FECE" w:rsidR="000A134A" w:rsidRPr="003F6EC3" w:rsidRDefault="002E1E41" w:rsidP="00115C24">
      <w:pPr>
        <w:widowControl/>
        <w:autoSpaceDE/>
        <w:autoSpaceDN/>
        <w:adjustRightInd/>
        <w:jc w:val="center"/>
        <w:rPr>
          <w:rFonts w:cs="Calibri"/>
          <w:b/>
        </w:rPr>
      </w:pPr>
      <w:r w:rsidRPr="003F6EC3">
        <w:rPr>
          <w:rFonts w:cs="Calibri"/>
          <w:b/>
        </w:rPr>
        <w:t>State of Michigan</w:t>
      </w:r>
    </w:p>
    <w:p w14:paraId="58F4B8EF" w14:textId="315ABF84" w:rsidR="002E1E41" w:rsidRPr="003F6EC3" w:rsidRDefault="002E1E41" w:rsidP="00115C24">
      <w:pPr>
        <w:widowControl/>
        <w:autoSpaceDE/>
        <w:autoSpaceDN/>
        <w:adjustRightInd/>
        <w:jc w:val="center"/>
        <w:rPr>
          <w:rFonts w:cs="Calibri"/>
          <w:b/>
        </w:rPr>
      </w:pPr>
      <w:r w:rsidRPr="003F6EC3">
        <w:rPr>
          <w:rFonts w:cs="Calibri"/>
          <w:b/>
        </w:rPr>
        <w:t>Michigan Occupational Safety and Health Administration</w:t>
      </w:r>
    </w:p>
    <w:p w14:paraId="2A3E5133" w14:textId="77777777" w:rsidR="000A134A" w:rsidRPr="001C1E47" w:rsidRDefault="000A134A" w:rsidP="00115C24">
      <w:pPr>
        <w:widowControl/>
        <w:autoSpaceDE/>
        <w:autoSpaceDN/>
        <w:adjustRightInd/>
        <w:jc w:val="center"/>
        <w:rPr>
          <w:rFonts w:cs="Calibri"/>
          <w:bCs/>
        </w:rPr>
      </w:pPr>
    </w:p>
    <w:p w14:paraId="33BDDAA9" w14:textId="77777777" w:rsidR="000A134A" w:rsidRPr="001C1E47" w:rsidRDefault="000A134A" w:rsidP="00115C24">
      <w:pPr>
        <w:widowControl/>
        <w:autoSpaceDE/>
        <w:autoSpaceDN/>
        <w:adjustRightInd/>
        <w:jc w:val="center"/>
        <w:rPr>
          <w:rFonts w:cs="Calibri"/>
          <w:bCs/>
        </w:rPr>
      </w:pPr>
    </w:p>
    <w:p w14:paraId="157A43AA" w14:textId="1377FE70" w:rsidR="000A134A" w:rsidRPr="00C53328" w:rsidRDefault="00CB4636" w:rsidP="00115C24">
      <w:pPr>
        <w:widowControl/>
        <w:autoSpaceDE/>
        <w:autoSpaceDN/>
        <w:adjustRightInd/>
        <w:jc w:val="center"/>
        <w:rPr>
          <w:rFonts w:cs="Calibri"/>
          <w:bCs/>
          <w:color w:val="0070C0"/>
        </w:rPr>
      </w:pPr>
      <w:r>
        <w:rPr>
          <w:rFonts w:cs="Calibri"/>
          <w:bCs/>
          <w:noProof/>
          <w:color w:val="0070C0"/>
        </w:rPr>
        <w:drawing>
          <wp:inline distT="0" distB="0" distL="0" distR="0" wp14:anchorId="4F51A76B" wp14:editId="3FA00F73">
            <wp:extent cx="1335405" cy="1310640"/>
            <wp:effectExtent l="0" t="0" r="0" b="3810"/>
            <wp:docPr id="13814175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17516"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5405" cy="1310640"/>
                    </a:xfrm>
                    <a:prstGeom prst="rect">
                      <a:avLst/>
                    </a:prstGeom>
                    <a:noFill/>
                  </pic:spPr>
                </pic:pic>
              </a:graphicData>
            </a:graphic>
          </wp:inline>
        </w:drawing>
      </w:r>
    </w:p>
    <w:p w14:paraId="0E828210" w14:textId="77777777" w:rsidR="000A134A" w:rsidRPr="001C1E47" w:rsidRDefault="000A134A" w:rsidP="00115C24">
      <w:pPr>
        <w:widowControl/>
        <w:autoSpaceDE/>
        <w:autoSpaceDN/>
        <w:adjustRightInd/>
        <w:jc w:val="center"/>
        <w:rPr>
          <w:rFonts w:cs="Calibri"/>
          <w:bCs/>
        </w:rPr>
      </w:pPr>
    </w:p>
    <w:p w14:paraId="3FC46738" w14:textId="77777777" w:rsidR="000A134A" w:rsidRPr="001C1E47" w:rsidRDefault="000A134A" w:rsidP="00115C24">
      <w:pPr>
        <w:widowControl/>
        <w:autoSpaceDE/>
        <w:autoSpaceDN/>
        <w:adjustRightInd/>
        <w:jc w:val="center"/>
        <w:rPr>
          <w:rFonts w:cs="Calibri"/>
          <w:b/>
        </w:rPr>
      </w:pPr>
    </w:p>
    <w:p w14:paraId="6CB8AD27" w14:textId="5A94B713" w:rsidR="000A134A" w:rsidRPr="001C1E47" w:rsidRDefault="000A134A" w:rsidP="00115C24">
      <w:pPr>
        <w:widowControl/>
        <w:tabs>
          <w:tab w:val="left" w:pos="720"/>
          <w:tab w:val="left" w:pos="1440"/>
          <w:tab w:val="left" w:pos="2160"/>
        </w:tabs>
        <w:autoSpaceDE/>
        <w:autoSpaceDN/>
        <w:adjustRightInd/>
        <w:jc w:val="center"/>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 xml:space="preserve">aluation Period: October 1, </w:t>
      </w:r>
      <w:r w:rsidR="00882F2B" w:rsidRPr="003F6EC3">
        <w:rPr>
          <w:rFonts w:eastAsia="Batang" w:cs="Calibri"/>
          <w:b/>
          <w:sz w:val="28"/>
          <w:szCs w:val="28"/>
        </w:rPr>
        <w:t>20</w:t>
      </w:r>
      <w:r w:rsidR="00CB4636" w:rsidRPr="003F6EC3">
        <w:rPr>
          <w:rFonts w:eastAsia="Batang" w:cs="Calibri"/>
          <w:b/>
          <w:sz w:val="28"/>
          <w:szCs w:val="28"/>
        </w:rPr>
        <w:t>23</w:t>
      </w:r>
      <w:r w:rsidRPr="003F6EC3">
        <w:rPr>
          <w:rFonts w:eastAsia="Batang" w:cs="Calibri"/>
          <w:b/>
          <w:sz w:val="28"/>
          <w:szCs w:val="28"/>
        </w:rPr>
        <w:t xml:space="preserve"> –</w:t>
      </w:r>
      <w:r w:rsidR="00882F2B" w:rsidRPr="003F6EC3">
        <w:rPr>
          <w:rFonts w:eastAsia="Batang" w:cs="Calibri"/>
          <w:b/>
          <w:sz w:val="28"/>
          <w:szCs w:val="28"/>
        </w:rPr>
        <w:t xml:space="preserve"> September 30, 20</w:t>
      </w:r>
      <w:r w:rsidR="00CB4636" w:rsidRPr="003F6EC3">
        <w:rPr>
          <w:rFonts w:eastAsia="Batang" w:cs="Calibri"/>
          <w:b/>
          <w:sz w:val="28"/>
          <w:szCs w:val="28"/>
        </w:rPr>
        <w:t>24</w:t>
      </w:r>
    </w:p>
    <w:p w14:paraId="03D79AE5" w14:textId="77777777" w:rsidR="000A134A" w:rsidRPr="001C1E47" w:rsidRDefault="000A134A" w:rsidP="00115C24">
      <w:pPr>
        <w:widowControl/>
        <w:autoSpaceDE/>
        <w:autoSpaceDN/>
        <w:adjustRightInd/>
        <w:jc w:val="center"/>
        <w:rPr>
          <w:rFonts w:cs="Calibri"/>
        </w:rPr>
      </w:pPr>
    </w:p>
    <w:p w14:paraId="0E81BC24" w14:textId="77777777" w:rsidR="000A134A" w:rsidRPr="001C1E47" w:rsidRDefault="000A134A" w:rsidP="00115C24">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cs="Calibri"/>
        </w:rPr>
      </w:pPr>
    </w:p>
    <w:p w14:paraId="221B5785" w14:textId="77777777" w:rsidR="000A134A" w:rsidRPr="001C1E47" w:rsidRDefault="000A134A" w:rsidP="00115C24">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cs="Calibri"/>
          <w:b/>
        </w:rPr>
      </w:pPr>
    </w:p>
    <w:p w14:paraId="0DF94F44" w14:textId="0122B8FA" w:rsidR="000A134A" w:rsidRPr="003F6EC3" w:rsidRDefault="000A134A" w:rsidP="00115C24">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eastAsia="Batang" w:cs="Calibri"/>
          <w:b/>
        </w:rPr>
      </w:pPr>
      <w:r w:rsidRPr="001C1E47">
        <w:rPr>
          <w:rFonts w:eastAsia="Batang" w:cs="Calibri"/>
          <w:b/>
        </w:rPr>
        <w:t xml:space="preserve">Initial Approval Date:  </w:t>
      </w:r>
      <w:r w:rsidR="00A20FC2" w:rsidRPr="003F6EC3">
        <w:rPr>
          <w:rFonts w:eastAsia="Batang" w:cs="Calibri"/>
          <w:b/>
        </w:rPr>
        <w:t>October 3, 1973</w:t>
      </w:r>
    </w:p>
    <w:p w14:paraId="3062998A" w14:textId="70AD18B0" w:rsidR="000A134A" w:rsidRPr="003F6EC3" w:rsidRDefault="000A134A" w:rsidP="00115C24">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eastAsia="Batang" w:cs="Calibri"/>
          <w:b/>
        </w:rPr>
      </w:pPr>
      <w:r w:rsidRPr="003F6EC3">
        <w:rPr>
          <w:rFonts w:eastAsia="Batang" w:cs="Calibri"/>
          <w:b/>
        </w:rPr>
        <w:t xml:space="preserve">Program Certification Date: </w:t>
      </w:r>
      <w:r w:rsidR="00A20FC2" w:rsidRPr="003F6EC3">
        <w:rPr>
          <w:rFonts w:eastAsia="Batang" w:cs="Calibri"/>
          <w:b/>
        </w:rPr>
        <w:t>January 6, 1981</w:t>
      </w:r>
    </w:p>
    <w:p w14:paraId="51A91D4F" w14:textId="74DCAF7D" w:rsidR="000A134A" w:rsidRPr="003F6EC3" w:rsidRDefault="000A134A" w:rsidP="00115C24">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cs="Calibri"/>
          <w:b/>
        </w:rPr>
      </w:pPr>
      <w:r w:rsidRPr="003F6EC3">
        <w:rPr>
          <w:rFonts w:eastAsia="Batang" w:cs="Calibri"/>
          <w:b/>
        </w:rPr>
        <w:t xml:space="preserve">Final Approval Date: </w:t>
      </w:r>
      <w:r w:rsidR="00A20FC2" w:rsidRPr="003F6EC3">
        <w:rPr>
          <w:rFonts w:eastAsia="Batang" w:cs="Calibri"/>
          <w:b/>
        </w:rPr>
        <w:t>None</w:t>
      </w:r>
    </w:p>
    <w:p w14:paraId="5FD63D8C" w14:textId="77777777" w:rsidR="000A134A" w:rsidRPr="001C1E47" w:rsidRDefault="000A134A" w:rsidP="00115C24">
      <w:pPr>
        <w:widowControl/>
        <w:autoSpaceDE/>
        <w:autoSpaceDN/>
        <w:adjustRightInd/>
        <w:jc w:val="center"/>
        <w:rPr>
          <w:rFonts w:cs="Calibri"/>
          <w:b/>
          <w:bCs/>
        </w:rPr>
      </w:pPr>
    </w:p>
    <w:p w14:paraId="1EA42317" w14:textId="77777777" w:rsidR="000A134A" w:rsidRPr="001C1E47" w:rsidRDefault="000A134A" w:rsidP="00115C24">
      <w:pPr>
        <w:widowControl/>
        <w:tabs>
          <w:tab w:val="right" w:pos="9720"/>
        </w:tabs>
        <w:autoSpaceDE/>
        <w:autoSpaceDN/>
        <w:adjustRightInd/>
        <w:jc w:val="center"/>
        <w:rPr>
          <w:rFonts w:cs="Calibri"/>
          <w:b/>
          <w:bCs/>
        </w:rPr>
      </w:pPr>
    </w:p>
    <w:p w14:paraId="19E2F8B5" w14:textId="77777777" w:rsidR="000A134A" w:rsidRPr="0061177B" w:rsidRDefault="000A134A" w:rsidP="00115C24">
      <w:pPr>
        <w:widowControl/>
        <w:autoSpaceDE/>
        <w:autoSpaceDN/>
        <w:adjustRightInd/>
        <w:jc w:val="center"/>
        <w:rPr>
          <w:rFonts w:cs="Calibri"/>
          <w:bCs/>
          <w:iCs/>
        </w:rPr>
      </w:pPr>
    </w:p>
    <w:p w14:paraId="336BF8F1" w14:textId="23048DF7" w:rsidR="000A134A" w:rsidRPr="001C1E47" w:rsidRDefault="000A134A" w:rsidP="00115C24">
      <w:pPr>
        <w:widowControl/>
        <w:autoSpaceDE/>
        <w:autoSpaceDN/>
        <w:adjustRightInd/>
        <w:jc w:val="center"/>
        <w:rPr>
          <w:rFonts w:cs="Calibri"/>
          <w:b/>
        </w:rPr>
      </w:pPr>
      <w:r w:rsidRPr="001C1E47">
        <w:rPr>
          <w:rFonts w:cs="Calibri"/>
          <w:b/>
        </w:rPr>
        <w:t>Prepared by:</w:t>
      </w:r>
    </w:p>
    <w:p w14:paraId="503A1070" w14:textId="00C6F4C8" w:rsidR="000A134A" w:rsidRPr="001C1E47" w:rsidRDefault="000A134A" w:rsidP="00115C24">
      <w:pPr>
        <w:widowControl/>
        <w:autoSpaceDE/>
        <w:autoSpaceDN/>
        <w:adjustRightInd/>
        <w:jc w:val="center"/>
        <w:rPr>
          <w:rFonts w:cs="Calibri"/>
          <w:b/>
        </w:rPr>
      </w:pPr>
      <w:r w:rsidRPr="001C1E47">
        <w:rPr>
          <w:rFonts w:cs="Calibri"/>
          <w:b/>
        </w:rPr>
        <w:t>U. S. Department of Labor</w:t>
      </w:r>
    </w:p>
    <w:p w14:paraId="5E957F30" w14:textId="77777777" w:rsidR="000A134A" w:rsidRPr="001C1E47" w:rsidRDefault="000A134A" w:rsidP="00115C24">
      <w:pPr>
        <w:widowControl/>
        <w:autoSpaceDE/>
        <w:autoSpaceDN/>
        <w:adjustRightInd/>
        <w:jc w:val="center"/>
        <w:rPr>
          <w:rFonts w:cs="Calibri"/>
          <w:b/>
        </w:rPr>
      </w:pPr>
      <w:r w:rsidRPr="001C1E47">
        <w:rPr>
          <w:rFonts w:cs="Calibri"/>
          <w:b/>
        </w:rPr>
        <w:t>Occupational Safety and Health Administration</w:t>
      </w:r>
    </w:p>
    <w:p w14:paraId="283D40DC" w14:textId="3ED636E5" w:rsidR="000A134A" w:rsidRPr="001C1E47" w:rsidRDefault="00A20FC2" w:rsidP="00115C24">
      <w:pPr>
        <w:widowControl/>
        <w:autoSpaceDE/>
        <w:autoSpaceDN/>
        <w:adjustRightInd/>
        <w:jc w:val="center"/>
        <w:rPr>
          <w:rFonts w:cs="Calibri"/>
          <w:b/>
        </w:rPr>
      </w:pPr>
      <w:r>
        <w:rPr>
          <w:rFonts w:cs="Calibri"/>
          <w:b/>
        </w:rPr>
        <w:t xml:space="preserve">Chicago </w:t>
      </w:r>
      <w:r w:rsidR="000A134A" w:rsidRPr="001C1E47">
        <w:rPr>
          <w:rFonts w:cs="Calibri"/>
          <w:b/>
        </w:rPr>
        <w:t>Region</w:t>
      </w:r>
    </w:p>
    <w:p w14:paraId="50EE0B64" w14:textId="210B8029" w:rsidR="000A134A" w:rsidRPr="003F6EC3" w:rsidRDefault="001606F7" w:rsidP="00115C24">
      <w:pPr>
        <w:widowControl/>
        <w:autoSpaceDE/>
        <w:autoSpaceDN/>
        <w:adjustRightInd/>
        <w:jc w:val="center"/>
        <w:rPr>
          <w:rFonts w:cs="Calibri"/>
          <w:b/>
        </w:rPr>
      </w:pPr>
      <w:r w:rsidRPr="003F6EC3">
        <w:rPr>
          <w:rFonts w:cs="Calibri"/>
          <w:b/>
        </w:rPr>
        <w:t>Toledo, Ohio</w:t>
      </w:r>
    </w:p>
    <w:p w14:paraId="5737E281" w14:textId="77777777" w:rsidR="000A134A" w:rsidRPr="001C1E47" w:rsidRDefault="000A134A" w:rsidP="00115C24">
      <w:pPr>
        <w:widowControl/>
        <w:autoSpaceDE/>
        <w:autoSpaceDN/>
        <w:adjustRightInd/>
        <w:jc w:val="center"/>
        <w:rPr>
          <w:rFonts w:cs="Calibri"/>
          <w:b/>
        </w:rPr>
      </w:pPr>
    </w:p>
    <w:p w14:paraId="15F94D47" w14:textId="77777777" w:rsidR="000A134A" w:rsidRPr="001C1E47" w:rsidRDefault="000A134A" w:rsidP="00115C24">
      <w:pPr>
        <w:widowControl/>
        <w:autoSpaceDE/>
        <w:autoSpaceDN/>
        <w:adjustRightInd/>
        <w:jc w:val="center"/>
        <w:rPr>
          <w:rFonts w:cs="Calibri"/>
          <w:b/>
        </w:rPr>
      </w:pPr>
    </w:p>
    <w:p w14:paraId="18164B2D" w14:textId="77777777" w:rsidR="000A134A" w:rsidRPr="001C1E47" w:rsidRDefault="000A134A" w:rsidP="00115C24">
      <w:pPr>
        <w:widowControl/>
        <w:autoSpaceDE/>
        <w:autoSpaceDN/>
        <w:adjustRightInd/>
        <w:jc w:val="center"/>
        <w:rPr>
          <w:rFonts w:cs="Calibri"/>
          <w:b/>
        </w:rPr>
      </w:pPr>
    </w:p>
    <w:p w14:paraId="2A63637C" w14:textId="77777777" w:rsidR="000A134A" w:rsidRPr="001C1E47" w:rsidRDefault="000A134A" w:rsidP="00115C24">
      <w:pPr>
        <w:widowControl/>
        <w:autoSpaceDE/>
        <w:autoSpaceDN/>
        <w:adjustRightInd/>
        <w:jc w:val="center"/>
        <w:rPr>
          <w:rFonts w:cs="Calibri"/>
          <w:b/>
        </w:rPr>
      </w:pPr>
    </w:p>
    <w:p w14:paraId="41EC6729" w14:textId="77777777" w:rsidR="000A134A" w:rsidRPr="001C1E47" w:rsidRDefault="000A134A" w:rsidP="00115C24">
      <w:pPr>
        <w:widowControl/>
        <w:autoSpaceDE/>
        <w:autoSpaceDN/>
        <w:adjustRightInd/>
        <w:jc w:val="center"/>
        <w:rPr>
          <w:rFonts w:cs="Calibri"/>
          <w:b/>
          <w:sz w:val="40"/>
          <w:szCs w:val="40"/>
        </w:rPr>
      </w:pPr>
      <w:r w:rsidRPr="001C1E47">
        <w:rPr>
          <w:rFonts w:cs="Calibr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53E64F1" w14:textId="4341AAF4" w:rsidR="002A6CAA" w:rsidRPr="00CB4636" w:rsidRDefault="00F43B23">
      <w:pPr>
        <w:widowControl/>
        <w:autoSpaceDE/>
        <w:autoSpaceDN/>
        <w:adjustRightInd/>
        <w:rPr>
          <w:rFonts w:cs="Calibri"/>
          <w:b/>
          <w:sz w:val="40"/>
          <w:szCs w:val="40"/>
        </w:rPr>
      </w:pPr>
      <w:r>
        <w:rPr>
          <w:rFonts w:cs="Calibri"/>
          <w:b/>
          <w:sz w:val="40"/>
          <w:szCs w:val="40"/>
        </w:rPr>
        <w:br w:type="page"/>
      </w:r>
      <w:r w:rsidRPr="00F43B23">
        <w:rPr>
          <w:rFonts w:cs="Calibri"/>
          <w:b/>
          <w:sz w:val="28"/>
          <w:szCs w:val="28"/>
        </w:rPr>
        <w:lastRenderedPageBreak/>
        <w:t>Table of Contents</w:t>
      </w:r>
    </w:p>
    <w:p w14:paraId="161B9969" w14:textId="6CBF515C" w:rsidR="000F63C1" w:rsidRDefault="000F63C1">
      <w:pPr>
        <w:pStyle w:val="TOC2"/>
        <w:tabs>
          <w:tab w:val="left" w:pos="480"/>
          <w:tab w:val="right" w:leader="dot" w:pos="9530"/>
        </w:tabs>
        <w:rPr>
          <w:rFonts w:eastAsiaTheme="minorEastAsia" w:cstheme="minorBidi"/>
          <w:b/>
          <w:bCs w:val="0"/>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sidR="00E779DC">
          <w:rPr>
            <w:noProof/>
            <w:webHidden/>
          </w:rPr>
          <w:t>3</w:t>
        </w:r>
        <w:r>
          <w:rPr>
            <w:noProof/>
            <w:webHidden/>
          </w:rPr>
          <w:fldChar w:fldCharType="end"/>
        </w:r>
      </w:hyperlink>
    </w:p>
    <w:p w14:paraId="3BD91ACD" w14:textId="18007611" w:rsidR="000F63C1" w:rsidRDefault="000F63C1">
      <w:pPr>
        <w:pStyle w:val="TOC2"/>
        <w:tabs>
          <w:tab w:val="left" w:pos="480"/>
          <w:tab w:val="right" w:leader="dot" w:pos="9530"/>
        </w:tabs>
        <w:rPr>
          <w:rFonts w:eastAsiaTheme="minorEastAsia" w:cstheme="minorBidi"/>
          <w:b/>
          <w:bCs w:val="0"/>
          <w:noProof/>
          <w:sz w:val="22"/>
          <w:szCs w:val="22"/>
        </w:rPr>
      </w:pPr>
      <w:hyperlink w:anchor="_Toc119418664" w:history="1">
        <w:r w:rsidRPr="00B5463F">
          <w:rPr>
            <w:rStyle w:val="Hyperlink"/>
            <w:noProof/>
          </w:rPr>
          <w:t>II.</w:t>
        </w:r>
        <w:r>
          <w:rPr>
            <w:rFonts w:eastAsiaTheme="minorEastAsia" w:cstheme="minorBidi"/>
            <w:b/>
            <w:bCs w:val="0"/>
            <w:noProof/>
            <w:sz w:val="22"/>
            <w:szCs w:val="22"/>
          </w:rPr>
          <w:tab/>
        </w:r>
        <w:r w:rsidRPr="00B5463F">
          <w:rPr>
            <w:rStyle w:val="Hyperlink"/>
            <w:noProof/>
          </w:rPr>
          <w:t>State Plan Background</w:t>
        </w:r>
        <w:r>
          <w:rPr>
            <w:noProof/>
            <w:webHidden/>
          </w:rPr>
          <w:tab/>
        </w:r>
        <w:r w:rsidR="009570D0">
          <w:rPr>
            <w:noProof/>
            <w:webHidden/>
          </w:rPr>
          <w:t>4</w:t>
        </w:r>
      </w:hyperlink>
    </w:p>
    <w:p w14:paraId="12E60A29" w14:textId="62569DA8" w:rsidR="000F63C1" w:rsidRDefault="000F63C1">
      <w:pPr>
        <w:pStyle w:val="TOC2"/>
        <w:tabs>
          <w:tab w:val="left" w:pos="480"/>
          <w:tab w:val="right" w:leader="dot" w:pos="9530"/>
        </w:tabs>
        <w:rPr>
          <w:rFonts w:eastAsiaTheme="minorEastAsia" w:cstheme="minorBidi"/>
          <w:b/>
          <w:bCs w:val="0"/>
          <w:noProof/>
          <w:sz w:val="22"/>
          <w:szCs w:val="22"/>
        </w:rPr>
      </w:pPr>
      <w:hyperlink w:anchor="_Toc119418665" w:history="1">
        <w:r w:rsidRPr="00B5463F">
          <w:rPr>
            <w:rStyle w:val="Hyperlink"/>
            <w:noProof/>
          </w:rPr>
          <w:t>III.</w:t>
        </w:r>
        <w:r>
          <w:rPr>
            <w:rFonts w:eastAsiaTheme="minorEastAsia" w:cstheme="minorBidi"/>
            <w:b/>
            <w:bCs w:val="0"/>
            <w:noProof/>
            <w:sz w:val="22"/>
            <w:szCs w:val="22"/>
          </w:rPr>
          <w:tab/>
        </w:r>
        <w:r w:rsidRPr="00B5463F">
          <w:rPr>
            <w:rStyle w:val="Hyperlink"/>
            <w:noProof/>
          </w:rPr>
          <w:t>Assessment of State Plan Progress and Performance</w:t>
        </w:r>
        <w:r>
          <w:rPr>
            <w:noProof/>
            <w:webHidden/>
          </w:rPr>
          <w:tab/>
        </w:r>
        <w:r>
          <w:rPr>
            <w:noProof/>
            <w:webHidden/>
          </w:rPr>
          <w:fldChar w:fldCharType="begin"/>
        </w:r>
        <w:r>
          <w:rPr>
            <w:noProof/>
            <w:webHidden/>
          </w:rPr>
          <w:instrText xml:space="preserve"> PAGEREF _Toc119418665 \h </w:instrText>
        </w:r>
        <w:r>
          <w:rPr>
            <w:noProof/>
            <w:webHidden/>
          </w:rPr>
        </w:r>
        <w:r>
          <w:rPr>
            <w:noProof/>
            <w:webHidden/>
          </w:rPr>
          <w:fldChar w:fldCharType="separate"/>
        </w:r>
        <w:r w:rsidR="00E779DC">
          <w:rPr>
            <w:noProof/>
            <w:webHidden/>
          </w:rPr>
          <w:t>5</w:t>
        </w:r>
        <w:r>
          <w:rPr>
            <w:noProof/>
            <w:webHidden/>
          </w:rPr>
          <w:fldChar w:fldCharType="end"/>
        </w:r>
      </w:hyperlink>
    </w:p>
    <w:p w14:paraId="1E2078A6" w14:textId="67CCAFAE" w:rsidR="000F63C1" w:rsidRDefault="000F63C1">
      <w:pPr>
        <w:pStyle w:val="TOC3"/>
        <w:tabs>
          <w:tab w:val="left" w:pos="720"/>
          <w:tab w:val="right" w:leader="dot" w:pos="9530"/>
        </w:tabs>
        <w:rPr>
          <w:rFonts w:eastAsiaTheme="minorEastAsia" w:cstheme="minorBidi"/>
          <w:noProof/>
          <w:sz w:val="22"/>
          <w:szCs w:val="22"/>
        </w:rPr>
      </w:pPr>
      <w:hyperlink w:anchor="_Toc119418666" w:history="1">
        <w:r w:rsidRPr="00B5463F">
          <w:rPr>
            <w:rStyle w:val="Hyperlink"/>
            <w:rFonts w:ascii="Calibri" w:hAnsi="Calibri"/>
            <w:noProof/>
          </w:rPr>
          <w:t>A.</w:t>
        </w:r>
        <w:r>
          <w:rPr>
            <w:rFonts w:eastAsiaTheme="minorEastAsia" w:cstheme="minorBidi"/>
            <w:noProof/>
            <w:sz w:val="22"/>
            <w:szCs w:val="22"/>
          </w:rPr>
          <w:tab/>
        </w:r>
        <w:r w:rsidRPr="00B5463F">
          <w:rPr>
            <w:rStyle w:val="Hyperlink"/>
            <w:noProof/>
          </w:rPr>
          <w:t>Data and Methodology</w:t>
        </w:r>
        <w:r>
          <w:rPr>
            <w:noProof/>
            <w:webHidden/>
          </w:rPr>
          <w:tab/>
        </w:r>
        <w:r>
          <w:rPr>
            <w:noProof/>
            <w:webHidden/>
          </w:rPr>
          <w:fldChar w:fldCharType="begin"/>
        </w:r>
        <w:r>
          <w:rPr>
            <w:noProof/>
            <w:webHidden/>
          </w:rPr>
          <w:instrText xml:space="preserve"> PAGEREF _Toc119418666 \h </w:instrText>
        </w:r>
        <w:r>
          <w:rPr>
            <w:noProof/>
            <w:webHidden/>
          </w:rPr>
        </w:r>
        <w:r>
          <w:rPr>
            <w:noProof/>
            <w:webHidden/>
          </w:rPr>
          <w:fldChar w:fldCharType="separate"/>
        </w:r>
        <w:r w:rsidR="00E779DC">
          <w:rPr>
            <w:noProof/>
            <w:webHidden/>
          </w:rPr>
          <w:t>5</w:t>
        </w:r>
        <w:r>
          <w:rPr>
            <w:noProof/>
            <w:webHidden/>
          </w:rPr>
          <w:fldChar w:fldCharType="end"/>
        </w:r>
      </w:hyperlink>
    </w:p>
    <w:p w14:paraId="5EC14328" w14:textId="72F7C2F4" w:rsidR="000F63C1" w:rsidRDefault="000F63C1">
      <w:pPr>
        <w:pStyle w:val="TOC3"/>
        <w:tabs>
          <w:tab w:val="left" w:pos="720"/>
          <w:tab w:val="right" w:leader="dot" w:pos="9530"/>
        </w:tabs>
        <w:rPr>
          <w:rFonts w:eastAsiaTheme="minorEastAsia" w:cstheme="minorBidi"/>
          <w:noProof/>
          <w:sz w:val="22"/>
          <w:szCs w:val="22"/>
        </w:rPr>
      </w:pPr>
      <w:hyperlink w:anchor="_Toc119418667" w:history="1">
        <w:r w:rsidRPr="00B5463F">
          <w:rPr>
            <w:rStyle w:val="Hyperlink"/>
            <w:rFonts w:ascii="Calibri" w:hAnsi="Calibri"/>
            <w:noProof/>
          </w:rPr>
          <w:t>B.</w:t>
        </w:r>
        <w:r>
          <w:rPr>
            <w:rFonts w:eastAsiaTheme="minorEastAsia" w:cstheme="minorBidi"/>
            <w:noProof/>
            <w:sz w:val="22"/>
            <w:szCs w:val="22"/>
          </w:rPr>
          <w:tab/>
        </w:r>
        <w:r w:rsidRPr="00B5463F">
          <w:rPr>
            <w:rStyle w:val="Hyperlink"/>
            <w:noProof/>
          </w:rPr>
          <w:t>Findings and Observations</w:t>
        </w:r>
        <w:r>
          <w:rPr>
            <w:noProof/>
            <w:webHidden/>
          </w:rPr>
          <w:tab/>
        </w:r>
        <w:r>
          <w:rPr>
            <w:noProof/>
            <w:webHidden/>
          </w:rPr>
          <w:fldChar w:fldCharType="begin"/>
        </w:r>
        <w:r>
          <w:rPr>
            <w:noProof/>
            <w:webHidden/>
          </w:rPr>
          <w:instrText xml:space="preserve"> PAGEREF _Toc119418667 \h </w:instrText>
        </w:r>
        <w:r>
          <w:rPr>
            <w:noProof/>
            <w:webHidden/>
          </w:rPr>
        </w:r>
        <w:r>
          <w:rPr>
            <w:noProof/>
            <w:webHidden/>
          </w:rPr>
          <w:fldChar w:fldCharType="separate"/>
        </w:r>
        <w:r w:rsidR="00E779DC">
          <w:rPr>
            <w:noProof/>
            <w:webHidden/>
          </w:rPr>
          <w:t>5</w:t>
        </w:r>
        <w:r>
          <w:rPr>
            <w:noProof/>
            <w:webHidden/>
          </w:rPr>
          <w:fldChar w:fldCharType="end"/>
        </w:r>
      </w:hyperlink>
    </w:p>
    <w:p w14:paraId="373A40FB" w14:textId="2BE5CB64" w:rsidR="000F63C1" w:rsidRDefault="000F63C1">
      <w:pPr>
        <w:pStyle w:val="TOC3"/>
        <w:tabs>
          <w:tab w:val="left" w:pos="720"/>
          <w:tab w:val="right" w:leader="dot" w:pos="9530"/>
        </w:tabs>
        <w:rPr>
          <w:rFonts w:eastAsiaTheme="minorEastAsia" w:cstheme="minorBidi"/>
          <w:noProof/>
          <w:sz w:val="22"/>
          <w:szCs w:val="22"/>
        </w:rPr>
      </w:pPr>
      <w:hyperlink w:anchor="_Toc119418668" w:history="1">
        <w:r w:rsidRPr="00B5463F">
          <w:rPr>
            <w:rStyle w:val="Hyperlink"/>
            <w:rFonts w:ascii="Calibri" w:hAnsi="Calibri"/>
            <w:noProof/>
          </w:rPr>
          <w:t>C.</w:t>
        </w:r>
        <w:r>
          <w:rPr>
            <w:rFonts w:eastAsiaTheme="minorEastAsia" w:cstheme="minorBidi"/>
            <w:noProof/>
            <w:sz w:val="22"/>
            <w:szCs w:val="22"/>
          </w:rPr>
          <w:tab/>
        </w:r>
        <w:r w:rsidRPr="00B5463F">
          <w:rPr>
            <w:rStyle w:val="Hyperlink"/>
            <w:noProof/>
          </w:rPr>
          <w:t>State Activity Mandated Measures (SAMM) Highlights</w:t>
        </w:r>
        <w:r>
          <w:rPr>
            <w:noProof/>
            <w:webHidden/>
          </w:rPr>
          <w:tab/>
        </w:r>
        <w:r w:rsidR="00443E85">
          <w:rPr>
            <w:noProof/>
            <w:webHidden/>
          </w:rPr>
          <w:t>7</w:t>
        </w:r>
      </w:hyperlink>
    </w:p>
    <w:p w14:paraId="50DBA2CB" w14:textId="0685E294" w:rsidR="000F63C1" w:rsidRDefault="000F63C1">
      <w:pPr>
        <w:pStyle w:val="TOC3"/>
        <w:tabs>
          <w:tab w:val="right" w:leader="dot" w:pos="9530"/>
        </w:tabs>
        <w:rPr>
          <w:rFonts w:eastAsiaTheme="minorEastAsia" w:cstheme="minorBidi"/>
          <w:noProof/>
          <w:sz w:val="22"/>
          <w:szCs w:val="22"/>
        </w:rPr>
      </w:pPr>
      <w:hyperlink w:anchor="_Toc119418669" w:history="1">
        <w:r w:rsidRPr="00B5463F">
          <w:rPr>
            <w:rStyle w:val="Hyperlink"/>
            <w:noProof/>
          </w:rPr>
          <w:t>Appendix A – New and Continued Findings and Recommendations</w:t>
        </w:r>
        <w:r>
          <w:rPr>
            <w:noProof/>
            <w:webHidden/>
          </w:rPr>
          <w:tab/>
        </w:r>
        <w:r w:rsidR="00443E85">
          <w:rPr>
            <w:noProof/>
            <w:webHidden/>
          </w:rPr>
          <w:t>11</w:t>
        </w:r>
      </w:hyperlink>
    </w:p>
    <w:p w14:paraId="150115C6" w14:textId="40F98AE6" w:rsidR="000F63C1" w:rsidRDefault="000F63C1">
      <w:pPr>
        <w:pStyle w:val="TOC3"/>
        <w:tabs>
          <w:tab w:val="right" w:leader="dot" w:pos="9530"/>
        </w:tabs>
        <w:rPr>
          <w:rFonts w:eastAsiaTheme="minorEastAsia" w:cstheme="minorBidi"/>
          <w:noProof/>
          <w:sz w:val="22"/>
          <w:szCs w:val="22"/>
        </w:rPr>
      </w:pPr>
      <w:hyperlink w:anchor="_Toc119418670" w:history="1">
        <w:r w:rsidRPr="00B5463F">
          <w:rPr>
            <w:rStyle w:val="Hyperlink"/>
            <w:noProof/>
          </w:rPr>
          <w:t>Appendix B – Observations Subject to Continued Monitoring</w:t>
        </w:r>
        <w:r>
          <w:rPr>
            <w:noProof/>
            <w:webHidden/>
          </w:rPr>
          <w:tab/>
        </w:r>
        <w:r w:rsidR="00F12A54">
          <w:rPr>
            <w:noProof/>
            <w:webHidden/>
          </w:rPr>
          <w:t>12</w:t>
        </w:r>
      </w:hyperlink>
    </w:p>
    <w:p w14:paraId="65AD001B" w14:textId="020DE48A" w:rsidR="000F63C1" w:rsidRDefault="000F63C1">
      <w:pPr>
        <w:pStyle w:val="TOC3"/>
        <w:tabs>
          <w:tab w:val="right" w:leader="dot" w:pos="9530"/>
        </w:tabs>
        <w:rPr>
          <w:rFonts w:eastAsiaTheme="minorEastAsia" w:cstheme="minorBidi"/>
          <w:noProof/>
          <w:sz w:val="22"/>
          <w:szCs w:val="22"/>
        </w:rPr>
      </w:pPr>
      <w:hyperlink w:anchor="_Toc119418671" w:history="1">
        <w:r w:rsidRPr="00B5463F">
          <w:rPr>
            <w:rStyle w:val="Hyperlink"/>
            <w:noProof/>
          </w:rPr>
          <w:t>Appendix C - Status of FY 20</w:t>
        </w:r>
        <w:r w:rsidR="001606F7">
          <w:rPr>
            <w:rStyle w:val="Hyperlink"/>
            <w:noProof/>
          </w:rPr>
          <w:t>2</w:t>
        </w:r>
        <w:r w:rsidR="00603E88">
          <w:rPr>
            <w:rStyle w:val="Hyperlink"/>
            <w:noProof/>
          </w:rPr>
          <w:t>3</w:t>
        </w:r>
        <w:r w:rsidRPr="00B5463F">
          <w:rPr>
            <w:rStyle w:val="Hyperlink"/>
            <w:noProof/>
          </w:rPr>
          <w:t xml:space="preserve"> Findings and Recommendations</w:t>
        </w:r>
        <w:r>
          <w:rPr>
            <w:noProof/>
            <w:webHidden/>
          </w:rPr>
          <w:tab/>
        </w:r>
        <w:r w:rsidR="00F12A54">
          <w:rPr>
            <w:noProof/>
            <w:webHidden/>
          </w:rPr>
          <w:t>1</w:t>
        </w:r>
        <w:r w:rsidR="00101BBE">
          <w:rPr>
            <w:noProof/>
            <w:webHidden/>
          </w:rPr>
          <w:t>4</w:t>
        </w:r>
      </w:hyperlink>
    </w:p>
    <w:p w14:paraId="38E9E7F9" w14:textId="6248B17A" w:rsidR="000F63C1" w:rsidRDefault="000F63C1">
      <w:pPr>
        <w:pStyle w:val="TOC3"/>
        <w:tabs>
          <w:tab w:val="right" w:leader="dot" w:pos="9530"/>
        </w:tabs>
        <w:rPr>
          <w:rFonts w:eastAsiaTheme="minorEastAsia" w:cstheme="minorBidi"/>
          <w:noProof/>
          <w:sz w:val="22"/>
          <w:szCs w:val="22"/>
        </w:rPr>
      </w:pPr>
      <w:hyperlink w:anchor="_Toc119418672" w:history="1">
        <w:r w:rsidRPr="00B5463F">
          <w:rPr>
            <w:rStyle w:val="Hyperlink"/>
            <w:noProof/>
          </w:rPr>
          <w:t>Appendix D – FY 20</w:t>
        </w:r>
        <w:r w:rsidR="001606F7" w:rsidRPr="003F6EC3">
          <w:rPr>
            <w:rStyle w:val="Hyperlink"/>
            <w:noProof/>
            <w:color w:val="auto"/>
          </w:rPr>
          <w:t>24</w:t>
        </w:r>
        <w:r w:rsidRPr="003F6EC3">
          <w:rPr>
            <w:rStyle w:val="Hyperlink"/>
            <w:noProof/>
            <w:color w:val="auto"/>
          </w:rPr>
          <w:t xml:space="preserve"> </w:t>
        </w:r>
        <w:r w:rsidRPr="00B5463F">
          <w:rPr>
            <w:rStyle w:val="Hyperlink"/>
            <w:noProof/>
          </w:rPr>
          <w:t>State Activity Mandated Measures (SAMM) Report</w:t>
        </w:r>
        <w:r>
          <w:rPr>
            <w:noProof/>
            <w:webHidden/>
          </w:rPr>
          <w:tab/>
        </w:r>
        <w:r>
          <w:rPr>
            <w:noProof/>
            <w:webHidden/>
          </w:rPr>
          <w:fldChar w:fldCharType="begin"/>
        </w:r>
        <w:r>
          <w:rPr>
            <w:noProof/>
            <w:webHidden/>
          </w:rPr>
          <w:instrText xml:space="preserve"> PAGEREF _Toc119418672 \h </w:instrText>
        </w:r>
        <w:r>
          <w:rPr>
            <w:noProof/>
            <w:webHidden/>
          </w:rPr>
        </w:r>
        <w:r>
          <w:rPr>
            <w:noProof/>
            <w:webHidden/>
          </w:rPr>
          <w:fldChar w:fldCharType="separate"/>
        </w:r>
        <w:r w:rsidR="00E779DC">
          <w:rPr>
            <w:noProof/>
            <w:webHidden/>
          </w:rPr>
          <w:t>1</w:t>
        </w:r>
        <w:r w:rsidR="00101BBE">
          <w:rPr>
            <w:noProof/>
            <w:webHidden/>
          </w:rPr>
          <w:t>5</w:t>
        </w:r>
        <w:r>
          <w:rPr>
            <w:noProof/>
            <w:webHidden/>
          </w:rPr>
          <w:fldChar w:fldCharType="end"/>
        </w:r>
      </w:hyperlink>
    </w:p>
    <w:p w14:paraId="5025DE29" w14:textId="636CF2F6" w:rsidR="000A134A" w:rsidRPr="00D13956" w:rsidRDefault="000F63C1" w:rsidP="00D13956">
      <w:r>
        <w:fldChar w:fldCharType="end"/>
      </w:r>
      <w:r w:rsidR="00B823A3">
        <w:br w:type="page"/>
      </w:r>
    </w:p>
    <w:p w14:paraId="57C8B837" w14:textId="77777777" w:rsidR="000A134A" w:rsidRPr="001C1E47" w:rsidRDefault="000A134A" w:rsidP="00476C08">
      <w:pPr>
        <w:pStyle w:val="Heading2"/>
      </w:pPr>
      <w:bookmarkStart w:id="2" w:name="_Toc338764303"/>
      <w:bookmarkStart w:id="3" w:name="_Toc118900170"/>
      <w:bookmarkStart w:id="4" w:name="_Toc118905009"/>
      <w:bookmarkStart w:id="5" w:name="_Toc119418663"/>
      <w:r w:rsidRPr="001C1E47">
        <w:lastRenderedPageBreak/>
        <w:t>Executive Summary</w:t>
      </w:r>
      <w:bookmarkEnd w:id="2"/>
      <w:bookmarkEnd w:id="3"/>
      <w:bookmarkEnd w:id="4"/>
      <w:bookmarkEnd w:id="5"/>
    </w:p>
    <w:p w14:paraId="0FB360B9" w14:textId="26509D0C" w:rsidR="006A1E64" w:rsidRPr="006A1E64" w:rsidRDefault="006A1E64" w:rsidP="00A71CBB">
      <w:pPr>
        <w:adjustRightInd/>
        <w:spacing w:before="293"/>
        <w:ind w:left="120"/>
        <w:rPr>
          <w:rFonts w:eastAsia="Calibri" w:cs="Calibri"/>
        </w:rPr>
      </w:pPr>
      <w:r w:rsidRPr="006A1E64">
        <w:rPr>
          <w:rFonts w:eastAsia="Calibri" w:cs="Calibri"/>
        </w:rPr>
        <w:t>The</w:t>
      </w:r>
      <w:r w:rsidRPr="006A1E64">
        <w:rPr>
          <w:rFonts w:eastAsia="Calibri" w:cs="Calibri"/>
          <w:spacing w:val="-3"/>
        </w:rPr>
        <w:t xml:space="preserve"> </w:t>
      </w:r>
      <w:r w:rsidRPr="006A1E64">
        <w:rPr>
          <w:rFonts w:eastAsia="Calibri" w:cs="Calibri"/>
        </w:rPr>
        <w:t>primary</w:t>
      </w:r>
      <w:r w:rsidRPr="006A1E64">
        <w:rPr>
          <w:rFonts w:eastAsia="Calibri" w:cs="Calibri"/>
          <w:spacing w:val="-5"/>
        </w:rPr>
        <w:t xml:space="preserve"> </w:t>
      </w:r>
      <w:r w:rsidRPr="006A1E64">
        <w:rPr>
          <w:rFonts w:eastAsia="Calibri" w:cs="Calibri"/>
        </w:rPr>
        <w:t>purpose</w:t>
      </w:r>
      <w:r w:rsidRPr="006A1E64">
        <w:rPr>
          <w:rFonts w:eastAsia="Calibri" w:cs="Calibri"/>
          <w:spacing w:val="-3"/>
        </w:rPr>
        <w:t xml:space="preserve"> </w:t>
      </w:r>
      <w:r w:rsidRPr="006A1E64">
        <w:rPr>
          <w:rFonts w:eastAsia="Calibri" w:cs="Calibri"/>
        </w:rPr>
        <w:t>of</w:t>
      </w:r>
      <w:r w:rsidRPr="006A1E64">
        <w:rPr>
          <w:rFonts w:eastAsia="Calibri" w:cs="Calibri"/>
          <w:spacing w:val="-3"/>
        </w:rPr>
        <w:t xml:space="preserve"> </w:t>
      </w:r>
      <w:r w:rsidRPr="006A1E64">
        <w:rPr>
          <w:rFonts w:eastAsia="Calibri" w:cs="Calibri"/>
        </w:rPr>
        <w:t>this</w:t>
      </w:r>
      <w:r w:rsidRPr="006A1E64">
        <w:rPr>
          <w:rFonts w:eastAsia="Calibri" w:cs="Calibri"/>
          <w:spacing w:val="-2"/>
        </w:rPr>
        <w:t xml:space="preserve"> </w:t>
      </w:r>
      <w:r w:rsidRPr="006A1E64">
        <w:rPr>
          <w:rFonts w:eastAsia="Calibri" w:cs="Calibri"/>
        </w:rPr>
        <w:t>report is</w:t>
      </w:r>
      <w:r w:rsidRPr="006A1E64">
        <w:rPr>
          <w:rFonts w:eastAsia="Calibri" w:cs="Calibri"/>
          <w:spacing w:val="-4"/>
        </w:rPr>
        <w:t xml:space="preserve"> </w:t>
      </w:r>
      <w:r w:rsidRPr="006A1E64">
        <w:rPr>
          <w:rFonts w:eastAsia="Calibri" w:cs="Calibri"/>
        </w:rPr>
        <w:t>to</w:t>
      </w:r>
      <w:r w:rsidRPr="006A1E64">
        <w:rPr>
          <w:rFonts w:eastAsia="Calibri" w:cs="Calibri"/>
          <w:spacing w:val="-1"/>
        </w:rPr>
        <w:t xml:space="preserve"> </w:t>
      </w:r>
      <w:r w:rsidRPr="006A1E64">
        <w:rPr>
          <w:rFonts w:eastAsia="Calibri" w:cs="Calibri"/>
        </w:rPr>
        <w:t>assess</w:t>
      </w:r>
      <w:r w:rsidRPr="006A1E64">
        <w:rPr>
          <w:rFonts w:eastAsia="Calibri" w:cs="Calibri"/>
          <w:spacing w:val="-4"/>
        </w:rPr>
        <w:t xml:space="preserve"> </w:t>
      </w:r>
      <w:r w:rsidRPr="006A1E64">
        <w:rPr>
          <w:rFonts w:eastAsia="Calibri" w:cs="Calibri"/>
        </w:rPr>
        <w:t>the</w:t>
      </w:r>
      <w:r w:rsidRPr="006A1E64">
        <w:rPr>
          <w:rFonts w:eastAsia="Calibri" w:cs="Calibri"/>
          <w:spacing w:val="-1"/>
        </w:rPr>
        <w:t xml:space="preserve"> </w:t>
      </w:r>
      <w:r w:rsidRPr="006A1E64">
        <w:rPr>
          <w:rFonts w:eastAsia="Calibri" w:cs="Calibri"/>
        </w:rPr>
        <w:t>State</w:t>
      </w:r>
      <w:r w:rsidRPr="006A1E64">
        <w:rPr>
          <w:rFonts w:eastAsia="Calibri" w:cs="Calibri"/>
          <w:spacing w:val="-3"/>
        </w:rPr>
        <w:t xml:space="preserve"> </w:t>
      </w:r>
      <w:r w:rsidRPr="006A1E64">
        <w:rPr>
          <w:rFonts w:eastAsia="Calibri" w:cs="Calibri"/>
        </w:rPr>
        <w:t>Plan’s</w:t>
      </w:r>
      <w:r w:rsidRPr="006A1E64">
        <w:rPr>
          <w:rFonts w:eastAsia="Calibri" w:cs="Calibri"/>
          <w:spacing w:val="-4"/>
        </w:rPr>
        <w:t xml:space="preserve"> </w:t>
      </w:r>
      <w:r w:rsidRPr="006A1E64">
        <w:rPr>
          <w:rFonts w:eastAsia="Calibri" w:cs="Calibri"/>
        </w:rPr>
        <w:t>progress</w:t>
      </w:r>
      <w:r w:rsidRPr="006A1E64">
        <w:rPr>
          <w:rFonts w:eastAsia="Calibri" w:cs="Calibri"/>
          <w:spacing w:val="-2"/>
        </w:rPr>
        <w:t xml:space="preserve"> </w:t>
      </w:r>
      <w:r w:rsidRPr="006A1E64">
        <w:rPr>
          <w:rFonts w:eastAsia="Calibri" w:cs="Calibri"/>
        </w:rPr>
        <w:t>in</w:t>
      </w:r>
      <w:r w:rsidRPr="006A1E64">
        <w:rPr>
          <w:rFonts w:eastAsia="Calibri" w:cs="Calibri"/>
          <w:spacing w:val="-3"/>
        </w:rPr>
        <w:t xml:space="preserve"> </w:t>
      </w:r>
      <w:r w:rsidRPr="006A1E64">
        <w:rPr>
          <w:rFonts w:eastAsia="Calibri" w:cs="Calibri"/>
        </w:rPr>
        <w:t>Fiscal</w:t>
      </w:r>
      <w:r w:rsidRPr="006A1E64">
        <w:rPr>
          <w:rFonts w:eastAsia="Calibri" w:cs="Calibri"/>
          <w:spacing w:val="-1"/>
        </w:rPr>
        <w:t xml:space="preserve"> </w:t>
      </w:r>
      <w:r w:rsidRPr="006A1E64">
        <w:rPr>
          <w:rFonts w:eastAsia="Calibri" w:cs="Calibri"/>
        </w:rPr>
        <w:t>Year</w:t>
      </w:r>
      <w:r w:rsidRPr="006A1E64">
        <w:rPr>
          <w:rFonts w:eastAsia="Calibri" w:cs="Calibri"/>
          <w:spacing w:val="-4"/>
        </w:rPr>
        <w:t xml:space="preserve"> </w:t>
      </w:r>
      <w:r w:rsidRPr="006A1E64">
        <w:rPr>
          <w:rFonts w:eastAsia="Calibri" w:cs="Calibri"/>
        </w:rPr>
        <w:t>(FY)</w:t>
      </w:r>
      <w:r w:rsidRPr="006A1E64">
        <w:rPr>
          <w:rFonts w:eastAsia="Calibri" w:cs="Calibri"/>
          <w:spacing w:val="-2"/>
        </w:rPr>
        <w:t xml:space="preserve"> </w:t>
      </w:r>
      <w:r w:rsidRPr="006A1E64">
        <w:rPr>
          <w:rFonts w:eastAsia="Calibri" w:cs="Calibri"/>
        </w:rPr>
        <w:t>202</w:t>
      </w:r>
      <w:r w:rsidR="003D7CFF">
        <w:rPr>
          <w:rFonts w:eastAsia="Calibri" w:cs="Calibri"/>
        </w:rPr>
        <w:t>4</w:t>
      </w:r>
      <w:r w:rsidRPr="006A1E64">
        <w:rPr>
          <w:rFonts w:eastAsia="Calibri" w:cs="Calibri"/>
        </w:rPr>
        <w:t>,</w:t>
      </w:r>
      <w:r w:rsidRPr="006A1E64">
        <w:rPr>
          <w:rFonts w:eastAsia="Calibri" w:cs="Calibri"/>
          <w:spacing w:val="-4"/>
        </w:rPr>
        <w:t xml:space="preserve"> </w:t>
      </w:r>
      <w:r w:rsidRPr="006A1E64">
        <w:rPr>
          <w:rFonts w:eastAsia="Calibri" w:cs="Calibri"/>
        </w:rPr>
        <w:t>in resolving outstanding findings from the previous FY 202</w:t>
      </w:r>
      <w:r w:rsidR="003D7CFF">
        <w:rPr>
          <w:rFonts w:eastAsia="Calibri" w:cs="Calibri"/>
        </w:rPr>
        <w:t>3</w:t>
      </w:r>
      <w:r w:rsidRPr="006A1E64">
        <w:rPr>
          <w:rFonts w:eastAsia="Calibri" w:cs="Calibri"/>
        </w:rPr>
        <w:t xml:space="preserve"> Comprehensive Federal Annual Monitoring Evaluation (FAME) Report.</w:t>
      </w:r>
      <w:r w:rsidRPr="006A1E64">
        <w:rPr>
          <w:rFonts w:eastAsia="Calibri" w:cs="Calibri"/>
          <w:spacing w:val="40"/>
        </w:rPr>
        <w:t xml:space="preserve"> </w:t>
      </w:r>
      <w:r w:rsidRPr="006A1E64">
        <w:rPr>
          <w:rFonts w:eastAsia="Calibri" w:cs="Calibri"/>
        </w:rPr>
        <w:t xml:space="preserve">This report also assesses the current performance of the Michigan Department of Labor and Economic Opportunity – Occupational Safety and Health Administration (MIOSHA) 23(g) compliance program in the context of agreed upon monitoring </w:t>
      </w:r>
      <w:r w:rsidRPr="006A1E64">
        <w:rPr>
          <w:rFonts w:eastAsia="Calibri" w:cs="Calibri"/>
          <w:spacing w:val="-2"/>
        </w:rPr>
        <w:t>measures.</w:t>
      </w:r>
    </w:p>
    <w:p w14:paraId="6F925479" w14:textId="3358966C" w:rsidR="006A1E64" w:rsidRPr="006A1E64" w:rsidRDefault="006A1E64" w:rsidP="006A1E64">
      <w:pPr>
        <w:adjustRightInd/>
        <w:spacing w:before="291"/>
        <w:ind w:left="120" w:right="237"/>
        <w:rPr>
          <w:rFonts w:eastAsia="Calibri" w:cs="Calibri"/>
        </w:rPr>
      </w:pPr>
      <w:r w:rsidRPr="006A1E64">
        <w:rPr>
          <w:rFonts w:eastAsia="Calibri" w:cs="Calibri"/>
        </w:rPr>
        <w:t>The FY 202</w:t>
      </w:r>
      <w:r w:rsidR="00660764">
        <w:rPr>
          <w:rFonts w:eastAsia="Calibri" w:cs="Calibri"/>
        </w:rPr>
        <w:t>3</w:t>
      </w:r>
      <w:r w:rsidRPr="006A1E64">
        <w:rPr>
          <w:rFonts w:eastAsia="Calibri" w:cs="Calibri"/>
        </w:rPr>
        <w:t xml:space="preserve"> Comprehensive FAME report identified </w:t>
      </w:r>
      <w:r w:rsidR="00660764">
        <w:rPr>
          <w:rFonts w:eastAsia="Calibri" w:cs="Calibri"/>
        </w:rPr>
        <w:t>one</w:t>
      </w:r>
      <w:r w:rsidRPr="006A1E64">
        <w:rPr>
          <w:rFonts w:eastAsia="Calibri" w:cs="Calibri"/>
        </w:rPr>
        <w:t xml:space="preserve"> </w:t>
      </w:r>
      <w:r w:rsidR="00660764">
        <w:rPr>
          <w:rFonts w:eastAsia="Calibri" w:cs="Calibri"/>
        </w:rPr>
        <w:t>continued</w:t>
      </w:r>
      <w:r w:rsidRPr="006A1E64">
        <w:rPr>
          <w:rFonts w:eastAsia="Calibri" w:cs="Calibri"/>
        </w:rPr>
        <w:t xml:space="preserve"> finding and </w:t>
      </w:r>
      <w:r w:rsidR="00660764">
        <w:rPr>
          <w:rFonts w:eastAsia="Calibri" w:cs="Calibri"/>
        </w:rPr>
        <w:t>four</w:t>
      </w:r>
      <w:r w:rsidRPr="006A1E64">
        <w:rPr>
          <w:rFonts w:eastAsia="Calibri" w:cs="Calibri"/>
        </w:rPr>
        <w:t xml:space="preserve"> new observations.</w:t>
      </w:r>
      <w:r w:rsidRPr="006A1E64">
        <w:rPr>
          <w:rFonts w:eastAsia="Calibri" w:cs="Calibri"/>
          <w:spacing w:val="40"/>
        </w:rPr>
        <w:t xml:space="preserve"> </w:t>
      </w:r>
      <w:r w:rsidRPr="006A1E64">
        <w:rPr>
          <w:rFonts w:eastAsia="Calibri" w:cs="Calibri"/>
        </w:rPr>
        <w:t>All are continued in this report.</w:t>
      </w:r>
      <w:r w:rsidRPr="006A1E64">
        <w:rPr>
          <w:rFonts w:eastAsia="Calibri" w:cs="Calibri"/>
          <w:spacing w:val="40"/>
        </w:rPr>
        <w:t xml:space="preserve"> </w:t>
      </w:r>
      <w:r w:rsidRPr="006A1E64">
        <w:rPr>
          <w:rFonts w:eastAsia="Calibri" w:cs="Calibri"/>
        </w:rPr>
        <w:t>A summary of findings is found in Appendix A, New and Continued Findings and Recommendations.</w:t>
      </w:r>
      <w:r w:rsidRPr="006A1E64">
        <w:rPr>
          <w:rFonts w:eastAsia="Calibri" w:cs="Calibri"/>
          <w:spacing w:val="40"/>
        </w:rPr>
        <w:t xml:space="preserve"> </w:t>
      </w:r>
      <w:r w:rsidRPr="006A1E64">
        <w:rPr>
          <w:rFonts w:eastAsia="Calibri" w:cs="Calibri"/>
        </w:rPr>
        <w:t>A summary of observations is found in Appendix</w:t>
      </w:r>
      <w:r w:rsidRPr="006A1E64">
        <w:rPr>
          <w:rFonts w:eastAsia="Calibri" w:cs="Calibri"/>
          <w:spacing w:val="-3"/>
        </w:rPr>
        <w:t xml:space="preserve"> </w:t>
      </w:r>
      <w:r w:rsidRPr="006A1E64">
        <w:rPr>
          <w:rFonts w:eastAsia="Calibri" w:cs="Calibri"/>
        </w:rPr>
        <w:t>B,</w:t>
      </w:r>
      <w:r w:rsidRPr="006A1E64">
        <w:rPr>
          <w:rFonts w:eastAsia="Calibri" w:cs="Calibri"/>
          <w:spacing w:val="-2"/>
        </w:rPr>
        <w:t xml:space="preserve"> </w:t>
      </w:r>
      <w:r w:rsidRPr="006A1E64">
        <w:rPr>
          <w:rFonts w:eastAsia="Calibri" w:cs="Calibri"/>
        </w:rPr>
        <w:t>Observations</w:t>
      </w:r>
      <w:r w:rsidRPr="006A1E64">
        <w:rPr>
          <w:rFonts w:eastAsia="Calibri" w:cs="Calibri"/>
          <w:spacing w:val="-3"/>
        </w:rPr>
        <w:t xml:space="preserve"> </w:t>
      </w:r>
      <w:r w:rsidRPr="006A1E64">
        <w:rPr>
          <w:rFonts w:eastAsia="Calibri" w:cs="Calibri"/>
        </w:rPr>
        <w:t>and</w:t>
      </w:r>
      <w:r w:rsidRPr="006A1E64">
        <w:rPr>
          <w:rFonts w:eastAsia="Calibri" w:cs="Calibri"/>
          <w:spacing w:val="-4"/>
        </w:rPr>
        <w:t xml:space="preserve"> </w:t>
      </w:r>
      <w:r w:rsidRPr="006A1E64">
        <w:rPr>
          <w:rFonts w:eastAsia="Calibri" w:cs="Calibri"/>
        </w:rPr>
        <w:t>Federal</w:t>
      </w:r>
      <w:r w:rsidRPr="006A1E64">
        <w:rPr>
          <w:rFonts w:eastAsia="Calibri" w:cs="Calibri"/>
          <w:spacing w:val="-4"/>
        </w:rPr>
        <w:t xml:space="preserve"> </w:t>
      </w:r>
      <w:r w:rsidRPr="006A1E64">
        <w:rPr>
          <w:rFonts w:eastAsia="Calibri" w:cs="Calibri"/>
        </w:rPr>
        <w:t>Monitoring</w:t>
      </w:r>
      <w:r w:rsidRPr="006A1E64">
        <w:rPr>
          <w:rFonts w:eastAsia="Calibri" w:cs="Calibri"/>
          <w:spacing w:val="-5"/>
        </w:rPr>
        <w:t xml:space="preserve"> </w:t>
      </w:r>
      <w:r w:rsidRPr="006A1E64">
        <w:rPr>
          <w:rFonts w:eastAsia="Calibri" w:cs="Calibri"/>
        </w:rPr>
        <w:t>Plans.</w:t>
      </w:r>
      <w:r w:rsidRPr="006A1E64">
        <w:rPr>
          <w:rFonts w:eastAsia="Calibri" w:cs="Calibri"/>
          <w:spacing w:val="40"/>
        </w:rPr>
        <w:t xml:space="preserve"> </w:t>
      </w:r>
      <w:r w:rsidRPr="006A1E64">
        <w:rPr>
          <w:rFonts w:eastAsia="Calibri" w:cs="Calibri"/>
        </w:rPr>
        <w:t>Appendix</w:t>
      </w:r>
      <w:r w:rsidRPr="006A1E64">
        <w:rPr>
          <w:rFonts w:eastAsia="Calibri" w:cs="Calibri"/>
          <w:spacing w:val="-3"/>
        </w:rPr>
        <w:t xml:space="preserve"> </w:t>
      </w:r>
      <w:r w:rsidRPr="006A1E64">
        <w:rPr>
          <w:rFonts w:eastAsia="Calibri" w:cs="Calibri"/>
        </w:rPr>
        <w:t>C,</w:t>
      </w:r>
      <w:r w:rsidRPr="006A1E64">
        <w:rPr>
          <w:rFonts w:eastAsia="Calibri" w:cs="Calibri"/>
          <w:spacing w:val="-2"/>
        </w:rPr>
        <w:t xml:space="preserve"> </w:t>
      </w:r>
      <w:r w:rsidRPr="006A1E64">
        <w:rPr>
          <w:rFonts w:eastAsia="Calibri" w:cs="Calibri"/>
        </w:rPr>
        <w:t>Status</w:t>
      </w:r>
      <w:r w:rsidRPr="006A1E64">
        <w:rPr>
          <w:rFonts w:eastAsia="Calibri" w:cs="Calibri"/>
          <w:spacing w:val="-3"/>
        </w:rPr>
        <w:t xml:space="preserve"> </w:t>
      </w:r>
      <w:r w:rsidRPr="006A1E64">
        <w:rPr>
          <w:rFonts w:eastAsia="Calibri" w:cs="Calibri"/>
        </w:rPr>
        <w:t>of</w:t>
      </w:r>
      <w:r w:rsidRPr="006A1E64">
        <w:rPr>
          <w:rFonts w:eastAsia="Calibri" w:cs="Calibri"/>
          <w:spacing w:val="-4"/>
        </w:rPr>
        <w:t xml:space="preserve"> </w:t>
      </w:r>
      <w:r w:rsidRPr="006A1E64">
        <w:rPr>
          <w:rFonts w:eastAsia="Calibri" w:cs="Calibri"/>
        </w:rPr>
        <w:t>FY</w:t>
      </w:r>
      <w:r w:rsidRPr="006A1E64">
        <w:rPr>
          <w:rFonts w:eastAsia="Calibri" w:cs="Calibri"/>
          <w:spacing w:val="-4"/>
        </w:rPr>
        <w:t xml:space="preserve"> </w:t>
      </w:r>
      <w:r w:rsidRPr="006A1E64">
        <w:rPr>
          <w:rFonts w:eastAsia="Calibri" w:cs="Calibri"/>
        </w:rPr>
        <w:t>202</w:t>
      </w:r>
      <w:r w:rsidR="004C501A">
        <w:rPr>
          <w:rFonts w:eastAsia="Calibri" w:cs="Calibri"/>
        </w:rPr>
        <w:t>3</w:t>
      </w:r>
      <w:r w:rsidRPr="006A1E64">
        <w:rPr>
          <w:rFonts w:eastAsia="Calibri" w:cs="Calibri"/>
          <w:spacing w:val="-2"/>
        </w:rPr>
        <w:t xml:space="preserve"> </w:t>
      </w:r>
      <w:r w:rsidRPr="006A1E64">
        <w:rPr>
          <w:rFonts w:eastAsia="Calibri" w:cs="Calibri"/>
        </w:rPr>
        <w:t>Findings and Recommendations, includes the State Plan’s corrective action.</w:t>
      </w:r>
    </w:p>
    <w:p w14:paraId="5BBF99CB" w14:textId="77777777" w:rsidR="006A1E64" w:rsidRPr="006A1E64" w:rsidRDefault="006A1E64" w:rsidP="006A1E64">
      <w:pPr>
        <w:adjustRightInd/>
        <w:spacing w:before="2"/>
        <w:rPr>
          <w:rFonts w:eastAsia="Calibri" w:cs="Calibri"/>
        </w:rPr>
      </w:pPr>
    </w:p>
    <w:p w14:paraId="0F34C7DA" w14:textId="714D5C7F" w:rsidR="006A1E64" w:rsidRPr="006A1E64" w:rsidRDefault="006A1E64" w:rsidP="003D7CFF">
      <w:pPr>
        <w:adjustRightInd/>
        <w:ind w:left="120"/>
        <w:rPr>
          <w:rFonts w:eastAsia="Calibri" w:cs="Calibri"/>
        </w:rPr>
      </w:pPr>
      <w:r w:rsidRPr="006A1E64">
        <w:rPr>
          <w:rFonts w:eastAsia="Calibri" w:cs="Calibri"/>
        </w:rPr>
        <w:t>The</w:t>
      </w:r>
      <w:r w:rsidRPr="006A1E64">
        <w:rPr>
          <w:rFonts w:eastAsia="Calibri" w:cs="Calibri"/>
          <w:spacing w:val="-5"/>
        </w:rPr>
        <w:t xml:space="preserve"> </w:t>
      </w:r>
      <w:r w:rsidRPr="006A1E64">
        <w:rPr>
          <w:rFonts w:eastAsia="Calibri" w:cs="Calibri"/>
        </w:rPr>
        <w:t>MIOSHA Strategic</w:t>
      </w:r>
      <w:r w:rsidRPr="006A1E64">
        <w:rPr>
          <w:rFonts w:eastAsia="Calibri" w:cs="Calibri"/>
          <w:spacing w:val="-5"/>
        </w:rPr>
        <w:t xml:space="preserve"> </w:t>
      </w:r>
      <w:r w:rsidRPr="006A1E64">
        <w:rPr>
          <w:rFonts w:eastAsia="Calibri" w:cs="Calibri"/>
        </w:rPr>
        <w:t>Management</w:t>
      </w:r>
      <w:r w:rsidRPr="006A1E64">
        <w:rPr>
          <w:rFonts w:eastAsia="Calibri" w:cs="Calibri"/>
          <w:spacing w:val="-2"/>
        </w:rPr>
        <w:t xml:space="preserve"> </w:t>
      </w:r>
      <w:r w:rsidRPr="006A1E64">
        <w:rPr>
          <w:rFonts w:eastAsia="Calibri" w:cs="Calibri"/>
        </w:rPr>
        <w:t>Plan</w:t>
      </w:r>
      <w:r w:rsidRPr="006A1E64">
        <w:rPr>
          <w:rFonts w:eastAsia="Calibri" w:cs="Calibri"/>
          <w:spacing w:val="-2"/>
        </w:rPr>
        <w:t xml:space="preserve"> </w:t>
      </w:r>
      <w:r w:rsidRPr="006A1E64">
        <w:rPr>
          <w:rFonts w:eastAsia="Calibri" w:cs="Calibri"/>
        </w:rPr>
        <w:t>for</w:t>
      </w:r>
      <w:r w:rsidRPr="006A1E64">
        <w:rPr>
          <w:rFonts w:eastAsia="Calibri" w:cs="Calibri"/>
          <w:spacing w:val="-1"/>
        </w:rPr>
        <w:t xml:space="preserve"> </w:t>
      </w:r>
      <w:r w:rsidRPr="006A1E64">
        <w:rPr>
          <w:rFonts w:eastAsia="Calibri" w:cs="Calibri"/>
        </w:rPr>
        <w:t>FY</w:t>
      </w:r>
      <w:r w:rsidRPr="006A1E64">
        <w:rPr>
          <w:rFonts w:eastAsia="Calibri" w:cs="Calibri"/>
          <w:spacing w:val="-2"/>
        </w:rPr>
        <w:t xml:space="preserve"> </w:t>
      </w:r>
      <w:r w:rsidRPr="006A1E64">
        <w:rPr>
          <w:rFonts w:eastAsia="Calibri" w:cs="Calibri"/>
        </w:rPr>
        <w:t>20</w:t>
      </w:r>
      <w:r w:rsidR="004C501A">
        <w:rPr>
          <w:rFonts w:eastAsia="Calibri" w:cs="Calibri"/>
        </w:rPr>
        <w:t>24</w:t>
      </w:r>
      <w:r w:rsidRPr="006A1E64">
        <w:rPr>
          <w:rFonts w:eastAsia="Calibri" w:cs="Calibri"/>
          <w:spacing w:val="-2"/>
        </w:rPr>
        <w:t xml:space="preserve"> </w:t>
      </w:r>
      <w:r w:rsidRPr="006A1E64">
        <w:rPr>
          <w:rFonts w:eastAsia="Calibri" w:cs="Calibri"/>
        </w:rPr>
        <w:t>to</w:t>
      </w:r>
      <w:r w:rsidRPr="006A1E64">
        <w:rPr>
          <w:rFonts w:eastAsia="Calibri" w:cs="Calibri"/>
          <w:spacing w:val="-3"/>
        </w:rPr>
        <w:t xml:space="preserve"> </w:t>
      </w:r>
      <w:r w:rsidRPr="006A1E64">
        <w:rPr>
          <w:rFonts w:eastAsia="Calibri" w:cs="Calibri"/>
        </w:rPr>
        <w:t>FY 202</w:t>
      </w:r>
      <w:r w:rsidR="004C501A">
        <w:rPr>
          <w:rFonts w:eastAsia="Calibri" w:cs="Calibri"/>
        </w:rPr>
        <w:t>8</w:t>
      </w:r>
      <w:r w:rsidRPr="006A1E64">
        <w:rPr>
          <w:rFonts w:eastAsia="Calibri" w:cs="Calibri"/>
          <w:spacing w:val="-2"/>
        </w:rPr>
        <w:t xml:space="preserve"> </w:t>
      </w:r>
      <w:r w:rsidRPr="006A1E64">
        <w:rPr>
          <w:rFonts w:eastAsia="Calibri" w:cs="Calibri"/>
        </w:rPr>
        <w:t>established</w:t>
      </w:r>
      <w:r w:rsidRPr="006A1E64">
        <w:rPr>
          <w:rFonts w:eastAsia="Calibri" w:cs="Calibri"/>
          <w:spacing w:val="-3"/>
        </w:rPr>
        <w:t xml:space="preserve"> </w:t>
      </w:r>
      <w:r w:rsidRPr="006A1E64">
        <w:rPr>
          <w:rFonts w:eastAsia="Calibri" w:cs="Calibri"/>
        </w:rPr>
        <w:t>three strategic</w:t>
      </w:r>
      <w:r w:rsidRPr="006A1E64">
        <w:rPr>
          <w:rFonts w:eastAsia="Calibri" w:cs="Calibri"/>
          <w:spacing w:val="-1"/>
        </w:rPr>
        <w:t xml:space="preserve"> </w:t>
      </w:r>
      <w:r w:rsidRPr="006A1E64">
        <w:rPr>
          <w:rFonts w:eastAsia="Calibri" w:cs="Calibri"/>
          <w:spacing w:val="-2"/>
        </w:rPr>
        <w:t>goals:</w:t>
      </w:r>
      <w:r w:rsidR="003D7CFF">
        <w:rPr>
          <w:rFonts w:eastAsia="Calibri" w:cs="Calibri"/>
        </w:rPr>
        <w:t xml:space="preserve"> 1) </w:t>
      </w:r>
      <w:r w:rsidRPr="006A1E64">
        <w:rPr>
          <w:rFonts w:eastAsia="Calibri" w:cs="Calibri"/>
          <w:szCs w:val="22"/>
        </w:rPr>
        <w:t>Help assure improved workplace safety and health for all workers, as evidenced by fewer hazards,</w:t>
      </w:r>
      <w:r w:rsidRPr="006A1E64">
        <w:rPr>
          <w:rFonts w:eastAsia="Calibri" w:cs="Calibri"/>
          <w:spacing w:val="-3"/>
          <w:szCs w:val="22"/>
        </w:rPr>
        <w:t xml:space="preserve"> </w:t>
      </w:r>
      <w:r w:rsidRPr="006A1E64">
        <w:rPr>
          <w:rFonts w:eastAsia="Calibri" w:cs="Calibri"/>
          <w:szCs w:val="22"/>
        </w:rPr>
        <w:t>reduced</w:t>
      </w:r>
      <w:r w:rsidRPr="006A1E64">
        <w:rPr>
          <w:rFonts w:eastAsia="Calibri" w:cs="Calibri"/>
          <w:spacing w:val="-2"/>
          <w:szCs w:val="22"/>
        </w:rPr>
        <w:t xml:space="preserve"> </w:t>
      </w:r>
      <w:r w:rsidRPr="006A1E64">
        <w:rPr>
          <w:rFonts w:eastAsia="Calibri" w:cs="Calibri"/>
          <w:szCs w:val="22"/>
        </w:rPr>
        <w:t>exposures,</w:t>
      </w:r>
      <w:r w:rsidRPr="006A1E64">
        <w:rPr>
          <w:rFonts w:eastAsia="Calibri" w:cs="Calibri"/>
          <w:spacing w:val="-3"/>
          <w:szCs w:val="22"/>
        </w:rPr>
        <w:t xml:space="preserve"> </w:t>
      </w:r>
      <w:r w:rsidRPr="006A1E64">
        <w:rPr>
          <w:rFonts w:eastAsia="Calibri" w:cs="Calibri"/>
          <w:szCs w:val="22"/>
        </w:rPr>
        <w:t>and</w:t>
      </w:r>
      <w:r w:rsidRPr="006A1E64">
        <w:rPr>
          <w:rFonts w:eastAsia="Calibri" w:cs="Calibri"/>
          <w:spacing w:val="-5"/>
          <w:szCs w:val="22"/>
        </w:rPr>
        <w:t xml:space="preserve"> </w:t>
      </w:r>
      <w:r w:rsidRPr="006A1E64">
        <w:rPr>
          <w:rFonts w:eastAsia="Calibri" w:cs="Calibri"/>
          <w:szCs w:val="22"/>
        </w:rPr>
        <w:t>fewer</w:t>
      </w:r>
      <w:r w:rsidRPr="006A1E64">
        <w:rPr>
          <w:rFonts w:eastAsia="Calibri" w:cs="Calibri"/>
          <w:spacing w:val="-3"/>
          <w:szCs w:val="22"/>
        </w:rPr>
        <w:t xml:space="preserve"> </w:t>
      </w:r>
      <w:r w:rsidRPr="006A1E64">
        <w:rPr>
          <w:rFonts w:eastAsia="Calibri" w:cs="Calibri"/>
          <w:szCs w:val="22"/>
        </w:rPr>
        <w:t>injuries,</w:t>
      </w:r>
      <w:r w:rsidRPr="006A1E64">
        <w:rPr>
          <w:rFonts w:eastAsia="Calibri" w:cs="Calibri"/>
          <w:spacing w:val="-3"/>
          <w:szCs w:val="22"/>
        </w:rPr>
        <w:t xml:space="preserve"> </w:t>
      </w:r>
      <w:r w:rsidRPr="006A1E64">
        <w:rPr>
          <w:rFonts w:eastAsia="Calibri" w:cs="Calibri"/>
          <w:szCs w:val="22"/>
        </w:rPr>
        <w:t>illnesses</w:t>
      </w:r>
      <w:r w:rsidRPr="006A1E64">
        <w:rPr>
          <w:rFonts w:eastAsia="Calibri" w:cs="Calibri"/>
          <w:spacing w:val="-4"/>
          <w:szCs w:val="22"/>
        </w:rPr>
        <w:t xml:space="preserve"> </w:t>
      </w:r>
      <w:r w:rsidRPr="006A1E64">
        <w:rPr>
          <w:rFonts w:eastAsia="Calibri" w:cs="Calibri"/>
          <w:szCs w:val="22"/>
        </w:rPr>
        <w:t>and</w:t>
      </w:r>
      <w:r w:rsidRPr="006A1E64">
        <w:rPr>
          <w:rFonts w:eastAsia="Calibri" w:cs="Calibri"/>
          <w:spacing w:val="-5"/>
          <w:szCs w:val="22"/>
        </w:rPr>
        <w:t xml:space="preserve"> </w:t>
      </w:r>
      <w:r w:rsidRPr="006A1E64">
        <w:rPr>
          <w:rFonts w:eastAsia="Calibri" w:cs="Calibri"/>
          <w:szCs w:val="22"/>
        </w:rPr>
        <w:t>fatalities;</w:t>
      </w:r>
      <w:r w:rsidRPr="006A1E64">
        <w:rPr>
          <w:rFonts w:eastAsia="Calibri" w:cs="Calibri"/>
          <w:spacing w:val="-3"/>
          <w:szCs w:val="22"/>
        </w:rPr>
        <w:t xml:space="preserve"> </w:t>
      </w:r>
      <w:r w:rsidRPr="006A1E64">
        <w:rPr>
          <w:rFonts w:eastAsia="Calibri" w:cs="Calibri"/>
          <w:szCs w:val="22"/>
        </w:rPr>
        <w:t>2)</w:t>
      </w:r>
      <w:r w:rsidRPr="006A1E64">
        <w:rPr>
          <w:rFonts w:eastAsia="Calibri" w:cs="Calibri"/>
          <w:spacing w:val="-7"/>
          <w:szCs w:val="22"/>
        </w:rPr>
        <w:t xml:space="preserve"> </w:t>
      </w:r>
      <w:r w:rsidRPr="006A1E64">
        <w:rPr>
          <w:rFonts w:eastAsia="Calibri" w:cs="Calibri"/>
          <w:szCs w:val="22"/>
        </w:rPr>
        <w:t>Promote</w:t>
      </w:r>
      <w:r w:rsidRPr="006A1E64">
        <w:rPr>
          <w:rFonts w:eastAsia="Calibri" w:cs="Calibri"/>
          <w:spacing w:val="-3"/>
          <w:szCs w:val="22"/>
        </w:rPr>
        <w:t xml:space="preserve"> </w:t>
      </w:r>
      <w:r w:rsidRPr="006A1E64">
        <w:rPr>
          <w:rFonts w:eastAsia="Calibri" w:cs="Calibri"/>
          <w:szCs w:val="22"/>
        </w:rPr>
        <w:t>employer</w:t>
      </w:r>
      <w:r w:rsidRPr="006A1E64">
        <w:rPr>
          <w:rFonts w:eastAsia="Calibri" w:cs="Calibri"/>
          <w:spacing w:val="-6"/>
          <w:szCs w:val="22"/>
        </w:rPr>
        <w:t xml:space="preserve"> </w:t>
      </w:r>
      <w:r w:rsidRPr="006A1E64">
        <w:rPr>
          <w:rFonts w:eastAsia="Calibri" w:cs="Calibri"/>
          <w:szCs w:val="22"/>
        </w:rPr>
        <w:t>and worker awareness of, commitment to, and involvement with safety and health to effect positive change in the workplace culture; and, 3) Strengthen public confidence through continued excellence in the development and delivery of MIOSHA’s programs and services.</w:t>
      </w:r>
    </w:p>
    <w:p w14:paraId="76E3A4B9" w14:textId="093A9112" w:rsidR="006A1E64" w:rsidRPr="006A1E64" w:rsidRDefault="006A1E64" w:rsidP="006A1E64">
      <w:pPr>
        <w:adjustRightInd/>
        <w:spacing w:before="292"/>
        <w:ind w:left="120" w:right="182"/>
        <w:rPr>
          <w:rFonts w:eastAsia="Calibri" w:cs="Calibri"/>
        </w:rPr>
      </w:pPr>
      <w:r w:rsidRPr="006A1E64">
        <w:rPr>
          <w:rFonts w:eastAsia="Calibri" w:cs="Calibri"/>
        </w:rPr>
        <w:t>In the FY 202</w:t>
      </w:r>
      <w:r w:rsidR="000C73B3">
        <w:rPr>
          <w:rFonts w:eastAsia="Calibri" w:cs="Calibri"/>
        </w:rPr>
        <w:t>4</w:t>
      </w:r>
      <w:r w:rsidRPr="006A1E64">
        <w:rPr>
          <w:rFonts w:eastAsia="Calibri" w:cs="Calibri"/>
        </w:rPr>
        <w:t xml:space="preserve"> State OSHA Annual Report (SOAR), MIOSHA provided information that outlines their accomplishments toward meeting their five-year strategic management plan.</w:t>
      </w:r>
      <w:r w:rsidRPr="006A1E64">
        <w:rPr>
          <w:rFonts w:eastAsia="Calibri" w:cs="Calibri"/>
          <w:spacing w:val="40"/>
        </w:rPr>
        <w:t xml:space="preserve"> </w:t>
      </w:r>
      <w:r w:rsidRPr="006A1E64">
        <w:rPr>
          <w:rFonts w:eastAsia="Calibri" w:cs="Calibri"/>
        </w:rPr>
        <w:t>OSHA reviewed and analyzed the information to assess MIOSHA’s progress in meeting performance plan goals.</w:t>
      </w:r>
      <w:r w:rsidRPr="006A1E64">
        <w:rPr>
          <w:rFonts w:eastAsia="Calibri" w:cs="Calibri"/>
          <w:spacing w:val="40"/>
        </w:rPr>
        <w:t xml:space="preserve"> </w:t>
      </w:r>
      <w:r w:rsidR="00A71CBB">
        <w:rPr>
          <w:rFonts w:eastAsia="Calibri" w:cs="Calibri"/>
        </w:rPr>
        <w:t xml:space="preserve">MIOSHA met </w:t>
      </w:r>
      <w:r w:rsidR="003F6EC3">
        <w:rPr>
          <w:rFonts w:eastAsia="Calibri" w:cs="Calibri"/>
        </w:rPr>
        <w:t>all</w:t>
      </w:r>
      <w:r w:rsidR="00A71CBB">
        <w:rPr>
          <w:rFonts w:eastAsia="Calibri" w:cs="Calibri"/>
        </w:rPr>
        <w:t xml:space="preserve"> its performance goals for FY 2024, </w:t>
      </w:r>
      <w:r w:rsidR="00895494">
        <w:rPr>
          <w:rFonts w:eastAsia="Calibri" w:cs="Calibri"/>
        </w:rPr>
        <w:t>except for</w:t>
      </w:r>
      <w:r w:rsidR="00A71CBB">
        <w:rPr>
          <w:rFonts w:eastAsia="Calibri" w:cs="Calibri"/>
        </w:rPr>
        <w:t xml:space="preserve"> one, which was partially achieved</w:t>
      </w:r>
      <w:r w:rsidRPr="006A1E64">
        <w:rPr>
          <w:rFonts w:eastAsia="Calibri" w:cs="Calibri"/>
        </w:rPr>
        <w:t>.</w:t>
      </w:r>
      <w:r w:rsidRPr="006A1E64">
        <w:rPr>
          <w:rFonts w:eastAsia="Calibri" w:cs="Calibri"/>
          <w:spacing w:val="40"/>
        </w:rPr>
        <w:t xml:space="preserve"> </w:t>
      </w:r>
      <w:r w:rsidRPr="006A1E64">
        <w:rPr>
          <w:rFonts w:eastAsia="Calibri" w:cs="Calibri"/>
        </w:rPr>
        <w:t>For</w:t>
      </w:r>
      <w:r w:rsidRPr="006A1E64">
        <w:rPr>
          <w:rFonts w:eastAsia="Calibri" w:cs="Calibri"/>
          <w:spacing w:val="-1"/>
        </w:rPr>
        <w:t xml:space="preserve"> </w:t>
      </w:r>
      <w:r w:rsidRPr="006A1E64">
        <w:rPr>
          <w:rFonts w:eastAsia="Calibri" w:cs="Calibri"/>
        </w:rPr>
        <w:t>a</w:t>
      </w:r>
      <w:r w:rsidRPr="006A1E64">
        <w:rPr>
          <w:rFonts w:eastAsia="Calibri" w:cs="Calibri"/>
          <w:spacing w:val="-4"/>
        </w:rPr>
        <w:t xml:space="preserve"> </w:t>
      </w:r>
      <w:r w:rsidRPr="006A1E64">
        <w:rPr>
          <w:rFonts w:eastAsia="Calibri" w:cs="Calibri"/>
        </w:rPr>
        <w:t>more comprehensive look at this data, see MIOSHA’s SOAR.</w:t>
      </w:r>
    </w:p>
    <w:p w14:paraId="163345B2" w14:textId="77777777" w:rsidR="006A1E64" w:rsidRPr="006A1E64" w:rsidRDefault="006A1E64" w:rsidP="006A1E64">
      <w:pPr>
        <w:adjustRightInd/>
        <w:spacing w:before="1"/>
        <w:rPr>
          <w:rFonts w:eastAsia="Calibri" w:cs="Calibri"/>
        </w:rPr>
      </w:pPr>
    </w:p>
    <w:p w14:paraId="48057423" w14:textId="25D3EB7E" w:rsidR="006A1E64" w:rsidRPr="006A1E64" w:rsidRDefault="006A1E64" w:rsidP="006A1E64">
      <w:pPr>
        <w:adjustRightInd/>
        <w:ind w:left="119" w:right="237"/>
        <w:rPr>
          <w:rFonts w:eastAsia="Calibri" w:cs="Calibri"/>
        </w:rPr>
      </w:pPr>
      <w:r w:rsidRPr="006A1E64">
        <w:rPr>
          <w:rFonts w:eastAsia="Calibri" w:cs="Calibri"/>
        </w:rPr>
        <w:t xml:space="preserve">MIOSHA awarded </w:t>
      </w:r>
      <w:r w:rsidR="002C7233" w:rsidRPr="003F6EC3">
        <w:rPr>
          <w:rFonts w:eastAsia="Calibri" w:cs="Calibri"/>
        </w:rPr>
        <w:t>20</w:t>
      </w:r>
      <w:r w:rsidRPr="006A1E64">
        <w:rPr>
          <w:rFonts w:eastAsia="Calibri" w:cs="Calibri"/>
        </w:rPr>
        <w:t xml:space="preserve"> Consultation Education and Training </w:t>
      </w:r>
      <w:r w:rsidR="005164E1">
        <w:rPr>
          <w:rFonts w:eastAsia="Calibri" w:cs="Calibri"/>
        </w:rPr>
        <w:t xml:space="preserve">(CET) </w:t>
      </w:r>
      <w:r w:rsidRPr="006A1E64">
        <w:rPr>
          <w:rFonts w:eastAsia="Calibri" w:cs="Calibri"/>
        </w:rPr>
        <w:t>Division grants to nonprofit groups</w:t>
      </w:r>
      <w:r w:rsidRPr="006A1E64">
        <w:rPr>
          <w:rFonts w:eastAsia="Calibri" w:cs="Calibri"/>
          <w:spacing w:val="-4"/>
        </w:rPr>
        <w:t xml:space="preserve"> </w:t>
      </w:r>
      <w:r w:rsidRPr="006A1E64">
        <w:rPr>
          <w:rFonts w:eastAsia="Calibri" w:cs="Calibri"/>
        </w:rPr>
        <w:t>to</w:t>
      </w:r>
      <w:r w:rsidRPr="006A1E64">
        <w:rPr>
          <w:rFonts w:eastAsia="Calibri" w:cs="Calibri"/>
          <w:spacing w:val="-3"/>
        </w:rPr>
        <w:t xml:space="preserve"> </w:t>
      </w:r>
      <w:r w:rsidRPr="006A1E64">
        <w:rPr>
          <w:rFonts w:eastAsia="Calibri" w:cs="Calibri"/>
        </w:rPr>
        <w:t>enhance</w:t>
      </w:r>
      <w:r w:rsidRPr="006A1E64">
        <w:rPr>
          <w:rFonts w:eastAsia="Calibri" w:cs="Calibri"/>
          <w:spacing w:val="-3"/>
        </w:rPr>
        <w:t xml:space="preserve"> </w:t>
      </w:r>
      <w:r w:rsidRPr="006A1E64">
        <w:rPr>
          <w:rFonts w:eastAsia="Calibri" w:cs="Calibri"/>
        </w:rPr>
        <w:t>safety</w:t>
      </w:r>
      <w:r w:rsidRPr="006A1E64">
        <w:rPr>
          <w:rFonts w:eastAsia="Calibri" w:cs="Calibri"/>
          <w:spacing w:val="-2"/>
        </w:rPr>
        <w:t xml:space="preserve"> </w:t>
      </w:r>
      <w:r w:rsidRPr="006A1E64">
        <w:rPr>
          <w:rFonts w:eastAsia="Calibri" w:cs="Calibri"/>
        </w:rPr>
        <w:t>and</w:t>
      </w:r>
      <w:r w:rsidRPr="006A1E64">
        <w:rPr>
          <w:rFonts w:eastAsia="Calibri" w:cs="Calibri"/>
          <w:spacing w:val="-3"/>
        </w:rPr>
        <w:t xml:space="preserve"> </w:t>
      </w:r>
      <w:r w:rsidRPr="006A1E64">
        <w:rPr>
          <w:rFonts w:eastAsia="Calibri" w:cs="Calibri"/>
        </w:rPr>
        <w:t>health</w:t>
      </w:r>
      <w:r w:rsidRPr="006A1E64">
        <w:rPr>
          <w:rFonts w:eastAsia="Calibri" w:cs="Calibri"/>
          <w:spacing w:val="-3"/>
        </w:rPr>
        <w:t xml:space="preserve"> </w:t>
      </w:r>
      <w:r w:rsidRPr="006A1E64">
        <w:rPr>
          <w:rFonts w:eastAsia="Calibri" w:cs="Calibri"/>
        </w:rPr>
        <w:t>training</w:t>
      </w:r>
      <w:r w:rsidRPr="006A1E64">
        <w:rPr>
          <w:rFonts w:eastAsia="Calibri" w:cs="Calibri"/>
          <w:spacing w:val="-4"/>
        </w:rPr>
        <w:t xml:space="preserve"> </w:t>
      </w:r>
      <w:r w:rsidRPr="006A1E64">
        <w:rPr>
          <w:rFonts w:eastAsia="Calibri" w:cs="Calibri"/>
        </w:rPr>
        <w:t>and</w:t>
      </w:r>
      <w:r w:rsidRPr="006A1E64">
        <w:rPr>
          <w:rFonts w:eastAsia="Calibri" w:cs="Calibri"/>
          <w:spacing w:val="-3"/>
        </w:rPr>
        <w:t xml:space="preserve"> </w:t>
      </w:r>
      <w:r w:rsidRPr="006A1E64">
        <w:rPr>
          <w:rFonts w:eastAsia="Calibri" w:cs="Calibri"/>
        </w:rPr>
        <w:t>to</w:t>
      </w:r>
      <w:r w:rsidRPr="006A1E64">
        <w:rPr>
          <w:rFonts w:eastAsia="Calibri" w:cs="Calibri"/>
          <w:spacing w:val="-3"/>
        </w:rPr>
        <w:t xml:space="preserve"> </w:t>
      </w:r>
      <w:r w:rsidRPr="006A1E64">
        <w:rPr>
          <w:rFonts w:eastAsia="Calibri" w:cs="Calibri"/>
        </w:rPr>
        <w:t>support</w:t>
      </w:r>
      <w:r w:rsidRPr="006A1E64">
        <w:rPr>
          <w:rFonts w:eastAsia="Calibri" w:cs="Calibri"/>
          <w:spacing w:val="-3"/>
        </w:rPr>
        <w:t xml:space="preserve"> </w:t>
      </w:r>
      <w:r w:rsidRPr="006A1E64">
        <w:rPr>
          <w:rFonts w:eastAsia="Calibri" w:cs="Calibri"/>
        </w:rPr>
        <w:t>worker</w:t>
      </w:r>
      <w:r w:rsidRPr="006A1E64">
        <w:rPr>
          <w:rFonts w:eastAsia="Calibri" w:cs="Calibri"/>
          <w:spacing w:val="-1"/>
        </w:rPr>
        <w:t xml:space="preserve"> </w:t>
      </w:r>
      <w:r w:rsidRPr="006A1E64">
        <w:rPr>
          <w:rFonts w:eastAsia="Calibri" w:cs="Calibri"/>
        </w:rPr>
        <w:t>safety</w:t>
      </w:r>
      <w:r w:rsidRPr="006A1E64">
        <w:rPr>
          <w:rFonts w:eastAsia="Calibri" w:cs="Calibri"/>
          <w:spacing w:val="-2"/>
        </w:rPr>
        <w:t xml:space="preserve"> </w:t>
      </w:r>
      <w:r w:rsidRPr="006A1E64">
        <w:rPr>
          <w:rFonts w:eastAsia="Calibri" w:cs="Calibri"/>
        </w:rPr>
        <w:t>and</w:t>
      </w:r>
      <w:r w:rsidRPr="006A1E64">
        <w:rPr>
          <w:rFonts w:eastAsia="Calibri" w:cs="Calibri"/>
          <w:spacing w:val="-3"/>
        </w:rPr>
        <w:t xml:space="preserve"> </w:t>
      </w:r>
      <w:r w:rsidRPr="006A1E64">
        <w:rPr>
          <w:rFonts w:eastAsia="Calibri" w:cs="Calibri"/>
        </w:rPr>
        <w:t>health</w:t>
      </w:r>
      <w:r w:rsidRPr="006A1E64">
        <w:rPr>
          <w:rFonts w:eastAsia="Calibri" w:cs="Calibri"/>
          <w:spacing w:val="-3"/>
        </w:rPr>
        <w:t xml:space="preserve"> </w:t>
      </w:r>
      <w:r w:rsidRPr="006A1E64">
        <w:rPr>
          <w:rFonts w:eastAsia="Calibri" w:cs="Calibri"/>
        </w:rPr>
        <w:t>across</w:t>
      </w:r>
      <w:r w:rsidRPr="006A1E64">
        <w:rPr>
          <w:rFonts w:eastAsia="Calibri" w:cs="Calibri"/>
          <w:spacing w:val="-4"/>
        </w:rPr>
        <w:t xml:space="preserve"> </w:t>
      </w:r>
      <w:r w:rsidRPr="006A1E64">
        <w:rPr>
          <w:rFonts w:eastAsia="Calibri" w:cs="Calibri"/>
        </w:rPr>
        <w:t>the state.</w:t>
      </w:r>
      <w:r w:rsidRPr="006A1E64">
        <w:rPr>
          <w:rFonts w:eastAsia="Calibri" w:cs="Calibri"/>
          <w:spacing w:val="40"/>
        </w:rPr>
        <w:t xml:space="preserve"> </w:t>
      </w:r>
      <w:r w:rsidRPr="006A1E64">
        <w:rPr>
          <w:rFonts w:eastAsia="Calibri" w:cs="Calibri"/>
        </w:rPr>
        <w:t>The</w:t>
      </w:r>
      <w:r w:rsidRPr="006A1E64">
        <w:rPr>
          <w:rFonts w:eastAsia="Calibri" w:cs="Calibri"/>
          <w:spacing w:val="-1"/>
        </w:rPr>
        <w:t xml:space="preserve"> </w:t>
      </w:r>
      <w:r w:rsidRPr="006A1E64">
        <w:rPr>
          <w:rFonts w:eastAsia="Calibri" w:cs="Calibri"/>
        </w:rPr>
        <w:t>state</w:t>
      </w:r>
      <w:r w:rsidRPr="006A1E64">
        <w:rPr>
          <w:rFonts w:eastAsia="Calibri" w:cs="Calibri"/>
          <w:spacing w:val="-3"/>
        </w:rPr>
        <w:t xml:space="preserve"> </w:t>
      </w:r>
      <w:r w:rsidRPr="006A1E64">
        <w:rPr>
          <w:rFonts w:eastAsia="Calibri" w:cs="Calibri"/>
        </w:rPr>
        <w:t>continued</w:t>
      </w:r>
      <w:r w:rsidRPr="006A1E64">
        <w:rPr>
          <w:rFonts w:eastAsia="Calibri" w:cs="Calibri"/>
          <w:spacing w:val="-3"/>
        </w:rPr>
        <w:t xml:space="preserve"> </w:t>
      </w:r>
      <w:r w:rsidRPr="006A1E64">
        <w:rPr>
          <w:rFonts w:eastAsia="Calibri" w:cs="Calibri"/>
        </w:rPr>
        <w:t>the</w:t>
      </w:r>
      <w:r w:rsidRPr="006A1E64">
        <w:rPr>
          <w:rFonts w:eastAsia="Calibri" w:cs="Calibri"/>
          <w:spacing w:val="-3"/>
        </w:rPr>
        <w:t xml:space="preserve"> </w:t>
      </w:r>
      <w:r w:rsidRPr="006A1E64">
        <w:rPr>
          <w:rFonts w:eastAsia="Calibri" w:cs="Calibri"/>
        </w:rPr>
        <w:t>MIOSHA</w:t>
      </w:r>
      <w:r w:rsidRPr="006A1E64">
        <w:rPr>
          <w:rFonts w:eastAsia="Calibri" w:cs="Calibri"/>
          <w:spacing w:val="-1"/>
        </w:rPr>
        <w:t xml:space="preserve"> </w:t>
      </w:r>
      <w:r w:rsidRPr="006A1E64">
        <w:rPr>
          <w:rFonts w:eastAsia="Calibri" w:cs="Calibri"/>
        </w:rPr>
        <w:t>Workplace</w:t>
      </w:r>
      <w:r w:rsidRPr="006A1E64">
        <w:rPr>
          <w:rFonts w:eastAsia="Calibri" w:cs="Calibri"/>
          <w:spacing w:val="-1"/>
        </w:rPr>
        <w:t xml:space="preserve"> </w:t>
      </w:r>
      <w:r w:rsidRPr="006A1E64">
        <w:rPr>
          <w:rFonts w:eastAsia="Calibri" w:cs="Calibri"/>
        </w:rPr>
        <w:t>Improvement</w:t>
      </w:r>
      <w:r w:rsidRPr="006A1E64">
        <w:rPr>
          <w:rFonts w:eastAsia="Calibri" w:cs="Calibri"/>
          <w:spacing w:val="-3"/>
        </w:rPr>
        <w:t xml:space="preserve"> </w:t>
      </w:r>
      <w:r w:rsidRPr="006A1E64">
        <w:rPr>
          <w:rFonts w:eastAsia="Calibri" w:cs="Calibri"/>
        </w:rPr>
        <w:t>to</w:t>
      </w:r>
      <w:r w:rsidRPr="006A1E64">
        <w:rPr>
          <w:rFonts w:eastAsia="Calibri" w:cs="Calibri"/>
          <w:spacing w:val="-1"/>
        </w:rPr>
        <w:t xml:space="preserve"> </w:t>
      </w:r>
      <w:r w:rsidRPr="006A1E64">
        <w:rPr>
          <w:rFonts w:eastAsia="Calibri" w:cs="Calibri"/>
        </w:rPr>
        <w:t>Safety</w:t>
      </w:r>
      <w:r w:rsidRPr="006A1E64">
        <w:rPr>
          <w:rFonts w:eastAsia="Calibri" w:cs="Calibri"/>
          <w:spacing w:val="-2"/>
        </w:rPr>
        <w:t xml:space="preserve"> </w:t>
      </w:r>
      <w:r w:rsidRPr="006A1E64">
        <w:rPr>
          <w:rFonts w:eastAsia="Calibri" w:cs="Calibri"/>
        </w:rPr>
        <w:t>and</w:t>
      </w:r>
      <w:r w:rsidRPr="006A1E64">
        <w:rPr>
          <w:rFonts w:eastAsia="Calibri" w:cs="Calibri"/>
          <w:spacing w:val="-3"/>
        </w:rPr>
        <w:t xml:space="preserve"> </w:t>
      </w:r>
      <w:r w:rsidRPr="006A1E64">
        <w:rPr>
          <w:rFonts w:eastAsia="Calibri" w:cs="Calibri"/>
        </w:rPr>
        <w:t xml:space="preserve">Health (MIWISH) matching grant program for </w:t>
      </w:r>
      <w:r w:rsidR="00C32206" w:rsidRPr="003F6EC3">
        <w:rPr>
          <w:rFonts w:eastAsia="Calibri" w:cs="Calibri"/>
        </w:rPr>
        <w:t>130</w:t>
      </w:r>
      <w:r w:rsidRPr="006A1E64">
        <w:rPr>
          <w:rFonts w:eastAsia="Calibri" w:cs="Calibri"/>
        </w:rPr>
        <w:t xml:space="preserve"> small employers to enable them to purchase safety equipment and equipment related training, resulting in $</w:t>
      </w:r>
      <w:r w:rsidR="00C32206" w:rsidRPr="003F6EC3">
        <w:rPr>
          <w:rFonts w:eastAsia="Calibri" w:cs="Calibri"/>
        </w:rPr>
        <w:t>1,229,270</w:t>
      </w:r>
      <w:r w:rsidR="000474AD" w:rsidRPr="003F6EC3">
        <w:rPr>
          <w:rFonts w:eastAsia="Calibri" w:cs="Calibri"/>
        </w:rPr>
        <w:t>.34</w:t>
      </w:r>
      <w:r w:rsidRPr="006A1E64">
        <w:rPr>
          <w:rFonts w:eastAsia="Calibri" w:cs="Calibri"/>
        </w:rPr>
        <w:t xml:space="preserve"> being invested in the safety and health of workers.</w:t>
      </w:r>
      <w:r w:rsidRPr="006A1E64">
        <w:rPr>
          <w:rFonts w:eastAsia="Calibri" w:cs="Calibri"/>
          <w:spacing w:val="40"/>
        </w:rPr>
        <w:t xml:space="preserve"> </w:t>
      </w:r>
      <w:r w:rsidRPr="006A1E64">
        <w:rPr>
          <w:rFonts w:eastAsia="Calibri" w:cs="Calibri"/>
        </w:rPr>
        <w:t>The MIOSHA training institute continued to serve Michigan employers with more than 3</w:t>
      </w:r>
      <w:r w:rsidR="002C7233" w:rsidRPr="003F6EC3">
        <w:rPr>
          <w:rFonts w:eastAsia="Calibri" w:cs="Calibri"/>
        </w:rPr>
        <w:t>6,000</w:t>
      </w:r>
      <w:r w:rsidRPr="006A1E64">
        <w:rPr>
          <w:rFonts w:eastAsia="Calibri" w:cs="Calibri"/>
        </w:rPr>
        <w:t xml:space="preserve"> participants having received training since the inception of the institute.</w:t>
      </w:r>
      <w:r w:rsidRPr="006A1E64">
        <w:rPr>
          <w:rFonts w:eastAsia="Calibri" w:cs="Calibri"/>
          <w:spacing w:val="40"/>
        </w:rPr>
        <w:t xml:space="preserve"> </w:t>
      </w:r>
      <w:r w:rsidRPr="006A1E64">
        <w:rPr>
          <w:rFonts w:eastAsia="Calibri" w:cs="Calibri"/>
        </w:rPr>
        <w:t>Outreach continued to</w:t>
      </w:r>
      <w:r w:rsidRPr="006A1E64">
        <w:rPr>
          <w:rFonts w:eastAsia="Calibri" w:cs="Calibri"/>
          <w:spacing w:val="-3"/>
        </w:rPr>
        <w:t xml:space="preserve"> </w:t>
      </w:r>
      <w:r w:rsidRPr="006A1E64">
        <w:rPr>
          <w:rFonts w:eastAsia="Calibri" w:cs="Calibri"/>
        </w:rPr>
        <w:t>be</w:t>
      </w:r>
      <w:r w:rsidRPr="006A1E64">
        <w:rPr>
          <w:rFonts w:eastAsia="Calibri" w:cs="Calibri"/>
          <w:spacing w:val="-1"/>
        </w:rPr>
        <w:t xml:space="preserve"> </w:t>
      </w:r>
      <w:r w:rsidR="00E07CF2">
        <w:rPr>
          <w:rFonts w:eastAsia="Calibri" w:cs="Calibri"/>
        </w:rPr>
        <w:t>a priority</w:t>
      </w:r>
      <w:r w:rsidRPr="006A1E64">
        <w:rPr>
          <w:rFonts w:eastAsia="Calibri" w:cs="Calibri"/>
          <w:spacing w:val="-3"/>
        </w:rPr>
        <w:t xml:space="preserve"> </w:t>
      </w:r>
      <w:r w:rsidRPr="006A1E64">
        <w:rPr>
          <w:rFonts w:eastAsia="Calibri" w:cs="Calibri"/>
        </w:rPr>
        <w:t>of</w:t>
      </w:r>
      <w:r w:rsidRPr="006A1E64">
        <w:rPr>
          <w:rFonts w:eastAsia="Calibri" w:cs="Calibri"/>
          <w:spacing w:val="-3"/>
        </w:rPr>
        <w:t xml:space="preserve"> </w:t>
      </w:r>
      <w:r w:rsidRPr="006A1E64">
        <w:rPr>
          <w:rFonts w:eastAsia="Calibri" w:cs="Calibri"/>
        </w:rPr>
        <w:t>the</w:t>
      </w:r>
      <w:r w:rsidRPr="006A1E64">
        <w:rPr>
          <w:rFonts w:eastAsia="Calibri" w:cs="Calibri"/>
          <w:spacing w:val="-3"/>
        </w:rPr>
        <w:t xml:space="preserve"> </w:t>
      </w:r>
      <w:r w:rsidRPr="006A1E64">
        <w:rPr>
          <w:rFonts w:eastAsia="Calibri" w:cs="Calibri"/>
        </w:rPr>
        <w:t>MIOSHA</w:t>
      </w:r>
      <w:r w:rsidRPr="006A1E64">
        <w:rPr>
          <w:rFonts w:eastAsia="Calibri" w:cs="Calibri"/>
          <w:spacing w:val="-1"/>
        </w:rPr>
        <w:t xml:space="preserve"> </w:t>
      </w:r>
      <w:r w:rsidRPr="006A1E64">
        <w:rPr>
          <w:rFonts w:eastAsia="Calibri" w:cs="Calibri"/>
        </w:rPr>
        <w:t>program</w:t>
      </w:r>
      <w:r w:rsidRPr="006A1E64">
        <w:rPr>
          <w:rFonts w:eastAsia="Calibri" w:cs="Calibri"/>
          <w:spacing w:val="-1"/>
        </w:rPr>
        <w:t xml:space="preserve"> </w:t>
      </w:r>
      <w:r w:rsidRPr="006A1E64">
        <w:rPr>
          <w:rFonts w:eastAsia="Calibri" w:cs="Calibri"/>
        </w:rPr>
        <w:t>in 202</w:t>
      </w:r>
      <w:r w:rsidR="000D2CCD" w:rsidRPr="003F6EC3">
        <w:rPr>
          <w:rFonts w:eastAsia="Calibri" w:cs="Calibri"/>
        </w:rPr>
        <w:t>4</w:t>
      </w:r>
      <w:r w:rsidRPr="006A1E64">
        <w:rPr>
          <w:rFonts w:eastAsia="Calibri" w:cs="Calibri"/>
          <w:spacing w:val="-3"/>
        </w:rPr>
        <w:t xml:space="preserve"> </w:t>
      </w:r>
      <w:r w:rsidRPr="006A1E64">
        <w:rPr>
          <w:rFonts w:eastAsia="Calibri" w:cs="Calibri"/>
        </w:rPr>
        <w:t>through</w:t>
      </w:r>
      <w:r w:rsidRPr="006A1E64">
        <w:rPr>
          <w:rFonts w:eastAsia="Calibri" w:cs="Calibri"/>
          <w:spacing w:val="-3"/>
        </w:rPr>
        <w:t xml:space="preserve"> </w:t>
      </w:r>
      <w:r w:rsidRPr="006A1E64">
        <w:rPr>
          <w:rFonts w:eastAsia="Calibri" w:cs="Calibri"/>
        </w:rPr>
        <w:t>s</w:t>
      </w:r>
      <w:r w:rsidR="00F562D7" w:rsidRPr="003F6EC3">
        <w:rPr>
          <w:rFonts w:eastAsia="Calibri" w:cs="Calibri"/>
        </w:rPr>
        <w:t>ix active</w:t>
      </w:r>
      <w:r w:rsidRPr="006A1E64">
        <w:rPr>
          <w:rFonts w:eastAsia="Calibri" w:cs="Calibri"/>
          <w:spacing w:val="-3"/>
        </w:rPr>
        <w:t xml:space="preserve"> </w:t>
      </w:r>
      <w:r w:rsidRPr="006A1E64">
        <w:rPr>
          <w:rFonts w:eastAsia="Calibri" w:cs="Calibri"/>
        </w:rPr>
        <w:t>partnerships,</w:t>
      </w:r>
      <w:r w:rsidRPr="006A1E64">
        <w:rPr>
          <w:rFonts w:eastAsia="Calibri" w:cs="Calibri"/>
          <w:spacing w:val="-4"/>
        </w:rPr>
        <w:t xml:space="preserve"> </w:t>
      </w:r>
      <w:r w:rsidR="000D2CCD" w:rsidRPr="003F6EC3">
        <w:rPr>
          <w:rFonts w:eastAsia="Calibri" w:cs="Calibri"/>
        </w:rPr>
        <w:t>21</w:t>
      </w:r>
      <w:r w:rsidRPr="006A1E64">
        <w:rPr>
          <w:rFonts w:eastAsia="Calibri" w:cs="Calibri"/>
        </w:rPr>
        <w:t xml:space="preserve"> alliances, </w:t>
      </w:r>
      <w:r w:rsidR="00C106AF">
        <w:rPr>
          <w:rFonts w:eastAsia="Calibri" w:cs="Calibri"/>
        </w:rPr>
        <w:t>including four</w:t>
      </w:r>
      <w:r w:rsidRPr="006A1E64">
        <w:rPr>
          <w:rFonts w:eastAsia="Calibri" w:cs="Calibri"/>
        </w:rPr>
        <w:t xml:space="preserve"> new and renewed Partnerships and Alliance agreements.</w:t>
      </w:r>
    </w:p>
    <w:p w14:paraId="6A7D671B" w14:textId="25631427" w:rsidR="00783189" w:rsidRPr="00E165D3" w:rsidRDefault="006A1E64" w:rsidP="00E165D3">
      <w:pPr>
        <w:adjustRightInd/>
        <w:spacing w:before="291"/>
        <w:ind w:left="120"/>
        <w:rPr>
          <w:rFonts w:eastAsia="Calibri" w:cs="Calibri"/>
        </w:rPr>
      </w:pPr>
      <w:r w:rsidRPr="006A1E64">
        <w:rPr>
          <w:rFonts w:eastAsia="Calibri" w:cs="Calibri"/>
        </w:rPr>
        <w:t>OSHA held quarterly monitoring meetings with MIOSHA during FY 202</w:t>
      </w:r>
      <w:r w:rsidR="00B876D5">
        <w:rPr>
          <w:rFonts w:eastAsia="Calibri" w:cs="Calibri"/>
        </w:rPr>
        <w:t>4</w:t>
      </w:r>
      <w:r w:rsidRPr="006A1E64">
        <w:rPr>
          <w:rFonts w:eastAsia="Calibri" w:cs="Calibri"/>
        </w:rPr>
        <w:t>, at which time OSHA reviewed and discussed the State Activity Mandated Measures (SAMM) report and the State Indicators</w:t>
      </w:r>
      <w:r w:rsidRPr="006A1E64">
        <w:rPr>
          <w:rFonts w:eastAsia="Calibri" w:cs="Calibri"/>
          <w:spacing w:val="-4"/>
        </w:rPr>
        <w:t xml:space="preserve"> </w:t>
      </w:r>
      <w:r w:rsidRPr="006A1E64">
        <w:rPr>
          <w:rFonts w:eastAsia="Calibri" w:cs="Calibri"/>
        </w:rPr>
        <w:t>Report (SIR)</w:t>
      </w:r>
      <w:r w:rsidRPr="006A1E64">
        <w:rPr>
          <w:rFonts w:eastAsia="Calibri" w:cs="Calibri"/>
          <w:spacing w:val="-2"/>
        </w:rPr>
        <w:t xml:space="preserve"> </w:t>
      </w:r>
      <w:r w:rsidRPr="006A1E64">
        <w:rPr>
          <w:rFonts w:eastAsia="Calibri" w:cs="Calibri"/>
        </w:rPr>
        <w:t>with State</w:t>
      </w:r>
      <w:r w:rsidRPr="006A1E64">
        <w:rPr>
          <w:rFonts w:eastAsia="Calibri" w:cs="Calibri"/>
          <w:spacing w:val="-3"/>
        </w:rPr>
        <w:t xml:space="preserve"> </w:t>
      </w:r>
      <w:r w:rsidRPr="006A1E64">
        <w:rPr>
          <w:rFonts w:eastAsia="Calibri" w:cs="Calibri"/>
        </w:rPr>
        <w:t>Plan</w:t>
      </w:r>
      <w:r w:rsidRPr="006A1E64">
        <w:rPr>
          <w:rFonts w:eastAsia="Calibri" w:cs="Calibri"/>
          <w:spacing w:val="-3"/>
        </w:rPr>
        <w:t xml:space="preserve"> </w:t>
      </w:r>
      <w:r w:rsidRPr="006A1E64">
        <w:rPr>
          <w:rFonts w:eastAsia="Calibri" w:cs="Calibri"/>
        </w:rPr>
        <w:t>management.</w:t>
      </w:r>
      <w:r w:rsidRPr="006A1E64">
        <w:rPr>
          <w:rFonts w:eastAsia="Calibri" w:cs="Calibri"/>
          <w:spacing w:val="40"/>
        </w:rPr>
        <w:t xml:space="preserve"> </w:t>
      </w:r>
      <w:r w:rsidRPr="006A1E64">
        <w:rPr>
          <w:rFonts w:eastAsia="Calibri" w:cs="Calibri"/>
        </w:rPr>
        <w:t>The</w:t>
      </w:r>
      <w:r w:rsidRPr="006A1E64">
        <w:rPr>
          <w:rFonts w:eastAsia="Calibri" w:cs="Calibri"/>
          <w:spacing w:val="-3"/>
        </w:rPr>
        <w:t xml:space="preserve"> </w:t>
      </w:r>
      <w:r w:rsidRPr="006A1E64">
        <w:rPr>
          <w:rFonts w:eastAsia="Calibri" w:cs="Calibri"/>
        </w:rPr>
        <w:t>FY</w:t>
      </w:r>
      <w:r w:rsidRPr="006A1E64">
        <w:rPr>
          <w:rFonts w:eastAsia="Calibri" w:cs="Calibri"/>
          <w:spacing w:val="-3"/>
        </w:rPr>
        <w:t xml:space="preserve"> </w:t>
      </w:r>
      <w:r w:rsidRPr="006A1E64">
        <w:rPr>
          <w:rFonts w:eastAsia="Calibri" w:cs="Calibri"/>
        </w:rPr>
        <w:t>202</w:t>
      </w:r>
      <w:r w:rsidR="00B876D5">
        <w:rPr>
          <w:rFonts w:eastAsia="Calibri" w:cs="Calibri"/>
        </w:rPr>
        <w:t>4</w:t>
      </w:r>
      <w:r w:rsidRPr="006A1E64">
        <w:rPr>
          <w:rFonts w:eastAsia="Calibri" w:cs="Calibri"/>
          <w:spacing w:val="-1"/>
        </w:rPr>
        <w:t xml:space="preserve"> </w:t>
      </w:r>
      <w:r w:rsidRPr="006A1E64">
        <w:rPr>
          <w:rFonts w:eastAsia="Calibri" w:cs="Calibri"/>
        </w:rPr>
        <w:t>SAMM</w:t>
      </w:r>
      <w:r w:rsidRPr="006A1E64">
        <w:rPr>
          <w:rFonts w:eastAsia="Calibri" w:cs="Calibri"/>
          <w:spacing w:val="-3"/>
        </w:rPr>
        <w:t xml:space="preserve"> </w:t>
      </w:r>
      <w:r w:rsidRPr="006A1E64">
        <w:rPr>
          <w:rFonts w:eastAsia="Calibri" w:cs="Calibri"/>
        </w:rPr>
        <w:t>is</w:t>
      </w:r>
      <w:r w:rsidRPr="006A1E64">
        <w:rPr>
          <w:rFonts w:eastAsia="Calibri" w:cs="Calibri"/>
          <w:spacing w:val="-2"/>
        </w:rPr>
        <w:t xml:space="preserve"> </w:t>
      </w:r>
      <w:r w:rsidRPr="006A1E64">
        <w:rPr>
          <w:rFonts w:eastAsia="Calibri" w:cs="Calibri"/>
        </w:rPr>
        <w:t>Appendix</w:t>
      </w:r>
      <w:r w:rsidRPr="006A1E64">
        <w:rPr>
          <w:rFonts w:eastAsia="Calibri" w:cs="Calibri"/>
          <w:spacing w:val="-2"/>
        </w:rPr>
        <w:t xml:space="preserve"> </w:t>
      </w:r>
      <w:r w:rsidRPr="006A1E64">
        <w:rPr>
          <w:rFonts w:eastAsia="Calibri" w:cs="Calibri"/>
        </w:rPr>
        <w:t>D</w:t>
      </w:r>
      <w:r w:rsidRPr="006A1E64">
        <w:rPr>
          <w:rFonts w:eastAsia="Calibri" w:cs="Calibri"/>
          <w:spacing w:val="-3"/>
        </w:rPr>
        <w:t xml:space="preserve"> </w:t>
      </w:r>
      <w:r w:rsidRPr="006A1E64">
        <w:rPr>
          <w:rFonts w:eastAsia="Calibri" w:cs="Calibri"/>
        </w:rPr>
        <w:t>of</w:t>
      </w:r>
      <w:r w:rsidRPr="006A1E64">
        <w:rPr>
          <w:rFonts w:eastAsia="Calibri" w:cs="Calibri"/>
          <w:spacing w:val="-3"/>
        </w:rPr>
        <w:t xml:space="preserve"> </w:t>
      </w:r>
      <w:r w:rsidRPr="006A1E64">
        <w:rPr>
          <w:rFonts w:eastAsia="Calibri" w:cs="Calibri"/>
        </w:rPr>
        <w:t xml:space="preserve">this </w:t>
      </w:r>
      <w:r w:rsidRPr="006A1E64">
        <w:rPr>
          <w:rFonts w:eastAsia="Calibri" w:cs="Calibri"/>
          <w:spacing w:val="-2"/>
        </w:rPr>
        <w:t>report.</w:t>
      </w:r>
    </w:p>
    <w:p w14:paraId="67E95E6F" w14:textId="6755D6C3" w:rsidR="000A134A" w:rsidRPr="001C1E47" w:rsidRDefault="001E71BA" w:rsidP="00476C08">
      <w:pPr>
        <w:pStyle w:val="Heading2"/>
      </w:pPr>
      <w:bookmarkStart w:id="6" w:name="_Toc118900171"/>
      <w:bookmarkStart w:id="7" w:name="_Toc118905010"/>
      <w:bookmarkStart w:id="8" w:name="_Toc119418664"/>
      <w:r w:rsidRPr="001C1E47">
        <w:lastRenderedPageBreak/>
        <w:t>State Plan Background</w:t>
      </w:r>
      <w:bookmarkEnd w:id="6"/>
      <w:bookmarkEnd w:id="7"/>
      <w:bookmarkEnd w:id="8"/>
    </w:p>
    <w:p w14:paraId="7ED8AA2D" w14:textId="77777777" w:rsidR="000A134A" w:rsidRPr="001C1E47" w:rsidRDefault="000A134A" w:rsidP="00783189">
      <w:pPr>
        <w:widowControl/>
        <w:autoSpaceDE/>
        <w:autoSpaceDN/>
        <w:adjustRightInd/>
        <w:rPr>
          <w:rFonts w:cs="Calibri"/>
          <w:i/>
        </w:rPr>
      </w:pPr>
    </w:p>
    <w:p w14:paraId="5B301FF4" w14:textId="5448D938" w:rsidR="00021D2C" w:rsidRDefault="00021D2C" w:rsidP="004E5A78">
      <w:pPr>
        <w:pStyle w:val="BodyText"/>
        <w:spacing w:before="293"/>
        <w:ind w:left="120" w:right="182"/>
      </w:pPr>
      <w:r>
        <w:t>The</w:t>
      </w:r>
      <w:r>
        <w:rPr>
          <w:spacing w:val="-4"/>
        </w:rPr>
        <w:t xml:space="preserve"> </w:t>
      </w:r>
      <w:r>
        <w:t>Michigan</w:t>
      </w:r>
      <w:r>
        <w:rPr>
          <w:spacing w:val="-1"/>
        </w:rPr>
        <w:t xml:space="preserve"> </w:t>
      </w:r>
      <w:r>
        <w:t>Department</w:t>
      </w:r>
      <w:r>
        <w:rPr>
          <w:spacing w:val="-4"/>
        </w:rPr>
        <w:t xml:space="preserve"> </w:t>
      </w:r>
      <w:r>
        <w:t>of</w:t>
      </w:r>
      <w:r>
        <w:rPr>
          <w:spacing w:val="-1"/>
        </w:rPr>
        <w:t xml:space="preserve"> </w:t>
      </w:r>
      <w:r>
        <w:t>Labor</w:t>
      </w:r>
      <w:r>
        <w:rPr>
          <w:spacing w:val="-5"/>
        </w:rPr>
        <w:t xml:space="preserve"> </w:t>
      </w:r>
      <w:r>
        <w:t>and</w:t>
      </w:r>
      <w:r>
        <w:rPr>
          <w:spacing w:val="-1"/>
        </w:rPr>
        <w:t xml:space="preserve"> </w:t>
      </w:r>
      <w:r>
        <w:t>Economic</w:t>
      </w:r>
      <w:r>
        <w:rPr>
          <w:spacing w:val="-3"/>
        </w:rPr>
        <w:t xml:space="preserve"> </w:t>
      </w:r>
      <w:r>
        <w:t>Opportunity</w:t>
      </w:r>
      <w:r>
        <w:rPr>
          <w:spacing w:val="-3"/>
        </w:rPr>
        <w:t xml:space="preserve"> </w:t>
      </w:r>
      <w:r>
        <w:t>(LEO)</w:t>
      </w:r>
      <w:r>
        <w:rPr>
          <w:spacing w:val="-3"/>
        </w:rPr>
        <w:t xml:space="preserve"> </w:t>
      </w:r>
      <w:r>
        <w:t>is</w:t>
      </w:r>
      <w:r>
        <w:rPr>
          <w:spacing w:val="-3"/>
        </w:rPr>
        <w:t xml:space="preserve"> </w:t>
      </w:r>
      <w:r>
        <w:t>responsible</w:t>
      </w:r>
      <w:r>
        <w:rPr>
          <w:spacing w:val="-4"/>
        </w:rPr>
        <w:t xml:space="preserve"> </w:t>
      </w:r>
      <w:r>
        <w:t>for</w:t>
      </w:r>
      <w:r>
        <w:rPr>
          <w:spacing w:val="-5"/>
        </w:rPr>
        <w:t xml:space="preserve"> </w:t>
      </w:r>
      <w:r>
        <w:t>the</w:t>
      </w:r>
      <w:r>
        <w:rPr>
          <w:spacing w:val="-2"/>
        </w:rPr>
        <w:t xml:space="preserve"> </w:t>
      </w:r>
      <w:r>
        <w:t xml:space="preserve">state’s regulatory services and programs that protect and promote the labor market including the MIOSHA program. </w:t>
      </w:r>
      <w:r w:rsidR="001F4998">
        <w:t xml:space="preserve"> </w:t>
      </w:r>
      <w:r>
        <w:t xml:space="preserve">The divisions within MIOSHA include </w:t>
      </w:r>
      <w:r w:rsidR="007C1C87">
        <w:t xml:space="preserve">Administration; </w:t>
      </w:r>
      <w:r>
        <w:t>General Industry Safety and Health (GISHD); Construction Safety and Health (CSHD); Appeals; Consultation, Education and</w:t>
      </w:r>
      <w:r w:rsidR="004E5A78">
        <w:t xml:space="preserve"> </w:t>
      </w:r>
      <w:r>
        <w:t>Training</w:t>
      </w:r>
      <w:r>
        <w:rPr>
          <w:spacing w:val="-3"/>
        </w:rPr>
        <w:t xml:space="preserve"> </w:t>
      </w:r>
      <w:r>
        <w:t>(CET);</w:t>
      </w:r>
      <w:r>
        <w:rPr>
          <w:spacing w:val="-2"/>
        </w:rPr>
        <w:t xml:space="preserve"> </w:t>
      </w:r>
      <w:r>
        <w:t>and</w:t>
      </w:r>
      <w:r>
        <w:rPr>
          <w:spacing w:val="-4"/>
        </w:rPr>
        <w:t xml:space="preserve"> </w:t>
      </w:r>
      <w:r>
        <w:t>Technical</w:t>
      </w:r>
      <w:r>
        <w:rPr>
          <w:spacing w:val="-2"/>
        </w:rPr>
        <w:t xml:space="preserve"> </w:t>
      </w:r>
      <w:r>
        <w:t>Services</w:t>
      </w:r>
      <w:r>
        <w:rPr>
          <w:spacing w:val="-3"/>
        </w:rPr>
        <w:t xml:space="preserve"> </w:t>
      </w:r>
      <w:r>
        <w:t>(TSD).</w:t>
      </w:r>
      <w:r>
        <w:rPr>
          <w:spacing w:val="-3"/>
        </w:rPr>
        <w:t xml:space="preserve"> </w:t>
      </w:r>
      <w:r w:rsidR="001F4998">
        <w:rPr>
          <w:spacing w:val="-3"/>
        </w:rPr>
        <w:t xml:space="preserve"> </w:t>
      </w:r>
      <w:r>
        <w:t>Enforcement</w:t>
      </w:r>
      <w:r>
        <w:rPr>
          <w:spacing w:val="-4"/>
        </w:rPr>
        <w:t xml:space="preserve"> </w:t>
      </w:r>
      <w:r>
        <w:t>of</w:t>
      </w:r>
      <w:r>
        <w:rPr>
          <w:spacing w:val="-1"/>
        </w:rPr>
        <w:t xml:space="preserve"> </w:t>
      </w:r>
      <w:r>
        <w:t>safety</w:t>
      </w:r>
      <w:r>
        <w:rPr>
          <w:spacing w:val="-3"/>
        </w:rPr>
        <w:t xml:space="preserve"> </w:t>
      </w:r>
      <w:r>
        <w:t>and</w:t>
      </w:r>
      <w:r>
        <w:rPr>
          <w:spacing w:val="-4"/>
        </w:rPr>
        <w:t xml:space="preserve"> </w:t>
      </w:r>
      <w:r>
        <w:t>health</w:t>
      </w:r>
      <w:r>
        <w:rPr>
          <w:spacing w:val="-4"/>
        </w:rPr>
        <w:t xml:space="preserve"> </w:t>
      </w:r>
      <w:r>
        <w:t>rules,</w:t>
      </w:r>
      <w:r>
        <w:rPr>
          <w:spacing w:val="-5"/>
        </w:rPr>
        <w:t xml:space="preserve"> </w:t>
      </w:r>
      <w:r>
        <w:t>adoption</w:t>
      </w:r>
      <w:r>
        <w:rPr>
          <w:spacing w:val="-4"/>
        </w:rPr>
        <w:t xml:space="preserve"> </w:t>
      </w:r>
      <w:r>
        <w:t xml:space="preserve">of standards, consultation services, and other OSHA activities are conducted within these five divisions. </w:t>
      </w:r>
      <w:r w:rsidR="001F4998">
        <w:t xml:space="preserve"> </w:t>
      </w:r>
      <w:r>
        <w:t>MIOSHA’s CET division administers the private sector on-site consultation program funded under a 21(d) grant.</w:t>
      </w:r>
    </w:p>
    <w:p w14:paraId="6046B918" w14:textId="09C22CE3" w:rsidR="00021D2C" w:rsidRDefault="00021D2C" w:rsidP="00021D2C">
      <w:pPr>
        <w:pStyle w:val="BodyText"/>
        <w:spacing w:before="291"/>
        <w:ind w:left="120" w:right="171"/>
      </w:pPr>
      <w:r>
        <w:t xml:space="preserve">The mission of MIOSHA is to help protect the safety and health of Michigan workers with the overall mission to reduce workplace fatalities, injuries, and illnesses. </w:t>
      </w:r>
      <w:r w:rsidR="001F4998">
        <w:t xml:space="preserve"> </w:t>
      </w:r>
      <w:r>
        <w:t>MIOSHA aims to do this through a combination of compliance, education and training, and consultation activities supported</w:t>
      </w:r>
      <w:r>
        <w:rPr>
          <w:spacing w:val="-4"/>
        </w:rPr>
        <w:t xml:space="preserve"> </w:t>
      </w:r>
      <w:r>
        <w:t>by</w:t>
      </w:r>
      <w:r>
        <w:rPr>
          <w:spacing w:val="-3"/>
        </w:rPr>
        <w:t xml:space="preserve"> </w:t>
      </w:r>
      <w:r>
        <w:t>standards</w:t>
      </w:r>
      <w:r>
        <w:rPr>
          <w:spacing w:val="-5"/>
        </w:rPr>
        <w:t xml:space="preserve"> </w:t>
      </w:r>
      <w:r>
        <w:t>promulgation,</w:t>
      </w:r>
      <w:r>
        <w:rPr>
          <w:spacing w:val="-6"/>
        </w:rPr>
        <w:t xml:space="preserve"> </w:t>
      </w:r>
      <w:r>
        <w:t>data</w:t>
      </w:r>
      <w:r>
        <w:rPr>
          <w:spacing w:val="-5"/>
        </w:rPr>
        <w:t xml:space="preserve"> </w:t>
      </w:r>
      <w:r>
        <w:t>management,</w:t>
      </w:r>
      <w:r>
        <w:rPr>
          <w:spacing w:val="-2"/>
        </w:rPr>
        <w:t xml:space="preserve"> </w:t>
      </w:r>
      <w:r>
        <w:t>and</w:t>
      </w:r>
      <w:r>
        <w:rPr>
          <w:spacing w:val="-4"/>
        </w:rPr>
        <w:t xml:space="preserve"> </w:t>
      </w:r>
      <w:r>
        <w:t>administrative</w:t>
      </w:r>
      <w:r>
        <w:rPr>
          <w:spacing w:val="-2"/>
        </w:rPr>
        <w:t xml:space="preserve"> </w:t>
      </w:r>
      <w:r>
        <w:t>functions.</w:t>
      </w:r>
      <w:r>
        <w:rPr>
          <w:spacing w:val="-6"/>
        </w:rPr>
        <w:t xml:space="preserve"> </w:t>
      </w:r>
      <w:r>
        <w:t>MIOSHA has historically focused its efforts on the most hazardous industries and occupations.</w:t>
      </w:r>
    </w:p>
    <w:p w14:paraId="1437A550" w14:textId="77777777" w:rsidR="00021D2C" w:rsidRDefault="00021D2C" w:rsidP="00021D2C">
      <w:pPr>
        <w:pStyle w:val="BodyText"/>
        <w:spacing w:before="1"/>
      </w:pPr>
    </w:p>
    <w:p w14:paraId="2EAC466F" w14:textId="14F0C912" w:rsidR="00021D2C" w:rsidRDefault="00021D2C" w:rsidP="005C681E">
      <w:pPr>
        <w:pStyle w:val="BodyText"/>
        <w:ind w:left="120" w:right="171"/>
        <w:rPr>
          <w:spacing w:val="-2"/>
        </w:rPr>
      </w:pPr>
      <w:r>
        <w:t xml:space="preserve">Susan Corbin was appointed Director of LEO in August of 2021. </w:t>
      </w:r>
      <w:r w:rsidR="001F4998">
        <w:t xml:space="preserve"> </w:t>
      </w:r>
      <w:r>
        <w:t xml:space="preserve">Barton Pickelman is MIOSHA’s Director, </w:t>
      </w:r>
      <w:r w:rsidR="005C681E">
        <w:t>and Dawn Jack is the Deputy Director.  E</w:t>
      </w:r>
      <w:r>
        <w:t xml:space="preserve">ach of the divisions </w:t>
      </w:r>
      <w:r w:rsidR="00C65F61">
        <w:t>is led by</w:t>
      </w:r>
      <w:r>
        <w:t xml:space="preserve"> a division director.</w:t>
      </w:r>
      <w:r>
        <w:rPr>
          <w:spacing w:val="-6"/>
        </w:rPr>
        <w:t xml:space="preserve"> </w:t>
      </w:r>
      <w:r w:rsidR="001F4998">
        <w:rPr>
          <w:spacing w:val="-6"/>
        </w:rPr>
        <w:t xml:space="preserve"> </w:t>
      </w:r>
      <w:r w:rsidR="0072745B">
        <w:rPr>
          <w:spacing w:val="-6"/>
        </w:rPr>
        <w:t xml:space="preserve">The total number of </w:t>
      </w:r>
      <w:r w:rsidR="009869A6">
        <w:rPr>
          <w:spacing w:val="-6"/>
        </w:rPr>
        <w:t xml:space="preserve">authorized </w:t>
      </w:r>
      <w:r w:rsidR="0072745B">
        <w:rPr>
          <w:spacing w:val="-6"/>
        </w:rPr>
        <w:t>full-time staff at the start of FY</w:t>
      </w:r>
      <w:r w:rsidR="00962354">
        <w:rPr>
          <w:spacing w:val="-6"/>
        </w:rPr>
        <w:t xml:space="preserve"> </w:t>
      </w:r>
      <w:r w:rsidR="0072745B">
        <w:rPr>
          <w:spacing w:val="-6"/>
        </w:rPr>
        <w:t xml:space="preserve">2024 </w:t>
      </w:r>
      <w:r w:rsidR="00E0652A">
        <w:rPr>
          <w:spacing w:val="-6"/>
        </w:rPr>
        <w:t xml:space="preserve">under the 23(g) program was 161.26, with </w:t>
      </w:r>
      <w:r w:rsidR="001C034C">
        <w:rPr>
          <w:spacing w:val="-6"/>
        </w:rPr>
        <w:t xml:space="preserve">21.32 vacancies. </w:t>
      </w:r>
      <w:r w:rsidR="0072745B">
        <w:rPr>
          <w:spacing w:val="-6"/>
        </w:rPr>
        <w:t xml:space="preserve"> </w:t>
      </w:r>
      <w:r>
        <w:t>MIOSHA</w:t>
      </w:r>
      <w:r>
        <w:rPr>
          <w:spacing w:val="-2"/>
        </w:rPr>
        <w:t xml:space="preserve"> </w:t>
      </w:r>
      <w:r>
        <w:t>benchmarks</w:t>
      </w:r>
      <w:r>
        <w:rPr>
          <w:spacing w:val="-3"/>
        </w:rPr>
        <w:t xml:space="preserve"> </w:t>
      </w:r>
      <w:r>
        <w:t>include</w:t>
      </w:r>
      <w:r>
        <w:rPr>
          <w:spacing w:val="-2"/>
        </w:rPr>
        <w:t xml:space="preserve"> </w:t>
      </w:r>
      <w:r>
        <w:t>56</w:t>
      </w:r>
      <w:r>
        <w:rPr>
          <w:spacing w:val="-2"/>
        </w:rPr>
        <w:t xml:space="preserve"> </w:t>
      </w:r>
      <w:r>
        <w:t>safety</w:t>
      </w:r>
      <w:r>
        <w:rPr>
          <w:spacing w:val="-6"/>
        </w:rPr>
        <w:t xml:space="preserve"> </w:t>
      </w:r>
      <w:r>
        <w:t>and</w:t>
      </w:r>
      <w:r>
        <w:rPr>
          <w:spacing w:val="-4"/>
        </w:rPr>
        <w:t xml:space="preserve"> </w:t>
      </w:r>
      <w:r>
        <w:t>45</w:t>
      </w:r>
      <w:r>
        <w:rPr>
          <w:spacing w:val="-4"/>
        </w:rPr>
        <w:t xml:space="preserve"> </w:t>
      </w:r>
      <w:r>
        <w:t>health</w:t>
      </w:r>
      <w:r>
        <w:rPr>
          <w:spacing w:val="-4"/>
        </w:rPr>
        <w:t xml:space="preserve"> </w:t>
      </w:r>
      <w:r>
        <w:t>compliance</w:t>
      </w:r>
      <w:r>
        <w:rPr>
          <w:spacing w:val="-2"/>
        </w:rPr>
        <w:t xml:space="preserve"> </w:t>
      </w:r>
      <w:r>
        <w:t>officers.</w:t>
      </w:r>
      <w:r>
        <w:rPr>
          <w:spacing w:val="-3"/>
        </w:rPr>
        <w:t xml:space="preserve"> </w:t>
      </w:r>
      <w:r w:rsidR="001F4998">
        <w:rPr>
          <w:spacing w:val="-3"/>
        </w:rPr>
        <w:t xml:space="preserve"> </w:t>
      </w:r>
      <w:r>
        <w:t>At</w:t>
      </w:r>
      <w:r>
        <w:rPr>
          <w:spacing w:val="-4"/>
        </w:rPr>
        <w:t xml:space="preserve"> </w:t>
      </w:r>
      <w:r>
        <w:t>the</w:t>
      </w:r>
      <w:r>
        <w:rPr>
          <w:spacing w:val="-4"/>
        </w:rPr>
        <w:t xml:space="preserve"> </w:t>
      </w:r>
      <w:r>
        <w:t>start</w:t>
      </w:r>
      <w:r>
        <w:rPr>
          <w:spacing w:val="-1"/>
        </w:rPr>
        <w:t xml:space="preserve"> </w:t>
      </w:r>
      <w:r>
        <w:t>of FY 202</w:t>
      </w:r>
      <w:r w:rsidR="00A2137A">
        <w:t>4</w:t>
      </w:r>
      <w:r>
        <w:t xml:space="preserve">, funding was allocated for </w:t>
      </w:r>
      <w:r w:rsidR="008131BC">
        <w:t>55</w:t>
      </w:r>
      <w:r>
        <w:t xml:space="preserve"> safety and </w:t>
      </w:r>
      <w:r w:rsidR="008131BC">
        <w:t>31</w:t>
      </w:r>
      <w:r>
        <w:t xml:space="preserve"> health full-time equivalent (FTE) compliance officers</w:t>
      </w:r>
      <w:r w:rsidR="008131BC">
        <w:t xml:space="preserve">, in addition to three </w:t>
      </w:r>
      <w:r w:rsidR="001740E3" w:rsidRPr="008D7CE9">
        <w:t>whistleblower investigators</w:t>
      </w:r>
      <w:r w:rsidRPr="008D7CE9">
        <w:t>. MIOSHA’s FY 202</w:t>
      </w:r>
      <w:r w:rsidR="00A2137A" w:rsidRPr="008D7CE9">
        <w:t>4</w:t>
      </w:r>
      <w:r w:rsidRPr="008D7CE9">
        <w:t xml:space="preserve"> </w:t>
      </w:r>
      <w:r w:rsidR="00DB6C2A" w:rsidRPr="008D7CE9">
        <w:t xml:space="preserve">initial </w:t>
      </w:r>
      <w:r w:rsidRPr="008D7CE9">
        <w:t>grant included funding totaling $2</w:t>
      </w:r>
      <w:r w:rsidR="008D7CE9" w:rsidRPr="008D7CE9">
        <w:t>4,905,100</w:t>
      </w:r>
      <w:r w:rsidRPr="008D7CE9">
        <w:t>, which includes a</w:t>
      </w:r>
      <w:r w:rsidR="005C681E" w:rsidRPr="008D7CE9">
        <w:t xml:space="preserve"> </w:t>
      </w:r>
      <w:r w:rsidRPr="008D7CE9">
        <w:t>$1,</w:t>
      </w:r>
      <w:r w:rsidR="001740E3" w:rsidRPr="008D7CE9">
        <w:t>689,700</w:t>
      </w:r>
      <w:r w:rsidR="002B6027">
        <w:t xml:space="preserve"> </w:t>
      </w:r>
      <w:r w:rsidR="001740E3" w:rsidRPr="008D7CE9">
        <w:rPr>
          <w:spacing w:val="-2"/>
        </w:rPr>
        <w:t xml:space="preserve">state funded </w:t>
      </w:r>
      <w:r w:rsidRPr="008D7CE9">
        <w:t>overmatch.</w:t>
      </w:r>
      <w:r w:rsidRPr="008D7CE9">
        <w:rPr>
          <w:spacing w:val="-6"/>
        </w:rPr>
        <w:t xml:space="preserve"> </w:t>
      </w:r>
      <w:r w:rsidR="007E09E2">
        <w:rPr>
          <w:spacing w:val="-6"/>
        </w:rPr>
        <w:t xml:space="preserve"> </w:t>
      </w:r>
      <w:r w:rsidRPr="008D7CE9">
        <w:t>There</w:t>
      </w:r>
      <w:r w:rsidRPr="008D7CE9">
        <w:rPr>
          <w:spacing w:val="-4"/>
        </w:rPr>
        <w:t xml:space="preserve"> </w:t>
      </w:r>
      <w:r w:rsidRPr="008D7CE9">
        <w:t>were</w:t>
      </w:r>
      <w:r w:rsidRPr="008D7CE9">
        <w:rPr>
          <w:spacing w:val="-2"/>
        </w:rPr>
        <w:t xml:space="preserve"> </w:t>
      </w:r>
      <w:r w:rsidRPr="008D7CE9">
        <w:t>no</w:t>
      </w:r>
      <w:r w:rsidRPr="008D7CE9">
        <w:rPr>
          <w:spacing w:val="-4"/>
        </w:rPr>
        <w:t xml:space="preserve"> </w:t>
      </w:r>
      <w:r w:rsidRPr="008D7CE9">
        <w:t>furloughs</w:t>
      </w:r>
      <w:r w:rsidRPr="008D7CE9">
        <w:rPr>
          <w:spacing w:val="-8"/>
        </w:rPr>
        <w:t xml:space="preserve"> </w:t>
      </w:r>
      <w:r w:rsidRPr="008D7CE9">
        <w:t>or</w:t>
      </w:r>
      <w:r>
        <w:rPr>
          <w:spacing w:val="-2"/>
        </w:rPr>
        <w:t xml:space="preserve"> </w:t>
      </w:r>
      <w:r>
        <w:t>hiring</w:t>
      </w:r>
      <w:r>
        <w:rPr>
          <w:spacing w:val="-5"/>
        </w:rPr>
        <w:t xml:space="preserve"> </w:t>
      </w:r>
      <w:r>
        <w:t>freezes</w:t>
      </w:r>
      <w:r>
        <w:rPr>
          <w:spacing w:val="-3"/>
        </w:rPr>
        <w:t xml:space="preserve"> </w:t>
      </w:r>
      <w:r>
        <w:t>affecting</w:t>
      </w:r>
      <w:r>
        <w:rPr>
          <w:spacing w:val="-3"/>
        </w:rPr>
        <w:t xml:space="preserve"> </w:t>
      </w:r>
      <w:r>
        <w:t>MIOSHA</w:t>
      </w:r>
      <w:r>
        <w:rPr>
          <w:spacing w:val="-2"/>
        </w:rPr>
        <w:t xml:space="preserve"> </w:t>
      </w:r>
      <w:r>
        <w:t>during</w:t>
      </w:r>
      <w:r>
        <w:rPr>
          <w:spacing w:val="-5"/>
        </w:rPr>
        <w:t xml:space="preserve"> </w:t>
      </w:r>
      <w:r>
        <w:t xml:space="preserve">FY </w:t>
      </w:r>
      <w:r>
        <w:rPr>
          <w:spacing w:val="-2"/>
        </w:rPr>
        <w:t>202</w:t>
      </w:r>
      <w:r w:rsidR="00A2137A">
        <w:rPr>
          <w:spacing w:val="-2"/>
        </w:rPr>
        <w:t>4</w:t>
      </w:r>
      <w:r>
        <w:rPr>
          <w:spacing w:val="-2"/>
        </w:rPr>
        <w:t>.</w:t>
      </w:r>
    </w:p>
    <w:p w14:paraId="0742911E" w14:textId="77777777" w:rsidR="00D01697" w:rsidRDefault="00D01697" w:rsidP="005C681E">
      <w:pPr>
        <w:pStyle w:val="BodyText"/>
        <w:ind w:left="120" w:right="171"/>
        <w:rPr>
          <w:spacing w:val="-2"/>
        </w:rPr>
      </w:pPr>
    </w:p>
    <w:p w14:paraId="0789DB5C" w14:textId="075036EF" w:rsidR="00D01697" w:rsidRDefault="00872380" w:rsidP="005C681E">
      <w:pPr>
        <w:pStyle w:val="BodyText"/>
        <w:ind w:left="120" w:right="171"/>
      </w:pPr>
      <w:r>
        <w:rPr>
          <w:spacing w:val="-2"/>
        </w:rPr>
        <w:t xml:space="preserve">MIOSHA </w:t>
      </w:r>
      <w:r w:rsidR="005E260F">
        <w:rPr>
          <w:spacing w:val="-2"/>
        </w:rPr>
        <w:t>began its sixth 5-year Strategic Plan in FY</w:t>
      </w:r>
      <w:r w:rsidR="002B6027">
        <w:rPr>
          <w:spacing w:val="-2"/>
        </w:rPr>
        <w:t xml:space="preserve"> </w:t>
      </w:r>
      <w:r w:rsidR="005E260F">
        <w:rPr>
          <w:spacing w:val="-2"/>
        </w:rPr>
        <w:t xml:space="preserve">2024.  The plan still focuses on </w:t>
      </w:r>
      <w:r w:rsidR="0030636C">
        <w:rPr>
          <w:spacing w:val="-2"/>
        </w:rPr>
        <w:t>eight</w:t>
      </w:r>
      <w:r w:rsidR="005E260F">
        <w:rPr>
          <w:spacing w:val="-2"/>
        </w:rPr>
        <w:t xml:space="preserve"> identified high-hazard industr</w:t>
      </w:r>
      <w:r w:rsidR="0030636C">
        <w:rPr>
          <w:spacing w:val="-2"/>
        </w:rPr>
        <w:t>y sectors</w:t>
      </w:r>
      <w:r w:rsidR="005E260F">
        <w:rPr>
          <w:spacing w:val="-2"/>
        </w:rPr>
        <w:t xml:space="preserve"> identified</w:t>
      </w:r>
      <w:r w:rsidR="0030636C">
        <w:rPr>
          <w:spacing w:val="-2"/>
        </w:rPr>
        <w:t xml:space="preserve"> through BLS and state data</w:t>
      </w:r>
      <w:r w:rsidR="004E5A78">
        <w:rPr>
          <w:spacing w:val="-2"/>
        </w:rPr>
        <w:t xml:space="preserve">.  </w:t>
      </w:r>
      <w:r w:rsidR="00BC3C9C">
        <w:rPr>
          <w:spacing w:val="-2"/>
        </w:rPr>
        <w:t xml:space="preserve">This plan has also identified state emphasis programs </w:t>
      </w:r>
      <w:r w:rsidR="007947EB">
        <w:rPr>
          <w:spacing w:val="-2"/>
        </w:rPr>
        <w:t xml:space="preserve">(SEPs) </w:t>
      </w:r>
      <w:r w:rsidR="00BC3C9C">
        <w:rPr>
          <w:spacing w:val="-2"/>
        </w:rPr>
        <w:t xml:space="preserve">unique to Michigan’s </w:t>
      </w:r>
      <w:r w:rsidR="00B55402">
        <w:rPr>
          <w:spacing w:val="-2"/>
        </w:rPr>
        <w:t xml:space="preserve">industry, including an </w:t>
      </w:r>
      <w:r w:rsidR="007947EB">
        <w:rPr>
          <w:spacing w:val="-2"/>
        </w:rPr>
        <w:t>SEP</w:t>
      </w:r>
      <w:r w:rsidR="00B55402">
        <w:rPr>
          <w:spacing w:val="-2"/>
        </w:rPr>
        <w:t xml:space="preserve"> targeting cannabis gro</w:t>
      </w:r>
      <w:r w:rsidR="00906221">
        <w:rPr>
          <w:spacing w:val="-2"/>
        </w:rPr>
        <w:t xml:space="preserve">w and processing facilities, as well as focusing resources on an initiative related to </w:t>
      </w:r>
      <w:r w:rsidR="000A1C94">
        <w:rPr>
          <w:spacing w:val="-2"/>
        </w:rPr>
        <w:t xml:space="preserve">worker </w:t>
      </w:r>
      <w:r w:rsidR="00906221">
        <w:rPr>
          <w:spacing w:val="-2"/>
        </w:rPr>
        <w:t>mental well-being</w:t>
      </w:r>
      <w:r w:rsidR="003409E3">
        <w:rPr>
          <w:spacing w:val="-2"/>
        </w:rPr>
        <w:t xml:space="preserve"> across all industry sectors.</w:t>
      </w:r>
      <w:r w:rsidR="009079CD">
        <w:rPr>
          <w:spacing w:val="-2"/>
        </w:rPr>
        <w:t xml:space="preserve">  In FY 2024, MIOSHA successfully completed its 20</w:t>
      </w:r>
      <w:r w:rsidR="009079CD" w:rsidRPr="009079CD">
        <w:rPr>
          <w:spacing w:val="-2"/>
          <w:vertAlign w:val="superscript"/>
        </w:rPr>
        <w:t>th</w:t>
      </w:r>
      <w:r w:rsidR="009079CD">
        <w:rPr>
          <w:spacing w:val="-2"/>
        </w:rPr>
        <w:t xml:space="preserve"> </w:t>
      </w:r>
      <w:r w:rsidR="00790D9C">
        <w:rPr>
          <w:spacing w:val="-2"/>
        </w:rPr>
        <w:t>annual Take-A-</w:t>
      </w:r>
      <w:r w:rsidR="003409E3">
        <w:rPr>
          <w:spacing w:val="-2"/>
        </w:rPr>
        <w:t>Stand Day</w:t>
      </w:r>
      <w:r w:rsidR="00790D9C">
        <w:rPr>
          <w:spacing w:val="-2"/>
        </w:rPr>
        <w:t xml:space="preserve">, which utilizes enforcement and consultation resources statewide to </w:t>
      </w:r>
      <w:r w:rsidR="00517692">
        <w:rPr>
          <w:spacing w:val="-2"/>
        </w:rPr>
        <w:t xml:space="preserve">conduct consultation visits to workplaces in a variety of industries.  </w:t>
      </w:r>
      <w:r w:rsidR="003E09E5">
        <w:rPr>
          <w:spacing w:val="-2"/>
        </w:rPr>
        <w:t xml:space="preserve">The program had </w:t>
      </w:r>
      <w:r w:rsidR="001F2757">
        <w:rPr>
          <w:spacing w:val="-2"/>
        </w:rPr>
        <w:t>nearly</w:t>
      </w:r>
      <w:r w:rsidR="003E09E5">
        <w:rPr>
          <w:spacing w:val="-2"/>
        </w:rPr>
        <w:t xml:space="preserve"> 200 employers participate in the event this year.</w:t>
      </w:r>
    </w:p>
    <w:p w14:paraId="76F6B2ED" w14:textId="77777777" w:rsidR="00DC6559" w:rsidRDefault="00DC6559" w:rsidP="00783189">
      <w:pPr>
        <w:widowControl/>
        <w:autoSpaceDE/>
        <w:autoSpaceDN/>
        <w:adjustRightInd/>
        <w:ind w:left="630"/>
        <w:rPr>
          <w:rFonts w:cs="Calibri"/>
          <w:iCs/>
          <w:color w:val="0070C0"/>
        </w:rPr>
      </w:pPr>
    </w:p>
    <w:p w14:paraId="68FBAFD2" w14:textId="77777777" w:rsidR="00781312" w:rsidRPr="001C1E47" w:rsidRDefault="00781312" w:rsidP="00783189">
      <w:pPr>
        <w:widowControl/>
        <w:autoSpaceDE/>
        <w:autoSpaceDN/>
        <w:adjustRightInd/>
        <w:contextualSpacing/>
        <w:rPr>
          <w:rFonts w:cs="Calibri"/>
          <w:b/>
        </w:rPr>
      </w:pPr>
      <w:r w:rsidRPr="001C1E47">
        <w:rPr>
          <w:rFonts w:cs="Calibri"/>
          <w:b/>
        </w:rPr>
        <w:t>New Issues</w:t>
      </w:r>
    </w:p>
    <w:p w14:paraId="1A950952" w14:textId="77777777" w:rsidR="00781312" w:rsidRPr="001C1E47" w:rsidRDefault="00781312" w:rsidP="00783189">
      <w:pPr>
        <w:ind w:left="720"/>
        <w:contextualSpacing/>
        <w:rPr>
          <w:rFonts w:cs="Calibri"/>
          <w:sz w:val="28"/>
          <w:szCs w:val="28"/>
        </w:rPr>
      </w:pPr>
    </w:p>
    <w:p w14:paraId="62935632" w14:textId="792701E7" w:rsidR="00781312" w:rsidRPr="003D41C5" w:rsidRDefault="000D3B19" w:rsidP="00783189">
      <w:pPr>
        <w:contextualSpacing/>
        <w:rPr>
          <w:rFonts w:cs="Calibri"/>
          <w:iCs/>
        </w:rPr>
      </w:pPr>
      <w:r w:rsidRPr="003D41C5">
        <w:rPr>
          <w:rFonts w:cs="Calibri"/>
          <w:iCs/>
        </w:rPr>
        <w:t>None</w:t>
      </w:r>
    </w:p>
    <w:p w14:paraId="7AF52E19" w14:textId="77777777" w:rsidR="00D02711" w:rsidRPr="00AB16D9" w:rsidRDefault="00D02711" w:rsidP="00783189">
      <w:pPr>
        <w:widowControl/>
        <w:autoSpaceDE/>
        <w:autoSpaceDN/>
        <w:adjustRightInd/>
        <w:rPr>
          <w:rFonts w:cs="Calibri"/>
          <w:iCs/>
        </w:rPr>
      </w:pPr>
    </w:p>
    <w:p w14:paraId="0A29FCDE" w14:textId="40051B71" w:rsidR="00054900" w:rsidRPr="00476C08" w:rsidRDefault="00054900" w:rsidP="00476C08">
      <w:pPr>
        <w:pStyle w:val="Heading2"/>
      </w:pPr>
      <w:bookmarkStart w:id="9" w:name="_Toc118900172"/>
      <w:bookmarkStart w:id="10" w:name="_Toc118905011"/>
      <w:bookmarkStart w:id="11" w:name="_Toc119418665"/>
      <w:r w:rsidRPr="00476C08">
        <w:lastRenderedPageBreak/>
        <w:t xml:space="preserve">Assessment of State Plan </w:t>
      </w:r>
      <w:r w:rsidR="001E2FBB" w:rsidRPr="00476C08">
        <w:t xml:space="preserve">Progress and </w:t>
      </w:r>
      <w:r w:rsidRPr="00476C08">
        <w:t>Performance</w:t>
      </w:r>
      <w:bookmarkEnd w:id="9"/>
      <w:bookmarkEnd w:id="10"/>
      <w:bookmarkEnd w:id="11"/>
    </w:p>
    <w:p w14:paraId="4CD3C312" w14:textId="09B1E02A" w:rsidR="000A134A" w:rsidRPr="00E571BA" w:rsidRDefault="000A134A" w:rsidP="00E571BA">
      <w:pPr>
        <w:pStyle w:val="Heading3"/>
      </w:pPr>
      <w:bookmarkStart w:id="12" w:name="_Toc118900173"/>
      <w:bookmarkStart w:id="13" w:name="_Toc118905012"/>
      <w:bookmarkStart w:id="14" w:name="_Toc119418666"/>
      <w:r w:rsidRPr="00E571BA">
        <w:t>Data and Methodology</w:t>
      </w:r>
      <w:bookmarkEnd w:id="12"/>
      <w:bookmarkEnd w:id="13"/>
      <w:bookmarkEnd w:id="14"/>
    </w:p>
    <w:p w14:paraId="3C33CBF1" w14:textId="77777777" w:rsidR="00D8671F" w:rsidRPr="00D8671F" w:rsidRDefault="00D8671F" w:rsidP="00D8671F">
      <w:pPr>
        <w:adjustRightInd/>
        <w:spacing w:before="291"/>
        <w:ind w:left="120" w:right="182"/>
        <w:rPr>
          <w:rFonts w:eastAsia="Calibri" w:cs="Calibri"/>
        </w:rPr>
      </w:pPr>
      <w:r w:rsidRPr="00D8671F">
        <w:rPr>
          <w:rFonts w:eastAsia="Calibri" w:cs="Calibri"/>
        </w:rPr>
        <w:t>OSHA has established a two-year cycle for the FAME process.</w:t>
      </w:r>
      <w:r w:rsidRPr="00D8671F">
        <w:rPr>
          <w:rFonts w:eastAsia="Calibri" w:cs="Calibri"/>
          <w:spacing w:val="40"/>
        </w:rPr>
        <w:t xml:space="preserve"> </w:t>
      </w:r>
      <w:r w:rsidRPr="00D8671F">
        <w:rPr>
          <w:rFonts w:eastAsia="Calibri" w:cs="Calibri"/>
        </w:rPr>
        <w:t>This is the follow-up year, and as such, OSHA did not perform an on-site case file review associated with a comprehensive FAME. This strategy allows the State Plan to focus on correcting deficiencies identified in the most recent</w:t>
      </w:r>
      <w:r w:rsidRPr="00D8671F">
        <w:rPr>
          <w:rFonts w:eastAsia="Calibri" w:cs="Calibri"/>
          <w:spacing w:val="-4"/>
        </w:rPr>
        <w:t xml:space="preserve"> </w:t>
      </w:r>
      <w:r w:rsidRPr="00D8671F">
        <w:rPr>
          <w:rFonts w:eastAsia="Calibri" w:cs="Calibri"/>
        </w:rPr>
        <w:t>comprehensive</w:t>
      </w:r>
      <w:r w:rsidRPr="00D8671F">
        <w:rPr>
          <w:rFonts w:eastAsia="Calibri" w:cs="Calibri"/>
          <w:spacing w:val="-2"/>
        </w:rPr>
        <w:t xml:space="preserve"> </w:t>
      </w:r>
      <w:r w:rsidRPr="00D8671F">
        <w:rPr>
          <w:rFonts w:eastAsia="Calibri" w:cs="Calibri"/>
        </w:rPr>
        <w:t>FAME.</w:t>
      </w:r>
      <w:r w:rsidRPr="00D8671F">
        <w:rPr>
          <w:rFonts w:eastAsia="Calibri" w:cs="Calibri"/>
          <w:spacing w:val="40"/>
        </w:rPr>
        <w:t xml:space="preserve"> </w:t>
      </w:r>
      <w:r w:rsidRPr="00D8671F">
        <w:rPr>
          <w:rFonts w:eastAsia="Calibri" w:cs="Calibri"/>
        </w:rPr>
        <w:t>The</w:t>
      </w:r>
      <w:r w:rsidRPr="00D8671F">
        <w:rPr>
          <w:rFonts w:eastAsia="Calibri" w:cs="Calibri"/>
          <w:spacing w:val="-4"/>
        </w:rPr>
        <w:t xml:space="preserve"> </w:t>
      </w:r>
      <w:r w:rsidRPr="00D8671F">
        <w:rPr>
          <w:rFonts w:eastAsia="Calibri" w:cs="Calibri"/>
        </w:rPr>
        <w:t>analyses</w:t>
      </w:r>
      <w:r w:rsidRPr="00D8671F">
        <w:rPr>
          <w:rFonts w:eastAsia="Calibri" w:cs="Calibri"/>
          <w:spacing w:val="-5"/>
        </w:rPr>
        <w:t xml:space="preserve"> </w:t>
      </w:r>
      <w:r w:rsidRPr="00D8671F">
        <w:rPr>
          <w:rFonts w:eastAsia="Calibri" w:cs="Calibri"/>
        </w:rPr>
        <w:t>and</w:t>
      </w:r>
      <w:r w:rsidRPr="00D8671F">
        <w:rPr>
          <w:rFonts w:eastAsia="Calibri" w:cs="Calibri"/>
          <w:spacing w:val="-1"/>
        </w:rPr>
        <w:t xml:space="preserve"> </w:t>
      </w:r>
      <w:r w:rsidRPr="00D8671F">
        <w:rPr>
          <w:rFonts w:eastAsia="Calibri" w:cs="Calibri"/>
        </w:rPr>
        <w:t>conclusions</w:t>
      </w:r>
      <w:r w:rsidRPr="00D8671F">
        <w:rPr>
          <w:rFonts w:eastAsia="Calibri" w:cs="Calibri"/>
          <w:spacing w:val="-3"/>
        </w:rPr>
        <w:t xml:space="preserve"> </w:t>
      </w:r>
      <w:r w:rsidRPr="00D8671F">
        <w:rPr>
          <w:rFonts w:eastAsia="Calibri" w:cs="Calibri"/>
        </w:rPr>
        <w:t>described</w:t>
      </w:r>
      <w:r w:rsidRPr="00D8671F">
        <w:rPr>
          <w:rFonts w:eastAsia="Calibri" w:cs="Calibri"/>
          <w:spacing w:val="-4"/>
        </w:rPr>
        <w:t xml:space="preserve"> </w:t>
      </w:r>
      <w:r w:rsidRPr="00D8671F">
        <w:rPr>
          <w:rFonts w:eastAsia="Calibri" w:cs="Calibri"/>
        </w:rPr>
        <w:t>in</w:t>
      </w:r>
      <w:r w:rsidRPr="00D8671F">
        <w:rPr>
          <w:rFonts w:eastAsia="Calibri" w:cs="Calibri"/>
          <w:spacing w:val="-4"/>
        </w:rPr>
        <w:t xml:space="preserve"> </w:t>
      </w:r>
      <w:r w:rsidRPr="00D8671F">
        <w:rPr>
          <w:rFonts w:eastAsia="Calibri" w:cs="Calibri"/>
        </w:rPr>
        <w:t>this</w:t>
      </w:r>
      <w:r w:rsidRPr="00D8671F">
        <w:rPr>
          <w:rFonts w:eastAsia="Calibri" w:cs="Calibri"/>
          <w:spacing w:val="-3"/>
        </w:rPr>
        <w:t xml:space="preserve"> </w:t>
      </w:r>
      <w:r w:rsidRPr="00D8671F">
        <w:rPr>
          <w:rFonts w:eastAsia="Calibri" w:cs="Calibri"/>
        </w:rPr>
        <w:t>report</w:t>
      </w:r>
      <w:r w:rsidRPr="00D8671F">
        <w:rPr>
          <w:rFonts w:eastAsia="Calibri" w:cs="Calibri"/>
          <w:spacing w:val="-1"/>
        </w:rPr>
        <w:t xml:space="preserve"> </w:t>
      </w:r>
      <w:r w:rsidRPr="00D8671F">
        <w:rPr>
          <w:rFonts w:eastAsia="Calibri" w:cs="Calibri"/>
        </w:rPr>
        <w:t>are</w:t>
      </w:r>
      <w:r w:rsidRPr="00D8671F">
        <w:rPr>
          <w:rFonts w:eastAsia="Calibri" w:cs="Calibri"/>
          <w:spacing w:val="-4"/>
        </w:rPr>
        <w:t xml:space="preserve"> </w:t>
      </w:r>
      <w:r w:rsidRPr="00D8671F">
        <w:rPr>
          <w:rFonts w:eastAsia="Calibri" w:cs="Calibri"/>
        </w:rPr>
        <w:t>based</w:t>
      </w:r>
      <w:r w:rsidRPr="00D8671F">
        <w:rPr>
          <w:rFonts w:eastAsia="Calibri" w:cs="Calibri"/>
          <w:spacing w:val="-4"/>
        </w:rPr>
        <w:t xml:space="preserve"> </w:t>
      </w:r>
      <w:r w:rsidRPr="00D8671F">
        <w:rPr>
          <w:rFonts w:eastAsia="Calibri" w:cs="Calibri"/>
        </w:rPr>
        <w:t>on information obtained from a variety of monitoring sources, including:</w:t>
      </w:r>
    </w:p>
    <w:p w14:paraId="2A23A4C9" w14:textId="77777777" w:rsidR="00D8671F" w:rsidRPr="00D8671F" w:rsidRDefault="00D8671F" w:rsidP="00D8671F">
      <w:pPr>
        <w:adjustRightInd/>
        <w:spacing w:before="1"/>
        <w:rPr>
          <w:rFonts w:eastAsia="Calibri" w:cs="Calibri"/>
        </w:rPr>
      </w:pPr>
    </w:p>
    <w:p w14:paraId="34756A64" w14:textId="77777777" w:rsidR="00D8671F" w:rsidRPr="00D8671F" w:rsidRDefault="00D8671F" w:rsidP="00D8671F">
      <w:pPr>
        <w:numPr>
          <w:ilvl w:val="1"/>
          <w:numId w:val="13"/>
        </w:numPr>
        <w:tabs>
          <w:tab w:val="left" w:pos="839"/>
        </w:tabs>
        <w:adjustRightInd/>
        <w:spacing w:line="305" w:lineRule="exact"/>
        <w:ind w:left="839" w:hanging="359"/>
        <w:rPr>
          <w:rFonts w:eastAsia="Calibri" w:cs="Calibri"/>
          <w:szCs w:val="22"/>
        </w:rPr>
      </w:pPr>
      <w:r w:rsidRPr="00D8671F">
        <w:rPr>
          <w:rFonts w:eastAsia="Calibri" w:cs="Calibri"/>
          <w:szCs w:val="22"/>
        </w:rPr>
        <w:t>State</w:t>
      </w:r>
      <w:r w:rsidRPr="00D8671F">
        <w:rPr>
          <w:rFonts w:eastAsia="Calibri" w:cs="Calibri"/>
          <w:spacing w:val="-3"/>
          <w:szCs w:val="22"/>
        </w:rPr>
        <w:t xml:space="preserve"> </w:t>
      </w:r>
      <w:r w:rsidRPr="00D8671F">
        <w:rPr>
          <w:rFonts w:eastAsia="Calibri" w:cs="Calibri"/>
          <w:szCs w:val="22"/>
        </w:rPr>
        <w:t>Activity</w:t>
      </w:r>
      <w:r w:rsidRPr="00D8671F">
        <w:rPr>
          <w:rFonts w:eastAsia="Calibri" w:cs="Calibri"/>
          <w:spacing w:val="-1"/>
          <w:szCs w:val="22"/>
        </w:rPr>
        <w:t xml:space="preserve"> </w:t>
      </w:r>
      <w:r w:rsidRPr="00D8671F">
        <w:rPr>
          <w:rFonts w:eastAsia="Calibri" w:cs="Calibri"/>
          <w:szCs w:val="22"/>
        </w:rPr>
        <w:t>Mandated</w:t>
      </w:r>
      <w:r w:rsidRPr="00D8671F">
        <w:rPr>
          <w:rFonts w:eastAsia="Calibri" w:cs="Calibri"/>
          <w:spacing w:val="-5"/>
          <w:szCs w:val="22"/>
        </w:rPr>
        <w:t xml:space="preserve"> </w:t>
      </w:r>
      <w:r w:rsidRPr="00D8671F">
        <w:rPr>
          <w:rFonts w:eastAsia="Calibri" w:cs="Calibri"/>
          <w:szCs w:val="22"/>
        </w:rPr>
        <w:t>Measures</w:t>
      </w:r>
      <w:r w:rsidRPr="00D8671F">
        <w:rPr>
          <w:rFonts w:eastAsia="Calibri" w:cs="Calibri"/>
          <w:spacing w:val="-1"/>
          <w:szCs w:val="22"/>
        </w:rPr>
        <w:t xml:space="preserve"> </w:t>
      </w:r>
      <w:r w:rsidRPr="00D8671F">
        <w:rPr>
          <w:rFonts w:eastAsia="Calibri" w:cs="Calibri"/>
          <w:szCs w:val="22"/>
        </w:rPr>
        <w:t>(SAMM)</w:t>
      </w:r>
      <w:r w:rsidRPr="00D8671F">
        <w:rPr>
          <w:rFonts w:eastAsia="Calibri" w:cs="Calibri"/>
          <w:spacing w:val="-2"/>
          <w:szCs w:val="22"/>
        </w:rPr>
        <w:t xml:space="preserve"> Report</w:t>
      </w:r>
    </w:p>
    <w:p w14:paraId="2DBB358E" w14:textId="77777777" w:rsidR="00E779DC" w:rsidRDefault="00D8671F" w:rsidP="00E779DC">
      <w:pPr>
        <w:numPr>
          <w:ilvl w:val="1"/>
          <w:numId w:val="13"/>
        </w:numPr>
        <w:tabs>
          <w:tab w:val="left" w:pos="839"/>
        </w:tabs>
        <w:adjustRightInd/>
        <w:spacing w:line="305" w:lineRule="exact"/>
        <w:ind w:left="839" w:hanging="359"/>
        <w:rPr>
          <w:rFonts w:eastAsia="Calibri" w:cs="Calibri"/>
          <w:szCs w:val="22"/>
        </w:rPr>
      </w:pPr>
      <w:r w:rsidRPr="00D8671F">
        <w:rPr>
          <w:rFonts w:eastAsia="Calibri" w:cs="Calibri"/>
          <w:szCs w:val="22"/>
        </w:rPr>
        <w:t>State</w:t>
      </w:r>
      <w:r w:rsidRPr="00D8671F">
        <w:rPr>
          <w:rFonts w:eastAsia="Calibri" w:cs="Calibri"/>
          <w:spacing w:val="-3"/>
          <w:szCs w:val="22"/>
        </w:rPr>
        <w:t xml:space="preserve"> </w:t>
      </w:r>
      <w:r w:rsidRPr="00D8671F">
        <w:rPr>
          <w:rFonts w:eastAsia="Calibri" w:cs="Calibri"/>
          <w:szCs w:val="22"/>
        </w:rPr>
        <w:t>Information</w:t>
      </w:r>
      <w:r w:rsidRPr="00D8671F">
        <w:rPr>
          <w:rFonts w:eastAsia="Calibri" w:cs="Calibri"/>
          <w:spacing w:val="-2"/>
          <w:szCs w:val="22"/>
        </w:rPr>
        <w:t xml:space="preserve"> </w:t>
      </w:r>
      <w:r w:rsidRPr="00D8671F">
        <w:rPr>
          <w:rFonts w:eastAsia="Calibri" w:cs="Calibri"/>
          <w:szCs w:val="22"/>
        </w:rPr>
        <w:t>Report</w:t>
      </w:r>
      <w:r w:rsidRPr="00D8671F">
        <w:rPr>
          <w:rFonts w:eastAsia="Calibri" w:cs="Calibri"/>
          <w:spacing w:val="-2"/>
          <w:szCs w:val="22"/>
        </w:rPr>
        <w:t xml:space="preserve"> (SIR)</w:t>
      </w:r>
    </w:p>
    <w:p w14:paraId="38D454A5" w14:textId="77777777" w:rsidR="00E779DC" w:rsidRDefault="00D8671F" w:rsidP="00E779DC">
      <w:pPr>
        <w:numPr>
          <w:ilvl w:val="1"/>
          <w:numId w:val="13"/>
        </w:numPr>
        <w:tabs>
          <w:tab w:val="left" w:pos="839"/>
        </w:tabs>
        <w:adjustRightInd/>
        <w:spacing w:line="305" w:lineRule="exact"/>
        <w:ind w:left="839" w:hanging="359"/>
        <w:rPr>
          <w:rFonts w:eastAsia="Calibri" w:cs="Calibri"/>
          <w:szCs w:val="22"/>
        </w:rPr>
      </w:pPr>
      <w:r w:rsidRPr="00D8671F">
        <w:rPr>
          <w:rFonts w:eastAsia="Calibri" w:cs="Calibri"/>
          <w:szCs w:val="22"/>
        </w:rPr>
        <w:t>Mandated</w:t>
      </w:r>
      <w:r w:rsidRPr="00D8671F">
        <w:rPr>
          <w:rFonts w:eastAsia="Calibri" w:cs="Calibri"/>
          <w:spacing w:val="-1"/>
          <w:szCs w:val="22"/>
        </w:rPr>
        <w:t xml:space="preserve"> </w:t>
      </w:r>
      <w:r w:rsidRPr="00D8671F">
        <w:rPr>
          <w:rFonts w:eastAsia="Calibri" w:cs="Calibri"/>
          <w:szCs w:val="22"/>
        </w:rPr>
        <w:t>Activities</w:t>
      </w:r>
      <w:r w:rsidRPr="00D8671F">
        <w:rPr>
          <w:rFonts w:eastAsia="Calibri" w:cs="Calibri"/>
          <w:spacing w:val="-4"/>
          <w:szCs w:val="22"/>
        </w:rPr>
        <w:t xml:space="preserve"> </w:t>
      </w:r>
      <w:r w:rsidRPr="00D8671F">
        <w:rPr>
          <w:rFonts w:eastAsia="Calibri" w:cs="Calibri"/>
          <w:szCs w:val="22"/>
        </w:rPr>
        <w:t>Report</w:t>
      </w:r>
      <w:r w:rsidRPr="00D8671F">
        <w:rPr>
          <w:rFonts w:eastAsia="Calibri" w:cs="Calibri"/>
          <w:spacing w:val="-3"/>
          <w:szCs w:val="22"/>
        </w:rPr>
        <w:t xml:space="preserve"> </w:t>
      </w:r>
      <w:r w:rsidRPr="00D8671F">
        <w:rPr>
          <w:rFonts w:eastAsia="Calibri" w:cs="Calibri"/>
          <w:szCs w:val="22"/>
        </w:rPr>
        <w:t>for</w:t>
      </w:r>
      <w:r w:rsidRPr="00D8671F">
        <w:rPr>
          <w:rFonts w:eastAsia="Calibri" w:cs="Calibri"/>
          <w:spacing w:val="-3"/>
          <w:szCs w:val="22"/>
        </w:rPr>
        <w:t xml:space="preserve"> </w:t>
      </w:r>
      <w:r w:rsidRPr="00D8671F">
        <w:rPr>
          <w:rFonts w:eastAsia="Calibri" w:cs="Calibri"/>
          <w:szCs w:val="22"/>
        </w:rPr>
        <w:t>Consultation</w:t>
      </w:r>
      <w:r w:rsidRPr="00D8671F">
        <w:rPr>
          <w:rFonts w:eastAsia="Calibri" w:cs="Calibri"/>
          <w:spacing w:val="-3"/>
          <w:szCs w:val="22"/>
        </w:rPr>
        <w:t xml:space="preserve"> </w:t>
      </w:r>
      <w:r w:rsidRPr="00D8671F">
        <w:rPr>
          <w:rFonts w:eastAsia="Calibri" w:cs="Calibri"/>
          <w:spacing w:val="-2"/>
          <w:szCs w:val="22"/>
        </w:rPr>
        <w:t>(MARC)</w:t>
      </w:r>
    </w:p>
    <w:p w14:paraId="0075D493" w14:textId="688E5EB6" w:rsidR="00D8671F" w:rsidRPr="00D8671F" w:rsidRDefault="00D8671F" w:rsidP="00E779DC">
      <w:pPr>
        <w:numPr>
          <w:ilvl w:val="1"/>
          <w:numId w:val="13"/>
        </w:numPr>
        <w:tabs>
          <w:tab w:val="left" w:pos="839"/>
        </w:tabs>
        <w:adjustRightInd/>
        <w:spacing w:line="305" w:lineRule="exact"/>
        <w:ind w:left="839" w:hanging="359"/>
        <w:rPr>
          <w:rFonts w:eastAsia="Calibri" w:cs="Calibri"/>
          <w:szCs w:val="22"/>
        </w:rPr>
      </w:pPr>
      <w:r w:rsidRPr="00D8671F">
        <w:rPr>
          <w:rFonts w:eastAsia="Calibri" w:cs="Calibri"/>
          <w:szCs w:val="22"/>
        </w:rPr>
        <w:t>State</w:t>
      </w:r>
      <w:r w:rsidRPr="00D8671F">
        <w:rPr>
          <w:rFonts w:eastAsia="Calibri" w:cs="Calibri"/>
          <w:spacing w:val="-3"/>
          <w:szCs w:val="22"/>
        </w:rPr>
        <w:t xml:space="preserve"> </w:t>
      </w:r>
      <w:r w:rsidRPr="00D8671F">
        <w:rPr>
          <w:rFonts w:eastAsia="Calibri" w:cs="Calibri"/>
          <w:szCs w:val="22"/>
        </w:rPr>
        <w:t>OSHA Annual</w:t>
      </w:r>
      <w:r w:rsidRPr="00D8671F">
        <w:rPr>
          <w:rFonts w:eastAsia="Calibri" w:cs="Calibri"/>
          <w:spacing w:val="-3"/>
          <w:szCs w:val="22"/>
        </w:rPr>
        <w:t xml:space="preserve"> </w:t>
      </w:r>
      <w:r w:rsidRPr="00D8671F">
        <w:rPr>
          <w:rFonts w:eastAsia="Calibri" w:cs="Calibri"/>
          <w:szCs w:val="22"/>
        </w:rPr>
        <w:t>Report</w:t>
      </w:r>
      <w:r w:rsidRPr="00D8671F">
        <w:rPr>
          <w:rFonts w:eastAsia="Calibri" w:cs="Calibri"/>
          <w:spacing w:val="1"/>
          <w:szCs w:val="22"/>
        </w:rPr>
        <w:t xml:space="preserve"> </w:t>
      </w:r>
      <w:r w:rsidRPr="00D8671F">
        <w:rPr>
          <w:rFonts w:eastAsia="Calibri" w:cs="Calibri"/>
          <w:spacing w:val="-2"/>
          <w:szCs w:val="22"/>
        </w:rPr>
        <w:t>(SOAR)</w:t>
      </w:r>
    </w:p>
    <w:p w14:paraId="4368B3B7" w14:textId="77777777" w:rsidR="00D8671F" w:rsidRPr="00D8671F" w:rsidRDefault="00D8671F" w:rsidP="00D8671F">
      <w:pPr>
        <w:numPr>
          <w:ilvl w:val="1"/>
          <w:numId w:val="13"/>
        </w:numPr>
        <w:tabs>
          <w:tab w:val="left" w:pos="839"/>
        </w:tabs>
        <w:adjustRightInd/>
        <w:spacing w:line="305" w:lineRule="exact"/>
        <w:ind w:left="839" w:hanging="359"/>
        <w:rPr>
          <w:rFonts w:eastAsia="Calibri" w:cs="Calibri"/>
          <w:szCs w:val="22"/>
        </w:rPr>
      </w:pPr>
      <w:r w:rsidRPr="00D8671F">
        <w:rPr>
          <w:rFonts w:eastAsia="Calibri" w:cs="Calibri"/>
          <w:szCs w:val="22"/>
        </w:rPr>
        <w:t>State</w:t>
      </w:r>
      <w:r w:rsidRPr="00D8671F">
        <w:rPr>
          <w:rFonts w:eastAsia="Calibri" w:cs="Calibri"/>
          <w:spacing w:val="-4"/>
          <w:szCs w:val="22"/>
        </w:rPr>
        <w:t xml:space="preserve"> </w:t>
      </w:r>
      <w:r w:rsidRPr="00D8671F">
        <w:rPr>
          <w:rFonts w:eastAsia="Calibri" w:cs="Calibri"/>
          <w:szCs w:val="22"/>
        </w:rPr>
        <w:t>Plan</w:t>
      </w:r>
      <w:r w:rsidRPr="00D8671F">
        <w:rPr>
          <w:rFonts w:eastAsia="Calibri" w:cs="Calibri"/>
          <w:spacing w:val="-1"/>
          <w:szCs w:val="22"/>
        </w:rPr>
        <w:t xml:space="preserve"> </w:t>
      </w:r>
      <w:r w:rsidRPr="00D8671F">
        <w:rPr>
          <w:rFonts w:eastAsia="Calibri" w:cs="Calibri"/>
          <w:szCs w:val="22"/>
        </w:rPr>
        <w:t>Annual</w:t>
      </w:r>
      <w:r w:rsidRPr="00D8671F">
        <w:rPr>
          <w:rFonts w:eastAsia="Calibri" w:cs="Calibri"/>
          <w:spacing w:val="-2"/>
          <w:szCs w:val="22"/>
        </w:rPr>
        <w:t xml:space="preserve"> </w:t>
      </w:r>
      <w:r w:rsidRPr="00D8671F">
        <w:rPr>
          <w:rFonts w:eastAsia="Calibri" w:cs="Calibri"/>
          <w:szCs w:val="22"/>
        </w:rPr>
        <w:t>Performance</w:t>
      </w:r>
      <w:r w:rsidRPr="00D8671F">
        <w:rPr>
          <w:rFonts w:eastAsia="Calibri" w:cs="Calibri"/>
          <w:spacing w:val="-2"/>
          <w:szCs w:val="22"/>
        </w:rPr>
        <w:t xml:space="preserve"> </w:t>
      </w:r>
      <w:r w:rsidRPr="00D8671F">
        <w:rPr>
          <w:rFonts w:eastAsia="Calibri" w:cs="Calibri"/>
          <w:szCs w:val="22"/>
        </w:rPr>
        <w:t xml:space="preserve">Plan </w:t>
      </w:r>
      <w:r w:rsidRPr="00D8671F">
        <w:rPr>
          <w:rFonts w:eastAsia="Calibri" w:cs="Calibri"/>
          <w:spacing w:val="-4"/>
          <w:szCs w:val="22"/>
        </w:rPr>
        <w:t>(APP)</w:t>
      </w:r>
    </w:p>
    <w:p w14:paraId="22C342AF" w14:textId="77777777" w:rsidR="00D8671F" w:rsidRPr="00D8671F" w:rsidRDefault="00D8671F" w:rsidP="00D8671F">
      <w:pPr>
        <w:numPr>
          <w:ilvl w:val="1"/>
          <w:numId w:val="13"/>
        </w:numPr>
        <w:tabs>
          <w:tab w:val="left" w:pos="839"/>
        </w:tabs>
        <w:adjustRightInd/>
        <w:spacing w:before="2" w:line="305" w:lineRule="exact"/>
        <w:ind w:left="839" w:hanging="359"/>
        <w:rPr>
          <w:rFonts w:eastAsia="Calibri" w:cs="Calibri"/>
          <w:szCs w:val="22"/>
        </w:rPr>
      </w:pPr>
      <w:r w:rsidRPr="00D8671F">
        <w:rPr>
          <w:rFonts w:eastAsia="Calibri" w:cs="Calibri"/>
          <w:szCs w:val="22"/>
        </w:rPr>
        <w:t>State</w:t>
      </w:r>
      <w:r w:rsidRPr="00D8671F">
        <w:rPr>
          <w:rFonts w:eastAsia="Calibri" w:cs="Calibri"/>
          <w:spacing w:val="-3"/>
          <w:szCs w:val="22"/>
        </w:rPr>
        <w:t xml:space="preserve"> </w:t>
      </w:r>
      <w:r w:rsidRPr="00D8671F">
        <w:rPr>
          <w:rFonts w:eastAsia="Calibri" w:cs="Calibri"/>
          <w:szCs w:val="22"/>
        </w:rPr>
        <w:t>Plan</w:t>
      </w:r>
      <w:r w:rsidRPr="00D8671F">
        <w:rPr>
          <w:rFonts w:eastAsia="Calibri" w:cs="Calibri"/>
          <w:spacing w:val="1"/>
          <w:szCs w:val="22"/>
        </w:rPr>
        <w:t xml:space="preserve"> </w:t>
      </w:r>
      <w:r w:rsidRPr="00D8671F">
        <w:rPr>
          <w:rFonts w:eastAsia="Calibri" w:cs="Calibri"/>
          <w:szCs w:val="22"/>
        </w:rPr>
        <w:t>Grant</w:t>
      </w:r>
      <w:r w:rsidRPr="00D8671F">
        <w:rPr>
          <w:rFonts w:eastAsia="Calibri" w:cs="Calibri"/>
          <w:spacing w:val="-2"/>
          <w:szCs w:val="22"/>
        </w:rPr>
        <w:t xml:space="preserve"> Application</w:t>
      </w:r>
    </w:p>
    <w:p w14:paraId="37E1F24A" w14:textId="5271320F" w:rsidR="00D8671F" w:rsidRPr="00D8671F" w:rsidRDefault="00D8671F" w:rsidP="00D8671F">
      <w:pPr>
        <w:numPr>
          <w:ilvl w:val="1"/>
          <w:numId w:val="13"/>
        </w:numPr>
        <w:tabs>
          <w:tab w:val="left" w:pos="839"/>
        </w:tabs>
        <w:adjustRightInd/>
        <w:spacing w:line="305" w:lineRule="exact"/>
        <w:ind w:left="839" w:hanging="359"/>
        <w:rPr>
          <w:rFonts w:eastAsia="Calibri" w:cs="Calibri"/>
          <w:szCs w:val="22"/>
        </w:rPr>
      </w:pPr>
      <w:r w:rsidRPr="00D8671F">
        <w:rPr>
          <w:rFonts w:eastAsia="Calibri" w:cs="Calibri"/>
          <w:szCs w:val="22"/>
        </w:rPr>
        <w:t>Quarterly</w:t>
      </w:r>
      <w:r w:rsidRPr="00D8671F">
        <w:rPr>
          <w:rFonts w:eastAsia="Calibri" w:cs="Calibri"/>
          <w:spacing w:val="-5"/>
          <w:szCs w:val="22"/>
        </w:rPr>
        <w:t xml:space="preserve"> </w:t>
      </w:r>
      <w:r w:rsidRPr="00D8671F">
        <w:rPr>
          <w:rFonts w:eastAsia="Calibri" w:cs="Calibri"/>
          <w:szCs w:val="22"/>
        </w:rPr>
        <w:t>monitoring</w:t>
      </w:r>
      <w:r w:rsidRPr="00D8671F">
        <w:rPr>
          <w:rFonts w:eastAsia="Calibri" w:cs="Calibri"/>
          <w:spacing w:val="-2"/>
          <w:szCs w:val="22"/>
        </w:rPr>
        <w:t xml:space="preserve"> </w:t>
      </w:r>
      <w:r w:rsidRPr="00D8671F">
        <w:rPr>
          <w:rFonts w:eastAsia="Calibri" w:cs="Calibri"/>
          <w:szCs w:val="22"/>
        </w:rPr>
        <w:t>meetings</w:t>
      </w:r>
      <w:r w:rsidRPr="00D8671F">
        <w:rPr>
          <w:rFonts w:eastAsia="Calibri" w:cs="Calibri"/>
          <w:spacing w:val="-3"/>
          <w:szCs w:val="22"/>
        </w:rPr>
        <w:t xml:space="preserve"> </w:t>
      </w:r>
      <w:r w:rsidRPr="00D8671F">
        <w:rPr>
          <w:rFonts w:eastAsia="Calibri" w:cs="Calibri"/>
          <w:szCs w:val="22"/>
        </w:rPr>
        <w:t>between OSHA</w:t>
      </w:r>
      <w:r w:rsidRPr="00D8671F">
        <w:rPr>
          <w:rFonts w:eastAsia="Calibri" w:cs="Calibri"/>
          <w:spacing w:val="-4"/>
          <w:szCs w:val="22"/>
        </w:rPr>
        <w:t xml:space="preserve"> </w:t>
      </w:r>
      <w:r w:rsidRPr="00D8671F">
        <w:rPr>
          <w:rFonts w:eastAsia="Calibri" w:cs="Calibri"/>
          <w:szCs w:val="22"/>
        </w:rPr>
        <w:t>and</w:t>
      </w:r>
      <w:r w:rsidRPr="00D8671F">
        <w:rPr>
          <w:rFonts w:eastAsia="Calibri" w:cs="Calibri"/>
          <w:spacing w:val="1"/>
          <w:szCs w:val="22"/>
        </w:rPr>
        <w:t xml:space="preserve"> </w:t>
      </w:r>
      <w:r w:rsidRPr="00D8671F">
        <w:rPr>
          <w:rFonts w:eastAsia="Calibri" w:cs="Calibri"/>
          <w:szCs w:val="22"/>
        </w:rPr>
        <w:t>the</w:t>
      </w:r>
      <w:r w:rsidRPr="00D8671F">
        <w:rPr>
          <w:rFonts w:eastAsia="Calibri" w:cs="Calibri"/>
          <w:spacing w:val="-1"/>
          <w:szCs w:val="22"/>
        </w:rPr>
        <w:t xml:space="preserve"> </w:t>
      </w:r>
      <w:r w:rsidRPr="00D8671F">
        <w:rPr>
          <w:rFonts w:eastAsia="Calibri" w:cs="Calibri"/>
          <w:szCs w:val="22"/>
        </w:rPr>
        <w:t>State</w:t>
      </w:r>
      <w:r w:rsidRPr="00D8671F">
        <w:rPr>
          <w:rFonts w:eastAsia="Calibri" w:cs="Calibri"/>
          <w:spacing w:val="-2"/>
          <w:szCs w:val="22"/>
        </w:rPr>
        <w:t xml:space="preserve"> </w:t>
      </w:r>
      <w:r w:rsidRPr="00D8671F">
        <w:rPr>
          <w:rFonts w:eastAsia="Calibri" w:cs="Calibri"/>
          <w:spacing w:val="-4"/>
          <w:szCs w:val="22"/>
        </w:rPr>
        <w:t>Plan</w:t>
      </w:r>
      <w:r w:rsidR="009F60F8">
        <w:rPr>
          <w:rFonts w:eastAsia="Calibri" w:cs="Calibri"/>
          <w:spacing w:val="-4"/>
          <w:szCs w:val="22"/>
        </w:rPr>
        <w:t>.</w:t>
      </w:r>
    </w:p>
    <w:p w14:paraId="5E67DDEC" w14:textId="2D521BA4" w:rsidR="000A134A" w:rsidRPr="00E571BA" w:rsidRDefault="000A134A" w:rsidP="00E571BA">
      <w:pPr>
        <w:pStyle w:val="Heading3"/>
      </w:pPr>
      <w:bookmarkStart w:id="15" w:name="_Toc118900174"/>
      <w:bookmarkStart w:id="16" w:name="_Toc118905013"/>
      <w:bookmarkStart w:id="17" w:name="_Toc119418667"/>
      <w:r w:rsidRPr="00E571BA">
        <w:t>Findings and Observations</w:t>
      </w:r>
      <w:bookmarkEnd w:id="15"/>
      <w:bookmarkEnd w:id="16"/>
      <w:bookmarkEnd w:id="17"/>
    </w:p>
    <w:p w14:paraId="575F0D24" w14:textId="556C6D12" w:rsidR="00A954DC" w:rsidRPr="00E571BA" w:rsidRDefault="00E571BA" w:rsidP="00E571BA">
      <w:pPr>
        <w:pStyle w:val="Heading3"/>
        <w:numPr>
          <w:ilvl w:val="0"/>
          <w:numId w:val="0"/>
        </w:numPr>
        <w:rPr>
          <w:sz w:val="24"/>
          <w:szCs w:val="24"/>
        </w:rPr>
      </w:pPr>
      <w:r>
        <w:t xml:space="preserve">  </w:t>
      </w:r>
      <w:r w:rsidR="00A954DC" w:rsidRPr="00E571BA">
        <w:rPr>
          <w:sz w:val="24"/>
          <w:szCs w:val="24"/>
        </w:rPr>
        <w:t>Findings</w:t>
      </w:r>
      <w:r w:rsidR="00A954DC" w:rsidRPr="00E571BA">
        <w:rPr>
          <w:spacing w:val="-2"/>
          <w:sz w:val="24"/>
          <w:szCs w:val="24"/>
        </w:rPr>
        <w:t xml:space="preserve"> </w:t>
      </w:r>
      <w:r w:rsidR="00A954DC" w:rsidRPr="00E571BA">
        <w:rPr>
          <w:sz w:val="24"/>
          <w:szCs w:val="24"/>
        </w:rPr>
        <w:t>(Status</w:t>
      </w:r>
      <w:r w:rsidR="00A954DC" w:rsidRPr="00E571BA">
        <w:rPr>
          <w:spacing w:val="-3"/>
          <w:sz w:val="24"/>
          <w:szCs w:val="24"/>
        </w:rPr>
        <w:t xml:space="preserve"> </w:t>
      </w:r>
      <w:r w:rsidR="00A954DC" w:rsidRPr="00E571BA">
        <w:rPr>
          <w:sz w:val="24"/>
          <w:szCs w:val="24"/>
        </w:rPr>
        <w:t>of</w:t>
      </w:r>
      <w:r w:rsidR="00A954DC" w:rsidRPr="00E571BA">
        <w:rPr>
          <w:spacing w:val="-3"/>
          <w:sz w:val="24"/>
          <w:szCs w:val="24"/>
        </w:rPr>
        <w:t xml:space="preserve"> </w:t>
      </w:r>
      <w:r w:rsidR="00A954DC" w:rsidRPr="00E571BA">
        <w:rPr>
          <w:sz w:val="24"/>
          <w:szCs w:val="24"/>
        </w:rPr>
        <w:t>Previous</w:t>
      </w:r>
      <w:r w:rsidR="00A954DC" w:rsidRPr="00E571BA">
        <w:rPr>
          <w:spacing w:val="-1"/>
          <w:sz w:val="24"/>
          <w:szCs w:val="24"/>
        </w:rPr>
        <w:t xml:space="preserve"> </w:t>
      </w:r>
      <w:r w:rsidR="00A954DC" w:rsidRPr="00E571BA">
        <w:rPr>
          <w:spacing w:val="-2"/>
          <w:sz w:val="24"/>
          <w:szCs w:val="24"/>
        </w:rPr>
        <w:t>Items)</w:t>
      </w:r>
    </w:p>
    <w:p w14:paraId="74880613" w14:textId="728D780E" w:rsidR="00A954DC" w:rsidRPr="00A954DC" w:rsidRDefault="00A954DC" w:rsidP="00A954DC">
      <w:pPr>
        <w:adjustRightInd/>
        <w:spacing w:before="292"/>
        <w:ind w:left="120" w:right="237"/>
        <w:rPr>
          <w:rFonts w:eastAsia="Calibri" w:cs="Calibri"/>
        </w:rPr>
      </w:pPr>
      <w:r w:rsidRPr="00A954DC">
        <w:rPr>
          <w:rFonts w:eastAsia="Calibri" w:cs="Calibri"/>
        </w:rPr>
        <w:t>The State Plan made progress to address the previous</w:t>
      </w:r>
      <w:r w:rsidRPr="00A954DC">
        <w:rPr>
          <w:rFonts w:eastAsia="Calibri" w:cs="Calibri"/>
          <w:spacing w:val="-1"/>
        </w:rPr>
        <w:t xml:space="preserve"> </w:t>
      </w:r>
      <w:r w:rsidR="00DF6460" w:rsidRPr="00D02855">
        <w:rPr>
          <w:rFonts w:eastAsia="Calibri" w:cs="Calibri"/>
        </w:rPr>
        <w:t>one</w:t>
      </w:r>
      <w:r w:rsidRPr="00A954DC">
        <w:rPr>
          <w:rFonts w:eastAsia="Calibri" w:cs="Calibri"/>
        </w:rPr>
        <w:t xml:space="preserve"> finding and </w:t>
      </w:r>
      <w:r w:rsidR="000B0D11" w:rsidRPr="00D02855">
        <w:rPr>
          <w:rFonts w:eastAsia="Calibri" w:cs="Calibri"/>
        </w:rPr>
        <w:t>four</w:t>
      </w:r>
      <w:r w:rsidRPr="00A954DC">
        <w:rPr>
          <w:rFonts w:eastAsia="Calibri" w:cs="Calibri"/>
        </w:rPr>
        <w:t xml:space="preserve"> observations from the</w:t>
      </w:r>
      <w:r w:rsidRPr="00A954DC">
        <w:rPr>
          <w:rFonts w:eastAsia="Calibri" w:cs="Calibri"/>
          <w:spacing w:val="-3"/>
        </w:rPr>
        <w:t xml:space="preserve"> </w:t>
      </w:r>
      <w:r w:rsidRPr="00A954DC">
        <w:rPr>
          <w:rFonts w:eastAsia="Calibri" w:cs="Calibri"/>
        </w:rPr>
        <w:t>FY</w:t>
      </w:r>
      <w:r w:rsidRPr="00A954DC">
        <w:rPr>
          <w:rFonts w:eastAsia="Calibri" w:cs="Calibri"/>
          <w:spacing w:val="-4"/>
        </w:rPr>
        <w:t xml:space="preserve"> </w:t>
      </w:r>
      <w:r w:rsidRPr="00A954DC">
        <w:rPr>
          <w:rFonts w:eastAsia="Calibri" w:cs="Calibri"/>
        </w:rPr>
        <w:t>202</w:t>
      </w:r>
      <w:r w:rsidR="00DF6460">
        <w:rPr>
          <w:rFonts w:eastAsia="Calibri" w:cs="Calibri"/>
        </w:rPr>
        <w:t>3</w:t>
      </w:r>
      <w:r w:rsidRPr="00A954DC">
        <w:rPr>
          <w:rFonts w:eastAsia="Calibri" w:cs="Calibri"/>
          <w:spacing w:val="-1"/>
        </w:rPr>
        <w:t xml:space="preserve"> </w:t>
      </w:r>
      <w:r w:rsidRPr="00A954DC">
        <w:rPr>
          <w:rFonts w:eastAsia="Calibri" w:cs="Calibri"/>
        </w:rPr>
        <w:t>Comprehensive</w:t>
      </w:r>
      <w:r w:rsidRPr="00A954DC">
        <w:rPr>
          <w:rFonts w:eastAsia="Calibri" w:cs="Calibri"/>
          <w:spacing w:val="-1"/>
        </w:rPr>
        <w:t xml:space="preserve"> </w:t>
      </w:r>
      <w:r w:rsidRPr="00A954DC">
        <w:rPr>
          <w:rFonts w:eastAsia="Calibri" w:cs="Calibri"/>
        </w:rPr>
        <w:t>FAME</w:t>
      </w:r>
      <w:r w:rsidRPr="00A954DC">
        <w:rPr>
          <w:rFonts w:eastAsia="Calibri" w:cs="Calibri"/>
          <w:spacing w:val="-4"/>
        </w:rPr>
        <w:t xml:space="preserve"> </w:t>
      </w:r>
      <w:r w:rsidRPr="00A954DC">
        <w:rPr>
          <w:rFonts w:eastAsia="Calibri" w:cs="Calibri"/>
        </w:rPr>
        <w:t>Report.</w:t>
      </w:r>
      <w:r w:rsidRPr="00A954DC">
        <w:rPr>
          <w:rFonts w:eastAsia="Calibri" w:cs="Calibri"/>
          <w:spacing w:val="40"/>
        </w:rPr>
        <w:t xml:space="preserve"> </w:t>
      </w:r>
      <w:r w:rsidRPr="00A954DC">
        <w:rPr>
          <w:rFonts w:eastAsia="Calibri" w:cs="Calibri"/>
        </w:rPr>
        <w:t>This</w:t>
      </w:r>
      <w:r w:rsidRPr="00A954DC">
        <w:rPr>
          <w:rFonts w:eastAsia="Calibri" w:cs="Calibri"/>
          <w:spacing w:val="-4"/>
        </w:rPr>
        <w:t xml:space="preserve"> </w:t>
      </w:r>
      <w:r w:rsidRPr="00A954DC">
        <w:rPr>
          <w:rFonts w:eastAsia="Calibri" w:cs="Calibri"/>
        </w:rPr>
        <w:t>follow-up</w:t>
      </w:r>
      <w:r w:rsidRPr="00A954DC">
        <w:rPr>
          <w:rFonts w:eastAsia="Calibri" w:cs="Calibri"/>
          <w:spacing w:val="-3"/>
        </w:rPr>
        <w:t xml:space="preserve"> </w:t>
      </w:r>
      <w:r w:rsidRPr="00A954DC">
        <w:rPr>
          <w:rFonts w:eastAsia="Calibri" w:cs="Calibri"/>
        </w:rPr>
        <w:t>FAME</w:t>
      </w:r>
      <w:r w:rsidRPr="00A954DC">
        <w:rPr>
          <w:rFonts w:eastAsia="Calibri" w:cs="Calibri"/>
          <w:spacing w:val="-4"/>
        </w:rPr>
        <w:t xml:space="preserve"> </w:t>
      </w:r>
      <w:r w:rsidRPr="00A954DC">
        <w:rPr>
          <w:rFonts w:eastAsia="Calibri" w:cs="Calibri"/>
        </w:rPr>
        <w:t>report contains</w:t>
      </w:r>
      <w:r w:rsidRPr="00A954DC">
        <w:rPr>
          <w:rFonts w:eastAsia="Calibri" w:cs="Calibri"/>
          <w:spacing w:val="-4"/>
        </w:rPr>
        <w:t xml:space="preserve"> </w:t>
      </w:r>
      <w:r w:rsidRPr="00A954DC">
        <w:rPr>
          <w:rFonts w:eastAsia="Calibri" w:cs="Calibri"/>
        </w:rPr>
        <w:t>no</w:t>
      </w:r>
      <w:r w:rsidRPr="00A954DC">
        <w:rPr>
          <w:rFonts w:eastAsia="Calibri" w:cs="Calibri"/>
          <w:spacing w:val="-3"/>
        </w:rPr>
        <w:t xml:space="preserve"> </w:t>
      </w:r>
      <w:r w:rsidRPr="00A954DC">
        <w:rPr>
          <w:rFonts w:eastAsia="Calibri" w:cs="Calibri"/>
        </w:rPr>
        <w:t>new</w:t>
      </w:r>
      <w:r w:rsidRPr="00A954DC">
        <w:rPr>
          <w:rFonts w:eastAsia="Calibri" w:cs="Calibri"/>
          <w:spacing w:val="-3"/>
        </w:rPr>
        <w:t xml:space="preserve"> </w:t>
      </w:r>
      <w:r w:rsidRPr="00A954DC">
        <w:rPr>
          <w:rFonts w:eastAsia="Calibri" w:cs="Calibri"/>
        </w:rPr>
        <w:t>findings or observations.</w:t>
      </w:r>
      <w:r w:rsidRPr="00A954DC">
        <w:rPr>
          <w:rFonts w:eastAsia="Calibri" w:cs="Calibri"/>
          <w:spacing w:val="40"/>
        </w:rPr>
        <w:t xml:space="preserve"> </w:t>
      </w:r>
      <w:r w:rsidRPr="00A954DC">
        <w:rPr>
          <w:rFonts w:eastAsia="Calibri" w:cs="Calibri"/>
        </w:rPr>
        <w:t>Appendix A describes</w:t>
      </w:r>
      <w:r w:rsidRPr="00A954DC">
        <w:rPr>
          <w:rFonts w:eastAsia="Calibri" w:cs="Calibri"/>
          <w:spacing w:val="-2"/>
        </w:rPr>
        <w:t xml:space="preserve"> </w:t>
      </w:r>
      <w:r w:rsidRPr="00A954DC">
        <w:rPr>
          <w:rFonts w:eastAsia="Calibri" w:cs="Calibri"/>
        </w:rPr>
        <w:t>the</w:t>
      </w:r>
      <w:r w:rsidRPr="00A954DC">
        <w:rPr>
          <w:rFonts w:eastAsia="Calibri" w:cs="Calibri"/>
          <w:spacing w:val="-1"/>
        </w:rPr>
        <w:t xml:space="preserve"> </w:t>
      </w:r>
      <w:r w:rsidRPr="00A954DC">
        <w:rPr>
          <w:rFonts w:eastAsia="Calibri" w:cs="Calibri"/>
        </w:rPr>
        <w:t>continued</w:t>
      </w:r>
      <w:r w:rsidRPr="00A954DC">
        <w:rPr>
          <w:rFonts w:eastAsia="Calibri" w:cs="Calibri"/>
          <w:spacing w:val="-1"/>
        </w:rPr>
        <w:t xml:space="preserve"> </w:t>
      </w:r>
      <w:r w:rsidRPr="00A954DC">
        <w:rPr>
          <w:rFonts w:eastAsia="Calibri" w:cs="Calibri"/>
        </w:rPr>
        <w:t>findings</w:t>
      </w:r>
      <w:r w:rsidRPr="00A954DC">
        <w:rPr>
          <w:rFonts w:eastAsia="Calibri" w:cs="Calibri"/>
          <w:spacing w:val="-2"/>
        </w:rPr>
        <w:t xml:space="preserve"> </w:t>
      </w:r>
      <w:r w:rsidRPr="00A954DC">
        <w:rPr>
          <w:rFonts w:eastAsia="Calibri" w:cs="Calibri"/>
        </w:rPr>
        <w:t>and recommendations.</w:t>
      </w:r>
      <w:r w:rsidRPr="00A954DC">
        <w:rPr>
          <w:rFonts w:eastAsia="Calibri" w:cs="Calibri"/>
          <w:spacing w:val="40"/>
        </w:rPr>
        <w:t xml:space="preserve"> </w:t>
      </w:r>
      <w:r w:rsidRPr="00A954DC">
        <w:rPr>
          <w:rFonts w:eastAsia="Calibri" w:cs="Calibri"/>
        </w:rPr>
        <w:t>Appendix B describes observations subject to continued monitoring and the related federal monitoring plan.</w:t>
      </w:r>
      <w:r w:rsidRPr="00A954DC">
        <w:rPr>
          <w:rFonts w:eastAsia="Calibri" w:cs="Calibri"/>
          <w:spacing w:val="40"/>
        </w:rPr>
        <w:t xml:space="preserve"> </w:t>
      </w:r>
      <w:r w:rsidRPr="00A954DC">
        <w:rPr>
          <w:rFonts w:eastAsia="Calibri" w:cs="Calibri"/>
        </w:rPr>
        <w:t>Appendix C describes the status of each FY 202</w:t>
      </w:r>
      <w:r w:rsidR="005E6C04">
        <w:rPr>
          <w:rFonts w:eastAsia="Calibri" w:cs="Calibri"/>
        </w:rPr>
        <w:t>3</w:t>
      </w:r>
      <w:r w:rsidRPr="00A954DC">
        <w:rPr>
          <w:rFonts w:eastAsia="Calibri" w:cs="Calibri"/>
        </w:rPr>
        <w:t xml:space="preserve"> finding and recommendation in detail.</w:t>
      </w:r>
    </w:p>
    <w:p w14:paraId="215E0B9A" w14:textId="70DC4233" w:rsidR="00A954DC" w:rsidRPr="00A954DC" w:rsidRDefault="00A954DC" w:rsidP="00ED0FEC">
      <w:pPr>
        <w:adjustRightInd/>
        <w:spacing w:before="292"/>
        <w:ind w:left="120"/>
        <w:outlineLvl w:val="2"/>
        <w:rPr>
          <w:rFonts w:eastAsia="Calibri" w:cs="Calibri"/>
          <w:b/>
          <w:bCs/>
        </w:rPr>
      </w:pPr>
      <w:r w:rsidRPr="00A954DC">
        <w:rPr>
          <w:rFonts w:eastAsia="Calibri" w:cs="Calibri"/>
          <w:b/>
          <w:bCs/>
        </w:rPr>
        <w:t>Continued</w:t>
      </w:r>
      <w:r w:rsidRPr="00A954DC">
        <w:rPr>
          <w:rFonts w:eastAsia="Calibri" w:cs="Calibri"/>
          <w:b/>
          <w:bCs/>
          <w:spacing w:val="-4"/>
        </w:rPr>
        <w:t xml:space="preserve"> </w:t>
      </w:r>
      <w:r w:rsidR="001B008C">
        <w:rPr>
          <w:rFonts w:eastAsia="Calibri" w:cs="Calibri"/>
          <w:b/>
          <w:bCs/>
          <w:spacing w:val="-4"/>
        </w:rPr>
        <w:t xml:space="preserve">FY 2023 </w:t>
      </w:r>
      <w:r w:rsidRPr="00A954DC">
        <w:rPr>
          <w:rFonts w:eastAsia="Calibri" w:cs="Calibri"/>
          <w:b/>
          <w:bCs/>
          <w:spacing w:val="-2"/>
        </w:rPr>
        <w:t>Findings</w:t>
      </w:r>
    </w:p>
    <w:p w14:paraId="2FEFE0CC" w14:textId="77777777" w:rsidR="00A954DC" w:rsidRPr="00A954DC" w:rsidRDefault="00A954DC" w:rsidP="00A954DC">
      <w:pPr>
        <w:adjustRightInd/>
        <w:rPr>
          <w:rFonts w:eastAsia="Calibri" w:cs="Calibri"/>
          <w:b/>
        </w:rPr>
      </w:pPr>
    </w:p>
    <w:p w14:paraId="208FC163" w14:textId="770C0964" w:rsidR="00A954DC" w:rsidRPr="00A954DC" w:rsidRDefault="00A954DC" w:rsidP="00A954DC">
      <w:pPr>
        <w:adjustRightInd/>
        <w:spacing w:line="242" w:lineRule="auto"/>
        <w:ind w:left="120"/>
        <w:rPr>
          <w:rFonts w:eastAsia="Calibri" w:cs="Calibri"/>
        </w:rPr>
      </w:pPr>
      <w:r w:rsidRPr="00A954DC">
        <w:rPr>
          <w:rFonts w:eastAsia="Calibri" w:cs="Calibri"/>
          <w:b/>
        </w:rPr>
        <w:t>Finding</w:t>
      </w:r>
      <w:r w:rsidRPr="00A954DC">
        <w:rPr>
          <w:rFonts w:eastAsia="Calibri" w:cs="Calibri"/>
          <w:b/>
          <w:spacing w:val="-3"/>
        </w:rPr>
        <w:t xml:space="preserve"> </w:t>
      </w:r>
      <w:r w:rsidRPr="00A954DC">
        <w:rPr>
          <w:rFonts w:eastAsia="Calibri" w:cs="Calibri"/>
          <w:b/>
        </w:rPr>
        <w:t>FY</w:t>
      </w:r>
      <w:r w:rsidRPr="00A954DC">
        <w:rPr>
          <w:rFonts w:eastAsia="Calibri" w:cs="Calibri"/>
          <w:b/>
          <w:spacing w:val="-4"/>
        </w:rPr>
        <w:t xml:space="preserve"> </w:t>
      </w:r>
      <w:r w:rsidRPr="00A954DC">
        <w:rPr>
          <w:rFonts w:eastAsia="Calibri" w:cs="Calibri"/>
          <w:b/>
        </w:rPr>
        <w:t>202</w:t>
      </w:r>
      <w:r w:rsidR="00CF6508">
        <w:rPr>
          <w:rFonts w:eastAsia="Calibri" w:cs="Calibri"/>
          <w:b/>
        </w:rPr>
        <w:t>4</w:t>
      </w:r>
      <w:r w:rsidRPr="00A954DC">
        <w:rPr>
          <w:rFonts w:eastAsia="Calibri" w:cs="Calibri"/>
          <w:b/>
        </w:rPr>
        <w:t>-01</w:t>
      </w:r>
      <w:r w:rsidRPr="00A954DC">
        <w:rPr>
          <w:rFonts w:eastAsia="Calibri" w:cs="Calibri"/>
          <w:b/>
          <w:spacing w:val="-1"/>
        </w:rPr>
        <w:t xml:space="preserve"> </w:t>
      </w:r>
      <w:r w:rsidRPr="00A954DC">
        <w:rPr>
          <w:rFonts w:eastAsia="Calibri" w:cs="Calibri"/>
          <w:b/>
        </w:rPr>
        <w:t>(FY</w:t>
      </w:r>
      <w:r w:rsidRPr="00A954DC">
        <w:rPr>
          <w:rFonts w:eastAsia="Calibri" w:cs="Calibri"/>
          <w:b/>
          <w:spacing w:val="-4"/>
        </w:rPr>
        <w:t xml:space="preserve"> </w:t>
      </w:r>
      <w:r w:rsidRPr="00A954DC">
        <w:rPr>
          <w:rFonts w:eastAsia="Calibri" w:cs="Calibri"/>
          <w:b/>
        </w:rPr>
        <w:t>202</w:t>
      </w:r>
      <w:r w:rsidR="00CF6508">
        <w:rPr>
          <w:rFonts w:eastAsia="Calibri" w:cs="Calibri"/>
          <w:b/>
        </w:rPr>
        <w:t>3</w:t>
      </w:r>
      <w:r w:rsidRPr="00A954DC">
        <w:rPr>
          <w:rFonts w:eastAsia="Calibri" w:cs="Calibri"/>
          <w:b/>
        </w:rPr>
        <w:t>-01):</w:t>
      </w:r>
      <w:r w:rsidRPr="00A954DC">
        <w:rPr>
          <w:rFonts w:eastAsia="Calibri" w:cs="Calibri"/>
          <w:b/>
          <w:spacing w:val="40"/>
        </w:rPr>
        <w:t xml:space="preserve"> </w:t>
      </w:r>
      <w:r w:rsidR="00B3505E">
        <w:rPr>
          <w:rFonts w:eastAsia="Calibri" w:cs="Calibri"/>
        </w:rPr>
        <w:t>The M</w:t>
      </w:r>
      <w:r w:rsidRPr="00A954DC">
        <w:rPr>
          <w:rFonts w:eastAsia="Calibri" w:cs="Calibri"/>
        </w:rPr>
        <w:t>IOSHA</w:t>
      </w:r>
      <w:r w:rsidRPr="00A954DC">
        <w:rPr>
          <w:rFonts w:eastAsia="Calibri" w:cs="Calibri"/>
          <w:spacing w:val="-1"/>
        </w:rPr>
        <w:t xml:space="preserve"> </w:t>
      </w:r>
      <w:r w:rsidRPr="00A954DC">
        <w:rPr>
          <w:rFonts w:eastAsia="Calibri" w:cs="Calibri"/>
        </w:rPr>
        <w:t>State</w:t>
      </w:r>
      <w:r w:rsidRPr="00A954DC">
        <w:rPr>
          <w:rFonts w:eastAsia="Calibri" w:cs="Calibri"/>
          <w:spacing w:val="-3"/>
        </w:rPr>
        <w:t xml:space="preserve"> </w:t>
      </w:r>
      <w:r w:rsidRPr="00A954DC">
        <w:rPr>
          <w:rFonts w:eastAsia="Calibri" w:cs="Calibri"/>
        </w:rPr>
        <w:t>Plan</w:t>
      </w:r>
      <w:r w:rsidRPr="00A954DC">
        <w:rPr>
          <w:rFonts w:eastAsia="Calibri" w:cs="Calibri"/>
          <w:spacing w:val="-3"/>
        </w:rPr>
        <w:t xml:space="preserve"> </w:t>
      </w:r>
      <w:r w:rsidRPr="00A954DC">
        <w:rPr>
          <w:rFonts w:eastAsia="Calibri" w:cs="Calibri"/>
        </w:rPr>
        <w:t>has</w:t>
      </w:r>
      <w:r w:rsidRPr="00A954DC">
        <w:rPr>
          <w:rFonts w:eastAsia="Calibri" w:cs="Calibri"/>
          <w:spacing w:val="-4"/>
        </w:rPr>
        <w:t xml:space="preserve"> </w:t>
      </w:r>
      <w:r w:rsidRPr="00A954DC">
        <w:rPr>
          <w:rFonts w:eastAsia="Calibri" w:cs="Calibri"/>
        </w:rPr>
        <w:t>failed to</w:t>
      </w:r>
      <w:r w:rsidRPr="00A954DC">
        <w:rPr>
          <w:rFonts w:eastAsia="Calibri" w:cs="Calibri"/>
          <w:spacing w:val="-1"/>
        </w:rPr>
        <w:t xml:space="preserve"> </w:t>
      </w:r>
      <w:r w:rsidRPr="00A954DC">
        <w:rPr>
          <w:rFonts w:eastAsia="Calibri" w:cs="Calibri"/>
        </w:rPr>
        <w:t>adopt</w:t>
      </w:r>
      <w:r w:rsidRPr="00A954DC">
        <w:rPr>
          <w:rFonts w:eastAsia="Calibri" w:cs="Calibri"/>
          <w:spacing w:val="-3"/>
        </w:rPr>
        <w:t xml:space="preserve"> </w:t>
      </w:r>
      <w:r w:rsidRPr="00A954DC">
        <w:rPr>
          <w:rFonts w:eastAsia="Calibri" w:cs="Calibri"/>
        </w:rPr>
        <w:t>OSHA’s</w:t>
      </w:r>
      <w:r w:rsidRPr="00A954DC">
        <w:rPr>
          <w:rFonts w:eastAsia="Calibri" w:cs="Calibri"/>
          <w:spacing w:val="-2"/>
        </w:rPr>
        <w:t xml:space="preserve"> </w:t>
      </w:r>
      <w:r w:rsidRPr="00A954DC">
        <w:rPr>
          <w:rFonts w:eastAsia="Calibri" w:cs="Calibri"/>
        </w:rPr>
        <w:t>initial</w:t>
      </w:r>
      <w:r w:rsidRPr="00A954DC">
        <w:rPr>
          <w:rFonts w:eastAsia="Calibri" w:cs="Calibri"/>
          <w:spacing w:val="-4"/>
        </w:rPr>
        <w:t xml:space="preserve"> </w:t>
      </w:r>
      <w:r w:rsidRPr="00A954DC">
        <w:rPr>
          <w:rFonts w:eastAsia="Calibri" w:cs="Calibri"/>
        </w:rPr>
        <w:t>FY</w:t>
      </w:r>
      <w:r w:rsidRPr="00A954DC">
        <w:rPr>
          <w:rFonts w:eastAsia="Calibri" w:cs="Calibri"/>
          <w:spacing w:val="-3"/>
        </w:rPr>
        <w:t xml:space="preserve"> </w:t>
      </w:r>
      <w:r w:rsidRPr="00A954DC">
        <w:rPr>
          <w:rFonts w:eastAsia="Calibri" w:cs="Calibri"/>
        </w:rPr>
        <w:t>2016 maximum and minimum penalty increase and subsequent annual penalty amount increases.</w:t>
      </w:r>
    </w:p>
    <w:p w14:paraId="2A11F60F" w14:textId="779D4AF6" w:rsidR="00A954DC" w:rsidRDefault="00A954DC" w:rsidP="0035555C">
      <w:pPr>
        <w:adjustRightInd/>
        <w:spacing w:before="289"/>
        <w:ind w:left="120" w:right="237"/>
        <w:rPr>
          <w:rFonts w:eastAsia="Calibri" w:cs="Calibri"/>
        </w:rPr>
      </w:pPr>
      <w:r w:rsidRPr="00A954DC">
        <w:rPr>
          <w:rFonts w:eastAsia="Calibri" w:cs="Calibri"/>
          <w:b/>
        </w:rPr>
        <w:t>Status:</w:t>
      </w:r>
      <w:r w:rsidRPr="00A954DC">
        <w:rPr>
          <w:rFonts w:eastAsia="Calibri" w:cs="Calibri"/>
          <w:b/>
          <w:spacing w:val="40"/>
        </w:rPr>
        <w:t xml:space="preserve"> </w:t>
      </w:r>
      <w:r w:rsidRPr="00A954DC">
        <w:rPr>
          <w:rFonts w:eastAsia="Calibri" w:cs="Calibri"/>
        </w:rPr>
        <w:t>December 202</w:t>
      </w:r>
      <w:r w:rsidR="00AA3336">
        <w:rPr>
          <w:rFonts w:eastAsia="Calibri" w:cs="Calibri"/>
        </w:rPr>
        <w:t>4</w:t>
      </w:r>
      <w:r w:rsidRPr="00A954DC">
        <w:rPr>
          <w:rFonts w:eastAsia="Calibri" w:cs="Calibri"/>
        </w:rPr>
        <w:t xml:space="preserve"> marked </w:t>
      </w:r>
      <w:r w:rsidR="00AA3336">
        <w:rPr>
          <w:rFonts w:eastAsia="Calibri" w:cs="Calibri"/>
        </w:rPr>
        <w:t>eight</w:t>
      </w:r>
      <w:r w:rsidRPr="00A954DC">
        <w:rPr>
          <w:rFonts w:eastAsia="Calibri" w:cs="Calibri"/>
        </w:rPr>
        <w:t xml:space="preserve"> years since the first deadline passed for adoption and the Michigan State Plan has not yet completed the legislative changes to increase maximum penalties.</w:t>
      </w:r>
      <w:r w:rsidRPr="00A954DC">
        <w:rPr>
          <w:rFonts w:eastAsia="Calibri" w:cs="Calibri"/>
          <w:spacing w:val="-3"/>
        </w:rPr>
        <w:t xml:space="preserve"> </w:t>
      </w:r>
      <w:r w:rsidR="007E09E2">
        <w:rPr>
          <w:rFonts w:eastAsia="Calibri" w:cs="Calibri"/>
          <w:spacing w:val="-3"/>
        </w:rPr>
        <w:t xml:space="preserve"> </w:t>
      </w:r>
      <w:r w:rsidRPr="00A954DC">
        <w:rPr>
          <w:rFonts w:eastAsia="Calibri" w:cs="Calibri"/>
        </w:rPr>
        <w:t>As</w:t>
      </w:r>
      <w:r w:rsidRPr="00A954DC">
        <w:rPr>
          <w:rFonts w:eastAsia="Calibri" w:cs="Calibri"/>
          <w:spacing w:val="-5"/>
        </w:rPr>
        <w:t xml:space="preserve"> </w:t>
      </w:r>
      <w:r w:rsidRPr="00A954DC">
        <w:rPr>
          <w:rFonts w:eastAsia="Calibri" w:cs="Calibri"/>
        </w:rPr>
        <w:t>of</w:t>
      </w:r>
      <w:r w:rsidRPr="00A954DC">
        <w:rPr>
          <w:rFonts w:eastAsia="Calibri" w:cs="Calibri"/>
          <w:spacing w:val="-4"/>
        </w:rPr>
        <w:t xml:space="preserve"> </w:t>
      </w:r>
      <w:r w:rsidRPr="00A954DC">
        <w:rPr>
          <w:rFonts w:eastAsia="Calibri" w:cs="Calibri"/>
        </w:rPr>
        <w:t>January</w:t>
      </w:r>
      <w:r w:rsidRPr="00A954DC">
        <w:rPr>
          <w:rFonts w:eastAsia="Calibri" w:cs="Calibri"/>
          <w:spacing w:val="-2"/>
        </w:rPr>
        <w:t xml:space="preserve"> </w:t>
      </w:r>
      <w:r w:rsidRPr="00A954DC">
        <w:rPr>
          <w:rFonts w:eastAsia="Calibri" w:cs="Calibri"/>
        </w:rPr>
        <w:t>202</w:t>
      </w:r>
      <w:r w:rsidR="00AA3336">
        <w:rPr>
          <w:rFonts w:eastAsia="Calibri" w:cs="Calibri"/>
        </w:rPr>
        <w:t>5</w:t>
      </w:r>
      <w:r w:rsidRPr="00A954DC">
        <w:rPr>
          <w:rFonts w:eastAsia="Calibri" w:cs="Calibri"/>
        </w:rPr>
        <w:t>,</w:t>
      </w:r>
      <w:r w:rsidRPr="00A954DC">
        <w:rPr>
          <w:rFonts w:eastAsia="Calibri" w:cs="Calibri"/>
          <w:spacing w:val="-5"/>
        </w:rPr>
        <w:t xml:space="preserve"> </w:t>
      </w:r>
      <w:r w:rsidRPr="00A954DC">
        <w:rPr>
          <w:rFonts w:eastAsia="Calibri" w:cs="Calibri"/>
        </w:rPr>
        <w:t>the</w:t>
      </w:r>
      <w:r w:rsidRPr="00A954DC">
        <w:rPr>
          <w:rFonts w:eastAsia="Calibri" w:cs="Calibri"/>
          <w:spacing w:val="-4"/>
        </w:rPr>
        <w:t xml:space="preserve"> </w:t>
      </w:r>
      <w:r w:rsidRPr="00A954DC">
        <w:rPr>
          <w:rFonts w:eastAsia="Calibri" w:cs="Calibri"/>
        </w:rPr>
        <w:t>Michigan</w:t>
      </w:r>
      <w:r w:rsidRPr="00A954DC">
        <w:rPr>
          <w:rFonts w:eastAsia="Calibri" w:cs="Calibri"/>
          <w:spacing w:val="-1"/>
        </w:rPr>
        <w:t xml:space="preserve"> </w:t>
      </w:r>
      <w:r w:rsidRPr="00A954DC">
        <w:rPr>
          <w:rFonts w:eastAsia="Calibri" w:cs="Calibri"/>
        </w:rPr>
        <w:t>Legislature</w:t>
      </w:r>
      <w:r w:rsidRPr="00A954DC">
        <w:rPr>
          <w:rFonts w:eastAsia="Calibri" w:cs="Calibri"/>
          <w:spacing w:val="-2"/>
        </w:rPr>
        <w:t xml:space="preserve"> </w:t>
      </w:r>
      <w:r w:rsidRPr="00A954DC">
        <w:rPr>
          <w:rFonts w:eastAsia="Calibri" w:cs="Calibri"/>
        </w:rPr>
        <w:t>had</w:t>
      </w:r>
      <w:r w:rsidRPr="00A954DC">
        <w:rPr>
          <w:rFonts w:eastAsia="Calibri" w:cs="Calibri"/>
          <w:spacing w:val="-4"/>
        </w:rPr>
        <w:t xml:space="preserve"> </w:t>
      </w:r>
      <w:r w:rsidRPr="00A954DC">
        <w:rPr>
          <w:rFonts w:eastAsia="Calibri" w:cs="Calibri"/>
        </w:rPr>
        <w:t>not</w:t>
      </w:r>
      <w:r w:rsidRPr="00A954DC">
        <w:rPr>
          <w:rFonts w:eastAsia="Calibri" w:cs="Calibri"/>
          <w:spacing w:val="-1"/>
        </w:rPr>
        <w:t xml:space="preserve"> </w:t>
      </w:r>
      <w:r w:rsidRPr="00A954DC">
        <w:rPr>
          <w:rFonts w:eastAsia="Calibri" w:cs="Calibri"/>
        </w:rPr>
        <w:t>yet</w:t>
      </w:r>
      <w:r w:rsidRPr="00A954DC">
        <w:rPr>
          <w:rFonts w:eastAsia="Calibri" w:cs="Calibri"/>
          <w:spacing w:val="-4"/>
        </w:rPr>
        <w:t xml:space="preserve"> </w:t>
      </w:r>
      <w:r w:rsidRPr="00A954DC">
        <w:rPr>
          <w:rFonts w:eastAsia="Calibri" w:cs="Calibri"/>
        </w:rPr>
        <w:t>promulgated</w:t>
      </w:r>
      <w:r w:rsidRPr="00A954DC">
        <w:rPr>
          <w:rFonts w:eastAsia="Calibri" w:cs="Calibri"/>
          <w:spacing w:val="-4"/>
        </w:rPr>
        <w:t xml:space="preserve"> </w:t>
      </w:r>
      <w:r w:rsidRPr="00A954DC">
        <w:rPr>
          <w:rFonts w:eastAsia="Calibri" w:cs="Calibri"/>
        </w:rPr>
        <w:t>a</w:t>
      </w:r>
      <w:r w:rsidRPr="00A954DC">
        <w:rPr>
          <w:rFonts w:eastAsia="Calibri" w:cs="Calibri"/>
          <w:spacing w:val="-2"/>
        </w:rPr>
        <w:t xml:space="preserve"> </w:t>
      </w:r>
      <w:r w:rsidRPr="00A954DC">
        <w:rPr>
          <w:rFonts w:eastAsia="Calibri" w:cs="Calibri"/>
        </w:rPr>
        <w:t>standard to adopt OSHAs maximum penalties.</w:t>
      </w:r>
      <w:r w:rsidRPr="00A954DC">
        <w:rPr>
          <w:rFonts w:eastAsia="Calibri" w:cs="Calibri"/>
          <w:spacing w:val="40"/>
        </w:rPr>
        <w:t xml:space="preserve"> </w:t>
      </w:r>
      <w:r w:rsidRPr="00A954DC">
        <w:rPr>
          <w:rFonts w:eastAsia="Calibri" w:cs="Calibri"/>
        </w:rPr>
        <w:t>This finding remains open.</w:t>
      </w:r>
    </w:p>
    <w:p w14:paraId="339AD3F5" w14:textId="77777777" w:rsidR="001B008C" w:rsidRPr="00A954DC" w:rsidRDefault="001B008C" w:rsidP="0035555C">
      <w:pPr>
        <w:adjustRightInd/>
        <w:spacing w:before="289"/>
        <w:ind w:left="120" w:right="237"/>
        <w:rPr>
          <w:rFonts w:eastAsia="Calibri" w:cs="Calibri"/>
        </w:rPr>
      </w:pPr>
    </w:p>
    <w:p w14:paraId="71C397A3" w14:textId="77777777" w:rsidR="007E09E2" w:rsidRDefault="007E09E2" w:rsidP="00A22712">
      <w:pPr>
        <w:adjustRightInd/>
        <w:ind w:left="120"/>
        <w:outlineLvl w:val="2"/>
        <w:rPr>
          <w:rFonts w:eastAsia="Calibri" w:cs="Calibri"/>
          <w:b/>
          <w:bCs/>
        </w:rPr>
      </w:pPr>
      <w:bookmarkStart w:id="18" w:name="Continued_FY_2022_Observations"/>
      <w:bookmarkEnd w:id="18"/>
    </w:p>
    <w:p w14:paraId="0E195F51" w14:textId="2B5833AF" w:rsidR="00A954DC" w:rsidRPr="00A954DC" w:rsidRDefault="00A954DC" w:rsidP="00A22712">
      <w:pPr>
        <w:adjustRightInd/>
        <w:ind w:left="120"/>
        <w:outlineLvl w:val="2"/>
        <w:rPr>
          <w:rFonts w:eastAsia="Calibri" w:cs="Calibri"/>
          <w:b/>
          <w:bCs/>
        </w:rPr>
      </w:pPr>
      <w:r w:rsidRPr="00A954DC">
        <w:rPr>
          <w:rFonts w:eastAsia="Calibri" w:cs="Calibri"/>
          <w:b/>
          <w:bCs/>
        </w:rPr>
        <w:lastRenderedPageBreak/>
        <w:t>Continued</w:t>
      </w:r>
      <w:r w:rsidRPr="00A954DC">
        <w:rPr>
          <w:rFonts w:eastAsia="Calibri" w:cs="Calibri"/>
          <w:b/>
          <w:bCs/>
          <w:spacing w:val="-3"/>
        </w:rPr>
        <w:t xml:space="preserve"> </w:t>
      </w:r>
      <w:r w:rsidRPr="00A954DC">
        <w:rPr>
          <w:rFonts w:eastAsia="Calibri" w:cs="Calibri"/>
          <w:b/>
          <w:bCs/>
        </w:rPr>
        <w:t>FY</w:t>
      </w:r>
      <w:r w:rsidRPr="00A954DC">
        <w:rPr>
          <w:rFonts w:eastAsia="Calibri" w:cs="Calibri"/>
          <w:b/>
          <w:bCs/>
          <w:spacing w:val="-1"/>
        </w:rPr>
        <w:t xml:space="preserve"> </w:t>
      </w:r>
      <w:r w:rsidRPr="00A954DC">
        <w:rPr>
          <w:rFonts w:eastAsia="Calibri" w:cs="Calibri"/>
          <w:b/>
          <w:bCs/>
        </w:rPr>
        <w:t>202</w:t>
      </w:r>
      <w:r w:rsidR="005B6A7D">
        <w:rPr>
          <w:rFonts w:eastAsia="Calibri" w:cs="Calibri"/>
          <w:b/>
          <w:bCs/>
        </w:rPr>
        <w:t>3</w:t>
      </w:r>
      <w:r w:rsidRPr="00A954DC">
        <w:rPr>
          <w:rFonts w:eastAsia="Calibri" w:cs="Calibri"/>
          <w:b/>
          <w:bCs/>
          <w:spacing w:val="-2"/>
        </w:rPr>
        <w:t xml:space="preserve"> Observations</w:t>
      </w:r>
    </w:p>
    <w:p w14:paraId="7E6A4CEF" w14:textId="77777777" w:rsidR="00A954DC" w:rsidRPr="00A954DC" w:rsidRDefault="00A954DC" w:rsidP="00A954DC">
      <w:pPr>
        <w:adjustRightInd/>
        <w:rPr>
          <w:rFonts w:eastAsia="Calibri" w:cs="Calibri"/>
          <w:b/>
        </w:rPr>
      </w:pPr>
    </w:p>
    <w:p w14:paraId="4F167AF6" w14:textId="74D53553" w:rsidR="00A954DC" w:rsidRPr="00A954DC" w:rsidRDefault="00A954DC" w:rsidP="00A954DC">
      <w:pPr>
        <w:adjustRightInd/>
        <w:ind w:left="119" w:right="138"/>
        <w:rPr>
          <w:rFonts w:eastAsia="Calibri" w:cs="Calibri"/>
        </w:rPr>
      </w:pPr>
      <w:r w:rsidRPr="00A954DC">
        <w:rPr>
          <w:rFonts w:eastAsia="Calibri" w:cs="Calibri"/>
          <w:b/>
        </w:rPr>
        <w:t>FY</w:t>
      </w:r>
      <w:r w:rsidRPr="00A954DC">
        <w:rPr>
          <w:rFonts w:eastAsia="Calibri" w:cs="Calibri"/>
          <w:b/>
          <w:spacing w:val="-1"/>
        </w:rPr>
        <w:t xml:space="preserve"> </w:t>
      </w:r>
      <w:r w:rsidRPr="00A954DC">
        <w:rPr>
          <w:rFonts w:eastAsia="Calibri" w:cs="Calibri"/>
          <w:b/>
        </w:rPr>
        <w:t>202</w:t>
      </w:r>
      <w:r w:rsidR="005B6A7D">
        <w:rPr>
          <w:rFonts w:eastAsia="Calibri" w:cs="Calibri"/>
          <w:b/>
        </w:rPr>
        <w:t>4</w:t>
      </w:r>
      <w:r w:rsidRPr="00A954DC">
        <w:rPr>
          <w:rFonts w:eastAsia="Calibri" w:cs="Calibri"/>
          <w:b/>
        </w:rPr>
        <w:t>-OB-1</w:t>
      </w:r>
      <w:r w:rsidRPr="00A954DC">
        <w:rPr>
          <w:rFonts w:eastAsia="Calibri" w:cs="Calibri"/>
          <w:b/>
          <w:spacing w:val="-3"/>
        </w:rPr>
        <w:t xml:space="preserve"> </w:t>
      </w:r>
      <w:r w:rsidRPr="00A954DC">
        <w:rPr>
          <w:rFonts w:eastAsia="Calibri" w:cs="Calibri"/>
          <w:b/>
        </w:rPr>
        <w:t>(FY</w:t>
      </w:r>
      <w:r w:rsidRPr="00A954DC">
        <w:rPr>
          <w:rFonts w:eastAsia="Calibri" w:cs="Calibri"/>
          <w:b/>
          <w:spacing w:val="-1"/>
        </w:rPr>
        <w:t xml:space="preserve"> </w:t>
      </w:r>
      <w:r w:rsidRPr="00A954DC">
        <w:rPr>
          <w:rFonts w:eastAsia="Calibri" w:cs="Calibri"/>
          <w:b/>
        </w:rPr>
        <w:t>202</w:t>
      </w:r>
      <w:r w:rsidR="005B6A7D">
        <w:rPr>
          <w:rFonts w:eastAsia="Calibri" w:cs="Calibri"/>
          <w:b/>
        </w:rPr>
        <w:t>3</w:t>
      </w:r>
      <w:r w:rsidRPr="00A954DC">
        <w:rPr>
          <w:rFonts w:eastAsia="Calibri" w:cs="Calibri"/>
          <w:b/>
        </w:rPr>
        <w:t>-OB-01):</w:t>
      </w:r>
      <w:r w:rsidRPr="00A954DC">
        <w:rPr>
          <w:rFonts w:eastAsia="Calibri" w:cs="Calibri"/>
          <w:b/>
          <w:spacing w:val="40"/>
        </w:rPr>
        <w:t xml:space="preserve"> </w:t>
      </w:r>
      <w:r w:rsidR="00EF053D">
        <w:rPr>
          <w:rFonts w:eastAsia="Calibri" w:cs="Calibri"/>
        </w:rPr>
        <w:t>In FY 2023, e</w:t>
      </w:r>
      <w:r w:rsidR="00B9432F">
        <w:rPr>
          <w:rFonts w:eastAsia="Calibri" w:cs="Calibri"/>
        </w:rPr>
        <w:t xml:space="preserve">leven (22%) of the 50 administratively closed intakes reviewed were closed without Complainant contact.  The Complainant was sent an Administrative Closure letter that claimed there was no protected activity and/or no adverse employment action being </w:t>
      </w:r>
      <w:r w:rsidR="004B3E74">
        <w:rPr>
          <w:rFonts w:eastAsia="Calibri" w:cs="Calibri"/>
        </w:rPr>
        <w:t>the reason no action was taken on their complaint.</w:t>
      </w:r>
    </w:p>
    <w:p w14:paraId="2C781F3D" w14:textId="77777777" w:rsidR="00A954DC" w:rsidRPr="00A954DC" w:rsidRDefault="00A954DC" w:rsidP="00A954DC">
      <w:pPr>
        <w:adjustRightInd/>
        <w:spacing w:before="2"/>
        <w:rPr>
          <w:rFonts w:eastAsia="Calibri" w:cs="Calibri"/>
        </w:rPr>
      </w:pPr>
    </w:p>
    <w:p w14:paraId="175321E8" w14:textId="12D50D83" w:rsidR="00A954DC" w:rsidRDefault="00A954DC" w:rsidP="00A954DC">
      <w:pPr>
        <w:adjustRightInd/>
        <w:ind w:left="120"/>
        <w:rPr>
          <w:rFonts w:eastAsia="Calibri" w:cs="Calibri"/>
        </w:rPr>
      </w:pPr>
      <w:r w:rsidRPr="00A954DC">
        <w:rPr>
          <w:rFonts w:eastAsia="Calibri" w:cs="Calibri"/>
          <w:b/>
        </w:rPr>
        <w:t>Status:</w:t>
      </w:r>
      <w:r w:rsidRPr="00A954DC">
        <w:rPr>
          <w:rFonts w:eastAsia="Calibri" w:cs="Calibri"/>
          <w:b/>
          <w:spacing w:val="40"/>
        </w:rPr>
        <w:t xml:space="preserve"> </w:t>
      </w:r>
      <w:r w:rsidRPr="00A954DC">
        <w:rPr>
          <w:rFonts w:eastAsia="Calibri" w:cs="Calibri"/>
        </w:rPr>
        <w:t>A case file review is necessary to gather the facts needed to evaluate performance in relation</w:t>
      </w:r>
      <w:r w:rsidRPr="00A954DC">
        <w:rPr>
          <w:rFonts w:eastAsia="Calibri" w:cs="Calibri"/>
          <w:spacing w:val="-3"/>
        </w:rPr>
        <w:t xml:space="preserve"> </w:t>
      </w:r>
      <w:r w:rsidRPr="00A954DC">
        <w:rPr>
          <w:rFonts w:eastAsia="Calibri" w:cs="Calibri"/>
        </w:rPr>
        <w:t>to</w:t>
      </w:r>
      <w:r w:rsidRPr="00A954DC">
        <w:rPr>
          <w:rFonts w:eastAsia="Calibri" w:cs="Calibri"/>
          <w:spacing w:val="-3"/>
        </w:rPr>
        <w:t xml:space="preserve"> </w:t>
      </w:r>
      <w:r w:rsidRPr="00A954DC">
        <w:rPr>
          <w:rFonts w:eastAsia="Calibri" w:cs="Calibri"/>
        </w:rPr>
        <w:t>this</w:t>
      </w:r>
      <w:r w:rsidRPr="00A954DC">
        <w:rPr>
          <w:rFonts w:eastAsia="Calibri" w:cs="Calibri"/>
          <w:spacing w:val="-4"/>
        </w:rPr>
        <w:t xml:space="preserve"> </w:t>
      </w:r>
      <w:r w:rsidRPr="00A954DC">
        <w:rPr>
          <w:rFonts w:eastAsia="Calibri" w:cs="Calibri"/>
        </w:rPr>
        <w:t>observation.</w:t>
      </w:r>
      <w:r w:rsidRPr="00A954DC">
        <w:rPr>
          <w:rFonts w:eastAsia="Calibri" w:cs="Calibri"/>
          <w:spacing w:val="40"/>
        </w:rPr>
        <w:t xml:space="preserve"> </w:t>
      </w:r>
      <w:r w:rsidRPr="00A954DC">
        <w:rPr>
          <w:rFonts w:eastAsia="Calibri" w:cs="Calibri"/>
        </w:rPr>
        <w:t>This</w:t>
      </w:r>
      <w:r w:rsidRPr="00A954DC">
        <w:rPr>
          <w:rFonts w:eastAsia="Calibri" w:cs="Calibri"/>
          <w:spacing w:val="-4"/>
        </w:rPr>
        <w:t xml:space="preserve"> </w:t>
      </w:r>
      <w:r w:rsidRPr="00A954DC">
        <w:rPr>
          <w:rFonts w:eastAsia="Calibri" w:cs="Calibri"/>
        </w:rPr>
        <w:t>observation</w:t>
      </w:r>
      <w:r w:rsidRPr="00A954DC">
        <w:rPr>
          <w:rFonts w:eastAsia="Calibri" w:cs="Calibri"/>
          <w:spacing w:val="-3"/>
        </w:rPr>
        <w:t xml:space="preserve"> </w:t>
      </w:r>
      <w:r w:rsidRPr="00A954DC">
        <w:rPr>
          <w:rFonts w:eastAsia="Calibri" w:cs="Calibri"/>
        </w:rPr>
        <w:t>will</w:t>
      </w:r>
      <w:r w:rsidRPr="00A954DC">
        <w:rPr>
          <w:rFonts w:eastAsia="Calibri" w:cs="Calibri"/>
          <w:spacing w:val="-4"/>
        </w:rPr>
        <w:t xml:space="preserve"> </w:t>
      </w:r>
      <w:r w:rsidRPr="00A954DC">
        <w:rPr>
          <w:rFonts w:eastAsia="Calibri" w:cs="Calibri"/>
        </w:rPr>
        <w:t>be</w:t>
      </w:r>
      <w:r w:rsidRPr="00A954DC">
        <w:rPr>
          <w:rFonts w:eastAsia="Calibri" w:cs="Calibri"/>
          <w:spacing w:val="-3"/>
        </w:rPr>
        <w:t xml:space="preserve"> </w:t>
      </w:r>
      <w:r w:rsidRPr="00A954DC">
        <w:rPr>
          <w:rFonts w:eastAsia="Calibri" w:cs="Calibri"/>
        </w:rPr>
        <w:t>a</w:t>
      </w:r>
      <w:r w:rsidRPr="00A954DC">
        <w:rPr>
          <w:rFonts w:eastAsia="Calibri" w:cs="Calibri"/>
          <w:spacing w:val="-1"/>
        </w:rPr>
        <w:t xml:space="preserve"> </w:t>
      </w:r>
      <w:r w:rsidRPr="00A954DC">
        <w:rPr>
          <w:rFonts w:eastAsia="Calibri" w:cs="Calibri"/>
        </w:rPr>
        <w:t>focus</w:t>
      </w:r>
      <w:r w:rsidRPr="00A954DC">
        <w:rPr>
          <w:rFonts w:eastAsia="Calibri" w:cs="Calibri"/>
          <w:spacing w:val="-2"/>
        </w:rPr>
        <w:t xml:space="preserve"> </w:t>
      </w:r>
      <w:r w:rsidRPr="00A954DC">
        <w:rPr>
          <w:rFonts w:eastAsia="Calibri" w:cs="Calibri"/>
        </w:rPr>
        <w:t>of</w:t>
      </w:r>
      <w:r w:rsidRPr="00A954DC">
        <w:rPr>
          <w:rFonts w:eastAsia="Calibri" w:cs="Calibri"/>
          <w:spacing w:val="-3"/>
        </w:rPr>
        <w:t xml:space="preserve"> </w:t>
      </w:r>
      <w:r w:rsidRPr="00A954DC">
        <w:rPr>
          <w:rFonts w:eastAsia="Calibri" w:cs="Calibri"/>
        </w:rPr>
        <w:t>next</w:t>
      </w:r>
      <w:r w:rsidRPr="00A954DC">
        <w:rPr>
          <w:rFonts w:eastAsia="Calibri" w:cs="Calibri"/>
          <w:spacing w:val="-3"/>
        </w:rPr>
        <w:t xml:space="preserve"> </w:t>
      </w:r>
      <w:r w:rsidRPr="00A954DC">
        <w:rPr>
          <w:rFonts w:eastAsia="Calibri" w:cs="Calibri"/>
        </w:rPr>
        <w:t>year’s</w:t>
      </w:r>
      <w:r w:rsidRPr="00A954DC">
        <w:rPr>
          <w:rFonts w:eastAsia="Calibri" w:cs="Calibri"/>
          <w:spacing w:val="-4"/>
        </w:rPr>
        <w:t xml:space="preserve"> </w:t>
      </w:r>
      <w:r w:rsidRPr="00A954DC">
        <w:rPr>
          <w:rFonts w:eastAsia="Calibri" w:cs="Calibri"/>
        </w:rPr>
        <w:t>on-site</w:t>
      </w:r>
      <w:r w:rsidRPr="00A954DC">
        <w:rPr>
          <w:rFonts w:eastAsia="Calibri" w:cs="Calibri"/>
          <w:spacing w:val="-3"/>
        </w:rPr>
        <w:t xml:space="preserve"> </w:t>
      </w:r>
      <w:r w:rsidRPr="00A954DC">
        <w:rPr>
          <w:rFonts w:eastAsia="Calibri" w:cs="Calibri"/>
        </w:rPr>
        <w:t>case</w:t>
      </w:r>
      <w:r w:rsidRPr="00A954DC">
        <w:rPr>
          <w:rFonts w:eastAsia="Calibri" w:cs="Calibri"/>
          <w:spacing w:val="-1"/>
        </w:rPr>
        <w:t xml:space="preserve"> </w:t>
      </w:r>
      <w:r w:rsidRPr="00A954DC">
        <w:rPr>
          <w:rFonts w:eastAsia="Calibri" w:cs="Calibri"/>
        </w:rPr>
        <w:t>file</w:t>
      </w:r>
      <w:r w:rsidRPr="00A954DC">
        <w:rPr>
          <w:rFonts w:eastAsia="Calibri" w:cs="Calibri"/>
          <w:spacing w:val="-1"/>
        </w:rPr>
        <w:t xml:space="preserve"> </w:t>
      </w:r>
      <w:r w:rsidRPr="00A954DC">
        <w:rPr>
          <w:rFonts w:eastAsia="Calibri" w:cs="Calibri"/>
        </w:rPr>
        <w:t>review during the FY 202</w:t>
      </w:r>
      <w:r w:rsidR="004B3E74">
        <w:rPr>
          <w:rFonts w:eastAsia="Calibri" w:cs="Calibri"/>
        </w:rPr>
        <w:t>5</w:t>
      </w:r>
      <w:r w:rsidRPr="00A954DC">
        <w:rPr>
          <w:rFonts w:eastAsia="Calibri" w:cs="Calibri"/>
        </w:rPr>
        <w:t xml:space="preserve"> comprehensive FAME.</w:t>
      </w:r>
      <w:r w:rsidRPr="00A954DC">
        <w:rPr>
          <w:rFonts w:eastAsia="Calibri" w:cs="Calibri"/>
          <w:spacing w:val="40"/>
        </w:rPr>
        <w:t xml:space="preserve"> </w:t>
      </w:r>
      <w:r w:rsidRPr="00A954DC">
        <w:rPr>
          <w:rFonts w:eastAsia="Calibri" w:cs="Calibri"/>
        </w:rPr>
        <w:t>This observation is continued.</w:t>
      </w:r>
    </w:p>
    <w:p w14:paraId="5FCBB083" w14:textId="77777777" w:rsidR="00EC5060" w:rsidRPr="00A954DC" w:rsidRDefault="00EC5060" w:rsidP="00A954DC">
      <w:pPr>
        <w:adjustRightInd/>
        <w:ind w:left="120"/>
        <w:rPr>
          <w:rFonts w:eastAsia="Calibri" w:cs="Calibri"/>
        </w:rPr>
      </w:pPr>
    </w:p>
    <w:p w14:paraId="0BBBFD4F" w14:textId="1D40EEF3" w:rsidR="00A954DC" w:rsidRPr="00A954DC" w:rsidRDefault="00A954DC" w:rsidP="00A954DC">
      <w:pPr>
        <w:adjustRightInd/>
        <w:spacing w:before="292"/>
        <w:ind w:left="119"/>
        <w:rPr>
          <w:rFonts w:eastAsia="Calibri" w:cs="Calibri"/>
        </w:rPr>
      </w:pPr>
      <w:r w:rsidRPr="00A954DC">
        <w:rPr>
          <w:rFonts w:eastAsia="Calibri" w:cs="Calibri"/>
          <w:b/>
        </w:rPr>
        <w:t>FY 202</w:t>
      </w:r>
      <w:r w:rsidR="00942532">
        <w:rPr>
          <w:rFonts w:eastAsia="Calibri" w:cs="Calibri"/>
          <w:b/>
        </w:rPr>
        <w:t>4</w:t>
      </w:r>
      <w:r w:rsidRPr="00A954DC">
        <w:rPr>
          <w:rFonts w:eastAsia="Calibri" w:cs="Calibri"/>
          <w:b/>
        </w:rPr>
        <w:t>-OB-</w:t>
      </w:r>
      <w:r w:rsidR="009460AC">
        <w:rPr>
          <w:rFonts w:eastAsia="Calibri" w:cs="Calibri"/>
          <w:b/>
        </w:rPr>
        <w:t>2</w:t>
      </w:r>
      <w:r w:rsidRPr="00A954DC">
        <w:rPr>
          <w:rFonts w:eastAsia="Calibri" w:cs="Calibri"/>
          <w:b/>
        </w:rPr>
        <w:t xml:space="preserve"> (FY 202</w:t>
      </w:r>
      <w:r w:rsidR="00942532">
        <w:rPr>
          <w:rFonts w:eastAsia="Calibri" w:cs="Calibri"/>
          <w:b/>
        </w:rPr>
        <w:t>3</w:t>
      </w:r>
      <w:r w:rsidRPr="00A954DC">
        <w:rPr>
          <w:rFonts w:eastAsia="Calibri" w:cs="Calibri"/>
          <w:b/>
        </w:rPr>
        <w:t>-OB-03):</w:t>
      </w:r>
      <w:r w:rsidRPr="00A954DC">
        <w:rPr>
          <w:rFonts w:eastAsia="Calibri" w:cs="Calibri"/>
          <w:b/>
          <w:spacing w:val="40"/>
        </w:rPr>
        <w:t xml:space="preserve"> </w:t>
      </w:r>
      <w:r w:rsidR="003F6B4E">
        <w:rPr>
          <w:rFonts w:eastAsia="Calibri" w:cs="Calibri"/>
        </w:rPr>
        <w:t>In FY 2023, t</w:t>
      </w:r>
      <w:r w:rsidR="00462D3E">
        <w:rPr>
          <w:rFonts w:eastAsia="Calibri" w:cs="Calibri"/>
        </w:rPr>
        <w:t>wenty-one (52%) of 40 administratively closed files that were review</w:t>
      </w:r>
      <w:r w:rsidR="00EA7D54">
        <w:rPr>
          <w:rFonts w:eastAsia="Calibri" w:cs="Calibri"/>
        </w:rPr>
        <w:t>ed</w:t>
      </w:r>
      <w:r w:rsidR="00462D3E">
        <w:rPr>
          <w:rFonts w:eastAsia="Calibri" w:cs="Calibri"/>
        </w:rPr>
        <w:t xml:space="preserve"> during the evaluation, and which were closed without complainant contact</w:t>
      </w:r>
      <w:r w:rsidR="00386564">
        <w:rPr>
          <w:rFonts w:eastAsia="Calibri" w:cs="Calibri"/>
        </w:rPr>
        <w:t xml:space="preserve"> due to lack of protected activity, adverse employment action, jurisdiction, etc., lacked verification of the letter’s delivery.</w:t>
      </w:r>
    </w:p>
    <w:p w14:paraId="45F17F9D" w14:textId="77777777" w:rsidR="00A954DC" w:rsidRPr="00A954DC" w:rsidRDefault="00A954DC" w:rsidP="00A954DC">
      <w:pPr>
        <w:adjustRightInd/>
        <w:spacing w:before="1"/>
        <w:rPr>
          <w:rFonts w:eastAsia="Calibri" w:cs="Calibri"/>
        </w:rPr>
      </w:pPr>
    </w:p>
    <w:p w14:paraId="43E94DDB" w14:textId="7DAEE686" w:rsidR="00EC5060" w:rsidRDefault="00A954DC" w:rsidP="003F6EC3">
      <w:pPr>
        <w:adjustRightInd/>
        <w:spacing w:before="1"/>
        <w:ind w:left="119"/>
        <w:rPr>
          <w:rFonts w:eastAsia="Calibri" w:cs="Calibri"/>
        </w:rPr>
      </w:pPr>
      <w:r w:rsidRPr="00A954DC">
        <w:rPr>
          <w:rFonts w:eastAsia="Calibri" w:cs="Calibri"/>
          <w:b/>
        </w:rPr>
        <w:t xml:space="preserve">Status: </w:t>
      </w:r>
      <w:r w:rsidRPr="00A954DC">
        <w:rPr>
          <w:rFonts w:eastAsia="Calibri" w:cs="Calibri"/>
        </w:rPr>
        <w:t>A case file review is necessary to gather the facts needed to evaluate performance in relation</w:t>
      </w:r>
      <w:r w:rsidRPr="00A954DC">
        <w:rPr>
          <w:rFonts w:eastAsia="Calibri" w:cs="Calibri"/>
          <w:spacing w:val="-3"/>
        </w:rPr>
        <w:t xml:space="preserve"> </w:t>
      </w:r>
      <w:r w:rsidRPr="00A954DC">
        <w:rPr>
          <w:rFonts w:eastAsia="Calibri" w:cs="Calibri"/>
        </w:rPr>
        <w:t>to</w:t>
      </w:r>
      <w:r w:rsidRPr="00A954DC">
        <w:rPr>
          <w:rFonts w:eastAsia="Calibri" w:cs="Calibri"/>
          <w:spacing w:val="-3"/>
        </w:rPr>
        <w:t xml:space="preserve"> </w:t>
      </w:r>
      <w:r w:rsidRPr="00A954DC">
        <w:rPr>
          <w:rFonts w:eastAsia="Calibri" w:cs="Calibri"/>
        </w:rPr>
        <w:t>this</w:t>
      </w:r>
      <w:r w:rsidRPr="00A954DC">
        <w:rPr>
          <w:rFonts w:eastAsia="Calibri" w:cs="Calibri"/>
          <w:spacing w:val="-4"/>
        </w:rPr>
        <w:t xml:space="preserve"> </w:t>
      </w:r>
      <w:r w:rsidRPr="00A954DC">
        <w:rPr>
          <w:rFonts w:eastAsia="Calibri" w:cs="Calibri"/>
        </w:rPr>
        <w:t>observation.</w:t>
      </w:r>
      <w:r w:rsidRPr="00A954DC">
        <w:rPr>
          <w:rFonts w:eastAsia="Calibri" w:cs="Calibri"/>
          <w:spacing w:val="40"/>
        </w:rPr>
        <w:t xml:space="preserve"> </w:t>
      </w:r>
      <w:r w:rsidRPr="00A954DC">
        <w:rPr>
          <w:rFonts w:eastAsia="Calibri" w:cs="Calibri"/>
        </w:rPr>
        <w:t>This</w:t>
      </w:r>
      <w:r w:rsidRPr="00A954DC">
        <w:rPr>
          <w:rFonts w:eastAsia="Calibri" w:cs="Calibri"/>
          <w:spacing w:val="-4"/>
        </w:rPr>
        <w:t xml:space="preserve"> </w:t>
      </w:r>
      <w:r w:rsidRPr="00A954DC">
        <w:rPr>
          <w:rFonts w:eastAsia="Calibri" w:cs="Calibri"/>
        </w:rPr>
        <w:t>observation</w:t>
      </w:r>
      <w:r w:rsidRPr="00A954DC">
        <w:rPr>
          <w:rFonts w:eastAsia="Calibri" w:cs="Calibri"/>
          <w:spacing w:val="-3"/>
        </w:rPr>
        <w:t xml:space="preserve"> </w:t>
      </w:r>
      <w:r w:rsidRPr="00A954DC">
        <w:rPr>
          <w:rFonts w:eastAsia="Calibri" w:cs="Calibri"/>
        </w:rPr>
        <w:t>will</w:t>
      </w:r>
      <w:r w:rsidRPr="00A954DC">
        <w:rPr>
          <w:rFonts w:eastAsia="Calibri" w:cs="Calibri"/>
          <w:spacing w:val="-4"/>
        </w:rPr>
        <w:t xml:space="preserve"> </w:t>
      </w:r>
      <w:r w:rsidRPr="00A954DC">
        <w:rPr>
          <w:rFonts w:eastAsia="Calibri" w:cs="Calibri"/>
        </w:rPr>
        <w:t>be</w:t>
      </w:r>
      <w:r w:rsidRPr="00A954DC">
        <w:rPr>
          <w:rFonts w:eastAsia="Calibri" w:cs="Calibri"/>
          <w:spacing w:val="-3"/>
        </w:rPr>
        <w:t xml:space="preserve"> </w:t>
      </w:r>
      <w:r w:rsidRPr="00A954DC">
        <w:rPr>
          <w:rFonts w:eastAsia="Calibri" w:cs="Calibri"/>
        </w:rPr>
        <w:t>a</w:t>
      </w:r>
      <w:r w:rsidRPr="00A954DC">
        <w:rPr>
          <w:rFonts w:eastAsia="Calibri" w:cs="Calibri"/>
          <w:spacing w:val="-1"/>
        </w:rPr>
        <w:t xml:space="preserve"> </w:t>
      </w:r>
      <w:r w:rsidRPr="00A954DC">
        <w:rPr>
          <w:rFonts w:eastAsia="Calibri" w:cs="Calibri"/>
        </w:rPr>
        <w:t>focus</w:t>
      </w:r>
      <w:r w:rsidRPr="00A954DC">
        <w:rPr>
          <w:rFonts w:eastAsia="Calibri" w:cs="Calibri"/>
          <w:spacing w:val="-2"/>
        </w:rPr>
        <w:t xml:space="preserve"> </w:t>
      </w:r>
      <w:r w:rsidRPr="00A954DC">
        <w:rPr>
          <w:rFonts w:eastAsia="Calibri" w:cs="Calibri"/>
        </w:rPr>
        <w:t>of</w:t>
      </w:r>
      <w:r w:rsidRPr="00A954DC">
        <w:rPr>
          <w:rFonts w:eastAsia="Calibri" w:cs="Calibri"/>
          <w:spacing w:val="-3"/>
        </w:rPr>
        <w:t xml:space="preserve"> </w:t>
      </w:r>
      <w:r w:rsidRPr="00A954DC">
        <w:rPr>
          <w:rFonts w:eastAsia="Calibri" w:cs="Calibri"/>
        </w:rPr>
        <w:t>next</w:t>
      </w:r>
      <w:r w:rsidRPr="00A954DC">
        <w:rPr>
          <w:rFonts w:eastAsia="Calibri" w:cs="Calibri"/>
          <w:spacing w:val="-3"/>
        </w:rPr>
        <w:t xml:space="preserve"> </w:t>
      </w:r>
      <w:r w:rsidRPr="00A954DC">
        <w:rPr>
          <w:rFonts w:eastAsia="Calibri" w:cs="Calibri"/>
        </w:rPr>
        <w:t>year’s</w:t>
      </w:r>
      <w:r w:rsidRPr="00A954DC">
        <w:rPr>
          <w:rFonts w:eastAsia="Calibri" w:cs="Calibri"/>
          <w:spacing w:val="-4"/>
        </w:rPr>
        <w:t xml:space="preserve"> </w:t>
      </w:r>
      <w:r w:rsidRPr="00A954DC">
        <w:rPr>
          <w:rFonts w:eastAsia="Calibri" w:cs="Calibri"/>
        </w:rPr>
        <w:t>on-site</w:t>
      </w:r>
      <w:r w:rsidRPr="00A954DC">
        <w:rPr>
          <w:rFonts w:eastAsia="Calibri" w:cs="Calibri"/>
          <w:spacing w:val="-3"/>
        </w:rPr>
        <w:t xml:space="preserve"> </w:t>
      </w:r>
      <w:r w:rsidRPr="00A954DC">
        <w:rPr>
          <w:rFonts w:eastAsia="Calibri" w:cs="Calibri"/>
        </w:rPr>
        <w:t>case</w:t>
      </w:r>
      <w:r w:rsidRPr="00A954DC">
        <w:rPr>
          <w:rFonts w:eastAsia="Calibri" w:cs="Calibri"/>
          <w:spacing w:val="-1"/>
        </w:rPr>
        <w:t xml:space="preserve"> </w:t>
      </w:r>
      <w:r w:rsidRPr="00A954DC">
        <w:rPr>
          <w:rFonts w:eastAsia="Calibri" w:cs="Calibri"/>
        </w:rPr>
        <w:t>file</w:t>
      </w:r>
      <w:r w:rsidRPr="00A954DC">
        <w:rPr>
          <w:rFonts w:eastAsia="Calibri" w:cs="Calibri"/>
          <w:spacing w:val="-1"/>
        </w:rPr>
        <w:t xml:space="preserve"> </w:t>
      </w:r>
      <w:r w:rsidRPr="00A954DC">
        <w:rPr>
          <w:rFonts w:eastAsia="Calibri" w:cs="Calibri"/>
        </w:rPr>
        <w:t>review during the FY 202</w:t>
      </w:r>
      <w:r w:rsidR="00386564">
        <w:rPr>
          <w:rFonts w:eastAsia="Calibri" w:cs="Calibri"/>
        </w:rPr>
        <w:t>5</w:t>
      </w:r>
      <w:r w:rsidRPr="00A954DC">
        <w:rPr>
          <w:rFonts w:eastAsia="Calibri" w:cs="Calibri"/>
        </w:rPr>
        <w:t xml:space="preserve"> comprehensive FAME.</w:t>
      </w:r>
      <w:r w:rsidRPr="00A954DC">
        <w:rPr>
          <w:rFonts w:eastAsia="Calibri" w:cs="Calibri"/>
          <w:spacing w:val="40"/>
        </w:rPr>
        <w:t xml:space="preserve"> </w:t>
      </w:r>
      <w:r w:rsidRPr="00A954DC">
        <w:rPr>
          <w:rFonts w:eastAsia="Calibri" w:cs="Calibri"/>
        </w:rPr>
        <w:t>This observation is continued.</w:t>
      </w:r>
    </w:p>
    <w:p w14:paraId="4CEA5457" w14:textId="5F1BB52B" w:rsidR="00EC5060" w:rsidRPr="00A954DC" w:rsidRDefault="00EC5060" w:rsidP="00EC5060">
      <w:pPr>
        <w:adjustRightInd/>
        <w:spacing w:before="292"/>
        <w:ind w:left="119"/>
        <w:rPr>
          <w:rFonts w:eastAsia="Calibri" w:cs="Calibri"/>
        </w:rPr>
      </w:pPr>
      <w:r w:rsidRPr="00A954DC">
        <w:rPr>
          <w:rFonts w:eastAsia="Calibri" w:cs="Calibri"/>
          <w:b/>
        </w:rPr>
        <w:t>FY 202</w:t>
      </w:r>
      <w:r w:rsidR="00942532">
        <w:rPr>
          <w:rFonts w:eastAsia="Calibri" w:cs="Calibri"/>
          <w:b/>
        </w:rPr>
        <w:t>4</w:t>
      </w:r>
      <w:r w:rsidRPr="00A954DC">
        <w:rPr>
          <w:rFonts w:eastAsia="Calibri" w:cs="Calibri"/>
          <w:b/>
        </w:rPr>
        <w:t>-OB-</w:t>
      </w:r>
      <w:r w:rsidR="009460AC">
        <w:rPr>
          <w:rFonts w:eastAsia="Calibri" w:cs="Calibri"/>
          <w:b/>
        </w:rPr>
        <w:t>3</w:t>
      </w:r>
      <w:r w:rsidRPr="00A954DC">
        <w:rPr>
          <w:rFonts w:eastAsia="Calibri" w:cs="Calibri"/>
          <w:b/>
        </w:rPr>
        <w:t xml:space="preserve"> (FY 202</w:t>
      </w:r>
      <w:r w:rsidR="00942532">
        <w:rPr>
          <w:rFonts w:eastAsia="Calibri" w:cs="Calibri"/>
          <w:b/>
        </w:rPr>
        <w:t>3</w:t>
      </w:r>
      <w:r w:rsidRPr="00A954DC">
        <w:rPr>
          <w:rFonts w:eastAsia="Calibri" w:cs="Calibri"/>
          <w:b/>
        </w:rPr>
        <w:t>-OB-0</w:t>
      </w:r>
      <w:r w:rsidR="001945AD">
        <w:rPr>
          <w:rFonts w:eastAsia="Calibri" w:cs="Calibri"/>
          <w:b/>
        </w:rPr>
        <w:t>4</w:t>
      </w:r>
      <w:r w:rsidRPr="00A954DC">
        <w:rPr>
          <w:rFonts w:eastAsia="Calibri" w:cs="Calibri"/>
          <w:b/>
        </w:rPr>
        <w:t>):</w:t>
      </w:r>
      <w:r w:rsidRPr="00A954DC">
        <w:rPr>
          <w:rFonts w:eastAsia="Calibri" w:cs="Calibri"/>
          <w:b/>
          <w:spacing w:val="40"/>
        </w:rPr>
        <w:t xml:space="preserve"> </w:t>
      </w:r>
      <w:r w:rsidR="00386564">
        <w:rPr>
          <w:rFonts w:eastAsia="Calibri" w:cs="Calibri"/>
        </w:rPr>
        <w:t>Disparate treatment was not fully evaluated in 11 (46%) of the 24 full field case files that were reviewed</w:t>
      </w:r>
      <w:r w:rsidR="003F6B4E">
        <w:rPr>
          <w:rFonts w:eastAsia="Calibri" w:cs="Calibri"/>
        </w:rPr>
        <w:t xml:space="preserve"> in FY 2023</w:t>
      </w:r>
      <w:r w:rsidR="00386564">
        <w:rPr>
          <w:rFonts w:eastAsia="Calibri" w:cs="Calibri"/>
        </w:rPr>
        <w:t>.</w:t>
      </w:r>
    </w:p>
    <w:p w14:paraId="54B25EFA" w14:textId="77777777" w:rsidR="00EC5060" w:rsidRPr="00A954DC" w:rsidRDefault="00EC5060" w:rsidP="00EC5060">
      <w:pPr>
        <w:adjustRightInd/>
        <w:spacing w:before="1"/>
        <w:rPr>
          <w:rFonts w:eastAsia="Calibri" w:cs="Calibri"/>
        </w:rPr>
      </w:pPr>
    </w:p>
    <w:p w14:paraId="59F280B3" w14:textId="355E2354" w:rsidR="00EC5060" w:rsidRPr="00A954DC" w:rsidRDefault="00EC5060" w:rsidP="00EC5060">
      <w:pPr>
        <w:adjustRightInd/>
        <w:spacing w:before="1"/>
        <w:ind w:left="119"/>
        <w:rPr>
          <w:rFonts w:eastAsia="Calibri" w:cs="Calibri"/>
        </w:rPr>
      </w:pPr>
      <w:r w:rsidRPr="00A954DC">
        <w:rPr>
          <w:rFonts w:eastAsia="Calibri" w:cs="Calibri"/>
          <w:b/>
        </w:rPr>
        <w:t xml:space="preserve">Status: </w:t>
      </w:r>
      <w:r w:rsidRPr="00A954DC">
        <w:rPr>
          <w:rFonts w:eastAsia="Calibri" w:cs="Calibri"/>
        </w:rPr>
        <w:t>A case file review is necessary to gather the facts needed to evaluate performance in relation</w:t>
      </w:r>
      <w:r w:rsidRPr="00A954DC">
        <w:rPr>
          <w:rFonts w:eastAsia="Calibri" w:cs="Calibri"/>
          <w:spacing w:val="-3"/>
        </w:rPr>
        <w:t xml:space="preserve"> </w:t>
      </w:r>
      <w:r w:rsidRPr="00A954DC">
        <w:rPr>
          <w:rFonts w:eastAsia="Calibri" w:cs="Calibri"/>
        </w:rPr>
        <w:t>to</w:t>
      </w:r>
      <w:r w:rsidRPr="00A954DC">
        <w:rPr>
          <w:rFonts w:eastAsia="Calibri" w:cs="Calibri"/>
          <w:spacing w:val="-3"/>
        </w:rPr>
        <w:t xml:space="preserve"> </w:t>
      </w:r>
      <w:r w:rsidRPr="00A954DC">
        <w:rPr>
          <w:rFonts w:eastAsia="Calibri" w:cs="Calibri"/>
        </w:rPr>
        <w:t>this</w:t>
      </w:r>
      <w:r w:rsidRPr="00A954DC">
        <w:rPr>
          <w:rFonts w:eastAsia="Calibri" w:cs="Calibri"/>
          <w:spacing w:val="-4"/>
        </w:rPr>
        <w:t xml:space="preserve"> </w:t>
      </w:r>
      <w:r w:rsidRPr="00A954DC">
        <w:rPr>
          <w:rFonts w:eastAsia="Calibri" w:cs="Calibri"/>
        </w:rPr>
        <w:t>observation.</w:t>
      </w:r>
      <w:r w:rsidRPr="00A954DC">
        <w:rPr>
          <w:rFonts w:eastAsia="Calibri" w:cs="Calibri"/>
          <w:spacing w:val="40"/>
        </w:rPr>
        <w:t xml:space="preserve"> </w:t>
      </w:r>
      <w:r w:rsidRPr="00A954DC">
        <w:rPr>
          <w:rFonts w:eastAsia="Calibri" w:cs="Calibri"/>
        </w:rPr>
        <w:t>This</w:t>
      </w:r>
      <w:r w:rsidRPr="00A954DC">
        <w:rPr>
          <w:rFonts w:eastAsia="Calibri" w:cs="Calibri"/>
          <w:spacing w:val="-4"/>
        </w:rPr>
        <w:t xml:space="preserve"> </w:t>
      </w:r>
      <w:r w:rsidRPr="00A954DC">
        <w:rPr>
          <w:rFonts w:eastAsia="Calibri" w:cs="Calibri"/>
        </w:rPr>
        <w:t>observation</w:t>
      </w:r>
      <w:r w:rsidRPr="00A954DC">
        <w:rPr>
          <w:rFonts w:eastAsia="Calibri" w:cs="Calibri"/>
          <w:spacing w:val="-3"/>
        </w:rPr>
        <w:t xml:space="preserve"> </w:t>
      </w:r>
      <w:r w:rsidRPr="00A954DC">
        <w:rPr>
          <w:rFonts w:eastAsia="Calibri" w:cs="Calibri"/>
        </w:rPr>
        <w:t>will</w:t>
      </w:r>
      <w:r w:rsidRPr="00A954DC">
        <w:rPr>
          <w:rFonts w:eastAsia="Calibri" w:cs="Calibri"/>
          <w:spacing w:val="-4"/>
        </w:rPr>
        <w:t xml:space="preserve"> </w:t>
      </w:r>
      <w:r w:rsidRPr="00A954DC">
        <w:rPr>
          <w:rFonts w:eastAsia="Calibri" w:cs="Calibri"/>
        </w:rPr>
        <w:t>be</w:t>
      </w:r>
      <w:r w:rsidRPr="00A954DC">
        <w:rPr>
          <w:rFonts w:eastAsia="Calibri" w:cs="Calibri"/>
          <w:spacing w:val="-3"/>
        </w:rPr>
        <w:t xml:space="preserve"> </w:t>
      </w:r>
      <w:r w:rsidRPr="00A954DC">
        <w:rPr>
          <w:rFonts w:eastAsia="Calibri" w:cs="Calibri"/>
        </w:rPr>
        <w:t>a</w:t>
      </w:r>
      <w:r w:rsidRPr="00A954DC">
        <w:rPr>
          <w:rFonts w:eastAsia="Calibri" w:cs="Calibri"/>
          <w:spacing w:val="-1"/>
        </w:rPr>
        <w:t xml:space="preserve"> </w:t>
      </w:r>
      <w:r w:rsidRPr="00A954DC">
        <w:rPr>
          <w:rFonts w:eastAsia="Calibri" w:cs="Calibri"/>
        </w:rPr>
        <w:t>focus</w:t>
      </w:r>
      <w:r w:rsidRPr="00A954DC">
        <w:rPr>
          <w:rFonts w:eastAsia="Calibri" w:cs="Calibri"/>
          <w:spacing w:val="-2"/>
        </w:rPr>
        <w:t xml:space="preserve"> </w:t>
      </w:r>
      <w:r w:rsidRPr="00A954DC">
        <w:rPr>
          <w:rFonts w:eastAsia="Calibri" w:cs="Calibri"/>
        </w:rPr>
        <w:t>of</w:t>
      </w:r>
      <w:r w:rsidRPr="00A954DC">
        <w:rPr>
          <w:rFonts w:eastAsia="Calibri" w:cs="Calibri"/>
          <w:spacing w:val="-3"/>
        </w:rPr>
        <w:t xml:space="preserve"> </w:t>
      </w:r>
      <w:r w:rsidRPr="00A954DC">
        <w:rPr>
          <w:rFonts w:eastAsia="Calibri" w:cs="Calibri"/>
        </w:rPr>
        <w:t>next</w:t>
      </w:r>
      <w:r w:rsidRPr="00A954DC">
        <w:rPr>
          <w:rFonts w:eastAsia="Calibri" w:cs="Calibri"/>
          <w:spacing w:val="-3"/>
        </w:rPr>
        <w:t xml:space="preserve"> </w:t>
      </w:r>
      <w:r w:rsidRPr="00A954DC">
        <w:rPr>
          <w:rFonts w:eastAsia="Calibri" w:cs="Calibri"/>
        </w:rPr>
        <w:t>year’s</w:t>
      </w:r>
      <w:r w:rsidRPr="00A954DC">
        <w:rPr>
          <w:rFonts w:eastAsia="Calibri" w:cs="Calibri"/>
          <w:spacing w:val="-4"/>
        </w:rPr>
        <w:t xml:space="preserve"> </w:t>
      </w:r>
      <w:r w:rsidRPr="00A954DC">
        <w:rPr>
          <w:rFonts w:eastAsia="Calibri" w:cs="Calibri"/>
        </w:rPr>
        <w:t>on-site</w:t>
      </w:r>
      <w:r w:rsidRPr="00A954DC">
        <w:rPr>
          <w:rFonts w:eastAsia="Calibri" w:cs="Calibri"/>
          <w:spacing w:val="-3"/>
        </w:rPr>
        <w:t xml:space="preserve"> </w:t>
      </w:r>
      <w:r w:rsidRPr="00A954DC">
        <w:rPr>
          <w:rFonts w:eastAsia="Calibri" w:cs="Calibri"/>
        </w:rPr>
        <w:t>case</w:t>
      </w:r>
      <w:r w:rsidRPr="00A954DC">
        <w:rPr>
          <w:rFonts w:eastAsia="Calibri" w:cs="Calibri"/>
          <w:spacing w:val="-1"/>
        </w:rPr>
        <w:t xml:space="preserve"> </w:t>
      </w:r>
      <w:r w:rsidRPr="00A954DC">
        <w:rPr>
          <w:rFonts w:eastAsia="Calibri" w:cs="Calibri"/>
        </w:rPr>
        <w:t>file</w:t>
      </w:r>
      <w:r w:rsidRPr="00A954DC">
        <w:rPr>
          <w:rFonts w:eastAsia="Calibri" w:cs="Calibri"/>
          <w:spacing w:val="-1"/>
        </w:rPr>
        <w:t xml:space="preserve"> </w:t>
      </w:r>
      <w:r w:rsidRPr="00A954DC">
        <w:rPr>
          <w:rFonts w:eastAsia="Calibri" w:cs="Calibri"/>
        </w:rPr>
        <w:t>review during the FY 202</w:t>
      </w:r>
      <w:r w:rsidR="00386564">
        <w:rPr>
          <w:rFonts w:eastAsia="Calibri" w:cs="Calibri"/>
        </w:rPr>
        <w:t>5</w:t>
      </w:r>
      <w:r w:rsidRPr="00A954DC">
        <w:rPr>
          <w:rFonts w:eastAsia="Calibri" w:cs="Calibri"/>
        </w:rPr>
        <w:t xml:space="preserve"> comprehensive FAME.</w:t>
      </w:r>
      <w:r w:rsidRPr="00A954DC">
        <w:rPr>
          <w:rFonts w:eastAsia="Calibri" w:cs="Calibri"/>
          <w:spacing w:val="40"/>
        </w:rPr>
        <w:t xml:space="preserve"> </w:t>
      </w:r>
      <w:r w:rsidRPr="00A954DC">
        <w:rPr>
          <w:rFonts w:eastAsia="Calibri" w:cs="Calibri"/>
        </w:rPr>
        <w:t>This observation is continued.</w:t>
      </w:r>
    </w:p>
    <w:p w14:paraId="474031BD" w14:textId="77777777" w:rsidR="00EC5060" w:rsidRPr="001C1E47" w:rsidRDefault="00EC5060" w:rsidP="00EC5060">
      <w:pPr>
        <w:widowControl/>
        <w:autoSpaceDE/>
        <w:autoSpaceDN/>
        <w:adjustRightInd/>
        <w:rPr>
          <w:rFonts w:cs="Calibri"/>
          <w:bCs/>
          <w:highlight w:val="yellow"/>
          <w:u w:val="single"/>
        </w:rPr>
      </w:pPr>
    </w:p>
    <w:p w14:paraId="4D650FD2" w14:textId="77777777" w:rsidR="003D41C5" w:rsidRPr="001C1E47" w:rsidRDefault="003D41C5" w:rsidP="00783189">
      <w:pPr>
        <w:widowControl/>
        <w:autoSpaceDE/>
        <w:autoSpaceDN/>
        <w:adjustRightInd/>
        <w:rPr>
          <w:rFonts w:cs="Calibri"/>
          <w:bCs/>
          <w:highlight w:val="yellow"/>
          <w:u w:val="single"/>
        </w:rPr>
      </w:pPr>
    </w:p>
    <w:p w14:paraId="3B828F9D" w14:textId="6C45BA5D" w:rsidR="00F132A8" w:rsidRPr="0061362E" w:rsidRDefault="00F132A8" w:rsidP="00E571BA">
      <w:pPr>
        <w:pStyle w:val="Heading3"/>
      </w:pPr>
      <w:bookmarkStart w:id="19" w:name="_Toc118900177"/>
      <w:bookmarkStart w:id="20" w:name="_Toc118905016"/>
      <w:bookmarkStart w:id="21" w:name="_Toc119418668"/>
      <w:r w:rsidRPr="0061362E">
        <w:t>State Activity Mandated Measures (SAMM)</w:t>
      </w:r>
      <w:r w:rsidR="00A243D6" w:rsidRPr="0061362E">
        <w:t xml:space="preserve"> Highlights</w:t>
      </w:r>
      <w:bookmarkEnd w:id="19"/>
      <w:bookmarkEnd w:id="20"/>
      <w:bookmarkEnd w:id="21"/>
    </w:p>
    <w:p w14:paraId="1ACC4DE2" w14:textId="77777777" w:rsidR="00F132A8" w:rsidRPr="001C1E47" w:rsidRDefault="00F132A8" w:rsidP="00783189">
      <w:pPr>
        <w:widowControl/>
        <w:autoSpaceDE/>
        <w:autoSpaceDN/>
        <w:adjustRightInd/>
        <w:ind w:left="720"/>
        <w:contextualSpacing/>
        <w:rPr>
          <w:rFonts w:cs="Calibri"/>
          <w:sz w:val="28"/>
          <w:szCs w:val="28"/>
        </w:rPr>
      </w:pPr>
    </w:p>
    <w:p w14:paraId="6AD12CC3" w14:textId="77777777" w:rsidR="00C14885" w:rsidRPr="001C1E47" w:rsidRDefault="00C14885" w:rsidP="00783189">
      <w:pPr>
        <w:widowControl/>
        <w:autoSpaceDE/>
        <w:adjustRightInd/>
        <w:rPr>
          <w:rFonts w:cs="Calibri"/>
          <w:i/>
        </w:rPr>
      </w:pPr>
    </w:p>
    <w:p w14:paraId="502774D6" w14:textId="119A09C6" w:rsidR="002966F6" w:rsidRDefault="00EC7600" w:rsidP="002966F6">
      <w:pPr>
        <w:widowControl/>
        <w:autoSpaceDE/>
        <w:adjustRightInd/>
        <w:rPr>
          <w:rFonts w:cs="Calibri"/>
        </w:rPr>
      </w:pPr>
      <w:r w:rsidRPr="001C1E47">
        <w:rPr>
          <w:rFonts w:cs="Calibri"/>
        </w:rPr>
        <w:t xml:space="preserve">Each SAMM has an agreed upon </w:t>
      </w:r>
      <w:r w:rsidR="00D7654E" w:rsidRPr="001C1E47">
        <w:rPr>
          <w:rFonts w:cs="Calibri"/>
        </w:rPr>
        <w:t>FRL</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E50803">
        <w:rPr>
          <w:rFonts w:cs="Calibri"/>
        </w:rPr>
        <w:t>24</w:t>
      </w:r>
      <w:r w:rsidR="005D1F76" w:rsidRPr="001C1E47">
        <w:rPr>
          <w:rFonts w:cs="Calibri"/>
        </w:rPr>
        <w:t xml:space="preserve"> State Activity Mandated Measures (SAMM) Report and includes the FRLs for each measure. </w:t>
      </w:r>
    </w:p>
    <w:p w14:paraId="44A3AB01" w14:textId="77777777" w:rsidR="002966F6" w:rsidRDefault="002966F6" w:rsidP="00783189">
      <w:pPr>
        <w:widowControl/>
        <w:autoSpaceDE/>
        <w:adjustRightInd/>
        <w:rPr>
          <w:rFonts w:cs="Calibri"/>
        </w:rPr>
      </w:pPr>
    </w:p>
    <w:p w14:paraId="5A75964B" w14:textId="77777777" w:rsidR="00370AD1" w:rsidRDefault="00370AD1" w:rsidP="00783189">
      <w:pPr>
        <w:widowControl/>
        <w:autoSpaceDE/>
        <w:adjustRightInd/>
        <w:rPr>
          <w:rFonts w:cs="Calibri"/>
        </w:rPr>
      </w:pPr>
    </w:p>
    <w:p w14:paraId="55958283" w14:textId="77777777" w:rsidR="00370AD1" w:rsidRDefault="00370AD1" w:rsidP="00783189">
      <w:pPr>
        <w:widowControl/>
        <w:autoSpaceDE/>
        <w:adjustRightInd/>
        <w:rPr>
          <w:rFonts w:cs="Calibri"/>
        </w:rPr>
      </w:pPr>
    </w:p>
    <w:p w14:paraId="7A2E6256" w14:textId="77777777" w:rsidR="00370AD1" w:rsidRDefault="00370AD1" w:rsidP="00783189">
      <w:pPr>
        <w:widowControl/>
        <w:autoSpaceDE/>
        <w:adjustRightInd/>
        <w:rPr>
          <w:rFonts w:cs="Calibri"/>
        </w:rPr>
      </w:pPr>
    </w:p>
    <w:p w14:paraId="23ADE23E" w14:textId="77777777" w:rsidR="00370AD1" w:rsidRDefault="00370AD1" w:rsidP="00783189">
      <w:pPr>
        <w:widowControl/>
        <w:autoSpaceDE/>
        <w:adjustRightInd/>
        <w:rPr>
          <w:rFonts w:cs="Calibri"/>
        </w:rPr>
      </w:pPr>
    </w:p>
    <w:p w14:paraId="75AF2501" w14:textId="36FA8A98" w:rsidR="00EC7600" w:rsidRDefault="00EC7600" w:rsidP="00783189">
      <w:pPr>
        <w:widowControl/>
        <w:autoSpaceDE/>
        <w:adjustRightInd/>
        <w:rPr>
          <w:rFonts w:cs="Calibri"/>
        </w:rPr>
      </w:pPr>
      <w:r w:rsidRPr="001C1E47">
        <w:rPr>
          <w:rFonts w:cs="Calibri"/>
        </w:rPr>
        <w:lastRenderedPageBreak/>
        <w:t>The State Plan was outside the FRL on the following SAMMs:</w:t>
      </w:r>
    </w:p>
    <w:p w14:paraId="7B696A18" w14:textId="77777777" w:rsidR="00DE7D58" w:rsidRDefault="00DE7D58" w:rsidP="00783189">
      <w:pPr>
        <w:widowControl/>
        <w:autoSpaceDE/>
        <w:adjustRightInd/>
        <w:rPr>
          <w:rFonts w:cs="Calibri"/>
        </w:rPr>
      </w:pPr>
    </w:p>
    <w:p w14:paraId="35A28359" w14:textId="034D1B56" w:rsidR="00DE7D58" w:rsidRPr="00E50803" w:rsidRDefault="00DE7D58" w:rsidP="00783189">
      <w:pPr>
        <w:widowControl/>
        <w:autoSpaceDE/>
        <w:adjustRightInd/>
        <w:rPr>
          <w:rFonts w:cs="Calibri"/>
          <w:b/>
          <w:bCs/>
        </w:rPr>
      </w:pPr>
      <w:r w:rsidRPr="00E50803">
        <w:rPr>
          <w:rFonts w:cs="Calibri"/>
          <w:b/>
          <w:bCs/>
        </w:rPr>
        <w:t xml:space="preserve">SAMM </w:t>
      </w:r>
      <w:r w:rsidR="008B291C" w:rsidRPr="00E50803">
        <w:rPr>
          <w:rFonts w:cs="Calibri"/>
          <w:b/>
          <w:bCs/>
        </w:rPr>
        <w:t xml:space="preserve">5a – Average </w:t>
      </w:r>
      <w:r w:rsidR="00827D8F">
        <w:rPr>
          <w:rFonts w:cs="Calibri"/>
          <w:b/>
          <w:bCs/>
        </w:rPr>
        <w:t>N</w:t>
      </w:r>
      <w:r w:rsidR="008B291C" w:rsidRPr="00E50803">
        <w:rPr>
          <w:rFonts w:cs="Calibri"/>
          <w:b/>
          <w:bCs/>
        </w:rPr>
        <w:t xml:space="preserve">umber of </w:t>
      </w:r>
      <w:r w:rsidR="00827D8F">
        <w:rPr>
          <w:rFonts w:cs="Calibri"/>
          <w:b/>
          <w:bCs/>
        </w:rPr>
        <w:t>V</w:t>
      </w:r>
      <w:r w:rsidR="008B291C" w:rsidRPr="00E50803">
        <w:rPr>
          <w:rFonts w:cs="Calibri"/>
          <w:b/>
          <w:bCs/>
        </w:rPr>
        <w:t xml:space="preserve">iolations per </w:t>
      </w:r>
      <w:r w:rsidR="00827D8F">
        <w:rPr>
          <w:rFonts w:cs="Calibri"/>
          <w:b/>
          <w:bCs/>
        </w:rPr>
        <w:t>I</w:t>
      </w:r>
      <w:r w:rsidR="008B291C" w:rsidRPr="00E50803">
        <w:rPr>
          <w:rFonts w:cs="Calibri"/>
          <w:b/>
          <w:bCs/>
        </w:rPr>
        <w:t xml:space="preserve">nspection </w:t>
      </w:r>
      <w:r w:rsidR="00D21532" w:rsidRPr="00E50803">
        <w:rPr>
          <w:rFonts w:cs="Calibri"/>
          <w:b/>
          <w:bCs/>
        </w:rPr>
        <w:t>(SWRU)</w:t>
      </w:r>
    </w:p>
    <w:p w14:paraId="597B4C58" w14:textId="77777777" w:rsidR="00D21532" w:rsidRDefault="00D21532" w:rsidP="00783189">
      <w:pPr>
        <w:widowControl/>
        <w:autoSpaceDE/>
        <w:adjustRightInd/>
        <w:rPr>
          <w:rFonts w:cs="Calibri"/>
        </w:rPr>
      </w:pPr>
    </w:p>
    <w:p w14:paraId="4E6EA189" w14:textId="31BF80C4" w:rsidR="00D21532" w:rsidRPr="00D21532" w:rsidRDefault="00D21532" w:rsidP="00783189">
      <w:pPr>
        <w:widowControl/>
        <w:autoSpaceDE/>
        <w:adjustRightInd/>
        <w:rPr>
          <w:rFonts w:cs="Calibri"/>
          <w:u w:val="single"/>
        </w:rPr>
      </w:pPr>
      <w:r w:rsidRPr="00B67CC7">
        <w:rPr>
          <w:rFonts w:cs="Calibri"/>
        </w:rPr>
        <w:t>Discussion of State Plan Data and FRL:</w:t>
      </w:r>
      <w:r w:rsidRPr="00D21532">
        <w:rPr>
          <w:rFonts w:cs="Calibri"/>
        </w:rPr>
        <w:t xml:space="preserve"> </w:t>
      </w:r>
      <w:r w:rsidR="00111316">
        <w:rPr>
          <w:rFonts w:cs="Calibri"/>
        </w:rPr>
        <w:t>The FRL for average number of violations (SWRU) is +/- 20%</w:t>
      </w:r>
      <w:r w:rsidR="004707C6">
        <w:rPr>
          <w:rFonts w:cs="Calibri"/>
        </w:rPr>
        <w:t xml:space="preserve"> of the three-year national average of 1.74</w:t>
      </w:r>
      <w:r w:rsidR="006D3BBD">
        <w:rPr>
          <w:rFonts w:cs="Calibri"/>
        </w:rPr>
        <w:t>, which equals a range of 1.39 to 2.08</w:t>
      </w:r>
      <w:r w:rsidR="004707C6">
        <w:rPr>
          <w:rFonts w:cs="Calibri"/>
        </w:rPr>
        <w:t xml:space="preserve">.  MIOSHA’s </w:t>
      </w:r>
      <w:r w:rsidR="006D3BBD">
        <w:rPr>
          <w:rFonts w:cs="Calibri"/>
        </w:rPr>
        <w:t xml:space="preserve">average number of violations per inspection (SWRU) </w:t>
      </w:r>
      <w:r w:rsidR="00827D8F">
        <w:rPr>
          <w:rFonts w:cs="Calibri"/>
        </w:rPr>
        <w:t>was 1.27</w:t>
      </w:r>
      <w:r w:rsidR="00C466A6">
        <w:rPr>
          <w:rFonts w:cs="Calibri"/>
        </w:rPr>
        <w:t xml:space="preserve">, which is </w:t>
      </w:r>
      <w:r w:rsidR="00F21E22">
        <w:rPr>
          <w:rFonts w:cs="Calibri"/>
        </w:rPr>
        <w:t>fractionally lower than the FRL.</w:t>
      </w:r>
    </w:p>
    <w:p w14:paraId="2FD93B95" w14:textId="77777777" w:rsidR="00D21532" w:rsidRDefault="00D21532" w:rsidP="00783189">
      <w:pPr>
        <w:widowControl/>
        <w:autoSpaceDE/>
        <w:adjustRightInd/>
        <w:rPr>
          <w:rFonts w:cs="Calibri"/>
        </w:rPr>
      </w:pPr>
    </w:p>
    <w:p w14:paraId="235BCF15" w14:textId="74B31CDF" w:rsidR="00D21532" w:rsidRDefault="00D21532" w:rsidP="00783189">
      <w:pPr>
        <w:widowControl/>
        <w:autoSpaceDE/>
        <w:adjustRightInd/>
        <w:rPr>
          <w:rFonts w:cs="Calibri"/>
        </w:rPr>
      </w:pPr>
      <w:r w:rsidRPr="00B67CC7">
        <w:rPr>
          <w:rFonts w:cs="Calibri"/>
        </w:rPr>
        <w:t>Explanation:</w:t>
      </w:r>
      <w:r w:rsidRPr="00D21532">
        <w:rPr>
          <w:rFonts w:cs="Calibri"/>
        </w:rPr>
        <w:t xml:space="preserve">  </w:t>
      </w:r>
      <w:r w:rsidR="00765232">
        <w:rPr>
          <w:rFonts w:cs="Calibri"/>
        </w:rPr>
        <w:t xml:space="preserve"> </w:t>
      </w:r>
      <w:r w:rsidR="00B9337E">
        <w:rPr>
          <w:rFonts w:cs="Calibri"/>
        </w:rPr>
        <w:t>MIOSHA has historically had an average number of violations per inspection (SWRU) slightly lower than the FRL</w:t>
      </w:r>
      <w:r w:rsidR="00085916">
        <w:rPr>
          <w:rFonts w:cs="Calibri"/>
        </w:rPr>
        <w:t xml:space="preserve"> range</w:t>
      </w:r>
      <w:r w:rsidR="00B9337E">
        <w:rPr>
          <w:rFonts w:cs="Calibri"/>
        </w:rPr>
        <w:t xml:space="preserve">.  </w:t>
      </w:r>
      <w:r w:rsidR="00F41514">
        <w:rPr>
          <w:rFonts w:cs="Calibri"/>
        </w:rPr>
        <w:t>This SAMM has been examined on recent comprehensive FAME eval</w:t>
      </w:r>
      <w:r w:rsidR="006E3740">
        <w:rPr>
          <w:rFonts w:cs="Calibri"/>
        </w:rPr>
        <w:t>uations</w:t>
      </w:r>
      <w:r w:rsidR="001F4998">
        <w:rPr>
          <w:rFonts w:cs="Calibri"/>
        </w:rPr>
        <w:t>. Ho</w:t>
      </w:r>
      <w:r w:rsidR="00EF1C97">
        <w:rPr>
          <w:rFonts w:cs="Calibri"/>
        </w:rPr>
        <w:t>wever,</w:t>
      </w:r>
      <w:r w:rsidR="006E3740">
        <w:rPr>
          <w:rFonts w:cs="Calibri"/>
        </w:rPr>
        <w:t xml:space="preserve"> there has not been any </w:t>
      </w:r>
      <w:r w:rsidR="001C60DB">
        <w:rPr>
          <w:rFonts w:cs="Calibri"/>
        </w:rPr>
        <w:t xml:space="preserve">identified </w:t>
      </w:r>
      <w:r w:rsidR="006E3740">
        <w:rPr>
          <w:rFonts w:cs="Calibri"/>
        </w:rPr>
        <w:t xml:space="preserve">deficiency in classification </w:t>
      </w:r>
      <w:r w:rsidR="001C60DB">
        <w:rPr>
          <w:rFonts w:cs="Calibri"/>
        </w:rPr>
        <w:t xml:space="preserve">during file reviews </w:t>
      </w:r>
      <w:r w:rsidR="00596C57">
        <w:rPr>
          <w:rFonts w:cs="Calibri"/>
        </w:rPr>
        <w:t>that would support an observation or finding in this area.</w:t>
      </w:r>
      <w:r w:rsidR="00EF1C97">
        <w:rPr>
          <w:rFonts w:cs="Calibri"/>
        </w:rPr>
        <w:t xml:space="preserve">  This SAMM is also a metric that </w:t>
      </w:r>
      <w:r w:rsidR="00CD7277">
        <w:rPr>
          <w:rFonts w:cs="Calibri"/>
        </w:rPr>
        <w:t>has been</w:t>
      </w:r>
      <w:r w:rsidR="00EF1C97">
        <w:rPr>
          <w:rFonts w:cs="Calibri"/>
        </w:rPr>
        <w:t xml:space="preserve"> evaluated internally by the State Plan</w:t>
      </w:r>
      <w:r w:rsidR="00074A98">
        <w:rPr>
          <w:rFonts w:cs="Calibri"/>
        </w:rPr>
        <w:t xml:space="preserve"> to ensure that violations are properly classified in accordance with its Field Operations Manual (FOM).</w:t>
      </w:r>
    </w:p>
    <w:p w14:paraId="5369743D" w14:textId="77777777" w:rsidR="002C35B5" w:rsidRDefault="002C35B5" w:rsidP="00783189">
      <w:pPr>
        <w:widowControl/>
        <w:autoSpaceDE/>
        <w:adjustRightInd/>
        <w:rPr>
          <w:rFonts w:cs="Calibri"/>
        </w:rPr>
      </w:pPr>
    </w:p>
    <w:p w14:paraId="646F8A7C" w14:textId="12C584E0" w:rsidR="002C35B5" w:rsidRPr="00E50803" w:rsidRDefault="002C35B5" w:rsidP="002C35B5">
      <w:pPr>
        <w:widowControl/>
        <w:autoSpaceDE/>
        <w:adjustRightInd/>
        <w:rPr>
          <w:rFonts w:cs="Calibri"/>
          <w:b/>
          <w:bCs/>
        </w:rPr>
      </w:pPr>
      <w:r w:rsidRPr="00E50803">
        <w:rPr>
          <w:rFonts w:cs="Calibri"/>
          <w:b/>
          <w:bCs/>
        </w:rPr>
        <w:t>SAMM 5</w:t>
      </w:r>
      <w:r>
        <w:rPr>
          <w:rFonts w:cs="Calibri"/>
          <w:b/>
          <w:bCs/>
        </w:rPr>
        <w:t>b</w:t>
      </w:r>
      <w:r w:rsidRPr="00E50803">
        <w:rPr>
          <w:rFonts w:cs="Calibri"/>
          <w:b/>
          <w:bCs/>
        </w:rPr>
        <w:t xml:space="preserve"> – Average </w:t>
      </w:r>
      <w:r>
        <w:rPr>
          <w:rFonts w:cs="Calibri"/>
          <w:b/>
          <w:bCs/>
        </w:rPr>
        <w:t>N</w:t>
      </w:r>
      <w:r w:rsidRPr="00E50803">
        <w:rPr>
          <w:rFonts w:cs="Calibri"/>
          <w:b/>
          <w:bCs/>
        </w:rPr>
        <w:t xml:space="preserve">umber of </w:t>
      </w:r>
      <w:r>
        <w:rPr>
          <w:rFonts w:cs="Calibri"/>
          <w:b/>
          <w:bCs/>
        </w:rPr>
        <w:t>V</w:t>
      </w:r>
      <w:r w:rsidRPr="00E50803">
        <w:rPr>
          <w:rFonts w:cs="Calibri"/>
          <w:b/>
          <w:bCs/>
        </w:rPr>
        <w:t xml:space="preserve">iolations per </w:t>
      </w:r>
      <w:r>
        <w:rPr>
          <w:rFonts w:cs="Calibri"/>
          <w:b/>
          <w:bCs/>
        </w:rPr>
        <w:t>I</w:t>
      </w:r>
      <w:r w:rsidRPr="00E50803">
        <w:rPr>
          <w:rFonts w:cs="Calibri"/>
          <w:b/>
          <w:bCs/>
        </w:rPr>
        <w:t>nspection (</w:t>
      </w:r>
      <w:r>
        <w:rPr>
          <w:rFonts w:cs="Calibri"/>
          <w:b/>
          <w:bCs/>
        </w:rPr>
        <w:t>Other</w:t>
      </w:r>
      <w:r w:rsidRPr="00E50803">
        <w:rPr>
          <w:rFonts w:cs="Calibri"/>
          <w:b/>
          <w:bCs/>
        </w:rPr>
        <w:t>)</w:t>
      </w:r>
    </w:p>
    <w:p w14:paraId="2620A8DD" w14:textId="77777777" w:rsidR="002C35B5" w:rsidRDefault="002C35B5" w:rsidP="002C35B5">
      <w:pPr>
        <w:widowControl/>
        <w:autoSpaceDE/>
        <w:adjustRightInd/>
        <w:rPr>
          <w:rFonts w:cs="Calibri"/>
        </w:rPr>
      </w:pPr>
    </w:p>
    <w:p w14:paraId="4DFAFCC0" w14:textId="619BFD38" w:rsidR="002C35B5" w:rsidRPr="00D21532" w:rsidRDefault="002C35B5" w:rsidP="002C35B5">
      <w:pPr>
        <w:widowControl/>
        <w:autoSpaceDE/>
        <w:adjustRightInd/>
        <w:rPr>
          <w:rFonts w:cs="Calibri"/>
          <w:u w:val="single"/>
        </w:rPr>
      </w:pPr>
      <w:r w:rsidRPr="00B67CC7">
        <w:rPr>
          <w:rFonts w:cs="Calibri"/>
        </w:rPr>
        <w:t>Discussion of State Plan Data and FRL:</w:t>
      </w:r>
      <w:r w:rsidRPr="00D21532">
        <w:rPr>
          <w:rFonts w:cs="Calibri"/>
        </w:rPr>
        <w:t xml:space="preserve"> </w:t>
      </w:r>
      <w:r>
        <w:rPr>
          <w:rFonts w:cs="Calibri"/>
        </w:rPr>
        <w:t xml:space="preserve">The FRL for average number of violations (other) is +/- 20% of the three-year national average of </w:t>
      </w:r>
      <w:r w:rsidR="00612936">
        <w:rPr>
          <w:rFonts w:cs="Calibri"/>
        </w:rPr>
        <w:t>0.94</w:t>
      </w:r>
      <w:r>
        <w:rPr>
          <w:rFonts w:cs="Calibri"/>
        </w:rPr>
        <w:t xml:space="preserve">, which equals a range of </w:t>
      </w:r>
      <w:r w:rsidR="00BB5999">
        <w:rPr>
          <w:rFonts w:cs="Calibri"/>
        </w:rPr>
        <w:t>0.75</w:t>
      </w:r>
      <w:r>
        <w:rPr>
          <w:rFonts w:cs="Calibri"/>
        </w:rPr>
        <w:t xml:space="preserve"> to </w:t>
      </w:r>
      <w:r w:rsidR="00BB5999">
        <w:rPr>
          <w:rFonts w:cs="Calibri"/>
        </w:rPr>
        <w:t>1.12</w:t>
      </w:r>
      <w:r>
        <w:rPr>
          <w:rFonts w:cs="Calibri"/>
        </w:rPr>
        <w:t>.  MIOSHA’s average number of violations per inspection (other) was 1.2</w:t>
      </w:r>
      <w:r w:rsidR="00BB5999">
        <w:rPr>
          <w:rFonts w:cs="Calibri"/>
        </w:rPr>
        <w:t>8</w:t>
      </w:r>
      <w:r>
        <w:rPr>
          <w:rFonts w:cs="Calibri"/>
        </w:rPr>
        <w:t xml:space="preserve">, which is fractionally </w:t>
      </w:r>
      <w:r w:rsidR="00F07F80">
        <w:rPr>
          <w:rFonts w:cs="Calibri"/>
        </w:rPr>
        <w:t>high</w:t>
      </w:r>
      <w:r>
        <w:rPr>
          <w:rFonts w:cs="Calibri"/>
        </w:rPr>
        <w:t>er than the FRL.</w:t>
      </w:r>
    </w:p>
    <w:p w14:paraId="30BF431E" w14:textId="77777777" w:rsidR="002C35B5" w:rsidRDefault="002C35B5" w:rsidP="002C35B5">
      <w:pPr>
        <w:widowControl/>
        <w:autoSpaceDE/>
        <w:adjustRightInd/>
        <w:rPr>
          <w:rFonts w:cs="Calibri"/>
        </w:rPr>
      </w:pPr>
    </w:p>
    <w:p w14:paraId="347EA8EC" w14:textId="62FF99E9" w:rsidR="002C35B5" w:rsidRPr="00D21532" w:rsidRDefault="002C35B5" w:rsidP="002C35B5">
      <w:pPr>
        <w:widowControl/>
        <w:autoSpaceDE/>
        <w:adjustRightInd/>
        <w:rPr>
          <w:rFonts w:cs="Calibri"/>
          <w:u w:val="single"/>
        </w:rPr>
      </w:pPr>
      <w:r w:rsidRPr="00B67CC7">
        <w:rPr>
          <w:rFonts w:cs="Calibri"/>
        </w:rPr>
        <w:t>Explanation:</w:t>
      </w:r>
      <w:r w:rsidRPr="00D21532">
        <w:rPr>
          <w:rFonts w:cs="Calibri"/>
        </w:rPr>
        <w:t xml:space="preserve">  </w:t>
      </w:r>
      <w:r>
        <w:rPr>
          <w:rFonts w:cs="Calibri"/>
        </w:rPr>
        <w:t xml:space="preserve"> </w:t>
      </w:r>
      <w:r w:rsidR="00BB5999">
        <w:rPr>
          <w:rFonts w:cs="Calibri"/>
        </w:rPr>
        <w:t xml:space="preserve">In contrast to SAMM 5a, </w:t>
      </w:r>
      <w:r>
        <w:rPr>
          <w:rFonts w:cs="Calibri"/>
        </w:rPr>
        <w:t xml:space="preserve">MIOSHA has historically had an average number of violations per inspection </w:t>
      </w:r>
      <w:r w:rsidR="00BB5999">
        <w:rPr>
          <w:rFonts w:cs="Calibri"/>
        </w:rPr>
        <w:t>(other</w:t>
      </w:r>
      <w:r>
        <w:rPr>
          <w:rFonts w:cs="Calibri"/>
        </w:rPr>
        <w:t xml:space="preserve">) slightly </w:t>
      </w:r>
      <w:r w:rsidR="00BB5999">
        <w:rPr>
          <w:rFonts w:cs="Calibri"/>
        </w:rPr>
        <w:t>high</w:t>
      </w:r>
      <w:r>
        <w:rPr>
          <w:rFonts w:cs="Calibri"/>
        </w:rPr>
        <w:t>er than the FRL</w:t>
      </w:r>
      <w:r w:rsidR="000C333F">
        <w:rPr>
          <w:rFonts w:cs="Calibri"/>
        </w:rPr>
        <w:t xml:space="preserve"> range</w:t>
      </w:r>
      <w:r>
        <w:rPr>
          <w:rFonts w:cs="Calibri"/>
        </w:rPr>
        <w:t>.  This SAMM has been examined on recent comprehensive FAME evaluations</w:t>
      </w:r>
      <w:r w:rsidR="001F4998">
        <w:rPr>
          <w:rFonts w:cs="Calibri"/>
        </w:rPr>
        <w:t>.  H</w:t>
      </w:r>
      <w:r>
        <w:rPr>
          <w:rFonts w:cs="Calibri"/>
        </w:rPr>
        <w:t xml:space="preserve">owever, </w:t>
      </w:r>
      <w:r w:rsidR="007C69AA">
        <w:rPr>
          <w:rFonts w:cs="Calibri"/>
        </w:rPr>
        <w:t>there has not been any identified deficiency in classification during file reviews that would support an observation or finding in this area</w:t>
      </w:r>
      <w:r>
        <w:rPr>
          <w:rFonts w:cs="Calibri"/>
        </w:rPr>
        <w:t xml:space="preserve">.  This SAMM is also a metric that </w:t>
      </w:r>
      <w:r w:rsidR="00CD7277">
        <w:rPr>
          <w:rFonts w:cs="Calibri"/>
        </w:rPr>
        <w:t>has been</w:t>
      </w:r>
      <w:r>
        <w:rPr>
          <w:rFonts w:cs="Calibri"/>
        </w:rPr>
        <w:t xml:space="preserve"> evaluated internally by the State Plan to ensure that violations are properly classified in accordance with its Field Operations Manual (FOM).</w:t>
      </w:r>
    </w:p>
    <w:p w14:paraId="22A8B83B" w14:textId="77777777" w:rsidR="00085916" w:rsidRDefault="00085916" w:rsidP="00783189">
      <w:pPr>
        <w:widowControl/>
        <w:autoSpaceDE/>
        <w:adjustRightInd/>
        <w:rPr>
          <w:rFonts w:cs="Calibri"/>
          <w:u w:val="single"/>
        </w:rPr>
      </w:pPr>
    </w:p>
    <w:p w14:paraId="36E2C75F" w14:textId="77777777" w:rsidR="00085916" w:rsidRPr="00D21532" w:rsidRDefault="00085916" w:rsidP="00783189">
      <w:pPr>
        <w:widowControl/>
        <w:autoSpaceDE/>
        <w:adjustRightInd/>
        <w:rPr>
          <w:rFonts w:cs="Calibri"/>
          <w:u w:val="single"/>
        </w:rPr>
      </w:pPr>
    </w:p>
    <w:p w14:paraId="76FE8EA7" w14:textId="746BE362" w:rsidR="00DD0D28" w:rsidRPr="00E50803" w:rsidRDefault="00DD0D28" w:rsidP="00DD0D28">
      <w:pPr>
        <w:widowControl/>
        <w:autoSpaceDE/>
        <w:adjustRightInd/>
        <w:rPr>
          <w:rFonts w:cs="Calibri"/>
          <w:b/>
          <w:bCs/>
        </w:rPr>
      </w:pPr>
      <w:r w:rsidRPr="00E50803">
        <w:rPr>
          <w:rFonts w:cs="Calibri"/>
          <w:b/>
          <w:bCs/>
        </w:rPr>
        <w:t xml:space="preserve">SAMM </w:t>
      </w:r>
      <w:r w:rsidR="00A52686">
        <w:rPr>
          <w:rFonts w:cs="Calibri"/>
          <w:b/>
          <w:bCs/>
        </w:rPr>
        <w:t>7</w:t>
      </w:r>
      <w:r w:rsidRPr="00E50803">
        <w:rPr>
          <w:rFonts w:cs="Calibri"/>
          <w:b/>
          <w:bCs/>
        </w:rPr>
        <w:t xml:space="preserve">a – </w:t>
      </w:r>
      <w:r w:rsidR="00A52686">
        <w:rPr>
          <w:rFonts w:cs="Calibri"/>
          <w:b/>
          <w:bCs/>
        </w:rPr>
        <w:t>Planned v. Actual Inspections (Safety)</w:t>
      </w:r>
    </w:p>
    <w:p w14:paraId="1EB38618" w14:textId="77777777" w:rsidR="00DD0D28" w:rsidRDefault="00DD0D28" w:rsidP="00DD0D28">
      <w:pPr>
        <w:widowControl/>
        <w:autoSpaceDE/>
        <w:adjustRightInd/>
        <w:rPr>
          <w:rFonts w:cs="Calibri"/>
        </w:rPr>
      </w:pPr>
    </w:p>
    <w:p w14:paraId="682C1012" w14:textId="65399FA5" w:rsidR="00DD0D28" w:rsidRPr="00D21532" w:rsidRDefault="00DD0D28" w:rsidP="00DD0D28">
      <w:pPr>
        <w:widowControl/>
        <w:autoSpaceDE/>
        <w:adjustRightInd/>
        <w:rPr>
          <w:rFonts w:cs="Calibri"/>
          <w:u w:val="single"/>
        </w:rPr>
      </w:pPr>
      <w:r w:rsidRPr="00B67CC7">
        <w:rPr>
          <w:rFonts w:cs="Calibri"/>
        </w:rPr>
        <w:t>Discussion of State Plan Data and FRL:</w:t>
      </w:r>
      <w:r w:rsidRPr="00D21532">
        <w:rPr>
          <w:rFonts w:cs="Calibri"/>
        </w:rPr>
        <w:t xml:space="preserve"> </w:t>
      </w:r>
      <w:r>
        <w:rPr>
          <w:rFonts w:cs="Calibri"/>
        </w:rPr>
        <w:t xml:space="preserve">The FRL for </w:t>
      </w:r>
      <w:r w:rsidR="00506D42">
        <w:rPr>
          <w:rFonts w:cs="Calibri"/>
        </w:rPr>
        <w:t>planned v. actual inspections (safety)</w:t>
      </w:r>
      <w:r>
        <w:rPr>
          <w:rFonts w:cs="Calibri"/>
        </w:rPr>
        <w:t xml:space="preserve"> is +/- </w:t>
      </w:r>
      <w:r w:rsidR="008A3832">
        <w:rPr>
          <w:rFonts w:cs="Calibri"/>
        </w:rPr>
        <w:t>5</w:t>
      </w:r>
      <w:r>
        <w:rPr>
          <w:rFonts w:cs="Calibri"/>
        </w:rPr>
        <w:t xml:space="preserve">% of the </w:t>
      </w:r>
      <w:r w:rsidR="008A3832">
        <w:rPr>
          <w:rFonts w:cs="Calibri"/>
        </w:rPr>
        <w:t xml:space="preserve">negotiated </w:t>
      </w:r>
      <w:r w:rsidR="00653C3E">
        <w:rPr>
          <w:rFonts w:cs="Calibri"/>
        </w:rPr>
        <w:t xml:space="preserve">grant </w:t>
      </w:r>
      <w:r w:rsidR="008A3832">
        <w:rPr>
          <w:rFonts w:cs="Calibri"/>
        </w:rPr>
        <w:t>value of 2,</w:t>
      </w:r>
      <w:r w:rsidR="00653C3E">
        <w:rPr>
          <w:rFonts w:cs="Calibri"/>
        </w:rPr>
        <w:t>986</w:t>
      </w:r>
      <w:r>
        <w:rPr>
          <w:rFonts w:cs="Calibri"/>
        </w:rPr>
        <w:t xml:space="preserve">, which equals a range of </w:t>
      </w:r>
      <w:r w:rsidR="008A3832">
        <w:rPr>
          <w:rFonts w:cs="Calibri"/>
        </w:rPr>
        <w:t>2,837</w:t>
      </w:r>
      <w:r>
        <w:rPr>
          <w:rFonts w:cs="Calibri"/>
        </w:rPr>
        <w:t xml:space="preserve"> to </w:t>
      </w:r>
      <w:r w:rsidR="008A3832">
        <w:rPr>
          <w:rFonts w:cs="Calibri"/>
        </w:rPr>
        <w:t>3,135</w:t>
      </w:r>
      <w:r>
        <w:rPr>
          <w:rFonts w:cs="Calibri"/>
        </w:rPr>
        <w:t xml:space="preserve">.  </w:t>
      </w:r>
      <w:r w:rsidR="002704E8">
        <w:rPr>
          <w:rFonts w:cs="Calibri"/>
        </w:rPr>
        <w:t xml:space="preserve">The actual number of safety inspections conducted by MIOSHA </w:t>
      </w:r>
      <w:r>
        <w:rPr>
          <w:rFonts w:cs="Calibri"/>
        </w:rPr>
        <w:t xml:space="preserve">was </w:t>
      </w:r>
      <w:r w:rsidR="000807E2">
        <w:rPr>
          <w:rFonts w:cs="Calibri"/>
        </w:rPr>
        <w:t>2,663</w:t>
      </w:r>
      <w:r>
        <w:rPr>
          <w:rFonts w:cs="Calibri"/>
        </w:rPr>
        <w:t xml:space="preserve">, which </w:t>
      </w:r>
      <w:r w:rsidR="000807E2">
        <w:rPr>
          <w:rFonts w:cs="Calibri"/>
        </w:rPr>
        <w:t>was below the</w:t>
      </w:r>
      <w:r>
        <w:rPr>
          <w:rFonts w:cs="Calibri"/>
        </w:rPr>
        <w:t xml:space="preserve"> FRL</w:t>
      </w:r>
      <w:r w:rsidR="000807E2">
        <w:rPr>
          <w:rFonts w:cs="Calibri"/>
        </w:rPr>
        <w:t xml:space="preserve"> by </w:t>
      </w:r>
      <w:r w:rsidR="00EB2771">
        <w:rPr>
          <w:rFonts w:cs="Calibri"/>
        </w:rPr>
        <w:t>323</w:t>
      </w:r>
      <w:r>
        <w:rPr>
          <w:rFonts w:cs="Calibri"/>
        </w:rPr>
        <w:t>.</w:t>
      </w:r>
    </w:p>
    <w:p w14:paraId="7D717C12" w14:textId="77777777" w:rsidR="00DD0D28" w:rsidRDefault="00DD0D28" w:rsidP="00DD0D28">
      <w:pPr>
        <w:widowControl/>
        <w:autoSpaceDE/>
        <w:adjustRightInd/>
        <w:rPr>
          <w:rFonts w:cs="Calibri"/>
        </w:rPr>
      </w:pPr>
    </w:p>
    <w:p w14:paraId="05B1B036" w14:textId="38342F4D" w:rsidR="00DD0D28" w:rsidRDefault="00DD0D28" w:rsidP="00DD0D28">
      <w:pPr>
        <w:widowControl/>
        <w:autoSpaceDE/>
        <w:adjustRightInd/>
        <w:rPr>
          <w:rFonts w:cs="Calibri"/>
        </w:rPr>
      </w:pPr>
      <w:r w:rsidRPr="00B67CC7">
        <w:rPr>
          <w:rFonts w:cs="Calibri"/>
        </w:rPr>
        <w:t>Explanation:</w:t>
      </w:r>
      <w:r w:rsidRPr="00D21532">
        <w:rPr>
          <w:rFonts w:cs="Calibri"/>
        </w:rPr>
        <w:t xml:space="preserve"> </w:t>
      </w:r>
      <w:r w:rsidR="00EB2771">
        <w:rPr>
          <w:rFonts w:cs="Calibri"/>
        </w:rPr>
        <w:t xml:space="preserve">MIOSHA experienced </w:t>
      </w:r>
      <w:r w:rsidR="007D78E0">
        <w:rPr>
          <w:rFonts w:cs="Calibri"/>
        </w:rPr>
        <w:t xml:space="preserve">numerous vacant safety specialist </w:t>
      </w:r>
      <w:r w:rsidR="006A0B22">
        <w:rPr>
          <w:rFonts w:cs="Calibri"/>
        </w:rPr>
        <w:t>compliance safety and health officer (</w:t>
      </w:r>
      <w:r w:rsidR="007D78E0">
        <w:rPr>
          <w:rFonts w:cs="Calibri"/>
        </w:rPr>
        <w:t>CSHO</w:t>
      </w:r>
      <w:r w:rsidR="006A0B22">
        <w:rPr>
          <w:rFonts w:cs="Calibri"/>
        </w:rPr>
        <w:t>)</w:t>
      </w:r>
      <w:r w:rsidR="007D78E0">
        <w:rPr>
          <w:rFonts w:cs="Calibri"/>
        </w:rPr>
        <w:t xml:space="preserve"> positions during </w:t>
      </w:r>
      <w:r w:rsidR="00AC6E60">
        <w:rPr>
          <w:rFonts w:cs="Calibri"/>
        </w:rPr>
        <w:t>FY</w:t>
      </w:r>
      <w:r w:rsidR="009C25C1">
        <w:rPr>
          <w:rFonts w:cs="Calibri"/>
        </w:rPr>
        <w:t xml:space="preserve"> 20</w:t>
      </w:r>
      <w:r w:rsidR="00AC6E60">
        <w:rPr>
          <w:rFonts w:cs="Calibri"/>
        </w:rPr>
        <w:t xml:space="preserve">24, particularly in their Construction Division, which had a direct impact on achieving the </w:t>
      </w:r>
      <w:r w:rsidR="00D44776">
        <w:rPr>
          <w:rFonts w:cs="Calibri"/>
        </w:rPr>
        <w:t xml:space="preserve">SAMM 7a </w:t>
      </w:r>
      <w:r w:rsidR="00DA1EE1">
        <w:rPr>
          <w:rFonts w:cs="Calibri"/>
        </w:rPr>
        <w:t>goal</w:t>
      </w:r>
      <w:r w:rsidR="00D44776">
        <w:rPr>
          <w:rFonts w:cs="Calibri"/>
        </w:rPr>
        <w:t xml:space="preserve">.  By the end of the </w:t>
      </w:r>
      <w:r w:rsidR="00F22DE2">
        <w:rPr>
          <w:rFonts w:cs="Calibri"/>
        </w:rPr>
        <w:t>fiscal year</w:t>
      </w:r>
      <w:r w:rsidR="00D44776">
        <w:rPr>
          <w:rFonts w:cs="Calibri"/>
        </w:rPr>
        <w:t>, newly hired and trained CSHO</w:t>
      </w:r>
      <w:r w:rsidR="00F22DE2">
        <w:rPr>
          <w:rFonts w:cs="Calibri"/>
        </w:rPr>
        <w:t>s</w:t>
      </w:r>
      <w:r w:rsidR="00D44776">
        <w:rPr>
          <w:rFonts w:cs="Calibri"/>
        </w:rPr>
        <w:t xml:space="preserve"> were already making an impact to </w:t>
      </w:r>
      <w:r w:rsidR="006F6227">
        <w:rPr>
          <w:rFonts w:cs="Calibri"/>
        </w:rPr>
        <w:t xml:space="preserve">help the State Plan in achieving this goal going forward, so this </w:t>
      </w:r>
      <w:r w:rsidR="002B3DF3">
        <w:rPr>
          <w:rFonts w:cs="Calibri"/>
        </w:rPr>
        <w:t>metric being below the FRL for FY</w:t>
      </w:r>
      <w:r w:rsidR="009C25C1">
        <w:rPr>
          <w:rFonts w:cs="Calibri"/>
        </w:rPr>
        <w:t xml:space="preserve"> 20</w:t>
      </w:r>
      <w:r w:rsidR="002B3DF3">
        <w:rPr>
          <w:rFonts w:cs="Calibri"/>
        </w:rPr>
        <w:t xml:space="preserve">24 </w:t>
      </w:r>
      <w:r w:rsidR="006F6227">
        <w:rPr>
          <w:rFonts w:cs="Calibri"/>
        </w:rPr>
        <w:t>should be seen as transitory</w:t>
      </w:r>
      <w:r w:rsidR="00F22DE2">
        <w:rPr>
          <w:rFonts w:cs="Calibri"/>
        </w:rPr>
        <w:t xml:space="preserve"> in nature.</w:t>
      </w:r>
    </w:p>
    <w:p w14:paraId="4076B4AD" w14:textId="77777777" w:rsidR="00D10C25" w:rsidRDefault="00D10C25" w:rsidP="00DD0D28">
      <w:pPr>
        <w:widowControl/>
        <w:autoSpaceDE/>
        <w:adjustRightInd/>
        <w:rPr>
          <w:rFonts w:cs="Calibri"/>
        </w:rPr>
      </w:pPr>
    </w:p>
    <w:p w14:paraId="63F86113" w14:textId="6F9CBD9A" w:rsidR="00D10C25" w:rsidRDefault="00D10C25" w:rsidP="00DD0D28">
      <w:pPr>
        <w:widowControl/>
        <w:autoSpaceDE/>
        <w:adjustRightInd/>
        <w:rPr>
          <w:rFonts w:cs="Calibri"/>
        </w:rPr>
      </w:pPr>
      <w:r w:rsidRPr="00D10C25">
        <w:rPr>
          <w:rFonts w:cs="Calibri"/>
        </w:rPr>
        <w:t xml:space="preserve">OSHA also recognizes the potential impact caused by the reduction of the federal FY 2024 State Plan 23(g) grant funding during the last quarter of the fiscal year. In addition, at the start of FY 2025, OSHA implemented a new set of SAMMs using a FRL of -20% of the negotiated number for safety inspections. Even though these SAMMs were not in effect for FY 2024, it is notable that MIOSHA’s 2,663 safety inspections would have been above the FRL of 2,389 under this new set of measures. For these reasons, OSHA will not make this issue a finding and OSHA will continue to monitor during quarterly meetings.  </w:t>
      </w:r>
    </w:p>
    <w:p w14:paraId="45D91035" w14:textId="77777777" w:rsidR="00F1637F" w:rsidRDefault="00F1637F" w:rsidP="00DD0D28">
      <w:pPr>
        <w:widowControl/>
        <w:autoSpaceDE/>
        <w:adjustRightInd/>
        <w:rPr>
          <w:rFonts w:cs="Calibri"/>
        </w:rPr>
      </w:pPr>
    </w:p>
    <w:p w14:paraId="7284F235" w14:textId="19B36408" w:rsidR="00F1637F" w:rsidRDefault="00D10C25" w:rsidP="00F1637F">
      <w:pPr>
        <w:widowControl/>
        <w:autoSpaceDE/>
        <w:adjustRightInd/>
        <w:rPr>
          <w:rFonts w:cs="Calibri"/>
          <w:b/>
          <w:bCs/>
        </w:rPr>
      </w:pPr>
      <w:r w:rsidRPr="00D10C25">
        <w:rPr>
          <w:rFonts w:cs="Calibri"/>
          <w:b/>
          <w:bCs/>
        </w:rPr>
        <w:t>SAMMs 8 and 8a-8d - Average current serious penalty in private sector – total (1 to greater than 250 workers): average current serious penalty in private sector (1-25 workers); average current serious penalty in private sector (26-100 workers); average current serious penalty in private sector (101-250 workers); average current serious penalty in private sector (greater than 250 workers)</w:t>
      </w:r>
    </w:p>
    <w:p w14:paraId="11EDEA86" w14:textId="77777777" w:rsidR="00E33C6D" w:rsidRDefault="00E33C6D" w:rsidP="00F1637F">
      <w:pPr>
        <w:widowControl/>
        <w:autoSpaceDE/>
        <w:adjustRightInd/>
        <w:rPr>
          <w:rFonts w:cs="Calibri"/>
        </w:rPr>
      </w:pPr>
    </w:p>
    <w:p w14:paraId="3097DFF1" w14:textId="29C55DD1" w:rsidR="00D10C25" w:rsidRPr="00D10C25" w:rsidRDefault="00D10C25" w:rsidP="00D10C25">
      <w:pPr>
        <w:widowControl/>
        <w:autoSpaceDE/>
        <w:adjustRightInd/>
        <w:rPr>
          <w:rFonts w:cs="Calibri"/>
        </w:rPr>
      </w:pPr>
      <w:r w:rsidRPr="00D10C25">
        <w:rPr>
          <w:rFonts w:cs="Calibri"/>
        </w:rPr>
        <w:t xml:space="preserve">Discussion of State Plan Data and FRL:  SAMM 8 is divided into categories based on the number of workers controlled by the employer, ex. 1-25, 26-100, 101-250, and greater than 250.  The FRLs for average current penalties are based on three-year national averages for each category.  The </w:t>
      </w:r>
      <w:r>
        <w:rPr>
          <w:rFonts w:cs="Calibri"/>
        </w:rPr>
        <w:t>Michigan</w:t>
      </w:r>
      <w:r w:rsidRPr="00D10C25">
        <w:rPr>
          <w:rFonts w:cs="Calibri"/>
        </w:rPr>
        <w:t xml:space="preserve"> State Plan fell below the FRL range in every category.  The FRL for all numbers of workers is +/-25% of the three-year national average of $3,793.81, which equals a range of $2,845.36 to $4,742.27.  </w:t>
      </w:r>
      <w:r>
        <w:rPr>
          <w:rFonts w:cs="Calibri"/>
        </w:rPr>
        <w:t>M</w:t>
      </w:r>
      <w:r w:rsidRPr="00D10C25">
        <w:rPr>
          <w:rFonts w:cs="Calibri"/>
        </w:rPr>
        <w:t>IOSHA’s average penalty was $1,</w:t>
      </w:r>
      <w:r w:rsidR="00E33C6D">
        <w:rPr>
          <w:rFonts w:cs="Calibri"/>
        </w:rPr>
        <w:t>348.95</w:t>
      </w:r>
      <w:r w:rsidRPr="00D10C25">
        <w:rPr>
          <w:rFonts w:cs="Calibri"/>
        </w:rPr>
        <w:t xml:space="preserve">, well below the FRL. </w:t>
      </w:r>
    </w:p>
    <w:p w14:paraId="4D76F080" w14:textId="77777777" w:rsidR="00D10C25" w:rsidRPr="00D10C25" w:rsidRDefault="00D10C25" w:rsidP="00D10C25">
      <w:pPr>
        <w:widowControl/>
        <w:autoSpaceDE/>
        <w:adjustRightInd/>
        <w:rPr>
          <w:rFonts w:cs="Calibri"/>
        </w:rPr>
      </w:pPr>
    </w:p>
    <w:p w14:paraId="6D0223D7" w14:textId="33617A73" w:rsidR="00D10C25" w:rsidRDefault="00D10C25" w:rsidP="00D10C25">
      <w:pPr>
        <w:widowControl/>
        <w:autoSpaceDE/>
        <w:adjustRightInd/>
        <w:rPr>
          <w:rFonts w:cs="Calibri"/>
        </w:rPr>
      </w:pPr>
      <w:r w:rsidRPr="00D10C25">
        <w:rPr>
          <w:rFonts w:cs="Calibri"/>
        </w:rPr>
        <w:t xml:space="preserve">Explanation:  The </w:t>
      </w:r>
      <w:r>
        <w:rPr>
          <w:rFonts w:cs="Calibri"/>
        </w:rPr>
        <w:t>Michigan</w:t>
      </w:r>
      <w:r w:rsidRPr="00D10C25">
        <w:rPr>
          <w:rFonts w:cs="Calibri"/>
        </w:rPr>
        <w:t xml:space="preserve"> State Plan’s low average current penalties when compared to the national average, for all numbers of workers can be attributed to IOSHA not adopting OSHA’s penalty increase in 2016 and subsequent increases for inflation.  Finding FY 2024-01 addresses this (previously Finding FY 2023-01) in Section III.B above.</w:t>
      </w:r>
    </w:p>
    <w:p w14:paraId="0AE6CB97" w14:textId="77777777" w:rsidR="00D10C25" w:rsidRDefault="00D10C25" w:rsidP="00F1637F">
      <w:pPr>
        <w:widowControl/>
        <w:autoSpaceDE/>
        <w:adjustRightInd/>
        <w:rPr>
          <w:rFonts w:cs="Calibri"/>
        </w:rPr>
      </w:pPr>
    </w:p>
    <w:p w14:paraId="31BBFF90" w14:textId="77777777" w:rsidR="00F07349" w:rsidRDefault="00F07349" w:rsidP="00783189">
      <w:pPr>
        <w:widowControl/>
        <w:autoSpaceDE/>
        <w:adjustRightInd/>
        <w:rPr>
          <w:rFonts w:cs="Calibri"/>
          <w:b/>
          <w:u w:val="single"/>
        </w:rPr>
      </w:pPr>
    </w:p>
    <w:p w14:paraId="1BADA15C" w14:textId="72C1EB00" w:rsidR="00585241" w:rsidRPr="00E50803" w:rsidRDefault="00585241" w:rsidP="00585241">
      <w:pPr>
        <w:widowControl/>
        <w:autoSpaceDE/>
        <w:adjustRightInd/>
        <w:rPr>
          <w:rFonts w:cs="Calibri"/>
          <w:b/>
          <w:bCs/>
        </w:rPr>
      </w:pPr>
      <w:r w:rsidRPr="00E50803">
        <w:rPr>
          <w:rFonts w:cs="Calibri"/>
          <w:b/>
          <w:bCs/>
        </w:rPr>
        <w:t xml:space="preserve">SAMM </w:t>
      </w:r>
      <w:r>
        <w:rPr>
          <w:rFonts w:cs="Calibri"/>
          <w:b/>
          <w:bCs/>
        </w:rPr>
        <w:t>9a</w:t>
      </w:r>
      <w:r w:rsidRPr="00E50803">
        <w:rPr>
          <w:rFonts w:cs="Calibri"/>
          <w:b/>
          <w:bCs/>
        </w:rPr>
        <w:t xml:space="preserve"> – </w:t>
      </w:r>
      <w:r>
        <w:rPr>
          <w:rFonts w:cs="Calibri"/>
          <w:b/>
          <w:bCs/>
        </w:rPr>
        <w:t>Percent In-Compliance (Safety)</w:t>
      </w:r>
    </w:p>
    <w:p w14:paraId="6F14000A" w14:textId="77777777" w:rsidR="00585241" w:rsidRDefault="00585241" w:rsidP="00585241">
      <w:pPr>
        <w:widowControl/>
        <w:autoSpaceDE/>
        <w:adjustRightInd/>
        <w:rPr>
          <w:rFonts w:cs="Calibri"/>
        </w:rPr>
      </w:pPr>
    </w:p>
    <w:p w14:paraId="6D52739F" w14:textId="5769E04F" w:rsidR="00585241" w:rsidRPr="00D21532" w:rsidRDefault="00585241" w:rsidP="00585241">
      <w:pPr>
        <w:widowControl/>
        <w:autoSpaceDE/>
        <w:adjustRightInd/>
        <w:rPr>
          <w:rFonts w:cs="Calibri"/>
          <w:u w:val="single"/>
        </w:rPr>
      </w:pPr>
      <w:r w:rsidRPr="00B67CC7">
        <w:rPr>
          <w:rFonts w:cs="Calibri"/>
        </w:rPr>
        <w:t>Discussion of State Plan Data and FRL:</w:t>
      </w:r>
      <w:r w:rsidRPr="00D21532">
        <w:rPr>
          <w:rFonts w:cs="Calibri"/>
        </w:rPr>
        <w:t xml:space="preserve"> </w:t>
      </w:r>
      <w:r>
        <w:rPr>
          <w:rFonts w:cs="Calibri"/>
        </w:rPr>
        <w:t xml:space="preserve">The FRL for </w:t>
      </w:r>
      <w:r w:rsidR="0051160E">
        <w:rPr>
          <w:rFonts w:cs="Calibri"/>
        </w:rPr>
        <w:t>percent in-compliance (safety)</w:t>
      </w:r>
      <w:r>
        <w:rPr>
          <w:rFonts w:cs="Calibri"/>
        </w:rPr>
        <w:t xml:space="preserve"> is +/- 2</w:t>
      </w:r>
      <w:r w:rsidR="00C014DD">
        <w:rPr>
          <w:rFonts w:cs="Calibri"/>
        </w:rPr>
        <w:t>0</w:t>
      </w:r>
      <w:r>
        <w:rPr>
          <w:rFonts w:cs="Calibri"/>
        </w:rPr>
        <w:t xml:space="preserve">% of the three-year national average of </w:t>
      </w:r>
      <w:r w:rsidR="00C014DD">
        <w:rPr>
          <w:rFonts w:cs="Calibri"/>
        </w:rPr>
        <w:t>32.83%</w:t>
      </w:r>
      <w:r>
        <w:rPr>
          <w:rFonts w:cs="Calibri"/>
        </w:rPr>
        <w:t xml:space="preserve">, which equals a range of </w:t>
      </w:r>
      <w:r w:rsidR="0051160E">
        <w:rPr>
          <w:rFonts w:cs="Calibri"/>
        </w:rPr>
        <w:t>26.27 to 39.40%</w:t>
      </w:r>
      <w:r>
        <w:rPr>
          <w:rFonts w:cs="Calibri"/>
        </w:rPr>
        <w:t xml:space="preserve">.  MIOSHA’s </w:t>
      </w:r>
      <w:r w:rsidR="00766643">
        <w:rPr>
          <w:rFonts w:cs="Calibri"/>
        </w:rPr>
        <w:t>percent in-compliance for safety inspections</w:t>
      </w:r>
      <w:r>
        <w:rPr>
          <w:rFonts w:cs="Calibri"/>
        </w:rPr>
        <w:t xml:space="preserve"> was </w:t>
      </w:r>
      <w:r w:rsidR="00A0718E">
        <w:rPr>
          <w:rFonts w:cs="Calibri"/>
        </w:rPr>
        <w:t>24.75%</w:t>
      </w:r>
      <w:r>
        <w:rPr>
          <w:rFonts w:cs="Calibri"/>
        </w:rPr>
        <w:t xml:space="preserve">, which </w:t>
      </w:r>
      <w:r w:rsidR="000E28C1">
        <w:rPr>
          <w:rFonts w:cs="Calibri"/>
        </w:rPr>
        <w:t>was approximately 1.5%</w:t>
      </w:r>
      <w:r>
        <w:rPr>
          <w:rFonts w:cs="Calibri"/>
        </w:rPr>
        <w:t xml:space="preserve"> lower than the low </w:t>
      </w:r>
      <w:r w:rsidR="00F7543F">
        <w:rPr>
          <w:rFonts w:cs="Calibri"/>
        </w:rPr>
        <w:t>range</w:t>
      </w:r>
      <w:r>
        <w:rPr>
          <w:rFonts w:cs="Calibri"/>
        </w:rPr>
        <w:t xml:space="preserve"> of the FRL</w:t>
      </w:r>
      <w:r w:rsidR="00A0718E">
        <w:rPr>
          <w:rFonts w:cs="Calibri"/>
        </w:rPr>
        <w:t>.</w:t>
      </w:r>
    </w:p>
    <w:p w14:paraId="0F2A7B7F" w14:textId="77777777" w:rsidR="00585241" w:rsidRDefault="00585241" w:rsidP="00585241">
      <w:pPr>
        <w:widowControl/>
        <w:autoSpaceDE/>
        <w:adjustRightInd/>
        <w:rPr>
          <w:rFonts w:cs="Calibri"/>
        </w:rPr>
      </w:pPr>
    </w:p>
    <w:p w14:paraId="6BD07DCB" w14:textId="64C8A862" w:rsidR="00585241" w:rsidRPr="00D21532" w:rsidRDefault="00585241" w:rsidP="00585241">
      <w:pPr>
        <w:widowControl/>
        <w:autoSpaceDE/>
        <w:adjustRightInd/>
        <w:rPr>
          <w:rFonts w:cs="Calibri"/>
          <w:u w:val="single"/>
        </w:rPr>
      </w:pPr>
      <w:r w:rsidRPr="00B67CC7">
        <w:rPr>
          <w:rFonts w:cs="Calibri"/>
        </w:rPr>
        <w:t>Explanation:</w:t>
      </w:r>
      <w:r w:rsidRPr="00D21532">
        <w:rPr>
          <w:rFonts w:cs="Calibri"/>
        </w:rPr>
        <w:t xml:space="preserve">  </w:t>
      </w:r>
      <w:r>
        <w:rPr>
          <w:rFonts w:cs="Calibri"/>
        </w:rPr>
        <w:t xml:space="preserve"> </w:t>
      </w:r>
      <w:r w:rsidR="00BD4635">
        <w:rPr>
          <w:rFonts w:cs="Calibri"/>
        </w:rPr>
        <w:t>MIOSHA</w:t>
      </w:r>
      <w:r w:rsidR="00D974B3">
        <w:rPr>
          <w:rFonts w:cs="Calibri"/>
        </w:rPr>
        <w:t xml:space="preserve">’s in-compliance rate for safety inspections is </w:t>
      </w:r>
      <w:r w:rsidR="00E33C6D">
        <w:rPr>
          <w:rFonts w:cs="Calibri"/>
        </w:rPr>
        <w:t>a positive outcome.</w:t>
      </w:r>
      <w:r w:rsidR="00AA167C">
        <w:rPr>
          <w:rFonts w:cs="Calibri"/>
        </w:rPr>
        <w:t xml:space="preserve">  This is </w:t>
      </w:r>
      <w:r w:rsidR="007B6174">
        <w:rPr>
          <w:rFonts w:cs="Calibri"/>
        </w:rPr>
        <w:t xml:space="preserve">simply </w:t>
      </w:r>
      <w:r w:rsidR="00AA167C">
        <w:rPr>
          <w:rFonts w:cs="Calibri"/>
        </w:rPr>
        <w:t>an indication that MIOSHA CSHOs are identifying violations</w:t>
      </w:r>
      <w:r w:rsidR="007B6174">
        <w:rPr>
          <w:rFonts w:cs="Calibri"/>
        </w:rPr>
        <w:t xml:space="preserve"> slightly more </w:t>
      </w:r>
      <w:r w:rsidR="005100A2">
        <w:rPr>
          <w:rFonts w:cs="Calibri"/>
        </w:rPr>
        <w:t xml:space="preserve">frequently on </w:t>
      </w:r>
      <w:r w:rsidR="007B6174">
        <w:rPr>
          <w:rFonts w:cs="Calibri"/>
        </w:rPr>
        <w:t xml:space="preserve">safety inspections </w:t>
      </w:r>
      <w:r w:rsidR="00AA167C">
        <w:rPr>
          <w:rFonts w:cs="Calibri"/>
        </w:rPr>
        <w:t xml:space="preserve">than the </w:t>
      </w:r>
      <w:r w:rsidR="007B6174">
        <w:rPr>
          <w:rFonts w:cs="Calibri"/>
        </w:rPr>
        <w:t>three-year national average metric.</w:t>
      </w:r>
    </w:p>
    <w:p w14:paraId="28992188" w14:textId="77777777" w:rsidR="00F07349" w:rsidRDefault="00F07349" w:rsidP="00783189">
      <w:pPr>
        <w:widowControl/>
        <w:autoSpaceDE/>
        <w:adjustRightInd/>
        <w:rPr>
          <w:rFonts w:cs="Calibri"/>
          <w:b/>
          <w:u w:val="single"/>
        </w:rPr>
      </w:pPr>
    </w:p>
    <w:p w14:paraId="7D49A6D7" w14:textId="3A561E8C" w:rsidR="00495289" w:rsidRPr="00E50803" w:rsidRDefault="00495289" w:rsidP="00495289">
      <w:pPr>
        <w:widowControl/>
        <w:autoSpaceDE/>
        <w:adjustRightInd/>
        <w:rPr>
          <w:rFonts w:cs="Calibri"/>
          <w:b/>
          <w:bCs/>
        </w:rPr>
      </w:pPr>
      <w:bookmarkStart w:id="22" w:name="_Hlk188534610"/>
      <w:r w:rsidRPr="00E50803">
        <w:rPr>
          <w:rFonts w:cs="Calibri"/>
          <w:b/>
          <w:bCs/>
        </w:rPr>
        <w:t xml:space="preserve">SAMM </w:t>
      </w:r>
      <w:r>
        <w:rPr>
          <w:rFonts w:cs="Calibri"/>
          <w:b/>
          <w:bCs/>
        </w:rPr>
        <w:t>11a</w:t>
      </w:r>
      <w:r w:rsidRPr="00E50803">
        <w:rPr>
          <w:rFonts w:cs="Calibri"/>
          <w:b/>
          <w:bCs/>
        </w:rPr>
        <w:t xml:space="preserve"> – Average </w:t>
      </w:r>
      <w:r>
        <w:rPr>
          <w:rFonts w:cs="Calibri"/>
          <w:b/>
          <w:bCs/>
        </w:rPr>
        <w:t>Lapse Time (Safety)</w:t>
      </w:r>
    </w:p>
    <w:p w14:paraId="0D9278E6" w14:textId="77777777" w:rsidR="00495289" w:rsidRDefault="00495289" w:rsidP="00495289">
      <w:pPr>
        <w:widowControl/>
        <w:autoSpaceDE/>
        <w:adjustRightInd/>
        <w:rPr>
          <w:rFonts w:cs="Calibri"/>
        </w:rPr>
      </w:pPr>
    </w:p>
    <w:p w14:paraId="4734CD85" w14:textId="432557B3" w:rsidR="00495289" w:rsidRPr="00D21532" w:rsidRDefault="00495289" w:rsidP="00495289">
      <w:pPr>
        <w:widowControl/>
        <w:autoSpaceDE/>
        <w:adjustRightInd/>
        <w:rPr>
          <w:rFonts w:cs="Calibri"/>
          <w:u w:val="single"/>
        </w:rPr>
      </w:pPr>
      <w:r w:rsidRPr="00B67CC7">
        <w:rPr>
          <w:rFonts w:cs="Calibri"/>
        </w:rPr>
        <w:t>Discussion of State Plan Data and FRL</w:t>
      </w:r>
      <w:r w:rsidR="004B0775" w:rsidRPr="00B67CC7">
        <w:rPr>
          <w:rFonts w:cs="Calibri"/>
        </w:rPr>
        <w:t>:</w:t>
      </w:r>
      <w:r w:rsidR="004B0775" w:rsidRPr="00D21532">
        <w:rPr>
          <w:rFonts w:cs="Calibri"/>
        </w:rPr>
        <w:t xml:space="preserve"> </w:t>
      </w:r>
      <w:r w:rsidR="004B0775">
        <w:rPr>
          <w:rFonts w:cs="Calibri"/>
        </w:rPr>
        <w:t>The</w:t>
      </w:r>
      <w:r>
        <w:rPr>
          <w:rFonts w:cs="Calibri"/>
        </w:rPr>
        <w:t xml:space="preserve"> FRL for average lapse time (safety) is +/- 2</w:t>
      </w:r>
      <w:r w:rsidR="00400BCE">
        <w:rPr>
          <w:rFonts w:cs="Calibri"/>
        </w:rPr>
        <w:t>0</w:t>
      </w:r>
      <w:r>
        <w:rPr>
          <w:rFonts w:cs="Calibri"/>
        </w:rPr>
        <w:t xml:space="preserve">% of the three-year national average of </w:t>
      </w:r>
      <w:r w:rsidR="00400BCE">
        <w:rPr>
          <w:rFonts w:cs="Calibri"/>
        </w:rPr>
        <w:t>56.02 days</w:t>
      </w:r>
      <w:r>
        <w:rPr>
          <w:rFonts w:cs="Calibri"/>
        </w:rPr>
        <w:t xml:space="preserve">, which equals a range of </w:t>
      </w:r>
      <w:r w:rsidR="00400BCE">
        <w:rPr>
          <w:rFonts w:cs="Calibri"/>
        </w:rPr>
        <w:t>44.82 to 67.23</w:t>
      </w:r>
      <w:r>
        <w:rPr>
          <w:rFonts w:cs="Calibri"/>
        </w:rPr>
        <w:t xml:space="preserve">.  MIOSHA’s </w:t>
      </w:r>
      <w:r>
        <w:rPr>
          <w:rFonts w:cs="Calibri"/>
        </w:rPr>
        <w:lastRenderedPageBreak/>
        <w:t xml:space="preserve">average </w:t>
      </w:r>
      <w:r w:rsidR="00400BCE">
        <w:rPr>
          <w:rFonts w:cs="Calibri"/>
        </w:rPr>
        <w:t>lapse time (safety)</w:t>
      </w:r>
      <w:r>
        <w:rPr>
          <w:rFonts w:cs="Calibri"/>
        </w:rPr>
        <w:t xml:space="preserve"> was </w:t>
      </w:r>
      <w:r w:rsidR="007B2477">
        <w:rPr>
          <w:rFonts w:cs="Calibri"/>
        </w:rPr>
        <w:t>27.53</w:t>
      </w:r>
      <w:r>
        <w:rPr>
          <w:rFonts w:cs="Calibri"/>
        </w:rPr>
        <w:t xml:space="preserve">, which is lower than the low end of the FRL by approximately </w:t>
      </w:r>
      <w:r w:rsidR="00BD4635">
        <w:rPr>
          <w:rFonts w:cs="Calibri"/>
        </w:rPr>
        <w:t>39</w:t>
      </w:r>
      <w:r>
        <w:rPr>
          <w:rFonts w:cs="Calibri"/>
        </w:rPr>
        <w:t>%.</w:t>
      </w:r>
    </w:p>
    <w:p w14:paraId="4FBD4979" w14:textId="77777777" w:rsidR="00495289" w:rsidRDefault="00495289" w:rsidP="00495289">
      <w:pPr>
        <w:widowControl/>
        <w:autoSpaceDE/>
        <w:adjustRightInd/>
        <w:rPr>
          <w:rFonts w:cs="Calibri"/>
        </w:rPr>
      </w:pPr>
    </w:p>
    <w:p w14:paraId="2BB87ED9" w14:textId="5A9A76FA" w:rsidR="00495289" w:rsidRDefault="00495289" w:rsidP="00495289">
      <w:pPr>
        <w:widowControl/>
        <w:autoSpaceDE/>
        <w:adjustRightInd/>
        <w:rPr>
          <w:rFonts w:cs="Calibri"/>
        </w:rPr>
      </w:pPr>
      <w:r w:rsidRPr="00B67CC7">
        <w:rPr>
          <w:rFonts w:cs="Calibri"/>
        </w:rPr>
        <w:t>Explanation:</w:t>
      </w:r>
      <w:r w:rsidRPr="00D21532">
        <w:rPr>
          <w:rFonts w:cs="Calibri"/>
        </w:rPr>
        <w:t xml:space="preserve">  </w:t>
      </w:r>
      <w:r>
        <w:rPr>
          <w:rFonts w:cs="Calibri"/>
        </w:rPr>
        <w:t xml:space="preserve"> MIOSHA</w:t>
      </w:r>
      <w:r w:rsidR="00BD4635">
        <w:rPr>
          <w:rFonts w:cs="Calibri"/>
        </w:rPr>
        <w:t xml:space="preserve">’s average lapse time for safety inspections is </w:t>
      </w:r>
      <w:r w:rsidR="00E33C6D">
        <w:rPr>
          <w:rFonts w:cs="Calibri"/>
        </w:rPr>
        <w:t>a positive outcome.</w:t>
      </w:r>
      <w:r w:rsidR="00BD4635">
        <w:rPr>
          <w:rFonts w:cs="Calibri"/>
        </w:rPr>
        <w:t xml:space="preserve"> This metric is an indication that MIOSHA </w:t>
      </w:r>
      <w:r w:rsidR="004E02C0">
        <w:rPr>
          <w:rFonts w:cs="Calibri"/>
        </w:rPr>
        <w:t>s</w:t>
      </w:r>
      <w:r w:rsidR="00C9259C">
        <w:rPr>
          <w:rFonts w:cs="Calibri"/>
        </w:rPr>
        <w:t xml:space="preserve">afety </w:t>
      </w:r>
      <w:r w:rsidR="00BD4635">
        <w:rPr>
          <w:rFonts w:cs="Calibri"/>
        </w:rPr>
        <w:t xml:space="preserve">CSHOs are </w:t>
      </w:r>
      <w:r w:rsidR="00C9259C">
        <w:rPr>
          <w:rFonts w:cs="Calibri"/>
        </w:rPr>
        <w:t>completing their inspections timely, which promotes a more rapid abatement of hazards</w:t>
      </w:r>
      <w:r w:rsidR="00AB7B15">
        <w:rPr>
          <w:rFonts w:cs="Calibri"/>
        </w:rPr>
        <w:t xml:space="preserve"> and should be viewed as a positive performance indicator</w:t>
      </w:r>
      <w:r w:rsidR="00C9259C">
        <w:rPr>
          <w:rFonts w:cs="Calibri"/>
        </w:rPr>
        <w:t>.</w:t>
      </w:r>
    </w:p>
    <w:bookmarkEnd w:id="22"/>
    <w:p w14:paraId="4252E424" w14:textId="77777777" w:rsidR="00F569BA" w:rsidRDefault="00F569BA" w:rsidP="00495289">
      <w:pPr>
        <w:widowControl/>
        <w:autoSpaceDE/>
        <w:adjustRightInd/>
        <w:rPr>
          <w:rFonts w:cs="Calibri"/>
        </w:rPr>
      </w:pPr>
    </w:p>
    <w:p w14:paraId="5593AE10" w14:textId="087CA747" w:rsidR="00F569BA" w:rsidRPr="00E50803" w:rsidRDefault="00F569BA" w:rsidP="00F569BA">
      <w:pPr>
        <w:widowControl/>
        <w:autoSpaceDE/>
        <w:adjustRightInd/>
        <w:rPr>
          <w:rFonts w:cs="Calibri"/>
          <w:b/>
          <w:bCs/>
        </w:rPr>
      </w:pPr>
      <w:r w:rsidRPr="00E50803">
        <w:rPr>
          <w:rFonts w:cs="Calibri"/>
          <w:b/>
          <w:bCs/>
        </w:rPr>
        <w:t xml:space="preserve">SAMM </w:t>
      </w:r>
      <w:r w:rsidR="00642967">
        <w:rPr>
          <w:rFonts w:cs="Calibri"/>
          <w:b/>
          <w:bCs/>
        </w:rPr>
        <w:t>13</w:t>
      </w:r>
      <w:r w:rsidRPr="00E50803">
        <w:rPr>
          <w:rFonts w:cs="Calibri"/>
          <w:b/>
          <w:bCs/>
        </w:rPr>
        <w:t xml:space="preserve"> – </w:t>
      </w:r>
      <w:r w:rsidR="00642967">
        <w:rPr>
          <w:rFonts w:cs="Calibri"/>
          <w:b/>
          <w:bCs/>
        </w:rPr>
        <w:t>Percent of Initial Inspections with Worker Walk-around Representation or Worker Interview</w:t>
      </w:r>
    </w:p>
    <w:p w14:paraId="1D8976A1" w14:textId="77777777" w:rsidR="00F569BA" w:rsidRDefault="00F569BA" w:rsidP="00F569BA">
      <w:pPr>
        <w:widowControl/>
        <w:autoSpaceDE/>
        <w:adjustRightInd/>
        <w:rPr>
          <w:rFonts w:cs="Calibri"/>
        </w:rPr>
      </w:pPr>
    </w:p>
    <w:p w14:paraId="3D98B7A9" w14:textId="22764DFC" w:rsidR="00F569BA" w:rsidRPr="00D21532" w:rsidRDefault="00F569BA" w:rsidP="00F569BA">
      <w:pPr>
        <w:widowControl/>
        <w:autoSpaceDE/>
        <w:adjustRightInd/>
        <w:rPr>
          <w:rFonts w:cs="Calibri"/>
          <w:u w:val="single"/>
        </w:rPr>
      </w:pPr>
      <w:r w:rsidRPr="00B67CC7">
        <w:rPr>
          <w:rFonts w:cs="Calibri"/>
        </w:rPr>
        <w:t>Discussion of State Plan Data and FRL:</w:t>
      </w:r>
      <w:r w:rsidRPr="00D21532">
        <w:rPr>
          <w:rFonts w:cs="Calibri"/>
        </w:rPr>
        <w:t xml:space="preserve"> </w:t>
      </w:r>
      <w:r>
        <w:rPr>
          <w:rFonts w:cs="Calibri"/>
        </w:rPr>
        <w:t xml:space="preserve">The FRL for </w:t>
      </w:r>
      <w:r w:rsidR="00084F2E">
        <w:rPr>
          <w:rFonts w:cs="Calibri"/>
        </w:rPr>
        <w:t xml:space="preserve">this SAMM is fixed for all </w:t>
      </w:r>
      <w:r w:rsidR="009054AD">
        <w:rPr>
          <w:rFonts w:cs="Calibri"/>
        </w:rPr>
        <w:t>State Plans at 100%</w:t>
      </w:r>
      <w:r>
        <w:rPr>
          <w:rFonts w:cs="Calibri"/>
        </w:rPr>
        <w:t xml:space="preserve">.  MIOSHA’s </w:t>
      </w:r>
      <w:r w:rsidR="009054AD">
        <w:rPr>
          <w:rFonts w:cs="Calibri"/>
        </w:rPr>
        <w:t>percent of initial inspections with worker walk-around representation or worker</w:t>
      </w:r>
      <w:r w:rsidR="00275B8B">
        <w:rPr>
          <w:rFonts w:cs="Calibri"/>
        </w:rPr>
        <w:t xml:space="preserve"> interview was 99.76%.</w:t>
      </w:r>
    </w:p>
    <w:p w14:paraId="26CA9893" w14:textId="77777777" w:rsidR="00F569BA" w:rsidRDefault="00F569BA" w:rsidP="00F569BA">
      <w:pPr>
        <w:widowControl/>
        <w:autoSpaceDE/>
        <w:adjustRightInd/>
        <w:rPr>
          <w:rFonts w:cs="Calibri"/>
        </w:rPr>
      </w:pPr>
    </w:p>
    <w:p w14:paraId="454C127F" w14:textId="7B70DC42" w:rsidR="00F569BA" w:rsidRPr="00777010" w:rsidRDefault="00F569BA" w:rsidP="00777010">
      <w:pPr>
        <w:widowControl/>
        <w:autoSpaceDE/>
        <w:adjustRightInd/>
        <w:rPr>
          <w:rFonts w:cs="Calibri"/>
        </w:rPr>
      </w:pPr>
      <w:r w:rsidRPr="00B67CC7">
        <w:rPr>
          <w:rFonts w:cs="Calibri"/>
        </w:rPr>
        <w:t>Explanation:</w:t>
      </w:r>
      <w:r w:rsidRPr="00D21532">
        <w:rPr>
          <w:rFonts w:cs="Calibri"/>
        </w:rPr>
        <w:t xml:space="preserve">  </w:t>
      </w:r>
      <w:r w:rsidR="00777010" w:rsidRPr="00777010">
        <w:rPr>
          <w:rFonts w:cs="Calibri"/>
        </w:rPr>
        <w:t>Workers were represented during the walkaround and/or at least one worker was interviewed in 3,</w:t>
      </w:r>
      <w:r w:rsidR="00FC65E1">
        <w:rPr>
          <w:rFonts w:cs="Calibri"/>
        </w:rPr>
        <w:t>73</w:t>
      </w:r>
      <w:r w:rsidR="009A7E8C">
        <w:rPr>
          <w:rFonts w:cs="Calibri"/>
        </w:rPr>
        <w:t>6</w:t>
      </w:r>
      <w:r w:rsidR="00777010" w:rsidRPr="00777010">
        <w:rPr>
          <w:rFonts w:cs="Calibri"/>
        </w:rPr>
        <w:t xml:space="preserve"> of 3,</w:t>
      </w:r>
      <w:r w:rsidR="00FC65E1">
        <w:rPr>
          <w:rFonts w:cs="Calibri"/>
        </w:rPr>
        <w:t>745</w:t>
      </w:r>
      <w:r w:rsidR="00777010" w:rsidRPr="00777010">
        <w:rPr>
          <w:rFonts w:cs="Calibri"/>
        </w:rPr>
        <w:t xml:space="preserve"> inspections (99.</w:t>
      </w:r>
      <w:r w:rsidR="00363BD6">
        <w:rPr>
          <w:rFonts w:cs="Calibri"/>
        </w:rPr>
        <w:t>76</w:t>
      </w:r>
      <w:r w:rsidR="00777010" w:rsidRPr="00777010">
        <w:rPr>
          <w:rFonts w:cs="Calibri"/>
        </w:rPr>
        <w:t>%) conducted by the Michigan State Plan. This</w:t>
      </w:r>
      <w:r w:rsidR="00777010">
        <w:rPr>
          <w:rFonts w:cs="Calibri"/>
        </w:rPr>
        <w:t xml:space="preserve"> </w:t>
      </w:r>
      <w:r w:rsidR="00777010" w:rsidRPr="00777010">
        <w:rPr>
          <w:rFonts w:cs="Calibri"/>
        </w:rPr>
        <w:t>percentage exceeded the value for all State Plan RIDs (98.</w:t>
      </w:r>
      <w:r w:rsidR="009A7E8C">
        <w:rPr>
          <w:rFonts w:cs="Calibri"/>
        </w:rPr>
        <w:t>52</w:t>
      </w:r>
      <w:r w:rsidR="00777010" w:rsidRPr="00777010">
        <w:rPr>
          <w:rFonts w:cs="Calibri"/>
        </w:rPr>
        <w:t>%), all federal OSHA RIDs (95.</w:t>
      </w:r>
      <w:r w:rsidR="009A7E8C">
        <w:rPr>
          <w:rFonts w:cs="Calibri"/>
        </w:rPr>
        <w:t>48</w:t>
      </w:r>
      <w:r w:rsidR="00777010" w:rsidRPr="00777010">
        <w:rPr>
          <w:rFonts w:cs="Calibri"/>
        </w:rPr>
        <w:t>%), and the national average (9</w:t>
      </w:r>
      <w:r w:rsidR="009A7E8C">
        <w:rPr>
          <w:rFonts w:cs="Calibri"/>
        </w:rPr>
        <w:t>7.04</w:t>
      </w:r>
      <w:r w:rsidR="00777010" w:rsidRPr="00777010">
        <w:rPr>
          <w:rFonts w:cs="Calibri"/>
        </w:rPr>
        <w:t xml:space="preserve">%). </w:t>
      </w:r>
      <w:r w:rsidR="007E09E2">
        <w:rPr>
          <w:rFonts w:cs="Calibri"/>
        </w:rPr>
        <w:t xml:space="preserve"> </w:t>
      </w:r>
      <w:r w:rsidR="00777010" w:rsidRPr="00777010">
        <w:rPr>
          <w:rFonts w:cs="Calibri"/>
        </w:rPr>
        <w:t xml:space="preserve">For the </w:t>
      </w:r>
      <w:r w:rsidR="009A7E8C">
        <w:rPr>
          <w:rFonts w:cs="Calibri"/>
        </w:rPr>
        <w:t>nine</w:t>
      </w:r>
      <w:r w:rsidR="00777010" w:rsidRPr="00777010">
        <w:rPr>
          <w:rFonts w:cs="Calibri"/>
        </w:rPr>
        <w:t xml:space="preserve"> inspections without worker walkaround representation or worker interviews, legitimate reasons </w:t>
      </w:r>
      <w:r w:rsidR="00CD66F7">
        <w:rPr>
          <w:rFonts w:cs="Calibri"/>
        </w:rPr>
        <w:t xml:space="preserve">can </w:t>
      </w:r>
      <w:r w:rsidR="00DD76B7">
        <w:rPr>
          <w:rFonts w:cs="Calibri"/>
        </w:rPr>
        <w:t xml:space="preserve">exist </w:t>
      </w:r>
      <w:r w:rsidR="00777010" w:rsidRPr="00777010">
        <w:rPr>
          <w:rFonts w:cs="Calibri"/>
        </w:rPr>
        <w:t>for no worker walkaround representation or worker interviews</w:t>
      </w:r>
      <w:r w:rsidR="00DD76B7">
        <w:rPr>
          <w:rFonts w:cs="Calibri"/>
        </w:rPr>
        <w:t>, such as</w:t>
      </w:r>
      <w:r w:rsidR="00777010" w:rsidRPr="00777010">
        <w:rPr>
          <w:rFonts w:cs="Calibri"/>
        </w:rPr>
        <w:t xml:space="preserve"> there was only one employee and the employee died</w:t>
      </w:r>
      <w:r w:rsidR="00DD76B7">
        <w:rPr>
          <w:rFonts w:cs="Calibri"/>
        </w:rPr>
        <w:t>,</w:t>
      </w:r>
      <w:r w:rsidR="00777010" w:rsidRPr="00777010">
        <w:rPr>
          <w:rFonts w:cs="Calibri"/>
        </w:rPr>
        <w:t xml:space="preserve"> no one was </w:t>
      </w:r>
      <w:r w:rsidR="00DD76B7">
        <w:rPr>
          <w:rFonts w:cs="Calibri"/>
        </w:rPr>
        <w:t xml:space="preserve">present </w:t>
      </w:r>
      <w:r w:rsidR="00777010" w:rsidRPr="00777010">
        <w:rPr>
          <w:rFonts w:cs="Calibri"/>
        </w:rPr>
        <w:t>at the worksite</w:t>
      </w:r>
      <w:r w:rsidR="00CD2C45">
        <w:rPr>
          <w:rFonts w:cs="Calibri"/>
        </w:rPr>
        <w:t>, or</w:t>
      </w:r>
      <w:r w:rsidR="00777010" w:rsidRPr="00777010">
        <w:rPr>
          <w:rFonts w:cs="Calibri"/>
        </w:rPr>
        <w:t xml:space="preserve"> the employees refused to participate either in the walkaround or interviews. </w:t>
      </w:r>
      <w:r w:rsidR="00B64CA1">
        <w:rPr>
          <w:rFonts w:cs="Calibri"/>
        </w:rPr>
        <w:t xml:space="preserve"> </w:t>
      </w:r>
      <w:r w:rsidR="00CD2C45">
        <w:rPr>
          <w:rFonts w:cs="Calibri"/>
        </w:rPr>
        <w:t>S</w:t>
      </w:r>
      <w:r w:rsidR="00777010" w:rsidRPr="00777010">
        <w:rPr>
          <w:rFonts w:cs="Calibri"/>
        </w:rPr>
        <w:t>taff were trained on the proper procedures.</w:t>
      </w:r>
    </w:p>
    <w:p w14:paraId="09DD56FC" w14:textId="77777777" w:rsidR="00F569BA" w:rsidRPr="00D21532" w:rsidRDefault="00F569BA" w:rsidP="00495289">
      <w:pPr>
        <w:widowControl/>
        <w:autoSpaceDE/>
        <w:adjustRightInd/>
        <w:rPr>
          <w:rFonts w:cs="Calibri"/>
          <w:u w:val="single"/>
        </w:rPr>
      </w:pPr>
    </w:p>
    <w:p w14:paraId="7CCAAF61" w14:textId="431F2DD6" w:rsidR="00CD2C45" w:rsidRPr="00E50803" w:rsidRDefault="00CD2C45" w:rsidP="00CD2C45">
      <w:pPr>
        <w:widowControl/>
        <w:autoSpaceDE/>
        <w:adjustRightInd/>
        <w:rPr>
          <w:rFonts w:cs="Calibri"/>
          <w:b/>
          <w:bCs/>
        </w:rPr>
      </w:pPr>
      <w:r w:rsidRPr="00E50803">
        <w:rPr>
          <w:rFonts w:cs="Calibri"/>
          <w:b/>
          <w:bCs/>
        </w:rPr>
        <w:t xml:space="preserve">SAMM </w:t>
      </w:r>
      <w:r>
        <w:rPr>
          <w:rFonts w:cs="Calibri"/>
          <w:b/>
          <w:bCs/>
        </w:rPr>
        <w:t>17</w:t>
      </w:r>
      <w:r w:rsidRPr="00E50803">
        <w:rPr>
          <w:rFonts w:cs="Calibri"/>
          <w:b/>
          <w:bCs/>
        </w:rPr>
        <w:t xml:space="preserve"> – </w:t>
      </w:r>
      <w:r>
        <w:rPr>
          <w:rFonts w:cs="Calibri"/>
          <w:b/>
          <w:bCs/>
        </w:rPr>
        <w:t>Percent of Enforcement Presence</w:t>
      </w:r>
    </w:p>
    <w:p w14:paraId="06B7043E" w14:textId="77777777" w:rsidR="00CD2C45" w:rsidRDefault="00CD2C45" w:rsidP="00CD2C45">
      <w:pPr>
        <w:widowControl/>
        <w:autoSpaceDE/>
        <w:adjustRightInd/>
        <w:rPr>
          <w:rFonts w:cs="Calibri"/>
        </w:rPr>
      </w:pPr>
    </w:p>
    <w:p w14:paraId="362A767F" w14:textId="55F1FFF4" w:rsidR="00CD2C45" w:rsidRPr="00D21532" w:rsidRDefault="00CD2C45" w:rsidP="00CD2C45">
      <w:pPr>
        <w:widowControl/>
        <w:autoSpaceDE/>
        <w:adjustRightInd/>
        <w:rPr>
          <w:rFonts w:cs="Calibri"/>
          <w:u w:val="single"/>
        </w:rPr>
      </w:pPr>
      <w:r w:rsidRPr="00B67CC7">
        <w:rPr>
          <w:rFonts w:cs="Calibri"/>
        </w:rPr>
        <w:t>Discussion of State Plan Data and FRL:</w:t>
      </w:r>
      <w:r w:rsidRPr="00D21532">
        <w:rPr>
          <w:rFonts w:cs="Calibri"/>
        </w:rPr>
        <w:t xml:space="preserve"> </w:t>
      </w:r>
      <w:r>
        <w:rPr>
          <w:rFonts w:cs="Calibri"/>
        </w:rPr>
        <w:t xml:space="preserve">The FRL for </w:t>
      </w:r>
      <w:r w:rsidR="004A4D8E">
        <w:rPr>
          <w:rFonts w:cs="Calibri"/>
        </w:rPr>
        <w:t>percent of enforcement presence</w:t>
      </w:r>
      <w:r>
        <w:rPr>
          <w:rFonts w:cs="Calibri"/>
        </w:rPr>
        <w:t xml:space="preserve"> is +/- 2</w:t>
      </w:r>
      <w:r w:rsidR="003C556C">
        <w:rPr>
          <w:rFonts w:cs="Calibri"/>
        </w:rPr>
        <w:t>5</w:t>
      </w:r>
      <w:r>
        <w:rPr>
          <w:rFonts w:cs="Calibri"/>
        </w:rPr>
        <w:t xml:space="preserve">% of the three-year national average of </w:t>
      </w:r>
      <w:r w:rsidR="003C556C">
        <w:rPr>
          <w:rFonts w:cs="Calibri"/>
        </w:rPr>
        <w:t>1.00%</w:t>
      </w:r>
      <w:r>
        <w:rPr>
          <w:rFonts w:cs="Calibri"/>
        </w:rPr>
        <w:t xml:space="preserve">, which equals a range of </w:t>
      </w:r>
      <w:r w:rsidR="003C556C">
        <w:rPr>
          <w:rFonts w:cs="Calibri"/>
        </w:rPr>
        <w:t>0.75%</w:t>
      </w:r>
      <w:r>
        <w:rPr>
          <w:rFonts w:cs="Calibri"/>
        </w:rPr>
        <w:t xml:space="preserve"> to </w:t>
      </w:r>
      <w:r w:rsidR="003C556C">
        <w:rPr>
          <w:rFonts w:cs="Calibri"/>
        </w:rPr>
        <w:t>1.25%</w:t>
      </w:r>
      <w:r>
        <w:rPr>
          <w:rFonts w:cs="Calibri"/>
        </w:rPr>
        <w:t xml:space="preserve">.  MIOSHA’s </w:t>
      </w:r>
      <w:r w:rsidR="00CA3311">
        <w:rPr>
          <w:rFonts w:cs="Calibri"/>
        </w:rPr>
        <w:t>percent of enforcement presence</w:t>
      </w:r>
      <w:r>
        <w:rPr>
          <w:rFonts w:cs="Calibri"/>
        </w:rPr>
        <w:t xml:space="preserve"> was </w:t>
      </w:r>
      <w:r w:rsidR="003C556C">
        <w:rPr>
          <w:rFonts w:cs="Calibri"/>
        </w:rPr>
        <w:t>1.98%</w:t>
      </w:r>
      <w:r>
        <w:rPr>
          <w:rFonts w:cs="Calibri"/>
        </w:rPr>
        <w:t xml:space="preserve">, </w:t>
      </w:r>
      <w:r w:rsidR="00CA3311">
        <w:rPr>
          <w:rFonts w:cs="Calibri"/>
        </w:rPr>
        <w:t xml:space="preserve">which was </w:t>
      </w:r>
      <w:r w:rsidR="00857FE3">
        <w:rPr>
          <w:rFonts w:cs="Calibri"/>
        </w:rPr>
        <w:t>nearly double the three-year national average.</w:t>
      </w:r>
    </w:p>
    <w:p w14:paraId="1610B3EA" w14:textId="77777777" w:rsidR="00CD2C45" w:rsidRDefault="00CD2C45" w:rsidP="00CD2C45">
      <w:pPr>
        <w:widowControl/>
        <w:autoSpaceDE/>
        <w:adjustRightInd/>
        <w:rPr>
          <w:rFonts w:cs="Calibri"/>
        </w:rPr>
      </w:pPr>
    </w:p>
    <w:p w14:paraId="19D2E051" w14:textId="46D23AC3" w:rsidR="00CD2C45" w:rsidRDefault="00CD2C45" w:rsidP="00CD2C45">
      <w:pPr>
        <w:widowControl/>
        <w:autoSpaceDE/>
        <w:adjustRightInd/>
        <w:rPr>
          <w:rFonts w:cs="Calibri"/>
        </w:rPr>
      </w:pPr>
      <w:r w:rsidRPr="00B67CC7">
        <w:rPr>
          <w:rFonts w:cs="Calibri"/>
        </w:rPr>
        <w:t>Explanation:</w:t>
      </w:r>
      <w:r w:rsidRPr="00D21532">
        <w:rPr>
          <w:rFonts w:cs="Calibri"/>
        </w:rPr>
        <w:t xml:space="preserve">  </w:t>
      </w:r>
      <w:r>
        <w:rPr>
          <w:rFonts w:cs="Calibri"/>
        </w:rPr>
        <w:t xml:space="preserve"> MIOSHA’s </w:t>
      </w:r>
      <w:r w:rsidR="00857FE3">
        <w:rPr>
          <w:rFonts w:cs="Calibri"/>
        </w:rPr>
        <w:t xml:space="preserve">percent of enforcement presence </w:t>
      </w:r>
      <w:r>
        <w:rPr>
          <w:rFonts w:cs="Calibri"/>
        </w:rPr>
        <w:t xml:space="preserve">is </w:t>
      </w:r>
      <w:r w:rsidR="00E33C6D">
        <w:rPr>
          <w:rFonts w:cs="Calibri"/>
        </w:rPr>
        <w:t>a positive outcome.</w:t>
      </w:r>
      <w:r>
        <w:rPr>
          <w:rFonts w:cs="Calibri"/>
        </w:rPr>
        <w:t xml:space="preserve">  This metric is an indication that MIOSHA </w:t>
      </w:r>
      <w:r w:rsidR="00857FE3">
        <w:rPr>
          <w:rFonts w:cs="Calibri"/>
        </w:rPr>
        <w:t>has a higher relative enforcement presence with employers in Michigan than most other states have</w:t>
      </w:r>
      <w:r w:rsidR="004B0775">
        <w:rPr>
          <w:rFonts w:cs="Calibri"/>
        </w:rPr>
        <w:t xml:space="preserve"> and is a positive indicator.</w:t>
      </w:r>
    </w:p>
    <w:p w14:paraId="2C0BD3BD" w14:textId="77777777" w:rsidR="00F07349" w:rsidRDefault="00F07349" w:rsidP="00783189">
      <w:pPr>
        <w:widowControl/>
        <w:autoSpaceDE/>
        <w:adjustRightInd/>
        <w:rPr>
          <w:rFonts w:cs="Calibri"/>
          <w:b/>
          <w:u w:val="single"/>
        </w:rPr>
      </w:pPr>
    </w:p>
    <w:p w14:paraId="3FB605D7" w14:textId="77777777" w:rsidR="00F07349" w:rsidRPr="001C1E47" w:rsidRDefault="00F07349" w:rsidP="00783189">
      <w:pPr>
        <w:widowControl/>
        <w:autoSpaceDE/>
        <w:adjustRightInd/>
        <w:rPr>
          <w:rFonts w:cs="Calibri"/>
          <w:b/>
          <w:u w:val="single"/>
        </w:rPr>
      </w:pPr>
    </w:p>
    <w:p w14:paraId="4DD4CBB7" w14:textId="77777777" w:rsidR="000A134A" w:rsidRPr="001C1E47" w:rsidRDefault="000A134A" w:rsidP="007A71AC">
      <w:pPr>
        <w:widowControl/>
        <w:autoSpaceDE/>
        <w:autoSpaceDN/>
        <w:adjustRightInd/>
        <w:rPr>
          <w:rFonts w:cs="Calibri"/>
        </w:rPr>
        <w:sectPr w:rsidR="000A134A" w:rsidRPr="001C1E47" w:rsidSect="00783189">
          <w:footerReference w:type="default" r:id="rId13"/>
          <w:footerReference w:type="first" r:id="rId14"/>
          <w:pgSz w:w="12240" w:h="15840"/>
          <w:pgMar w:top="1440" w:right="1260" w:bottom="1260" w:left="1440" w:header="720" w:footer="526" w:gutter="0"/>
          <w:pgNumType w:start="1"/>
          <w:cols w:space="720"/>
          <w:titlePg/>
          <w:docGrid w:linePitch="360"/>
        </w:sectPr>
      </w:pPr>
    </w:p>
    <w:p w14:paraId="516D3ECD" w14:textId="77777777" w:rsidR="00B6741C" w:rsidRPr="0002572C" w:rsidRDefault="00B6741C" w:rsidP="00203F34">
      <w:pPr>
        <w:pStyle w:val="Heading3"/>
        <w:numPr>
          <w:ilvl w:val="0"/>
          <w:numId w:val="0"/>
        </w:numPr>
      </w:pPr>
      <w:bookmarkStart w:id="23" w:name="_Toc118905017"/>
      <w:bookmarkStart w:id="24" w:name="_Toc119418669"/>
      <w:r w:rsidRPr="0002572C">
        <w:lastRenderedPageBreak/>
        <w:t>Appendix A – New and Continued Findings and Recommendations</w:t>
      </w:r>
      <w:bookmarkEnd w:id="23"/>
      <w:bookmarkEnd w:id="24"/>
    </w:p>
    <w:p w14:paraId="670F195C" w14:textId="581F792B" w:rsidR="00B6741C" w:rsidRPr="003F6EC3" w:rsidRDefault="00B6741C" w:rsidP="00B6741C">
      <w:r>
        <w:t xml:space="preserve">FY </w:t>
      </w:r>
      <w:r w:rsidRPr="003F6EC3">
        <w:t>20</w:t>
      </w:r>
      <w:r w:rsidR="00E9566F" w:rsidRPr="003F6EC3">
        <w:t>2</w:t>
      </w:r>
      <w:r w:rsidR="00977C51" w:rsidRPr="003F6EC3">
        <w:t>4</w:t>
      </w:r>
      <w:r w:rsidRPr="003F6EC3">
        <w:t xml:space="preserve"> </w:t>
      </w:r>
      <w:r w:rsidR="002B4075" w:rsidRPr="003F6EC3">
        <w:t>MIOSHA</w:t>
      </w:r>
      <w:r w:rsidRPr="003F6EC3">
        <w:t xml:space="preserve"> Follow-up FAME Report</w:t>
      </w:r>
    </w:p>
    <w:p w14:paraId="77980CE2" w14:textId="77777777" w:rsidR="000A134A" w:rsidRPr="003F6EC3"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418E0437" w:rsidR="000A134A" w:rsidRPr="001C1E47" w:rsidRDefault="000A134A"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2B4075">
              <w:rPr>
                <w:rFonts w:cs="Calibri"/>
                <w:b/>
              </w:rPr>
              <w:t>24</w:t>
            </w:r>
            <w:r w:rsidRPr="001C1E47">
              <w:rPr>
                <w:rFonts w:cs="Calibri"/>
                <w:b/>
              </w:rPr>
              <w:t>-</w:t>
            </w:r>
            <w:r w:rsidR="00BB0343" w:rsidRPr="001C1E47">
              <w:rPr>
                <w:rFonts w:cs="Calibri"/>
                <w:b/>
              </w:rPr>
              <w:t>#</w:t>
            </w:r>
          </w:p>
        </w:tc>
        <w:tc>
          <w:tcPr>
            <w:tcW w:w="4721" w:type="dxa"/>
          </w:tcPr>
          <w:p w14:paraId="0C140B4B" w14:textId="77777777" w:rsidR="000A134A" w:rsidRPr="001C1E47" w:rsidRDefault="000A134A" w:rsidP="007A71AC">
            <w:pPr>
              <w:widowControl/>
              <w:autoSpaceDE/>
              <w:autoSpaceDN/>
              <w:adjustRightInd/>
              <w:jc w:val="center"/>
              <w:rPr>
                <w:rFonts w:cs="Calibri"/>
                <w:b/>
              </w:rPr>
            </w:pPr>
            <w:r w:rsidRPr="001C1E47">
              <w:rPr>
                <w:rFonts w:cs="Calibri"/>
                <w:b/>
              </w:rPr>
              <w:t>Finding</w:t>
            </w:r>
          </w:p>
        </w:tc>
        <w:tc>
          <w:tcPr>
            <w:tcW w:w="4819" w:type="dxa"/>
          </w:tcPr>
          <w:p w14:paraId="7801EA8C" w14:textId="77777777" w:rsidR="000A134A" w:rsidRPr="001C1E47" w:rsidRDefault="000A134A" w:rsidP="007A71AC">
            <w:pPr>
              <w:widowControl/>
              <w:autoSpaceDE/>
              <w:autoSpaceDN/>
              <w:adjustRightInd/>
              <w:jc w:val="center"/>
              <w:rPr>
                <w:rFonts w:cs="Calibri"/>
                <w:b/>
              </w:rPr>
            </w:pPr>
            <w:r w:rsidRPr="001C1E47">
              <w:rPr>
                <w:rFonts w:cs="Calibri"/>
                <w:b/>
              </w:rPr>
              <w:t>Recommendation</w:t>
            </w:r>
          </w:p>
        </w:tc>
        <w:tc>
          <w:tcPr>
            <w:tcW w:w="1890" w:type="dxa"/>
          </w:tcPr>
          <w:p w14:paraId="7C9006CD" w14:textId="1BC4797B" w:rsidR="00C6249F" w:rsidRPr="001C1E47" w:rsidRDefault="00BB0343" w:rsidP="00C6249F">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C6249F">
              <w:rPr>
                <w:rFonts w:cs="Calibri"/>
                <w:b/>
              </w:rPr>
              <w:t>23</w:t>
            </w:r>
            <w:r w:rsidRPr="001C1E47">
              <w:rPr>
                <w:rFonts w:cs="Calibri"/>
                <w:b/>
              </w:rPr>
              <w:t xml:space="preserve">-# </w:t>
            </w:r>
          </w:p>
          <w:p w14:paraId="3C61CFBF" w14:textId="2CC48D67" w:rsidR="000A134A" w:rsidRPr="001C1E47" w:rsidRDefault="000A134A" w:rsidP="007A71AC">
            <w:pPr>
              <w:widowControl/>
              <w:autoSpaceDE/>
              <w:autoSpaceDN/>
              <w:adjustRightInd/>
              <w:jc w:val="center"/>
              <w:rPr>
                <w:rFonts w:cs="Calibri"/>
                <w:b/>
              </w:rPr>
            </w:pPr>
          </w:p>
        </w:tc>
      </w:tr>
      <w:tr w:rsidR="000A134A" w:rsidRPr="001C1E47" w14:paraId="5368CE16" w14:textId="77777777" w:rsidTr="00185C7D">
        <w:tc>
          <w:tcPr>
            <w:tcW w:w="1440" w:type="dxa"/>
          </w:tcPr>
          <w:p w14:paraId="31EBB109" w14:textId="3DC6BCAB" w:rsidR="000A134A" w:rsidRPr="001C1E47" w:rsidRDefault="000A134A" w:rsidP="007A71AC">
            <w:pPr>
              <w:widowControl/>
              <w:autoSpaceDE/>
              <w:autoSpaceDN/>
              <w:adjustRightInd/>
              <w:rPr>
                <w:rFonts w:cs="Calibri"/>
              </w:rPr>
            </w:pPr>
            <w:r w:rsidRPr="001C1E47">
              <w:rPr>
                <w:rFonts w:cs="Calibri"/>
              </w:rPr>
              <w:t xml:space="preserve"> </w:t>
            </w:r>
            <w:r w:rsidR="00841A20">
              <w:rPr>
                <w:rFonts w:cs="Calibri"/>
              </w:rPr>
              <w:t>FY 2024-01</w:t>
            </w:r>
          </w:p>
          <w:p w14:paraId="39F370D3" w14:textId="77777777" w:rsidR="000A134A" w:rsidRPr="001C1E47" w:rsidRDefault="000A134A" w:rsidP="007A71AC">
            <w:pPr>
              <w:widowControl/>
              <w:autoSpaceDE/>
              <w:autoSpaceDN/>
              <w:adjustRightInd/>
              <w:rPr>
                <w:rFonts w:cs="Calibri"/>
              </w:rPr>
            </w:pPr>
          </w:p>
        </w:tc>
        <w:tc>
          <w:tcPr>
            <w:tcW w:w="4721" w:type="dxa"/>
          </w:tcPr>
          <w:p w14:paraId="4B3C1E3A" w14:textId="740D88D4" w:rsidR="000A134A" w:rsidRPr="001C1E47" w:rsidRDefault="00105513" w:rsidP="007A71AC">
            <w:pPr>
              <w:widowControl/>
              <w:autoSpaceDE/>
              <w:autoSpaceDN/>
              <w:adjustRightInd/>
              <w:rPr>
                <w:rFonts w:cs="Calibri"/>
              </w:rPr>
            </w:pPr>
            <w:r>
              <w:t xml:space="preserve">The </w:t>
            </w:r>
            <w:r w:rsidRPr="00F0585D">
              <w:t>MIOSHA</w:t>
            </w:r>
            <w:r w:rsidRPr="00F0585D">
              <w:rPr>
                <w:spacing w:val="-7"/>
              </w:rPr>
              <w:t xml:space="preserve"> </w:t>
            </w:r>
            <w:r w:rsidRPr="00F0585D">
              <w:t>State</w:t>
            </w:r>
            <w:r w:rsidRPr="00F0585D">
              <w:rPr>
                <w:spacing w:val="-5"/>
              </w:rPr>
              <w:t xml:space="preserve"> </w:t>
            </w:r>
            <w:r w:rsidRPr="00F0585D">
              <w:t>Plan</w:t>
            </w:r>
            <w:r w:rsidRPr="00F0585D">
              <w:rPr>
                <w:spacing w:val="-5"/>
              </w:rPr>
              <w:t xml:space="preserve"> </w:t>
            </w:r>
            <w:r w:rsidRPr="00F0585D">
              <w:t>has</w:t>
            </w:r>
            <w:r w:rsidRPr="00F0585D">
              <w:rPr>
                <w:spacing w:val="-4"/>
              </w:rPr>
              <w:t xml:space="preserve"> </w:t>
            </w:r>
            <w:r w:rsidRPr="00F0585D">
              <w:t>failed</w:t>
            </w:r>
            <w:r w:rsidRPr="00F0585D">
              <w:rPr>
                <w:spacing w:val="-5"/>
              </w:rPr>
              <w:t xml:space="preserve"> </w:t>
            </w:r>
            <w:r w:rsidRPr="00F0585D">
              <w:t>to</w:t>
            </w:r>
            <w:r w:rsidRPr="00F0585D">
              <w:rPr>
                <w:spacing w:val="-5"/>
              </w:rPr>
              <w:t xml:space="preserve"> </w:t>
            </w:r>
            <w:r w:rsidRPr="00F0585D">
              <w:t>adopt</w:t>
            </w:r>
            <w:r w:rsidRPr="00F0585D">
              <w:rPr>
                <w:spacing w:val="-5"/>
              </w:rPr>
              <w:t xml:space="preserve"> </w:t>
            </w:r>
            <w:r w:rsidRPr="00F0585D">
              <w:t>OSHA’s</w:t>
            </w:r>
            <w:r w:rsidRPr="00F0585D">
              <w:rPr>
                <w:spacing w:val="-6"/>
              </w:rPr>
              <w:t xml:space="preserve"> </w:t>
            </w:r>
            <w:r w:rsidRPr="00F0585D">
              <w:t>initial FY</w:t>
            </w:r>
            <w:r w:rsidRPr="00F0585D">
              <w:rPr>
                <w:spacing w:val="-5"/>
              </w:rPr>
              <w:t xml:space="preserve"> </w:t>
            </w:r>
            <w:r w:rsidRPr="00F0585D">
              <w:t>2016</w:t>
            </w:r>
            <w:r w:rsidRPr="00F0585D">
              <w:rPr>
                <w:spacing w:val="-4"/>
              </w:rPr>
              <w:t xml:space="preserve"> </w:t>
            </w:r>
            <w:r w:rsidRPr="00F0585D">
              <w:t>maximum</w:t>
            </w:r>
            <w:r w:rsidRPr="00F0585D">
              <w:rPr>
                <w:spacing w:val="-6"/>
              </w:rPr>
              <w:t xml:space="preserve"> </w:t>
            </w:r>
            <w:r w:rsidRPr="00F0585D">
              <w:t>and</w:t>
            </w:r>
            <w:r w:rsidRPr="00F0585D">
              <w:rPr>
                <w:spacing w:val="-1"/>
              </w:rPr>
              <w:t xml:space="preserve"> </w:t>
            </w:r>
            <w:r w:rsidRPr="00F0585D">
              <w:t>minimum</w:t>
            </w:r>
            <w:r w:rsidRPr="00F0585D">
              <w:rPr>
                <w:spacing w:val="-6"/>
              </w:rPr>
              <w:t xml:space="preserve"> </w:t>
            </w:r>
            <w:r w:rsidRPr="00F0585D">
              <w:t>penalty</w:t>
            </w:r>
            <w:r w:rsidRPr="00F0585D">
              <w:rPr>
                <w:spacing w:val="-9"/>
              </w:rPr>
              <w:t xml:space="preserve"> </w:t>
            </w:r>
            <w:r w:rsidRPr="00F0585D">
              <w:t>increase</w:t>
            </w:r>
            <w:r w:rsidRPr="00F0585D">
              <w:rPr>
                <w:spacing w:val="-5"/>
              </w:rPr>
              <w:t xml:space="preserve"> </w:t>
            </w:r>
            <w:r w:rsidRPr="00F0585D">
              <w:t>and subsequent annual penalty increases.</w:t>
            </w:r>
          </w:p>
        </w:tc>
        <w:tc>
          <w:tcPr>
            <w:tcW w:w="4819" w:type="dxa"/>
          </w:tcPr>
          <w:p w14:paraId="5C606D29" w14:textId="590B8A37" w:rsidR="000A134A" w:rsidRPr="001C1E47" w:rsidRDefault="009C7FD0" w:rsidP="007A71AC">
            <w:pPr>
              <w:widowControl/>
              <w:autoSpaceDE/>
              <w:autoSpaceDN/>
              <w:adjustRightInd/>
              <w:rPr>
                <w:rFonts w:cs="Calibri"/>
              </w:rPr>
            </w:pPr>
            <w:r>
              <w:t xml:space="preserve">The </w:t>
            </w:r>
            <w:r w:rsidRPr="00F0585D">
              <w:t>MIOSHA State Plan should work with their state authorities</w:t>
            </w:r>
            <w:r w:rsidRPr="00F0585D">
              <w:rPr>
                <w:spacing w:val="-8"/>
              </w:rPr>
              <w:t xml:space="preserve"> </w:t>
            </w:r>
            <w:r w:rsidRPr="00F0585D">
              <w:t>to</w:t>
            </w:r>
            <w:r w:rsidRPr="00F0585D">
              <w:rPr>
                <w:spacing w:val="-6"/>
              </w:rPr>
              <w:t xml:space="preserve"> </w:t>
            </w:r>
            <w:r w:rsidRPr="00F0585D">
              <w:t>complete</w:t>
            </w:r>
            <w:r w:rsidRPr="00F0585D">
              <w:rPr>
                <w:spacing w:val="-7"/>
              </w:rPr>
              <w:t xml:space="preserve"> </w:t>
            </w:r>
            <w:r w:rsidRPr="00F0585D">
              <w:t>the</w:t>
            </w:r>
            <w:r w:rsidRPr="00F0585D">
              <w:rPr>
                <w:spacing w:val="-7"/>
              </w:rPr>
              <w:t xml:space="preserve"> </w:t>
            </w:r>
            <w:r w:rsidRPr="00F0585D">
              <w:t>legislative</w:t>
            </w:r>
            <w:r w:rsidRPr="00F0585D">
              <w:rPr>
                <w:spacing w:val="-7"/>
              </w:rPr>
              <w:t xml:space="preserve"> </w:t>
            </w:r>
            <w:r w:rsidRPr="00F0585D">
              <w:t>changes</w:t>
            </w:r>
            <w:r w:rsidRPr="00F0585D">
              <w:rPr>
                <w:spacing w:val="-8"/>
              </w:rPr>
              <w:t xml:space="preserve"> </w:t>
            </w:r>
            <w:r w:rsidRPr="00F0585D">
              <w:t>necessary to enable it to adopt maximum and minimum penalty</w:t>
            </w:r>
            <w:r>
              <w:t xml:space="preserve"> </w:t>
            </w:r>
            <w:r w:rsidRPr="00F0585D">
              <w:t>amounts</w:t>
            </w:r>
            <w:r w:rsidRPr="00F0585D">
              <w:rPr>
                <w:spacing w:val="-6"/>
              </w:rPr>
              <w:t xml:space="preserve"> </w:t>
            </w:r>
            <w:r w:rsidRPr="00F0585D">
              <w:t>that</w:t>
            </w:r>
            <w:r w:rsidRPr="00F0585D">
              <w:rPr>
                <w:spacing w:val="-5"/>
              </w:rPr>
              <w:t xml:space="preserve"> </w:t>
            </w:r>
            <w:r w:rsidRPr="00F0585D">
              <w:t>are</w:t>
            </w:r>
            <w:r w:rsidRPr="00F0585D">
              <w:rPr>
                <w:spacing w:val="-5"/>
              </w:rPr>
              <w:t xml:space="preserve"> </w:t>
            </w:r>
            <w:r w:rsidRPr="00F0585D">
              <w:t>at</w:t>
            </w:r>
            <w:r w:rsidRPr="00F0585D">
              <w:rPr>
                <w:spacing w:val="-5"/>
              </w:rPr>
              <w:t xml:space="preserve"> </w:t>
            </w:r>
            <w:r w:rsidRPr="00F0585D">
              <w:t>least</w:t>
            </w:r>
            <w:r w:rsidRPr="00F0585D">
              <w:rPr>
                <w:spacing w:val="-5"/>
              </w:rPr>
              <w:t xml:space="preserve"> </w:t>
            </w:r>
            <w:r w:rsidRPr="00F0585D">
              <w:t>as</w:t>
            </w:r>
            <w:r w:rsidRPr="00F0585D">
              <w:rPr>
                <w:spacing w:val="-6"/>
              </w:rPr>
              <w:t xml:space="preserve"> </w:t>
            </w:r>
            <w:r w:rsidRPr="00F0585D">
              <w:t>effective</w:t>
            </w:r>
            <w:r w:rsidRPr="00F0585D">
              <w:rPr>
                <w:spacing w:val="-5"/>
              </w:rPr>
              <w:t xml:space="preserve"> </w:t>
            </w:r>
            <w:r w:rsidRPr="00F0585D">
              <w:t>as</w:t>
            </w:r>
            <w:r w:rsidRPr="00F0585D">
              <w:rPr>
                <w:spacing w:val="-6"/>
              </w:rPr>
              <w:t xml:space="preserve"> </w:t>
            </w:r>
            <w:r w:rsidRPr="00F0585D">
              <w:t>OSHA’s maximum and minimum penalty levels.</w:t>
            </w:r>
          </w:p>
          <w:p w14:paraId="7A48B2C8" w14:textId="77777777" w:rsidR="000A134A" w:rsidRPr="001C1E47" w:rsidRDefault="000A134A" w:rsidP="007A71AC">
            <w:pPr>
              <w:widowControl/>
              <w:autoSpaceDE/>
              <w:autoSpaceDN/>
              <w:adjustRightInd/>
              <w:rPr>
                <w:rFonts w:cs="Calibri"/>
              </w:rPr>
            </w:pPr>
          </w:p>
        </w:tc>
        <w:tc>
          <w:tcPr>
            <w:tcW w:w="1890" w:type="dxa"/>
          </w:tcPr>
          <w:p w14:paraId="51FF8A48" w14:textId="55EE271E" w:rsidR="000A134A" w:rsidRPr="001C1E47" w:rsidRDefault="000A134A" w:rsidP="007A71AC">
            <w:pPr>
              <w:widowControl/>
              <w:autoSpaceDE/>
              <w:autoSpaceDN/>
              <w:adjustRightInd/>
              <w:rPr>
                <w:rFonts w:cs="Calibri"/>
              </w:rPr>
            </w:pPr>
            <w:r w:rsidRPr="001C1E47">
              <w:rPr>
                <w:rFonts w:cs="Calibri"/>
              </w:rPr>
              <w:t xml:space="preserve"> </w:t>
            </w:r>
            <w:r w:rsidR="00841A20">
              <w:rPr>
                <w:rFonts w:cs="Calibri"/>
              </w:rPr>
              <w:t>FY 2023-01</w:t>
            </w:r>
          </w:p>
        </w:tc>
      </w:tr>
    </w:tbl>
    <w:p w14:paraId="3C1E0E19" w14:textId="77777777" w:rsidR="000A134A" w:rsidRPr="001C1E47" w:rsidRDefault="000A134A" w:rsidP="007A71AC">
      <w:pPr>
        <w:widowControl/>
        <w:autoSpaceDE/>
        <w:autoSpaceDN/>
        <w:adjustRightInd/>
        <w:rPr>
          <w:rFonts w:cs="Calibri"/>
        </w:rPr>
      </w:pPr>
    </w:p>
    <w:p w14:paraId="7C19C4AE" w14:textId="77777777" w:rsidR="00D86879" w:rsidRDefault="00D86879" w:rsidP="007A71AC">
      <w:pPr>
        <w:widowControl/>
        <w:autoSpaceDE/>
        <w:autoSpaceDN/>
        <w:adjustRightInd/>
        <w:rPr>
          <w:rFonts w:cs="Calibri"/>
          <w:iCs/>
          <w:color w:val="0070C0"/>
        </w:rPr>
      </w:pPr>
    </w:p>
    <w:p w14:paraId="50A2B854" w14:textId="77777777" w:rsidR="0031302B" w:rsidRDefault="0031302B" w:rsidP="007A71AC">
      <w:pPr>
        <w:widowControl/>
        <w:autoSpaceDE/>
        <w:autoSpaceDN/>
        <w:adjustRightInd/>
        <w:rPr>
          <w:rFonts w:cs="Calibri"/>
          <w:iCs/>
          <w:color w:val="0070C0"/>
        </w:rPr>
      </w:pPr>
    </w:p>
    <w:p w14:paraId="74B4EFAA" w14:textId="77777777" w:rsidR="0031302B" w:rsidRDefault="0031302B" w:rsidP="007A71AC">
      <w:pPr>
        <w:widowControl/>
        <w:autoSpaceDE/>
        <w:autoSpaceDN/>
        <w:adjustRightInd/>
        <w:rPr>
          <w:rFonts w:cs="Calibri"/>
          <w:iCs/>
          <w:color w:val="0070C0"/>
        </w:rPr>
      </w:pPr>
    </w:p>
    <w:p w14:paraId="36706202" w14:textId="77777777" w:rsidR="0031302B" w:rsidRDefault="0031302B" w:rsidP="007A71AC">
      <w:pPr>
        <w:widowControl/>
        <w:autoSpaceDE/>
        <w:autoSpaceDN/>
        <w:adjustRightInd/>
        <w:rPr>
          <w:rFonts w:cs="Calibri"/>
          <w:iCs/>
          <w:color w:val="0070C0"/>
        </w:rPr>
      </w:pPr>
    </w:p>
    <w:p w14:paraId="358EFE95" w14:textId="77777777" w:rsidR="0031302B" w:rsidRDefault="0031302B" w:rsidP="007A71AC">
      <w:pPr>
        <w:widowControl/>
        <w:autoSpaceDE/>
        <w:autoSpaceDN/>
        <w:adjustRightInd/>
        <w:rPr>
          <w:rFonts w:cs="Calibri"/>
          <w:iCs/>
          <w:color w:val="0070C0"/>
        </w:rPr>
      </w:pPr>
    </w:p>
    <w:p w14:paraId="513919D7" w14:textId="77777777" w:rsidR="0031302B" w:rsidRDefault="0031302B" w:rsidP="007A71AC">
      <w:pPr>
        <w:widowControl/>
        <w:autoSpaceDE/>
        <w:autoSpaceDN/>
        <w:adjustRightInd/>
        <w:rPr>
          <w:rFonts w:cs="Calibri"/>
          <w:iCs/>
          <w:color w:val="0070C0"/>
        </w:rPr>
      </w:pPr>
    </w:p>
    <w:p w14:paraId="42AFDD6F" w14:textId="77777777" w:rsidR="0031302B" w:rsidRDefault="0031302B" w:rsidP="007A71AC">
      <w:pPr>
        <w:widowControl/>
        <w:autoSpaceDE/>
        <w:autoSpaceDN/>
        <w:adjustRightInd/>
        <w:rPr>
          <w:rFonts w:cs="Calibri"/>
          <w:iCs/>
          <w:color w:val="0070C0"/>
        </w:rPr>
      </w:pPr>
    </w:p>
    <w:p w14:paraId="6C267A24" w14:textId="77777777" w:rsidR="0031302B" w:rsidRDefault="0031302B" w:rsidP="007A71AC">
      <w:pPr>
        <w:widowControl/>
        <w:autoSpaceDE/>
        <w:autoSpaceDN/>
        <w:adjustRightInd/>
        <w:rPr>
          <w:rFonts w:cs="Calibri"/>
          <w:iCs/>
          <w:color w:val="0070C0"/>
        </w:rPr>
      </w:pPr>
    </w:p>
    <w:p w14:paraId="017CB465" w14:textId="77777777" w:rsidR="0031302B" w:rsidRDefault="0031302B" w:rsidP="007A71AC">
      <w:pPr>
        <w:widowControl/>
        <w:autoSpaceDE/>
        <w:autoSpaceDN/>
        <w:adjustRightInd/>
        <w:rPr>
          <w:rFonts w:cs="Calibri"/>
          <w:iCs/>
          <w:color w:val="0070C0"/>
        </w:rPr>
      </w:pPr>
    </w:p>
    <w:p w14:paraId="1BD00BAC" w14:textId="77777777" w:rsidR="0031302B" w:rsidRDefault="0031302B" w:rsidP="007A71AC">
      <w:pPr>
        <w:widowControl/>
        <w:autoSpaceDE/>
        <w:autoSpaceDN/>
        <w:adjustRightInd/>
        <w:rPr>
          <w:rFonts w:cs="Calibri"/>
          <w:iCs/>
          <w:color w:val="0070C0"/>
        </w:rPr>
      </w:pPr>
    </w:p>
    <w:p w14:paraId="50DCFF82" w14:textId="77777777" w:rsidR="0031302B" w:rsidRDefault="0031302B" w:rsidP="007A71AC">
      <w:pPr>
        <w:widowControl/>
        <w:autoSpaceDE/>
        <w:autoSpaceDN/>
        <w:adjustRightInd/>
        <w:rPr>
          <w:rFonts w:cs="Calibri"/>
          <w:iCs/>
          <w:color w:val="0070C0"/>
        </w:rPr>
      </w:pPr>
    </w:p>
    <w:p w14:paraId="2C374316" w14:textId="77777777" w:rsidR="0031302B" w:rsidRPr="001C1E47" w:rsidRDefault="0031302B" w:rsidP="007A71AC">
      <w:pPr>
        <w:widowControl/>
        <w:autoSpaceDE/>
        <w:autoSpaceDN/>
        <w:adjustRightInd/>
        <w:rPr>
          <w:rFonts w:cs="Calibri"/>
          <w:i/>
        </w:rPr>
      </w:pPr>
    </w:p>
    <w:p w14:paraId="039B49D1" w14:textId="77777777" w:rsidR="00D86879" w:rsidRPr="001C1E47" w:rsidRDefault="00D86879" w:rsidP="007A71AC">
      <w:pPr>
        <w:widowControl/>
        <w:autoSpaceDE/>
        <w:autoSpaceDN/>
        <w:adjustRightInd/>
        <w:rPr>
          <w:rFonts w:cs="Calibri"/>
          <w:i/>
        </w:rPr>
      </w:pPr>
    </w:p>
    <w:p w14:paraId="776B7B1D" w14:textId="77777777" w:rsidR="00D86879" w:rsidRPr="001C1E47" w:rsidRDefault="00D86879" w:rsidP="007A71AC">
      <w:pPr>
        <w:widowControl/>
        <w:autoSpaceDE/>
        <w:autoSpaceDN/>
        <w:adjustRightInd/>
        <w:rPr>
          <w:rFonts w:cs="Calibri"/>
          <w:i/>
        </w:rPr>
      </w:pPr>
    </w:p>
    <w:p w14:paraId="715EFD78" w14:textId="77777777" w:rsidR="00D86879" w:rsidRPr="001C1E47" w:rsidRDefault="00D86879" w:rsidP="007A71AC">
      <w:pPr>
        <w:widowControl/>
        <w:autoSpaceDE/>
        <w:autoSpaceDN/>
        <w:adjustRightInd/>
        <w:rPr>
          <w:rFonts w:cs="Calibri"/>
          <w:i/>
        </w:rPr>
      </w:pPr>
    </w:p>
    <w:p w14:paraId="72DA695E" w14:textId="77777777" w:rsidR="00B6741C" w:rsidRPr="0002572C" w:rsidRDefault="00B6741C" w:rsidP="00203F34">
      <w:pPr>
        <w:pStyle w:val="Heading3"/>
        <w:numPr>
          <w:ilvl w:val="0"/>
          <w:numId w:val="0"/>
        </w:numPr>
      </w:pPr>
      <w:bookmarkStart w:id="25" w:name="_Toc118905018"/>
      <w:bookmarkStart w:id="26" w:name="_Toc119418670"/>
      <w:r w:rsidRPr="0002572C">
        <w:lastRenderedPageBreak/>
        <w:t>Appendix B – Observations Subject to Continued Monitoring</w:t>
      </w:r>
      <w:bookmarkEnd w:id="25"/>
      <w:bookmarkEnd w:id="26"/>
    </w:p>
    <w:p w14:paraId="73014EBD" w14:textId="0F0EEB54" w:rsidR="00B6741C" w:rsidRDefault="00B6741C" w:rsidP="0002572C">
      <w:r>
        <w:t xml:space="preserve">FY </w:t>
      </w:r>
      <w:r w:rsidRPr="003F6EC3">
        <w:t>20</w:t>
      </w:r>
      <w:r w:rsidR="0031302B" w:rsidRPr="003F6EC3">
        <w:t>2</w:t>
      </w:r>
      <w:r w:rsidR="00977C51" w:rsidRPr="003F6EC3">
        <w:t>4</w:t>
      </w:r>
      <w:r w:rsidRPr="003F6EC3">
        <w:t xml:space="preserve"> </w:t>
      </w:r>
      <w:r w:rsidR="0031302B" w:rsidRPr="003F6EC3">
        <w:t>MIOSHA</w:t>
      </w:r>
      <w:r w:rsidRPr="003F6EC3">
        <w:t xml:space="preserve"> Follow</w:t>
      </w:r>
      <w:r>
        <w:t>-up FAME Report</w:t>
      </w:r>
    </w:p>
    <w:p w14:paraId="6D8D7E0B" w14:textId="77777777" w:rsidR="00203F34" w:rsidRPr="00F0678A" w:rsidRDefault="00203F34" w:rsidP="0002572C"/>
    <w:tbl>
      <w:tblPr>
        <w:tblStyle w:val="TableGrid"/>
        <w:tblW w:w="12415" w:type="dxa"/>
        <w:tblLook w:val="04A0" w:firstRow="1" w:lastRow="0" w:firstColumn="1" w:lastColumn="0" w:noHBand="0" w:noVBand="1"/>
      </w:tblPr>
      <w:tblGrid>
        <w:gridCol w:w="1885"/>
        <w:gridCol w:w="1980"/>
        <w:gridCol w:w="3150"/>
        <w:gridCol w:w="3283"/>
        <w:gridCol w:w="2117"/>
      </w:tblGrid>
      <w:tr w:rsidR="00B6741C" w:rsidRPr="00E35E8A" w14:paraId="266E8016" w14:textId="4E26EFF8" w:rsidTr="001F199F">
        <w:trPr>
          <w:cantSplit/>
          <w:tblHeader/>
        </w:trPr>
        <w:tc>
          <w:tcPr>
            <w:tcW w:w="1885" w:type="dxa"/>
          </w:tcPr>
          <w:p w14:paraId="5950BEA4" w14:textId="77777777" w:rsidR="00B6741C" w:rsidRPr="00E35E8A" w:rsidRDefault="00B6741C" w:rsidP="00B6741C">
            <w:pPr>
              <w:widowControl/>
              <w:autoSpaceDE/>
              <w:autoSpaceDN/>
              <w:adjustRightInd/>
              <w:rPr>
                <w:rFonts w:cs="Calibri"/>
                <w:b/>
              </w:rPr>
            </w:pPr>
            <w:r w:rsidRPr="00E35E8A">
              <w:rPr>
                <w:rFonts w:cs="Calibri"/>
                <w:b/>
              </w:rPr>
              <w:t>Observation #</w:t>
            </w:r>
          </w:p>
          <w:p w14:paraId="09AE72D2" w14:textId="355C2865" w:rsidR="00B6741C" w:rsidRPr="00E35E8A" w:rsidRDefault="00B6741C" w:rsidP="00B6741C">
            <w:pPr>
              <w:widowControl/>
              <w:autoSpaceDE/>
              <w:autoSpaceDN/>
              <w:adjustRightInd/>
              <w:rPr>
                <w:rFonts w:cs="Calibri"/>
                <w:b/>
              </w:rPr>
            </w:pPr>
            <w:r w:rsidRPr="00E35E8A">
              <w:rPr>
                <w:rFonts w:cs="Calibri"/>
                <w:b/>
              </w:rPr>
              <w:t>FY 20</w:t>
            </w:r>
            <w:r w:rsidR="00BF4031">
              <w:rPr>
                <w:rFonts w:cs="Calibri"/>
                <w:b/>
              </w:rPr>
              <w:t>2</w:t>
            </w:r>
            <w:r w:rsidR="00977C51">
              <w:rPr>
                <w:rFonts w:cs="Calibri"/>
                <w:b/>
              </w:rPr>
              <w:t>4</w:t>
            </w:r>
            <w:r w:rsidRPr="00E35E8A">
              <w:rPr>
                <w:rFonts w:cs="Calibri"/>
                <w:b/>
              </w:rPr>
              <w:t>-OB-#</w:t>
            </w:r>
          </w:p>
          <w:p w14:paraId="07702D17" w14:textId="77777777" w:rsidR="00B6741C" w:rsidRPr="00E35E8A" w:rsidRDefault="00B6741C" w:rsidP="00B6741C">
            <w:pPr>
              <w:widowControl/>
              <w:autoSpaceDE/>
              <w:autoSpaceDN/>
              <w:adjustRightInd/>
              <w:rPr>
                <w:rFonts w:cs="Calibri"/>
                <w:i/>
              </w:rPr>
            </w:pPr>
          </w:p>
        </w:tc>
        <w:tc>
          <w:tcPr>
            <w:tcW w:w="1980" w:type="dxa"/>
          </w:tcPr>
          <w:p w14:paraId="5B8F9311" w14:textId="77777777" w:rsidR="00B6741C" w:rsidRPr="00E35E8A" w:rsidRDefault="00B6741C" w:rsidP="00B6741C">
            <w:pPr>
              <w:widowControl/>
              <w:autoSpaceDE/>
              <w:autoSpaceDN/>
              <w:adjustRightInd/>
              <w:rPr>
                <w:rFonts w:cs="Calibri"/>
                <w:b/>
              </w:rPr>
            </w:pPr>
            <w:r w:rsidRPr="00E35E8A">
              <w:rPr>
                <w:rFonts w:cs="Calibri"/>
                <w:b/>
              </w:rPr>
              <w:t>Observation#</w:t>
            </w:r>
          </w:p>
          <w:p w14:paraId="757E85A6" w14:textId="63DBF876" w:rsidR="00B6741C" w:rsidRPr="00E35E8A" w:rsidRDefault="00B6741C" w:rsidP="00B6741C">
            <w:pPr>
              <w:widowControl/>
              <w:autoSpaceDE/>
              <w:autoSpaceDN/>
              <w:adjustRightInd/>
              <w:rPr>
                <w:rFonts w:cs="Calibri"/>
                <w:i/>
              </w:rPr>
            </w:pPr>
            <w:r w:rsidRPr="00E35E8A">
              <w:rPr>
                <w:rFonts w:cs="Calibri"/>
                <w:b/>
              </w:rPr>
              <w:t>FY 20</w:t>
            </w:r>
            <w:r w:rsidR="009655D8">
              <w:rPr>
                <w:rFonts w:cs="Calibri"/>
                <w:b/>
              </w:rPr>
              <w:t>2</w:t>
            </w:r>
            <w:r w:rsidR="00977C51">
              <w:rPr>
                <w:rFonts w:cs="Calibri"/>
                <w:b/>
              </w:rPr>
              <w:t>3</w:t>
            </w:r>
            <w:r w:rsidRPr="00E35E8A">
              <w:rPr>
                <w:rFonts w:cs="Calibri"/>
                <w:b/>
              </w:rPr>
              <w:t xml:space="preserve">-OB-# </w:t>
            </w:r>
          </w:p>
        </w:tc>
        <w:tc>
          <w:tcPr>
            <w:tcW w:w="3150" w:type="dxa"/>
          </w:tcPr>
          <w:p w14:paraId="11DA1749" w14:textId="7AE042CC" w:rsidR="00B6741C" w:rsidRPr="00E35E8A" w:rsidRDefault="00B6741C" w:rsidP="00B6741C">
            <w:pPr>
              <w:widowControl/>
              <w:autoSpaceDE/>
              <w:autoSpaceDN/>
              <w:adjustRightInd/>
              <w:rPr>
                <w:rFonts w:cs="Calibri"/>
                <w:i/>
              </w:rPr>
            </w:pPr>
            <w:r w:rsidRPr="00E35E8A">
              <w:rPr>
                <w:rFonts w:cs="Calibri"/>
                <w:b/>
              </w:rPr>
              <w:t>Observation</w:t>
            </w:r>
          </w:p>
        </w:tc>
        <w:tc>
          <w:tcPr>
            <w:tcW w:w="3283" w:type="dxa"/>
          </w:tcPr>
          <w:p w14:paraId="76BC073C" w14:textId="70BBC1B0" w:rsidR="00B6741C" w:rsidRPr="00E35E8A" w:rsidRDefault="00B6741C" w:rsidP="00B6741C">
            <w:pPr>
              <w:widowControl/>
              <w:autoSpaceDE/>
              <w:autoSpaceDN/>
              <w:adjustRightInd/>
              <w:rPr>
                <w:rFonts w:cs="Calibri"/>
                <w:i/>
              </w:rPr>
            </w:pPr>
            <w:r w:rsidRPr="00E35E8A">
              <w:rPr>
                <w:rFonts w:cs="Calibri"/>
                <w:b/>
              </w:rPr>
              <w:t>Federal Monitoring Plan</w:t>
            </w:r>
          </w:p>
        </w:tc>
        <w:tc>
          <w:tcPr>
            <w:tcW w:w="2117" w:type="dxa"/>
          </w:tcPr>
          <w:p w14:paraId="46D0EE63" w14:textId="4A2BA825" w:rsidR="00B6741C" w:rsidRPr="00E35E8A" w:rsidRDefault="00B6741C" w:rsidP="00B6741C">
            <w:pPr>
              <w:widowControl/>
              <w:autoSpaceDE/>
              <w:autoSpaceDN/>
              <w:adjustRightInd/>
              <w:rPr>
                <w:rFonts w:cs="Calibri"/>
                <w:b/>
              </w:rPr>
            </w:pPr>
            <w:r w:rsidRPr="00E35E8A">
              <w:rPr>
                <w:rFonts w:cs="Calibri"/>
                <w:b/>
              </w:rPr>
              <w:t>Current Status</w:t>
            </w:r>
          </w:p>
        </w:tc>
      </w:tr>
      <w:tr w:rsidR="00B6741C" w:rsidRPr="00E35E8A" w14:paraId="715083EB" w14:textId="58561804" w:rsidTr="001F199F">
        <w:trPr>
          <w:cantSplit/>
        </w:trPr>
        <w:tc>
          <w:tcPr>
            <w:tcW w:w="1885" w:type="dxa"/>
          </w:tcPr>
          <w:p w14:paraId="514C1621" w14:textId="67BA0BBF" w:rsidR="00B6741C" w:rsidRPr="003F6EC3" w:rsidRDefault="00B6741C" w:rsidP="00B6741C">
            <w:pPr>
              <w:widowControl/>
              <w:autoSpaceDE/>
              <w:autoSpaceDN/>
              <w:adjustRightInd/>
              <w:rPr>
                <w:rFonts w:cs="Calibri"/>
                <w:iCs/>
              </w:rPr>
            </w:pPr>
            <w:r w:rsidRPr="003F6EC3">
              <w:rPr>
                <w:rFonts w:cs="Calibri"/>
                <w:iCs/>
              </w:rPr>
              <w:t>FY 20</w:t>
            </w:r>
            <w:r w:rsidR="00950EFD" w:rsidRPr="003F6EC3">
              <w:rPr>
                <w:rFonts w:cs="Calibri"/>
                <w:iCs/>
              </w:rPr>
              <w:t>2</w:t>
            </w:r>
            <w:r w:rsidR="00977C51" w:rsidRPr="003F6EC3">
              <w:rPr>
                <w:rFonts w:cs="Calibri"/>
                <w:iCs/>
              </w:rPr>
              <w:t>4</w:t>
            </w:r>
            <w:r w:rsidRPr="003F6EC3">
              <w:rPr>
                <w:rFonts w:cs="Calibri"/>
                <w:iCs/>
              </w:rPr>
              <w:t>-OB-01</w:t>
            </w:r>
          </w:p>
          <w:p w14:paraId="7834860F" w14:textId="77777777" w:rsidR="00B6741C" w:rsidRPr="003F6EC3" w:rsidRDefault="00B6741C" w:rsidP="00B6741C">
            <w:pPr>
              <w:widowControl/>
              <w:autoSpaceDE/>
              <w:autoSpaceDN/>
              <w:adjustRightInd/>
              <w:rPr>
                <w:rFonts w:cs="Calibri"/>
                <w:iCs/>
              </w:rPr>
            </w:pPr>
          </w:p>
        </w:tc>
        <w:tc>
          <w:tcPr>
            <w:tcW w:w="1980" w:type="dxa"/>
          </w:tcPr>
          <w:p w14:paraId="0E657848" w14:textId="6E811F85" w:rsidR="00B6741C" w:rsidRPr="003F6EC3" w:rsidRDefault="00B6741C" w:rsidP="00B6741C">
            <w:pPr>
              <w:widowControl/>
              <w:autoSpaceDE/>
              <w:autoSpaceDN/>
              <w:adjustRightInd/>
              <w:rPr>
                <w:rFonts w:cs="Calibri"/>
                <w:iCs/>
              </w:rPr>
            </w:pPr>
            <w:r w:rsidRPr="003F6EC3">
              <w:rPr>
                <w:rFonts w:cs="Calibri"/>
                <w:iCs/>
              </w:rPr>
              <w:t>FY 20</w:t>
            </w:r>
            <w:r w:rsidR="00950EFD" w:rsidRPr="003F6EC3">
              <w:rPr>
                <w:rFonts w:cs="Calibri"/>
                <w:iCs/>
              </w:rPr>
              <w:t>2</w:t>
            </w:r>
            <w:r w:rsidR="00977C51" w:rsidRPr="003F6EC3">
              <w:rPr>
                <w:rFonts w:cs="Calibri"/>
                <w:iCs/>
              </w:rPr>
              <w:t>3</w:t>
            </w:r>
            <w:r w:rsidRPr="003F6EC3">
              <w:rPr>
                <w:rFonts w:cs="Calibri"/>
                <w:iCs/>
              </w:rPr>
              <w:t>-OB-01</w:t>
            </w:r>
          </w:p>
          <w:p w14:paraId="1207E4E3" w14:textId="77777777" w:rsidR="00B6741C" w:rsidRPr="003F6EC3" w:rsidRDefault="00B6741C" w:rsidP="00B6741C">
            <w:pPr>
              <w:widowControl/>
              <w:autoSpaceDE/>
              <w:autoSpaceDN/>
              <w:adjustRightInd/>
              <w:rPr>
                <w:rFonts w:cs="Calibri"/>
                <w:iCs/>
              </w:rPr>
            </w:pPr>
          </w:p>
        </w:tc>
        <w:tc>
          <w:tcPr>
            <w:tcW w:w="3150" w:type="dxa"/>
          </w:tcPr>
          <w:p w14:paraId="53E4A09F" w14:textId="44C61850" w:rsidR="00B6741C" w:rsidRPr="003F6EC3" w:rsidRDefault="003F6B4E" w:rsidP="00B6741C">
            <w:pPr>
              <w:widowControl/>
              <w:autoSpaceDE/>
              <w:autoSpaceDN/>
              <w:adjustRightInd/>
              <w:rPr>
                <w:rFonts w:cs="Calibri"/>
                <w:iCs/>
              </w:rPr>
            </w:pPr>
            <w:r>
              <w:rPr>
                <w:rFonts w:cs="Calibri"/>
                <w:iCs/>
              </w:rPr>
              <w:t>In FY 2023, e</w:t>
            </w:r>
            <w:r w:rsidR="00B97ACA" w:rsidRPr="003F6EC3">
              <w:rPr>
                <w:rFonts w:cs="Calibri"/>
                <w:iCs/>
              </w:rPr>
              <w:t>leven (22%) of the 50 administratively closed intakes reviewed were closed without Complainant contact. The Complainant was sent an Administrative Closure letter that claimed there was no protected activity and/or no adverse employment action being the reason no action was being taken on their complaint.</w:t>
            </w:r>
          </w:p>
        </w:tc>
        <w:tc>
          <w:tcPr>
            <w:tcW w:w="3283" w:type="dxa"/>
          </w:tcPr>
          <w:p w14:paraId="04F2CA88" w14:textId="3B490377" w:rsidR="00B6741C" w:rsidRPr="003F6EC3" w:rsidRDefault="00661C77" w:rsidP="00950EFD">
            <w:pPr>
              <w:widowControl/>
              <w:autoSpaceDE/>
              <w:autoSpaceDN/>
              <w:adjustRightInd/>
              <w:rPr>
                <w:rFonts w:cs="Calibri"/>
                <w:iCs/>
              </w:rPr>
            </w:pPr>
            <w:r w:rsidRPr="003F6EC3">
              <w:rPr>
                <w:rFonts w:cs="Calibri"/>
                <w:iCs/>
              </w:rPr>
              <w:t>OSHA will discuss and evaluate MIOSHA’s internal audits conducted in this area during quarterly monitoring meetings.</w:t>
            </w:r>
          </w:p>
        </w:tc>
        <w:tc>
          <w:tcPr>
            <w:tcW w:w="2117" w:type="dxa"/>
          </w:tcPr>
          <w:p w14:paraId="79E4394D" w14:textId="69407FCD" w:rsidR="00B6741C" w:rsidRPr="003F6EC3" w:rsidRDefault="00B6741C" w:rsidP="00B6741C">
            <w:pPr>
              <w:widowControl/>
              <w:autoSpaceDE/>
              <w:autoSpaceDN/>
              <w:adjustRightInd/>
              <w:rPr>
                <w:rFonts w:cs="Calibri"/>
                <w:iCs/>
              </w:rPr>
            </w:pPr>
            <w:r w:rsidRPr="003F6EC3">
              <w:rPr>
                <w:rFonts w:cs="Calibri"/>
                <w:iCs/>
              </w:rPr>
              <w:t>Continued</w:t>
            </w:r>
          </w:p>
        </w:tc>
      </w:tr>
      <w:tr w:rsidR="00950EFD" w:rsidRPr="00E35E8A" w14:paraId="5BCCF013" w14:textId="77777777" w:rsidTr="001F199F">
        <w:trPr>
          <w:cantSplit/>
        </w:trPr>
        <w:tc>
          <w:tcPr>
            <w:tcW w:w="1885" w:type="dxa"/>
          </w:tcPr>
          <w:p w14:paraId="531EE373" w14:textId="7F3C87A4" w:rsidR="00950EFD" w:rsidRPr="003F6EC3" w:rsidRDefault="00950EFD" w:rsidP="00950EFD">
            <w:pPr>
              <w:widowControl/>
              <w:autoSpaceDE/>
              <w:autoSpaceDN/>
              <w:adjustRightInd/>
              <w:rPr>
                <w:rFonts w:cs="Calibri"/>
                <w:iCs/>
              </w:rPr>
            </w:pPr>
            <w:r w:rsidRPr="003F6EC3">
              <w:rPr>
                <w:rFonts w:cs="Calibri"/>
                <w:iCs/>
              </w:rPr>
              <w:t>FY 202</w:t>
            </w:r>
            <w:r w:rsidR="00977C51" w:rsidRPr="003F6EC3">
              <w:rPr>
                <w:rFonts w:cs="Calibri"/>
                <w:iCs/>
              </w:rPr>
              <w:t>4</w:t>
            </w:r>
            <w:r w:rsidRPr="003F6EC3">
              <w:rPr>
                <w:rFonts w:cs="Calibri"/>
                <w:iCs/>
              </w:rPr>
              <w:t>-OB-0</w:t>
            </w:r>
            <w:r w:rsidR="009460AC">
              <w:rPr>
                <w:rFonts w:cs="Calibri"/>
                <w:iCs/>
              </w:rPr>
              <w:t>2</w:t>
            </w:r>
          </w:p>
          <w:p w14:paraId="49287324" w14:textId="77777777" w:rsidR="00950EFD" w:rsidRPr="003F6EC3" w:rsidRDefault="00950EFD" w:rsidP="00950EFD">
            <w:pPr>
              <w:widowControl/>
              <w:autoSpaceDE/>
              <w:autoSpaceDN/>
              <w:adjustRightInd/>
              <w:rPr>
                <w:rFonts w:cs="Calibri"/>
                <w:iCs/>
              </w:rPr>
            </w:pPr>
          </w:p>
        </w:tc>
        <w:tc>
          <w:tcPr>
            <w:tcW w:w="1980" w:type="dxa"/>
          </w:tcPr>
          <w:p w14:paraId="2FD61A69" w14:textId="7BAD5A54" w:rsidR="00950EFD" w:rsidRPr="003F6EC3" w:rsidRDefault="00950EFD" w:rsidP="00950EFD">
            <w:pPr>
              <w:widowControl/>
              <w:autoSpaceDE/>
              <w:autoSpaceDN/>
              <w:adjustRightInd/>
              <w:rPr>
                <w:rFonts w:cs="Calibri"/>
                <w:iCs/>
              </w:rPr>
            </w:pPr>
            <w:r w:rsidRPr="003F6EC3">
              <w:rPr>
                <w:rFonts w:cs="Calibri"/>
                <w:iCs/>
              </w:rPr>
              <w:t>FY 202</w:t>
            </w:r>
            <w:r w:rsidR="00977C51" w:rsidRPr="003F6EC3">
              <w:rPr>
                <w:rFonts w:cs="Calibri"/>
                <w:iCs/>
              </w:rPr>
              <w:t>3</w:t>
            </w:r>
            <w:r w:rsidRPr="003F6EC3">
              <w:rPr>
                <w:rFonts w:cs="Calibri"/>
                <w:iCs/>
              </w:rPr>
              <w:t>-OB-03</w:t>
            </w:r>
          </w:p>
        </w:tc>
        <w:tc>
          <w:tcPr>
            <w:tcW w:w="3150" w:type="dxa"/>
          </w:tcPr>
          <w:p w14:paraId="43C006B6" w14:textId="4596EE4B" w:rsidR="00950EFD" w:rsidRPr="003F6EC3" w:rsidRDefault="003F6B4E" w:rsidP="00950EFD">
            <w:pPr>
              <w:widowControl/>
              <w:autoSpaceDE/>
              <w:autoSpaceDN/>
              <w:adjustRightInd/>
              <w:rPr>
                <w:rFonts w:cs="Calibri"/>
                <w:iCs/>
              </w:rPr>
            </w:pPr>
            <w:r>
              <w:rPr>
                <w:rFonts w:cs="Calibri"/>
                <w:iCs/>
              </w:rPr>
              <w:t>In FY 2023, t</w:t>
            </w:r>
            <w:r w:rsidR="00B87683" w:rsidRPr="003F6EC3">
              <w:rPr>
                <w:rFonts w:cs="Calibri"/>
                <w:iCs/>
              </w:rPr>
              <w:t>wenty-one (52%) of 40 administratively closed files that were reviewed during the evaluation, and which were closed without Complainant contact, due to the lack of a protected activity, adverse employment action, jurisdiction, etc., lacked verification of the letter’s delivery.</w:t>
            </w:r>
          </w:p>
        </w:tc>
        <w:tc>
          <w:tcPr>
            <w:tcW w:w="3283" w:type="dxa"/>
          </w:tcPr>
          <w:p w14:paraId="38CE426B" w14:textId="496B8425" w:rsidR="00950EFD" w:rsidRPr="003F6EC3" w:rsidRDefault="00661C77" w:rsidP="00950EFD">
            <w:pPr>
              <w:widowControl/>
              <w:autoSpaceDE/>
              <w:autoSpaceDN/>
              <w:adjustRightInd/>
              <w:rPr>
                <w:rFonts w:cs="Calibri"/>
                <w:iCs/>
              </w:rPr>
            </w:pPr>
            <w:r w:rsidRPr="003F6EC3">
              <w:rPr>
                <w:rFonts w:cs="Calibri"/>
                <w:iCs/>
              </w:rPr>
              <w:t>OSHA will discuss and evaluate MIOSHA’s internal audits conducted in this area during quarterly monitoring meetings.</w:t>
            </w:r>
          </w:p>
        </w:tc>
        <w:tc>
          <w:tcPr>
            <w:tcW w:w="2117" w:type="dxa"/>
          </w:tcPr>
          <w:p w14:paraId="5BD6D597" w14:textId="5B26CE23" w:rsidR="00950EFD" w:rsidRPr="003F6EC3" w:rsidRDefault="00950EFD" w:rsidP="00950EFD">
            <w:pPr>
              <w:widowControl/>
              <w:autoSpaceDE/>
              <w:autoSpaceDN/>
              <w:adjustRightInd/>
              <w:rPr>
                <w:rFonts w:cs="Calibri"/>
                <w:iCs/>
              </w:rPr>
            </w:pPr>
            <w:r w:rsidRPr="003F6EC3">
              <w:rPr>
                <w:rFonts w:cs="Calibri"/>
                <w:iCs/>
              </w:rPr>
              <w:t>Continued</w:t>
            </w:r>
          </w:p>
        </w:tc>
      </w:tr>
      <w:tr w:rsidR="00950EFD" w:rsidRPr="00E35E8A" w14:paraId="03D81061" w14:textId="77777777" w:rsidTr="001F199F">
        <w:trPr>
          <w:cantSplit/>
        </w:trPr>
        <w:tc>
          <w:tcPr>
            <w:tcW w:w="1885" w:type="dxa"/>
          </w:tcPr>
          <w:p w14:paraId="7ABEF7FE" w14:textId="502CA0CE" w:rsidR="00950EFD" w:rsidRPr="003F6EC3" w:rsidRDefault="00950EFD" w:rsidP="00950EFD">
            <w:pPr>
              <w:widowControl/>
              <w:autoSpaceDE/>
              <w:autoSpaceDN/>
              <w:adjustRightInd/>
              <w:rPr>
                <w:rFonts w:cs="Calibri"/>
                <w:iCs/>
              </w:rPr>
            </w:pPr>
            <w:r w:rsidRPr="003F6EC3">
              <w:rPr>
                <w:rFonts w:cs="Calibri"/>
                <w:iCs/>
              </w:rPr>
              <w:lastRenderedPageBreak/>
              <w:t>FY 202</w:t>
            </w:r>
            <w:r w:rsidR="00977C51" w:rsidRPr="003F6EC3">
              <w:rPr>
                <w:rFonts w:cs="Calibri"/>
                <w:iCs/>
              </w:rPr>
              <w:t>4</w:t>
            </w:r>
            <w:r w:rsidRPr="003F6EC3">
              <w:rPr>
                <w:rFonts w:cs="Calibri"/>
                <w:iCs/>
              </w:rPr>
              <w:t>-OB-0</w:t>
            </w:r>
            <w:r w:rsidR="009460AC">
              <w:rPr>
                <w:rFonts w:cs="Calibri"/>
                <w:iCs/>
              </w:rPr>
              <w:t>3</w:t>
            </w:r>
          </w:p>
          <w:p w14:paraId="56DB46A4" w14:textId="77777777" w:rsidR="00950EFD" w:rsidRPr="003F6EC3" w:rsidRDefault="00950EFD" w:rsidP="00950EFD">
            <w:pPr>
              <w:widowControl/>
              <w:autoSpaceDE/>
              <w:autoSpaceDN/>
              <w:adjustRightInd/>
              <w:rPr>
                <w:rFonts w:cs="Calibri"/>
                <w:iCs/>
              </w:rPr>
            </w:pPr>
          </w:p>
        </w:tc>
        <w:tc>
          <w:tcPr>
            <w:tcW w:w="1980" w:type="dxa"/>
          </w:tcPr>
          <w:p w14:paraId="3531DC18" w14:textId="79DB8851" w:rsidR="00950EFD" w:rsidRPr="003F6EC3" w:rsidRDefault="00950EFD" w:rsidP="00950EFD">
            <w:pPr>
              <w:widowControl/>
              <w:autoSpaceDE/>
              <w:autoSpaceDN/>
              <w:adjustRightInd/>
              <w:rPr>
                <w:rFonts w:cs="Calibri"/>
                <w:iCs/>
              </w:rPr>
            </w:pPr>
            <w:r w:rsidRPr="003F6EC3">
              <w:rPr>
                <w:rFonts w:cs="Calibri"/>
                <w:iCs/>
              </w:rPr>
              <w:t>FY 202</w:t>
            </w:r>
            <w:r w:rsidR="00977C51" w:rsidRPr="003F6EC3">
              <w:rPr>
                <w:rFonts w:cs="Calibri"/>
                <w:iCs/>
              </w:rPr>
              <w:t>3</w:t>
            </w:r>
            <w:r w:rsidRPr="003F6EC3">
              <w:rPr>
                <w:rFonts w:cs="Calibri"/>
                <w:iCs/>
              </w:rPr>
              <w:t>-OB-04</w:t>
            </w:r>
          </w:p>
        </w:tc>
        <w:tc>
          <w:tcPr>
            <w:tcW w:w="3150" w:type="dxa"/>
          </w:tcPr>
          <w:p w14:paraId="54D54861" w14:textId="315B8997" w:rsidR="00950EFD" w:rsidRPr="003F6EC3" w:rsidRDefault="008E212D" w:rsidP="00950EFD">
            <w:pPr>
              <w:widowControl/>
              <w:autoSpaceDE/>
              <w:autoSpaceDN/>
              <w:adjustRightInd/>
              <w:rPr>
                <w:rFonts w:cs="Calibri"/>
                <w:iCs/>
              </w:rPr>
            </w:pPr>
            <w:r w:rsidRPr="003F6EC3">
              <w:rPr>
                <w:rFonts w:cs="Calibri"/>
                <w:iCs/>
              </w:rPr>
              <w:t xml:space="preserve">Disparate </w:t>
            </w:r>
            <w:r w:rsidR="00203F34">
              <w:rPr>
                <w:rFonts w:cs="Calibri"/>
                <w:iCs/>
              </w:rPr>
              <w:t>t</w:t>
            </w:r>
            <w:r w:rsidRPr="003F6EC3">
              <w:rPr>
                <w:rFonts w:cs="Calibri"/>
                <w:iCs/>
              </w:rPr>
              <w:t>reatment was not fully evaluated in 11 (46%) of the 24 full field case files that were reviewed</w:t>
            </w:r>
            <w:r w:rsidR="003F6B4E">
              <w:rPr>
                <w:rFonts w:cs="Calibri"/>
                <w:iCs/>
              </w:rPr>
              <w:t xml:space="preserve"> from FY 2023</w:t>
            </w:r>
            <w:r w:rsidRPr="003F6EC3">
              <w:rPr>
                <w:rFonts w:cs="Calibri"/>
                <w:iCs/>
              </w:rPr>
              <w:t>.</w:t>
            </w:r>
          </w:p>
        </w:tc>
        <w:tc>
          <w:tcPr>
            <w:tcW w:w="3283" w:type="dxa"/>
          </w:tcPr>
          <w:p w14:paraId="15468BE8" w14:textId="2FE588B1" w:rsidR="00950EFD" w:rsidRPr="003F6EC3" w:rsidRDefault="00661C77" w:rsidP="00950EFD">
            <w:pPr>
              <w:widowControl/>
              <w:autoSpaceDE/>
              <w:autoSpaceDN/>
              <w:adjustRightInd/>
              <w:rPr>
                <w:rFonts w:cs="Calibri"/>
                <w:iCs/>
              </w:rPr>
            </w:pPr>
            <w:r w:rsidRPr="003F6EC3">
              <w:rPr>
                <w:rFonts w:cs="Calibri"/>
                <w:iCs/>
              </w:rPr>
              <w:t>OSHA will discuss and evaluate MIOSHA’s internal audits conducted in this area during quarterly monitoring meetings.</w:t>
            </w:r>
          </w:p>
        </w:tc>
        <w:tc>
          <w:tcPr>
            <w:tcW w:w="2117" w:type="dxa"/>
          </w:tcPr>
          <w:p w14:paraId="4E71EE84" w14:textId="3476CE97" w:rsidR="00950EFD" w:rsidRPr="003F6EC3" w:rsidRDefault="00950EFD" w:rsidP="00950EFD">
            <w:pPr>
              <w:widowControl/>
              <w:autoSpaceDE/>
              <w:autoSpaceDN/>
              <w:adjustRightInd/>
              <w:rPr>
                <w:rFonts w:cs="Calibri"/>
                <w:iCs/>
              </w:rPr>
            </w:pPr>
            <w:r w:rsidRPr="003F6EC3">
              <w:rPr>
                <w:rFonts w:cs="Calibri"/>
                <w:iCs/>
              </w:rPr>
              <w:t>Continued</w:t>
            </w:r>
          </w:p>
        </w:tc>
      </w:tr>
    </w:tbl>
    <w:p w14:paraId="2352A70A" w14:textId="7478DFBA" w:rsidR="00E759AB" w:rsidRPr="001C1E47" w:rsidRDefault="00E759AB" w:rsidP="007A71AC">
      <w:pPr>
        <w:widowControl/>
        <w:autoSpaceDE/>
        <w:autoSpaceDN/>
        <w:adjustRightInd/>
        <w:rPr>
          <w:rFonts w:cs="Calibri"/>
          <w:i/>
          <w:sz w:val="22"/>
          <w:szCs w:val="22"/>
        </w:rPr>
      </w:pPr>
    </w:p>
    <w:p w14:paraId="3912394D" w14:textId="77777777" w:rsidR="000A134A" w:rsidRDefault="000A134A" w:rsidP="007A71AC">
      <w:pPr>
        <w:widowControl/>
        <w:autoSpaceDE/>
        <w:autoSpaceDN/>
        <w:adjustRightInd/>
        <w:rPr>
          <w:rFonts w:cs="Calibri"/>
          <w:i/>
          <w:sz w:val="22"/>
          <w:szCs w:val="22"/>
        </w:rPr>
      </w:pPr>
    </w:p>
    <w:p w14:paraId="183EDE01" w14:textId="1675A6FA" w:rsidR="00892D3A" w:rsidRDefault="00892D3A" w:rsidP="00996CB7">
      <w:pPr>
        <w:tabs>
          <w:tab w:val="left" w:pos="6980"/>
        </w:tabs>
        <w:rPr>
          <w:rFonts w:cs="Calibri"/>
          <w:i/>
          <w:sz w:val="22"/>
          <w:szCs w:val="22"/>
        </w:rPr>
      </w:pPr>
      <w:r>
        <w:rPr>
          <w:rFonts w:cs="Calibri"/>
          <w:i/>
          <w:sz w:val="22"/>
          <w:szCs w:val="22"/>
        </w:rPr>
        <w:tab/>
      </w:r>
    </w:p>
    <w:p w14:paraId="29D0546A" w14:textId="77777777" w:rsidR="00E40C15" w:rsidRDefault="00892D3A" w:rsidP="00C7012D">
      <w:pPr>
        <w:tabs>
          <w:tab w:val="left" w:pos="6980"/>
        </w:tabs>
        <w:rPr>
          <w:rFonts w:cs="Calibri"/>
          <w:sz w:val="22"/>
          <w:szCs w:val="22"/>
        </w:rPr>
      </w:pPr>
      <w:r>
        <w:rPr>
          <w:rFonts w:cs="Calibri"/>
          <w:sz w:val="22"/>
          <w:szCs w:val="22"/>
        </w:rPr>
        <w:tab/>
      </w:r>
      <w:bookmarkStart w:id="27" w:name="_Toc118905019"/>
      <w:bookmarkStart w:id="28" w:name="_Toc119418671"/>
    </w:p>
    <w:p w14:paraId="0619D2BE" w14:textId="77777777" w:rsidR="00E40C15" w:rsidRDefault="00E40C15" w:rsidP="00C7012D">
      <w:pPr>
        <w:tabs>
          <w:tab w:val="left" w:pos="6980"/>
        </w:tabs>
        <w:rPr>
          <w:rFonts w:cs="Calibri"/>
          <w:sz w:val="22"/>
          <w:szCs w:val="22"/>
        </w:rPr>
      </w:pPr>
    </w:p>
    <w:p w14:paraId="1D600483" w14:textId="77777777" w:rsidR="00E40C15" w:rsidRDefault="00E40C15" w:rsidP="00C7012D">
      <w:pPr>
        <w:tabs>
          <w:tab w:val="left" w:pos="6980"/>
        </w:tabs>
        <w:rPr>
          <w:rFonts w:cs="Calibri"/>
          <w:sz w:val="22"/>
          <w:szCs w:val="22"/>
        </w:rPr>
      </w:pPr>
    </w:p>
    <w:p w14:paraId="3336322A" w14:textId="77777777" w:rsidR="00E40C15" w:rsidRDefault="00E40C15" w:rsidP="00C7012D">
      <w:pPr>
        <w:tabs>
          <w:tab w:val="left" w:pos="6980"/>
        </w:tabs>
        <w:rPr>
          <w:rFonts w:cs="Calibri"/>
          <w:sz w:val="22"/>
          <w:szCs w:val="22"/>
        </w:rPr>
      </w:pPr>
    </w:p>
    <w:p w14:paraId="4FBADB17" w14:textId="77777777" w:rsidR="00E40C15" w:rsidRDefault="00E40C15" w:rsidP="00C7012D">
      <w:pPr>
        <w:tabs>
          <w:tab w:val="left" w:pos="6980"/>
        </w:tabs>
        <w:rPr>
          <w:rFonts w:cs="Calibri"/>
          <w:sz w:val="22"/>
          <w:szCs w:val="22"/>
        </w:rPr>
      </w:pPr>
    </w:p>
    <w:p w14:paraId="4C794CAC" w14:textId="77777777" w:rsidR="00E40C15" w:rsidRDefault="00E40C15" w:rsidP="00C7012D">
      <w:pPr>
        <w:tabs>
          <w:tab w:val="left" w:pos="6980"/>
        </w:tabs>
        <w:rPr>
          <w:rFonts w:cs="Calibri"/>
          <w:sz w:val="22"/>
          <w:szCs w:val="22"/>
        </w:rPr>
      </w:pPr>
    </w:p>
    <w:p w14:paraId="03000DE2" w14:textId="77777777" w:rsidR="00E40C15" w:rsidRDefault="00E40C15" w:rsidP="00C7012D">
      <w:pPr>
        <w:tabs>
          <w:tab w:val="left" w:pos="6980"/>
        </w:tabs>
        <w:rPr>
          <w:rFonts w:cs="Calibri"/>
          <w:sz w:val="22"/>
          <w:szCs w:val="22"/>
        </w:rPr>
      </w:pPr>
    </w:p>
    <w:p w14:paraId="7ED4A34E" w14:textId="77777777" w:rsidR="00E40C15" w:rsidRDefault="00E40C15" w:rsidP="00C7012D">
      <w:pPr>
        <w:tabs>
          <w:tab w:val="left" w:pos="6980"/>
        </w:tabs>
        <w:rPr>
          <w:rFonts w:cs="Calibri"/>
          <w:sz w:val="22"/>
          <w:szCs w:val="22"/>
        </w:rPr>
      </w:pPr>
    </w:p>
    <w:p w14:paraId="48FAC81B" w14:textId="77777777" w:rsidR="00E40C15" w:rsidRDefault="00E40C15" w:rsidP="00C7012D">
      <w:pPr>
        <w:tabs>
          <w:tab w:val="left" w:pos="6980"/>
        </w:tabs>
        <w:rPr>
          <w:rFonts w:cs="Calibri"/>
          <w:sz w:val="22"/>
          <w:szCs w:val="22"/>
        </w:rPr>
      </w:pPr>
    </w:p>
    <w:p w14:paraId="3EBD1603" w14:textId="77777777" w:rsidR="009460AC" w:rsidRDefault="009460AC" w:rsidP="00C7012D">
      <w:pPr>
        <w:tabs>
          <w:tab w:val="left" w:pos="6980"/>
        </w:tabs>
        <w:rPr>
          <w:rFonts w:cs="Calibri"/>
          <w:sz w:val="22"/>
          <w:szCs w:val="22"/>
        </w:rPr>
      </w:pPr>
    </w:p>
    <w:p w14:paraId="1D150FE4" w14:textId="77777777" w:rsidR="009460AC" w:rsidRDefault="009460AC" w:rsidP="00C7012D">
      <w:pPr>
        <w:tabs>
          <w:tab w:val="left" w:pos="6980"/>
        </w:tabs>
        <w:rPr>
          <w:rFonts w:cs="Calibri"/>
          <w:sz w:val="22"/>
          <w:szCs w:val="22"/>
        </w:rPr>
      </w:pPr>
    </w:p>
    <w:p w14:paraId="0AE30635" w14:textId="77777777" w:rsidR="009460AC" w:rsidRDefault="009460AC" w:rsidP="00C7012D">
      <w:pPr>
        <w:tabs>
          <w:tab w:val="left" w:pos="6980"/>
        </w:tabs>
        <w:rPr>
          <w:rFonts w:cs="Calibri"/>
          <w:sz w:val="22"/>
          <w:szCs w:val="22"/>
        </w:rPr>
      </w:pPr>
    </w:p>
    <w:p w14:paraId="571FDE1A" w14:textId="77777777" w:rsidR="009460AC" w:rsidRDefault="009460AC" w:rsidP="00C7012D">
      <w:pPr>
        <w:tabs>
          <w:tab w:val="left" w:pos="6980"/>
        </w:tabs>
        <w:rPr>
          <w:rFonts w:cs="Calibri"/>
          <w:sz w:val="22"/>
          <w:szCs w:val="22"/>
        </w:rPr>
      </w:pPr>
    </w:p>
    <w:p w14:paraId="68F2E164" w14:textId="77777777" w:rsidR="009460AC" w:rsidRDefault="009460AC" w:rsidP="00C7012D">
      <w:pPr>
        <w:tabs>
          <w:tab w:val="left" w:pos="6980"/>
        </w:tabs>
        <w:rPr>
          <w:rFonts w:cs="Calibri"/>
          <w:sz w:val="22"/>
          <w:szCs w:val="22"/>
        </w:rPr>
      </w:pPr>
    </w:p>
    <w:p w14:paraId="4B8630E1" w14:textId="77777777" w:rsidR="009460AC" w:rsidRDefault="009460AC" w:rsidP="00C7012D">
      <w:pPr>
        <w:tabs>
          <w:tab w:val="left" w:pos="6980"/>
        </w:tabs>
        <w:rPr>
          <w:rFonts w:cs="Calibri"/>
          <w:sz w:val="22"/>
          <w:szCs w:val="22"/>
        </w:rPr>
      </w:pPr>
    </w:p>
    <w:p w14:paraId="79C66DF8" w14:textId="77777777" w:rsidR="009460AC" w:rsidRDefault="009460AC" w:rsidP="00C7012D">
      <w:pPr>
        <w:tabs>
          <w:tab w:val="left" w:pos="6980"/>
        </w:tabs>
        <w:rPr>
          <w:rFonts w:cs="Calibri"/>
          <w:sz w:val="22"/>
          <w:szCs w:val="22"/>
        </w:rPr>
      </w:pPr>
    </w:p>
    <w:p w14:paraId="6D359FBB" w14:textId="77777777" w:rsidR="009460AC" w:rsidRDefault="009460AC" w:rsidP="00C7012D">
      <w:pPr>
        <w:tabs>
          <w:tab w:val="left" w:pos="6980"/>
        </w:tabs>
        <w:rPr>
          <w:rFonts w:cs="Calibri"/>
          <w:sz w:val="22"/>
          <w:szCs w:val="22"/>
        </w:rPr>
      </w:pPr>
    </w:p>
    <w:p w14:paraId="77E1DEA4" w14:textId="77777777" w:rsidR="009460AC" w:rsidRDefault="009460AC" w:rsidP="00C7012D">
      <w:pPr>
        <w:tabs>
          <w:tab w:val="left" w:pos="6980"/>
        </w:tabs>
        <w:rPr>
          <w:rFonts w:cs="Calibri"/>
          <w:sz w:val="22"/>
          <w:szCs w:val="22"/>
        </w:rPr>
      </w:pPr>
    </w:p>
    <w:p w14:paraId="462E0B43" w14:textId="77777777" w:rsidR="009460AC" w:rsidRDefault="009460AC" w:rsidP="00C7012D">
      <w:pPr>
        <w:tabs>
          <w:tab w:val="left" w:pos="6980"/>
        </w:tabs>
        <w:rPr>
          <w:rFonts w:cs="Calibri"/>
          <w:sz w:val="22"/>
          <w:szCs w:val="22"/>
        </w:rPr>
      </w:pPr>
    </w:p>
    <w:p w14:paraId="6283A8E2" w14:textId="77777777" w:rsidR="009460AC" w:rsidRDefault="009460AC" w:rsidP="00C7012D">
      <w:pPr>
        <w:tabs>
          <w:tab w:val="left" w:pos="6980"/>
        </w:tabs>
        <w:rPr>
          <w:rFonts w:cs="Calibri"/>
          <w:sz w:val="22"/>
          <w:szCs w:val="22"/>
        </w:rPr>
      </w:pPr>
    </w:p>
    <w:p w14:paraId="23069050" w14:textId="77777777" w:rsidR="009460AC" w:rsidRDefault="009460AC" w:rsidP="00C7012D">
      <w:pPr>
        <w:tabs>
          <w:tab w:val="left" w:pos="6980"/>
        </w:tabs>
        <w:rPr>
          <w:rFonts w:cs="Calibri"/>
          <w:sz w:val="22"/>
          <w:szCs w:val="22"/>
        </w:rPr>
      </w:pPr>
    </w:p>
    <w:p w14:paraId="1F682D5D" w14:textId="77777777" w:rsidR="00E40C15" w:rsidRDefault="00E40C15" w:rsidP="00C7012D">
      <w:pPr>
        <w:tabs>
          <w:tab w:val="left" w:pos="6980"/>
        </w:tabs>
        <w:rPr>
          <w:rFonts w:cs="Calibri"/>
          <w:sz w:val="22"/>
          <w:szCs w:val="22"/>
        </w:rPr>
      </w:pPr>
    </w:p>
    <w:p w14:paraId="0F366E47" w14:textId="77777777" w:rsidR="00E40C15" w:rsidRDefault="00E40C15" w:rsidP="00C7012D">
      <w:pPr>
        <w:tabs>
          <w:tab w:val="left" w:pos="6980"/>
        </w:tabs>
        <w:rPr>
          <w:rFonts w:cs="Calibri"/>
          <w:sz w:val="22"/>
          <w:szCs w:val="22"/>
        </w:rPr>
      </w:pPr>
    </w:p>
    <w:p w14:paraId="01176981" w14:textId="7AA10B2B" w:rsidR="00747710" w:rsidRPr="00E40C15" w:rsidRDefault="00747710" w:rsidP="00C7012D">
      <w:pPr>
        <w:tabs>
          <w:tab w:val="left" w:pos="6980"/>
        </w:tabs>
        <w:rPr>
          <w:b/>
          <w:bCs/>
          <w:sz w:val="28"/>
          <w:szCs w:val="28"/>
        </w:rPr>
      </w:pPr>
      <w:r w:rsidRPr="00E40C15">
        <w:rPr>
          <w:b/>
          <w:bCs/>
          <w:sz w:val="28"/>
          <w:szCs w:val="28"/>
        </w:rPr>
        <w:lastRenderedPageBreak/>
        <w:t>Appendix C - Status of FY 20</w:t>
      </w:r>
      <w:r w:rsidR="006C18A7" w:rsidRPr="00E40C15">
        <w:rPr>
          <w:b/>
          <w:bCs/>
          <w:sz w:val="28"/>
          <w:szCs w:val="28"/>
        </w:rPr>
        <w:t>23</w:t>
      </w:r>
      <w:r w:rsidRPr="00E40C15">
        <w:rPr>
          <w:b/>
          <w:bCs/>
          <w:sz w:val="28"/>
          <w:szCs w:val="28"/>
        </w:rPr>
        <w:t xml:space="preserve"> Findings and Recommendations</w:t>
      </w:r>
      <w:bookmarkEnd w:id="27"/>
      <w:bookmarkEnd w:id="28"/>
    </w:p>
    <w:p w14:paraId="45E6B5CB" w14:textId="7D17B4C3" w:rsidR="005367D5" w:rsidRPr="003F6EC3" w:rsidRDefault="00747710" w:rsidP="00FC191B">
      <w:r w:rsidRPr="00747710">
        <w:t xml:space="preserve">FY </w:t>
      </w:r>
      <w:r w:rsidRPr="003F6EC3">
        <w:t>20</w:t>
      </w:r>
      <w:r w:rsidR="008E212D" w:rsidRPr="003F6EC3">
        <w:t>2</w:t>
      </w:r>
      <w:r w:rsidR="00977C51" w:rsidRPr="003F6EC3">
        <w:t>4</w:t>
      </w:r>
      <w:r w:rsidRPr="003F6EC3">
        <w:t xml:space="preserve"> </w:t>
      </w:r>
      <w:r w:rsidR="008E212D" w:rsidRPr="003F6EC3">
        <w:t>MIOSHA</w:t>
      </w:r>
      <w:r w:rsidRPr="003F6EC3">
        <w:t xml:space="preserve"> Follow-up FAME Report</w:t>
      </w: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3F6EC3" w:rsidRPr="003F6EC3" w14:paraId="04152CB8" w14:textId="77777777" w:rsidTr="00D93CB3">
        <w:trPr>
          <w:trHeight w:val="412"/>
        </w:trPr>
        <w:tc>
          <w:tcPr>
            <w:tcW w:w="1435" w:type="dxa"/>
          </w:tcPr>
          <w:p w14:paraId="0FAB4AA2" w14:textId="7DC66A5B" w:rsidR="005367D5" w:rsidRPr="003F6EC3" w:rsidRDefault="005367D5" w:rsidP="00D93CB3">
            <w:pPr>
              <w:rPr>
                <w:rFonts w:cs="Calibri"/>
                <w:b/>
              </w:rPr>
            </w:pPr>
            <w:r w:rsidRPr="003F6EC3">
              <w:rPr>
                <w:rFonts w:cs="Calibri"/>
                <w:b/>
              </w:rPr>
              <w:t>FY 20</w:t>
            </w:r>
            <w:r w:rsidR="005C5FE3" w:rsidRPr="003F6EC3">
              <w:rPr>
                <w:rFonts w:cs="Calibri"/>
                <w:b/>
              </w:rPr>
              <w:t>2</w:t>
            </w:r>
            <w:r w:rsidR="00977C51" w:rsidRPr="003F6EC3">
              <w:rPr>
                <w:rFonts w:cs="Calibri"/>
                <w:b/>
              </w:rPr>
              <w:t>3</w:t>
            </w:r>
            <w:r w:rsidRPr="003F6EC3">
              <w:rPr>
                <w:rFonts w:cs="Calibri"/>
                <w:b/>
              </w:rPr>
              <w:t>-#</w:t>
            </w:r>
          </w:p>
        </w:tc>
        <w:tc>
          <w:tcPr>
            <w:tcW w:w="2098" w:type="dxa"/>
          </w:tcPr>
          <w:p w14:paraId="395AE41F" w14:textId="77777777" w:rsidR="005367D5" w:rsidRPr="003F6EC3" w:rsidRDefault="005367D5" w:rsidP="00D93CB3">
            <w:pPr>
              <w:rPr>
                <w:rFonts w:cs="Calibri"/>
                <w:b/>
              </w:rPr>
            </w:pPr>
            <w:r w:rsidRPr="003F6EC3">
              <w:rPr>
                <w:rFonts w:cs="Calibri"/>
                <w:b/>
              </w:rPr>
              <w:t>Finding</w:t>
            </w:r>
          </w:p>
        </w:tc>
        <w:tc>
          <w:tcPr>
            <w:tcW w:w="2250" w:type="dxa"/>
          </w:tcPr>
          <w:p w14:paraId="6EEE46BC" w14:textId="77777777" w:rsidR="005367D5" w:rsidRPr="003F6EC3" w:rsidRDefault="005367D5" w:rsidP="00D93CB3">
            <w:pPr>
              <w:rPr>
                <w:rFonts w:cs="Calibri"/>
                <w:b/>
              </w:rPr>
            </w:pPr>
            <w:r w:rsidRPr="003F6EC3">
              <w:rPr>
                <w:rFonts w:cs="Calibri"/>
                <w:b/>
              </w:rPr>
              <w:t>Recommendation</w:t>
            </w:r>
          </w:p>
        </w:tc>
        <w:tc>
          <w:tcPr>
            <w:tcW w:w="3960" w:type="dxa"/>
          </w:tcPr>
          <w:p w14:paraId="461C9375" w14:textId="77777777" w:rsidR="005367D5" w:rsidRPr="003F6EC3" w:rsidRDefault="005367D5" w:rsidP="00D93CB3">
            <w:pPr>
              <w:rPr>
                <w:rFonts w:cs="Calibri"/>
                <w:b/>
              </w:rPr>
            </w:pPr>
            <w:r w:rsidRPr="003F6EC3">
              <w:rPr>
                <w:rFonts w:cs="Calibri"/>
                <w:b/>
              </w:rPr>
              <w:t>State Plan Corrective Action</w:t>
            </w:r>
          </w:p>
        </w:tc>
        <w:tc>
          <w:tcPr>
            <w:tcW w:w="1592" w:type="dxa"/>
          </w:tcPr>
          <w:p w14:paraId="5151BE67" w14:textId="77777777" w:rsidR="005367D5" w:rsidRPr="003F6EC3" w:rsidRDefault="005367D5" w:rsidP="00D93CB3">
            <w:pPr>
              <w:rPr>
                <w:rFonts w:cs="Calibri"/>
                <w:b/>
              </w:rPr>
            </w:pPr>
            <w:r w:rsidRPr="003F6EC3">
              <w:rPr>
                <w:rFonts w:cs="Calibri"/>
                <w:b/>
              </w:rPr>
              <w:t>Completion Date</w:t>
            </w:r>
          </w:p>
        </w:tc>
        <w:tc>
          <w:tcPr>
            <w:tcW w:w="2250" w:type="dxa"/>
          </w:tcPr>
          <w:p w14:paraId="48025986" w14:textId="77777777" w:rsidR="005367D5" w:rsidRPr="003F6EC3" w:rsidRDefault="005367D5" w:rsidP="00D93CB3">
            <w:pPr>
              <w:rPr>
                <w:rFonts w:cs="Calibri"/>
                <w:b/>
              </w:rPr>
            </w:pPr>
            <w:r w:rsidRPr="003F6EC3">
              <w:rPr>
                <w:rFonts w:cs="Calibri"/>
                <w:b/>
              </w:rPr>
              <w:t xml:space="preserve">Current Status </w:t>
            </w:r>
          </w:p>
          <w:p w14:paraId="1D3136EF" w14:textId="77777777" w:rsidR="005367D5" w:rsidRPr="003F6EC3" w:rsidRDefault="005367D5" w:rsidP="00D93CB3">
            <w:pPr>
              <w:rPr>
                <w:rFonts w:cs="Calibri"/>
                <w:b/>
              </w:rPr>
            </w:pPr>
            <w:r w:rsidRPr="003F6EC3">
              <w:rPr>
                <w:rFonts w:cs="Calibri"/>
                <w:b/>
              </w:rPr>
              <w:t>and Date</w:t>
            </w:r>
          </w:p>
        </w:tc>
      </w:tr>
      <w:tr w:rsidR="005367D5" w:rsidRPr="001C1E47" w14:paraId="7244A508" w14:textId="77777777" w:rsidTr="00D93CB3">
        <w:trPr>
          <w:trHeight w:val="412"/>
        </w:trPr>
        <w:tc>
          <w:tcPr>
            <w:tcW w:w="1435" w:type="dxa"/>
          </w:tcPr>
          <w:p w14:paraId="3B6143AB" w14:textId="32D9F15C" w:rsidR="005367D5" w:rsidRPr="009D7A7C" w:rsidRDefault="008E1C27"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sz w:val="22"/>
                <w:szCs w:val="22"/>
              </w:rPr>
            </w:pPr>
            <w:r w:rsidRPr="009D7A7C">
              <w:rPr>
                <w:rFonts w:eastAsia="PMingLiU" w:cs="Calibri"/>
                <w:sz w:val="22"/>
                <w:szCs w:val="22"/>
              </w:rPr>
              <w:t>FY 2023-01</w:t>
            </w:r>
            <w:r w:rsidR="005367D5" w:rsidRPr="009D7A7C">
              <w:rPr>
                <w:rFonts w:eastAsia="PMingLiU" w:cs="Calibri"/>
                <w:sz w:val="22"/>
                <w:szCs w:val="22"/>
              </w:rPr>
              <w:t> </w:t>
            </w:r>
          </w:p>
        </w:tc>
        <w:tc>
          <w:tcPr>
            <w:tcW w:w="2098" w:type="dxa"/>
          </w:tcPr>
          <w:p w14:paraId="1D6DD323" w14:textId="6BB5480F" w:rsidR="005367D5" w:rsidRPr="009D7A7C" w:rsidRDefault="008E1C27" w:rsidP="009D7A7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9D7A7C">
              <w:rPr>
                <w:rFonts w:eastAsia="PMingLiU" w:cs="Calibri"/>
                <w:sz w:val="22"/>
                <w:szCs w:val="22"/>
              </w:rPr>
              <w:t>The MIOSHA State Plan has failed to adopt OSHA’s initial FY 2016 maximum and minimum penalty increase and subsequent annual penalty amount increases.</w:t>
            </w:r>
            <w:r w:rsidR="005367D5" w:rsidRPr="009D7A7C">
              <w:rPr>
                <w:rFonts w:eastAsia="PMingLiU" w:cs="Calibri"/>
                <w:sz w:val="22"/>
                <w:szCs w:val="22"/>
              </w:rPr>
              <w:t> </w:t>
            </w:r>
          </w:p>
        </w:tc>
        <w:tc>
          <w:tcPr>
            <w:tcW w:w="2250" w:type="dxa"/>
          </w:tcPr>
          <w:p w14:paraId="19499B4B" w14:textId="4C3699AA" w:rsidR="005367D5" w:rsidRPr="009D7A7C" w:rsidRDefault="005855EC" w:rsidP="005855E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5855EC">
              <w:rPr>
                <w:rFonts w:eastAsia="PMingLiU" w:cs="Calibri"/>
                <w:sz w:val="22"/>
                <w:szCs w:val="22"/>
              </w:rPr>
              <w:t>The MIOSHA State Plan should work with their state authorities to complete the legislative changes necessary to enable it to adopt maximum and minimum penalty amounts that are at least as effective as OSHA’s maximum and minimum penalty levels.</w:t>
            </w:r>
            <w:r w:rsidR="005367D5" w:rsidRPr="009D7A7C">
              <w:rPr>
                <w:rFonts w:eastAsia="PMingLiU" w:cs="Calibri"/>
                <w:sz w:val="22"/>
                <w:szCs w:val="22"/>
              </w:rPr>
              <w:t> </w:t>
            </w:r>
          </w:p>
        </w:tc>
        <w:tc>
          <w:tcPr>
            <w:tcW w:w="3960" w:type="dxa"/>
          </w:tcPr>
          <w:p w14:paraId="37D73ADA" w14:textId="6D1A93A2" w:rsidR="005367D5" w:rsidRPr="009D7A7C" w:rsidRDefault="00B16D51" w:rsidP="00B16D5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B16D51">
              <w:rPr>
                <w:rFonts w:eastAsia="PMingLiU" w:cs="Calibri"/>
                <w:sz w:val="22"/>
                <w:szCs w:val="22"/>
              </w:rPr>
              <w:t>MIOSHA has been working with the Michigan state legislature since 2016 to increase the maximum penalties in the Michigan Occupational Safety and Health Act. In 2017, MIOSHA found a bill sponsor in the state Senate, but the bill never made it to a vote prior to the end of the legislative session. Since that time the agency has attempted to acquire a sponsor for the necessary legislation, but legislators had been reluctant to sponsor another bill partly because OSHA had not made increasing the maximum penalties an “at least as effective as OSHA” issue, nor did OSHA mention the issue as a finding or observation in its FAME. In FY 2023 and FY 2024, MIOSHA used the letter dated September 2, 2021, from Acting Assistant US Secretary of Labor, James Frederick, to the LEO Director on the subject and the FY 2021 FAME finding as impetus and urgency for the legislation.  MIOSHA was successful in obtaining a sponsor and senate bill SB 830 was introduced to the Senate Committee on Labor on April 16, 2024, and voted out of the Senate on June 26, 2024.</w:t>
            </w:r>
            <w:r w:rsidR="005367D5" w:rsidRPr="009D7A7C">
              <w:rPr>
                <w:rFonts w:eastAsia="PMingLiU" w:cs="Calibri"/>
                <w:sz w:val="22"/>
                <w:szCs w:val="22"/>
              </w:rPr>
              <w:t> </w:t>
            </w:r>
          </w:p>
        </w:tc>
        <w:tc>
          <w:tcPr>
            <w:tcW w:w="1592" w:type="dxa"/>
          </w:tcPr>
          <w:p w14:paraId="56F99649" w14:textId="6117F10B" w:rsidR="005367D5" w:rsidRPr="009D7A7C" w:rsidRDefault="008E1C27" w:rsidP="004464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9D7A7C">
              <w:rPr>
                <w:rFonts w:eastAsia="PMingLiU" w:cs="Calibri"/>
                <w:sz w:val="22"/>
                <w:szCs w:val="22"/>
              </w:rPr>
              <w:t>Not completed</w:t>
            </w:r>
            <w:r w:rsidR="005367D5" w:rsidRPr="009D7A7C">
              <w:rPr>
                <w:rFonts w:eastAsia="PMingLiU" w:cs="Calibri"/>
                <w:sz w:val="22"/>
                <w:szCs w:val="22"/>
              </w:rPr>
              <w:t> </w:t>
            </w:r>
          </w:p>
        </w:tc>
        <w:tc>
          <w:tcPr>
            <w:tcW w:w="2250" w:type="dxa"/>
          </w:tcPr>
          <w:p w14:paraId="4007473C" w14:textId="687A6846" w:rsidR="005367D5" w:rsidRPr="009D7A7C" w:rsidRDefault="008E1C27" w:rsidP="0044642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9D7A7C">
              <w:rPr>
                <w:rFonts w:eastAsia="PMingLiU" w:cs="Calibri"/>
                <w:sz w:val="22"/>
                <w:szCs w:val="22"/>
              </w:rPr>
              <w:t>Open</w:t>
            </w:r>
            <w:r w:rsidR="005367D5" w:rsidRPr="009D7A7C">
              <w:rPr>
                <w:rFonts w:eastAsia="PMingLiU" w:cs="Calibri"/>
                <w:sz w:val="22"/>
                <w:szCs w:val="22"/>
              </w:rPr>
              <w:t> </w:t>
            </w:r>
          </w:p>
        </w:tc>
      </w:tr>
    </w:tbl>
    <w:p w14:paraId="34C7F36F" w14:textId="77777777" w:rsidR="000E0A92" w:rsidRDefault="000E0A92" w:rsidP="007A71AC">
      <w:pPr>
        <w:widowControl/>
        <w:autoSpaceDE/>
        <w:autoSpaceDN/>
        <w:adjustRightInd/>
        <w:rPr>
          <w:rFonts w:cs="Calibri"/>
          <w:iCs/>
          <w:color w:val="0070C0"/>
        </w:rPr>
        <w:sectPr w:rsidR="000E0A92" w:rsidSect="00A17526">
          <w:headerReference w:type="default" r:id="rId15"/>
          <w:footerReference w:type="default" r:id="rId16"/>
          <w:pgSz w:w="15840" w:h="12240" w:orient="landscape" w:code="1"/>
          <w:pgMar w:top="1440" w:right="1440" w:bottom="1440" w:left="1440" w:header="720" w:footer="720" w:gutter="0"/>
          <w:cols w:space="720"/>
          <w:noEndnote/>
          <w:docGrid w:linePitch="326"/>
        </w:sectPr>
      </w:pPr>
    </w:p>
    <w:p w14:paraId="1B0B407C" w14:textId="6BFAE2AF" w:rsidR="00690C0D" w:rsidRPr="003F6EC3" w:rsidRDefault="00690C0D" w:rsidP="00203F34">
      <w:pPr>
        <w:pStyle w:val="Heading3"/>
        <w:numPr>
          <w:ilvl w:val="0"/>
          <w:numId w:val="0"/>
        </w:numPr>
      </w:pPr>
      <w:bookmarkStart w:id="29" w:name="_Toc119418672"/>
      <w:r w:rsidRPr="003F6EC3">
        <w:lastRenderedPageBreak/>
        <w:t xml:space="preserve">Appendix D – </w:t>
      </w:r>
      <w:bookmarkStart w:id="30" w:name="_Hlk119349018"/>
      <w:r w:rsidRPr="003F6EC3">
        <w:t>FY 20</w:t>
      </w:r>
      <w:r w:rsidR="00716E50" w:rsidRPr="003F6EC3">
        <w:t>24</w:t>
      </w:r>
      <w:r w:rsidRPr="003F6EC3">
        <w:t xml:space="preserve"> State Activity Mandated Measures (SAMM) Report</w:t>
      </w:r>
      <w:bookmarkEnd w:id="29"/>
      <w:bookmarkEnd w:id="30"/>
    </w:p>
    <w:p w14:paraId="19B594E3" w14:textId="6D5B5C68" w:rsidR="00690C0D" w:rsidRPr="000767C0" w:rsidRDefault="00690C0D" w:rsidP="00476C08">
      <w:pPr>
        <w:pStyle w:val="Header"/>
      </w:pPr>
      <w:r w:rsidRPr="003F6EC3">
        <w:t>FY 20</w:t>
      </w:r>
      <w:r w:rsidR="00716E50" w:rsidRPr="003F6EC3">
        <w:t>24</w:t>
      </w:r>
      <w:r w:rsidRPr="003F6EC3">
        <w:t xml:space="preserve"> </w:t>
      </w:r>
      <w:r w:rsidR="00716E50" w:rsidRPr="003F6EC3">
        <w:t>M</w:t>
      </w:r>
      <w:r w:rsidR="00716E50">
        <w:t>IOSHA</w:t>
      </w:r>
      <w:r w:rsidRPr="00476C08">
        <w:rPr>
          <w:color w:val="0070C0"/>
        </w:rPr>
        <w:t xml:space="preserve"> </w:t>
      </w:r>
      <w:r>
        <w:t xml:space="preserve">Follow-up </w:t>
      </w:r>
      <w:r w:rsidRPr="00042327">
        <w:t>FAME Report</w:t>
      </w:r>
    </w:p>
    <w:p w14:paraId="221DF49F" w14:textId="77777777" w:rsidR="000A134A" w:rsidRPr="001C1E47" w:rsidRDefault="000A134A" w:rsidP="007A71AC">
      <w:pPr>
        <w:widowControl/>
        <w:autoSpaceDE/>
        <w:autoSpaceDN/>
        <w:adjustRightInd/>
        <w:rPr>
          <w:rFonts w:cs="Calibri"/>
          <w:b/>
          <w:color w:val="1F497D"/>
          <w:sz w:val="28"/>
          <w:szCs w:val="28"/>
        </w:rPr>
      </w:pPr>
    </w:p>
    <w:tbl>
      <w:tblPr>
        <w:tblStyle w:val="GridTable41"/>
        <w:tblW w:w="10350" w:type="dxa"/>
        <w:tblInd w:w="-365" w:type="dxa"/>
        <w:tblLook w:val="06A0" w:firstRow="1" w:lastRow="0" w:firstColumn="1" w:lastColumn="0" w:noHBand="1" w:noVBand="1"/>
      </w:tblPr>
      <w:tblGrid>
        <w:gridCol w:w="1034"/>
        <w:gridCol w:w="2206"/>
        <w:gridCol w:w="1289"/>
        <w:gridCol w:w="1411"/>
        <w:gridCol w:w="4410"/>
      </w:tblGrid>
      <w:tr w:rsidR="00D43B15" w:rsidRPr="00186E26" w14:paraId="28B251B9" w14:textId="77777777" w:rsidTr="002E74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cBorders>
            <w:shd w:val="clear" w:color="auto" w:fill="auto"/>
          </w:tcPr>
          <w:p w14:paraId="60A3D008" w14:textId="001026EA" w:rsidR="00D43B15" w:rsidRPr="00186E26" w:rsidRDefault="00D43B15" w:rsidP="00D43B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289C">
              <w:rPr>
                <w:rFonts w:eastAsia="PMingLiU" w:cs="Calibri"/>
                <w:color w:val="auto"/>
              </w:rPr>
              <w:t>SAMM Number</w:t>
            </w:r>
          </w:p>
        </w:tc>
        <w:tc>
          <w:tcPr>
            <w:tcW w:w="2206" w:type="dxa"/>
            <w:tcBorders>
              <w:left w:val="single" w:sz="4" w:space="0" w:color="000000"/>
              <w:right w:val="single" w:sz="4" w:space="0" w:color="000000"/>
            </w:tcBorders>
            <w:shd w:val="clear" w:color="auto" w:fill="auto"/>
          </w:tcPr>
          <w:p w14:paraId="0770B626" w14:textId="6783B73E" w:rsidR="00D43B15" w:rsidRPr="00186E26" w:rsidRDefault="00D43B15" w:rsidP="00D43B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rPr>
            </w:pPr>
            <w:r w:rsidRPr="0018289C">
              <w:rPr>
                <w:rFonts w:eastAsia="PMingLiU" w:cs="Calibri"/>
                <w:color w:val="auto"/>
              </w:rPr>
              <w:t>SAMM Name</w:t>
            </w:r>
          </w:p>
        </w:tc>
        <w:tc>
          <w:tcPr>
            <w:tcW w:w="1289" w:type="dxa"/>
            <w:tcBorders>
              <w:left w:val="single" w:sz="4" w:space="0" w:color="000000"/>
              <w:right w:val="single" w:sz="4" w:space="0" w:color="000000"/>
            </w:tcBorders>
            <w:shd w:val="clear" w:color="auto" w:fill="auto"/>
          </w:tcPr>
          <w:p w14:paraId="0A089139" w14:textId="4A0F9061" w:rsidR="00D43B15" w:rsidRPr="00186E26" w:rsidRDefault="00D43B15" w:rsidP="00D43B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rPr>
            </w:pPr>
            <w:r w:rsidRPr="0018289C">
              <w:rPr>
                <w:rFonts w:eastAsia="PMingLiU" w:cs="Calibri"/>
                <w:color w:val="auto"/>
              </w:rPr>
              <w:t>State Plan Data</w:t>
            </w:r>
          </w:p>
        </w:tc>
        <w:tc>
          <w:tcPr>
            <w:tcW w:w="1411" w:type="dxa"/>
            <w:tcBorders>
              <w:left w:val="single" w:sz="4" w:space="0" w:color="000000"/>
              <w:right w:val="single" w:sz="4" w:space="0" w:color="000000"/>
            </w:tcBorders>
            <w:shd w:val="clear" w:color="auto" w:fill="auto"/>
          </w:tcPr>
          <w:p w14:paraId="05B7DAC7" w14:textId="17CF9CDB" w:rsidR="00D43B15" w:rsidRPr="00186E26" w:rsidRDefault="00D43B15" w:rsidP="00D43B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rPr>
            </w:pPr>
            <w:r w:rsidRPr="0018289C">
              <w:rPr>
                <w:rFonts w:eastAsia="PMingLiU" w:cs="Calibri"/>
                <w:color w:val="auto"/>
              </w:rPr>
              <w:t>Further Review Level</w:t>
            </w:r>
          </w:p>
        </w:tc>
        <w:tc>
          <w:tcPr>
            <w:tcW w:w="4410" w:type="dxa"/>
            <w:tcBorders>
              <w:left w:val="single" w:sz="4" w:space="0" w:color="000000"/>
            </w:tcBorders>
            <w:shd w:val="clear" w:color="auto" w:fill="auto"/>
          </w:tcPr>
          <w:p w14:paraId="7950B811" w14:textId="18EA734A" w:rsidR="00D43B15" w:rsidRPr="00186E26" w:rsidRDefault="00D43B15" w:rsidP="00D43B1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rPr>
            </w:pPr>
            <w:r w:rsidRPr="0018289C">
              <w:rPr>
                <w:rFonts w:eastAsia="PMingLiU" w:cs="Calibri"/>
                <w:color w:val="auto"/>
              </w:rPr>
              <w:t>Notes</w:t>
            </w:r>
          </w:p>
        </w:tc>
      </w:tr>
      <w:tr w:rsidR="00186E26" w:rsidRPr="00186E26" w14:paraId="62D04512" w14:textId="77777777" w:rsidTr="002E74B6">
        <w:trPr>
          <w:cantSplit/>
        </w:trPr>
        <w:tc>
          <w:tcPr>
            <w:cnfStyle w:val="001000000000" w:firstRow="0" w:lastRow="0" w:firstColumn="1" w:lastColumn="0" w:oddVBand="0" w:evenVBand="0" w:oddHBand="0" w:evenHBand="0" w:firstRowFirstColumn="0" w:firstRowLastColumn="0" w:lastRowFirstColumn="0" w:lastRowLastColumn="0"/>
            <w:tcW w:w="1034" w:type="dxa"/>
          </w:tcPr>
          <w:p w14:paraId="5BF5EF43"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1a</w:t>
            </w:r>
          </w:p>
        </w:tc>
        <w:tc>
          <w:tcPr>
            <w:tcW w:w="2206" w:type="dxa"/>
          </w:tcPr>
          <w:p w14:paraId="04E8BB01"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 xml:space="preserve">Average number of </w:t>
            </w:r>
            <w:proofErr w:type="gramStart"/>
            <w:r w:rsidRPr="00186E26">
              <w:rPr>
                <w:rFonts w:cs="Calibri"/>
                <w:sz w:val="22"/>
                <w:szCs w:val="22"/>
              </w:rPr>
              <w:t>work days</w:t>
            </w:r>
            <w:proofErr w:type="gramEnd"/>
            <w:r w:rsidRPr="00186E26">
              <w:rPr>
                <w:rFonts w:cs="Calibri"/>
                <w:sz w:val="22"/>
                <w:szCs w:val="22"/>
              </w:rPr>
              <w:t xml:space="preserve"> to initiate complaint inspections (state formula)</w:t>
            </w:r>
          </w:p>
        </w:tc>
        <w:tc>
          <w:tcPr>
            <w:tcW w:w="1289" w:type="dxa"/>
          </w:tcPr>
          <w:p w14:paraId="6F5ACAC9"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6.63</w:t>
            </w:r>
          </w:p>
        </w:tc>
        <w:tc>
          <w:tcPr>
            <w:tcW w:w="1411" w:type="dxa"/>
          </w:tcPr>
          <w:p w14:paraId="09226E6B"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10</w:t>
            </w:r>
          </w:p>
        </w:tc>
        <w:tc>
          <w:tcPr>
            <w:tcW w:w="4410" w:type="dxa"/>
          </w:tcPr>
          <w:p w14:paraId="08F2B9D8"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The further review level is negotiated by OSHA and the State Plan.</w:t>
            </w:r>
          </w:p>
        </w:tc>
      </w:tr>
      <w:tr w:rsidR="00186E26" w:rsidRPr="00186E26" w14:paraId="3A8791D5" w14:textId="77777777" w:rsidTr="002E74B6">
        <w:trPr>
          <w:cantSplit/>
        </w:trPr>
        <w:tc>
          <w:tcPr>
            <w:cnfStyle w:val="001000000000" w:firstRow="0" w:lastRow="0" w:firstColumn="1" w:lastColumn="0" w:oddVBand="0" w:evenVBand="0" w:oddHBand="0" w:evenHBand="0" w:firstRowFirstColumn="0" w:firstRowLastColumn="0" w:lastRowFirstColumn="0" w:lastRowLastColumn="0"/>
            <w:tcW w:w="1034" w:type="dxa"/>
          </w:tcPr>
          <w:p w14:paraId="6AF6A6D1"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1b</w:t>
            </w:r>
          </w:p>
        </w:tc>
        <w:tc>
          <w:tcPr>
            <w:tcW w:w="2206" w:type="dxa"/>
          </w:tcPr>
          <w:p w14:paraId="136A939E"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 xml:space="preserve">Average number of </w:t>
            </w:r>
            <w:proofErr w:type="gramStart"/>
            <w:r w:rsidRPr="00186E26">
              <w:rPr>
                <w:rFonts w:cs="Calibri"/>
                <w:sz w:val="22"/>
                <w:szCs w:val="22"/>
              </w:rPr>
              <w:t>work days</w:t>
            </w:r>
            <w:proofErr w:type="gramEnd"/>
            <w:r w:rsidRPr="00186E26">
              <w:rPr>
                <w:rFonts w:cs="Calibri"/>
                <w:sz w:val="22"/>
                <w:szCs w:val="22"/>
              </w:rPr>
              <w:t xml:space="preserve"> to initiate complaint inspections (federal formula)</w:t>
            </w:r>
          </w:p>
        </w:tc>
        <w:tc>
          <w:tcPr>
            <w:tcW w:w="1289" w:type="dxa"/>
          </w:tcPr>
          <w:p w14:paraId="7AADD941"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4.46</w:t>
            </w:r>
          </w:p>
        </w:tc>
        <w:tc>
          <w:tcPr>
            <w:tcW w:w="1411" w:type="dxa"/>
          </w:tcPr>
          <w:p w14:paraId="7A74900A"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N/A</w:t>
            </w:r>
          </w:p>
        </w:tc>
        <w:tc>
          <w:tcPr>
            <w:tcW w:w="4410" w:type="dxa"/>
          </w:tcPr>
          <w:p w14:paraId="64C6D288"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This measure is for informational purposes only and is not a mandated measure.</w:t>
            </w:r>
          </w:p>
        </w:tc>
      </w:tr>
      <w:tr w:rsidR="00186E26" w:rsidRPr="00186E26" w14:paraId="35F7A5A0" w14:textId="77777777" w:rsidTr="002E74B6">
        <w:trPr>
          <w:cantSplit/>
        </w:trPr>
        <w:tc>
          <w:tcPr>
            <w:cnfStyle w:val="001000000000" w:firstRow="0" w:lastRow="0" w:firstColumn="1" w:lastColumn="0" w:oddVBand="0" w:evenVBand="0" w:oddHBand="0" w:evenHBand="0" w:firstRowFirstColumn="0" w:firstRowLastColumn="0" w:lastRowFirstColumn="0" w:lastRowLastColumn="0"/>
            <w:tcW w:w="1034" w:type="dxa"/>
          </w:tcPr>
          <w:p w14:paraId="7DF27DD4"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2a</w:t>
            </w:r>
          </w:p>
        </w:tc>
        <w:tc>
          <w:tcPr>
            <w:tcW w:w="2206" w:type="dxa"/>
          </w:tcPr>
          <w:p w14:paraId="5AD22BF8"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 xml:space="preserve">Average number of </w:t>
            </w:r>
            <w:proofErr w:type="gramStart"/>
            <w:r w:rsidRPr="00186E26">
              <w:rPr>
                <w:rFonts w:cs="Calibri"/>
                <w:sz w:val="22"/>
                <w:szCs w:val="22"/>
              </w:rPr>
              <w:t>work days</w:t>
            </w:r>
            <w:proofErr w:type="gramEnd"/>
            <w:r w:rsidRPr="00186E26">
              <w:rPr>
                <w:rFonts w:cs="Calibri"/>
                <w:sz w:val="22"/>
                <w:szCs w:val="22"/>
              </w:rPr>
              <w:t xml:space="preserve"> to initiate complaint investigations (state formula)</w:t>
            </w:r>
          </w:p>
        </w:tc>
        <w:tc>
          <w:tcPr>
            <w:tcW w:w="1289" w:type="dxa"/>
          </w:tcPr>
          <w:p w14:paraId="4BEDAFF8"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3.8</w:t>
            </w:r>
          </w:p>
        </w:tc>
        <w:tc>
          <w:tcPr>
            <w:tcW w:w="1411" w:type="dxa"/>
          </w:tcPr>
          <w:p w14:paraId="7884A5FD"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8</w:t>
            </w:r>
          </w:p>
        </w:tc>
        <w:tc>
          <w:tcPr>
            <w:tcW w:w="4410" w:type="dxa"/>
          </w:tcPr>
          <w:p w14:paraId="13E0E681"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The further review level is negotiated by OSHA and the State Plan.</w:t>
            </w:r>
          </w:p>
        </w:tc>
      </w:tr>
      <w:tr w:rsidR="00186E26" w:rsidRPr="00186E26" w14:paraId="222FD675" w14:textId="77777777" w:rsidTr="002E74B6">
        <w:trPr>
          <w:cantSplit/>
        </w:trPr>
        <w:tc>
          <w:tcPr>
            <w:cnfStyle w:val="001000000000" w:firstRow="0" w:lastRow="0" w:firstColumn="1" w:lastColumn="0" w:oddVBand="0" w:evenVBand="0" w:oddHBand="0" w:evenHBand="0" w:firstRowFirstColumn="0" w:firstRowLastColumn="0" w:lastRowFirstColumn="0" w:lastRowLastColumn="0"/>
            <w:tcW w:w="1034" w:type="dxa"/>
          </w:tcPr>
          <w:p w14:paraId="7899BEE4"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2b</w:t>
            </w:r>
          </w:p>
        </w:tc>
        <w:tc>
          <w:tcPr>
            <w:tcW w:w="2206" w:type="dxa"/>
          </w:tcPr>
          <w:p w14:paraId="3D3D33E1"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 xml:space="preserve">Average number of </w:t>
            </w:r>
            <w:proofErr w:type="gramStart"/>
            <w:r w:rsidRPr="00186E26">
              <w:rPr>
                <w:rFonts w:cs="Calibri"/>
                <w:sz w:val="22"/>
                <w:szCs w:val="22"/>
              </w:rPr>
              <w:t>work days</w:t>
            </w:r>
            <w:proofErr w:type="gramEnd"/>
            <w:r w:rsidRPr="00186E26">
              <w:rPr>
                <w:rFonts w:cs="Calibri"/>
                <w:sz w:val="22"/>
                <w:szCs w:val="22"/>
              </w:rPr>
              <w:t xml:space="preserve"> to initiate complaint investigations (federal formula)</w:t>
            </w:r>
          </w:p>
        </w:tc>
        <w:tc>
          <w:tcPr>
            <w:tcW w:w="1289" w:type="dxa"/>
          </w:tcPr>
          <w:p w14:paraId="6FFC0CBC"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3.66</w:t>
            </w:r>
          </w:p>
        </w:tc>
        <w:tc>
          <w:tcPr>
            <w:tcW w:w="1411" w:type="dxa"/>
          </w:tcPr>
          <w:p w14:paraId="33818BDF"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N/A</w:t>
            </w:r>
          </w:p>
        </w:tc>
        <w:tc>
          <w:tcPr>
            <w:tcW w:w="4410" w:type="dxa"/>
          </w:tcPr>
          <w:p w14:paraId="0BDFC25B"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This measure is for informational purposes only and is not a mandated measure.</w:t>
            </w:r>
          </w:p>
        </w:tc>
      </w:tr>
      <w:tr w:rsidR="00186E26" w:rsidRPr="00186E26" w14:paraId="5A8201E6" w14:textId="77777777" w:rsidTr="002E74B6">
        <w:trPr>
          <w:cantSplit/>
        </w:trPr>
        <w:tc>
          <w:tcPr>
            <w:cnfStyle w:val="001000000000" w:firstRow="0" w:lastRow="0" w:firstColumn="1" w:lastColumn="0" w:oddVBand="0" w:evenVBand="0" w:oddHBand="0" w:evenHBand="0" w:firstRowFirstColumn="0" w:firstRowLastColumn="0" w:lastRowFirstColumn="0" w:lastRowLastColumn="0"/>
            <w:tcW w:w="1034" w:type="dxa"/>
          </w:tcPr>
          <w:p w14:paraId="2042FF3A"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3</w:t>
            </w:r>
          </w:p>
        </w:tc>
        <w:tc>
          <w:tcPr>
            <w:tcW w:w="2206" w:type="dxa"/>
          </w:tcPr>
          <w:p w14:paraId="45461ACD"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Percent of complaints and referrals responded to within one workday (imminent danger)</w:t>
            </w:r>
          </w:p>
        </w:tc>
        <w:tc>
          <w:tcPr>
            <w:tcW w:w="1289" w:type="dxa"/>
          </w:tcPr>
          <w:p w14:paraId="2D7F164C" w14:textId="20E875DA"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N/A</w:t>
            </w:r>
          </w:p>
        </w:tc>
        <w:tc>
          <w:tcPr>
            <w:tcW w:w="1411" w:type="dxa"/>
          </w:tcPr>
          <w:p w14:paraId="7F8723B1"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100%</w:t>
            </w:r>
          </w:p>
        </w:tc>
        <w:tc>
          <w:tcPr>
            <w:tcW w:w="4410" w:type="dxa"/>
          </w:tcPr>
          <w:p w14:paraId="7E714571" w14:textId="501DCAEF"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The further review level is fixed for all State Plans.</w:t>
            </w:r>
            <w:r w:rsidR="00517646">
              <w:rPr>
                <w:rFonts w:cs="Calibri"/>
                <w:sz w:val="22"/>
                <w:szCs w:val="22"/>
              </w:rPr>
              <w:t xml:space="preserve">  MIOSHA did not receive any imminent danger complaints in FY 2024.</w:t>
            </w:r>
          </w:p>
        </w:tc>
      </w:tr>
      <w:tr w:rsidR="00186E26" w:rsidRPr="00186E26" w14:paraId="6CADA4E5" w14:textId="77777777" w:rsidTr="002E74B6">
        <w:trPr>
          <w:cantSplit/>
        </w:trPr>
        <w:tc>
          <w:tcPr>
            <w:cnfStyle w:val="001000000000" w:firstRow="0" w:lastRow="0" w:firstColumn="1" w:lastColumn="0" w:oddVBand="0" w:evenVBand="0" w:oddHBand="0" w:evenHBand="0" w:firstRowFirstColumn="0" w:firstRowLastColumn="0" w:lastRowFirstColumn="0" w:lastRowLastColumn="0"/>
            <w:tcW w:w="1034" w:type="dxa"/>
          </w:tcPr>
          <w:p w14:paraId="488FCC84"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4</w:t>
            </w:r>
          </w:p>
        </w:tc>
        <w:tc>
          <w:tcPr>
            <w:tcW w:w="2206" w:type="dxa"/>
          </w:tcPr>
          <w:p w14:paraId="4FA5B660"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Number of denials where entry not obtained</w:t>
            </w:r>
          </w:p>
        </w:tc>
        <w:tc>
          <w:tcPr>
            <w:tcW w:w="1289" w:type="dxa"/>
          </w:tcPr>
          <w:p w14:paraId="23525339"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0</w:t>
            </w:r>
          </w:p>
        </w:tc>
        <w:tc>
          <w:tcPr>
            <w:tcW w:w="1411" w:type="dxa"/>
          </w:tcPr>
          <w:p w14:paraId="284F7D16"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0</w:t>
            </w:r>
          </w:p>
        </w:tc>
        <w:tc>
          <w:tcPr>
            <w:tcW w:w="4410" w:type="dxa"/>
          </w:tcPr>
          <w:p w14:paraId="0C7E847F"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The further review level is fixed for all State Plans.</w:t>
            </w:r>
          </w:p>
        </w:tc>
      </w:tr>
      <w:tr w:rsidR="00186E26" w:rsidRPr="00186E26" w14:paraId="4338113A" w14:textId="77777777" w:rsidTr="002E74B6">
        <w:trPr>
          <w:cantSplit/>
          <w:trHeight w:val="854"/>
        </w:trPr>
        <w:tc>
          <w:tcPr>
            <w:cnfStyle w:val="001000000000" w:firstRow="0" w:lastRow="0" w:firstColumn="1" w:lastColumn="0" w:oddVBand="0" w:evenVBand="0" w:oddHBand="0" w:evenHBand="0" w:firstRowFirstColumn="0" w:firstRowLastColumn="0" w:lastRowFirstColumn="0" w:lastRowLastColumn="0"/>
            <w:tcW w:w="1034" w:type="dxa"/>
          </w:tcPr>
          <w:p w14:paraId="5C9BDE33"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5a</w:t>
            </w:r>
          </w:p>
        </w:tc>
        <w:tc>
          <w:tcPr>
            <w:tcW w:w="2206" w:type="dxa"/>
          </w:tcPr>
          <w:p w14:paraId="62A831DA"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Average number of violations per inspection with violations by violation type (SWRU)</w:t>
            </w:r>
          </w:p>
        </w:tc>
        <w:tc>
          <w:tcPr>
            <w:tcW w:w="1289" w:type="dxa"/>
          </w:tcPr>
          <w:p w14:paraId="698D648A"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1.27</w:t>
            </w:r>
          </w:p>
        </w:tc>
        <w:tc>
          <w:tcPr>
            <w:tcW w:w="1411" w:type="dxa"/>
          </w:tcPr>
          <w:p w14:paraId="7056F4FF"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+/- 20% of 1.74</w:t>
            </w:r>
          </w:p>
          <w:p w14:paraId="5301C5EF"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p>
          <w:p w14:paraId="06133FDD"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2B85B330"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 xml:space="preserve">The further review level is based on a three-year national average.  The range of acceptable data not requiring further review is from 1.39 to 2.08 for SWRU. </w:t>
            </w:r>
          </w:p>
        </w:tc>
      </w:tr>
      <w:tr w:rsidR="00186E26" w:rsidRPr="00186E26" w14:paraId="32092F97" w14:textId="77777777" w:rsidTr="002E74B6">
        <w:trPr>
          <w:cantSplit/>
        </w:trPr>
        <w:tc>
          <w:tcPr>
            <w:cnfStyle w:val="001000000000" w:firstRow="0" w:lastRow="0" w:firstColumn="1" w:lastColumn="0" w:oddVBand="0" w:evenVBand="0" w:oddHBand="0" w:evenHBand="0" w:firstRowFirstColumn="0" w:firstRowLastColumn="0" w:lastRowFirstColumn="0" w:lastRowLastColumn="0"/>
            <w:tcW w:w="1034" w:type="dxa"/>
          </w:tcPr>
          <w:p w14:paraId="58F9C146"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5b</w:t>
            </w:r>
          </w:p>
        </w:tc>
        <w:tc>
          <w:tcPr>
            <w:tcW w:w="2206" w:type="dxa"/>
          </w:tcPr>
          <w:p w14:paraId="00788728"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Average number of violations per inspection with violations by violation type (other)</w:t>
            </w:r>
          </w:p>
        </w:tc>
        <w:tc>
          <w:tcPr>
            <w:tcW w:w="1289" w:type="dxa"/>
          </w:tcPr>
          <w:p w14:paraId="2AE5AC26"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1.28</w:t>
            </w:r>
          </w:p>
        </w:tc>
        <w:tc>
          <w:tcPr>
            <w:tcW w:w="1411" w:type="dxa"/>
          </w:tcPr>
          <w:p w14:paraId="480A047F"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+/- 20% of 0.94</w:t>
            </w:r>
          </w:p>
          <w:p w14:paraId="435B678C"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24A03B21"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The further review level is based on a three-year national average.  The range of acceptable data not requiring further review is from 0.75 to 1.12 for OTS.</w:t>
            </w:r>
          </w:p>
        </w:tc>
      </w:tr>
      <w:tr w:rsidR="00186E26" w:rsidRPr="00186E26" w14:paraId="30AA1A55" w14:textId="77777777" w:rsidTr="002E74B6">
        <w:trPr>
          <w:cantSplit/>
        </w:trPr>
        <w:tc>
          <w:tcPr>
            <w:cnfStyle w:val="001000000000" w:firstRow="0" w:lastRow="0" w:firstColumn="1" w:lastColumn="0" w:oddVBand="0" w:evenVBand="0" w:oddHBand="0" w:evenHBand="0" w:firstRowFirstColumn="0" w:firstRowLastColumn="0" w:lastRowFirstColumn="0" w:lastRowLastColumn="0"/>
            <w:tcW w:w="1034" w:type="dxa"/>
          </w:tcPr>
          <w:p w14:paraId="25737C17"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lastRenderedPageBreak/>
              <w:t>6</w:t>
            </w:r>
          </w:p>
        </w:tc>
        <w:tc>
          <w:tcPr>
            <w:tcW w:w="2206" w:type="dxa"/>
          </w:tcPr>
          <w:p w14:paraId="5A6C35BA"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Percent of total inspections in state and local government workplaces</w:t>
            </w:r>
          </w:p>
        </w:tc>
        <w:tc>
          <w:tcPr>
            <w:tcW w:w="1289" w:type="dxa"/>
          </w:tcPr>
          <w:p w14:paraId="04560354"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3.12%</w:t>
            </w:r>
          </w:p>
        </w:tc>
        <w:tc>
          <w:tcPr>
            <w:tcW w:w="1411" w:type="dxa"/>
          </w:tcPr>
          <w:p w14:paraId="72CA706C"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+/- 5% of</w:t>
            </w:r>
          </w:p>
          <w:p w14:paraId="5B47E74E"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Grant 2.41 %</w:t>
            </w:r>
          </w:p>
        </w:tc>
        <w:tc>
          <w:tcPr>
            <w:tcW w:w="4410" w:type="dxa"/>
          </w:tcPr>
          <w:p w14:paraId="70816FC7"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The further review level is based on a number negotiated by OSHA and the State Plan through the grant application.  The range of acceptable data not requiring further review is from 2.29% to 2.53%.</w:t>
            </w:r>
          </w:p>
        </w:tc>
      </w:tr>
      <w:tr w:rsidR="00186E26" w:rsidRPr="00186E26" w14:paraId="394D9CCB" w14:textId="77777777" w:rsidTr="002E74B6">
        <w:trPr>
          <w:cantSplit/>
        </w:trPr>
        <w:tc>
          <w:tcPr>
            <w:cnfStyle w:val="001000000000" w:firstRow="0" w:lastRow="0" w:firstColumn="1" w:lastColumn="0" w:oddVBand="0" w:evenVBand="0" w:oddHBand="0" w:evenHBand="0" w:firstRowFirstColumn="0" w:firstRowLastColumn="0" w:lastRowFirstColumn="0" w:lastRowLastColumn="0"/>
            <w:tcW w:w="1034" w:type="dxa"/>
          </w:tcPr>
          <w:p w14:paraId="08C0FE3B"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7a</w:t>
            </w:r>
          </w:p>
        </w:tc>
        <w:tc>
          <w:tcPr>
            <w:tcW w:w="2206" w:type="dxa"/>
          </w:tcPr>
          <w:p w14:paraId="6EE5DE9E"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Planned v. actual inspections (safety)</w:t>
            </w:r>
          </w:p>
        </w:tc>
        <w:tc>
          <w:tcPr>
            <w:tcW w:w="1289" w:type="dxa"/>
          </w:tcPr>
          <w:p w14:paraId="039A54A7"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2,663</w:t>
            </w:r>
          </w:p>
        </w:tc>
        <w:tc>
          <w:tcPr>
            <w:tcW w:w="1411" w:type="dxa"/>
          </w:tcPr>
          <w:p w14:paraId="52AE4AE1"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 xml:space="preserve">+/- 5% of </w:t>
            </w:r>
          </w:p>
          <w:p w14:paraId="037B8D22" w14:textId="6B094E6B"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Grant 2</w:t>
            </w:r>
            <w:r w:rsidR="00BF775D">
              <w:rPr>
                <w:rFonts w:cs="Calibri"/>
                <w:sz w:val="22"/>
                <w:szCs w:val="22"/>
              </w:rPr>
              <w:t>,</w:t>
            </w:r>
            <w:r w:rsidRPr="00186E26">
              <w:rPr>
                <w:rFonts w:cs="Calibri"/>
                <w:sz w:val="22"/>
                <w:szCs w:val="22"/>
              </w:rPr>
              <w:t>986</w:t>
            </w:r>
          </w:p>
        </w:tc>
        <w:tc>
          <w:tcPr>
            <w:tcW w:w="4410" w:type="dxa"/>
          </w:tcPr>
          <w:p w14:paraId="35E1FA57"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The further review level is based on a number negotiated by OSHA and the State Plan through the grant application.  The range of acceptable data not requiring further review is from 2,837 to 3,135 for safety.</w:t>
            </w:r>
          </w:p>
        </w:tc>
      </w:tr>
      <w:tr w:rsidR="00186E26" w:rsidRPr="00186E26" w14:paraId="0C29020F" w14:textId="77777777" w:rsidTr="002E74B6">
        <w:trPr>
          <w:cantSplit/>
        </w:trPr>
        <w:tc>
          <w:tcPr>
            <w:cnfStyle w:val="001000000000" w:firstRow="0" w:lastRow="0" w:firstColumn="1" w:lastColumn="0" w:oddVBand="0" w:evenVBand="0" w:oddHBand="0" w:evenHBand="0" w:firstRowFirstColumn="0" w:firstRowLastColumn="0" w:lastRowFirstColumn="0" w:lastRowLastColumn="0"/>
            <w:tcW w:w="1034" w:type="dxa"/>
          </w:tcPr>
          <w:p w14:paraId="7184F2A2"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7b</w:t>
            </w:r>
          </w:p>
        </w:tc>
        <w:tc>
          <w:tcPr>
            <w:tcW w:w="2206" w:type="dxa"/>
          </w:tcPr>
          <w:p w14:paraId="145D175B"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Planned v. actual inspections (health)</w:t>
            </w:r>
          </w:p>
        </w:tc>
        <w:tc>
          <w:tcPr>
            <w:tcW w:w="1289" w:type="dxa"/>
          </w:tcPr>
          <w:p w14:paraId="5255C41E"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1,114</w:t>
            </w:r>
          </w:p>
        </w:tc>
        <w:tc>
          <w:tcPr>
            <w:tcW w:w="1411" w:type="dxa"/>
          </w:tcPr>
          <w:p w14:paraId="3F51865E"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 xml:space="preserve">+/- 5% of </w:t>
            </w:r>
          </w:p>
          <w:p w14:paraId="359CAB53"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Grant 994</w:t>
            </w:r>
          </w:p>
        </w:tc>
        <w:tc>
          <w:tcPr>
            <w:tcW w:w="4410" w:type="dxa"/>
          </w:tcPr>
          <w:p w14:paraId="56656D90"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The further review level is based on a number negotiated by OSHA and the State Plan through the grant application.  The range of acceptable data not requiring further review is from 944 to 1,044 for health.</w:t>
            </w:r>
          </w:p>
        </w:tc>
      </w:tr>
      <w:tr w:rsidR="00186E26" w:rsidRPr="00186E26" w14:paraId="6055DBCB" w14:textId="77777777" w:rsidTr="002E74B6">
        <w:trPr>
          <w:cantSplit/>
        </w:trPr>
        <w:tc>
          <w:tcPr>
            <w:cnfStyle w:val="001000000000" w:firstRow="0" w:lastRow="0" w:firstColumn="1" w:lastColumn="0" w:oddVBand="0" w:evenVBand="0" w:oddHBand="0" w:evenHBand="0" w:firstRowFirstColumn="0" w:firstRowLastColumn="0" w:lastRowFirstColumn="0" w:lastRowLastColumn="0"/>
            <w:tcW w:w="1034" w:type="dxa"/>
          </w:tcPr>
          <w:p w14:paraId="1C40BDA3"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8</w:t>
            </w:r>
          </w:p>
        </w:tc>
        <w:tc>
          <w:tcPr>
            <w:tcW w:w="2206" w:type="dxa"/>
          </w:tcPr>
          <w:p w14:paraId="7AB7D4ED"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Average current serious penalty in private sector - total (1 to greater than 250 workers)</w:t>
            </w:r>
          </w:p>
        </w:tc>
        <w:tc>
          <w:tcPr>
            <w:tcW w:w="1289" w:type="dxa"/>
          </w:tcPr>
          <w:p w14:paraId="79708992"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$1,348.95</w:t>
            </w:r>
          </w:p>
        </w:tc>
        <w:tc>
          <w:tcPr>
            <w:tcW w:w="1411" w:type="dxa"/>
          </w:tcPr>
          <w:p w14:paraId="6D5AA172"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 xml:space="preserve">+/- 25% of </w:t>
            </w:r>
          </w:p>
          <w:p w14:paraId="48F0728C"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$3,793.81</w:t>
            </w:r>
          </w:p>
          <w:p w14:paraId="4B67407F"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53222798" w14:textId="77777777" w:rsidR="00186E26" w:rsidRPr="00186E26" w:rsidRDefault="00186E26" w:rsidP="00186E26">
            <w:pPr>
              <w:tabs>
                <w:tab w:val="left" w:pos="2416"/>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The further review level is based on a three-year national average.  The range of acceptable data not requiring further review is from $2,845.36 to $4,742.27.</w:t>
            </w:r>
          </w:p>
        </w:tc>
      </w:tr>
      <w:tr w:rsidR="00186E26" w:rsidRPr="00186E26" w14:paraId="28A505BB" w14:textId="77777777" w:rsidTr="002E74B6">
        <w:trPr>
          <w:cantSplit/>
        </w:trPr>
        <w:tc>
          <w:tcPr>
            <w:cnfStyle w:val="001000000000" w:firstRow="0" w:lastRow="0" w:firstColumn="1" w:lastColumn="0" w:oddVBand="0" w:evenVBand="0" w:oddHBand="0" w:evenHBand="0" w:firstRowFirstColumn="0" w:firstRowLastColumn="0" w:lastRowFirstColumn="0" w:lastRowLastColumn="0"/>
            <w:tcW w:w="1034" w:type="dxa"/>
          </w:tcPr>
          <w:p w14:paraId="58DDD1F6"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8a</w:t>
            </w:r>
          </w:p>
        </w:tc>
        <w:tc>
          <w:tcPr>
            <w:tcW w:w="2206" w:type="dxa"/>
          </w:tcPr>
          <w:p w14:paraId="50CCB4B1" w14:textId="77777777" w:rsidR="00186E26" w:rsidRPr="00186E26" w:rsidRDefault="00186E26" w:rsidP="00186E26">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Average current serious penalty in private sector</w:t>
            </w:r>
          </w:p>
          <w:p w14:paraId="583CBA79"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 xml:space="preserve"> (1-25 workers)</w:t>
            </w:r>
          </w:p>
        </w:tc>
        <w:tc>
          <w:tcPr>
            <w:tcW w:w="1289" w:type="dxa"/>
          </w:tcPr>
          <w:p w14:paraId="2CCA9B6F"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$583.00</w:t>
            </w:r>
          </w:p>
        </w:tc>
        <w:tc>
          <w:tcPr>
            <w:tcW w:w="1411" w:type="dxa"/>
          </w:tcPr>
          <w:p w14:paraId="73B9C53E"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 xml:space="preserve">+/- 25% of </w:t>
            </w:r>
          </w:p>
          <w:p w14:paraId="38D0C626"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$2,498.51</w:t>
            </w:r>
          </w:p>
          <w:p w14:paraId="3C4E6590"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269B2346"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The further review level is based on a three-year national average.  The range of acceptable data not requiring further review is from $1,873.88 to $3,123.14.</w:t>
            </w:r>
          </w:p>
        </w:tc>
      </w:tr>
      <w:tr w:rsidR="00186E26" w:rsidRPr="00186E26" w14:paraId="4DD1BBFC" w14:textId="77777777" w:rsidTr="002E74B6">
        <w:trPr>
          <w:cantSplit/>
        </w:trPr>
        <w:tc>
          <w:tcPr>
            <w:cnfStyle w:val="001000000000" w:firstRow="0" w:lastRow="0" w:firstColumn="1" w:lastColumn="0" w:oddVBand="0" w:evenVBand="0" w:oddHBand="0" w:evenHBand="0" w:firstRowFirstColumn="0" w:firstRowLastColumn="0" w:lastRowFirstColumn="0" w:lastRowLastColumn="0"/>
            <w:tcW w:w="1034" w:type="dxa"/>
          </w:tcPr>
          <w:p w14:paraId="5DD98D7B"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8b</w:t>
            </w:r>
          </w:p>
        </w:tc>
        <w:tc>
          <w:tcPr>
            <w:tcW w:w="2206" w:type="dxa"/>
          </w:tcPr>
          <w:p w14:paraId="7E158A83" w14:textId="77777777" w:rsidR="00186E26" w:rsidRPr="00186E26" w:rsidRDefault="00186E26" w:rsidP="00186E26">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 xml:space="preserve">Average current serious penalty in private sector </w:t>
            </w:r>
          </w:p>
          <w:p w14:paraId="1B6FB3D6"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(26-100 workers</w:t>
            </w:r>
            <w:r w:rsidRPr="00186E26">
              <w:rPr>
                <w:rFonts w:cs="Calibri"/>
                <w:bCs/>
                <w:sz w:val="22"/>
                <w:szCs w:val="22"/>
              </w:rPr>
              <w:t>)</w:t>
            </w:r>
          </w:p>
        </w:tc>
        <w:tc>
          <w:tcPr>
            <w:tcW w:w="1289" w:type="dxa"/>
          </w:tcPr>
          <w:p w14:paraId="2752D01E"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$1,370.00</w:t>
            </w:r>
          </w:p>
        </w:tc>
        <w:tc>
          <w:tcPr>
            <w:tcW w:w="1411" w:type="dxa"/>
          </w:tcPr>
          <w:p w14:paraId="2F06CB4B"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 xml:space="preserve">+/- 25% of </w:t>
            </w:r>
          </w:p>
          <w:p w14:paraId="32B1BF28"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$4,322.61</w:t>
            </w:r>
          </w:p>
          <w:p w14:paraId="67FF433C"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46C34F9B"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The further review level is based on a three-year national average.  The range of acceptable data not requiring further review is from $3,241.96 to $5,403.26.</w:t>
            </w:r>
          </w:p>
        </w:tc>
      </w:tr>
      <w:tr w:rsidR="00186E26" w:rsidRPr="00186E26" w14:paraId="10A15BAD" w14:textId="77777777" w:rsidTr="002E74B6">
        <w:trPr>
          <w:cantSplit/>
        </w:trPr>
        <w:tc>
          <w:tcPr>
            <w:cnfStyle w:val="001000000000" w:firstRow="0" w:lastRow="0" w:firstColumn="1" w:lastColumn="0" w:oddVBand="0" w:evenVBand="0" w:oddHBand="0" w:evenHBand="0" w:firstRowFirstColumn="0" w:firstRowLastColumn="0" w:lastRowFirstColumn="0" w:lastRowLastColumn="0"/>
            <w:tcW w:w="1034" w:type="dxa"/>
          </w:tcPr>
          <w:p w14:paraId="022581C0"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8c</w:t>
            </w:r>
          </w:p>
        </w:tc>
        <w:tc>
          <w:tcPr>
            <w:tcW w:w="2206" w:type="dxa"/>
          </w:tcPr>
          <w:p w14:paraId="73EF5600" w14:textId="77777777" w:rsidR="00186E26" w:rsidRPr="00186E26" w:rsidRDefault="00186E26" w:rsidP="00186E26">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Average current serious penalty in private sector</w:t>
            </w:r>
          </w:p>
          <w:p w14:paraId="3FC32122"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(101-250 workers)</w:t>
            </w:r>
          </w:p>
        </w:tc>
        <w:tc>
          <w:tcPr>
            <w:tcW w:w="1289" w:type="dxa"/>
          </w:tcPr>
          <w:p w14:paraId="3BDAEBBF"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$2,131.65</w:t>
            </w:r>
          </w:p>
        </w:tc>
        <w:tc>
          <w:tcPr>
            <w:tcW w:w="1411" w:type="dxa"/>
          </w:tcPr>
          <w:p w14:paraId="5892C26C"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 xml:space="preserve">+/- 25% of </w:t>
            </w:r>
          </w:p>
          <w:p w14:paraId="11398061"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$6,114.84</w:t>
            </w:r>
          </w:p>
          <w:p w14:paraId="65FEC63A"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7A0799BA"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The further review level is based on a three-year national average.  The range of acceptable data not requiring further review is from $4,586.13 to $7,643.55.</w:t>
            </w:r>
          </w:p>
        </w:tc>
      </w:tr>
      <w:tr w:rsidR="00186E26" w:rsidRPr="00186E26" w14:paraId="676B92AE" w14:textId="77777777" w:rsidTr="002E74B6">
        <w:trPr>
          <w:cantSplit/>
        </w:trPr>
        <w:tc>
          <w:tcPr>
            <w:cnfStyle w:val="001000000000" w:firstRow="0" w:lastRow="0" w:firstColumn="1" w:lastColumn="0" w:oddVBand="0" w:evenVBand="0" w:oddHBand="0" w:evenHBand="0" w:firstRowFirstColumn="0" w:firstRowLastColumn="0" w:lastRowFirstColumn="0" w:lastRowLastColumn="0"/>
            <w:tcW w:w="1034" w:type="dxa"/>
          </w:tcPr>
          <w:p w14:paraId="1946ACEE"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8d</w:t>
            </w:r>
          </w:p>
        </w:tc>
        <w:tc>
          <w:tcPr>
            <w:tcW w:w="2206" w:type="dxa"/>
          </w:tcPr>
          <w:p w14:paraId="4764D8F6" w14:textId="77777777" w:rsidR="00186E26" w:rsidRPr="00186E26" w:rsidRDefault="00186E26" w:rsidP="00186E26">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Average current serious penalty in private sector</w:t>
            </w:r>
          </w:p>
          <w:p w14:paraId="02E43F8B"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(greater than 250 workers)</w:t>
            </w:r>
          </w:p>
        </w:tc>
        <w:tc>
          <w:tcPr>
            <w:tcW w:w="1289" w:type="dxa"/>
          </w:tcPr>
          <w:p w14:paraId="096679BD"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$3,475.93</w:t>
            </w:r>
          </w:p>
        </w:tc>
        <w:tc>
          <w:tcPr>
            <w:tcW w:w="1411" w:type="dxa"/>
          </w:tcPr>
          <w:p w14:paraId="3B58EAA8"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 xml:space="preserve">+/- 25% of </w:t>
            </w:r>
          </w:p>
          <w:p w14:paraId="5D2EF2D5"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$7,533.58</w:t>
            </w:r>
          </w:p>
          <w:p w14:paraId="6D26AEB1"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0008A9ED"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The further review level is based on a three-year national average.  The range of acceptable data not requiring further review is from $5,650.19 to $9,416.98.</w:t>
            </w:r>
          </w:p>
        </w:tc>
      </w:tr>
      <w:tr w:rsidR="00186E26" w:rsidRPr="00186E26" w14:paraId="2433C997" w14:textId="77777777" w:rsidTr="002E74B6">
        <w:trPr>
          <w:cantSplit/>
        </w:trPr>
        <w:tc>
          <w:tcPr>
            <w:cnfStyle w:val="001000000000" w:firstRow="0" w:lastRow="0" w:firstColumn="1" w:lastColumn="0" w:oddVBand="0" w:evenVBand="0" w:oddHBand="0" w:evenHBand="0" w:firstRowFirstColumn="0" w:firstRowLastColumn="0" w:lastRowFirstColumn="0" w:lastRowLastColumn="0"/>
            <w:tcW w:w="1034" w:type="dxa"/>
          </w:tcPr>
          <w:p w14:paraId="24E71626"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9a</w:t>
            </w:r>
          </w:p>
        </w:tc>
        <w:tc>
          <w:tcPr>
            <w:tcW w:w="2206" w:type="dxa"/>
          </w:tcPr>
          <w:p w14:paraId="5049775C"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Percent in compliance (safety)</w:t>
            </w:r>
          </w:p>
        </w:tc>
        <w:tc>
          <w:tcPr>
            <w:tcW w:w="1289" w:type="dxa"/>
          </w:tcPr>
          <w:p w14:paraId="2D74F02C"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24.75%</w:t>
            </w:r>
          </w:p>
        </w:tc>
        <w:tc>
          <w:tcPr>
            <w:tcW w:w="1411" w:type="dxa"/>
          </w:tcPr>
          <w:p w14:paraId="7A2E8319"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+/- 20% of</w:t>
            </w:r>
          </w:p>
          <w:p w14:paraId="65686259"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32.83%</w:t>
            </w:r>
          </w:p>
        </w:tc>
        <w:tc>
          <w:tcPr>
            <w:tcW w:w="4410" w:type="dxa"/>
          </w:tcPr>
          <w:p w14:paraId="69DDB129" w14:textId="77777777" w:rsid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The further review level is based on a three-year national average.  The range of acceptable data not requiring further review is from 26.27% to 39.40% for safety.</w:t>
            </w:r>
          </w:p>
          <w:p w14:paraId="7091CB5E" w14:textId="77777777" w:rsidR="00003C3F" w:rsidRPr="00186E26" w:rsidRDefault="00003C3F"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r>
      <w:tr w:rsidR="00186E26" w:rsidRPr="00186E26" w14:paraId="3F6269B1" w14:textId="77777777" w:rsidTr="002E74B6">
        <w:trPr>
          <w:cantSplit/>
        </w:trPr>
        <w:tc>
          <w:tcPr>
            <w:cnfStyle w:val="001000000000" w:firstRow="0" w:lastRow="0" w:firstColumn="1" w:lastColumn="0" w:oddVBand="0" w:evenVBand="0" w:oddHBand="0" w:evenHBand="0" w:firstRowFirstColumn="0" w:firstRowLastColumn="0" w:lastRowFirstColumn="0" w:lastRowLastColumn="0"/>
            <w:tcW w:w="1034" w:type="dxa"/>
          </w:tcPr>
          <w:p w14:paraId="71C963D2"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lastRenderedPageBreak/>
              <w:t>9b</w:t>
            </w:r>
          </w:p>
        </w:tc>
        <w:tc>
          <w:tcPr>
            <w:tcW w:w="2206" w:type="dxa"/>
          </w:tcPr>
          <w:p w14:paraId="56075172"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Percent in compliance (health)</w:t>
            </w:r>
          </w:p>
        </w:tc>
        <w:tc>
          <w:tcPr>
            <w:tcW w:w="1289" w:type="dxa"/>
          </w:tcPr>
          <w:p w14:paraId="71CC5A74"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43.58%</w:t>
            </w:r>
          </w:p>
        </w:tc>
        <w:tc>
          <w:tcPr>
            <w:tcW w:w="1411" w:type="dxa"/>
          </w:tcPr>
          <w:p w14:paraId="47B6FE64"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+/- 20% of</w:t>
            </w:r>
          </w:p>
          <w:p w14:paraId="524A0BAF"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44.18%</w:t>
            </w:r>
          </w:p>
        </w:tc>
        <w:tc>
          <w:tcPr>
            <w:tcW w:w="4410" w:type="dxa"/>
          </w:tcPr>
          <w:p w14:paraId="7DAF0BBE" w14:textId="00587956" w:rsidR="00003C3F"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The further review level is based on a three-year national average.  The range of acceptable data not requiring further review is from 35.34% to 53.01% for health.</w:t>
            </w:r>
          </w:p>
        </w:tc>
      </w:tr>
      <w:tr w:rsidR="00186E26" w:rsidRPr="00186E26" w14:paraId="0EEE8ADB" w14:textId="77777777" w:rsidTr="002E74B6">
        <w:tc>
          <w:tcPr>
            <w:cnfStyle w:val="001000000000" w:firstRow="0" w:lastRow="0" w:firstColumn="1" w:lastColumn="0" w:oddVBand="0" w:evenVBand="0" w:oddHBand="0" w:evenHBand="0" w:firstRowFirstColumn="0" w:firstRowLastColumn="0" w:lastRowFirstColumn="0" w:lastRowLastColumn="0"/>
            <w:tcW w:w="1034" w:type="dxa"/>
          </w:tcPr>
          <w:p w14:paraId="3D7D73E8" w14:textId="77777777" w:rsidR="00186E26" w:rsidRPr="00E03DCD"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E03DCD">
              <w:rPr>
                <w:rFonts w:eastAsia="PMingLiU" w:cs="Calibri"/>
              </w:rPr>
              <w:t>10</w:t>
            </w:r>
          </w:p>
        </w:tc>
        <w:tc>
          <w:tcPr>
            <w:tcW w:w="2206" w:type="dxa"/>
          </w:tcPr>
          <w:p w14:paraId="10D46580" w14:textId="77777777" w:rsidR="00186E26" w:rsidRPr="00E03DCD"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E03DCD">
              <w:rPr>
                <w:rFonts w:cs="Calibri"/>
                <w:sz w:val="22"/>
                <w:szCs w:val="22"/>
              </w:rPr>
              <w:t>Percent of work-related fatalities responded to in one workday</w:t>
            </w:r>
          </w:p>
        </w:tc>
        <w:tc>
          <w:tcPr>
            <w:tcW w:w="1289" w:type="dxa"/>
          </w:tcPr>
          <w:p w14:paraId="3F46874A" w14:textId="676D8E2C" w:rsidR="00186E26" w:rsidRPr="00E03DCD" w:rsidRDefault="00E03DCD"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E03DCD">
              <w:rPr>
                <w:rFonts w:eastAsia="PMingLiU" w:cs="Calibri"/>
                <w:sz w:val="22"/>
                <w:szCs w:val="22"/>
              </w:rPr>
              <w:t>100</w:t>
            </w:r>
            <w:r w:rsidR="00186E26" w:rsidRPr="00E03DCD">
              <w:rPr>
                <w:rFonts w:eastAsia="PMingLiU" w:cs="Calibri"/>
                <w:sz w:val="22"/>
                <w:szCs w:val="22"/>
              </w:rPr>
              <w:t>%</w:t>
            </w:r>
          </w:p>
        </w:tc>
        <w:tc>
          <w:tcPr>
            <w:tcW w:w="1411" w:type="dxa"/>
          </w:tcPr>
          <w:p w14:paraId="0FC0E6AC" w14:textId="77777777" w:rsidR="00186E26" w:rsidRPr="00E03DCD"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E03DCD">
              <w:rPr>
                <w:rFonts w:eastAsia="PMingLiU" w:cs="Calibri"/>
                <w:sz w:val="22"/>
                <w:szCs w:val="22"/>
              </w:rPr>
              <w:t>100%</w:t>
            </w:r>
          </w:p>
        </w:tc>
        <w:tc>
          <w:tcPr>
            <w:tcW w:w="4410" w:type="dxa"/>
          </w:tcPr>
          <w:p w14:paraId="765DFE37" w14:textId="77777777" w:rsidR="00186E26" w:rsidRPr="00E03DCD"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E03DCD">
              <w:rPr>
                <w:rFonts w:cs="Calibri"/>
                <w:sz w:val="22"/>
                <w:szCs w:val="22"/>
              </w:rPr>
              <w:t>The further review level is fixed for all State Plans.</w:t>
            </w:r>
          </w:p>
        </w:tc>
      </w:tr>
      <w:tr w:rsidR="00186E26" w:rsidRPr="00186E26" w14:paraId="72805327" w14:textId="77777777" w:rsidTr="002E74B6">
        <w:tc>
          <w:tcPr>
            <w:cnfStyle w:val="001000000000" w:firstRow="0" w:lastRow="0" w:firstColumn="1" w:lastColumn="0" w:oddVBand="0" w:evenVBand="0" w:oddHBand="0" w:evenHBand="0" w:firstRowFirstColumn="0" w:firstRowLastColumn="0" w:lastRowFirstColumn="0" w:lastRowLastColumn="0"/>
            <w:tcW w:w="1034" w:type="dxa"/>
          </w:tcPr>
          <w:p w14:paraId="7051A53C"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11a</w:t>
            </w:r>
          </w:p>
        </w:tc>
        <w:tc>
          <w:tcPr>
            <w:tcW w:w="2206" w:type="dxa"/>
          </w:tcPr>
          <w:p w14:paraId="073CD90D"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Average lapse time (safety)</w:t>
            </w:r>
          </w:p>
        </w:tc>
        <w:tc>
          <w:tcPr>
            <w:tcW w:w="1289" w:type="dxa"/>
          </w:tcPr>
          <w:p w14:paraId="445F6AB7"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27.53</w:t>
            </w:r>
          </w:p>
        </w:tc>
        <w:tc>
          <w:tcPr>
            <w:tcW w:w="1411" w:type="dxa"/>
          </w:tcPr>
          <w:p w14:paraId="1B8DC1A7"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+/- 20% of 56.02</w:t>
            </w:r>
          </w:p>
          <w:p w14:paraId="284AEEF9"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5DBE8EFC"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The further review level is based on a three-year national average.  The range of acceptable data not requiring further review is from 44.82 to 67.23 for safety.</w:t>
            </w:r>
          </w:p>
        </w:tc>
      </w:tr>
      <w:tr w:rsidR="00186E26" w:rsidRPr="00186E26" w14:paraId="3D92DEBC" w14:textId="77777777" w:rsidTr="002E74B6">
        <w:tc>
          <w:tcPr>
            <w:cnfStyle w:val="001000000000" w:firstRow="0" w:lastRow="0" w:firstColumn="1" w:lastColumn="0" w:oddVBand="0" w:evenVBand="0" w:oddHBand="0" w:evenHBand="0" w:firstRowFirstColumn="0" w:firstRowLastColumn="0" w:lastRowFirstColumn="0" w:lastRowLastColumn="0"/>
            <w:tcW w:w="1034" w:type="dxa"/>
          </w:tcPr>
          <w:p w14:paraId="4002F7CE"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11b</w:t>
            </w:r>
          </w:p>
        </w:tc>
        <w:tc>
          <w:tcPr>
            <w:tcW w:w="2206" w:type="dxa"/>
          </w:tcPr>
          <w:p w14:paraId="4CE95E65"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Average lapse time (health)</w:t>
            </w:r>
          </w:p>
        </w:tc>
        <w:tc>
          <w:tcPr>
            <w:tcW w:w="1289" w:type="dxa"/>
          </w:tcPr>
          <w:p w14:paraId="2FD72A40"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74.26</w:t>
            </w:r>
          </w:p>
        </w:tc>
        <w:tc>
          <w:tcPr>
            <w:tcW w:w="1411" w:type="dxa"/>
          </w:tcPr>
          <w:p w14:paraId="6C7C9FC1"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+/- 20% of 67.21</w:t>
            </w:r>
          </w:p>
          <w:p w14:paraId="0409AC66"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02276D25"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The further review level is based on a three-year national average.  The range of acceptable data not requiring further review is from 53.77 to 80.65 for health.</w:t>
            </w:r>
          </w:p>
        </w:tc>
      </w:tr>
      <w:tr w:rsidR="00186E26" w:rsidRPr="00186E26" w14:paraId="46312742" w14:textId="77777777" w:rsidTr="002E74B6">
        <w:tc>
          <w:tcPr>
            <w:cnfStyle w:val="001000000000" w:firstRow="0" w:lastRow="0" w:firstColumn="1" w:lastColumn="0" w:oddVBand="0" w:evenVBand="0" w:oddHBand="0" w:evenHBand="0" w:firstRowFirstColumn="0" w:firstRowLastColumn="0" w:lastRowFirstColumn="0" w:lastRowLastColumn="0"/>
            <w:tcW w:w="1034" w:type="dxa"/>
          </w:tcPr>
          <w:p w14:paraId="4677B847"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12</w:t>
            </w:r>
          </w:p>
        </w:tc>
        <w:tc>
          <w:tcPr>
            <w:tcW w:w="2206" w:type="dxa"/>
          </w:tcPr>
          <w:p w14:paraId="79E54E70"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Percent penalty retained</w:t>
            </w:r>
          </w:p>
        </w:tc>
        <w:tc>
          <w:tcPr>
            <w:tcW w:w="1289" w:type="dxa"/>
          </w:tcPr>
          <w:p w14:paraId="6CFF05F0"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65.78%</w:t>
            </w:r>
          </w:p>
        </w:tc>
        <w:tc>
          <w:tcPr>
            <w:tcW w:w="1411" w:type="dxa"/>
          </w:tcPr>
          <w:p w14:paraId="0E93ADB8"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+/- 15% of</w:t>
            </w:r>
          </w:p>
          <w:p w14:paraId="527C241D"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70.81%</w:t>
            </w:r>
          </w:p>
        </w:tc>
        <w:tc>
          <w:tcPr>
            <w:tcW w:w="4410" w:type="dxa"/>
          </w:tcPr>
          <w:p w14:paraId="7F82562E"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The further review level is based on a three-year national average.  The range of acceptable data not requiring further review is from 60.19% to 81.44%.</w:t>
            </w:r>
          </w:p>
        </w:tc>
      </w:tr>
      <w:tr w:rsidR="00186E26" w:rsidRPr="00186E26" w14:paraId="39A95D0A" w14:textId="77777777" w:rsidTr="002E74B6">
        <w:tc>
          <w:tcPr>
            <w:cnfStyle w:val="001000000000" w:firstRow="0" w:lastRow="0" w:firstColumn="1" w:lastColumn="0" w:oddVBand="0" w:evenVBand="0" w:oddHBand="0" w:evenHBand="0" w:firstRowFirstColumn="0" w:firstRowLastColumn="0" w:lastRowFirstColumn="0" w:lastRowLastColumn="0"/>
            <w:tcW w:w="1034" w:type="dxa"/>
          </w:tcPr>
          <w:p w14:paraId="66BBF540"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13</w:t>
            </w:r>
          </w:p>
        </w:tc>
        <w:tc>
          <w:tcPr>
            <w:tcW w:w="2206" w:type="dxa"/>
          </w:tcPr>
          <w:p w14:paraId="53BC9621"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Percent of initial inspections with worker walk-around representation or worker interview</w:t>
            </w:r>
          </w:p>
        </w:tc>
        <w:tc>
          <w:tcPr>
            <w:tcW w:w="1289" w:type="dxa"/>
          </w:tcPr>
          <w:p w14:paraId="04D84FD3"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99.76%</w:t>
            </w:r>
          </w:p>
        </w:tc>
        <w:tc>
          <w:tcPr>
            <w:tcW w:w="1411" w:type="dxa"/>
          </w:tcPr>
          <w:p w14:paraId="797B1157"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100%</w:t>
            </w:r>
          </w:p>
        </w:tc>
        <w:tc>
          <w:tcPr>
            <w:tcW w:w="4410" w:type="dxa"/>
          </w:tcPr>
          <w:p w14:paraId="01551F96"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The further review level is fixed for all State Plans.</w:t>
            </w:r>
          </w:p>
        </w:tc>
      </w:tr>
      <w:tr w:rsidR="00186E26" w:rsidRPr="00186E26" w14:paraId="5C919ED5" w14:textId="77777777" w:rsidTr="002E74B6">
        <w:tc>
          <w:tcPr>
            <w:cnfStyle w:val="001000000000" w:firstRow="0" w:lastRow="0" w:firstColumn="1" w:lastColumn="0" w:oddVBand="0" w:evenVBand="0" w:oddHBand="0" w:evenHBand="0" w:firstRowFirstColumn="0" w:firstRowLastColumn="0" w:lastRowFirstColumn="0" w:lastRowLastColumn="0"/>
            <w:tcW w:w="1034" w:type="dxa"/>
          </w:tcPr>
          <w:p w14:paraId="31630E2B"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14</w:t>
            </w:r>
          </w:p>
        </w:tc>
        <w:tc>
          <w:tcPr>
            <w:tcW w:w="2206" w:type="dxa"/>
          </w:tcPr>
          <w:p w14:paraId="40235C24"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Percent of 11(c) investigations completed within 90 days</w:t>
            </w:r>
          </w:p>
        </w:tc>
        <w:tc>
          <w:tcPr>
            <w:tcW w:w="1289" w:type="dxa"/>
          </w:tcPr>
          <w:p w14:paraId="2792A6B9" w14:textId="5B21CCFC"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N/A</w:t>
            </w:r>
          </w:p>
        </w:tc>
        <w:tc>
          <w:tcPr>
            <w:tcW w:w="1411" w:type="dxa"/>
          </w:tcPr>
          <w:p w14:paraId="4012D249" w14:textId="3AC1CAB2"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N/A</w:t>
            </w:r>
          </w:p>
        </w:tc>
        <w:tc>
          <w:tcPr>
            <w:tcW w:w="4410" w:type="dxa"/>
          </w:tcPr>
          <w:p w14:paraId="2D1A1483"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This measure is not being reported for FY 2024 due to the transition to the new SAMM measures starting in FY 2025.</w:t>
            </w:r>
          </w:p>
        </w:tc>
      </w:tr>
      <w:tr w:rsidR="00186E26" w:rsidRPr="00186E26" w14:paraId="197B96CD" w14:textId="77777777" w:rsidTr="002E74B6">
        <w:tc>
          <w:tcPr>
            <w:cnfStyle w:val="001000000000" w:firstRow="0" w:lastRow="0" w:firstColumn="1" w:lastColumn="0" w:oddVBand="0" w:evenVBand="0" w:oddHBand="0" w:evenHBand="0" w:firstRowFirstColumn="0" w:firstRowLastColumn="0" w:lastRowFirstColumn="0" w:lastRowLastColumn="0"/>
            <w:tcW w:w="1034" w:type="dxa"/>
          </w:tcPr>
          <w:p w14:paraId="598748E3"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15</w:t>
            </w:r>
          </w:p>
        </w:tc>
        <w:tc>
          <w:tcPr>
            <w:tcW w:w="2206" w:type="dxa"/>
          </w:tcPr>
          <w:p w14:paraId="360421CE"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Percent of 11(c) complaints that are meritorious</w:t>
            </w:r>
          </w:p>
        </w:tc>
        <w:tc>
          <w:tcPr>
            <w:tcW w:w="1289" w:type="dxa"/>
          </w:tcPr>
          <w:p w14:paraId="5791A08B" w14:textId="3789DEC3"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N/A</w:t>
            </w:r>
          </w:p>
        </w:tc>
        <w:tc>
          <w:tcPr>
            <w:tcW w:w="1411" w:type="dxa"/>
          </w:tcPr>
          <w:p w14:paraId="08C8E3FE" w14:textId="3F33BF59"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N/A</w:t>
            </w:r>
          </w:p>
        </w:tc>
        <w:tc>
          <w:tcPr>
            <w:tcW w:w="4410" w:type="dxa"/>
          </w:tcPr>
          <w:p w14:paraId="1DDF458B"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This measure is not being reported for FY 2024 due to the transition to the new SAMM measures starting in FY 2025.</w:t>
            </w:r>
          </w:p>
        </w:tc>
      </w:tr>
      <w:tr w:rsidR="00186E26" w:rsidRPr="00186E26" w14:paraId="09328416" w14:textId="77777777" w:rsidTr="002E74B6">
        <w:tc>
          <w:tcPr>
            <w:cnfStyle w:val="001000000000" w:firstRow="0" w:lastRow="0" w:firstColumn="1" w:lastColumn="0" w:oddVBand="0" w:evenVBand="0" w:oddHBand="0" w:evenHBand="0" w:firstRowFirstColumn="0" w:firstRowLastColumn="0" w:lastRowFirstColumn="0" w:lastRowLastColumn="0"/>
            <w:tcW w:w="1034" w:type="dxa"/>
          </w:tcPr>
          <w:p w14:paraId="3554FDE1"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16</w:t>
            </w:r>
          </w:p>
        </w:tc>
        <w:tc>
          <w:tcPr>
            <w:tcW w:w="2206" w:type="dxa"/>
          </w:tcPr>
          <w:p w14:paraId="189C7E8D"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Average number of calendar days to complete an 11(c) investigation</w:t>
            </w:r>
          </w:p>
        </w:tc>
        <w:tc>
          <w:tcPr>
            <w:tcW w:w="1289" w:type="dxa"/>
          </w:tcPr>
          <w:p w14:paraId="46AFAA95" w14:textId="3F409160"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N/A</w:t>
            </w:r>
          </w:p>
        </w:tc>
        <w:tc>
          <w:tcPr>
            <w:tcW w:w="1411" w:type="dxa"/>
            <w:shd w:val="clear" w:color="auto" w:fill="auto"/>
          </w:tcPr>
          <w:p w14:paraId="5C2FFB48" w14:textId="2B15D3C3"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N/A</w:t>
            </w:r>
          </w:p>
        </w:tc>
        <w:tc>
          <w:tcPr>
            <w:tcW w:w="4410" w:type="dxa"/>
          </w:tcPr>
          <w:p w14:paraId="37C7DB3D"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eastAsia="PMingLiU" w:cs="Calibri"/>
                <w:sz w:val="22"/>
                <w:szCs w:val="22"/>
              </w:rPr>
              <w:t>This measure is not being reported for FY 2024 due to the transition to the new SAMM measures starting in FY 2025.</w:t>
            </w:r>
          </w:p>
        </w:tc>
      </w:tr>
      <w:tr w:rsidR="00186E26" w:rsidRPr="00186E26" w14:paraId="5D910B4B" w14:textId="77777777" w:rsidTr="002E74B6">
        <w:tc>
          <w:tcPr>
            <w:cnfStyle w:val="001000000000" w:firstRow="0" w:lastRow="0" w:firstColumn="1" w:lastColumn="0" w:oddVBand="0" w:evenVBand="0" w:oddHBand="0" w:evenHBand="0" w:firstRowFirstColumn="0" w:firstRowLastColumn="0" w:lastRowFirstColumn="0" w:lastRowLastColumn="0"/>
            <w:tcW w:w="1034" w:type="dxa"/>
          </w:tcPr>
          <w:p w14:paraId="7201FA0F"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86E26">
              <w:rPr>
                <w:rFonts w:eastAsia="PMingLiU" w:cs="Calibri"/>
              </w:rPr>
              <w:t>17</w:t>
            </w:r>
          </w:p>
        </w:tc>
        <w:tc>
          <w:tcPr>
            <w:tcW w:w="2206" w:type="dxa"/>
          </w:tcPr>
          <w:p w14:paraId="50E308E2"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Percent of enforcement presence</w:t>
            </w:r>
          </w:p>
        </w:tc>
        <w:tc>
          <w:tcPr>
            <w:tcW w:w="1289" w:type="dxa"/>
          </w:tcPr>
          <w:p w14:paraId="30D8B49F"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1.98%</w:t>
            </w:r>
          </w:p>
        </w:tc>
        <w:tc>
          <w:tcPr>
            <w:tcW w:w="1411" w:type="dxa"/>
          </w:tcPr>
          <w:p w14:paraId="04960E88" w14:textId="77777777" w:rsidR="00186E26" w:rsidRPr="00186E26" w:rsidRDefault="00186E26" w:rsidP="00186E26">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86E26">
              <w:rPr>
                <w:rFonts w:cs="Calibri"/>
                <w:sz w:val="22"/>
                <w:szCs w:val="22"/>
              </w:rPr>
              <w:t>+/- 25% of</w:t>
            </w:r>
          </w:p>
          <w:p w14:paraId="0BB837EC"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1.00%</w:t>
            </w:r>
          </w:p>
        </w:tc>
        <w:tc>
          <w:tcPr>
            <w:tcW w:w="4410" w:type="dxa"/>
          </w:tcPr>
          <w:p w14:paraId="35461B46" w14:textId="77777777" w:rsidR="00186E26" w:rsidRPr="00186E26" w:rsidRDefault="00186E26" w:rsidP="00186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86E26">
              <w:rPr>
                <w:rFonts w:cs="Calibri"/>
                <w:sz w:val="22"/>
                <w:szCs w:val="22"/>
              </w:rPr>
              <w:t>The further review level is based on a three-year national average.  The range of acceptable data not requiring further review is from 0.75% to 1.25%.</w:t>
            </w:r>
          </w:p>
        </w:tc>
      </w:tr>
    </w:tbl>
    <w:p w14:paraId="43041916" w14:textId="642F46B3" w:rsidR="00E33C6D" w:rsidRPr="001C47AA" w:rsidRDefault="00265483" w:rsidP="003F6B4E">
      <w:pPr>
        <w:widowControl/>
        <w:autoSpaceDE/>
        <w:autoSpaceDN/>
        <w:adjustRightInd/>
        <w:spacing w:after="160" w:line="259" w:lineRule="auto"/>
        <w:rPr>
          <w:rFonts w:eastAsia="Calibri"/>
          <w:sz w:val="22"/>
          <w:szCs w:val="22"/>
        </w:rPr>
      </w:pPr>
      <w:r w:rsidRPr="00265483">
        <w:rPr>
          <w:rFonts w:eastAsia="Calibri"/>
          <w:sz w:val="22"/>
          <w:szCs w:val="22"/>
        </w:rPr>
        <w:t xml:space="preserve">NOTE:  The national averages in this report are three-year rolling averages.  Unless otherwise noted, the data contained in this Appendix D is pulled from the State Activity Mandated Measures (SAMM) Report in OIS and the State Plan </w:t>
      </w:r>
      <w:proofErr w:type="spellStart"/>
      <w:r w:rsidRPr="00265483">
        <w:rPr>
          <w:rFonts w:eastAsia="Calibri"/>
          <w:sz w:val="22"/>
          <w:szCs w:val="22"/>
        </w:rPr>
        <w:t>WebIMIS</w:t>
      </w:r>
      <w:proofErr w:type="spellEnd"/>
      <w:r w:rsidRPr="00265483">
        <w:rPr>
          <w:rFonts w:eastAsia="Calibri"/>
          <w:sz w:val="22"/>
          <w:szCs w:val="22"/>
        </w:rPr>
        <w:t xml:space="preserve"> report run on November 12, 2024, as part of OSHA’s official end-of-year data ru</w:t>
      </w:r>
      <w:r w:rsidR="003F6B4E">
        <w:rPr>
          <w:rFonts w:eastAsia="Calibri"/>
          <w:sz w:val="22"/>
          <w:szCs w:val="22"/>
        </w:rPr>
        <w:t>n.</w:t>
      </w:r>
    </w:p>
    <w:sectPr w:rsidR="00E33C6D" w:rsidRPr="001C47AA" w:rsidSect="00FC191B">
      <w:headerReference w:type="default" r:id="rId17"/>
      <w:footerReference w:type="default" r:id="rId18"/>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8EB00" w14:textId="77777777" w:rsidR="00474234" w:rsidRDefault="00474234" w:rsidP="00C872A0">
      <w:r>
        <w:separator/>
      </w:r>
    </w:p>
  </w:endnote>
  <w:endnote w:type="continuationSeparator" w:id="0">
    <w:p w14:paraId="4E4AF3E2" w14:textId="77777777" w:rsidR="00474234" w:rsidRDefault="00474234" w:rsidP="00C872A0">
      <w:r>
        <w:continuationSeparator/>
      </w:r>
    </w:p>
  </w:endnote>
  <w:endnote w:type="continuationNotice" w:id="1">
    <w:p w14:paraId="05BB7EE1" w14:textId="77777777" w:rsidR="00474234" w:rsidRDefault="00474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p w14:paraId="06900AD5" w14:textId="77777777" w:rsidR="003F6EC3" w:rsidRDefault="003F6E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p w14:paraId="29B979EC" w14:textId="77777777" w:rsidR="003F6EC3" w:rsidRDefault="003F6E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BD006" w14:textId="77777777" w:rsidR="00474234" w:rsidRDefault="00474234" w:rsidP="00C872A0">
      <w:r>
        <w:separator/>
      </w:r>
    </w:p>
  </w:footnote>
  <w:footnote w:type="continuationSeparator" w:id="0">
    <w:p w14:paraId="17541260" w14:textId="77777777" w:rsidR="00474234" w:rsidRDefault="00474234" w:rsidP="00C872A0">
      <w:r>
        <w:continuationSeparator/>
      </w:r>
    </w:p>
  </w:footnote>
  <w:footnote w:type="continuationNotice" w:id="1">
    <w:p w14:paraId="4CEB470D" w14:textId="77777777" w:rsidR="00474234" w:rsidRDefault="00474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A0A7" w14:textId="11A2137F" w:rsidR="00780E29" w:rsidRPr="00D2585B" w:rsidRDefault="00780E29" w:rsidP="00D25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B43153D"/>
    <w:multiLevelType w:val="hybridMultilevel"/>
    <w:tmpl w:val="34866F04"/>
    <w:lvl w:ilvl="0" w:tplc="5E80C494">
      <w:start w:val="1"/>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B477B"/>
    <w:multiLevelType w:val="hybridMultilevel"/>
    <w:tmpl w:val="95905D90"/>
    <w:lvl w:ilvl="0" w:tplc="EC448A18">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A96407A"/>
    <w:multiLevelType w:val="hybridMultilevel"/>
    <w:tmpl w:val="959298C4"/>
    <w:lvl w:ilvl="0" w:tplc="386E5450">
      <w:start w:val="1"/>
      <w:numFmt w:val="decimal"/>
      <w:lvlText w:val="%1)"/>
      <w:lvlJc w:val="left"/>
      <w:pPr>
        <w:ind w:left="120" w:hanging="250"/>
      </w:pPr>
      <w:rPr>
        <w:rFonts w:ascii="Calibri" w:eastAsia="Calibri" w:hAnsi="Calibri" w:cs="Calibri" w:hint="default"/>
        <w:b w:val="0"/>
        <w:bCs w:val="0"/>
        <w:i w:val="0"/>
        <w:iCs w:val="0"/>
        <w:spacing w:val="0"/>
        <w:w w:val="100"/>
        <w:sz w:val="24"/>
        <w:szCs w:val="24"/>
        <w:lang w:val="en-US" w:eastAsia="en-US" w:bidi="ar-SA"/>
      </w:rPr>
    </w:lvl>
    <w:lvl w:ilvl="1" w:tplc="0B260C6E">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135C2C94">
      <w:numFmt w:val="bullet"/>
      <w:lvlText w:val="•"/>
      <w:lvlJc w:val="left"/>
      <w:pPr>
        <w:ind w:left="1833" w:hanging="360"/>
      </w:pPr>
      <w:rPr>
        <w:rFonts w:hint="default"/>
        <w:lang w:val="en-US" w:eastAsia="en-US" w:bidi="ar-SA"/>
      </w:rPr>
    </w:lvl>
    <w:lvl w:ilvl="3" w:tplc="77CEABF0">
      <w:numFmt w:val="bullet"/>
      <w:lvlText w:val="•"/>
      <w:lvlJc w:val="left"/>
      <w:pPr>
        <w:ind w:left="2826" w:hanging="360"/>
      </w:pPr>
      <w:rPr>
        <w:rFonts w:hint="default"/>
        <w:lang w:val="en-US" w:eastAsia="en-US" w:bidi="ar-SA"/>
      </w:rPr>
    </w:lvl>
    <w:lvl w:ilvl="4" w:tplc="B35C479A">
      <w:numFmt w:val="bullet"/>
      <w:lvlText w:val="•"/>
      <w:lvlJc w:val="left"/>
      <w:pPr>
        <w:ind w:left="3820" w:hanging="360"/>
      </w:pPr>
      <w:rPr>
        <w:rFonts w:hint="default"/>
        <w:lang w:val="en-US" w:eastAsia="en-US" w:bidi="ar-SA"/>
      </w:rPr>
    </w:lvl>
    <w:lvl w:ilvl="5" w:tplc="68DE80FC">
      <w:numFmt w:val="bullet"/>
      <w:lvlText w:val="•"/>
      <w:lvlJc w:val="left"/>
      <w:pPr>
        <w:ind w:left="4813" w:hanging="360"/>
      </w:pPr>
      <w:rPr>
        <w:rFonts w:hint="default"/>
        <w:lang w:val="en-US" w:eastAsia="en-US" w:bidi="ar-SA"/>
      </w:rPr>
    </w:lvl>
    <w:lvl w:ilvl="6" w:tplc="B3E039D2">
      <w:numFmt w:val="bullet"/>
      <w:lvlText w:val="•"/>
      <w:lvlJc w:val="left"/>
      <w:pPr>
        <w:ind w:left="5806" w:hanging="360"/>
      </w:pPr>
      <w:rPr>
        <w:rFonts w:hint="default"/>
        <w:lang w:val="en-US" w:eastAsia="en-US" w:bidi="ar-SA"/>
      </w:rPr>
    </w:lvl>
    <w:lvl w:ilvl="7" w:tplc="A4FA944A">
      <w:numFmt w:val="bullet"/>
      <w:lvlText w:val="•"/>
      <w:lvlJc w:val="left"/>
      <w:pPr>
        <w:ind w:left="6800" w:hanging="360"/>
      </w:pPr>
      <w:rPr>
        <w:rFonts w:hint="default"/>
        <w:lang w:val="en-US" w:eastAsia="en-US" w:bidi="ar-SA"/>
      </w:rPr>
    </w:lvl>
    <w:lvl w:ilvl="8" w:tplc="71649D42">
      <w:numFmt w:val="bullet"/>
      <w:lvlText w:val="•"/>
      <w:lvlJc w:val="left"/>
      <w:pPr>
        <w:ind w:left="7793" w:hanging="360"/>
      </w:pPr>
      <w:rPr>
        <w:rFonts w:hint="default"/>
        <w:lang w:val="en-US" w:eastAsia="en-US" w:bidi="ar-SA"/>
      </w:rPr>
    </w:lvl>
  </w:abstractNum>
  <w:abstractNum w:abstractNumId="33"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1"/>
  </w:num>
  <w:num w:numId="5" w16cid:durableId="437339714">
    <w:abstractNumId w:val="29"/>
  </w:num>
  <w:num w:numId="6" w16cid:durableId="1373268660">
    <w:abstractNumId w:val="26"/>
  </w:num>
  <w:num w:numId="7" w16cid:durableId="1614284284">
    <w:abstractNumId w:val="27"/>
  </w:num>
  <w:num w:numId="8" w16cid:durableId="1901401974">
    <w:abstractNumId w:val="30"/>
  </w:num>
  <w:num w:numId="9" w16cid:durableId="340623116">
    <w:abstractNumId w:val="28"/>
  </w:num>
  <w:num w:numId="10" w16cid:durableId="1713532647">
    <w:abstractNumId w:val="33"/>
  </w:num>
  <w:num w:numId="11" w16cid:durableId="247546233">
    <w:abstractNumId w:val="23"/>
  </w:num>
  <w:num w:numId="12" w16cid:durableId="1587691524">
    <w:abstractNumId w:val="25"/>
  </w:num>
  <w:num w:numId="13" w16cid:durableId="661391469">
    <w:abstractNumId w:val="32"/>
  </w:num>
  <w:num w:numId="14" w16cid:durableId="396710224">
    <w:abstractNumId w:val="28"/>
    <w:lvlOverride w:ilvl="0">
      <w:startOverride w:val="1"/>
    </w:lvlOverride>
  </w:num>
  <w:num w:numId="15" w16cid:durableId="82228265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805"/>
    <w:rsid w:val="00002B73"/>
    <w:rsid w:val="000036AB"/>
    <w:rsid w:val="00003C3F"/>
    <w:rsid w:val="00004200"/>
    <w:rsid w:val="00007781"/>
    <w:rsid w:val="00007BCC"/>
    <w:rsid w:val="00010B9D"/>
    <w:rsid w:val="000116C0"/>
    <w:rsid w:val="00014C7A"/>
    <w:rsid w:val="00016214"/>
    <w:rsid w:val="00016803"/>
    <w:rsid w:val="0001706D"/>
    <w:rsid w:val="00017349"/>
    <w:rsid w:val="00021274"/>
    <w:rsid w:val="000217D1"/>
    <w:rsid w:val="00021D2C"/>
    <w:rsid w:val="00021FE0"/>
    <w:rsid w:val="00022BEE"/>
    <w:rsid w:val="00023E67"/>
    <w:rsid w:val="000248F0"/>
    <w:rsid w:val="0002572C"/>
    <w:rsid w:val="00025F57"/>
    <w:rsid w:val="00026D63"/>
    <w:rsid w:val="00027093"/>
    <w:rsid w:val="0003442F"/>
    <w:rsid w:val="00034A4E"/>
    <w:rsid w:val="00034F57"/>
    <w:rsid w:val="00035083"/>
    <w:rsid w:val="0003567C"/>
    <w:rsid w:val="00036865"/>
    <w:rsid w:val="00036BF8"/>
    <w:rsid w:val="00036EB4"/>
    <w:rsid w:val="00036F0D"/>
    <w:rsid w:val="00037F48"/>
    <w:rsid w:val="000404ED"/>
    <w:rsid w:val="00042327"/>
    <w:rsid w:val="00043515"/>
    <w:rsid w:val="00044436"/>
    <w:rsid w:val="000447C9"/>
    <w:rsid w:val="000449F8"/>
    <w:rsid w:val="00045479"/>
    <w:rsid w:val="00045BD6"/>
    <w:rsid w:val="00045C51"/>
    <w:rsid w:val="00046151"/>
    <w:rsid w:val="000468C6"/>
    <w:rsid w:val="00046BEE"/>
    <w:rsid w:val="00046E13"/>
    <w:rsid w:val="000470EE"/>
    <w:rsid w:val="000474AD"/>
    <w:rsid w:val="0005007B"/>
    <w:rsid w:val="00050FEB"/>
    <w:rsid w:val="000517FA"/>
    <w:rsid w:val="00052B36"/>
    <w:rsid w:val="00053A2C"/>
    <w:rsid w:val="00054416"/>
    <w:rsid w:val="00054900"/>
    <w:rsid w:val="00055243"/>
    <w:rsid w:val="00055B40"/>
    <w:rsid w:val="00055F2C"/>
    <w:rsid w:val="00057840"/>
    <w:rsid w:val="00060D39"/>
    <w:rsid w:val="00061875"/>
    <w:rsid w:val="000625FB"/>
    <w:rsid w:val="0006398D"/>
    <w:rsid w:val="00065AB2"/>
    <w:rsid w:val="0006611A"/>
    <w:rsid w:val="00066A7B"/>
    <w:rsid w:val="00066C52"/>
    <w:rsid w:val="000701E4"/>
    <w:rsid w:val="0007073F"/>
    <w:rsid w:val="0007157F"/>
    <w:rsid w:val="00071E71"/>
    <w:rsid w:val="000724F1"/>
    <w:rsid w:val="0007306B"/>
    <w:rsid w:val="000743D1"/>
    <w:rsid w:val="00074876"/>
    <w:rsid w:val="00074A98"/>
    <w:rsid w:val="000760CB"/>
    <w:rsid w:val="00076601"/>
    <w:rsid w:val="000767C0"/>
    <w:rsid w:val="00077410"/>
    <w:rsid w:val="000807E2"/>
    <w:rsid w:val="00083A76"/>
    <w:rsid w:val="00084F2E"/>
    <w:rsid w:val="00085230"/>
    <w:rsid w:val="00085916"/>
    <w:rsid w:val="00086F2F"/>
    <w:rsid w:val="0008759E"/>
    <w:rsid w:val="00087EE9"/>
    <w:rsid w:val="00090155"/>
    <w:rsid w:val="000902ED"/>
    <w:rsid w:val="0009134A"/>
    <w:rsid w:val="00091ABD"/>
    <w:rsid w:val="00091AE2"/>
    <w:rsid w:val="00091B54"/>
    <w:rsid w:val="000923E0"/>
    <w:rsid w:val="00092555"/>
    <w:rsid w:val="000929B5"/>
    <w:rsid w:val="00092F1B"/>
    <w:rsid w:val="00093239"/>
    <w:rsid w:val="0009535D"/>
    <w:rsid w:val="0009583F"/>
    <w:rsid w:val="000969E2"/>
    <w:rsid w:val="000A134A"/>
    <w:rsid w:val="000A1C94"/>
    <w:rsid w:val="000A1CE9"/>
    <w:rsid w:val="000A2DE7"/>
    <w:rsid w:val="000A3878"/>
    <w:rsid w:val="000A40EC"/>
    <w:rsid w:val="000A55DB"/>
    <w:rsid w:val="000A658C"/>
    <w:rsid w:val="000A6978"/>
    <w:rsid w:val="000A7279"/>
    <w:rsid w:val="000A7A05"/>
    <w:rsid w:val="000B07D7"/>
    <w:rsid w:val="000B0D11"/>
    <w:rsid w:val="000B1A5B"/>
    <w:rsid w:val="000B1ECC"/>
    <w:rsid w:val="000B22E4"/>
    <w:rsid w:val="000B3A37"/>
    <w:rsid w:val="000B440B"/>
    <w:rsid w:val="000B4852"/>
    <w:rsid w:val="000B6A8A"/>
    <w:rsid w:val="000C04C6"/>
    <w:rsid w:val="000C0E15"/>
    <w:rsid w:val="000C0E53"/>
    <w:rsid w:val="000C12C6"/>
    <w:rsid w:val="000C1882"/>
    <w:rsid w:val="000C1ED8"/>
    <w:rsid w:val="000C295F"/>
    <w:rsid w:val="000C2E74"/>
    <w:rsid w:val="000C333F"/>
    <w:rsid w:val="000C368E"/>
    <w:rsid w:val="000C38BD"/>
    <w:rsid w:val="000C4141"/>
    <w:rsid w:val="000C43DE"/>
    <w:rsid w:val="000C46E4"/>
    <w:rsid w:val="000C5C82"/>
    <w:rsid w:val="000C73B3"/>
    <w:rsid w:val="000C7C9A"/>
    <w:rsid w:val="000D217A"/>
    <w:rsid w:val="000D2CCD"/>
    <w:rsid w:val="000D343F"/>
    <w:rsid w:val="000D3B19"/>
    <w:rsid w:val="000D4560"/>
    <w:rsid w:val="000D4A64"/>
    <w:rsid w:val="000D750A"/>
    <w:rsid w:val="000D7AAD"/>
    <w:rsid w:val="000E0408"/>
    <w:rsid w:val="000E07E7"/>
    <w:rsid w:val="000E0A92"/>
    <w:rsid w:val="000E0DD1"/>
    <w:rsid w:val="000E1AA2"/>
    <w:rsid w:val="000E20A2"/>
    <w:rsid w:val="000E28C1"/>
    <w:rsid w:val="000E46F3"/>
    <w:rsid w:val="000E5C64"/>
    <w:rsid w:val="000E6466"/>
    <w:rsid w:val="000E7F42"/>
    <w:rsid w:val="000F1D68"/>
    <w:rsid w:val="000F1E49"/>
    <w:rsid w:val="000F350A"/>
    <w:rsid w:val="000F46ED"/>
    <w:rsid w:val="000F4DA3"/>
    <w:rsid w:val="000F5631"/>
    <w:rsid w:val="000F57B8"/>
    <w:rsid w:val="000F5A36"/>
    <w:rsid w:val="000F63C1"/>
    <w:rsid w:val="000F6A5C"/>
    <w:rsid w:val="000F7ECC"/>
    <w:rsid w:val="00101BBE"/>
    <w:rsid w:val="00102B1E"/>
    <w:rsid w:val="001039FA"/>
    <w:rsid w:val="00105513"/>
    <w:rsid w:val="001056A7"/>
    <w:rsid w:val="0011011A"/>
    <w:rsid w:val="00110CB0"/>
    <w:rsid w:val="00111316"/>
    <w:rsid w:val="001113A1"/>
    <w:rsid w:val="00112C81"/>
    <w:rsid w:val="0011326F"/>
    <w:rsid w:val="0011522A"/>
    <w:rsid w:val="00115B48"/>
    <w:rsid w:val="00115C24"/>
    <w:rsid w:val="00115DF5"/>
    <w:rsid w:val="00116055"/>
    <w:rsid w:val="0011639E"/>
    <w:rsid w:val="001170E4"/>
    <w:rsid w:val="00117115"/>
    <w:rsid w:val="001174A0"/>
    <w:rsid w:val="001206B1"/>
    <w:rsid w:val="0012164B"/>
    <w:rsid w:val="00122228"/>
    <w:rsid w:val="0012279E"/>
    <w:rsid w:val="00122839"/>
    <w:rsid w:val="001229B4"/>
    <w:rsid w:val="00122BD3"/>
    <w:rsid w:val="00123AC4"/>
    <w:rsid w:val="00125065"/>
    <w:rsid w:val="00125345"/>
    <w:rsid w:val="00125C8A"/>
    <w:rsid w:val="00126880"/>
    <w:rsid w:val="00132862"/>
    <w:rsid w:val="00132F71"/>
    <w:rsid w:val="001330E6"/>
    <w:rsid w:val="001341FE"/>
    <w:rsid w:val="00134F5C"/>
    <w:rsid w:val="00134F5D"/>
    <w:rsid w:val="001358F0"/>
    <w:rsid w:val="00136DA3"/>
    <w:rsid w:val="001376D1"/>
    <w:rsid w:val="00140C21"/>
    <w:rsid w:val="00141758"/>
    <w:rsid w:val="0014199D"/>
    <w:rsid w:val="00142198"/>
    <w:rsid w:val="00143ACD"/>
    <w:rsid w:val="0014420A"/>
    <w:rsid w:val="00144A53"/>
    <w:rsid w:val="00145BC1"/>
    <w:rsid w:val="001469F6"/>
    <w:rsid w:val="001471B8"/>
    <w:rsid w:val="00147496"/>
    <w:rsid w:val="00147B01"/>
    <w:rsid w:val="00147F8B"/>
    <w:rsid w:val="00150F03"/>
    <w:rsid w:val="001515BB"/>
    <w:rsid w:val="00151CFD"/>
    <w:rsid w:val="00152207"/>
    <w:rsid w:val="00155591"/>
    <w:rsid w:val="00156CD6"/>
    <w:rsid w:val="00156E0C"/>
    <w:rsid w:val="00157520"/>
    <w:rsid w:val="001606F7"/>
    <w:rsid w:val="00161740"/>
    <w:rsid w:val="0016336D"/>
    <w:rsid w:val="00163E90"/>
    <w:rsid w:val="00166D7D"/>
    <w:rsid w:val="00172085"/>
    <w:rsid w:val="00173853"/>
    <w:rsid w:val="001740E3"/>
    <w:rsid w:val="0017552C"/>
    <w:rsid w:val="00176DF8"/>
    <w:rsid w:val="00177A1E"/>
    <w:rsid w:val="00177D70"/>
    <w:rsid w:val="00182B5C"/>
    <w:rsid w:val="00182CE0"/>
    <w:rsid w:val="001843E2"/>
    <w:rsid w:val="00184E43"/>
    <w:rsid w:val="00185C7D"/>
    <w:rsid w:val="001861B8"/>
    <w:rsid w:val="00186E26"/>
    <w:rsid w:val="00187065"/>
    <w:rsid w:val="00187182"/>
    <w:rsid w:val="001902FE"/>
    <w:rsid w:val="001927A4"/>
    <w:rsid w:val="00192881"/>
    <w:rsid w:val="00192BA9"/>
    <w:rsid w:val="00192C14"/>
    <w:rsid w:val="001932EB"/>
    <w:rsid w:val="00193E53"/>
    <w:rsid w:val="001941DE"/>
    <w:rsid w:val="001945AD"/>
    <w:rsid w:val="00195153"/>
    <w:rsid w:val="001958C8"/>
    <w:rsid w:val="001A2967"/>
    <w:rsid w:val="001A335E"/>
    <w:rsid w:val="001A3671"/>
    <w:rsid w:val="001A6B79"/>
    <w:rsid w:val="001A7BB9"/>
    <w:rsid w:val="001A7F60"/>
    <w:rsid w:val="001B008C"/>
    <w:rsid w:val="001B0219"/>
    <w:rsid w:val="001B02D7"/>
    <w:rsid w:val="001B0632"/>
    <w:rsid w:val="001B0AF1"/>
    <w:rsid w:val="001B160F"/>
    <w:rsid w:val="001B284A"/>
    <w:rsid w:val="001B2F1D"/>
    <w:rsid w:val="001B346B"/>
    <w:rsid w:val="001B6DA7"/>
    <w:rsid w:val="001B77A2"/>
    <w:rsid w:val="001C034C"/>
    <w:rsid w:val="001C154D"/>
    <w:rsid w:val="001C1E47"/>
    <w:rsid w:val="001C2B11"/>
    <w:rsid w:val="001C3276"/>
    <w:rsid w:val="001C44E8"/>
    <w:rsid w:val="001C47AA"/>
    <w:rsid w:val="001C560E"/>
    <w:rsid w:val="001C58C2"/>
    <w:rsid w:val="001C60DB"/>
    <w:rsid w:val="001C620B"/>
    <w:rsid w:val="001D1819"/>
    <w:rsid w:val="001D1A16"/>
    <w:rsid w:val="001D6530"/>
    <w:rsid w:val="001D681F"/>
    <w:rsid w:val="001D6D59"/>
    <w:rsid w:val="001D7428"/>
    <w:rsid w:val="001D7613"/>
    <w:rsid w:val="001E0EFF"/>
    <w:rsid w:val="001E1B35"/>
    <w:rsid w:val="001E1C5D"/>
    <w:rsid w:val="001E1FD1"/>
    <w:rsid w:val="001E2D62"/>
    <w:rsid w:val="001E2FBB"/>
    <w:rsid w:val="001E4F8A"/>
    <w:rsid w:val="001E5ABD"/>
    <w:rsid w:val="001E5C43"/>
    <w:rsid w:val="001E5FE4"/>
    <w:rsid w:val="001E6DDF"/>
    <w:rsid w:val="001E71BA"/>
    <w:rsid w:val="001F0B51"/>
    <w:rsid w:val="001F199F"/>
    <w:rsid w:val="001F1D8A"/>
    <w:rsid w:val="001F2757"/>
    <w:rsid w:val="001F359C"/>
    <w:rsid w:val="001F3750"/>
    <w:rsid w:val="001F40E1"/>
    <w:rsid w:val="001F4998"/>
    <w:rsid w:val="001F58B8"/>
    <w:rsid w:val="00200D27"/>
    <w:rsid w:val="002011AC"/>
    <w:rsid w:val="00201EB9"/>
    <w:rsid w:val="00202BD7"/>
    <w:rsid w:val="00203F34"/>
    <w:rsid w:val="002048CC"/>
    <w:rsid w:val="0020506D"/>
    <w:rsid w:val="00205391"/>
    <w:rsid w:val="00205A99"/>
    <w:rsid w:val="00205B95"/>
    <w:rsid w:val="0020733F"/>
    <w:rsid w:val="00207B94"/>
    <w:rsid w:val="00210157"/>
    <w:rsid w:val="00210E15"/>
    <w:rsid w:val="00211626"/>
    <w:rsid w:val="0021277A"/>
    <w:rsid w:val="00212BC7"/>
    <w:rsid w:val="0021380C"/>
    <w:rsid w:val="00213FCA"/>
    <w:rsid w:val="00216621"/>
    <w:rsid w:val="00216B0E"/>
    <w:rsid w:val="00217433"/>
    <w:rsid w:val="00217437"/>
    <w:rsid w:val="0022017B"/>
    <w:rsid w:val="00222350"/>
    <w:rsid w:val="002231D3"/>
    <w:rsid w:val="002235F3"/>
    <w:rsid w:val="002247E7"/>
    <w:rsid w:val="0022537C"/>
    <w:rsid w:val="0022685E"/>
    <w:rsid w:val="00227304"/>
    <w:rsid w:val="00227868"/>
    <w:rsid w:val="0022789C"/>
    <w:rsid w:val="00230915"/>
    <w:rsid w:val="00230D53"/>
    <w:rsid w:val="0023191B"/>
    <w:rsid w:val="002337B2"/>
    <w:rsid w:val="00233C64"/>
    <w:rsid w:val="002404BA"/>
    <w:rsid w:val="002427F7"/>
    <w:rsid w:val="00243015"/>
    <w:rsid w:val="0024338F"/>
    <w:rsid w:val="002511A8"/>
    <w:rsid w:val="002511E9"/>
    <w:rsid w:val="002512E8"/>
    <w:rsid w:val="00251B16"/>
    <w:rsid w:val="00251FA2"/>
    <w:rsid w:val="002523FB"/>
    <w:rsid w:val="002529E8"/>
    <w:rsid w:val="00253249"/>
    <w:rsid w:val="002536CB"/>
    <w:rsid w:val="0025433B"/>
    <w:rsid w:val="0025526A"/>
    <w:rsid w:val="0025545F"/>
    <w:rsid w:val="0025583C"/>
    <w:rsid w:val="00255EA4"/>
    <w:rsid w:val="00260A89"/>
    <w:rsid w:val="00260C9F"/>
    <w:rsid w:val="00261A11"/>
    <w:rsid w:val="00262A51"/>
    <w:rsid w:val="00262DDC"/>
    <w:rsid w:val="002648FC"/>
    <w:rsid w:val="00265483"/>
    <w:rsid w:val="00265778"/>
    <w:rsid w:val="002658D0"/>
    <w:rsid w:val="002679E5"/>
    <w:rsid w:val="002704E8"/>
    <w:rsid w:val="00270695"/>
    <w:rsid w:val="002707B8"/>
    <w:rsid w:val="0027084D"/>
    <w:rsid w:val="002725BC"/>
    <w:rsid w:val="002731DE"/>
    <w:rsid w:val="002735F9"/>
    <w:rsid w:val="00273CD1"/>
    <w:rsid w:val="00274463"/>
    <w:rsid w:val="0027502F"/>
    <w:rsid w:val="00275B8B"/>
    <w:rsid w:val="00277C24"/>
    <w:rsid w:val="0028166F"/>
    <w:rsid w:val="00281733"/>
    <w:rsid w:val="0028174D"/>
    <w:rsid w:val="00281A30"/>
    <w:rsid w:val="002823D9"/>
    <w:rsid w:val="002831C6"/>
    <w:rsid w:val="00283FF9"/>
    <w:rsid w:val="002854B0"/>
    <w:rsid w:val="00290B29"/>
    <w:rsid w:val="00292313"/>
    <w:rsid w:val="00294168"/>
    <w:rsid w:val="00294245"/>
    <w:rsid w:val="002948AE"/>
    <w:rsid w:val="00294FD0"/>
    <w:rsid w:val="002954DC"/>
    <w:rsid w:val="0029647F"/>
    <w:rsid w:val="002966F6"/>
    <w:rsid w:val="00296B1E"/>
    <w:rsid w:val="00297ABC"/>
    <w:rsid w:val="002A2421"/>
    <w:rsid w:val="002A39F7"/>
    <w:rsid w:val="002A40A1"/>
    <w:rsid w:val="002A4594"/>
    <w:rsid w:val="002A4934"/>
    <w:rsid w:val="002A50A7"/>
    <w:rsid w:val="002A65C4"/>
    <w:rsid w:val="002A6CAA"/>
    <w:rsid w:val="002A6EA8"/>
    <w:rsid w:val="002B020A"/>
    <w:rsid w:val="002B228C"/>
    <w:rsid w:val="002B334F"/>
    <w:rsid w:val="002B3DF3"/>
    <w:rsid w:val="002B3E37"/>
    <w:rsid w:val="002B4075"/>
    <w:rsid w:val="002B4100"/>
    <w:rsid w:val="002B4250"/>
    <w:rsid w:val="002B429D"/>
    <w:rsid w:val="002B43F3"/>
    <w:rsid w:val="002B4830"/>
    <w:rsid w:val="002B4F49"/>
    <w:rsid w:val="002B6027"/>
    <w:rsid w:val="002B63FA"/>
    <w:rsid w:val="002B7D36"/>
    <w:rsid w:val="002C1E78"/>
    <w:rsid w:val="002C21A1"/>
    <w:rsid w:val="002C35B5"/>
    <w:rsid w:val="002C4E8C"/>
    <w:rsid w:val="002C65D1"/>
    <w:rsid w:val="002C7233"/>
    <w:rsid w:val="002D0261"/>
    <w:rsid w:val="002D1D1E"/>
    <w:rsid w:val="002D473A"/>
    <w:rsid w:val="002D4F37"/>
    <w:rsid w:val="002D54B7"/>
    <w:rsid w:val="002D61CE"/>
    <w:rsid w:val="002D6E03"/>
    <w:rsid w:val="002E030B"/>
    <w:rsid w:val="002E1E41"/>
    <w:rsid w:val="002E211F"/>
    <w:rsid w:val="002E397D"/>
    <w:rsid w:val="002E43B7"/>
    <w:rsid w:val="002E4405"/>
    <w:rsid w:val="002E4FDC"/>
    <w:rsid w:val="002E50F9"/>
    <w:rsid w:val="002E516E"/>
    <w:rsid w:val="002E5F0C"/>
    <w:rsid w:val="002E6386"/>
    <w:rsid w:val="002E6E73"/>
    <w:rsid w:val="002E799C"/>
    <w:rsid w:val="002F140C"/>
    <w:rsid w:val="002F313C"/>
    <w:rsid w:val="002F4FA0"/>
    <w:rsid w:val="002F5F07"/>
    <w:rsid w:val="002F78C9"/>
    <w:rsid w:val="002F7F47"/>
    <w:rsid w:val="0030105C"/>
    <w:rsid w:val="00304846"/>
    <w:rsid w:val="00304930"/>
    <w:rsid w:val="0030523E"/>
    <w:rsid w:val="00306137"/>
    <w:rsid w:val="0030636C"/>
    <w:rsid w:val="00312D97"/>
    <w:rsid w:val="00312FDE"/>
    <w:rsid w:val="0031302B"/>
    <w:rsid w:val="0031493F"/>
    <w:rsid w:val="00315E58"/>
    <w:rsid w:val="00320A32"/>
    <w:rsid w:val="00322056"/>
    <w:rsid w:val="00322518"/>
    <w:rsid w:val="00322C51"/>
    <w:rsid w:val="003235C8"/>
    <w:rsid w:val="003249AC"/>
    <w:rsid w:val="0032597C"/>
    <w:rsid w:val="003263EF"/>
    <w:rsid w:val="00327926"/>
    <w:rsid w:val="00327E12"/>
    <w:rsid w:val="003306BF"/>
    <w:rsid w:val="00331F49"/>
    <w:rsid w:val="00334155"/>
    <w:rsid w:val="0033567A"/>
    <w:rsid w:val="00336613"/>
    <w:rsid w:val="00336FF6"/>
    <w:rsid w:val="003370D6"/>
    <w:rsid w:val="0033715B"/>
    <w:rsid w:val="003400CE"/>
    <w:rsid w:val="003409E3"/>
    <w:rsid w:val="00340ED2"/>
    <w:rsid w:val="00341DD1"/>
    <w:rsid w:val="00343604"/>
    <w:rsid w:val="00344186"/>
    <w:rsid w:val="00344D3F"/>
    <w:rsid w:val="0034504D"/>
    <w:rsid w:val="00345174"/>
    <w:rsid w:val="0034562A"/>
    <w:rsid w:val="003478A8"/>
    <w:rsid w:val="00351ABE"/>
    <w:rsid w:val="00351DAD"/>
    <w:rsid w:val="0035483B"/>
    <w:rsid w:val="0035555C"/>
    <w:rsid w:val="0035620E"/>
    <w:rsid w:val="0035765D"/>
    <w:rsid w:val="00360CDE"/>
    <w:rsid w:val="003621F6"/>
    <w:rsid w:val="003625AF"/>
    <w:rsid w:val="00363176"/>
    <w:rsid w:val="00363AF6"/>
    <w:rsid w:val="00363BD6"/>
    <w:rsid w:val="0036420B"/>
    <w:rsid w:val="00366FCA"/>
    <w:rsid w:val="003675BA"/>
    <w:rsid w:val="00370AD1"/>
    <w:rsid w:val="00371330"/>
    <w:rsid w:val="00373067"/>
    <w:rsid w:val="00373624"/>
    <w:rsid w:val="00374643"/>
    <w:rsid w:val="00374E61"/>
    <w:rsid w:val="0037554E"/>
    <w:rsid w:val="003759CE"/>
    <w:rsid w:val="00375AFE"/>
    <w:rsid w:val="00380246"/>
    <w:rsid w:val="0038038C"/>
    <w:rsid w:val="00380DBE"/>
    <w:rsid w:val="003810F0"/>
    <w:rsid w:val="003822A8"/>
    <w:rsid w:val="00382632"/>
    <w:rsid w:val="00383151"/>
    <w:rsid w:val="00383223"/>
    <w:rsid w:val="00384D3F"/>
    <w:rsid w:val="003861AB"/>
    <w:rsid w:val="0038622A"/>
    <w:rsid w:val="00386564"/>
    <w:rsid w:val="00386A92"/>
    <w:rsid w:val="00387B03"/>
    <w:rsid w:val="00387C8A"/>
    <w:rsid w:val="0039036E"/>
    <w:rsid w:val="00391D6F"/>
    <w:rsid w:val="00391D75"/>
    <w:rsid w:val="00392C0A"/>
    <w:rsid w:val="0039497C"/>
    <w:rsid w:val="00395A18"/>
    <w:rsid w:val="0039632A"/>
    <w:rsid w:val="00396CFB"/>
    <w:rsid w:val="003A0310"/>
    <w:rsid w:val="003A15AE"/>
    <w:rsid w:val="003A1E5E"/>
    <w:rsid w:val="003A1F58"/>
    <w:rsid w:val="003A20DA"/>
    <w:rsid w:val="003A2119"/>
    <w:rsid w:val="003A4F3E"/>
    <w:rsid w:val="003A53CD"/>
    <w:rsid w:val="003A68FC"/>
    <w:rsid w:val="003A6DB0"/>
    <w:rsid w:val="003A7844"/>
    <w:rsid w:val="003A79DB"/>
    <w:rsid w:val="003B022E"/>
    <w:rsid w:val="003B2977"/>
    <w:rsid w:val="003B3314"/>
    <w:rsid w:val="003B3D85"/>
    <w:rsid w:val="003B3DD0"/>
    <w:rsid w:val="003B572B"/>
    <w:rsid w:val="003B5B99"/>
    <w:rsid w:val="003B7931"/>
    <w:rsid w:val="003C24E4"/>
    <w:rsid w:val="003C25AC"/>
    <w:rsid w:val="003C32BA"/>
    <w:rsid w:val="003C45C1"/>
    <w:rsid w:val="003C553A"/>
    <w:rsid w:val="003C556C"/>
    <w:rsid w:val="003C5C8B"/>
    <w:rsid w:val="003C664A"/>
    <w:rsid w:val="003C70C3"/>
    <w:rsid w:val="003D0C21"/>
    <w:rsid w:val="003D248B"/>
    <w:rsid w:val="003D2F9B"/>
    <w:rsid w:val="003D41C5"/>
    <w:rsid w:val="003D4ED4"/>
    <w:rsid w:val="003D53B8"/>
    <w:rsid w:val="003D5D7B"/>
    <w:rsid w:val="003D6D33"/>
    <w:rsid w:val="003D750D"/>
    <w:rsid w:val="003D7CFF"/>
    <w:rsid w:val="003E01A1"/>
    <w:rsid w:val="003E09E5"/>
    <w:rsid w:val="003E1251"/>
    <w:rsid w:val="003E1A21"/>
    <w:rsid w:val="003E2170"/>
    <w:rsid w:val="003E375A"/>
    <w:rsid w:val="003E4294"/>
    <w:rsid w:val="003E4B5E"/>
    <w:rsid w:val="003E6165"/>
    <w:rsid w:val="003E6A8F"/>
    <w:rsid w:val="003E6E8B"/>
    <w:rsid w:val="003E7A6E"/>
    <w:rsid w:val="003E7AEA"/>
    <w:rsid w:val="003F0994"/>
    <w:rsid w:val="003F0FB1"/>
    <w:rsid w:val="003F2A05"/>
    <w:rsid w:val="003F2C9D"/>
    <w:rsid w:val="003F2E2D"/>
    <w:rsid w:val="003F46FA"/>
    <w:rsid w:val="003F6B4E"/>
    <w:rsid w:val="003F6C61"/>
    <w:rsid w:val="003F6EC3"/>
    <w:rsid w:val="003F7844"/>
    <w:rsid w:val="003F78C1"/>
    <w:rsid w:val="003F7A1E"/>
    <w:rsid w:val="004007AC"/>
    <w:rsid w:val="00400BCE"/>
    <w:rsid w:val="00401AD3"/>
    <w:rsid w:val="00401DF0"/>
    <w:rsid w:val="0040227E"/>
    <w:rsid w:val="00403973"/>
    <w:rsid w:val="00403ADC"/>
    <w:rsid w:val="0040424A"/>
    <w:rsid w:val="004103CD"/>
    <w:rsid w:val="00410A18"/>
    <w:rsid w:val="00410CBE"/>
    <w:rsid w:val="004119E8"/>
    <w:rsid w:val="00411E44"/>
    <w:rsid w:val="004134D7"/>
    <w:rsid w:val="004138A5"/>
    <w:rsid w:val="00414885"/>
    <w:rsid w:val="004148C0"/>
    <w:rsid w:val="00414EBE"/>
    <w:rsid w:val="00414F98"/>
    <w:rsid w:val="0041560D"/>
    <w:rsid w:val="00416112"/>
    <w:rsid w:val="00422070"/>
    <w:rsid w:val="00422F62"/>
    <w:rsid w:val="0042395F"/>
    <w:rsid w:val="0042568D"/>
    <w:rsid w:val="00425EE1"/>
    <w:rsid w:val="00426918"/>
    <w:rsid w:val="0042694A"/>
    <w:rsid w:val="004269B5"/>
    <w:rsid w:val="00430741"/>
    <w:rsid w:val="00431115"/>
    <w:rsid w:val="00431F6C"/>
    <w:rsid w:val="00435253"/>
    <w:rsid w:val="004359BB"/>
    <w:rsid w:val="00440DF1"/>
    <w:rsid w:val="004419F6"/>
    <w:rsid w:val="00443054"/>
    <w:rsid w:val="00443D46"/>
    <w:rsid w:val="00443E85"/>
    <w:rsid w:val="0044642C"/>
    <w:rsid w:val="00446455"/>
    <w:rsid w:val="0045049B"/>
    <w:rsid w:val="00451D3D"/>
    <w:rsid w:val="00451DA6"/>
    <w:rsid w:val="00454277"/>
    <w:rsid w:val="00454FE1"/>
    <w:rsid w:val="00456A58"/>
    <w:rsid w:val="00456AB3"/>
    <w:rsid w:val="00456C45"/>
    <w:rsid w:val="00457149"/>
    <w:rsid w:val="0046047E"/>
    <w:rsid w:val="00462D3E"/>
    <w:rsid w:val="00464590"/>
    <w:rsid w:val="00464C75"/>
    <w:rsid w:val="004658D1"/>
    <w:rsid w:val="00466B8D"/>
    <w:rsid w:val="00470794"/>
    <w:rsid w:val="004707C6"/>
    <w:rsid w:val="00471DCC"/>
    <w:rsid w:val="004729E0"/>
    <w:rsid w:val="00473850"/>
    <w:rsid w:val="00473A4D"/>
    <w:rsid w:val="00473DD7"/>
    <w:rsid w:val="00473E98"/>
    <w:rsid w:val="004740E8"/>
    <w:rsid w:val="00474125"/>
    <w:rsid w:val="00474234"/>
    <w:rsid w:val="004745DA"/>
    <w:rsid w:val="00474896"/>
    <w:rsid w:val="00474E6F"/>
    <w:rsid w:val="00475E79"/>
    <w:rsid w:val="00476C08"/>
    <w:rsid w:val="0047789A"/>
    <w:rsid w:val="00480BEA"/>
    <w:rsid w:val="004811CE"/>
    <w:rsid w:val="00483334"/>
    <w:rsid w:val="004834B7"/>
    <w:rsid w:val="00483779"/>
    <w:rsid w:val="0048380E"/>
    <w:rsid w:val="00486665"/>
    <w:rsid w:val="0048668C"/>
    <w:rsid w:val="00486971"/>
    <w:rsid w:val="00486BE3"/>
    <w:rsid w:val="00487D91"/>
    <w:rsid w:val="00490395"/>
    <w:rsid w:val="0049137F"/>
    <w:rsid w:val="00491ECF"/>
    <w:rsid w:val="00492379"/>
    <w:rsid w:val="004923EB"/>
    <w:rsid w:val="0049240B"/>
    <w:rsid w:val="0049342D"/>
    <w:rsid w:val="0049420B"/>
    <w:rsid w:val="0049474F"/>
    <w:rsid w:val="00495289"/>
    <w:rsid w:val="004954D4"/>
    <w:rsid w:val="00496760"/>
    <w:rsid w:val="00497316"/>
    <w:rsid w:val="0049763C"/>
    <w:rsid w:val="00497C0D"/>
    <w:rsid w:val="00497CF7"/>
    <w:rsid w:val="004A17E0"/>
    <w:rsid w:val="004A4D8E"/>
    <w:rsid w:val="004A57F6"/>
    <w:rsid w:val="004A5A2F"/>
    <w:rsid w:val="004A613F"/>
    <w:rsid w:val="004B0775"/>
    <w:rsid w:val="004B0D97"/>
    <w:rsid w:val="004B106A"/>
    <w:rsid w:val="004B31ED"/>
    <w:rsid w:val="004B394F"/>
    <w:rsid w:val="004B3D81"/>
    <w:rsid w:val="004B3E74"/>
    <w:rsid w:val="004B4734"/>
    <w:rsid w:val="004C1432"/>
    <w:rsid w:val="004C3ECD"/>
    <w:rsid w:val="004C4576"/>
    <w:rsid w:val="004C501A"/>
    <w:rsid w:val="004C5799"/>
    <w:rsid w:val="004C5E86"/>
    <w:rsid w:val="004C641B"/>
    <w:rsid w:val="004C7081"/>
    <w:rsid w:val="004C7EFC"/>
    <w:rsid w:val="004D0505"/>
    <w:rsid w:val="004D05C8"/>
    <w:rsid w:val="004D0B18"/>
    <w:rsid w:val="004D0DD0"/>
    <w:rsid w:val="004D194A"/>
    <w:rsid w:val="004D2808"/>
    <w:rsid w:val="004D4A2C"/>
    <w:rsid w:val="004D7611"/>
    <w:rsid w:val="004E02C0"/>
    <w:rsid w:val="004E11D8"/>
    <w:rsid w:val="004E22AA"/>
    <w:rsid w:val="004E3225"/>
    <w:rsid w:val="004E40FD"/>
    <w:rsid w:val="004E4C79"/>
    <w:rsid w:val="004E505A"/>
    <w:rsid w:val="004E58BC"/>
    <w:rsid w:val="004E5A78"/>
    <w:rsid w:val="004E6043"/>
    <w:rsid w:val="004E72DE"/>
    <w:rsid w:val="004E7417"/>
    <w:rsid w:val="004E7689"/>
    <w:rsid w:val="004F3046"/>
    <w:rsid w:val="004F4B9A"/>
    <w:rsid w:val="004F4D19"/>
    <w:rsid w:val="004F4D6A"/>
    <w:rsid w:val="004F5900"/>
    <w:rsid w:val="004F5FF4"/>
    <w:rsid w:val="004F706D"/>
    <w:rsid w:val="004F73EF"/>
    <w:rsid w:val="004F7483"/>
    <w:rsid w:val="004F7758"/>
    <w:rsid w:val="0050077F"/>
    <w:rsid w:val="00500DEF"/>
    <w:rsid w:val="00501CB0"/>
    <w:rsid w:val="00502D50"/>
    <w:rsid w:val="0050558C"/>
    <w:rsid w:val="00506D42"/>
    <w:rsid w:val="005100A2"/>
    <w:rsid w:val="00510256"/>
    <w:rsid w:val="0051107A"/>
    <w:rsid w:val="0051160E"/>
    <w:rsid w:val="00511BBB"/>
    <w:rsid w:val="00512339"/>
    <w:rsid w:val="005128CD"/>
    <w:rsid w:val="005129C3"/>
    <w:rsid w:val="005133E4"/>
    <w:rsid w:val="00513906"/>
    <w:rsid w:val="00513BF3"/>
    <w:rsid w:val="0051489E"/>
    <w:rsid w:val="00514AFF"/>
    <w:rsid w:val="005164E1"/>
    <w:rsid w:val="00516517"/>
    <w:rsid w:val="005175EF"/>
    <w:rsid w:val="00517646"/>
    <w:rsid w:val="00517692"/>
    <w:rsid w:val="005179A1"/>
    <w:rsid w:val="00517F7A"/>
    <w:rsid w:val="00521191"/>
    <w:rsid w:val="005218C3"/>
    <w:rsid w:val="00521951"/>
    <w:rsid w:val="00522159"/>
    <w:rsid w:val="0052483D"/>
    <w:rsid w:val="00525623"/>
    <w:rsid w:val="0052604A"/>
    <w:rsid w:val="00531978"/>
    <w:rsid w:val="005353EA"/>
    <w:rsid w:val="005367D5"/>
    <w:rsid w:val="00536FF5"/>
    <w:rsid w:val="00537E35"/>
    <w:rsid w:val="00540A1E"/>
    <w:rsid w:val="00540D4C"/>
    <w:rsid w:val="00541BE6"/>
    <w:rsid w:val="00542FFC"/>
    <w:rsid w:val="00543D20"/>
    <w:rsid w:val="00543F37"/>
    <w:rsid w:val="00545AD4"/>
    <w:rsid w:val="005461C0"/>
    <w:rsid w:val="00547B1C"/>
    <w:rsid w:val="005504BC"/>
    <w:rsid w:val="00551182"/>
    <w:rsid w:val="00551791"/>
    <w:rsid w:val="00552EB3"/>
    <w:rsid w:val="00553AA5"/>
    <w:rsid w:val="00554025"/>
    <w:rsid w:val="005543E0"/>
    <w:rsid w:val="00555259"/>
    <w:rsid w:val="005556B2"/>
    <w:rsid w:val="00561459"/>
    <w:rsid w:val="00561B12"/>
    <w:rsid w:val="0056204C"/>
    <w:rsid w:val="00562433"/>
    <w:rsid w:val="00562F0E"/>
    <w:rsid w:val="005647C8"/>
    <w:rsid w:val="00564B21"/>
    <w:rsid w:val="00565D72"/>
    <w:rsid w:val="00565F80"/>
    <w:rsid w:val="005660FD"/>
    <w:rsid w:val="005672B5"/>
    <w:rsid w:val="005700FC"/>
    <w:rsid w:val="00571660"/>
    <w:rsid w:val="0057283B"/>
    <w:rsid w:val="00575B51"/>
    <w:rsid w:val="00576178"/>
    <w:rsid w:val="0057789C"/>
    <w:rsid w:val="0058133E"/>
    <w:rsid w:val="005819C5"/>
    <w:rsid w:val="005824E9"/>
    <w:rsid w:val="005837BD"/>
    <w:rsid w:val="0058464C"/>
    <w:rsid w:val="00584756"/>
    <w:rsid w:val="00585241"/>
    <w:rsid w:val="005855EC"/>
    <w:rsid w:val="005860FD"/>
    <w:rsid w:val="00587EE4"/>
    <w:rsid w:val="00590091"/>
    <w:rsid w:val="0059044C"/>
    <w:rsid w:val="0059072C"/>
    <w:rsid w:val="005915D6"/>
    <w:rsid w:val="00591A40"/>
    <w:rsid w:val="00591F96"/>
    <w:rsid w:val="00594F37"/>
    <w:rsid w:val="00596C57"/>
    <w:rsid w:val="00597441"/>
    <w:rsid w:val="005A0888"/>
    <w:rsid w:val="005A1AFE"/>
    <w:rsid w:val="005A2F63"/>
    <w:rsid w:val="005A2F6F"/>
    <w:rsid w:val="005A41AC"/>
    <w:rsid w:val="005A485E"/>
    <w:rsid w:val="005A573D"/>
    <w:rsid w:val="005A59F4"/>
    <w:rsid w:val="005A5B9A"/>
    <w:rsid w:val="005A5C27"/>
    <w:rsid w:val="005A5EEE"/>
    <w:rsid w:val="005A6B9B"/>
    <w:rsid w:val="005A7708"/>
    <w:rsid w:val="005B0F17"/>
    <w:rsid w:val="005B368D"/>
    <w:rsid w:val="005B3E85"/>
    <w:rsid w:val="005B50B8"/>
    <w:rsid w:val="005B5B2D"/>
    <w:rsid w:val="005B5BFC"/>
    <w:rsid w:val="005B6A7D"/>
    <w:rsid w:val="005B7C09"/>
    <w:rsid w:val="005C138B"/>
    <w:rsid w:val="005C1BFC"/>
    <w:rsid w:val="005C3F96"/>
    <w:rsid w:val="005C489D"/>
    <w:rsid w:val="005C59CE"/>
    <w:rsid w:val="005C5F99"/>
    <w:rsid w:val="005C5FE3"/>
    <w:rsid w:val="005C6529"/>
    <w:rsid w:val="005C681E"/>
    <w:rsid w:val="005C6E0D"/>
    <w:rsid w:val="005D027D"/>
    <w:rsid w:val="005D1B1B"/>
    <w:rsid w:val="005D1F76"/>
    <w:rsid w:val="005D1FFE"/>
    <w:rsid w:val="005D25EC"/>
    <w:rsid w:val="005D2ABC"/>
    <w:rsid w:val="005D2D13"/>
    <w:rsid w:val="005D3C05"/>
    <w:rsid w:val="005D5383"/>
    <w:rsid w:val="005D54CA"/>
    <w:rsid w:val="005D5717"/>
    <w:rsid w:val="005D5CD7"/>
    <w:rsid w:val="005D6827"/>
    <w:rsid w:val="005D7D4E"/>
    <w:rsid w:val="005D7FB3"/>
    <w:rsid w:val="005E038B"/>
    <w:rsid w:val="005E1543"/>
    <w:rsid w:val="005E18EB"/>
    <w:rsid w:val="005E1D1F"/>
    <w:rsid w:val="005E20BF"/>
    <w:rsid w:val="005E2179"/>
    <w:rsid w:val="005E260F"/>
    <w:rsid w:val="005E2647"/>
    <w:rsid w:val="005E28CB"/>
    <w:rsid w:val="005E3EFB"/>
    <w:rsid w:val="005E56E6"/>
    <w:rsid w:val="005E61ED"/>
    <w:rsid w:val="005E6C04"/>
    <w:rsid w:val="005F128A"/>
    <w:rsid w:val="005F1373"/>
    <w:rsid w:val="005F4085"/>
    <w:rsid w:val="005F70AA"/>
    <w:rsid w:val="005F77E4"/>
    <w:rsid w:val="006002DD"/>
    <w:rsid w:val="00600B02"/>
    <w:rsid w:val="00600C7D"/>
    <w:rsid w:val="00600D22"/>
    <w:rsid w:val="00601444"/>
    <w:rsid w:val="006025A4"/>
    <w:rsid w:val="00602EF3"/>
    <w:rsid w:val="006036FD"/>
    <w:rsid w:val="00603E88"/>
    <w:rsid w:val="006049B0"/>
    <w:rsid w:val="006109F6"/>
    <w:rsid w:val="0061177B"/>
    <w:rsid w:val="006124DB"/>
    <w:rsid w:val="0061276B"/>
    <w:rsid w:val="00612936"/>
    <w:rsid w:val="0061362E"/>
    <w:rsid w:val="00615341"/>
    <w:rsid w:val="006160BF"/>
    <w:rsid w:val="0061616D"/>
    <w:rsid w:val="006163AE"/>
    <w:rsid w:val="00616ADA"/>
    <w:rsid w:val="006175A7"/>
    <w:rsid w:val="006220FA"/>
    <w:rsid w:val="006239C7"/>
    <w:rsid w:val="00623BE6"/>
    <w:rsid w:val="0062454B"/>
    <w:rsid w:val="006252C6"/>
    <w:rsid w:val="0062576C"/>
    <w:rsid w:val="00626033"/>
    <w:rsid w:val="00630505"/>
    <w:rsid w:val="006308BF"/>
    <w:rsid w:val="00630922"/>
    <w:rsid w:val="00630E11"/>
    <w:rsid w:val="00631143"/>
    <w:rsid w:val="00631459"/>
    <w:rsid w:val="00631C17"/>
    <w:rsid w:val="0063248E"/>
    <w:rsid w:val="006324CB"/>
    <w:rsid w:val="00632CF0"/>
    <w:rsid w:val="00632E7D"/>
    <w:rsid w:val="006331B0"/>
    <w:rsid w:val="0063415D"/>
    <w:rsid w:val="00634539"/>
    <w:rsid w:val="006345B2"/>
    <w:rsid w:val="00635F9C"/>
    <w:rsid w:val="006360DB"/>
    <w:rsid w:val="00636B85"/>
    <w:rsid w:val="006375CA"/>
    <w:rsid w:val="0063776A"/>
    <w:rsid w:val="00641306"/>
    <w:rsid w:val="0064233B"/>
    <w:rsid w:val="00642967"/>
    <w:rsid w:val="00643DC9"/>
    <w:rsid w:val="006460B8"/>
    <w:rsid w:val="0064646B"/>
    <w:rsid w:val="006479EF"/>
    <w:rsid w:val="006514A3"/>
    <w:rsid w:val="006529AA"/>
    <w:rsid w:val="00653C3E"/>
    <w:rsid w:val="00654707"/>
    <w:rsid w:val="0065591D"/>
    <w:rsid w:val="0066010E"/>
    <w:rsid w:val="00660764"/>
    <w:rsid w:val="00660D00"/>
    <w:rsid w:val="00661C77"/>
    <w:rsid w:val="00664D23"/>
    <w:rsid w:val="0066658E"/>
    <w:rsid w:val="006668D8"/>
    <w:rsid w:val="00666D5A"/>
    <w:rsid w:val="006672E3"/>
    <w:rsid w:val="00667656"/>
    <w:rsid w:val="00670051"/>
    <w:rsid w:val="0067043F"/>
    <w:rsid w:val="00670523"/>
    <w:rsid w:val="00670587"/>
    <w:rsid w:val="00672D7A"/>
    <w:rsid w:val="00672E10"/>
    <w:rsid w:val="0067419C"/>
    <w:rsid w:val="00675794"/>
    <w:rsid w:val="006765F9"/>
    <w:rsid w:val="00680333"/>
    <w:rsid w:val="00680E08"/>
    <w:rsid w:val="00681DA9"/>
    <w:rsid w:val="00683C7D"/>
    <w:rsid w:val="006856D8"/>
    <w:rsid w:val="00686D1E"/>
    <w:rsid w:val="00686E4E"/>
    <w:rsid w:val="00687F36"/>
    <w:rsid w:val="00690C0D"/>
    <w:rsid w:val="006915C5"/>
    <w:rsid w:val="00692151"/>
    <w:rsid w:val="00692678"/>
    <w:rsid w:val="00692B5D"/>
    <w:rsid w:val="00693E90"/>
    <w:rsid w:val="00694365"/>
    <w:rsid w:val="0069437A"/>
    <w:rsid w:val="00695011"/>
    <w:rsid w:val="00696E76"/>
    <w:rsid w:val="00697198"/>
    <w:rsid w:val="00697618"/>
    <w:rsid w:val="00697AE2"/>
    <w:rsid w:val="006A01D7"/>
    <w:rsid w:val="006A0B22"/>
    <w:rsid w:val="006A1E64"/>
    <w:rsid w:val="006A424B"/>
    <w:rsid w:val="006A6EF2"/>
    <w:rsid w:val="006A7A93"/>
    <w:rsid w:val="006A7B6C"/>
    <w:rsid w:val="006B16CD"/>
    <w:rsid w:val="006B22CB"/>
    <w:rsid w:val="006B2C36"/>
    <w:rsid w:val="006B4C20"/>
    <w:rsid w:val="006B5FC7"/>
    <w:rsid w:val="006B664F"/>
    <w:rsid w:val="006B72DC"/>
    <w:rsid w:val="006C0489"/>
    <w:rsid w:val="006C0DF1"/>
    <w:rsid w:val="006C18A7"/>
    <w:rsid w:val="006C19FF"/>
    <w:rsid w:val="006C4152"/>
    <w:rsid w:val="006C4362"/>
    <w:rsid w:val="006C4B0D"/>
    <w:rsid w:val="006C5C95"/>
    <w:rsid w:val="006C66F7"/>
    <w:rsid w:val="006C70ED"/>
    <w:rsid w:val="006D045D"/>
    <w:rsid w:val="006D05F8"/>
    <w:rsid w:val="006D219A"/>
    <w:rsid w:val="006D2FCF"/>
    <w:rsid w:val="006D3126"/>
    <w:rsid w:val="006D3407"/>
    <w:rsid w:val="006D34ED"/>
    <w:rsid w:val="006D3BBD"/>
    <w:rsid w:val="006D44D3"/>
    <w:rsid w:val="006D49F8"/>
    <w:rsid w:val="006D526E"/>
    <w:rsid w:val="006D52C6"/>
    <w:rsid w:val="006D64A8"/>
    <w:rsid w:val="006D68FE"/>
    <w:rsid w:val="006D6F0C"/>
    <w:rsid w:val="006E02C8"/>
    <w:rsid w:val="006E0832"/>
    <w:rsid w:val="006E11C5"/>
    <w:rsid w:val="006E2139"/>
    <w:rsid w:val="006E2E96"/>
    <w:rsid w:val="006E31DC"/>
    <w:rsid w:val="006E3730"/>
    <w:rsid w:val="006E3740"/>
    <w:rsid w:val="006E4ADC"/>
    <w:rsid w:val="006E5B1C"/>
    <w:rsid w:val="006E6CC3"/>
    <w:rsid w:val="006F01DD"/>
    <w:rsid w:val="006F10FB"/>
    <w:rsid w:val="006F1799"/>
    <w:rsid w:val="006F1912"/>
    <w:rsid w:val="006F22ED"/>
    <w:rsid w:val="006F2309"/>
    <w:rsid w:val="006F3F20"/>
    <w:rsid w:val="006F4D78"/>
    <w:rsid w:val="006F511E"/>
    <w:rsid w:val="006F5CBA"/>
    <w:rsid w:val="006F5D72"/>
    <w:rsid w:val="006F6227"/>
    <w:rsid w:val="00700807"/>
    <w:rsid w:val="00702538"/>
    <w:rsid w:val="007025D9"/>
    <w:rsid w:val="0070369D"/>
    <w:rsid w:val="00704431"/>
    <w:rsid w:val="007052B7"/>
    <w:rsid w:val="00705A09"/>
    <w:rsid w:val="007075D4"/>
    <w:rsid w:val="00710360"/>
    <w:rsid w:val="00711997"/>
    <w:rsid w:val="00714CC3"/>
    <w:rsid w:val="00715238"/>
    <w:rsid w:val="00716505"/>
    <w:rsid w:val="00716E50"/>
    <w:rsid w:val="0072002A"/>
    <w:rsid w:val="0072015A"/>
    <w:rsid w:val="00720230"/>
    <w:rsid w:val="00720865"/>
    <w:rsid w:val="00723121"/>
    <w:rsid w:val="007232E0"/>
    <w:rsid w:val="007249B2"/>
    <w:rsid w:val="00724A9A"/>
    <w:rsid w:val="00725BBB"/>
    <w:rsid w:val="007270F4"/>
    <w:rsid w:val="0072745B"/>
    <w:rsid w:val="00731276"/>
    <w:rsid w:val="007322D0"/>
    <w:rsid w:val="007324F0"/>
    <w:rsid w:val="0073267E"/>
    <w:rsid w:val="00733729"/>
    <w:rsid w:val="00733D36"/>
    <w:rsid w:val="007340FB"/>
    <w:rsid w:val="00737B21"/>
    <w:rsid w:val="007408CB"/>
    <w:rsid w:val="00740F2A"/>
    <w:rsid w:val="0074312B"/>
    <w:rsid w:val="00743FC4"/>
    <w:rsid w:val="007443F6"/>
    <w:rsid w:val="007453B6"/>
    <w:rsid w:val="007458FA"/>
    <w:rsid w:val="007467DE"/>
    <w:rsid w:val="00747710"/>
    <w:rsid w:val="00747E84"/>
    <w:rsid w:val="00750ADF"/>
    <w:rsid w:val="00753357"/>
    <w:rsid w:val="00755256"/>
    <w:rsid w:val="007552CC"/>
    <w:rsid w:val="00755907"/>
    <w:rsid w:val="007562DA"/>
    <w:rsid w:val="0075756B"/>
    <w:rsid w:val="00757C70"/>
    <w:rsid w:val="0076059A"/>
    <w:rsid w:val="007627D2"/>
    <w:rsid w:val="00762C7C"/>
    <w:rsid w:val="00762FBE"/>
    <w:rsid w:val="007634A9"/>
    <w:rsid w:val="0076356B"/>
    <w:rsid w:val="007651EA"/>
    <w:rsid w:val="00765232"/>
    <w:rsid w:val="007664E4"/>
    <w:rsid w:val="00766643"/>
    <w:rsid w:val="00766A7A"/>
    <w:rsid w:val="00771BAB"/>
    <w:rsid w:val="00771C54"/>
    <w:rsid w:val="007740BD"/>
    <w:rsid w:val="007747BE"/>
    <w:rsid w:val="00775886"/>
    <w:rsid w:val="007768DF"/>
    <w:rsid w:val="007768FB"/>
    <w:rsid w:val="00776F99"/>
    <w:rsid w:val="00777010"/>
    <w:rsid w:val="00777C67"/>
    <w:rsid w:val="007802AD"/>
    <w:rsid w:val="0078047F"/>
    <w:rsid w:val="00780E29"/>
    <w:rsid w:val="00781203"/>
    <w:rsid w:val="00781312"/>
    <w:rsid w:val="00781F73"/>
    <w:rsid w:val="00782FF3"/>
    <w:rsid w:val="00783189"/>
    <w:rsid w:val="007845E1"/>
    <w:rsid w:val="00784ACA"/>
    <w:rsid w:val="00784C55"/>
    <w:rsid w:val="00785927"/>
    <w:rsid w:val="00785982"/>
    <w:rsid w:val="00785B2E"/>
    <w:rsid w:val="00787686"/>
    <w:rsid w:val="00787E50"/>
    <w:rsid w:val="0079063F"/>
    <w:rsid w:val="00790D9C"/>
    <w:rsid w:val="00793D9F"/>
    <w:rsid w:val="007947EB"/>
    <w:rsid w:val="00795EF2"/>
    <w:rsid w:val="007968B8"/>
    <w:rsid w:val="00796B1B"/>
    <w:rsid w:val="007A0B2C"/>
    <w:rsid w:val="007A0FEC"/>
    <w:rsid w:val="007A12C9"/>
    <w:rsid w:val="007A17BB"/>
    <w:rsid w:val="007A272C"/>
    <w:rsid w:val="007A2B3E"/>
    <w:rsid w:val="007A2EE6"/>
    <w:rsid w:val="007A584C"/>
    <w:rsid w:val="007A6EEF"/>
    <w:rsid w:val="007A71AC"/>
    <w:rsid w:val="007A7AF1"/>
    <w:rsid w:val="007B18D0"/>
    <w:rsid w:val="007B1F3E"/>
    <w:rsid w:val="007B21AB"/>
    <w:rsid w:val="007B2477"/>
    <w:rsid w:val="007B2E9D"/>
    <w:rsid w:val="007B5E8E"/>
    <w:rsid w:val="007B6174"/>
    <w:rsid w:val="007B6843"/>
    <w:rsid w:val="007C02C0"/>
    <w:rsid w:val="007C0A36"/>
    <w:rsid w:val="007C0B6B"/>
    <w:rsid w:val="007C0D75"/>
    <w:rsid w:val="007C126B"/>
    <w:rsid w:val="007C13B8"/>
    <w:rsid w:val="007C1C87"/>
    <w:rsid w:val="007C2617"/>
    <w:rsid w:val="007C2FE3"/>
    <w:rsid w:val="007C3072"/>
    <w:rsid w:val="007C38C6"/>
    <w:rsid w:val="007C4D6B"/>
    <w:rsid w:val="007C4FEE"/>
    <w:rsid w:val="007C68B5"/>
    <w:rsid w:val="007C69AA"/>
    <w:rsid w:val="007C6E4B"/>
    <w:rsid w:val="007C79A2"/>
    <w:rsid w:val="007D1457"/>
    <w:rsid w:val="007D1D5D"/>
    <w:rsid w:val="007D2511"/>
    <w:rsid w:val="007D354A"/>
    <w:rsid w:val="007D41D8"/>
    <w:rsid w:val="007D4FDA"/>
    <w:rsid w:val="007D5AD8"/>
    <w:rsid w:val="007D6269"/>
    <w:rsid w:val="007D62F3"/>
    <w:rsid w:val="007D6425"/>
    <w:rsid w:val="007D7696"/>
    <w:rsid w:val="007D78E0"/>
    <w:rsid w:val="007E01D5"/>
    <w:rsid w:val="007E09E2"/>
    <w:rsid w:val="007E120E"/>
    <w:rsid w:val="007E48CF"/>
    <w:rsid w:val="007F00FF"/>
    <w:rsid w:val="007F035B"/>
    <w:rsid w:val="007F1946"/>
    <w:rsid w:val="007F2D88"/>
    <w:rsid w:val="007F31B2"/>
    <w:rsid w:val="007F34B6"/>
    <w:rsid w:val="007F352D"/>
    <w:rsid w:val="007F446E"/>
    <w:rsid w:val="007F497E"/>
    <w:rsid w:val="007F549E"/>
    <w:rsid w:val="007F607A"/>
    <w:rsid w:val="007F6FB1"/>
    <w:rsid w:val="007F71DF"/>
    <w:rsid w:val="0080076A"/>
    <w:rsid w:val="00801EB3"/>
    <w:rsid w:val="00803016"/>
    <w:rsid w:val="00803052"/>
    <w:rsid w:val="008033C2"/>
    <w:rsid w:val="0080342B"/>
    <w:rsid w:val="00803AF3"/>
    <w:rsid w:val="00803DB8"/>
    <w:rsid w:val="00804AA4"/>
    <w:rsid w:val="00805FBE"/>
    <w:rsid w:val="00806A19"/>
    <w:rsid w:val="00806A3A"/>
    <w:rsid w:val="00810570"/>
    <w:rsid w:val="00812232"/>
    <w:rsid w:val="00812AA1"/>
    <w:rsid w:val="008131BC"/>
    <w:rsid w:val="008131FA"/>
    <w:rsid w:val="008133C0"/>
    <w:rsid w:val="00814A3A"/>
    <w:rsid w:val="00815A3E"/>
    <w:rsid w:val="008164E8"/>
    <w:rsid w:val="008177EE"/>
    <w:rsid w:val="00820BED"/>
    <w:rsid w:val="00821692"/>
    <w:rsid w:val="00821B54"/>
    <w:rsid w:val="00822091"/>
    <w:rsid w:val="00822725"/>
    <w:rsid w:val="00822A6D"/>
    <w:rsid w:val="00823311"/>
    <w:rsid w:val="00823C69"/>
    <w:rsid w:val="008246E3"/>
    <w:rsid w:val="008259CF"/>
    <w:rsid w:val="00825E35"/>
    <w:rsid w:val="0082711E"/>
    <w:rsid w:val="00827686"/>
    <w:rsid w:val="00827D8F"/>
    <w:rsid w:val="00827EC4"/>
    <w:rsid w:val="00830CC4"/>
    <w:rsid w:val="0083168B"/>
    <w:rsid w:val="00831D33"/>
    <w:rsid w:val="00832D88"/>
    <w:rsid w:val="00832F6E"/>
    <w:rsid w:val="0083338D"/>
    <w:rsid w:val="00833722"/>
    <w:rsid w:val="00833FB6"/>
    <w:rsid w:val="00834BC3"/>
    <w:rsid w:val="00841A20"/>
    <w:rsid w:val="00842FE7"/>
    <w:rsid w:val="00843D08"/>
    <w:rsid w:val="00844277"/>
    <w:rsid w:val="00844434"/>
    <w:rsid w:val="00844F3B"/>
    <w:rsid w:val="008455EF"/>
    <w:rsid w:val="00845891"/>
    <w:rsid w:val="0084695A"/>
    <w:rsid w:val="00850E16"/>
    <w:rsid w:val="00852018"/>
    <w:rsid w:val="00852226"/>
    <w:rsid w:val="008543E8"/>
    <w:rsid w:val="00856121"/>
    <w:rsid w:val="00857FE3"/>
    <w:rsid w:val="008604E8"/>
    <w:rsid w:val="00860AF0"/>
    <w:rsid w:val="008618B2"/>
    <w:rsid w:val="008626CE"/>
    <w:rsid w:val="00862760"/>
    <w:rsid w:val="00867A25"/>
    <w:rsid w:val="008700BA"/>
    <w:rsid w:val="00872380"/>
    <w:rsid w:val="00873666"/>
    <w:rsid w:val="0087426E"/>
    <w:rsid w:val="00874736"/>
    <w:rsid w:val="008748B4"/>
    <w:rsid w:val="008751F6"/>
    <w:rsid w:val="00875CD5"/>
    <w:rsid w:val="00876854"/>
    <w:rsid w:val="00876986"/>
    <w:rsid w:val="008769F5"/>
    <w:rsid w:val="008804BC"/>
    <w:rsid w:val="00880D1A"/>
    <w:rsid w:val="00880D91"/>
    <w:rsid w:val="00881D81"/>
    <w:rsid w:val="00881E2C"/>
    <w:rsid w:val="00882F2B"/>
    <w:rsid w:val="00883566"/>
    <w:rsid w:val="008849FF"/>
    <w:rsid w:val="00884ED9"/>
    <w:rsid w:val="008859AC"/>
    <w:rsid w:val="008869C8"/>
    <w:rsid w:val="00886AC3"/>
    <w:rsid w:val="00892D3A"/>
    <w:rsid w:val="00895494"/>
    <w:rsid w:val="00896574"/>
    <w:rsid w:val="008979C1"/>
    <w:rsid w:val="008A0025"/>
    <w:rsid w:val="008A2094"/>
    <w:rsid w:val="008A2249"/>
    <w:rsid w:val="008A337D"/>
    <w:rsid w:val="008A338C"/>
    <w:rsid w:val="008A37BA"/>
    <w:rsid w:val="008A3832"/>
    <w:rsid w:val="008A4178"/>
    <w:rsid w:val="008A4E18"/>
    <w:rsid w:val="008A571F"/>
    <w:rsid w:val="008A64F4"/>
    <w:rsid w:val="008A674D"/>
    <w:rsid w:val="008A78EC"/>
    <w:rsid w:val="008A7991"/>
    <w:rsid w:val="008A7C07"/>
    <w:rsid w:val="008B0E67"/>
    <w:rsid w:val="008B11C9"/>
    <w:rsid w:val="008B155F"/>
    <w:rsid w:val="008B1863"/>
    <w:rsid w:val="008B1BC6"/>
    <w:rsid w:val="008B291C"/>
    <w:rsid w:val="008B6B71"/>
    <w:rsid w:val="008C0158"/>
    <w:rsid w:val="008C15AC"/>
    <w:rsid w:val="008C174F"/>
    <w:rsid w:val="008C3F3A"/>
    <w:rsid w:val="008C4902"/>
    <w:rsid w:val="008C5042"/>
    <w:rsid w:val="008C544B"/>
    <w:rsid w:val="008D100F"/>
    <w:rsid w:val="008D1581"/>
    <w:rsid w:val="008D1BAD"/>
    <w:rsid w:val="008D1C55"/>
    <w:rsid w:val="008D33E2"/>
    <w:rsid w:val="008D4019"/>
    <w:rsid w:val="008D4418"/>
    <w:rsid w:val="008D51F3"/>
    <w:rsid w:val="008D7CE9"/>
    <w:rsid w:val="008E051D"/>
    <w:rsid w:val="008E0F34"/>
    <w:rsid w:val="008E1C27"/>
    <w:rsid w:val="008E1E03"/>
    <w:rsid w:val="008E212D"/>
    <w:rsid w:val="008E2B3B"/>
    <w:rsid w:val="008E4054"/>
    <w:rsid w:val="008E4A0D"/>
    <w:rsid w:val="008E7142"/>
    <w:rsid w:val="008F093F"/>
    <w:rsid w:val="008F1B64"/>
    <w:rsid w:val="008F2A12"/>
    <w:rsid w:val="008F431C"/>
    <w:rsid w:val="008F43B7"/>
    <w:rsid w:val="008F4901"/>
    <w:rsid w:val="008F5289"/>
    <w:rsid w:val="008F5430"/>
    <w:rsid w:val="008F6AD8"/>
    <w:rsid w:val="008F79E8"/>
    <w:rsid w:val="0090108A"/>
    <w:rsid w:val="00901219"/>
    <w:rsid w:val="00901BA6"/>
    <w:rsid w:val="009035E2"/>
    <w:rsid w:val="009042CC"/>
    <w:rsid w:val="00904571"/>
    <w:rsid w:val="009054AD"/>
    <w:rsid w:val="00906134"/>
    <w:rsid w:val="00906221"/>
    <w:rsid w:val="009064B3"/>
    <w:rsid w:val="00907160"/>
    <w:rsid w:val="009076A8"/>
    <w:rsid w:val="009079CD"/>
    <w:rsid w:val="00907EF2"/>
    <w:rsid w:val="00910D95"/>
    <w:rsid w:val="009127A4"/>
    <w:rsid w:val="00912AE9"/>
    <w:rsid w:val="00912D53"/>
    <w:rsid w:val="00913D5F"/>
    <w:rsid w:val="00914A3B"/>
    <w:rsid w:val="009159B2"/>
    <w:rsid w:val="0091695C"/>
    <w:rsid w:val="00916A3B"/>
    <w:rsid w:val="009179D3"/>
    <w:rsid w:val="00917B96"/>
    <w:rsid w:val="00920BBD"/>
    <w:rsid w:val="00921D13"/>
    <w:rsid w:val="00924C73"/>
    <w:rsid w:val="00925876"/>
    <w:rsid w:val="0092646E"/>
    <w:rsid w:val="009310B5"/>
    <w:rsid w:val="00931611"/>
    <w:rsid w:val="009329AE"/>
    <w:rsid w:val="00933C53"/>
    <w:rsid w:val="00934C83"/>
    <w:rsid w:val="009369AE"/>
    <w:rsid w:val="00942532"/>
    <w:rsid w:val="00943A1D"/>
    <w:rsid w:val="0094439D"/>
    <w:rsid w:val="00944AFA"/>
    <w:rsid w:val="009450BF"/>
    <w:rsid w:val="00945650"/>
    <w:rsid w:val="00945FE2"/>
    <w:rsid w:val="009460AC"/>
    <w:rsid w:val="0094621D"/>
    <w:rsid w:val="00950727"/>
    <w:rsid w:val="009508E4"/>
    <w:rsid w:val="00950EFD"/>
    <w:rsid w:val="00951FDB"/>
    <w:rsid w:val="009522DA"/>
    <w:rsid w:val="00953E02"/>
    <w:rsid w:val="00954323"/>
    <w:rsid w:val="00954BC2"/>
    <w:rsid w:val="009567B8"/>
    <w:rsid w:val="009570D0"/>
    <w:rsid w:val="00957E7E"/>
    <w:rsid w:val="00960D34"/>
    <w:rsid w:val="009611D2"/>
    <w:rsid w:val="0096202E"/>
    <w:rsid w:val="009621A0"/>
    <w:rsid w:val="00962354"/>
    <w:rsid w:val="00962BC2"/>
    <w:rsid w:val="00963D5E"/>
    <w:rsid w:val="00964224"/>
    <w:rsid w:val="009655D8"/>
    <w:rsid w:val="0096696A"/>
    <w:rsid w:val="00967201"/>
    <w:rsid w:val="00967C74"/>
    <w:rsid w:val="00971FDA"/>
    <w:rsid w:val="009722A8"/>
    <w:rsid w:val="00972548"/>
    <w:rsid w:val="009728FF"/>
    <w:rsid w:val="00974888"/>
    <w:rsid w:val="00974B47"/>
    <w:rsid w:val="00974D53"/>
    <w:rsid w:val="00974D5D"/>
    <w:rsid w:val="009760C4"/>
    <w:rsid w:val="00976E27"/>
    <w:rsid w:val="009772A5"/>
    <w:rsid w:val="00977550"/>
    <w:rsid w:val="00977C51"/>
    <w:rsid w:val="0098082F"/>
    <w:rsid w:val="00980B5D"/>
    <w:rsid w:val="00981173"/>
    <w:rsid w:val="00981A75"/>
    <w:rsid w:val="00981F83"/>
    <w:rsid w:val="00983373"/>
    <w:rsid w:val="009841A8"/>
    <w:rsid w:val="009845B5"/>
    <w:rsid w:val="009868BE"/>
    <w:rsid w:val="009869A6"/>
    <w:rsid w:val="00986B64"/>
    <w:rsid w:val="00986EFA"/>
    <w:rsid w:val="00987371"/>
    <w:rsid w:val="009876A4"/>
    <w:rsid w:val="009917E9"/>
    <w:rsid w:val="00992416"/>
    <w:rsid w:val="00993789"/>
    <w:rsid w:val="00994AE5"/>
    <w:rsid w:val="00994B4C"/>
    <w:rsid w:val="00994F61"/>
    <w:rsid w:val="00996057"/>
    <w:rsid w:val="00996394"/>
    <w:rsid w:val="00996C89"/>
    <w:rsid w:val="00996CB7"/>
    <w:rsid w:val="009979B9"/>
    <w:rsid w:val="009A03C7"/>
    <w:rsid w:val="009A0703"/>
    <w:rsid w:val="009A1399"/>
    <w:rsid w:val="009A195A"/>
    <w:rsid w:val="009A22FD"/>
    <w:rsid w:val="009A2ED6"/>
    <w:rsid w:val="009A31E7"/>
    <w:rsid w:val="009A4F55"/>
    <w:rsid w:val="009A546A"/>
    <w:rsid w:val="009A621C"/>
    <w:rsid w:val="009A6677"/>
    <w:rsid w:val="009A6C66"/>
    <w:rsid w:val="009A6EF9"/>
    <w:rsid w:val="009A7BBC"/>
    <w:rsid w:val="009A7E8C"/>
    <w:rsid w:val="009B2A11"/>
    <w:rsid w:val="009B5581"/>
    <w:rsid w:val="009B5940"/>
    <w:rsid w:val="009B63ED"/>
    <w:rsid w:val="009B710D"/>
    <w:rsid w:val="009C25C1"/>
    <w:rsid w:val="009C3862"/>
    <w:rsid w:val="009C4171"/>
    <w:rsid w:val="009C475C"/>
    <w:rsid w:val="009C5878"/>
    <w:rsid w:val="009C60A5"/>
    <w:rsid w:val="009C75C9"/>
    <w:rsid w:val="009C7FD0"/>
    <w:rsid w:val="009D1492"/>
    <w:rsid w:val="009D169E"/>
    <w:rsid w:val="009D17E7"/>
    <w:rsid w:val="009D2602"/>
    <w:rsid w:val="009D3234"/>
    <w:rsid w:val="009D346D"/>
    <w:rsid w:val="009D41B7"/>
    <w:rsid w:val="009D5CA7"/>
    <w:rsid w:val="009D65CD"/>
    <w:rsid w:val="009D6E2E"/>
    <w:rsid w:val="009D7298"/>
    <w:rsid w:val="009D7A7C"/>
    <w:rsid w:val="009E03C7"/>
    <w:rsid w:val="009E12B5"/>
    <w:rsid w:val="009E3C1C"/>
    <w:rsid w:val="009E3F6F"/>
    <w:rsid w:val="009E6ACB"/>
    <w:rsid w:val="009F1043"/>
    <w:rsid w:val="009F2D78"/>
    <w:rsid w:val="009F36CA"/>
    <w:rsid w:val="009F4FE2"/>
    <w:rsid w:val="009F58F9"/>
    <w:rsid w:val="009F60F8"/>
    <w:rsid w:val="009F6167"/>
    <w:rsid w:val="009F752A"/>
    <w:rsid w:val="00A003BE"/>
    <w:rsid w:val="00A00EE1"/>
    <w:rsid w:val="00A022AB"/>
    <w:rsid w:val="00A02B33"/>
    <w:rsid w:val="00A03435"/>
    <w:rsid w:val="00A03567"/>
    <w:rsid w:val="00A0385F"/>
    <w:rsid w:val="00A06C2D"/>
    <w:rsid w:val="00A0718E"/>
    <w:rsid w:val="00A079D0"/>
    <w:rsid w:val="00A11132"/>
    <w:rsid w:val="00A11756"/>
    <w:rsid w:val="00A11969"/>
    <w:rsid w:val="00A11E62"/>
    <w:rsid w:val="00A12DE8"/>
    <w:rsid w:val="00A157B9"/>
    <w:rsid w:val="00A158FB"/>
    <w:rsid w:val="00A1712E"/>
    <w:rsid w:val="00A17526"/>
    <w:rsid w:val="00A17F2D"/>
    <w:rsid w:val="00A20667"/>
    <w:rsid w:val="00A20FC2"/>
    <w:rsid w:val="00A2137A"/>
    <w:rsid w:val="00A22348"/>
    <w:rsid w:val="00A22712"/>
    <w:rsid w:val="00A243D6"/>
    <w:rsid w:val="00A24C62"/>
    <w:rsid w:val="00A254EC"/>
    <w:rsid w:val="00A25F51"/>
    <w:rsid w:val="00A26182"/>
    <w:rsid w:val="00A30382"/>
    <w:rsid w:val="00A30CEC"/>
    <w:rsid w:val="00A3188E"/>
    <w:rsid w:val="00A32604"/>
    <w:rsid w:val="00A32EF3"/>
    <w:rsid w:val="00A33959"/>
    <w:rsid w:val="00A35312"/>
    <w:rsid w:val="00A354C8"/>
    <w:rsid w:val="00A3595E"/>
    <w:rsid w:val="00A4007E"/>
    <w:rsid w:val="00A407E6"/>
    <w:rsid w:val="00A40E00"/>
    <w:rsid w:val="00A417AE"/>
    <w:rsid w:val="00A43345"/>
    <w:rsid w:val="00A447E6"/>
    <w:rsid w:val="00A463E3"/>
    <w:rsid w:val="00A50AD6"/>
    <w:rsid w:val="00A50D0F"/>
    <w:rsid w:val="00A50E2B"/>
    <w:rsid w:val="00A51495"/>
    <w:rsid w:val="00A52686"/>
    <w:rsid w:val="00A53D88"/>
    <w:rsid w:val="00A54097"/>
    <w:rsid w:val="00A54DAA"/>
    <w:rsid w:val="00A57661"/>
    <w:rsid w:val="00A60E34"/>
    <w:rsid w:val="00A62074"/>
    <w:rsid w:val="00A62606"/>
    <w:rsid w:val="00A62EA7"/>
    <w:rsid w:val="00A6459E"/>
    <w:rsid w:val="00A64686"/>
    <w:rsid w:val="00A64CAE"/>
    <w:rsid w:val="00A6578C"/>
    <w:rsid w:val="00A6605D"/>
    <w:rsid w:val="00A71A0A"/>
    <w:rsid w:val="00A71CBB"/>
    <w:rsid w:val="00A72227"/>
    <w:rsid w:val="00A72CC1"/>
    <w:rsid w:val="00A73E12"/>
    <w:rsid w:val="00A748F2"/>
    <w:rsid w:val="00A74939"/>
    <w:rsid w:val="00A76AED"/>
    <w:rsid w:val="00A77B52"/>
    <w:rsid w:val="00A77BE7"/>
    <w:rsid w:val="00A80044"/>
    <w:rsid w:val="00A81845"/>
    <w:rsid w:val="00A823A2"/>
    <w:rsid w:val="00A8271D"/>
    <w:rsid w:val="00A82B34"/>
    <w:rsid w:val="00A82B8B"/>
    <w:rsid w:val="00A83611"/>
    <w:rsid w:val="00A84B21"/>
    <w:rsid w:val="00A8580C"/>
    <w:rsid w:val="00A85A45"/>
    <w:rsid w:val="00A85F3E"/>
    <w:rsid w:val="00A86A92"/>
    <w:rsid w:val="00A86CEB"/>
    <w:rsid w:val="00A90AA5"/>
    <w:rsid w:val="00A912BA"/>
    <w:rsid w:val="00A924F3"/>
    <w:rsid w:val="00A92AF0"/>
    <w:rsid w:val="00A94369"/>
    <w:rsid w:val="00A954DC"/>
    <w:rsid w:val="00A97923"/>
    <w:rsid w:val="00AA0E31"/>
    <w:rsid w:val="00AA150D"/>
    <w:rsid w:val="00AA167C"/>
    <w:rsid w:val="00AA1803"/>
    <w:rsid w:val="00AA20EA"/>
    <w:rsid w:val="00AA3336"/>
    <w:rsid w:val="00AA3544"/>
    <w:rsid w:val="00AA446F"/>
    <w:rsid w:val="00AA59A6"/>
    <w:rsid w:val="00AA739B"/>
    <w:rsid w:val="00AB0D80"/>
    <w:rsid w:val="00AB16D9"/>
    <w:rsid w:val="00AB1C49"/>
    <w:rsid w:val="00AB1FC8"/>
    <w:rsid w:val="00AB284D"/>
    <w:rsid w:val="00AB2F02"/>
    <w:rsid w:val="00AB304E"/>
    <w:rsid w:val="00AB6C17"/>
    <w:rsid w:val="00AB7B15"/>
    <w:rsid w:val="00AC0A9D"/>
    <w:rsid w:val="00AC0C9E"/>
    <w:rsid w:val="00AC20C0"/>
    <w:rsid w:val="00AC2876"/>
    <w:rsid w:val="00AC3349"/>
    <w:rsid w:val="00AC33C8"/>
    <w:rsid w:val="00AC449A"/>
    <w:rsid w:val="00AC4C13"/>
    <w:rsid w:val="00AC4C74"/>
    <w:rsid w:val="00AC4CD2"/>
    <w:rsid w:val="00AC5D5B"/>
    <w:rsid w:val="00AC6E60"/>
    <w:rsid w:val="00AC7BE1"/>
    <w:rsid w:val="00AD059B"/>
    <w:rsid w:val="00AD0A21"/>
    <w:rsid w:val="00AD102A"/>
    <w:rsid w:val="00AD1502"/>
    <w:rsid w:val="00AD1796"/>
    <w:rsid w:val="00AD1974"/>
    <w:rsid w:val="00AD2353"/>
    <w:rsid w:val="00AD239A"/>
    <w:rsid w:val="00AD26D4"/>
    <w:rsid w:val="00AD3102"/>
    <w:rsid w:val="00AD3EDC"/>
    <w:rsid w:val="00AD4BF1"/>
    <w:rsid w:val="00AD505E"/>
    <w:rsid w:val="00AD5CCC"/>
    <w:rsid w:val="00AD6CC5"/>
    <w:rsid w:val="00AD713A"/>
    <w:rsid w:val="00AD7E0B"/>
    <w:rsid w:val="00AE0E58"/>
    <w:rsid w:val="00AE594A"/>
    <w:rsid w:val="00AF0189"/>
    <w:rsid w:val="00AF061D"/>
    <w:rsid w:val="00AF12CE"/>
    <w:rsid w:val="00AF3FE0"/>
    <w:rsid w:val="00AF45EB"/>
    <w:rsid w:val="00AF4794"/>
    <w:rsid w:val="00AF695E"/>
    <w:rsid w:val="00AF7191"/>
    <w:rsid w:val="00AF76DD"/>
    <w:rsid w:val="00AF7C74"/>
    <w:rsid w:val="00B001EB"/>
    <w:rsid w:val="00B004D7"/>
    <w:rsid w:val="00B00586"/>
    <w:rsid w:val="00B00972"/>
    <w:rsid w:val="00B0098B"/>
    <w:rsid w:val="00B0271B"/>
    <w:rsid w:val="00B041BF"/>
    <w:rsid w:val="00B041E3"/>
    <w:rsid w:val="00B06B70"/>
    <w:rsid w:val="00B11576"/>
    <w:rsid w:val="00B11CB9"/>
    <w:rsid w:val="00B14EF3"/>
    <w:rsid w:val="00B16A33"/>
    <w:rsid w:val="00B16D51"/>
    <w:rsid w:val="00B17AC0"/>
    <w:rsid w:val="00B17B7B"/>
    <w:rsid w:val="00B17D41"/>
    <w:rsid w:val="00B21333"/>
    <w:rsid w:val="00B24AD9"/>
    <w:rsid w:val="00B25959"/>
    <w:rsid w:val="00B267CA"/>
    <w:rsid w:val="00B32A7C"/>
    <w:rsid w:val="00B33E00"/>
    <w:rsid w:val="00B3505E"/>
    <w:rsid w:val="00B3572E"/>
    <w:rsid w:val="00B376CD"/>
    <w:rsid w:val="00B40734"/>
    <w:rsid w:val="00B40C90"/>
    <w:rsid w:val="00B41FAA"/>
    <w:rsid w:val="00B44EFF"/>
    <w:rsid w:val="00B46F12"/>
    <w:rsid w:val="00B5134D"/>
    <w:rsid w:val="00B516F5"/>
    <w:rsid w:val="00B5413B"/>
    <w:rsid w:val="00B54341"/>
    <w:rsid w:val="00B54F7B"/>
    <w:rsid w:val="00B55402"/>
    <w:rsid w:val="00B559F2"/>
    <w:rsid w:val="00B57130"/>
    <w:rsid w:val="00B57816"/>
    <w:rsid w:val="00B57D82"/>
    <w:rsid w:val="00B6087C"/>
    <w:rsid w:val="00B60E4E"/>
    <w:rsid w:val="00B61973"/>
    <w:rsid w:val="00B61ED6"/>
    <w:rsid w:val="00B6276E"/>
    <w:rsid w:val="00B62E41"/>
    <w:rsid w:val="00B6403E"/>
    <w:rsid w:val="00B64CA1"/>
    <w:rsid w:val="00B65E5A"/>
    <w:rsid w:val="00B66C2A"/>
    <w:rsid w:val="00B6741C"/>
    <w:rsid w:val="00B67CC7"/>
    <w:rsid w:val="00B70AD6"/>
    <w:rsid w:val="00B710C6"/>
    <w:rsid w:val="00B71940"/>
    <w:rsid w:val="00B72D36"/>
    <w:rsid w:val="00B73342"/>
    <w:rsid w:val="00B735E5"/>
    <w:rsid w:val="00B743E8"/>
    <w:rsid w:val="00B75FEC"/>
    <w:rsid w:val="00B76239"/>
    <w:rsid w:val="00B775F5"/>
    <w:rsid w:val="00B808E4"/>
    <w:rsid w:val="00B810C9"/>
    <w:rsid w:val="00B81A7D"/>
    <w:rsid w:val="00B823A3"/>
    <w:rsid w:val="00B83729"/>
    <w:rsid w:val="00B839FB"/>
    <w:rsid w:val="00B83DFF"/>
    <w:rsid w:val="00B84A9F"/>
    <w:rsid w:val="00B85C12"/>
    <w:rsid w:val="00B8620B"/>
    <w:rsid w:val="00B87683"/>
    <w:rsid w:val="00B876D5"/>
    <w:rsid w:val="00B909F2"/>
    <w:rsid w:val="00B928DE"/>
    <w:rsid w:val="00B92912"/>
    <w:rsid w:val="00B92BEA"/>
    <w:rsid w:val="00B9337E"/>
    <w:rsid w:val="00B9432F"/>
    <w:rsid w:val="00B95605"/>
    <w:rsid w:val="00B968AA"/>
    <w:rsid w:val="00B96B6A"/>
    <w:rsid w:val="00B97ACA"/>
    <w:rsid w:val="00BA0943"/>
    <w:rsid w:val="00BA0C81"/>
    <w:rsid w:val="00BA1F04"/>
    <w:rsid w:val="00BA21E1"/>
    <w:rsid w:val="00BA23ED"/>
    <w:rsid w:val="00BA423F"/>
    <w:rsid w:val="00BA64E8"/>
    <w:rsid w:val="00BA6512"/>
    <w:rsid w:val="00BA75BB"/>
    <w:rsid w:val="00BA7CD8"/>
    <w:rsid w:val="00BB0343"/>
    <w:rsid w:val="00BB09F8"/>
    <w:rsid w:val="00BB0DDB"/>
    <w:rsid w:val="00BB235B"/>
    <w:rsid w:val="00BB27EB"/>
    <w:rsid w:val="00BB344E"/>
    <w:rsid w:val="00BB3CBD"/>
    <w:rsid w:val="00BB458D"/>
    <w:rsid w:val="00BB5999"/>
    <w:rsid w:val="00BB5CDE"/>
    <w:rsid w:val="00BB6000"/>
    <w:rsid w:val="00BB600D"/>
    <w:rsid w:val="00BB72F4"/>
    <w:rsid w:val="00BB7D5B"/>
    <w:rsid w:val="00BC0BB3"/>
    <w:rsid w:val="00BC0E8D"/>
    <w:rsid w:val="00BC10BC"/>
    <w:rsid w:val="00BC17C3"/>
    <w:rsid w:val="00BC23FB"/>
    <w:rsid w:val="00BC2458"/>
    <w:rsid w:val="00BC3C9C"/>
    <w:rsid w:val="00BC4481"/>
    <w:rsid w:val="00BC6254"/>
    <w:rsid w:val="00BC7CB3"/>
    <w:rsid w:val="00BD0358"/>
    <w:rsid w:val="00BD05FC"/>
    <w:rsid w:val="00BD2B8D"/>
    <w:rsid w:val="00BD3834"/>
    <w:rsid w:val="00BD4635"/>
    <w:rsid w:val="00BD5923"/>
    <w:rsid w:val="00BD6750"/>
    <w:rsid w:val="00BD7018"/>
    <w:rsid w:val="00BD7A6B"/>
    <w:rsid w:val="00BD7D58"/>
    <w:rsid w:val="00BD7DD0"/>
    <w:rsid w:val="00BE0493"/>
    <w:rsid w:val="00BE2CA3"/>
    <w:rsid w:val="00BE3F19"/>
    <w:rsid w:val="00BF4031"/>
    <w:rsid w:val="00BF4442"/>
    <w:rsid w:val="00BF487A"/>
    <w:rsid w:val="00BF4C22"/>
    <w:rsid w:val="00BF5642"/>
    <w:rsid w:val="00BF640F"/>
    <w:rsid w:val="00BF7129"/>
    <w:rsid w:val="00BF775D"/>
    <w:rsid w:val="00C014DD"/>
    <w:rsid w:val="00C033E7"/>
    <w:rsid w:val="00C04166"/>
    <w:rsid w:val="00C07DF4"/>
    <w:rsid w:val="00C106AF"/>
    <w:rsid w:val="00C10836"/>
    <w:rsid w:val="00C11FD0"/>
    <w:rsid w:val="00C122BA"/>
    <w:rsid w:val="00C12986"/>
    <w:rsid w:val="00C12D78"/>
    <w:rsid w:val="00C14885"/>
    <w:rsid w:val="00C15234"/>
    <w:rsid w:val="00C15A52"/>
    <w:rsid w:val="00C15E83"/>
    <w:rsid w:val="00C1630A"/>
    <w:rsid w:val="00C1632D"/>
    <w:rsid w:val="00C170C0"/>
    <w:rsid w:val="00C17DE9"/>
    <w:rsid w:val="00C204A6"/>
    <w:rsid w:val="00C2197D"/>
    <w:rsid w:val="00C22DAC"/>
    <w:rsid w:val="00C2352A"/>
    <w:rsid w:val="00C23BD1"/>
    <w:rsid w:val="00C300E4"/>
    <w:rsid w:val="00C303A9"/>
    <w:rsid w:val="00C303F0"/>
    <w:rsid w:val="00C306A7"/>
    <w:rsid w:val="00C30CD3"/>
    <w:rsid w:val="00C310C0"/>
    <w:rsid w:val="00C31569"/>
    <w:rsid w:val="00C31905"/>
    <w:rsid w:val="00C31AF7"/>
    <w:rsid w:val="00C32206"/>
    <w:rsid w:val="00C33CFA"/>
    <w:rsid w:val="00C344E9"/>
    <w:rsid w:val="00C35F90"/>
    <w:rsid w:val="00C36691"/>
    <w:rsid w:val="00C36BFD"/>
    <w:rsid w:val="00C3702D"/>
    <w:rsid w:val="00C37C60"/>
    <w:rsid w:val="00C42588"/>
    <w:rsid w:val="00C443EA"/>
    <w:rsid w:val="00C444D3"/>
    <w:rsid w:val="00C449C8"/>
    <w:rsid w:val="00C451D8"/>
    <w:rsid w:val="00C4636A"/>
    <w:rsid w:val="00C4663F"/>
    <w:rsid w:val="00C466A6"/>
    <w:rsid w:val="00C47330"/>
    <w:rsid w:val="00C51EEC"/>
    <w:rsid w:val="00C5303D"/>
    <w:rsid w:val="00C53328"/>
    <w:rsid w:val="00C53BC4"/>
    <w:rsid w:val="00C55A51"/>
    <w:rsid w:val="00C55A71"/>
    <w:rsid w:val="00C608B8"/>
    <w:rsid w:val="00C610FD"/>
    <w:rsid w:val="00C6249F"/>
    <w:rsid w:val="00C632AD"/>
    <w:rsid w:val="00C6348B"/>
    <w:rsid w:val="00C63620"/>
    <w:rsid w:val="00C65F61"/>
    <w:rsid w:val="00C66BC5"/>
    <w:rsid w:val="00C67434"/>
    <w:rsid w:val="00C70077"/>
    <w:rsid w:val="00C7012D"/>
    <w:rsid w:val="00C704AA"/>
    <w:rsid w:val="00C71652"/>
    <w:rsid w:val="00C7184D"/>
    <w:rsid w:val="00C72DC0"/>
    <w:rsid w:val="00C76AC4"/>
    <w:rsid w:val="00C779B2"/>
    <w:rsid w:val="00C77F54"/>
    <w:rsid w:val="00C80798"/>
    <w:rsid w:val="00C818BD"/>
    <w:rsid w:val="00C81B55"/>
    <w:rsid w:val="00C822E1"/>
    <w:rsid w:val="00C82687"/>
    <w:rsid w:val="00C82A5B"/>
    <w:rsid w:val="00C84DE1"/>
    <w:rsid w:val="00C8517B"/>
    <w:rsid w:val="00C85CAB"/>
    <w:rsid w:val="00C85F05"/>
    <w:rsid w:val="00C865A9"/>
    <w:rsid w:val="00C872A0"/>
    <w:rsid w:val="00C90EE5"/>
    <w:rsid w:val="00C9259C"/>
    <w:rsid w:val="00C93677"/>
    <w:rsid w:val="00C94FA3"/>
    <w:rsid w:val="00C9589E"/>
    <w:rsid w:val="00C95F1F"/>
    <w:rsid w:val="00C95FC8"/>
    <w:rsid w:val="00C97809"/>
    <w:rsid w:val="00C97DDC"/>
    <w:rsid w:val="00CA1905"/>
    <w:rsid w:val="00CA2E36"/>
    <w:rsid w:val="00CA3311"/>
    <w:rsid w:val="00CA396C"/>
    <w:rsid w:val="00CA3D17"/>
    <w:rsid w:val="00CA5380"/>
    <w:rsid w:val="00CB04A3"/>
    <w:rsid w:val="00CB0B25"/>
    <w:rsid w:val="00CB1B3B"/>
    <w:rsid w:val="00CB28CD"/>
    <w:rsid w:val="00CB4636"/>
    <w:rsid w:val="00CB5257"/>
    <w:rsid w:val="00CB52E3"/>
    <w:rsid w:val="00CB540B"/>
    <w:rsid w:val="00CC014E"/>
    <w:rsid w:val="00CC1054"/>
    <w:rsid w:val="00CC22A8"/>
    <w:rsid w:val="00CC4104"/>
    <w:rsid w:val="00CC665E"/>
    <w:rsid w:val="00CC6849"/>
    <w:rsid w:val="00CC6E87"/>
    <w:rsid w:val="00CC79E0"/>
    <w:rsid w:val="00CD059B"/>
    <w:rsid w:val="00CD1341"/>
    <w:rsid w:val="00CD1748"/>
    <w:rsid w:val="00CD251B"/>
    <w:rsid w:val="00CD25B8"/>
    <w:rsid w:val="00CD2C45"/>
    <w:rsid w:val="00CD3D06"/>
    <w:rsid w:val="00CD3DF9"/>
    <w:rsid w:val="00CD5E06"/>
    <w:rsid w:val="00CD66F7"/>
    <w:rsid w:val="00CD670F"/>
    <w:rsid w:val="00CD7277"/>
    <w:rsid w:val="00CE0290"/>
    <w:rsid w:val="00CE0BF0"/>
    <w:rsid w:val="00CE0EF4"/>
    <w:rsid w:val="00CE0FA9"/>
    <w:rsid w:val="00CE1258"/>
    <w:rsid w:val="00CE2BEB"/>
    <w:rsid w:val="00CE3842"/>
    <w:rsid w:val="00CE4800"/>
    <w:rsid w:val="00CE51EE"/>
    <w:rsid w:val="00CE57AA"/>
    <w:rsid w:val="00CE7F54"/>
    <w:rsid w:val="00CF0BB6"/>
    <w:rsid w:val="00CF2BA3"/>
    <w:rsid w:val="00CF3423"/>
    <w:rsid w:val="00CF4C38"/>
    <w:rsid w:val="00CF6508"/>
    <w:rsid w:val="00D00330"/>
    <w:rsid w:val="00D0089D"/>
    <w:rsid w:val="00D00FD6"/>
    <w:rsid w:val="00D012B0"/>
    <w:rsid w:val="00D01697"/>
    <w:rsid w:val="00D02711"/>
    <w:rsid w:val="00D027E6"/>
    <w:rsid w:val="00D02855"/>
    <w:rsid w:val="00D02E83"/>
    <w:rsid w:val="00D03079"/>
    <w:rsid w:val="00D03616"/>
    <w:rsid w:val="00D03F7E"/>
    <w:rsid w:val="00D05841"/>
    <w:rsid w:val="00D05C27"/>
    <w:rsid w:val="00D05D30"/>
    <w:rsid w:val="00D05F8E"/>
    <w:rsid w:val="00D07BB7"/>
    <w:rsid w:val="00D10BDF"/>
    <w:rsid w:val="00D10C25"/>
    <w:rsid w:val="00D110CF"/>
    <w:rsid w:val="00D1186B"/>
    <w:rsid w:val="00D11C10"/>
    <w:rsid w:val="00D12DCB"/>
    <w:rsid w:val="00D132FA"/>
    <w:rsid w:val="00D13956"/>
    <w:rsid w:val="00D144D9"/>
    <w:rsid w:val="00D1582D"/>
    <w:rsid w:val="00D15D33"/>
    <w:rsid w:val="00D1749C"/>
    <w:rsid w:val="00D202A1"/>
    <w:rsid w:val="00D20CE3"/>
    <w:rsid w:val="00D214C1"/>
    <w:rsid w:val="00D21532"/>
    <w:rsid w:val="00D228CE"/>
    <w:rsid w:val="00D23477"/>
    <w:rsid w:val="00D23754"/>
    <w:rsid w:val="00D24728"/>
    <w:rsid w:val="00D25027"/>
    <w:rsid w:val="00D254BA"/>
    <w:rsid w:val="00D2555C"/>
    <w:rsid w:val="00D256CC"/>
    <w:rsid w:val="00D2585B"/>
    <w:rsid w:val="00D305E7"/>
    <w:rsid w:val="00D31519"/>
    <w:rsid w:val="00D31E7C"/>
    <w:rsid w:val="00D32C28"/>
    <w:rsid w:val="00D3428F"/>
    <w:rsid w:val="00D3493F"/>
    <w:rsid w:val="00D34D18"/>
    <w:rsid w:val="00D35071"/>
    <w:rsid w:val="00D363C1"/>
    <w:rsid w:val="00D37B8F"/>
    <w:rsid w:val="00D37D8A"/>
    <w:rsid w:val="00D40574"/>
    <w:rsid w:val="00D41A52"/>
    <w:rsid w:val="00D41B13"/>
    <w:rsid w:val="00D43B15"/>
    <w:rsid w:val="00D44776"/>
    <w:rsid w:val="00D44789"/>
    <w:rsid w:val="00D46800"/>
    <w:rsid w:val="00D46C7E"/>
    <w:rsid w:val="00D46D6E"/>
    <w:rsid w:val="00D4786B"/>
    <w:rsid w:val="00D50B41"/>
    <w:rsid w:val="00D50E0E"/>
    <w:rsid w:val="00D51662"/>
    <w:rsid w:val="00D519B7"/>
    <w:rsid w:val="00D51D7E"/>
    <w:rsid w:val="00D54C49"/>
    <w:rsid w:val="00D55598"/>
    <w:rsid w:val="00D557BF"/>
    <w:rsid w:val="00D56517"/>
    <w:rsid w:val="00D571B4"/>
    <w:rsid w:val="00D60C9C"/>
    <w:rsid w:val="00D6289E"/>
    <w:rsid w:val="00D6337A"/>
    <w:rsid w:val="00D63C8B"/>
    <w:rsid w:val="00D63CFD"/>
    <w:rsid w:val="00D641D6"/>
    <w:rsid w:val="00D65888"/>
    <w:rsid w:val="00D66301"/>
    <w:rsid w:val="00D701DD"/>
    <w:rsid w:val="00D70B1F"/>
    <w:rsid w:val="00D717AD"/>
    <w:rsid w:val="00D72659"/>
    <w:rsid w:val="00D72C6E"/>
    <w:rsid w:val="00D72DDD"/>
    <w:rsid w:val="00D7419B"/>
    <w:rsid w:val="00D742B5"/>
    <w:rsid w:val="00D7654E"/>
    <w:rsid w:val="00D80209"/>
    <w:rsid w:val="00D8047B"/>
    <w:rsid w:val="00D81445"/>
    <w:rsid w:val="00D81CD1"/>
    <w:rsid w:val="00D82509"/>
    <w:rsid w:val="00D825EA"/>
    <w:rsid w:val="00D82A17"/>
    <w:rsid w:val="00D83995"/>
    <w:rsid w:val="00D83CC0"/>
    <w:rsid w:val="00D83D8F"/>
    <w:rsid w:val="00D84607"/>
    <w:rsid w:val="00D84901"/>
    <w:rsid w:val="00D86250"/>
    <w:rsid w:val="00D8651C"/>
    <w:rsid w:val="00D8671F"/>
    <w:rsid w:val="00D86879"/>
    <w:rsid w:val="00D87EFC"/>
    <w:rsid w:val="00D91654"/>
    <w:rsid w:val="00D93CB3"/>
    <w:rsid w:val="00D93F38"/>
    <w:rsid w:val="00D95665"/>
    <w:rsid w:val="00D95AC7"/>
    <w:rsid w:val="00D96D6A"/>
    <w:rsid w:val="00D96F97"/>
    <w:rsid w:val="00D97421"/>
    <w:rsid w:val="00D97481"/>
    <w:rsid w:val="00D974B3"/>
    <w:rsid w:val="00D97C66"/>
    <w:rsid w:val="00DA10A4"/>
    <w:rsid w:val="00DA1B90"/>
    <w:rsid w:val="00DA1EE1"/>
    <w:rsid w:val="00DA42B5"/>
    <w:rsid w:val="00DA5B20"/>
    <w:rsid w:val="00DA70B4"/>
    <w:rsid w:val="00DA78F5"/>
    <w:rsid w:val="00DB0CC6"/>
    <w:rsid w:val="00DB278E"/>
    <w:rsid w:val="00DB32BF"/>
    <w:rsid w:val="00DB3ABE"/>
    <w:rsid w:val="00DB5B03"/>
    <w:rsid w:val="00DB6078"/>
    <w:rsid w:val="00DB63A4"/>
    <w:rsid w:val="00DB6C2A"/>
    <w:rsid w:val="00DB76D9"/>
    <w:rsid w:val="00DB7A60"/>
    <w:rsid w:val="00DC0E99"/>
    <w:rsid w:val="00DC162F"/>
    <w:rsid w:val="00DC2E09"/>
    <w:rsid w:val="00DC330A"/>
    <w:rsid w:val="00DC3F47"/>
    <w:rsid w:val="00DC4A62"/>
    <w:rsid w:val="00DC6559"/>
    <w:rsid w:val="00DC6563"/>
    <w:rsid w:val="00DC6A5E"/>
    <w:rsid w:val="00DC7221"/>
    <w:rsid w:val="00DD0D28"/>
    <w:rsid w:val="00DD0F62"/>
    <w:rsid w:val="00DD20B7"/>
    <w:rsid w:val="00DD233A"/>
    <w:rsid w:val="00DD254F"/>
    <w:rsid w:val="00DD2820"/>
    <w:rsid w:val="00DD2851"/>
    <w:rsid w:val="00DD54CA"/>
    <w:rsid w:val="00DD57EB"/>
    <w:rsid w:val="00DD5DE3"/>
    <w:rsid w:val="00DD5F50"/>
    <w:rsid w:val="00DD7206"/>
    <w:rsid w:val="00DD76B7"/>
    <w:rsid w:val="00DD7D54"/>
    <w:rsid w:val="00DE04F8"/>
    <w:rsid w:val="00DE069B"/>
    <w:rsid w:val="00DE096C"/>
    <w:rsid w:val="00DE1FFC"/>
    <w:rsid w:val="00DE2D03"/>
    <w:rsid w:val="00DE368D"/>
    <w:rsid w:val="00DE38DF"/>
    <w:rsid w:val="00DE3B47"/>
    <w:rsid w:val="00DE3D20"/>
    <w:rsid w:val="00DE4028"/>
    <w:rsid w:val="00DE43D9"/>
    <w:rsid w:val="00DE6CFB"/>
    <w:rsid w:val="00DE7017"/>
    <w:rsid w:val="00DE76B9"/>
    <w:rsid w:val="00DE788A"/>
    <w:rsid w:val="00DE7D58"/>
    <w:rsid w:val="00DF0540"/>
    <w:rsid w:val="00DF1356"/>
    <w:rsid w:val="00DF505B"/>
    <w:rsid w:val="00DF631B"/>
    <w:rsid w:val="00DF6460"/>
    <w:rsid w:val="00DF78FB"/>
    <w:rsid w:val="00E005BB"/>
    <w:rsid w:val="00E006CC"/>
    <w:rsid w:val="00E00849"/>
    <w:rsid w:val="00E019D5"/>
    <w:rsid w:val="00E02095"/>
    <w:rsid w:val="00E03DCD"/>
    <w:rsid w:val="00E05350"/>
    <w:rsid w:val="00E05851"/>
    <w:rsid w:val="00E05AD0"/>
    <w:rsid w:val="00E0652A"/>
    <w:rsid w:val="00E07CF2"/>
    <w:rsid w:val="00E11F9C"/>
    <w:rsid w:val="00E125C6"/>
    <w:rsid w:val="00E14F90"/>
    <w:rsid w:val="00E162B6"/>
    <w:rsid w:val="00E165D3"/>
    <w:rsid w:val="00E1739F"/>
    <w:rsid w:val="00E1762B"/>
    <w:rsid w:val="00E179DC"/>
    <w:rsid w:val="00E20610"/>
    <w:rsid w:val="00E24056"/>
    <w:rsid w:val="00E24AAC"/>
    <w:rsid w:val="00E258BC"/>
    <w:rsid w:val="00E25EE0"/>
    <w:rsid w:val="00E25FA3"/>
    <w:rsid w:val="00E30C19"/>
    <w:rsid w:val="00E3116D"/>
    <w:rsid w:val="00E33C6D"/>
    <w:rsid w:val="00E35C9D"/>
    <w:rsid w:val="00E35E8A"/>
    <w:rsid w:val="00E368C9"/>
    <w:rsid w:val="00E37663"/>
    <w:rsid w:val="00E3787C"/>
    <w:rsid w:val="00E37E61"/>
    <w:rsid w:val="00E40C15"/>
    <w:rsid w:val="00E43E68"/>
    <w:rsid w:val="00E44556"/>
    <w:rsid w:val="00E44D46"/>
    <w:rsid w:val="00E4548C"/>
    <w:rsid w:val="00E454E2"/>
    <w:rsid w:val="00E458FF"/>
    <w:rsid w:val="00E46472"/>
    <w:rsid w:val="00E46890"/>
    <w:rsid w:val="00E46E66"/>
    <w:rsid w:val="00E4787F"/>
    <w:rsid w:val="00E50592"/>
    <w:rsid w:val="00E50803"/>
    <w:rsid w:val="00E50A96"/>
    <w:rsid w:val="00E50ECC"/>
    <w:rsid w:val="00E523AE"/>
    <w:rsid w:val="00E52E82"/>
    <w:rsid w:val="00E52F76"/>
    <w:rsid w:val="00E537FF"/>
    <w:rsid w:val="00E556FA"/>
    <w:rsid w:val="00E557C1"/>
    <w:rsid w:val="00E565FB"/>
    <w:rsid w:val="00E56885"/>
    <w:rsid w:val="00E56AC9"/>
    <w:rsid w:val="00E571BA"/>
    <w:rsid w:val="00E577BF"/>
    <w:rsid w:val="00E60DC6"/>
    <w:rsid w:val="00E61319"/>
    <w:rsid w:val="00E65DDE"/>
    <w:rsid w:val="00E669C4"/>
    <w:rsid w:val="00E66EAD"/>
    <w:rsid w:val="00E6740C"/>
    <w:rsid w:val="00E7030A"/>
    <w:rsid w:val="00E70DF0"/>
    <w:rsid w:val="00E70E21"/>
    <w:rsid w:val="00E70FCB"/>
    <w:rsid w:val="00E71027"/>
    <w:rsid w:val="00E71691"/>
    <w:rsid w:val="00E71D99"/>
    <w:rsid w:val="00E71FB7"/>
    <w:rsid w:val="00E72466"/>
    <w:rsid w:val="00E725B6"/>
    <w:rsid w:val="00E72ED0"/>
    <w:rsid w:val="00E759AB"/>
    <w:rsid w:val="00E75ACD"/>
    <w:rsid w:val="00E76ADF"/>
    <w:rsid w:val="00E779DC"/>
    <w:rsid w:val="00E81AA1"/>
    <w:rsid w:val="00E821BF"/>
    <w:rsid w:val="00E835E9"/>
    <w:rsid w:val="00E840AA"/>
    <w:rsid w:val="00E85252"/>
    <w:rsid w:val="00E85665"/>
    <w:rsid w:val="00E858C0"/>
    <w:rsid w:val="00E8692D"/>
    <w:rsid w:val="00E87299"/>
    <w:rsid w:val="00E909DF"/>
    <w:rsid w:val="00E90EE0"/>
    <w:rsid w:val="00E92647"/>
    <w:rsid w:val="00E940B0"/>
    <w:rsid w:val="00E950BC"/>
    <w:rsid w:val="00E95510"/>
    <w:rsid w:val="00E9566F"/>
    <w:rsid w:val="00E95FC7"/>
    <w:rsid w:val="00EA120A"/>
    <w:rsid w:val="00EA1480"/>
    <w:rsid w:val="00EA2ABA"/>
    <w:rsid w:val="00EA2E7A"/>
    <w:rsid w:val="00EA3BAC"/>
    <w:rsid w:val="00EA3D12"/>
    <w:rsid w:val="00EA4B05"/>
    <w:rsid w:val="00EA5046"/>
    <w:rsid w:val="00EA546C"/>
    <w:rsid w:val="00EA5653"/>
    <w:rsid w:val="00EA5B26"/>
    <w:rsid w:val="00EA5B42"/>
    <w:rsid w:val="00EA70FF"/>
    <w:rsid w:val="00EA7911"/>
    <w:rsid w:val="00EA7C36"/>
    <w:rsid w:val="00EA7D54"/>
    <w:rsid w:val="00EB1EB7"/>
    <w:rsid w:val="00EB264B"/>
    <w:rsid w:val="00EB2771"/>
    <w:rsid w:val="00EB30C9"/>
    <w:rsid w:val="00EB31F4"/>
    <w:rsid w:val="00EB37BB"/>
    <w:rsid w:val="00EB4370"/>
    <w:rsid w:val="00EB5A71"/>
    <w:rsid w:val="00EB6D36"/>
    <w:rsid w:val="00EC26B0"/>
    <w:rsid w:val="00EC3897"/>
    <w:rsid w:val="00EC3E42"/>
    <w:rsid w:val="00EC3E4C"/>
    <w:rsid w:val="00EC4307"/>
    <w:rsid w:val="00EC4745"/>
    <w:rsid w:val="00EC4FED"/>
    <w:rsid w:val="00EC5060"/>
    <w:rsid w:val="00EC5A36"/>
    <w:rsid w:val="00EC6B24"/>
    <w:rsid w:val="00EC7073"/>
    <w:rsid w:val="00EC7600"/>
    <w:rsid w:val="00ED0FEC"/>
    <w:rsid w:val="00ED3388"/>
    <w:rsid w:val="00ED440C"/>
    <w:rsid w:val="00ED62F9"/>
    <w:rsid w:val="00EE15CE"/>
    <w:rsid w:val="00EE1C69"/>
    <w:rsid w:val="00EE2BC4"/>
    <w:rsid w:val="00EE3379"/>
    <w:rsid w:val="00EE469B"/>
    <w:rsid w:val="00EE52D6"/>
    <w:rsid w:val="00EE6C9E"/>
    <w:rsid w:val="00EE77F7"/>
    <w:rsid w:val="00EE7DB4"/>
    <w:rsid w:val="00EF0435"/>
    <w:rsid w:val="00EF053D"/>
    <w:rsid w:val="00EF11AE"/>
    <w:rsid w:val="00EF1969"/>
    <w:rsid w:val="00EF1C97"/>
    <w:rsid w:val="00EF2589"/>
    <w:rsid w:val="00EF25EC"/>
    <w:rsid w:val="00EF34B9"/>
    <w:rsid w:val="00EF383F"/>
    <w:rsid w:val="00EF4D92"/>
    <w:rsid w:val="00EF5378"/>
    <w:rsid w:val="00EF573C"/>
    <w:rsid w:val="00EF6541"/>
    <w:rsid w:val="00EF6550"/>
    <w:rsid w:val="00F02B7B"/>
    <w:rsid w:val="00F02C11"/>
    <w:rsid w:val="00F04175"/>
    <w:rsid w:val="00F0678A"/>
    <w:rsid w:val="00F07349"/>
    <w:rsid w:val="00F074BF"/>
    <w:rsid w:val="00F077A8"/>
    <w:rsid w:val="00F07B5E"/>
    <w:rsid w:val="00F07F80"/>
    <w:rsid w:val="00F102CD"/>
    <w:rsid w:val="00F1048B"/>
    <w:rsid w:val="00F10951"/>
    <w:rsid w:val="00F10B61"/>
    <w:rsid w:val="00F12A54"/>
    <w:rsid w:val="00F132A8"/>
    <w:rsid w:val="00F1394D"/>
    <w:rsid w:val="00F142FD"/>
    <w:rsid w:val="00F15947"/>
    <w:rsid w:val="00F1637F"/>
    <w:rsid w:val="00F177C2"/>
    <w:rsid w:val="00F20199"/>
    <w:rsid w:val="00F201B9"/>
    <w:rsid w:val="00F218B7"/>
    <w:rsid w:val="00F21A48"/>
    <w:rsid w:val="00F21E22"/>
    <w:rsid w:val="00F22DE2"/>
    <w:rsid w:val="00F24E6F"/>
    <w:rsid w:val="00F250C0"/>
    <w:rsid w:val="00F25BBC"/>
    <w:rsid w:val="00F26294"/>
    <w:rsid w:val="00F303BB"/>
    <w:rsid w:val="00F31BDD"/>
    <w:rsid w:val="00F33550"/>
    <w:rsid w:val="00F338E7"/>
    <w:rsid w:val="00F33973"/>
    <w:rsid w:val="00F35F68"/>
    <w:rsid w:val="00F3765A"/>
    <w:rsid w:val="00F40413"/>
    <w:rsid w:val="00F40E31"/>
    <w:rsid w:val="00F41514"/>
    <w:rsid w:val="00F42E3D"/>
    <w:rsid w:val="00F43B23"/>
    <w:rsid w:val="00F5030C"/>
    <w:rsid w:val="00F52C95"/>
    <w:rsid w:val="00F5367B"/>
    <w:rsid w:val="00F5387B"/>
    <w:rsid w:val="00F5467E"/>
    <w:rsid w:val="00F54BA5"/>
    <w:rsid w:val="00F54BE0"/>
    <w:rsid w:val="00F54FF0"/>
    <w:rsid w:val="00F562D7"/>
    <w:rsid w:val="00F569BA"/>
    <w:rsid w:val="00F57941"/>
    <w:rsid w:val="00F57CFE"/>
    <w:rsid w:val="00F60A49"/>
    <w:rsid w:val="00F60F45"/>
    <w:rsid w:val="00F63864"/>
    <w:rsid w:val="00F6407E"/>
    <w:rsid w:val="00F66D2D"/>
    <w:rsid w:val="00F71596"/>
    <w:rsid w:val="00F7399D"/>
    <w:rsid w:val="00F739B8"/>
    <w:rsid w:val="00F73E5E"/>
    <w:rsid w:val="00F74C40"/>
    <w:rsid w:val="00F7543F"/>
    <w:rsid w:val="00F76033"/>
    <w:rsid w:val="00F7618B"/>
    <w:rsid w:val="00F76662"/>
    <w:rsid w:val="00F7699A"/>
    <w:rsid w:val="00F8252F"/>
    <w:rsid w:val="00F8391F"/>
    <w:rsid w:val="00F83B13"/>
    <w:rsid w:val="00F84339"/>
    <w:rsid w:val="00F846A9"/>
    <w:rsid w:val="00F8554C"/>
    <w:rsid w:val="00F856E9"/>
    <w:rsid w:val="00F85F2D"/>
    <w:rsid w:val="00F862D0"/>
    <w:rsid w:val="00F86355"/>
    <w:rsid w:val="00F869A4"/>
    <w:rsid w:val="00F86D4B"/>
    <w:rsid w:val="00F90909"/>
    <w:rsid w:val="00F92901"/>
    <w:rsid w:val="00F93B5C"/>
    <w:rsid w:val="00F94116"/>
    <w:rsid w:val="00F95126"/>
    <w:rsid w:val="00F95B7B"/>
    <w:rsid w:val="00F95D6A"/>
    <w:rsid w:val="00F962F3"/>
    <w:rsid w:val="00F96371"/>
    <w:rsid w:val="00F96718"/>
    <w:rsid w:val="00FA04AD"/>
    <w:rsid w:val="00FA19CC"/>
    <w:rsid w:val="00FA1DC6"/>
    <w:rsid w:val="00FA2035"/>
    <w:rsid w:val="00FA296B"/>
    <w:rsid w:val="00FA2C37"/>
    <w:rsid w:val="00FA41CF"/>
    <w:rsid w:val="00FA467D"/>
    <w:rsid w:val="00FA6153"/>
    <w:rsid w:val="00FA69A5"/>
    <w:rsid w:val="00FA6B86"/>
    <w:rsid w:val="00FA759D"/>
    <w:rsid w:val="00FB1C1F"/>
    <w:rsid w:val="00FB2C32"/>
    <w:rsid w:val="00FB37FF"/>
    <w:rsid w:val="00FB5436"/>
    <w:rsid w:val="00FB57A6"/>
    <w:rsid w:val="00FB5905"/>
    <w:rsid w:val="00FC0D89"/>
    <w:rsid w:val="00FC0FA3"/>
    <w:rsid w:val="00FC191B"/>
    <w:rsid w:val="00FC1E77"/>
    <w:rsid w:val="00FC41C1"/>
    <w:rsid w:val="00FC4360"/>
    <w:rsid w:val="00FC6328"/>
    <w:rsid w:val="00FC65E1"/>
    <w:rsid w:val="00FC6FB3"/>
    <w:rsid w:val="00FD0B7B"/>
    <w:rsid w:val="00FD1787"/>
    <w:rsid w:val="00FD20F9"/>
    <w:rsid w:val="00FD2772"/>
    <w:rsid w:val="00FD31FF"/>
    <w:rsid w:val="00FE00B5"/>
    <w:rsid w:val="00FE027F"/>
    <w:rsid w:val="00FE2EE5"/>
    <w:rsid w:val="00FE32C0"/>
    <w:rsid w:val="00FE6F63"/>
    <w:rsid w:val="00FE71B9"/>
    <w:rsid w:val="00FE76F1"/>
    <w:rsid w:val="00FF01BC"/>
    <w:rsid w:val="00FF15AD"/>
    <w:rsid w:val="00FF1BB7"/>
    <w:rsid w:val="00FF26C5"/>
    <w:rsid w:val="00FF2778"/>
    <w:rsid w:val="00FF2BC5"/>
    <w:rsid w:val="00FF3188"/>
    <w:rsid w:val="00FF4AE2"/>
    <w:rsid w:val="00FF50FC"/>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92907F9-3C28-471A-9C73-7A757ADC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1C1E47"/>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E571BA"/>
    <w:pPr>
      <w:keepNext/>
      <w:keepLines/>
      <w:numPr>
        <w:numId w:val="15"/>
      </w:numPr>
      <w:adjustRightInd/>
      <w:spacing w:before="333"/>
      <w:outlineLvl w:val="2"/>
    </w:pPr>
    <w:rPr>
      <w:rFonts w:eastAsia="Calibri" w:cs="Calibr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1E47"/>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E571BA"/>
    <w:rPr>
      <w:rFonts w:eastAsia="Calibri" w:cs="Calibr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character" w:customStyle="1" w:styleId="cf01">
    <w:name w:val="cf01"/>
    <w:basedOn w:val="DefaultParagraphFont"/>
    <w:rsid w:val="00996CB7"/>
    <w:rPr>
      <w:rFonts w:ascii="Segoe UI" w:hAnsi="Segoe UI" w:cs="Segoe UI" w:hint="default"/>
      <w:sz w:val="18"/>
      <w:szCs w:val="18"/>
    </w:rPr>
  </w:style>
  <w:style w:type="paragraph" w:styleId="BodyText">
    <w:name w:val="Body Text"/>
    <w:basedOn w:val="Normal"/>
    <w:link w:val="BodyTextChar"/>
    <w:uiPriority w:val="1"/>
    <w:qFormat/>
    <w:rsid w:val="00021D2C"/>
    <w:pPr>
      <w:adjustRightInd/>
    </w:pPr>
    <w:rPr>
      <w:rFonts w:eastAsia="Calibri" w:cs="Calibri"/>
    </w:rPr>
  </w:style>
  <w:style w:type="character" w:customStyle="1" w:styleId="BodyTextChar">
    <w:name w:val="Body Text Char"/>
    <w:basedOn w:val="DefaultParagraphFont"/>
    <w:link w:val="BodyText"/>
    <w:uiPriority w:val="1"/>
    <w:rsid w:val="00021D2C"/>
    <w:rPr>
      <w:rFonts w:eastAsia="Calibri" w:cs="Calibri"/>
      <w:sz w:val="24"/>
      <w:szCs w:val="24"/>
    </w:rPr>
  </w:style>
  <w:style w:type="table" w:customStyle="1" w:styleId="GridTable41">
    <w:name w:val="Grid Table 41"/>
    <w:basedOn w:val="TableNormal"/>
    <w:next w:val="GridTable4"/>
    <w:uiPriority w:val="49"/>
    <w:rsid w:val="00186E2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65358c-ea5d-4a95-91f3-f3e94fd0cba8">
      <Terms xmlns="http://schemas.microsoft.com/office/infopath/2007/PartnerControls"/>
    </lcf76f155ced4ddcb4097134ff3c332f>
    <TaxCatchAll xmlns="0c7b4605-e063-4437-aa78-74cb5fb3fe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7D9193243ABE45A3677F5A45D469CB" ma:contentTypeVersion="15" ma:contentTypeDescription="Create a new document." ma:contentTypeScope="" ma:versionID="8490966ac3cdc1e7fbacc7f4b0e3cf94">
  <xsd:schema xmlns:xsd="http://www.w3.org/2001/XMLSchema" xmlns:xs="http://www.w3.org/2001/XMLSchema" xmlns:p="http://schemas.microsoft.com/office/2006/metadata/properties" xmlns:ns2="3165358c-ea5d-4a95-91f3-f3e94fd0cba8" xmlns:ns3="0c7b4605-e063-4437-aa78-74cb5fb3feb8" targetNamespace="http://schemas.microsoft.com/office/2006/metadata/properties" ma:root="true" ma:fieldsID="85cf691599ebbbe245c4676fee19b2df" ns2:_="" ns3:_="">
    <xsd:import namespace="3165358c-ea5d-4a95-91f3-f3e94fd0cba8"/>
    <xsd:import namespace="0c7b4605-e063-4437-aa78-74cb5fb3fe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5358c-ea5d-4a95-91f3-f3e94fd0c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b4605-e063-4437-aa78-74cb5fb3fe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487da0-0fd9-4d4b-84b8-bab03e3e54ff}" ma:internalName="TaxCatchAll" ma:showField="CatchAllData" ma:web="0c7b4605-e063-4437-aa78-74cb5fb3fe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customXml/itemProps2.xml><?xml version="1.0" encoding="utf-8"?>
<ds:datastoreItem xmlns:ds="http://schemas.openxmlformats.org/officeDocument/2006/customXml" ds:itemID="{4C923B59-975F-428E-81C3-8102627EE941}">
  <ds:schemaRefs>
    <ds:schemaRef ds:uri="http://schemas.openxmlformats.org/package/2006/metadata/core-properties"/>
    <ds:schemaRef ds:uri="0c7b4605-e063-4437-aa78-74cb5fb3feb8"/>
    <ds:schemaRef ds:uri="http://purl.org/dc/dcmitype/"/>
    <ds:schemaRef ds:uri="3165358c-ea5d-4a95-91f3-f3e94fd0cba8"/>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F4CFFDA-6BA4-47A9-BE80-C4473D57F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5358c-ea5d-4a95-91f3-f3e94fd0cba8"/>
    <ds:schemaRef ds:uri="0c7b4605-e063-4437-aa78-74cb5fb3f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E27B4A-5F15-4841-BA01-A21A74052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4371</Words>
  <Characters>24263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dgibbs</dc:creator>
  <cp:lastModifiedBy>Yang, Fan - OSHA</cp:lastModifiedBy>
  <cp:revision>4</cp:revision>
  <cp:lastPrinted>2017-07-11T15:59:00Z</cp:lastPrinted>
  <dcterms:created xsi:type="dcterms:W3CDTF">2025-06-09T19:24:00Z</dcterms:created>
  <dcterms:modified xsi:type="dcterms:W3CDTF">2025-06-10T18:14:00Z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0x010100F57D9193243ABE45A3677F5A45D469CB</vt:lpwstr>
  </property>
  <property fmtid="{D5CDD505-2E9C-101B-9397-08002B2CF9AE}" pid="3" name="MediaServiceImageTags">
    <vt:lpwstr/>
  </property>
</Properties>
</file>