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4DB6BD1A" w:rsidR="000A134A" w:rsidRPr="001C1E47" w:rsidRDefault="002511E9" w:rsidP="009266E5">
      <w:pPr>
        <w:pStyle w:val="Heading1"/>
      </w:pPr>
      <w:bookmarkStart w:id="0" w:name="_Toc118900169"/>
      <w:bookmarkStart w:id="1" w:name="_Toc118905008"/>
      <w:r w:rsidRPr="009266E5">
        <w:t>FY 2</w:t>
      </w:r>
      <w:r w:rsidR="00BD0358" w:rsidRPr="009266E5">
        <w:t>0</w:t>
      </w:r>
      <w:r w:rsidR="009266E5" w:rsidRPr="009266E5">
        <w:t>24</w:t>
      </w:r>
      <w:r w:rsidR="0032083E" w:rsidRPr="009266E5">
        <w:t xml:space="preserve"> </w:t>
      </w:r>
      <w:r w:rsidR="000A134A" w:rsidRPr="009266E5">
        <w:t xml:space="preserve">Follow-up </w:t>
      </w:r>
      <w:r w:rsidR="00626033" w:rsidRPr="009266E5">
        <w:t>Federal Annual Monitoring</w:t>
      </w:r>
      <w:r w:rsidR="000A134A" w:rsidRPr="009266E5">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30867D99" w14:textId="77777777" w:rsidR="002E17EC" w:rsidRPr="002E17EC" w:rsidRDefault="002E17EC" w:rsidP="002E17EC">
      <w:pPr>
        <w:rPr>
          <w:rFonts w:asciiTheme="minorHAnsi" w:hAnsiTheme="minorHAnsi"/>
          <w:b/>
          <w:bCs/>
          <w:sz w:val="28"/>
        </w:rPr>
      </w:pPr>
      <w:r w:rsidRPr="002E17EC">
        <w:rPr>
          <w:rFonts w:asciiTheme="minorHAnsi" w:hAnsiTheme="minorHAnsi"/>
          <w:b/>
          <w:bCs/>
          <w:sz w:val="28"/>
        </w:rPr>
        <w:t>Massachusetts Department of Labor Standards</w:t>
      </w:r>
    </w:p>
    <w:p w14:paraId="328D1479" w14:textId="77777777" w:rsidR="002E17EC" w:rsidRPr="002E17EC" w:rsidRDefault="002E17EC" w:rsidP="002E17EC">
      <w:pPr>
        <w:rPr>
          <w:rFonts w:asciiTheme="minorHAnsi" w:hAnsiTheme="minorHAnsi"/>
          <w:b/>
          <w:bCs/>
          <w:sz w:val="28"/>
        </w:rPr>
      </w:pPr>
      <w:r w:rsidRPr="002E17EC">
        <w:rPr>
          <w:rFonts w:asciiTheme="minorHAnsi" w:hAnsiTheme="minorHAnsi"/>
          <w:b/>
          <w:bCs/>
          <w:sz w:val="28"/>
        </w:rPr>
        <w:t>Workplace Safety and Health Program</w:t>
      </w:r>
    </w:p>
    <w:p w14:paraId="69574124" w14:textId="77777777" w:rsidR="002E17EC" w:rsidRPr="002E17EC" w:rsidRDefault="002E17EC" w:rsidP="002E17EC">
      <w:pPr>
        <w:rPr>
          <w:rFonts w:asciiTheme="minorHAnsi" w:hAnsiTheme="minorHAnsi"/>
          <w:b/>
          <w:bCs/>
          <w:sz w:val="28"/>
        </w:rPr>
      </w:pPr>
      <w:r w:rsidRPr="002E17EC">
        <w:rPr>
          <w:rFonts w:asciiTheme="minorHAnsi" w:hAnsiTheme="minorHAnsi"/>
          <w:b/>
          <w:bCs/>
          <w:sz w:val="28"/>
        </w:rPr>
        <w:t>(WSHP)</w:t>
      </w:r>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2A3E5133" w14:textId="254395D6" w:rsidR="000A134A" w:rsidRPr="001C1E47" w:rsidRDefault="000D723A" w:rsidP="0061177B">
      <w:pPr>
        <w:widowControl/>
        <w:autoSpaceDE/>
        <w:autoSpaceDN/>
        <w:adjustRightInd/>
        <w:rPr>
          <w:rFonts w:cs="Calibri"/>
          <w:bCs/>
        </w:rPr>
      </w:pPr>
      <w:r>
        <w:rPr>
          <w:rFonts w:cs="Calibri"/>
          <w:bCs/>
          <w:noProof/>
        </w:rPr>
        <w:drawing>
          <wp:inline distT="0" distB="0" distL="0" distR="0" wp14:anchorId="3652D890" wp14:editId="5A29078B">
            <wp:extent cx="1865630" cy="1865630"/>
            <wp:effectExtent l="0" t="0" r="1270" b="1270"/>
            <wp:docPr id="15667718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7185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865630"/>
                    </a:xfrm>
                    <a:prstGeom prst="rect">
                      <a:avLst/>
                    </a:prstGeom>
                    <a:noFill/>
                  </pic:spPr>
                </pic:pic>
              </a:graphicData>
            </a:graphic>
          </wp:inline>
        </w:drawing>
      </w:r>
    </w:p>
    <w:p w14:paraId="33BDDAA9" w14:textId="77777777" w:rsidR="000A134A" w:rsidRPr="001C1E47" w:rsidRDefault="000A134A" w:rsidP="0061177B">
      <w:pPr>
        <w:widowControl/>
        <w:autoSpaceDE/>
        <w:autoSpaceDN/>
        <w:adjustRightInd/>
        <w:rPr>
          <w:rFonts w:cs="Calibri"/>
          <w:bCs/>
        </w:rPr>
      </w:pPr>
    </w:p>
    <w:p w14:paraId="0E828210" w14:textId="77777777" w:rsidR="000A134A" w:rsidRPr="001C1E47" w:rsidRDefault="000A134A" w:rsidP="0061177B">
      <w:pPr>
        <w:widowControl/>
        <w:autoSpaceDE/>
        <w:autoSpaceDN/>
        <w:adjustRightInd/>
        <w:rPr>
          <w:rFonts w:cs="Calibri"/>
          <w:bCs/>
        </w:rPr>
      </w:pPr>
    </w:p>
    <w:p w14:paraId="6CB8AD27" w14:textId="49ACD2BD" w:rsidR="000A134A" w:rsidRPr="001C1E47" w:rsidRDefault="000A134A" w:rsidP="001C1E47">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w:t>
      </w:r>
      <w:r w:rsidR="0032083E">
        <w:rPr>
          <w:rFonts w:eastAsia="Batang" w:cs="Calibri"/>
          <w:b/>
          <w:sz w:val="28"/>
          <w:szCs w:val="28"/>
        </w:rPr>
        <w:t>023</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32083E" w:rsidRPr="009266E5">
        <w:rPr>
          <w:rFonts w:eastAsia="Batang" w:cs="Calibri"/>
          <w:b/>
          <w:sz w:val="28"/>
          <w:szCs w:val="28"/>
        </w:rPr>
        <w:t>24</w:t>
      </w:r>
    </w:p>
    <w:p w14:paraId="03D79AE5" w14:textId="77777777" w:rsidR="000A134A" w:rsidRPr="001C1E47" w:rsidRDefault="000A134A" w:rsidP="007A71AC">
      <w:pPr>
        <w:widowControl/>
        <w:autoSpaceDE/>
        <w:autoSpaceDN/>
        <w:adjustRightInd/>
        <w:jc w:val="center"/>
        <w:rPr>
          <w:rFonts w:cs="Calibri"/>
        </w:rPr>
      </w:pPr>
    </w:p>
    <w:p w14:paraId="015E020F" w14:textId="77777777" w:rsidR="000A134A" w:rsidRPr="001C1E47" w:rsidRDefault="000A134A" w:rsidP="0061177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E81BC24"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4150A25A" w14:textId="77777777" w:rsidR="00B663F5" w:rsidRPr="00B663F5" w:rsidRDefault="00B663F5" w:rsidP="00B663F5">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Batang" w:hAnsiTheme="minorHAnsi" w:cstheme="minorHAnsi"/>
          <w:b/>
          <w:bCs/>
        </w:rPr>
      </w:pPr>
      <w:r w:rsidRPr="00B663F5">
        <w:rPr>
          <w:rFonts w:asciiTheme="minorHAnsi" w:eastAsia="Batang" w:hAnsiTheme="minorHAnsi" w:cstheme="minorHAnsi"/>
          <w:b/>
          <w:bCs/>
        </w:rPr>
        <w:t>Initial Approval Date:  August 18, 2022</w:t>
      </w:r>
    </w:p>
    <w:p w14:paraId="4D712F7C" w14:textId="77777777" w:rsidR="00B663F5" w:rsidRPr="00B663F5" w:rsidRDefault="00B663F5" w:rsidP="00B663F5">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Batang" w:hAnsiTheme="minorHAnsi" w:cstheme="minorHAnsi"/>
          <w:b/>
          <w:bCs/>
        </w:rPr>
      </w:pPr>
      <w:r w:rsidRPr="00B663F5">
        <w:rPr>
          <w:rFonts w:asciiTheme="minorHAnsi" w:eastAsia="Batang" w:hAnsiTheme="minorHAnsi" w:cstheme="minorHAnsi"/>
          <w:b/>
          <w:bCs/>
        </w:rPr>
        <w:t>State Plan Certification Date:  N/A</w:t>
      </w:r>
    </w:p>
    <w:p w14:paraId="0A378B41" w14:textId="77777777" w:rsidR="00B663F5" w:rsidRPr="00B663F5" w:rsidRDefault="00B663F5" w:rsidP="00B663F5">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iCs/>
        </w:rPr>
      </w:pPr>
    </w:p>
    <w:p w14:paraId="0FE602F9" w14:textId="77777777" w:rsidR="00B663F5" w:rsidRPr="00B663F5" w:rsidRDefault="00B663F5" w:rsidP="00B663F5">
      <w:pPr>
        <w:rPr>
          <w:rFonts w:asciiTheme="minorHAnsi" w:hAnsiTheme="minorHAnsi" w:cstheme="minorHAnsi"/>
          <w:b/>
          <w:bCs/>
          <w:iCs/>
        </w:rPr>
      </w:pPr>
      <w:r w:rsidRPr="00B663F5">
        <w:rPr>
          <w:rFonts w:asciiTheme="minorHAnsi" w:hAnsiTheme="minorHAnsi" w:cstheme="minorHAnsi"/>
          <w:b/>
          <w:bCs/>
          <w:iCs/>
        </w:rPr>
        <w:t>Prepared by:</w:t>
      </w:r>
    </w:p>
    <w:p w14:paraId="060CD371" w14:textId="77777777" w:rsidR="00B663F5" w:rsidRPr="00B663F5" w:rsidRDefault="00B663F5" w:rsidP="00B663F5">
      <w:pPr>
        <w:rPr>
          <w:rFonts w:asciiTheme="minorHAnsi" w:hAnsiTheme="minorHAnsi" w:cstheme="minorHAnsi"/>
          <w:b/>
          <w:bCs/>
          <w:iCs/>
        </w:rPr>
      </w:pPr>
      <w:r w:rsidRPr="00B663F5">
        <w:rPr>
          <w:rFonts w:asciiTheme="minorHAnsi" w:hAnsiTheme="minorHAnsi" w:cstheme="minorHAnsi"/>
          <w:b/>
          <w:bCs/>
          <w:iCs/>
        </w:rPr>
        <w:t xml:space="preserve">U. S. Department of Labor </w:t>
      </w:r>
    </w:p>
    <w:p w14:paraId="35184661" w14:textId="77777777" w:rsidR="00B663F5" w:rsidRPr="00B663F5" w:rsidRDefault="00B663F5" w:rsidP="00B663F5">
      <w:pPr>
        <w:rPr>
          <w:rFonts w:asciiTheme="minorHAnsi" w:hAnsiTheme="minorHAnsi" w:cstheme="minorHAnsi"/>
          <w:b/>
          <w:bCs/>
          <w:iCs/>
        </w:rPr>
      </w:pPr>
      <w:r w:rsidRPr="00B663F5">
        <w:rPr>
          <w:rFonts w:asciiTheme="minorHAnsi" w:hAnsiTheme="minorHAnsi" w:cstheme="minorHAnsi"/>
          <w:b/>
          <w:bCs/>
          <w:iCs/>
        </w:rPr>
        <w:t>Occupational Safety and Health Administration</w:t>
      </w:r>
    </w:p>
    <w:p w14:paraId="7F50D725" w14:textId="27CB7BB9" w:rsidR="00B663F5" w:rsidRPr="00B663F5" w:rsidRDefault="004A515D" w:rsidP="00B663F5">
      <w:pPr>
        <w:rPr>
          <w:rFonts w:asciiTheme="minorHAnsi" w:hAnsiTheme="minorHAnsi" w:cstheme="minorHAnsi"/>
          <w:b/>
          <w:bCs/>
          <w:iCs/>
        </w:rPr>
      </w:pPr>
      <w:r>
        <w:rPr>
          <w:rFonts w:asciiTheme="minorHAnsi" w:hAnsiTheme="minorHAnsi" w:cstheme="minorHAnsi"/>
          <w:b/>
          <w:bCs/>
          <w:iCs/>
        </w:rPr>
        <w:t>Boston</w:t>
      </w:r>
      <w:r w:rsidR="00B663F5" w:rsidRPr="00B663F5">
        <w:rPr>
          <w:rFonts w:asciiTheme="minorHAnsi" w:hAnsiTheme="minorHAnsi" w:cstheme="minorHAnsi"/>
          <w:b/>
          <w:bCs/>
          <w:iCs/>
        </w:rPr>
        <w:t xml:space="preserve"> </w:t>
      </w:r>
      <w:r w:rsidR="00B663F5">
        <w:rPr>
          <w:rFonts w:asciiTheme="minorHAnsi" w:hAnsiTheme="minorHAnsi" w:cstheme="minorHAnsi"/>
          <w:b/>
          <w:bCs/>
          <w:iCs/>
        </w:rPr>
        <w:t>Region</w:t>
      </w:r>
    </w:p>
    <w:p w14:paraId="5B5A9376" w14:textId="77777777" w:rsidR="00B663F5" w:rsidRPr="00B663F5" w:rsidRDefault="00B663F5" w:rsidP="00B663F5">
      <w:pPr>
        <w:rPr>
          <w:rFonts w:asciiTheme="minorHAnsi" w:hAnsiTheme="minorHAnsi" w:cstheme="minorHAnsi"/>
          <w:b/>
          <w:bCs/>
          <w:iCs/>
        </w:rPr>
      </w:pPr>
      <w:r w:rsidRPr="00B663F5">
        <w:rPr>
          <w:rFonts w:asciiTheme="minorHAnsi" w:hAnsiTheme="minorHAnsi" w:cstheme="minorHAnsi"/>
          <w:b/>
          <w:bCs/>
          <w:iCs/>
        </w:rPr>
        <w:t>Boston, Massachusetts</w:t>
      </w:r>
    </w:p>
    <w:p w14:paraId="18164B2D" w14:textId="77777777" w:rsidR="000A134A" w:rsidRPr="001C1E47" w:rsidRDefault="000A134A" w:rsidP="007A71AC">
      <w:pPr>
        <w:widowControl/>
        <w:autoSpaceDE/>
        <w:autoSpaceDN/>
        <w:adjustRightInd/>
        <w:jc w:val="center"/>
        <w:rPr>
          <w:rFonts w:cs="Calibri"/>
          <w:b/>
        </w:rPr>
      </w:pPr>
    </w:p>
    <w:p w14:paraId="2A4EC189" w14:textId="77777777" w:rsidR="000A134A" w:rsidRPr="001C1E47" w:rsidRDefault="000A134A" w:rsidP="007A71AC">
      <w:pPr>
        <w:widowControl/>
        <w:autoSpaceDE/>
        <w:autoSpaceDN/>
        <w:adjustRightInd/>
        <w:jc w:val="center"/>
        <w:rPr>
          <w:rFonts w:cs="Calibri"/>
          <w:b/>
        </w:rPr>
      </w:pPr>
    </w:p>
    <w:p w14:paraId="2A63637C" w14:textId="77777777" w:rsidR="000A134A" w:rsidRPr="001C1E47" w:rsidRDefault="000A134A" w:rsidP="007A71AC">
      <w:pPr>
        <w:widowControl/>
        <w:autoSpaceDE/>
        <w:autoSpaceDN/>
        <w:adjustRightInd/>
        <w:jc w:val="center"/>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6D1C94C" w14:textId="77777777" w:rsidR="00F43B23" w:rsidRDefault="00F43B23">
      <w:pPr>
        <w:widowControl/>
        <w:autoSpaceDE/>
        <w:autoSpaceDN/>
        <w:adjustRightInd/>
        <w:rPr>
          <w:rFonts w:cs="Calibri"/>
          <w:b/>
          <w:sz w:val="40"/>
          <w:szCs w:val="40"/>
        </w:rPr>
      </w:pPr>
      <w:r>
        <w:rPr>
          <w:rFonts w:cs="Calibri"/>
          <w:b/>
          <w:sz w:val="40"/>
          <w:szCs w:val="40"/>
        </w:rPr>
        <w:br w:type="page"/>
      </w:r>
    </w:p>
    <w:p w14:paraId="253E64F1" w14:textId="2FAB4601" w:rsidR="002A6CAA" w:rsidRPr="00F43B23" w:rsidRDefault="00F43B23">
      <w:pPr>
        <w:widowControl/>
        <w:autoSpaceDE/>
        <w:autoSpaceDN/>
        <w:adjustRightInd/>
        <w:rPr>
          <w:rFonts w:cs="Calibri"/>
          <w:b/>
          <w:sz w:val="28"/>
          <w:szCs w:val="28"/>
        </w:rPr>
      </w:pPr>
      <w:r w:rsidRPr="00F43B23">
        <w:rPr>
          <w:rFonts w:cs="Calibri"/>
          <w:b/>
          <w:sz w:val="28"/>
          <w:szCs w:val="28"/>
        </w:rPr>
        <w:lastRenderedPageBreak/>
        <w:t>Table of Contents</w:t>
      </w:r>
    </w:p>
    <w:p w14:paraId="161B9969" w14:textId="35F1BB15" w:rsidR="000F63C1" w:rsidRPr="00807D8A" w:rsidRDefault="000F63C1">
      <w:pPr>
        <w:pStyle w:val="TOC2"/>
        <w:tabs>
          <w:tab w:val="left" w:pos="480"/>
          <w:tab w:val="right" w:leader="dot" w:pos="9530"/>
        </w:tabs>
        <w:rPr>
          <w:rFonts w:eastAsiaTheme="minorEastAsia" w:cstheme="minorBidi"/>
          <w:b/>
          <w:bCs w:val="0"/>
          <w:noProof/>
          <w:sz w:val="24"/>
          <w:szCs w:val="24"/>
        </w:rPr>
      </w:pPr>
      <w:r>
        <w:fldChar w:fldCharType="begin"/>
      </w:r>
      <w:r>
        <w:instrText xml:space="preserve"> TOC \o "2-3" \h \z \u \t "Level 1,1" </w:instrText>
      </w:r>
      <w:r>
        <w:fldChar w:fldCharType="separate"/>
      </w:r>
      <w:hyperlink w:anchor="_Toc119418663" w:history="1">
        <w:r w:rsidRPr="00807D8A">
          <w:rPr>
            <w:rStyle w:val="Hyperlink"/>
            <w:noProof/>
            <w:sz w:val="24"/>
            <w:szCs w:val="24"/>
          </w:rPr>
          <w:t>I.</w:t>
        </w:r>
        <w:r w:rsidRPr="00807D8A">
          <w:rPr>
            <w:rFonts w:eastAsiaTheme="minorEastAsia" w:cstheme="minorBidi"/>
            <w:b/>
            <w:bCs w:val="0"/>
            <w:noProof/>
            <w:sz w:val="24"/>
            <w:szCs w:val="24"/>
          </w:rPr>
          <w:tab/>
        </w:r>
        <w:r w:rsidRPr="00807D8A">
          <w:rPr>
            <w:rStyle w:val="Hyperlink"/>
            <w:noProof/>
            <w:sz w:val="24"/>
            <w:szCs w:val="24"/>
          </w:rPr>
          <w:t>Executive Summary</w:t>
        </w:r>
        <w:r w:rsidRPr="00807D8A">
          <w:rPr>
            <w:noProof/>
            <w:webHidden/>
            <w:sz w:val="24"/>
            <w:szCs w:val="24"/>
          </w:rPr>
          <w:tab/>
        </w:r>
        <w:r w:rsidRPr="00807D8A">
          <w:rPr>
            <w:noProof/>
            <w:webHidden/>
            <w:sz w:val="24"/>
            <w:szCs w:val="24"/>
          </w:rPr>
          <w:fldChar w:fldCharType="begin"/>
        </w:r>
        <w:r w:rsidRPr="00807D8A">
          <w:rPr>
            <w:noProof/>
            <w:webHidden/>
            <w:sz w:val="24"/>
            <w:szCs w:val="24"/>
          </w:rPr>
          <w:instrText xml:space="preserve"> PAGEREF _Toc119418663 \h </w:instrText>
        </w:r>
        <w:r w:rsidRPr="00807D8A">
          <w:rPr>
            <w:noProof/>
            <w:webHidden/>
            <w:sz w:val="24"/>
            <w:szCs w:val="24"/>
          </w:rPr>
        </w:r>
        <w:r w:rsidRPr="00807D8A">
          <w:rPr>
            <w:noProof/>
            <w:webHidden/>
            <w:sz w:val="24"/>
            <w:szCs w:val="24"/>
          </w:rPr>
          <w:fldChar w:fldCharType="separate"/>
        </w:r>
        <w:r w:rsidRPr="00807D8A">
          <w:rPr>
            <w:noProof/>
            <w:webHidden/>
            <w:sz w:val="24"/>
            <w:szCs w:val="24"/>
          </w:rPr>
          <w:t>3</w:t>
        </w:r>
        <w:r w:rsidRPr="00807D8A">
          <w:rPr>
            <w:noProof/>
            <w:webHidden/>
            <w:sz w:val="24"/>
            <w:szCs w:val="24"/>
          </w:rPr>
          <w:fldChar w:fldCharType="end"/>
        </w:r>
      </w:hyperlink>
    </w:p>
    <w:p w14:paraId="3BD91ACD" w14:textId="6E4F5CFC" w:rsidR="000F63C1" w:rsidRPr="00807D8A" w:rsidRDefault="000F63C1">
      <w:pPr>
        <w:pStyle w:val="TOC2"/>
        <w:tabs>
          <w:tab w:val="left" w:pos="480"/>
          <w:tab w:val="right" w:leader="dot" w:pos="9530"/>
        </w:tabs>
        <w:rPr>
          <w:rFonts w:eastAsiaTheme="minorEastAsia" w:cstheme="minorBidi"/>
          <w:b/>
          <w:bCs w:val="0"/>
          <w:noProof/>
          <w:sz w:val="24"/>
          <w:szCs w:val="24"/>
        </w:rPr>
      </w:pPr>
      <w:hyperlink w:anchor="_Toc119418664" w:history="1">
        <w:r w:rsidRPr="00807D8A">
          <w:rPr>
            <w:rStyle w:val="Hyperlink"/>
            <w:noProof/>
            <w:sz w:val="24"/>
            <w:szCs w:val="24"/>
          </w:rPr>
          <w:t>II.</w:t>
        </w:r>
        <w:r w:rsidRPr="00807D8A">
          <w:rPr>
            <w:rFonts w:eastAsiaTheme="minorEastAsia" w:cstheme="minorBidi"/>
            <w:b/>
            <w:bCs w:val="0"/>
            <w:noProof/>
            <w:sz w:val="24"/>
            <w:szCs w:val="24"/>
          </w:rPr>
          <w:tab/>
        </w:r>
        <w:r w:rsidRPr="00807D8A">
          <w:rPr>
            <w:rStyle w:val="Hyperlink"/>
            <w:noProof/>
            <w:sz w:val="24"/>
            <w:szCs w:val="24"/>
          </w:rPr>
          <w:t>State Plan Background</w:t>
        </w:r>
        <w:r w:rsidRPr="00807D8A">
          <w:rPr>
            <w:noProof/>
            <w:webHidden/>
            <w:sz w:val="24"/>
            <w:szCs w:val="24"/>
          </w:rPr>
          <w:tab/>
        </w:r>
        <w:r w:rsidR="002870BB">
          <w:rPr>
            <w:noProof/>
            <w:webHidden/>
            <w:sz w:val="24"/>
            <w:szCs w:val="24"/>
          </w:rPr>
          <w:t>3</w:t>
        </w:r>
      </w:hyperlink>
    </w:p>
    <w:p w14:paraId="12E60A29" w14:textId="4FD52E9C" w:rsidR="000F63C1" w:rsidRPr="00807D8A" w:rsidRDefault="000F63C1">
      <w:pPr>
        <w:pStyle w:val="TOC2"/>
        <w:tabs>
          <w:tab w:val="left" w:pos="480"/>
          <w:tab w:val="right" w:leader="dot" w:pos="9530"/>
        </w:tabs>
        <w:rPr>
          <w:rFonts w:eastAsiaTheme="minorEastAsia" w:cstheme="minorBidi"/>
          <w:b/>
          <w:bCs w:val="0"/>
          <w:noProof/>
          <w:sz w:val="24"/>
          <w:szCs w:val="24"/>
        </w:rPr>
      </w:pPr>
      <w:hyperlink w:anchor="_Toc119418665" w:history="1">
        <w:r w:rsidRPr="00807D8A">
          <w:rPr>
            <w:rStyle w:val="Hyperlink"/>
            <w:noProof/>
            <w:sz w:val="24"/>
            <w:szCs w:val="24"/>
          </w:rPr>
          <w:t>III.</w:t>
        </w:r>
        <w:r w:rsidRPr="00807D8A">
          <w:rPr>
            <w:rFonts w:eastAsiaTheme="minorEastAsia" w:cstheme="minorBidi"/>
            <w:b/>
            <w:bCs w:val="0"/>
            <w:noProof/>
            <w:sz w:val="24"/>
            <w:szCs w:val="24"/>
          </w:rPr>
          <w:tab/>
        </w:r>
        <w:r w:rsidRPr="00807D8A">
          <w:rPr>
            <w:rStyle w:val="Hyperlink"/>
            <w:noProof/>
            <w:sz w:val="24"/>
            <w:szCs w:val="24"/>
          </w:rPr>
          <w:t>Assessment of State Plan Progress and Performance</w:t>
        </w:r>
        <w:r w:rsidRPr="00807D8A">
          <w:rPr>
            <w:noProof/>
            <w:webHidden/>
            <w:sz w:val="24"/>
            <w:szCs w:val="24"/>
          </w:rPr>
          <w:tab/>
        </w:r>
        <w:r w:rsidR="004F6325">
          <w:rPr>
            <w:noProof/>
            <w:webHidden/>
            <w:sz w:val="24"/>
            <w:szCs w:val="24"/>
          </w:rPr>
          <w:t>5</w:t>
        </w:r>
      </w:hyperlink>
    </w:p>
    <w:p w14:paraId="1E2078A6" w14:textId="399BD604" w:rsidR="000F63C1" w:rsidRPr="00807D8A" w:rsidRDefault="000F63C1">
      <w:pPr>
        <w:pStyle w:val="TOC3"/>
        <w:tabs>
          <w:tab w:val="left" w:pos="720"/>
          <w:tab w:val="right" w:leader="dot" w:pos="9530"/>
        </w:tabs>
        <w:rPr>
          <w:rFonts w:eastAsiaTheme="minorEastAsia" w:cstheme="minorBidi"/>
          <w:noProof/>
          <w:szCs w:val="24"/>
        </w:rPr>
      </w:pPr>
      <w:hyperlink w:anchor="_Toc119418666" w:history="1">
        <w:r w:rsidRPr="00807D8A">
          <w:rPr>
            <w:rStyle w:val="Hyperlink"/>
            <w:rFonts w:ascii="Calibri" w:hAnsi="Calibri"/>
            <w:noProof/>
            <w:szCs w:val="24"/>
          </w:rPr>
          <w:t>A.</w:t>
        </w:r>
        <w:r w:rsidRPr="00807D8A">
          <w:rPr>
            <w:rFonts w:eastAsiaTheme="minorEastAsia" w:cstheme="minorBidi"/>
            <w:noProof/>
            <w:szCs w:val="24"/>
          </w:rPr>
          <w:tab/>
        </w:r>
        <w:r w:rsidRPr="00807D8A">
          <w:rPr>
            <w:rStyle w:val="Hyperlink"/>
            <w:noProof/>
            <w:szCs w:val="24"/>
          </w:rPr>
          <w:t>Data and Methodology</w:t>
        </w:r>
        <w:r w:rsidRPr="00807D8A">
          <w:rPr>
            <w:noProof/>
            <w:webHidden/>
            <w:szCs w:val="24"/>
          </w:rPr>
          <w:tab/>
        </w:r>
        <w:r w:rsidR="004F6325">
          <w:rPr>
            <w:noProof/>
            <w:webHidden/>
            <w:szCs w:val="24"/>
          </w:rPr>
          <w:t>5</w:t>
        </w:r>
      </w:hyperlink>
    </w:p>
    <w:p w14:paraId="5EC14328" w14:textId="5DE4D8C2" w:rsidR="000F63C1" w:rsidRPr="00807D8A" w:rsidRDefault="000F63C1">
      <w:pPr>
        <w:pStyle w:val="TOC3"/>
        <w:tabs>
          <w:tab w:val="left" w:pos="720"/>
          <w:tab w:val="right" w:leader="dot" w:pos="9530"/>
        </w:tabs>
        <w:rPr>
          <w:rFonts w:eastAsiaTheme="minorEastAsia" w:cstheme="minorBidi"/>
          <w:noProof/>
          <w:szCs w:val="24"/>
        </w:rPr>
      </w:pPr>
      <w:hyperlink w:anchor="_Toc119418667" w:history="1">
        <w:r w:rsidRPr="00807D8A">
          <w:rPr>
            <w:rStyle w:val="Hyperlink"/>
            <w:rFonts w:ascii="Calibri" w:hAnsi="Calibri"/>
            <w:noProof/>
            <w:szCs w:val="24"/>
          </w:rPr>
          <w:t>B.</w:t>
        </w:r>
        <w:r w:rsidRPr="00807D8A">
          <w:rPr>
            <w:rFonts w:eastAsiaTheme="minorEastAsia" w:cstheme="minorBidi"/>
            <w:noProof/>
            <w:szCs w:val="24"/>
          </w:rPr>
          <w:tab/>
        </w:r>
        <w:r w:rsidRPr="00807D8A">
          <w:rPr>
            <w:rStyle w:val="Hyperlink"/>
            <w:noProof/>
            <w:szCs w:val="24"/>
          </w:rPr>
          <w:t>Findings and Observations</w:t>
        </w:r>
        <w:r w:rsidRPr="00807D8A">
          <w:rPr>
            <w:noProof/>
            <w:webHidden/>
            <w:szCs w:val="24"/>
          </w:rPr>
          <w:tab/>
        </w:r>
        <w:r w:rsidR="004F6325">
          <w:rPr>
            <w:noProof/>
            <w:webHidden/>
            <w:szCs w:val="24"/>
          </w:rPr>
          <w:t>5</w:t>
        </w:r>
      </w:hyperlink>
    </w:p>
    <w:p w14:paraId="373A40FB" w14:textId="6B9129E1" w:rsidR="000F63C1" w:rsidRPr="00807D8A" w:rsidRDefault="000F63C1">
      <w:pPr>
        <w:pStyle w:val="TOC3"/>
        <w:tabs>
          <w:tab w:val="left" w:pos="720"/>
          <w:tab w:val="right" w:leader="dot" w:pos="9530"/>
        </w:tabs>
        <w:rPr>
          <w:noProof/>
          <w:szCs w:val="24"/>
        </w:rPr>
      </w:pPr>
      <w:hyperlink w:anchor="_Toc119418668" w:history="1">
        <w:r w:rsidRPr="00807D8A">
          <w:rPr>
            <w:rStyle w:val="Hyperlink"/>
            <w:rFonts w:ascii="Calibri" w:hAnsi="Calibri"/>
            <w:noProof/>
            <w:szCs w:val="24"/>
          </w:rPr>
          <w:t>C.</w:t>
        </w:r>
        <w:r w:rsidRPr="00807D8A">
          <w:rPr>
            <w:rFonts w:eastAsiaTheme="minorEastAsia" w:cstheme="minorBidi"/>
            <w:noProof/>
            <w:szCs w:val="24"/>
          </w:rPr>
          <w:tab/>
        </w:r>
        <w:r w:rsidRPr="00807D8A">
          <w:rPr>
            <w:rStyle w:val="Hyperlink"/>
            <w:noProof/>
            <w:szCs w:val="24"/>
          </w:rPr>
          <w:t>State Activity Mandated Measures (SAMM) Highlights</w:t>
        </w:r>
        <w:r w:rsidRPr="00807D8A">
          <w:rPr>
            <w:noProof/>
            <w:webHidden/>
            <w:szCs w:val="24"/>
          </w:rPr>
          <w:tab/>
        </w:r>
      </w:hyperlink>
      <w:r w:rsidR="00553433">
        <w:t>7</w:t>
      </w:r>
    </w:p>
    <w:p w14:paraId="37D4048E" w14:textId="4B65FCA9" w:rsidR="00115ADC" w:rsidRPr="00807D8A" w:rsidRDefault="00115ADC" w:rsidP="006C01DC">
      <w:pPr>
        <w:ind w:firstLine="240"/>
        <w:rPr>
          <w:rFonts w:eastAsiaTheme="minorEastAsia"/>
        </w:rPr>
      </w:pPr>
      <w:r w:rsidRPr="00807D8A">
        <w:rPr>
          <w:rFonts w:eastAsiaTheme="minorEastAsia"/>
        </w:rPr>
        <w:t xml:space="preserve">D. </w:t>
      </w:r>
      <w:r w:rsidR="006909D1" w:rsidRPr="00807D8A">
        <w:rPr>
          <w:rFonts w:eastAsiaTheme="minorEastAsia"/>
        </w:rPr>
        <w:t xml:space="preserve">    </w:t>
      </w:r>
      <w:r w:rsidRPr="00807D8A">
        <w:rPr>
          <w:rFonts w:eastAsiaTheme="minorEastAsia"/>
        </w:rPr>
        <w:t>Status of Developmental Schedule……………………………………………………</w:t>
      </w:r>
      <w:r w:rsidR="006909D1" w:rsidRPr="00807D8A">
        <w:rPr>
          <w:rFonts w:eastAsiaTheme="minorEastAsia"/>
        </w:rPr>
        <w:t>……………………………</w:t>
      </w:r>
      <w:r w:rsidR="00EF10DF">
        <w:rPr>
          <w:rFonts w:eastAsiaTheme="minorEastAsia"/>
        </w:rPr>
        <w:t>…9</w:t>
      </w:r>
    </w:p>
    <w:p w14:paraId="50DBA2CB" w14:textId="1FD99932" w:rsidR="000F63C1" w:rsidRPr="00807D8A" w:rsidRDefault="000F63C1">
      <w:pPr>
        <w:pStyle w:val="TOC3"/>
        <w:tabs>
          <w:tab w:val="right" w:leader="dot" w:pos="9530"/>
        </w:tabs>
        <w:rPr>
          <w:rFonts w:eastAsiaTheme="minorEastAsia" w:cstheme="minorBidi"/>
          <w:noProof/>
          <w:szCs w:val="24"/>
        </w:rPr>
      </w:pPr>
      <w:hyperlink w:anchor="_Toc119418669" w:history="1">
        <w:r w:rsidRPr="00807D8A">
          <w:rPr>
            <w:rStyle w:val="Hyperlink"/>
            <w:noProof/>
            <w:szCs w:val="24"/>
          </w:rPr>
          <w:t>Appendix A – New and Continued Findings and Recommendations</w:t>
        </w:r>
        <w:r w:rsidRPr="00807D8A">
          <w:rPr>
            <w:noProof/>
            <w:webHidden/>
            <w:szCs w:val="24"/>
          </w:rPr>
          <w:tab/>
        </w:r>
        <w:r w:rsidRPr="00807D8A">
          <w:rPr>
            <w:noProof/>
            <w:webHidden/>
            <w:szCs w:val="24"/>
          </w:rPr>
          <w:fldChar w:fldCharType="begin"/>
        </w:r>
        <w:r w:rsidRPr="00807D8A">
          <w:rPr>
            <w:noProof/>
            <w:webHidden/>
            <w:szCs w:val="24"/>
          </w:rPr>
          <w:instrText xml:space="preserve"> PAGEREF _Toc119418669 \h </w:instrText>
        </w:r>
        <w:r w:rsidRPr="00807D8A">
          <w:rPr>
            <w:noProof/>
            <w:webHidden/>
            <w:szCs w:val="24"/>
          </w:rPr>
        </w:r>
        <w:r w:rsidRPr="00807D8A">
          <w:rPr>
            <w:noProof/>
            <w:webHidden/>
            <w:szCs w:val="24"/>
          </w:rPr>
          <w:fldChar w:fldCharType="separate"/>
        </w:r>
        <w:r w:rsidRPr="00807D8A">
          <w:rPr>
            <w:noProof/>
            <w:webHidden/>
            <w:szCs w:val="24"/>
          </w:rPr>
          <w:t>12</w:t>
        </w:r>
        <w:r w:rsidRPr="00807D8A">
          <w:rPr>
            <w:noProof/>
            <w:webHidden/>
            <w:szCs w:val="24"/>
          </w:rPr>
          <w:fldChar w:fldCharType="end"/>
        </w:r>
      </w:hyperlink>
    </w:p>
    <w:p w14:paraId="150115C6" w14:textId="18F3E0BB" w:rsidR="000F63C1" w:rsidRPr="00807D8A" w:rsidRDefault="000F63C1">
      <w:pPr>
        <w:pStyle w:val="TOC3"/>
        <w:tabs>
          <w:tab w:val="right" w:leader="dot" w:pos="9530"/>
        </w:tabs>
        <w:rPr>
          <w:rFonts w:eastAsiaTheme="minorEastAsia" w:cstheme="minorBidi"/>
          <w:noProof/>
          <w:szCs w:val="24"/>
        </w:rPr>
      </w:pPr>
      <w:hyperlink w:anchor="_Toc119418670" w:history="1">
        <w:r w:rsidRPr="00807D8A">
          <w:rPr>
            <w:rStyle w:val="Hyperlink"/>
            <w:noProof/>
            <w:szCs w:val="24"/>
          </w:rPr>
          <w:t>Appendix B – Observations Subject to Continued Monitoring</w:t>
        </w:r>
        <w:r w:rsidRPr="00807D8A">
          <w:rPr>
            <w:noProof/>
            <w:webHidden/>
            <w:szCs w:val="24"/>
          </w:rPr>
          <w:tab/>
        </w:r>
        <w:r w:rsidRPr="00807D8A">
          <w:rPr>
            <w:noProof/>
            <w:webHidden/>
            <w:szCs w:val="24"/>
          </w:rPr>
          <w:fldChar w:fldCharType="begin"/>
        </w:r>
        <w:r w:rsidRPr="00807D8A">
          <w:rPr>
            <w:noProof/>
            <w:webHidden/>
            <w:szCs w:val="24"/>
          </w:rPr>
          <w:instrText xml:space="preserve"> PAGEREF _Toc119418670 \h </w:instrText>
        </w:r>
        <w:r w:rsidRPr="00807D8A">
          <w:rPr>
            <w:noProof/>
            <w:webHidden/>
            <w:szCs w:val="24"/>
          </w:rPr>
        </w:r>
        <w:r w:rsidRPr="00807D8A">
          <w:rPr>
            <w:noProof/>
            <w:webHidden/>
            <w:szCs w:val="24"/>
          </w:rPr>
          <w:fldChar w:fldCharType="separate"/>
        </w:r>
        <w:r w:rsidRPr="00807D8A">
          <w:rPr>
            <w:noProof/>
            <w:webHidden/>
            <w:szCs w:val="24"/>
          </w:rPr>
          <w:t>13</w:t>
        </w:r>
        <w:r w:rsidRPr="00807D8A">
          <w:rPr>
            <w:noProof/>
            <w:webHidden/>
            <w:szCs w:val="24"/>
          </w:rPr>
          <w:fldChar w:fldCharType="end"/>
        </w:r>
      </w:hyperlink>
    </w:p>
    <w:p w14:paraId="65AD001B" w14:textId="278672F6" w:rsidR="000F63C1" w:rsidRPr="00807D8A" w:rsidRDefault="000F63C1">
      <w:pPr>
        <w:pStyle w:val="TOC3"/>
        <w:tabs>
          <w:tab w:val="right" w:leader="dot" w:pos="9530"/>
        </w:tabs>
        <w:rPr>
          <w:rFonts w:eastAsiaTheme="minorEastAsia" w:cstheme="minorBidi"/>
          <w:noProof/>
          <w:szCs w:val="24"/>
        </w:rPr>
      </w:pPr>
      <w:hyperlink w:anchor="_Toc119418671" w:history="1">
        <w:r w:rsidRPr="00807D8A">
          <w:rPr>
            <w:rStyle w:val="Hyperlink"/>
            <w:noProof/>
            <w:szCs w:val="24"/>
          </w:rPr>
          <w:t>Appendix C - Status of FY 20</w:t>
        </w:r>
        <w:r w:rsidR="003E42BD" w:rsidRPr="00807D8A">
          <w:rPr>
            <w:rStyle w:val="Hyperlink"/>
            <w:noProof/>
            <w:szCs w:val="24"/>
          </w:rPr>
          <w:t>23</w:t>
        </w:r>
        <w:r w:rsidRPr="00807D8A">
          <w:rPr>
            <w:rStyle w:val="Hyperlink"/>
            <w:noProof/>
            <w:szCs w:val="24"/>
          </w:rPr>
          <w:t xml:space="preserve"> Findings and Recommendations</w:t>
        </w:r>
        <w:r w:rsidRPr="00807D8A">
          <w:rPr>
            <w:noProof/>
            <w:webHidden/>
            <w:szCs w:val="24"/>
          </w:rPr>
          <w:tab/>
        </w:r>
        <w:r w:rsidRPr="00807D8A">
          <w:rPr>
            <w:noProof/>
            <w:webHidden/>
            <w:szCs w:val="24"/>
          </w:rPr>
          <w:fldChar w:fldCharType="begin"/>
        </w:r>
        <w:r w:rsidRPr="00807D8A">
          <w:rPr>
            <w:noProof/>
            <w:webHidden/>
            <w:szCs w:val="24"/>
          </w:rPr>
          <w:instrText xml:space="preserve"> PAGEREF _Toc119418671 \h </w:instrText>
        </w:r>
        <w:r w:rsidRPr="00807D8A">
          <w:rPr>
            <w:noProof/>
            <w:webHidden/>
            <w:szCs w:val="24"/>
          </w:rPr>
        </w:r>
        <w:r w:rsidRPr="00807D8A">
          <w:rPr>
            <w:noProof/>
            <w:webHidden/>
            <w:szCs w:val="24"/>
          </w:rPr>
          <w:fldChar w:fldCharType="separate"/>
        </w:r>
        <w:r w:rsidRPr="00807D8A">
          <w:rPr>
            <w:noProof/>
            <w:webHidden/>
            <w:szCs w:val="24"/>
          </w:rPr>
          <w:t>15</w:t>
        </w:r>
        <w:r w:rsidRPr="00807D8A">
          <w:rPr>
            <w:noProof/>
            <w:webHidden/>
            <w:szCs w:val="24"/>
          </w:rPr>
          <w:fldChar w:fldCharType="end"/>
        </w:r>
      </w:hyperlink>
    </w:p>
    <w:p w14:paraId="38E9E7F9" w14:textId="6BA45B4A" w:rsidR="000F63C1" w:rsidRPr="00807D8A" w:rsidRDefault="000F63C1">
      <w:pPr>
        <w:pStyle w:val="TOC3"/>
        <w:tabs>
          <w:tab w:val="right" w:leader="dot" w:pos="9530"/>
        </w:tabs>
        <w:rPr>
          <w:rFonts w:eastAsiaTheme="minorEastAsia" w:cstheme="minorBidi"/>
          <w:noProof/>
          <w:szCs w:val="24"/>
        </w:rPr>
      </w:pPr>
      <w:hyperlink w:anchor="_Toc119418672" w:history="1">
        <w:r w:rsidRPr="00807D8A">
          <w:rPr>
            <w:rStyle w:val="Hyperlink"/>
            <w:noProof/>
            <w:szCs w:val="24"/>
          </w:rPr>
          <w:t xml:space="preserve">Appendix D – FY </w:t>
        </w:r>
        <w:r w:rsidRPr="00807D8A">
          <w:rPr>
            <w:rStyle w:val="Hyperlink"/>
            <w:noProof/>
            <w:color w:val="000000" w:themeColor="text1"/>
            <w:szCs w:val="24"/>
          </w:rPr>
          <w:t>20</w:t>
        </w:r>
        <w:r w:rsidR="003E42BD" w:rsidRPr="00807D8A">
          <w:rPr>
            <w:rStyle w:val="Hyperlink"/>
            <w:noProof/>
            <w:color w:val="000000" w:themeColor="text1"/>
            <w:szCs w:val="24"/>
          </w:rPr>
          <w:t>24</w:t>
        </w:r>
        <w:r w:rsidRPr="00807D8A">
          <w:rPr>
            <w:rStyle w:val="Hyperlink"/>
            <w:noProof/>
            <w:color w:val="000000" w:themeColor="text1"/>
            <w:szCs w:val="24"/>
          </w:rPr>
          <w:t xml:space="preserve"> </w:t>
        </w:r>
        <w:r w:rsidRPr="00807D8A">
          <w:rPr>
            <w:rStyle w:val="Hyperlink"/>
            <w:noProof/>
            <w:szCs w:val="24"/>
          </w:rPr>
          <w:t>State Activity Mandated Measures (SAMM) Report</w:t>
        </w:r>
        <w:r w:rsidRPr="00807D8A">
          <w:rPr>
            <w:noProof/>
            <w:webHidden/>
            <w:szCs w:val="24"/>
          </w:rPr>
          <w:tab/>
        </w:r>
        <w:r w:rsidRPr="00807D8A">
          <w:rPr>
            <w:noProof/>
            <w:webHidden/>
            <w:szCs w:val="24"/>
          </w:rPr>
          <w:fldChar w:fldCharType="begin"/>
        </w:r>
        <w:r w:rsidRPr="00807D8A">
          <w:rPr>
            <w:noProof/>
            <w:webHidden/>
            <w:szCs w:val="24"/>
          </w:rPr>
          <w:instrText xml:space="preserve"> PAGEREF _Toc119418672 \h </w:instrText>
        </w:r>
        <w:r w:rsidRPr="00807D8A">
          <w:rPr>
            <w:noProof/>
            <w:webHidden/>
            <w:szCs w:val="24"/>
          </w:rPr>
        </w:r>
        <w:r w:rsidRPr="00807D8A">
          <w:rPr>
            <w:noProof/>
            <w:webHidden/>
            <w:szCs w:val="24"/>
          </w:rPr>
          <w:fldChar w:fldCharType="separate"/>
        </w:r>
        <w:r w:rsidRPr="00807D8A">
          <w:rPr>
            <w:noProof/>
            <w:webHidden/>
            <w:szCs w:val="24"/>
          </w:rPr>
          <w:t>1</w:t>
        </w:r>
        <w:r w:rsidRPr="00807D8A">
          <w:rPr>
            <w:noProof/>
            <w:webHidden/>
            <w:szCs w:val="24"/>
          </w:rPr>
          <w:fldChar w:fldCharType="end"/>
        </w:r>
      </w:hyperlink>
      <w:r w:rsidR="00EF10DF">
        <w:t>6</w:t>
      </w:r>
    </w:p>
    <w:p w14:paraId="2A952C03" w14:textId="0074FEF9" w:rsidR="00B823A3" w:rsidRDefault="000F63C1" w:rsidP="000F63C1">
      <w:r>
        <w:fldChar w:fldCharType="end"/>
      </w:r>
      <w:r w:rsidR="00B823A3">
        <w:br w:type="page"/>
      </w: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4A4FF058" w14:textId="77777777" w:rsidR="000A134A" w:rsidRPr="001C1E47" w:rsidRDefault="000A134A" w:rsidP="00783189">
      <w:pPr>
        <w:widowControl/>
        <w:autoSpaceDE/>
        <w:autoSpaceDN/>
        <w:adjustRightInd/>
        <w:rPr>
          <w:rFonts w:cs="Calibri"/>
          <w:b/>
        </w:rPr>
      </w:pPr>
    </w:p>
    <w:p w14:paraId="35EE6218" w14:textId="5F13B26C" w:rsidR="0087426E" w:rsidRDefault="00050FEB" w:rsidP="00783189">
      <w:pPr>
        <w:rPr>
          <w:rFonts w:cs="Calibri"/>
        </w:rPr>
      </w:pPr>
      <w:r w:rsidRPr="001C1E47">
        <w:rPr>
          <w:rFonts w:cs="Calibri"/>
        </w:rPr>
        <w:t xml:space="preserve">The </w:t>
      </w:r>
      <w:r w:rsidR="00F85F2D" w:rsidRPr="001C1E47">
        <w:rPr>
          <w:rFonts w:cs="Calibri"/>
        </w:rPr>
        <w:t xml:space="preserve">primary </w:t>
      </w:r>
      <w:r w:rsidRPr="001C1E47">
        <w:rPr>
          <w:rFonts w:cs="Calibri"/>
        </w:rPr>
        <w:t xml:space="preserve">purpose of this report is to assess the </w:t>
      </w:r>
      <w:r w:rsidR="0093208E">
        <w:rPr>
          <w:rFonts w:cs="Calibri"/>
        </w:rPr>
        <w:t xml:space="preserve">Massachusetts </w:t>
      </w:r>
      <w:r w:rsidR="0064731F" w:rsidRPr="00A206B3">
        <w:rPr>
          <w:rFonts w:asciiTheme="minorHAnsi" w:hAnsiTheme="minorHAnsi" w:cstheme="minorHAnsi"/>
        </w:rPr>
        <w:t xml:space="preserve">Workplace Safety and Health Program’s </w:t>
      </w:r>
      <w:r w:rsidR="0064731F">
        <w:rPr>
          <w:rFonts w:asciiTheme="minorHAnsi" w:hAnsiTheme="minorHAnsi" w:cstheme="minorHAnsi"/>
        </w:rPr>
        <w:t>(</w:t>
      </w:r>
      <w:r w:rsidR="0093208E">
        <w:rPr>
          <w:rFonts w:cs="Calibri"/>
        </w:rPr>
        <w:t>WSHP</w:t>
      </w:r>
      <w:r w:rsidR="00133B2B">
        <w:rPr>
          <w:rFonts w:cs="Calibri"/>
        </w:rPr>
        <w:t>’s</w:t>
      </w:r>
      <w:r w:rsidR="0093208E">
        <w:rPr>
          <w:rFonts w:cs="Calibri"/>
        </w:rPr>
        <w:t xml:space="preserve">) </w:t>
      </w:r>
      <w:r w:rsidR="00F85F2D" w:rsidRPr="001C1E47">
        <w:rPr>
          <w:rFonts w:cs="Calibri"/>
        </w:rPr>
        <w:t>progress in</w:t>
      </w:r>
      <w:r w:rsidRPr="001C1E47">
        <w:rPr>
          <w:rFonts w:cs="Calibri"/>
        </w:rPr>
        <w:t xml:space="preserve"> Fiscal Year (FY) 20</w:t>
      </w:r>
      <w:r w:rsidR="0093208E">
        <w:rPr>
          <w:rFonts w:cs="Calibri"/>
        </w:rPr>
        <w:t>24</w:t>
      </w:r>
      <w:r w:rsidRPr="001C1E47">
        <w:rPr>
          <w:rFonts w:cs="Calibri"/>
        </w:rPr>
        <w:t xml:space="preserve"> in resolving outstanding findings from </w:t>
      </w:r>
      <w:r w:rsidR="005837BD" w:rsidRPr="001C1E47">
        <w:rPr>
          <w:rFonts w:cs="Calibri"/>
        </w:rPr>
        <w:t xml:space="preserve">the </w:t>
      </w:r>
      <w:r w:rsidRPr="001C1E47">
        <w:rPr>
          <w:rFonts w:cs="Calibri"/>
        </w:rPr>
        <w:t xml:space="preserve">previous FY </w:t>
      </w:r>
      <w:r w:rsidRPr="00383BE2">
        <w:rPr>
          <w:rFonts w:cs="Calibri"/>
          <w:color w:val="000000" w:themeColor="text1"/>
        </w:rPr>
        <w:t>20</w:t>
      </w:r>
      <w:r w:rsidR="0093208E" w:rsidRPr="00383BE2">
        <w:rPr>
          <w:rFonts w:cs="Calibri"/>
          <w:color w:val="000000" w:themeColor="text1"/>
        </w:rPr>
        <w:t>23</w:t>
      </w:r>
      <w:r w:rsidRPr="00210157">
        <w:rPr>
          <w:rFonts w:cs="Calibri"/>
          <w:color w:val="0070C0"/>
        </w:rPr>
        <w:t xml:space="preserve"> </w:t>
      </w:r>
      <w:r w:rsidRPr="001C1E47">
        <w:rPr>
          <w:rFonts w:cs="Calibri"/>
        </w:rPr>
        <w:t>Comprehensive F</w:t>
      </w:r>
      <w:r w:rsidR="00626033" w:rsidRPr="001C1E47">
        <w:rPr>
          <w:rFonts w:cs="Calibri"/>
        </w:rPr>
        <w:t>ederal Annual Monitoring Evaluation (F</w:t>
      </w:r>
      <w:r w:rsidRPr="001C1E47">
        <w:rPr>
          <w:rFonts w:cs="Calibri"/>
        </w:rPr>
        <w:t>AME</w:t>
      </w:r>
      <w:r w:rsidR="00626033" w:rsidRPr="001C1E47">
        <w:rPr>
          <w:rFonts w:cs="Calibri"/>
        </w:rPr>
        <w:t>)</w:t>
      </w:r>
      <w:r w:rsidRPr="001C1E47">
        <w:rPr>
          <w:rFonts w:cs="Calibri"/>
        </w:rPr>
        <w:t xml:space="preserve"> Report.  </w:t>
      </w:r>
    </w:p>
    <w:p w14:paraId="23AEFD3C" w14:textId="77777777" w:rsidR="00A75B9D" w:rsidRDefault="00A75B9D" w:rsidP="00783189">
      <w:pPr>
        <w:rPr>
          <w:rFonts w:cs="Calibri"/>
        </w:rPr>
      </w:pPr>
    </w:p>
    <w:p w14:paraId="7133778C" w14:textId="4D2E20F8" w:rsidR="00A75B9D" w:rsidRPr="00A75B9D" w:rsidRDefault="00A75B9D" w:rsidP="00A75B9D">
      <w:pPr>
        <w:widowControl/>
        <w:autoSpaceDE/>
        <w:autoSpaceDN/>
        <w:adjustRightInd/>
        <w:spacing w:after="160" w:line="259" w:lineRule="auto"/>
        <w:rPr>
          <w:rFonts w:cs="Calibri"/>
        </w:rPr>
      </w:pPr>
      <w:r w:rsidRPr="00A75B9D">
        <w:rPr>
          <w:rFonts w:cs="Calibri"/>
        </w:rPr>
        <w:t xml:space="preserve">In FY 2024, WSHP was still getting used to OSHA’s </w:t>
      </w:r>
      <w:r w:rsidRPr="00A75B9D">
        <w:rPr>
          <w:rFonts w:eastAsia="Aptos" w:cs="Calibri"/>
          <w:color w:val="001D35"/>
          <w:kern w:val="2"/>
          <w:shd w:val="clear" w:color="auto" w:fill="FFFFFF"/>
          <w14:ligatures w14:val="standardContextual"/>
        </w:rPr>
        <w:t xml:space="preserve">web-based system that stores and manages activity data.  </w:t>
      </w:r>
      <w:r w:rsidRPr="00A75B9D">
        <w:rPr>
          <w:rFonts w:cs="Calibri"/>
        </w:rPr>
        <w:t xml:space="preserve">Field staff continued to take mandatory training courses, and the State Plan made significant advancements toward the completion of its developmental program.  For example, WSHP successfully navigated several legislative changes through the state's regulatory process and </w:t>
      </w:r>
      <w:r w:rsidR="00543483">
        <w:rPr>
          <w:rFonts w:cs="Calibri"/>
        </w:rPr>
        <w:t>made progress in revising</w:t>
      </w:r>
      <w:r w:rsidR="00A01E66">
        <w:rPr>
          <w:rFonts w:cs="Calibri"/>
        </w:rPr>
        <w:t xml:space="preserve"> two chapters of its </w:t>
      </w:r>
      <w:r w:rsidR="00FB6E96">
        <w:rPr>
          <w:rFonts w:cs="Calibri"/>
        </w:rPr>
        <w:t>F</w:t>
      </w:r>
      <w:r w:rsidR="00883BBB">
        <w:rPr>
          <w:rFonts w:cs="Calibri"/>
        </w:rPr>
        <w:t xml:space="preserve">ield </w:t>
      </w:r>
      <w:r w:rsidR="00FB6E96">
        <w:rPr>
          <w:rFonts w:cs="Calibri"/>
        </w:rPr>
        <w:t>O</w:t>
      </w:r>
      <w:r w:rsidR="00883BBB">
        <w:rPr>
          <w:rFonts w:cs="Calibri"/>
        </w:rPr>
        <w:t xml:space="preserve">perations </w:t>
      </w:r>
      <w:r w:rsidR="00FB6E96">
        <w:rPr>
          <w:rFonts w:cs="Calibri"/>
        </w:rPr>
        <w:t>M</w:t>
      </w:r>
      <w:r w:rsidR="00883BBB">
        <w:rPr>
          <w:rFonts w:cs="Calibri"/>
        </w:rPr>
        <w:t>anual</w:t>
      </w:r>
      <w:r w:rsidR="00FB6E96">
        <w:rPr>
          <w:rFonts w:cs="Calibri"/>
        </w:rPr>
        <w:t xml:space="preserve"> (FOM)</w:t>
      </w:r>
      <w:r w:rsidR="00A01E66">
        <w:rPr>
          <w:rFonts w:cs="Calibri"/>
        </w:rPr>
        <w:t xml:space="preserve">.  </w:t>
      </w:r>
      <w:r w:rsidRPr="00A75B9D">
        <w:rPr>
          <w:rFonts w:cs="Calibri"/>
        </w:rPr>
        <w:t xml:space="preserve">WSHP </w:t>
      </w:r>
      <w:r w:rsidR="002C7E3D">
        <w:rPr>
          <w:rFonts w:cs="Calibri"/>
        </w:rPr>
        <w:t xml:space="preserve">also </w:t>
      </w:r>
      <w:r w:rsidR="00F7140F">
        <w:rPr>
          <w:rFonts w:cs="Calibri"/>
        </w:rPr>
        <w:t>did well on most performance measures</w:t>
      </w:r>
      <w:r w:rsidRPr="00A75B9D">
        <w:rPr>
          <w:rFonts w:cs="Calibri"/>
        </w:rPr>
        <w:t xml:space="preserve">, </w:t>
      </w:r>
      <w:r w:rsidR="002C7E3D">
        <w:rPr>
          <w:rFonts w:cs="Calibri"/>
        </w:rPr>
        <w:t>met</w:t>
      </w:r>
      <w:r w:rsidRPr="00A75B9D">
        <w:rPr>
          <w:rFonts w:cs="Calibri"/>
        </w:rPr>
        <w:t xml:space="preserve"> </w:t>
      </w:r>
      <w:r w:rsidR="006343C7">
        <w:rPr>
          <w:rFonts w:cs="Calibri"/>
        </w:rPr>
        <w:t>goals</w:t>
      </w:r>
      <w:r w:rsidRPr="00A75B9D">
        <w:rPr>
          <w:rFonts w:cs="Calibri"/>
        </w:rPr>
        <w:t xml:space="preserve"> for inspections and consultation visits, and stayed on track with its long-term objectives</w:t>
      </w:r>
      <w:r w:rsidR="00A11C2F">
        <w:rPr>
          <w:rFonts w:cs="Calibri"/>
        </w:rPr>
        <w:t>.</w:t>
      </w:r>
    </w:p>
    <w:p w14:paraId="15361015" w14:textId="7DB3970B" w:rsidR="0087426E" w:rsidRPr="001565D2" w:rsidRDefault="00A75B9D" w:rsidP="001565D2">
      <w:pPr>
        <w:widowControl/>
        <w:autoSpaceDE/>
        <w:autoSpaceDN/>
        <w:adjustRightInd/>
        <w:spacing w:after="160" w:line="259" w:lineRule="auto"/>
        <w:rPr>
          <w:rFonts w:eastAsia="Aptos" w:cs="Calibri"/>
          <w:kern w:val="2"/>
          <w14:ligatures w14:val="standardContextual"/>
        </w:rPr>
      </w:pPr>
      <w:r w:rsidRPr="00A75B9D">
        <w:rPr>
          <w:rFonts w:eastAsia="Aptos" w:cs="Calibri"/>
          <w:kern w:val="2"/>
          <w14:ligatures w14:val="standardContextual"/>
        </w:rPr>
        <w:t xml:space="preserve">Having no findings in the FY 2023 Comprehensive FAME Report, the State Plan </w:t>
      </w:r>
      <w:r w:rsidR="001565D2">
        <w:rPr>
          <w:rFonts w:eastAsia="Aptos" w:cs="Calibri"/>
          <w:kern w:val="2"/>
          <w14:ligatures w14:val="standardContextual"/>
        </w:rPr>
        <w:t>concentrated</w:t>
      </w:r>
      <w:r w:rsidRPr="00A75B9D">
        <w:rPr>
          <w:rFonts w:eastAsia="Aptos" w:cs="Calibri"/>
          <w:kern w:val="2"/>
          <w14:ligatures w14:val="standardContextual"/>
        </w:rPr>
        <w:t xml:space="preserve"> on </w:t>
      </w:r>
      <w:r w:rsidR="00D607FF">
        <w:rPr>
          <w:rFonts w:eastAsia="Aptos" w:cs="Calibri"/>
          <w:kern w:val="2"/>
          <w14:ligatures w14:val="standardContextual"/>
        </w:rPr>
        <w:t>the three observations c</w:t>
      </w:r>
      <w:r w:rsidR="00A94564">
        <w:rPr>
          <w:rFonts w:eastAsia="Aptos" w:cs="Calibri"/>
          <w:kern w:val="2"/>
          <w14:ligatures w14:val="standardContextual"/>
        </w:rPr>
        <w:t>ontained in that report</w:t>
      </w:r>
      <w:r w:rsidRPr="00A75B9D">
        <w:rPr>
          <w:rFonts w:eastAsia="Aptos" w:cs="Calibri"/>
          <w:kern w:val="2"/>
          <w14:ligatures w14:val="standardContextual"/>
        </w:rPr>
        <w:t>, all of which pertained to case</w:t>
      </w:r>
      <w:r w:rsidR="0091664D">
        <w:rPr>
          <w:rFonts w:eastAsia="Aptos" w:cs="Calibri"/>
          <w:kern w:val="2"/>
          <w14:ligatures w14:val="standardContextual"/>
        </w:rPr>
        <w:t xml:space="preserve"> </w:t>
      </w:r>
      <w:r w:rsidRPr="00A75B9D">
        <w:rPr>
          <w:rFonts w:eastAsia="Aptos" w:cs="Calibri"/>
          <w:kern w:val="2"/>
          <w14:ligatures w14:val="standardContextual"/>
        </w:rPr>
        <w:t xml:space="preserve">file documentation.  During staff meetings, WSHP conducted training on the </w:t>
      </w:r>
      <w:r w:rsidR="00113C76">
        <w:rPr>
          <w:rFonts w:eastAsia="Aptos" w:cs="Calibri"/>
          <w:kern w:val="2"/>
          <w14:ligatures w14:val="standardContextual"/>
        </w:rPr>
        <w:t>FOM</w:t>
      </w:r>
      <w:r w:rsidRPr="00A75B9D">
        <w:rPr>
          <w:rFonts w:eastAsia="Aptos" w:cs="Calibri"/>
          <w:kern w:val="2"/>
          <w14:ligatures w14:val="standardContextual"/>
        </w:rPr>
        <w:t xml:space="preserve"> to help resolve these issues.  Nonetheless, these observations have been continued in this report, because a case file review is needed to fully evaluate performance in relation to these issues.  No new findings or observations were made in this report.</w:t>
      </w:r>
    </w:p>
    <w:p w14:paraId="6A7D671B" w14:textId="073148D5" w:rsidR="00783189" w:rsidRPr="001C1E47" w:rsidRDefault="00783189" w:rsidP="00783189">
      <w:pPr>
        <w:widowControl/>
        <w:autoSpaceDE/>
        <w:autoSpaceDN/>
        <w:adjustRightInd/>
        <w:rPr>
          <w:rFonts w:cs="Calibri"/>
        </w:rPr>
      </w:pPr>
    </w:p>
    <w:p w14:paraId="67E95E6F" w14:textId="6755D6C3" w:rsidR="000A134A" w:rsidRDefault="001E71BA" w:rsidP="00476C08">
      <w:pPr>
        <w:pStyle w:val="Heading2"/>
      </w:pPr>
      <w:bookmarkStart w:id="6" w:name="_Toc118900171"/>
      <w:bookmarkStart w:id="7" w:name="_Toc118905010"/>
      <w:bookmarkStart w:id="8" w:name="_Toc119418664"/>
      <w:r w:rsidRPr="001C1E47">
        <w:t>State Plan Background</w:t>
      </w:r>
      <w:bookmarkEnd w:id="6"/>
      <w:bookmarkEnd w:id="7"/>
      <w:bookmarkEnd w:id="8"/>
    </w:p>
    <w:p w14:paraId="36E23517" w14:textId="77777777" w:rsidR="006F10FE" w:rsidRDefault="006F10FE" w:rsidP="001565D2"/>
    <w:p w14:paraId="7998E412" w14:textId="4BAB5BAA" w:rsidR="001565D2" w:rsidRDefault="006F10FE" w:rsidP="001565D2">
      <w:r w:rsidRPr="006F10FE">
        <w:t xml:space="preserve">In 2015, Massachusetts passed legislation requiring state agencies to comply with OSHA standards.  This legislation was updated on March 9, 2018, to include all state and local government employers and became effective February 1, 2019.   Under the Occupational Safety and Health (OSH) Act of 1970, state and local government workers are specifically excluded from federal coverage.  These state and local government workers </w:t>
      </w:r>
      <w:r w:rsidR="00D523AB">
        <w:t xml:space="preserve">may </w:t>
      </w:r>
      <w:r w:rsidRPr="006F10FE">
        <w:t>receive formal OSHA coverage only through an OSHA-approved State Plan.</w:t>
      </w:r>
    </w:p>
    <w:p w14:paraId="426B5995" w14:textId="77777777" w:rsidR="006F10FE" w:rsidRDefault="006F10FE" w:rsidP="00E43966">
      <w:pPr>
        <w:pStyle w:val="Default"/>
        <w:rPr>
          <w:rFonts w:asciiTheme="minorHAnsi" w:hAnsiTheme="minorHAnsi" w:cstheme="minorHAnsi"/>
        </w:rPr>
      </w:pPr>
    </w:p>
    <w:p w14:paraId="37067845" w14:textId="3D7F0436" w:rsidR="00E43966" w:rsidRPr="002B65D4" w:rsidRDefault="00E43966" w:rsidP="00E43966">
      <w:pPr>
        <w:pStyle w:val="Default"/>
        <w:rPr>
          <w:rFonts w:asciiTheme="minorHAnsi" w:hAnsiTheme="minorHAnsi" w:cstheme="minorHAnsi"/>
        </w:rPr>
      </w:pPr>
      <w:r w:rsidRPr="002B65D4">
        <w:rPr>
          <w:rFonts w:asciiTheme="minorHAnsi" w:hAnsiTheme="minorHAnsi" w:cstheme="minorHAnsi"/>
        </w:rPr>
        <w:t xml:space="preserve">In December 2020, the state began working with OSHA to draft a State Plan applicable only to state and local government employment.  Final revisions to the </w:t>
      </w:r>
      <w:r>
        <w:rPr>
          <w:rFonts w:asciiTheme="minorHAnsi" w:hAnsiTheme="minorHAnsi" w:cstheme="minorHAnsi"/>
        </w:rPr>
        <w:t>P</w:t>
      </w:r>
      <w:r w:rsidRPr="002B65D4">
        <w:rPr>
          <w:rFonts w:asciiTheme="minorHAnsi" w:hAnsiTheme="minorHAnsi" w:cstheme="minorHAnsi"/>
        </w:rPr>
        <w:t>lan were completed in June 2022</w:t>
      </w:r>
      <w:r>
        <w:rPr>
          <w:rFonts w:asciiTheme="minorHAnsi" w:hAnsiTheme="minorHAnsi" w:cstheme="minorHAnsi"/>
        </w:rPr>
        <w:t>,</w:t>
      </w:r>
      <w:r w:rsidRPr="002B65D4">
        <w:rPr>
          <w:rFonts w:asciiTheme="minorHAnsi" w:hAnsiTheme="minorHAnsi" w:cstheme="minorHAnsi"/>
        </w:rPr>
        <w:t xml:space="preserve"> and on August 18, 2022, OSHA granted Massachusetts initial approval of its developmental </w:t>
      </w:r>
      <w:r>
        <w:rPr>
          <w:rFonts w:asciiTheme="minorHAnsi" w:hAnsiTheme="minorHAnsi" w:cstheme="minorHAnsi"/>
        </w:rPr>
        <w:t xml:space="preserve">State and Local Government State Plan.  </w:t>
      </w:r>
      <w:r w:rsidRPr="006F5362">
        <w:rPr>
          <w:rFonts w:asciiTheme="minorHAnsi" w:hAnsiTheme="minorHAnsi" w:cstheme="minorHAnsi"/>
        </w:rPr>
        <w:t xml:space="preserve">A </w:t>
      </w:r>
      <w:r>
        <w:rPr>
          <w:rFonts w:asciiTheme="minorHAnsi" w:hAnsiTheme="minorHAnsi" w:cstheme="minorHAnsi"/>
        </w:rPr>
        <w:t>S</w:t>
      </w:r>
      <w:r w:rsidRPr="006F5362">
        <w:rPr>
          <w:rFonts w:asciiTheme="minorHAnsi" w:hAnsiTheme="minorHAnsi" w:cstheme="minorHAnsi"/>
        </w:rPr>
        <w:t xml:space="preserve">tate and </w:t>
      </w:r>
      <w:r>
        <w:rPr>
          <w:rFonts w:asciiTheme="minorHAnsi" w:hAnsiTheme="minorHAnsi" w:cstheme="minorHAnsi"/>
        </w:rPr>
        <w:t>L</w:t>
      </w:r>
      <w:r w:rsidRPr="006F5362">
        <w:rPr>
          <w:rFonts w:asciiTheme="minorHAnsi" w:hAnsiTheme="minorHAnsi" w:cstheme="minorHAnsi"/>
        </w:rPr>
        <w:t xml:space="preserve">ocal </w:t>
      </w:r>
      <w:r>
        <w:rPr>
          <w:rFonts w:asciiTheme="minorHAnsi" w:hAnsiTheme="minorHAnsi" w:cstheme="minorHAnsi"/>
        </w:rPr>
        <w:t>G</w:t>
      </w:r>
      <w:r w:rsidRPr="006F5362">
        <w:rPr>
          <w:rFonts w:asciiTheme="minorHAnsi" w:hAnsiTheme="minorHAnsi" w:cstheme="minorHAnsi"/>
        </w:rPr>
        <w:t>overnment State Plan</w:t>
      </w:r>
      <w:r>
        <w:rPr>
          <w:rFonts w:asciiTheme="minorHAnsi" w:hAnsiTheme="minorHAnsi" w:cstheme="minorHAnsi"/>
        </w:rPr>
        <w:t>,</w:t>
      </w:r>
      <w:r w:rsidRPr="006F5362">
        <w:rPr>
          <w:rFonts w:asciiTheme="minorHAnsi" w:hAnsiTheme="minorHAnsi" w:cstheme="minorHAnsi"/>
        </w:rPr>
        <w:t xml:space="preserve"> such as WSHP</w:t>
      </w:r>
      <w:r>
        <w:rPr>
          <w:rFonts w:asciiTheme="minorHAnsi" w:hAnsiTheme="minorHAnsi" w:cstheme="minorHAnsi"/>
        </w:rPr>
        <w:t>,</w:t>
      </w:r>
      <w:r w:rsidRPr="006F5362">
        <w:rPr>
          <w:rFonts w:asciiTheme="minorHAnsi" w:hAnsiTheme="minorHAnsi" w:cstheme="minorHAnsi"/>
        </w:rPr>
        <w:t xml:space="preserve"> may receive initial approval even though, upon submission, it does not fully meet the criteria set forth in 29</w:t>
      </w:r>
      <w:r w:rsidR="0096699D">
        <w:rPr>
          <w:rFonts w:asciiTheme="minorHAnsi" w:hAnsiTheme="minorHAnsi" w:cstheme="minorHAnsi"/>
        </w:rPr>
        <w:t xml:space="preserve"> </w:t>
      </w:r>
      <w:r w:rsidRPr="006F5362">
        <w:rPr>
          <w:rFonts w:asciiTheme="minorHAnsi" w:hAnsiTheme="minorHAnsi" w:cstheme="minorHAnsi"/>
        </w:rPr>
        <w:t>CFR 1956.10 and 1956.11 if it agrees to meet the criteria within a three-year period</w:t>
      </w:r>
      <w:r>
        <w:rPr>
          <w:rFonts w:asciiTheme="minorHAnsi" w:hAnsiTheme="minorHAnsi" w:cstheme="minorHAnsi"/>
        </w:rPr>
        <w:t xml:space="preserve"> (s</w:t>
      </w:r>
      <w:r w:rsidRPr="006F5362">
        <w:rPr>
          <w:rFonts w:asciiTheme="minorHAnsi" w:hAnsiTheme="minorHAnsi" w:cstheme="minorHAnsi"/>
        </w:rPr>
        <w:t>ee 29 CFR 1956.2(b)</w:t>
      </w:r>
      <w:r>
        <w:rPr>
          <w:rFonts w:asciiTheme="minorHAnsi" w:hAnsiTheme="minorHAnsi" w:cstheme="minorHAnsi"/>
        </w:rPr>
        <w:t>)</w:t>
      </w:r>
      <w:r w:rsidRPr="006F5362">
        <w:rPr>
          <w:rFonts w:asciiTheme="minorHAnsi" w:hAnsiTheme="minorHAnsi" w:cstheme="minorHAnsi"/>
        </w:rPr>
        <w:t>.</w:t>
      </w:r>
      <w:r>
        <w:rPr>
          <w:rFonts w:asciiTheme="minorHAnsi" w:hAnsiTheme="minorHAnsi" w:cstheme="minorHAnsi"/>
        </w:rPr>
        <w:t xml:space="preserve">  The State Plan’s developmental schedule is discussed in detail later in this report.</w:t>
      </w:r>
    </w:p>
    <w:p w14:paraId="0E40C83C" w14:textId="77777777" w:rsidR="00E43966" w:rsidRDefault="00E43966" w:rsidP="00E43966">
      <w:pPr>
        <w:pStyle w:val="Default"/>
        <w:rPr>
          <w:rFonts w:cstheme="minorHAnsi"/>
        </w:rPr>
      </w:pPr>
    </w:p>
    <w:p w14:paraId="664E5F1D" w14:textId="4CD14E01" w:rsidR="00E43966" w:rsidRDefault="00E43966" w:rsidP="00E43966">
      <w:pPr>
        <w:pStyle w:val="Default"/>
        <w:rPr>
          <w:rFonts w:asciiTheme="minorHAnsi" w:hAnsiTheme="minorHAnsi" w:cstheme="minorHAnsi"/>
        </w:rPr>
      </w:pPr>
      <w:r w:rsidRPr="00721059">
        <w:rPr>
          <w:rFonts w:asciiTheme="minorHAnsi" w:hAnsiTheme="minorHAnsi" w:cstheme="minorHAnsi"/>
        </w:rPr>
        <w:t>The Executive Office of Labor and Workforce Development, Department of Labor Standards implements Massachusetts</w:t>
      </w:r>
      <w:r>
        <w:rPr>
          <w:rFonts w:asciiTheme="minorHAnsi" w:hAnsiTheme="minorHAnsi" w:cstheme="minorHAnsi"/>
        </w:rPr>
        <w:t>’</w:t>
      </w:r>
      <w:r w:rsidRPr="00721059">
        <w:rPr>
          <w:rFonts w:asciiTheme="minorHAnsi" w:hAnsiTheme="minorHAnsi" w:cstheme="minorHAnsi"/>
        </w:rPr>
        <w:t xml:space="preserve"> State Plan through the WSHP.  </w:t>
      </w:r>
      <w:r>
        <w:rPr>
          <w:rFonts w:asciiTheme="minorHAnsi" w:hAnsiTheme="minorHAnsi" w:cstheme="minorHAnsi"/>
        </w:rPr>
        <w:t xml:space="preserve">The WSHP Director is the State Plan </w:t>
      </w:r>
      <w:r>
        <w:rPr>
          <w:rFonts w:asciiTheme="minorHAnsi" w:hAnsiTheme="minorHAnsi" w:cstheme="minorHAnsi"/>
        </w:rPr>
        <w:lastRenderedPageBreak/>
        <w:t>designee.</w:t>
      </w:r>
      <w:r w:rsidRPr="002B65D4">
        <w:rPr>
          <w:rFonts w:asciiTheme="minorHAnsi" w:hAnsiTheme="minorHAnsi" w:cstheme="minorHAnsi"/>
        </w:rPr>
        <w:t xml:space="preserve"> </w:t>
      </w:r>
      <w:r>
        <w:rPr>
          <w:rFonts w:asciiTheme="minorHAnsi" w:hAnsiTheme="minorHAnsi" w:cstheme="minorHAnsi"/>
        </w:rPr>
        <w:t xml:space="preserve"> </w:t>
      </w:r>
      <w:r w:rsidRPr="002B65D4">
        <w:rPr>
          <w:rFonts w:asciiTheme="minorHAnsi" w:hAnsiTheme="minorHAnsi" w:cstheme="minorHAnsi"/>
        </w:rPr>
        <w:t xml:space="preserve">Staff are in </w:t>
      </w:r>
      <w:r>
        <w:rPr>
          <w:rFonts w:asciiTheme="minorHAnsi" w:hAnsiTheme="minorHAnsi" w:cstheme="minorHAnsi"/>
        </w:rPr>
        <w:t xml:space="preserve">the following </w:t>
      </w:r>
      <w:r w:rsidRPr="002B65D4">
        <w:rPr>
          <w:rFonts w:asciiTheme="minorHAnsi" w:hAnsiTheme="minorHAnsi" w:cstheme="minorHAnsi"/>
        </w:rPr>
        <w:t>offices throughout Massachusetts: Boston, Lawrence, Taunton, Springfield, and Westboro.</w:t>
      </w:r>
      <w:r>
        <w:rPr>
          <w:rFonts w:asciiTheme="minorHAnsi" w:hAnsiTheme="minorHAnsi" w:cstheme="minorHAnsi"/>
        </w:rPr>
        <w:t xml:space="preserve"> </w:t>
      </w:r>
    </w:p>
    <w:p w14:paraId="0DB3FF99" w14:textId="77777777" w:rsidR="007E0DAF" w:rsidRDefault="007E0DAF" w:rsidP="00E43966">
      <w:pPr>
        <w:pStyle w:val="Default"/>
        <w:rPr>
          <w:rFonts w:asciiTheme="minorHAnsi" w:hAnsiTheme="minorHAnsi" w:cstheme="minorHAnsi"/>
        </w:rPr>
      </w:pPr>
    </w:p>
    <w:p w14:paraId="789F7B45" w14:textId="77777777" w:rsidR="007E0DAF" w:rsidRPr="007E0DAF" w:rsidRDefault="007E0DAF" w:rsidP="007E0DAF">
      <w:pPr>
        <w:pStyle w:val="Default"/>
        <w:rPr>
          <w:rFonts w:asciiTheme="minorHAnsi" w:hAnsiTheme="minorHAnsi" w:cstheme="minorHAnsi"/>
          <w:b/>
          <w:bCs/>
        </w:rPr>
      </w:pPr>
      <w:r w:rsidRPr="007E0DAF">
        <w:rPr>
          <w:rFonts w:asciiTheme="minorHAnsi" w:hAnsiTheme="minorHAnsi" w:cstheme="minorHAnsi"/>
          <w:b/>
          <w:bCs/>
        </w:rPr>
        <w:t>Coverage</w:t>
      </w:r>
    </w:p>
    <w:p w14:paraId="1948F171" w14:textId="77777777" w:rsidR="007E0DAF" w:rsidRPr="007E0DAF" w:rsidRDefault="007E0DAF" w:rsidP="007E0DAF">
      <w:pPr>
        <w:pStyle w:val="Default"/>
        <w:rPr>
          <w:rFonts w:asciiTheme="minorHAnsi" w:hAnsiTheme="minorHAnsi" w:cstheme="minorHAnsi"/>
          <w:b/>
          <w:bCs/>
        </w:rPr>
      </w:pPr>
    </w:p>
    <w:p w14:paraId="1E633AC5" w14:textId="46621C8D" w:rsidR="007E0DAF" w:rsidRPr="007E0DAF" w:rsidRDefault="007E0DAF" w:rsidP="007E0DAF">
      <w:pPr>
        <w:pStyle w:val="Default"/>
        <w:rPr>
          <w:rFonts w:asciiTheme="minorHAnsi" w:hAnsiTheme="minorHAnsi" w:cstheme="minorHAnsi"/>
        </w:rPr>
      </w:pPr>
      <w:r w:rsidRPr="007E0DAF">
        <w:rPr>
          <w:rFonts w:asciiTheme="minorHAnsi" w:hAnsiTheme="minorHAnsi" w:cstheme="minorHAnsi"/>
        </w:rPr>
        <w:t>According to the State Plan’s FY 202</w:t>
      </w:r>
      <w:r w:rsidR="0063489B">
        <w:rPr>
          <w:rFonts w:asciiTheme="minorHAnsi" w:hAnsiTheme="minorHAnsi" w:cstheme="minorHAnsi"/>
        </w:rPr>
        <w:t>5</w:t>
      </w:r>
      <w:r w:rsidRPr="007E0DAF">
        <w:rPr>
          <w:rFonts w:asciiTheme="minorHAnsi" w:hAnsiTheme="minorHAnsi" w:cstheme="minorHAnsi"/>
        </w:rPr>
        <w:t xml:space="preserve"> grant application, WSHP covered approximately </w:t>
      </w:r>
      <w:r w:rsidR="00396848">
        <w:rPr>
          <w:rFonts w:asciiTheme="minorHAnsi" w:hAnsiTheme="minorHAnsi" w:cstheme="minorHAnsi"/>
        </w:rPr>
        <w:t xml:space="preserve">126,976 </w:t>
      </w:r>
      <w:r w:rsidRPr="007E0DAF">
        <w:rPr>
          <w:rFonts w:asciiTheme="minorHAnsi" w:hAnsiTheme="minorHAnsi" w:cstheme="minorHAnsi"/>
        </w:rPr>
        <w:t xml:space="preserve">state </w:t>
      </w:r>
      <w:r w:rsidR="00942CD8">
        <w:rPr>
          <w:rFonts w:asciiTheme="minorHAnsi" w:hAnsiTheme="minorHAnsi" w:cstheme="minorHAnsi"/>
        </w:rPr>
        <w:t xml:space="preserve">government </w:t>
      </w:r>
      <w:r w:rsidRPr="007E0DAF">
        <w:rPr>
          <w:rFonts w:asciiTheme="minorHAnsi" w:hAnsiTheme="minorHAnsi" w:cstheme="minorHAnsi"/>
        </w:rPr>
        <w:t xml:space="preserve">workers and </w:t>
      </w:r>
      <w:r w:rsidR="008F0335">
        <w:rPr>
          <w:rFonts w:asciiTheme="minorHAnsi" w:hAnsiTheme="minorHAnsi" w:cstheme="minorHAnsi"/>
        </w:rPr>
        <w:t>287,000</w:t>
      </w:r>
      <w:r w:rsidRPr="007E0DAF">
        <w:rPr>
          <w:rFonts w:asciiTheme="minorHAnsi" w:hAnsiTheme="minorHAnsi" w:cstheme="minorHAnsi"/>
        </w:rPr>
        <w:t xml:space="preserve"> local government workers in FY 202</w:t>
      </w:r>
      <w:r w:rsidR="0063489B">
        <w:rPr>
          <w:rFonts w:asciiTheme="minorHAnsi" w:hAnsiTheme="minorHAnsi" w:cstheme="minorHAnsi"/>
        </w:rPr>
        <w:t>4</w:t>
      </w:r>
      <w:r w:rsidRPr="007E0DAF">
        <w:rPr>
          <w:rFonts w:asciiTheme="minorHAnsi" w:hAnsiTheme="minorHAnsi" w:cstheme="minorHAnsi"/>
        </w:rPr>
        <w:t xml:space="preserve">.  </w:t>
      </w:r>
      <w:r w:rsidRPr="00AF531D">
        <w:rPr>
          <w:rFonts w:asciiTheme="minorHAnsi" w:hAnsiTheme="minorHAnsi" w:cstheme="minorHAnsi"/>
        </w:rPr>
        <w:t>The State Plan also covered 2,</w:t>
      </w:r>
      <w:r w:rsidR="00215279" w:rsidRPr="00AF531D">
        <w:rPr>
          <w:rFonts w:asciiTheme="minorHAnsi" w:hAnsiTheme="minorHAnsi" w:cstheme="minorHAnsi"/>
        </w:rPr>
        <w:t>217</w:t>
      </w:r>
      <w:r w:rsidRPr="00AF531D">
        <w:rPr>
          <w:rFonts w:asciiTheme="minorHAnsi" w:hAnsiTheme="minorHAnsi" w:cstheme="minorHAnsi"/>
        </w:rPr>
        <w:t xml:space="preserve"> state </w:t>
      </w:r>
      <w:r w:rsidR="00A6451D">
        <w:rPr>
          <w:rFonts w:asciiTheme="minorHAnsi" w:hAnsiTheme="minorHAnsi" w:cstheme="minorHAnsi"/>
        </w:rPr>
        <w:t xml:space="preserve">government </w:t>
      </w:r>
      <w:r w:rsidRPr="00AF531D">
        <w:rPr>
          <w:rFonts w:asciiTheme="minorHAnsi" w:hAnsiTheme="minorHAnsi" w:cstheme="minorHAnsi"/>
        </w:rPr>
        <w:t>workplaces and 4,3</w:t>
      </w:r>
      <w:r w:rsidR="00454DE0" w:rsidRPr="00AF531D">
        <w:rPr>
          <w:rFonts w:asciiTheme="minorHAnsi" w:hAnsiTheme="minorHAnsi" w:cstheme="minorHAnsi"/>
        </w:rPr>
        <w:t>76</w:t>
      </w:r>
      <w:r w:rsidRPr="00AF531D">
        <w:rPr>
          <w:rFonts w:asciiTheme="minorHAnsi" w:hAnsiTheme="minorHAnsi" w:cstheme="minorHAnsi"/>
        </w:rPr>
        <w:t xml:space="preserve"> local government workplaces.</w:t>
      </w:r>
      <w:r w:rsidR="00E6248C" w:rsidRPr="00641172">
        <w:rPr>
          <w:rStyle w:val="FootnoteReference"/>
          <w:rFonts w:asciiTheme="minorHAnsi" w:hAnsiTheme="minorHAnsi"/>
          <w:b/>
          <w:bCs/>
          <w:sz w:val="28"/>
          <w:szCs w:val="28"/>
          <w:vertAlign w:val="superscript"/>
        </w:rPr>
        <w:footnoteReference w:id="2"/>
      </w:r>
      <w:r w:rsidRPr="00641172">
        <w:rPr>
          <w:rFonts w:asciiTheme="minorHAnsi" w:hAnsiTheme="minorHAnsi" w:cstheme="minorHAnsi"/>
          <w:b/>
          <w:bCs/>
          <w:sz w:val="28"/>
          <w:szCs w:val="28"/>
          <w:vertAlign w:val="superscript"/>
        </w:rPr>
        <w:t xml:space="preserve"> </w:t>
      </w:r>
      <w:r w:rsidR="00B53A0A">
        <w:rPr>
          <w:rFonts w:asciiTheme="minorHAnsi" w:hAnsiTheme="minorHAnsi" w:cstheme="minorHAnsi"/>
          <w:b/>
          <w:bCs/>
          <w:sz w:val="28"/>
          <w:szCs w:val="28"/>
          <w:vertAlign w:val="superscript"/>
        </w:rPr>
        <w:t xml:space="preserve"> </w:t>
      </w:r>
      <w:r w:rsidRPr="007E0DAF">
        <w:rPr>
          <w:rFonts w:asciiTheme="minorHAnsi" w:hAnsiTheme="minorHAnsi" w:cstheme="minorHAnsi"/>
        </w:rPr>
        <w:t>Although WSHP’s coverage includes volunteers under the direction of a public employer or other public corporation or political subdivision, the State Plan’s coverage does not include students (except when employed or vocational/technical students when performing field work) or those incarcerated in public institutions.  Private sector and federal government workers in the state remain under OSHA jurisdiction.</w:t>
      </w:r>
      <w:r w:rsidRPr="007E0DAF">
        <w:rPr>
          <w:rFonts w:asciiTheme="minorHAnsi" w:hAnsiTheme="minorHAnsi" w:cstheme="minorHAnsi"/>
          <w:b/>
          <w:bCs/>
          <w:vertAlign w:val="superscript"/>
        </w:rPr>
        <w:t xml:space="preserve"> </w:t>
      </w:r>
    </w:p>
    <w:p w14:paraId="5FD24C50" w14:textId="77777777" w:rsidR="007E0DAF" w:rsidRDefault="007E0DAF" w:rsidP="007E0DAF">
      <w:pPr>
        <w:pStyle w:val="Default"/>
        <w:rPr>
          <w:rFonts w:asciiTheme="minorHAnsi" w:hAnsiTheme="minorHAnsi" w:cstheme="minorHAnsi"/>
          <w:b/>
          <w:bCs/>
        </w:rPr>
      </w:pPr>
    </w:p>
    <w:p w14:paraId="36B32C1A" w14:textId="77777777" w:rsidR="00A55AC0" w:rsidRPr="00A55AC0" w:rsidRDefault="00A55AC0" w:rsidP="00A55AC0">
      <w:pPr>
        <w:rPr>
          <w:rFonts w:asciiTheme="minorHAnsi" w:hAnsiTheme="minorHAnsi" w:cstheme="minorHAnsi"/>
          <w:b/>
          <w:bCs/>
        </w:rPr>
      </w:pPr>
      <w:r w:rsidRPr="00A55AC0">
        <w:rPr>
          <w:rFonts w:asciiTheme="minorHAnsi" w:hAnsiTheme="minorHAnsi" w:cstheme="minorHAnsi"/>
          <w:b/>
          <w:bCs/>
        </w:rPr>
        <w:t>State Plan Standards and Federal Program Changes (FPCs)</w:t>
      </w:r>
    </w:p>
    <w:p w14:paraId="12AFC2C8" w14:textId="77777777" w:rsidR="00A55AC0" w:rsidRPr="00A55AC0" w:rsidRDefault="00A55AC0" w:rsidP="00A55AC0">
      <w:pPr>
        <w:rPr>
          <w:rFonts w:asciiTheme="minorHAnsi" w:hAnsiTheme="minorHAnsi" w:cstheme="minorHAnsi"/>
          <w:b/>
          <w:bCs/>
        </w:rPr>
      </w:pPr>
    </w:p>
    <w:p w14:paraId="7BD02441" w14:textId="25F88D73" w:rsidR="00A55AC0" w:rsidRDefault="00A55AC0" w:rsidP="00A55AC0">
      <w:pPr>
        <w:rPr>
          <w:rFonts w:asciiTheme="minorHAnsi" w:hAnsiTheme="minorHAnsi" w:cstheme="minorHAnsi"/>
        </w:rPr>
      </w:pPr>
      <w:r w:rsidRPr="00A55AC0">
        <w:rPr>
          <w:rFonts w:asciiTheme="minorHAnsi" w:hAnsiTheme="minorHAnsi" w:cstheme="minorHAnsi"/>
        </w:rPr>
        <w:t>When promulgating standards, WSHP follows its State Administrative Procedure Act and 950 CMR 20.00.  The State Plan, under 454 CMR 25.00, incorporated the standards set forth under the OSH Act, including the General Duty Clause and OSHA’s occupational safety and health standards.  WSHP will continue to adopt OSHA’s standards when promulgated to provide timely and effective worker protection.  WSHP consults the governor’s advisory board (consisting of members from state agencies, municipal organizations, and labor unions) before promulgating occupational safety and health regulations and adopting regulations promulgated by OSHA.</w:t>
      </w:r>
    </w:p>
    <w:p w14:paraId="71589675" w14:textId="77777777" w:rsidR="00485A61" w:rsidRDefault="00485A61" w:rsidP="00A55AC0">
      <w:pPr>
        <w:rPr>
          <w:rFonts w:asciiTheme="minorHAnsi" w:hAnsiTheme="minorHAnsi" w:cstheme="minorHAnsi"/>
        </w:rPr>
      </w:pPr>
    </w:p>
    <w:p w14:paraId="1C0A0C68" w14:textId="77777777" w:rsidR="00485A61" w:rsidRPr="00485A61" w:rsidRDefault="00485A61" w:rsidP="00485A61">
      <w:pPr>
        <w:rPr>
          <w:rFonts w:asciiTheme="minorHAnsi" w:hAnsiTheme="minorHAnsi" w:cstheme="minorHAnsi"/>
          <w:b/>
          <w:bCs/>
        </w:rPr>
      </w:pPr>
      <w:r w:rsidRPr="00485A61">
        <w:rPr>
          <w:rFonts w:asciiTheme="minorHAnsi" w:hAnsiTheme="minorHAnsi" w:cstheme="minorHAnsi"/>
          <w:b/>
          <w:bCs/>
        </w:rPr>
        <w:t>Enforcement</w:t>
      </w:r>
    </w:p>
    <w:p w14:paraId="488AC480" w14:textId="77777777" w:rsidR="00485A61" w:rsidRPr="00485A61" w:rsidRDefault="00485A61" w:rsidP="00485A61">
      <w:pPr>
        <w:rPr>
          <w:rFonts w:asciiTheme="minorHAnsi" w:hAnsiTheme="minorHAnsi" w:cstheme="minorHAnsi"/>
          <w:b/>
          <w:bCs/>
        </w:rPr>
      </w:pPr>
      <w:r w:rsidRPr="00485A61">
        <w:rPr>
          <w:rFonts w:asciiTheme="minorHAnsi" w:hAnsiTheme="minorHAnsi" w:cstheme="minorHAnsi"/>
          <w:b/>
          <w:bCs/>
        </w:rPr>
        <w:t xml:space="preserve"> </w:t>
      </w:r>
    </w:p>
    <w:p w14:paraId="0EA150B9" w14:textId="5797D811" w:rsidR="00485A61" w:rsidRDefault="00485A61" w:rsidP="00485A61">
      <w:pPr>
        <w:rPr>
          <w:rFonts w:asciiTheme="minorHAnsi" w:hAnsiTheme="minorHAnsi" w:cstheme="minorHAnsi"/>
        </w:rPr>
      </w:pPr>
      <w:r w:rsidRPr="00485A61">
        <w:rPr>
          <w:rFonts w:asciiTheme="minorHAnsi" w:hAnsiTheme="minorHAnsi" w:cstheme="minorHAnsi"/>
        </w:rPr>
        <w:t xml:space="preserve">In Massachusetts, 454 CMR 25.00 requires employers to comply with OSHA regulations and gives WSHP authority to enforce OSHA regulations at state and local government workplaces.  Enforcement activities are conducted by </w:t>
      </w:r>
      <w:r w:rsidRPr="00485A61">
        <w:rPr>
          <w:rFonts w:asciiTheme="minorHAnsi" w:hAnsiTheme="minorHAnsi" w:cstheme="minorHAnsi"/>
          <w:noProof/>
          <w:szCs w:val="19"/>
        </w:rPr>
        <w:t>industrial safety and health inspectors (ISHIs).</w:t>
      </w:r>
      <w:r w:rsidRPr="00485A61">
        <w:rPr>
          <w:rFonts w:ascii="Times New Roman" w:hAnsi="Times New Roman"/>
          <w:noProof/>
          <w:szCs w:val="19"/>
        </w:rPr>
        <w:t xml:space="preserve"> </w:t>
      </w:r>
      <w:r w:rsidRPr="00485A61">
        <w:rPr>
          <w:rFonts w:asciiTheme="minorHAnsi" w:hAnsiTheme="minorHAnsi" w:cstheme="minorHAnsi"/>
        </w:rPr>
        <w:t xml:space="preserve"> When violations are identified, a Civil Citation and Civil Penalty is issued.  However, a Civil Citation and Civil Penalty does not necessarily include a monetary fine.</w:t>
      </w:r>
      <w:r w:rsidR="008460BA">
        <w:rPr>
          <w:rFonts w:asciiTheme="minorHAnsi" w:hAnsiTheme="minorHAnsi" w:cstheme="minorHAnsi"/>
        </w:rPr>
        <w:t xml:space="preserve">  In FY 2024, WSHP met the goal for inspections, conducting </w:t>
      </w:r>
      <w:r w:rsidR="00F41FF3">
        <w:rPr>
          <w:rFonts w:asciiTheme="minorHAnsi" w:hAnsiTheme="minorHAnsi" w:cstheme="minorHAnsi"/>
        </w:rPr>
        <w:t>50 more inspections than the</w:t>
      </w:r>
      <w:r w:rsidR="008460BA">
        <w:rPr>
          <w:rFonts w:asciiTheme="minorHAnsi" w:hAnsiTheme="minorHAnsi" w:cstheme="minorHAnsi"/>
        </w:rPr>
        <w:t xml:space="preserve"> 139 projected.</w:t>
      </w:r>
    </w:p>
    <w:p w14:paraId="0C783164" w14:textId="77777777" w:rsidR="00D829AA" w:rsidRDefault="00D829AA" w:rsidP="00485A61">
      <w:pPr>
        <w:rPr>
          <w:rFonts w:asciiTheme="minorHAnsi" w:hAnsiTheme="minorHAnsi" w:cstheme="minorHAnsi"/>
        </w:rPr>
      </w:pPr>
    </w:p>
    <w:p w14:paraId="6CCB76D5" w14:textId="7748DD1D" w:rsidR="00D829AA" w:rsidRDefault="00D829AA" w:rsidP="00D829AA">
      <w:pPr>
        <w:rPr>
          <w:rFonts w:asciiTheme="minorHAnsi" w:hAnsiTheme="minorHAnsi" w:cstheme="minorHAnsi"/>
        </w:rPr>
      </w:pPr>
      <w:r w:rsidRPr="00D829AA">
        <w:rPr>
          <w:rFonts w:asciiTheme="minorHAnsi" w:hAnsiTheme="minorHAnsi" w:cstheme="minorHAnsi"/>
        </w:rPr>
        <w:t xml:space="preserve">The Massachusetts </w:t>
      </w:r>
      <w:r w:rsidR="00786583">
        <w:rPr>
          <w:rFonts w:asciiTheme="minorHAnsi" w:hAnsiTheme="minorHAnsi" w:cstheme="minorHAnsi"/>
        </w:rPr>
        <w:t>FOM</w:t>
      </w:r>
      <w:r w:rsidRPr="00D829AA">
        <w:rPr>
          <w:rFonts w:asciiTheme="minorHAnsi" w:hAnsiTheme="minorHAnsi" w:cstheme="minorHAnsi"/>
        </w:rPr>
        <w:t xml:space="preserve"> (MA FOM) is based on OSHA’s FOM but reflects differences between the State Plan and OSHA.  OSHA has reviewed and approved most chapters of the MA FOM, but some modifications are still in progress.  </w:t>
      </w:r>
      <w:r w:rsidR="00DD7E2E">
        <w:rPr>
          <w:rFonts w:asciiTheme="minorHAnsi" w:hAnsiTheme="minorHAnsi" w:cstheme="minorHAnsi"/>
        </w:rPr>
        <w:t xml:space="preserve">For example, in FY 2024, WSHP submitted proposed modifications </w:t>
      </w:r>
      <w:r w:rsidR="00DF13C0">
        <w:rPr>
          <w:rFonts w:asciiTheme="minorHAnsi" w:hAnsiTheme="minorHAnsi" w:cstheme="minorHAnsi"/>
        </w:rPr>
        <w:t xml:space="preserve">to </w:t>
      </w:r>
      <w:r w:rsidR="00C704F8">
        <w:rPr>
          <w:rFonts w:asciiTheme="minorHAnsi" w:hAnsiTheme="minorHAnsi" w:cstheme="minorHAnsi"/>
        </w:rPr>
        <w:t>Chapter 6</w:t>
      </w:r>
      <w:r w:rsidR="003C4EE8">
        <w:rPr>
          <w:rFonts w:asciiTheme="minorHAnsi" w:hAnsiTheme="minorHAnsi" w:cstheme="minorHAnsi"/>
        </w:rPr>
        <w:t xml:space="preserve"> (</w:t>
      </w:r>
      <w:r w:rsidR="00C704F8">
        <w:rPr>
          <w:rFonts w:asciiTheme="minorHAnsi" w:hAnsiTheme="minorHAnsi" w:cstheme="minorHAnsi"/>
        </w:rPr>
        <w:t xml:space="preserve">Penalties </w:t>
      </w:r>
      <w:r w:rsidR="003C4EE8">
        <w:rPr>
          <w:rFonts w:asciiTheme="minorHAnsi" w:hAnsiTheme="minorHAnsi" w:cstheme="minorHAnsi"/>
        </w:rPr>
        <w:t xml:space="preserve">and Debt Collection) </w:t>
      </w:r>
      <w:r w:rsidR="00C704F8">
        <w:rPr>
          <w:rFonts w:asciiTheme="minorHAnsi" w:hAnsiTheme="minorHAnsi" w:cstheme="minorHAnsi"/>
        </w:rPr>
        <w:t xml:space="preserve">and </w:t>
      </w:r>
      <w:r w:rsidR="00B9605F">
        <w:rPr>
          <w:rFonts w:asciiTheme="minorHAnsi" w:hAnsiTheme="minorHAnsi" w:cstheme="minorHAnsi"/>
        </w:rPr>
        <w:t>p</w:t>
      </w:r>
      <w:r w:rsidR="0018450B">
        <w:rPr>
          <w:rFonts w:asciiTheme="minorHAnsi" w:hAnsiTheme="minorHAnsi" w:cstheme="minorHAnsi"/>
        </w:rPr>
        <w:t xml:space="preserve">rocedures for granting </w:t>
      </w:r>
      <w:r w:rsidR="00B9605F">
        <w:rPr>
          <w:rFonts w:asciiTheme="minorHAnsi" w:hAnsiTheme="minorHAnsi" w:cstheme="minorHAnsi"/>
        </w:rPr>
        <w:t>abatement extensions in Chapter 7</w:t>
      </w:r>
      <w:r w:rsidR="00805073">
        <w:rPr>
          <w:rFonts w:asciiTheme="minorHAnsi" w:hAnsiTheme="minorHAnsi" w:cstheme="minorHAnsi"/>
        </w:rPr>
        <w:t xml:space="preserve"> (Post-Citation Procedures and </w:t>
      </w:r>
      <w:r w:rsidR="00941421">
        <w:rPr>
          <w:rFonts w:asciiTheme="minorHAnsi" w:hAnsiTheme="minorHAnsi" w:cstheme="minorHAnsi"/>
        </w:rPr>
        <w:t>Abatement Verification)</w:t>
      </w:r>
      <w:r w:rsidR="003C4EE8">
        <w:rPr>
          <w:rFonts w:asciiTheme="minorHAnsi" w:hAnsiTheme="minorHAnsi" w:cstheme="minorHAnsi"/>
        </w:rPr>
        <w:t>.</w:t>
      </w:r>
    </w:p>
    <w:p w14:paraId="7FC2D3AE" w14:textId="77777777" w:rsidR="00071CB6" w:rsidRDefault="00071CB6" w:rsidP="00D829AA">
      <w:pPr>
        <w:rPr>
          <w:rFonts w:asciiTheme="minorHAnsi" w:hAnsiTheme="minorHAnsi" w:cstheme="minorHAnsi"/>
        </w:rPr>
      </w:pPr>
    </w:p>
    <w:p w14:paraId="5E63DE32" w14:textId="77777777" w:rsidR="00D87230" w:rsidRDefault="00D87230" w:rsidP="00D829AA">
      <w:pPr>
        <w:rPr>
          <w:rFonts w:asciiTheme="minorHAnsi" w:hAnsiTheme="minorHAnsi" w:cstheme="minorHAnsi"/>
        </w:rPr>
      </w:pPr>
    </w:p>
    <w:p w14:paraId="336B8BA7" w14:textId="77777777" w:rsidR="00D87230" w:rsidRDefault="00D87230" w:rsidP="00D829AA">
      <w:pPr>
        <w:rPr>
          <w:rFonts w:asciiTheme="minorHAnsi" w:hAnsiTheme="minorHAnsi" w:cstheme="minorHAnsi"/>
        </w:rPr>
      </w:pPr>
    </w:p>
    <w:p w14:paraId="666EC05C" w14:textId="77777777" w:rsidR="00071CB6" w:rsidRPr="00071CB6" w:rsidRDefault="00071CB6" w:rsidP="00071CB6">
      <w:pPr>
        <w:rPr>
          <w:rFonts w:asciiTheme="minorHAnsi" w:hAnsiTheme="minorHAnsi" w:cstheme="minorHAnsi"/>
          <w:b/>
          <w:bCs/>
        </w:rPr>
      </w:pPr>
      <w:r w:rsidRPr="00071CB6">
        <w:rPr>
          <w:rFonts w:asciiTheme="minorHAnsi" w:hAnsiTheme="minorHAnsi" w:cstheme="minorHAnsi"/>
          <w:b/>
          <w:bCs/>
        </w:rPr>
        <w:lastRenderedPageBreak/>
        <w:t>Consultation</w:t>
      </w:r>
    </w:p>
    <w:p w14:paraId="41D671CC" w14:textId="77777777" w:rsidR="00071CB6" w:rsidRPr="00071CB6" w:rsidRDefault="00071CB6" w:rsidP="00071CB6">
      <w:pPr>
        <w:rPr>
          <w:rFonts w:asciiTheme="minorHAnsi" w:hAnsiTheme="minorHAnsi" w:cstheme="minorHAnsi"/>
          <w:b/>
          <w:bCs/>
        </w:rPr>
      </w:pPr>
    </w:p>
    <w:p w14:paraId="5AD88563" w14:textId="4157A110" w:rsidR="00071CB6" w:rsidRDefault="00071CB6" w:rsidP="00071CB6">
      <w:pPr>
        <w:rPr>
          <w:rFonts w:asciiTheme="minorHAnsi" w:hAnsiTheme="minorHAnsi" w:cstheme="minorHAnsi"/>
        </w:rPr>
      </w:pPr>
      <w:r w:rsidRPr="00071CB6">
        <w:rPr>
          <w:rFonts w:asciiTheme="minorHAnsi" w:hAnsiTheme="minorHAnsi" w:cstheme="minorHAnsi"/>
        </w:rPr>
        <w:t>WSHP also uses the title “ISHI” for safety and health staff who conduct consultation activities.  When hazards are identified, a Consultation Report is issued.  Employers are required to provide documentation that corrective action was completed.  ISHIs who conduct consultation activities do not share visit information with the enforcement side of WSHP.</w:t>
      </w:r>
      <w:r w:rsidR="009A267E">
        <w:rPr>
          <w:rFonts w:asciiTheme="minorHAnsi" w:hAnsiTheme="minorHAnsi" w:cstheme="minorHAnsi"/>
        </w:rPr>
        <w:t xml:space="preserve">  In FY 2024, WSHP met the goal for consultation visits, conducting </w:t>
      </w:r>
      <w:r w:rsidR="00CA3EB4">
        <w:rPr>
          <w:rFonts w:asciiTheme="minorHAnsi" w:hAnsiTheme="minorHAnsi" w:cstheme="minorHAnsi"/>
        </w:rPr>
        <w:t>29 more visits than the</w:t>
      </w:r>
      <w:r w:rsidR="002A213F">
        <w:rPr>
          <w:rFonts w:asciiTheme="minorHAnsi" w:hAnsiTheme="minorHAnsi" w:cstheme="minorHAnsi"/>
        </w:rPr>
        <w:t xml:space="preserve"> 50 visits projected.</w:t>
      </w:r>
    </w:p>
    <w:p w14:paraId="0175CFE9" w14:textId="77777777" w:rsidR="00C80F18" w:rsidRDefault="00C80F18" w:rsidP="00071CB6">
      <w:pPr>
        <w:rPr>
          <w:rFonts w:asciiTheme="minorHAnsi" w:hAnsiTheme="minorHAnsi" w:cstheme="minorHAnsi"/>
        </w:rPr>
      </w:pPr>
    </w:p>
    <w:p w14:paraId="545CE700" w14:textId="77777777" w:rsidR="00C80F18" w:rsidRPr="00C80F18" w:rsidRDefault="00C80F18" w:rsidP="00C80F18">
      <w:pPr>
        <w:rPr>
          <w:rFonts w:asciiTheme="minorHAnsi" w:hAnsiTheme="minorHAnsi" w:cstheme="minorHAnsi"/>
          <w:b/>
          <w:bCs/>
        </w:rPr>
      </w:pPr>
      <w:r w:rsidRPr="00C80F18">
        <w:rPr>
          <w:rFonts w:asciiTheme="minorHAnsi" w:hAnsiTheme="minorHAnsi" w:cstheme="minorHAnsi"/>
          <w:b/>
          <w:bCs/>
        </w:rPr>
        <w:t>Retaliation Protections</w:t>
      </w:r>
    </w:p>
    <w:p w14:paraId="0B16BAA7" w14:textId="77777777" w:rsidR="00C80F18" w:rsidRPr="00C80F18" w:rsidRDefault="00C80F18" w:rsidP="00C80F18">
      <w:pPr>
        <w:rPr>
          <w:rFonts w:asciiTheme="minorHAnsi" w:hAnsiTheme="minorHAnsi" w:cstheme="minorHAnsi"/>
          <w:b/>
          <w:bCs/>
        </w:rPr>
      </w:pPr>
    </w:p>
    <w:p w14:paraId="02034F5F" w14:textId="77777777" w:rsidR="00C80F18" w:rsidRPr="00C80F18" w:rsidRDefault="00C80F18" w:rsidP="00C80F18">
      <w:pPr>
        <w:rPr>
          <w:rFonts w:asciiTheme="minorHAnsi" w:hAnsiTheme="minorHAnsi" w:cstheme="minorHAnsi"/>
          <w:color w:val="000000"/>
        </w:rPr>
      </w:pPr>
      <w:r w:rsidRPr="00C80F18">
        <w:rPr>
          <w:rFonts w:asciiTheme="minorHAnsi" w:hAnsiTheme="minorHAnsi" w:cstheme="minorHAnsi"/>
        </w:rPr>
        <w:t xml:space="preserve">WSHP’s Anti-Retaliation Program is modeled after OSHA’s Whistleblower Protection Program.  The State Plan’s anti-retaliation provisions are contained in 454 CMR 25.07 and 29 CFR 1977.  WSHP has adopted OSHA’s Whistleblower Investigations Manual.  </w:t>
      </w:r>
      <w:r w:rsidRPr="00C80F18">
        <w:rPr>
          <w:rFonts w:asciiTheme="minorHAnsi" w:hAnsiTheme="minorHAnsi" w:cstheme="minorHAnsi"/>
          <w:color w:val="000000"/>
        </w:rPr>
        <w:t xml:space="preserve">Massachusetts also has a Whistleblower’s Protection Statute, M.G.L. c. 149, § 185, that prohibits retaliation through a right of private civil action. </w:t>
      </w:r>
    </w:p>
    <w:p w14:paraId="5408938D" w14:textId="77777777" w:rsidR="00C80F18" w:rsidRPr="00C80F18" w:rsidRDefault="00C80F18" w:rsidP="00C80F18">
      <w:pPr>
        <w:rPr>
          <w:rFonts w:ascii="Times New Roman" w:hAnsi="Times New Roman" w:cstheme="minorHAnsi"/>
        </w:rPr>
      </w:pPr>
    </w:p>
    <w:p w14:paraId="68117039" w14:textId="77777777" w:rsidR="00C80F18" w:rsidRPr="00C80F18" w:rsidRDefault="00C80F18" w:rsidP="00C80F18">
      <w:pPr>
        <w:rPr>
          <w:rFonts w:asciiTheme="minorHAnsi" w:hAnsiTheme="minorHAnsi" w:cstheme="minorHAnsi"/>
          <w:b/>
          <w:bCs/>
        </w:rPr>
      </w:pPr>
      <w:r w:rsidRPr="00C80F18">
        <w:rPr>
          <w:rFonts w:asciiTheme="minorHAnsi" w:hAnsiTheme="minorHAnsi" w:cstheme="minorHAnsi"/>
          <w:b/>
          <w:bCs/>
        </w:rPr>
        <w:t>Voluntary and Cooperative Programs</w:t>
      </w:r>
    </w:p>
    <w:p w14:paraId="000B300D" w14:textId="77777777" w:rsidR="00C80F18" w:rsidRPr="00C80F18" w:rsidRDefault="00C80F18" w:rsidP="00C80F18">
      <w:pPr>
        <w:rPr>
          <w:rFonts w:asciiTheme="minorHAnsi" w:hAnsiTheme="minorHAnsi" w:cstheme="minorHAnsi"/>
          <w:b/>
          <w:bCs/>
        </w:rPr>
      </w:pPr>
      <w:r w:rsidRPr="00C80F18">
        <w:rPr>
          <w:rFonts w:asciiTheme="minorHAnsi" w:hAnsiTheme="minorHAnsi" w:cstheme="minorHAnsi"/>
          <w:b/>
          <w:bCs/>
        </w:rPr>
        <w:t xml:space="preserve"> </w:t>
      </w:r>
    </w:p>
    <w:p w14:paraId="56A94D19" w14:textId="59CAC2A5" w:rsidR="009B16F1" w:rsidRDefault="00C80F18" w:rsidP="009B16F1">
      <w:pPr>
        <w:widowControl/>
        <w:autoSpaceDE/>
        <w:autoSpaceDN/>
        <w:adjustRightInd/>
        <w:rPr>
          <w:rFonts w:asciiTheme="minorHAnsi" w:hAnsiTheme="minorHAnsi" w:cstheme="minorHAnsi"/>
        </w:rPr>
      </w:pPr>
      <w:r w:rsidRPr="00C80F18">
        <w:rPr>
          <w:rFonts w:asciiTheme="minorHAnsi" w:hAnsiTheme="minorHAnsi" w:cstheme="minorHAnsi"/>
        </w:rPr>
        <w:t>WSHP provides free, voluntary occupational safety and health training and consultation services for state and local government workplaces.</w:t>
      </w:r>
      <w:r w:rsidRPr="00C80F18">
        <w:rPr>
          <w:rFonts w:asciiTheme="minorHAnsi" w:hAnsiTheme="minorHAnsi" w:cstheme="minorHAnsi"/>
          <w:b/>
          <w:bCs/>
        </w:rPr>
        <w:t xml:space="preserve">  </w:t>
      </w:r>
      <w:r w:rsidRPr="00C80F18">
        <w:rPr>
          <w:rFonts w:asciiTheme="minorHAnsi" w:hAnsiTheme="minorHAnsi" w:cstheme="minorHAnsi"/>
        </w:rPr>
        <w:t xml:space="preserve">The State Plan administers the Safety and Health Award for Public Employers (SHAPE) Program to recognize state and local government employers with an excellent safety and health program.  This program is </w:t>
      </w:r>
      <w:proofErr w:type="gramStart"/>
      <w:r w:rsidRPr="00C80F18">
        <w:rPr>
          <w:rFonts w:asciiTheme="minorHAnsi" w:hAnsiTheme="minorHAnsi" w:cstheme="minorHAnsi"/>
        </w:rPr>
        <w:t>similar to</w:t>
      </w:r>
      <w:proofErr w:type="gramEnd"/>
      <w:r w:rsidRPr="00C80F18">
        <w:rPr>
          <w:rFonts w:asciiTheme="minorHAnsi" w:hAnsiTheme="minorHAnsi" w:cstheme="minorHAnsi"/>
        </w:rPr>
        <w:t xml:space="preserve"> the Safety and Health Achievement Recognition Program administered by 21(d) consultation programs for private sector employers.</w:t>
      </w:r>
      <w:r w:rsidR="00E359C7" w:rsidRPr="009B16F1">
        <w:rPr>
          <w:rFonts w:asciiTheme="minorHAnsi" w:hAnsiTheme="minorHAnsi" w:cstheme="minorHAnsi"/>
        </w:rPr>
        <w:t xml:space="preserve">  </w:t>
      </w:r>
      <w:r w:rsidR="009B16F1" w:rsidRPr="009B16F1">
        <w:rPr>
          <w:rFonts w:asciiTheme="minorHAnsi" w:hAnsiTheme="minorHAnsi" w:cstheme="minorHAnsi"/>
        </w:rPr>
        <w:t>Although there were no SHAPE participants at the end of FY 2024, WSHP's long-term objective is to recruit at least one employer by the end of FY 2027.</w:t>
      </w:r>
    </w:p>
    <w:p w14:paraId="6A617DB3" w14:textId="77777777" w:rsidR="00F96452" w:rsidRDefault="00F96452" w:rsidP="009B16F1">
      <w:pPr>
        <w:widowControl/>
        <w:autoSpaceDE/>
        <w:autoSpaceDN/>
        <w:adjustRightInd/>
        <w:rPr>
          <w:rFonts w:asciiTheme="minorHAnsi" w:hAnsiTheme="minorHAnsi" w:cstheme="minorHAnsi"/>
        </w:rPr>
      </w:pPr>
    </w:p>
    <w:p w14:paraId="4F504567" w14:textId="2AE1DB40" w:rsidR="00F96452" w:rsidRPr="00F96452" w:rsidRDefault="00F96452" w:rsidP="00F96452">
      <w:pPr>
        <w:rPr>
          <w:rFonts w:asciiTheme="minorHAnsi" w:hAnsiTheme="minorHAnsi" w:cstheme="minorHAnsi"/>
          <w:b/>
          <w:bCs/>
        </w:rPr>
      </w:pPr>
      <w:r w:rsidRPr="00F96452">
        <w:rPr>
          <w:rFonts w:asciiTheme="minorHAnsi" w:hAnsiTheme="minorHAnsi" w:cstheme="minorHAnsi"/>
          <w:b/>
          <w:bCs/>
        </w:rPr>
        <w:t>Staffing</w:t>
      </w:r>
    </w:p>
    <w:p w14:paraId="558360A0" w14:textId="77777777" w:rsidR="00F96452" w:rsidRPr="00F96452" w:rsidRDefault="00F96452" w:rsidP="00F96452">
      <w:pPr>
        <w:rPr>
          <w:rFonts w:asciiTheme="minorHAnsi" w:hAnsiTheme="minorHAnsi" w:cstheme="minorHAnsi"/>
          <w:b/>
          <w:bCs/>
        </w:rPr>
      </w:pPr>
    </w:p>
    <w:p w14:paraId="661F4FA7" w14:textId="03D2B5BA" w:rsidR="00621052" w:rsidRDefault="00F96452" w:rsidP="00ED13BA">
      <w:pPr>
        <w:tabs>
          <w:tab w:val="left" w:pos="1659"/>
          <w:tab w:val="left" w:pos="1660"/>
        </w:tabs>
        <w:rPr>
          <w:rFonts w:asciiTheme="minorHAnsi" w:hAnsiTheme="minorHAnsi" w:cstheme="minorHAnsi"/>
        </w:rPr>
      </w:pPr>
      <w:r w:rsidRPr="00F96452">
        <w:rPr>
          <w:rFonts w:asciiTheme="minorHAnsi" w:hAnsiTheme="minorHAnsi" w:cstheme="minorHAnsi"/>
        </w:rPr>
        <w:t>At the end of FY 202</w:t>
      </w:r>
      <w:r>
        <w:rPr>
          <w:rFonts w:asciiTheme="minorHAnsi" w:hAnsiTheme="minorHAnsi" w:cstheme="minorHAnsi"/>
        </w:rPr>
        <w:t>4</w:t>
      </w:r>
      <w:r w:rsidRPr="00F96452">
        <w:rPr>
          <w:rFonts w:asciiTheme="minorHAnsi" w:hAnsiTheme="minorHAnsi" w:cstheme="minorHAnsi"/>
        </w:rPr>
        <w:t>, the State Plan had 1</w:t>
      </w:r>
      <w:r w:rsidR="004F5149">
        <w:rPr>
          <w:rFonts w:asciiTheme="minorHAnsi" w:hAnsiTheme="minorHAnsi" w:cstheme="minorHAnsi"/>
        </w:rPr>
        <w:t>7</w:t>
      </w:r>
      <w:r w:rsidRPr="00F96452">
        <w:rPr>
          <w:rFonts w:asciiTheme="minorHAnsi" w:hAnsiTheme="minorHAnsi" w:cstheme="minorHAnsi"/>
        </w:rPr>
        <w:t xml:space="preserve"> personnel.  This total included four supervisor</w:t>
      </w:r>
      <w:r w:rsidR="00AA254A">
        <w:rPr>
          <w:rFonts w:asciiTheme="minorHAnsi" w:hAnsiTheme="minorHAnsi" w:cstheme="minorHAnsi"/>
        </w:rPr>
        <w:t>s</w:t>
      </w:r>
      <w:r w:rsidRPr="00F96452">
        <w:rPr>
          <w:rFonts w:asciiTheme="minorHAnsi" w:hAnsiTheme="minorHAnsi" w:cstheme="minorHAnsi"/>
        </w:rPr>
        <w:t xml:space="preserve"> (one program supervisor in charge of all staff and three field supervisors), </w:t>
      </w:r>
      <w:r w:rsidR="00277103">
        <w:rPr>
          <w:rFonts w:asciiTheme="minorHAnsi" w:hAnsiTheme="minorHAnsi" w:cstheme="minorHAnsi"/>
        </w:rPr>
        <w:t>nine</w:t>
      </w:r>
      <w:r w:rsidR="005535B0">
        <w:rPr>
          <w:rFonts w:asciiTheme="minorHAnsi" w:hAnsiTheme="minorHAnsi" w:cstheme="minorHAnsi"/>
        </w:rPr>
        <w:t xml:space="preserve"> </w:t>
      </w:r>
      <w:r w:rsidRPr="00F96452">
        <w:rPr>
          <w:rFonts w:asciiTheme="minorHAnsi" w:hAnsiTheme="minorHAnsi" w:cstheme="minorHAnsi"/>
        </w:rPr>
        <w:t>enforcement ISHIs</w:t>
      </w:r>
      <w:r w:rsidR="00D15CCD">
        <w:rPr>
          <w:rFonts w:asciiTheme="minorHAnsi" w:hAnsiTheme="minorHAnsi" w:cstheme="minorHAnsi"/>
        </w:rPr>
        <w:t xml:space="preserve"> (s</w:t>
      </w:r>
      <w:r w:rsidR="00875AF6">
        <w:rPr>
          <w:rFonts w:asciiTheme="minorHAnsi" w:hAnsiTheme="minorHAnsi" w:cstheme="minorHAnsi"/>
        </w:rPr>
        <w:t xml:space="preserve">even </w:t>
      </w:r>
      <w:r w:rsidR="00D15CCD">
        <w:rPr>
          <w:rFonts w:asciiTheme="minorHAnsi" w:hAnsiTheme="minorHAnsi" w:cstheme="minorHAnsi"/>
        </w:rPr>
        <w:t>safety</w:t>
      </w:r>
      <w:r w:rsidR="005535B0">
        <w:rPr>
          <w:rFonts w:asciiTheme="minorHAnsi" w:hAnsiTheme="minorHAnsi" w:cstheme="minorHAnsi"/>
        </w:rPr>
        <w:t xml:space="preserve"> and two health)</w:t>
      </w:r>
      <w:r w:rsidRPr="00F96452">
        <w:rPr>
          <w:rFonts w:asciiTheme="minorHAnsi" w:hAnsiTheme="minorHAnsi" w:cstheme="minorHAnsi"/>
        </w:rPr>
        <w:t xml:space="preserve"> and </w:t>
      </w:r>
      <w:r w:rsidR="00F8594E">
        <w:rPr>
          <w:rFonts w:asciiTheme="minorHAnsi" w:hAnsiTheme="minorHAnsi" w:cstheme="minorHAnsi"/>
        </w:rPr>
        <w:t>four</w:t>
      </w:r>
      <w:r w:rsidRPr="00F96452">
        <w:rPr>
          <w:rFonts w:asciiTheme="minorHAnsi" w:hAnsiTheme="minorHAnsi" w:cstheme="minorHAnsi"/>
        </w:rPr>
        <w:t xml:space="preserve"> 23(g) consultation ISHIs</w:t>
      </w:r>
      <w:r w:rsidR="00EF75A0">
        <w:rPr>
          <w:rFonts w:asciiTheme="minorHAnsi" w:hAnsiTheme="minorHAnsi" w:cstheme="minorHAnsi"/>
        </w:rPr>
        <w:t xml:space="preserve"> (two safety and two health).</w:t>
      </w:r>
      <w:r w:rsidRPr="00F96452">
        <w:rPr>
          <w:rFonts w:asciiTheme="minorHAnsi" w:hAnsiTheme="minorHAnsi" w:cstheme="minorHAnsi"/>
        </w:rPr>
        <w:t xml:space="preserve">  </w:t>
      </w:r>
      <w:r w:rsidR="00951F3E">
        <w:rPr>
          <w:rFonts w:asciiTheme="minorHAnsi" w:hAnsiTheme="minorHAnsi" w:cstheme="minorHAnsi"/>
        </w:rPr>
        <w:t>One of the field supervisors and two safety ISHIs</w:t>
      </w:r>
      <w:r w:rsidR="00300760">
        <w:rPr>
          <w:rFonts w:asciiTheme="minorHAnsi" w:hAnsiTheme="minorHAnsi" w:cstheme="minorHAnsi"/>
        </w:rPr>
        <w:t xml:space="preserve"> (equaling 1.5 full-time equivalents)</w:t>
      </w:r>
      <w:r w:rsidR="00E072C3">
        <w:rPr>
          <w:rFonts w:asciiTheme="minorHAnsi" w:hAnsiTheme="minorHAnsi" w:cstheme="minorHAnsi"/>
        </w:rPr>
        <w:t xml:space="preserve"> allocate a portion of their time to </w:t>
      </w:r>
      <w:r w:rsidR="007C3170">
        <w:rPr>
          <w:rFonts w:asciiTheme="minorHAnsi" w:hAnsiTheme="minorHAnsi" w:cstheme="minorHAnsi"/>
        </w:rPr>
        <w:t xml:space="preserve">whistleblower protection </w:t>
      </w:r>
      <w:r w:rsidR="00E072C3">
        <w:rPr>
          <w:rFonts w:asciiTheme="minorHAnsi" w:hAnsiTheme="minorHAnsi" w:cstheme="minorHAnsi"/>
        </w:rPr>
        <w:t xml:space="preserve">investigations. </w:t>
      </w:r>
      <w:r w:rsidR="00CB7E3E">
        <w:rPr>
          <w:rFonts w:asciiTheme="minorHAnsi" w:hAnsiTheme="minorHAnsi" w:cstheme="minorHAnsi"/>
        </w:rPr>
        <w:t xml:space="preserve"> </w:t>
      </w:r>
    </w:p>
    <w:p w14:paraId="588B600A" w14:textId="77777777" w:rsidR="00621052" w:rsidRDefault="00621052" w:rsidP="00ED13BA">
      <w:pPr>
        <w:tabs>
          <w:tab w:val="left" w:pos="1659"/>
          <w:tab w:val="left" w:pos="1660"/>
        </w:tabs>
        <w:rPr>
          <w:rFonts w:asciiTheme="minorHAnsi" w:hAnsiTheme="minorHAnsi" w:cstheme="minorHAnsi"/>
        </w:rPr>
      </w:pPr>
    </w:p>
    <w:p w14:paraId="46171EAA" w14:textId="48FBBB54" w:rsidR="00ED13BA" w:rsidRDefault="00621052" w:rsidP="00ED13BA">
      <w:pPr>
        <w:tabs>
          <w:tab w:val="left" w:pos="1659"/>
          <w:tab w:val="left" w:pos="1660"/>
        </w:tabs>
        <w:rPr>
          <w:noProof/>
          <w:szCs w:val="19"/>
        </w:rPr>
      </w:pPr>
      <w:r>
        <w:rPr>
          <w:noProof/>
          <w:szCs w:val="19"/>
        </w:rPr>
        <w:t>In May 2024, OSHA announced a reduction in FY 2024 State Plan grant awards due to federal budget issues.</w:t>
      </w:r>
      <w:r w:rsidRPr="00004563">
        <w:rPr>
          <w:noProof/>
          <w:szCs w:val="19"/>
        </w:rPr>
        <w:t xml:space="preserve"> </w:t>
      </w:r>
      <w:r w:rsidR="008E2CED">
        <w:rPr>
          <w:noProof/>
          <w:szCs w:val="19"/>
        </w:rPr>
        <w:t xml:space="preserve"> </w:t>
      </w:r>
      <w:r w:rsidR="002F4625" w:rsidRPr="002F4625">
        <w:rPr>
          <w:noProof/>
          <w:szCs w:val="19"/>
        </w:rPr>
        <w:t xml:space="preserve">WSHP's target for total staffing, which must be met by the conclusion of the three-year developmental period, was lowered from 20 to 19 employees in order to make up for this funding shortfall. </w:t>
      </w:r>
      <w:r w:rsidR="002A35CF">
        <w:rPr>
          <w:noProof/>
          <w:szCs w:val="19"/>
        </w:rPr>
        <w:t xml:space="preserve"> Thus, at full staffing, </w:t>
      </w:r>
      <w:r w:rsidR="002A35CF">
        <w:rPr>
          <w:rFonts w:asciiTheme="minorHAnsi" w:hAnsiTheme="minorHAnsi" w:cstheme="minorHAnsi"/>
        </w:rPr>
        <w:t>WSHP will have</w:t>
      </w:r>
      <w:r w:rsidR="00EC28E8">
        <w:rPr>
          <w:rFonts w:asciiTheme="minorHAnsi" w:hAnsiTheme="minorHAnsi" w:cstheme="minorHAnsi"/>
        </w:rPr>
        <w:t xml:space="preserve"> </w:t>
      </w:r>
      <w:r w:rsidR="00F96452" w:rsidRPr="00F96452">
        <w:rPr>
          <w:rFonts w:asciiTheme="minorHAnsi" w:hAnsiTheme="minorHAnsi" w:cstheme="minorHAnsi"/>
        </w:rPr>
        <w:t>four supervisors, 1</w:t>
      </w:r>
      <w:r w:rsidR="00CB7E3E">
        <w:rPr>
          <w:rFonts w:asciiTheme="minorHAnsi" w:hAnsiTheme="minorHAnsi" w:cstheme="minorHAnsi"/>
        </w:rPr>
        <w:t>1</w:t>
      </w:r>
      <w:r w:rsidR="00F96452" w:rsidRPr="00F96452">
        <w:rPr>
          <w:rFonts w:asciiTheme="minorHAnsi" w:hAnsiTheme="minorHAnsi" w:cstheme="minorHAnsi"/>
        </w:rPr>
        <w:t xml:space="preserve"> enforcement ISHIs</w:t>
      </w:r>
      <w:r w:rsidR="00824BFF">
        <w:rPr>
          <w:rFonts w:asciiTheme="minorHAnsi" w:hAnsiTheme="minorHAnsi" w:cstheme="minorHAnsi"/>
        </w:rPr>
        <w:t>,</w:t>
      </w:r>
      <w:r w:rsidR="00F96452" w:rsidRPr="00F96452">
        <w:rPr>
          <w:rFonts w:asciiTheme="minorHAnsi" w:hAnsiTheme="minorHAnsi" w:cstheme="minorHAnsi"/>
        </w:rPr>
        <w:t xml:space="preserve"> and four consultation ISHIs</w:t>
      </w:r>
      <w:r w:rsidR="00AA254A">
        <w:rPr>
          <w:rFonts w:asciiTheme="minorHAnsi" w:hAnsiTheme="minorHAnsi" w:cstheme="minorHAnsi"/>
        </w:rPr>
        <w:t xml:space="preserve">. </w:t>
      </w:r>
      <w:r w:rsidR="00ED13BA">
        <w:rPr>
          <w:rFonts w:asciiTheme="minorHAnsi" w:hAnsiTheme="minorHAnsi" w:cstheme="minorHAnsi"/>
        </w:rPr>
        <w:t xml:space="preserve"> </w:t>
      </w:r>
    </w:p>
    <w:p w14:paraId="2C1EBCA8" w14:textId="00004A4F" w:rsidR="00F96452" w:rsidRPr="00F96452" w:rsidRDefault="00F96452" w:rsidP="00F96452">
      <w:pPr>
        <w:rPr>
          <w:rFonts w:asciiTheme="minorHAnsi" w:hAnsiTheme="minorHAnsi" w:cstheme="minorHAnsi"/>
        </w:rPr>
      </w:pPr>
    </w:p>
    <w:p w14:paraId="34FE3020" w14:textId="108EFD8A" w:rsidR="00F96452" w:rsidRDefault="00F96452" w:rsidP="00F96452">
      <w:pPr>
        <w:rPr>
          <w:rFonts w:asciiTheme="minorHAnsi" w:hAnsiTheme="minorHAnsi" w:cstheme="minorHAnsi"/>
          <w:noProof/>
          <w:szCs w:val="19"/>
        </w:rPr>
      </w:pPr>
      <w:r w:rsidRPr="00F96452">
        <w:rPr>
          <w:rFonts w:asciiTheme="minorHAnsi" w:hAnsiTheme="minorHAnsi" w:cstheme="minorHAnsi"/>
          <w:noProof/>
          <w:szCs w:val="19"/>
        </w:rPr>
        <w:t xml:space="preserve">Staff are assigned across the state and do not have designated territories.  ISHIs are not desginated as either “safety” or “health;” rather they are considered qualified to conduct inspections in both fields.  Compliance assistance activity is assigned to either enforcement or consultation staff, depending  on customer needs and geographic considerations.  </w:t>
      </w:r>
    </w:p>
    <w:p w14:paraId="7408955A" w14:textId="77777777" w:rsidR="0041630E" w:rsidRPr="0041630E" w:rsidRDefault="0041630E" w:rsidP="0041630E">
      <w:pPr>
        <w:rPr>
          <w:rFonts w:asciiTheme="minorHAnsi" w:hAnsiTheme="minorHAnsi" w:cstheme="minorHAnsi"/>
          <w:b/>
          <w:bCs/>
          <w:noProof/>
          <w:szCs w:val="19"/>
        </w:rPr>
      </w:pPr>
      <w:r w:rsidRPr="0041630E">
        <w:rPr>
          <w:rFonts w:asciiTheme="minorHAnsi" w:hAnsiTheme="minorHAnsi" w:cstheme="minorHAnsi"/>
          <w:b/>
          <w:bCs/>
          <w:noProof/>
          <w:szCs w:val="19"/>
        </w:rPr>
        <w:lastRenderedPageBreak/>
        <w:t>Budget</w:t>
      </w:r>
    </w:p>
    <w:p w14:paraId="08568420" w14:textId="77777777" w:rsidR="0041630E" w:rsidRPr="0041630E" w:rsidRDefault="0041630E" w:rsidP="0041630E">
      <w:pPr>
        <w:rPr>
          <w:rFonts w:asciiTheme="minorHAnsi" w:hAnsiTheme="minorHAnsi" w:cstheme="minorHAnsi"/>
          <w:b/>
          <w:bCs/>
          <w:noProof/>
          <w:szCs w:val="19"/>
        </w:rPr>
      </w:pPr>
    </w:p>
    <w:p w14:paraId="7A177EC9" w14:textId="7CE40E3F" w:rsidR="0041630E" w:rsidRPr="0041630E" w:rsidRDefault="0041630E" w:rsidP="0041630E">
      <w:pPr>
        <w:widowControl/>
        <w:autoSpaceDE/>
        <w:autoSpaceDN/>
        <w:adjustRightInd/>
        <w:rPr>
          <w:rFonts w:asciiTheme="minorHAnsi" w:hAnsiTheme="minorHAnsi" w:cstheme="minorHAnsi"/>
          <w:iCs/>
        </w:rPr>
      </w:pPr>
      <w:r w:rsidRPr="001A526C">
        <w:rPr>
          <w:rFonts w:asciiTheme="minorHAnsi" w:hAnsiTheme="minorHAnsi" w:cstheme="minorHAnsi"/>
          <w:iCs/>
        </w:rPr>
        <w:t xml:space="preserve">Based on financial close-out forms, WSHP’s </w:t>
      </w:r>
      <w:r w:rsidR="00527D5F" w:rsidRPr="001A526C">
        <w:rPr>
          <w:rFonts w:asciiTheme="minorHAnsi" w:hAnsiTheme="minorHAnsi" w:cstheme="minorHAnsi"/>
          <w:iCs/>
        </w:rPr>
        <w:t xml:space="preserve">total funding in FY 2024 was </w:t>
      </w:r>
      <w:r w:rsidR="00957EFA" w:rsidRPr="001A526C">
        <w:rPr>
          <w:rFonts w:asciiTheme="minorHAnsi" w:hAnsiTheme="minorHAnsi" w:cstheme="minorHAnsi"/>
          <w:iCs/>
        </w:rPr>
        <w:t>$</w:t>
      </w:r>
      <w:r w:rsidR="00957EFA" w:rsidRPr="001A526C">
        <w:t>2,830,973</w:t>
      </w:r>
      <w:r w:rsidR="00957EFA" w:rsidRPr="001A526C">
        <w:rPr>
          <w:rFonts w:asciiTheme="minorHAnsi" w:hAnsiTheme="minorHAnsi" w:cstheme="minorHAnsi"/>
          <w:iCs/>
        </w:rPr>
        <w:t xml:space="preserve">.  </w:t>
      </w:r>
      <w:r w:rsidR="00E75A15" w:rsidRPr="001A526C">
        <w:rPr>
          <w:rFonts w:asciiTheme="minorHAnsi" w:hAnsiTheme="minorHAnsi" w:cstheme="minorHAnsi"/>
          <w:iCs/>
        </w:rPr>
        <w:t xml:space="preserve">OSHA contributed </w:t>
      </w:r>
      <w:r w:rsidR="001A526C">
        <w:rPr>
          <w:rFonts w:asciiTheme="minorHAnsi" w:hAnsiTheme="minorHAnsi" w:cstheme="minorHAnsi"/>
          <w:iCs/>
        </w:rPr>
        <w:t>$</w:t>
      </w:r>
      <w:r w:rsidR="00B5576A" w:rsidRPr="001A526C">
        <w:t>1,365,997.</w:t>
      </w:r>
      <w:r w:rsidR="00B5576A" w:rsidRPr="001A526C">
        <w:rPr>
          <w:rFonts w:asciiTheme="minorHAnsi" w:hAnsiTheme="minorHAnsi" w:cstheme="minorHAnsi"/>
          <w:iCs/>
        </w:rPr>
        <w:t xml:space="preserve">  </w:t>
      </w:r>
      <w:r w:rsidRPr="001A526C">
        <w:rPr>
          <w:rFonts w:cs="Calibri"/>
          <w:iCs/>
        </w:rPr>
        <w:t>The State Plan matched this amount and contributed an additional $</w:t>
      </w:r>
      <w:r w:rsidR="00F622AA" w:rsidRPr="001A526C">
        <w:rPr>
          <w:rFonts w:cs="Calibri"/>
          <w:iCs/>
        </w:rPr>
        <w:t>98,979</w:t>
      </w:r>
      <w:r w:rsidRPr="001A526C">
        <w:rPr>
          <w:rFonts w:cs="Calibri"/>
          <w:iCs/>
        </w:rPr>
        <w:t xml:space="preserve"> for a total State Plan contribution of $1,</w:t>
      </w:r>
      <w:r w:rsidR="00911309" w:rsidRPr="001A526C">
        <w:rPr>
          <w:rFonts w:cs="Calibri"/>
          <w:iCs/>
        </w:rPr>
        <w:t>464,976</w:t>
      </w:r>
      <w:r w:rsidR="00E23D98">
        <w:rPr>
          <w:rFonts w:cs="Calibri"/>
          <w:iCs/>
        </w:rPr>
        <w:t>.</w:t>
      </w:r>
      <w:r w:rsidRPr="001A526C">
        <w:rPr>
          <w:rFonts w:cs="Calibri"/>
          <w:iCs/>
        </w:rPr>
        <w:t xml:space="preserve">  Thus,</w:t>
      </w:r>
      <w:r w:rsidR="00E23D98">
        <w:rPr>
          <w:rFonts w:cs="Calibri"/>
          <w:iCs/>
        </w:rPr>
        <w:t xml:space="preserve"> </w:t>
      </w:r>
      <w:r w:rsidRPr="001A526C">
        <w:rPr>
          <w:rFonts w:cs="Calibri"/>
          <w:iCs/>
        </w:rPr>
        <w:t xml:space="preserve">WSHP’s </w:t>
      </w:r>
      <w:r w:rsidR="00911309" w:rsidRPr="001A526C">
        <w:rPr>
          <w:rFonts w:cs="Calibri"/>
          <w:iCs/>
        </w:rPr>
        <w:t xml:space="preserve">contribution </w:t>
      </w:r>
      <w:r w:rsidR="001A526C" w:rsidRPr="001A526C">
        <w:rPr>
          <w:rFonts w:cs="Calibri"/>
          <w:iCs/>
        </w:rPr>
        <w:t xml:space="preserve">amounted to 52 percent of the total funding amount. </w:t>
      </w:r>
    </w:p>
    <w:p w14:paraId="223DF16E" w14:textId="77777777" w:rsidR="00F96452" w:rsidRPr="009B16F1" w:rsidRDefault="00F96452" w:rsidP="009B16F1">
      <w:pPr>
        <w:widowControl/>
        <w:autoSpaceDE/>
        <w:autoSpaceDN/>
        <w:adjustRightInd/>
        <w:rPr>
          <w:rFonts w:ascii="Times New Roman" w:hAnsi="Times New Roman"/>
        </w:rPr>
      </w:pPr>
    </w:p>
    <w:p w14:paraId="68FBAFD2" w14:textId="77777777" w:rsidR="00781312" w:rsidRPr="001C1E47" w:rsidRDefault="00781312" w:rsidP="00783189">
      <w:pPr>
        <w:widowControl/>
        <w:autoSpaceDE/>
        <w:autoSpaceDN/>
        <w:adjustRightInd/>
        <w:contextualSpacing/>
        <w:rPr>
          <w:rFonts w:cs="Calibri"/>
          <w:b/>
        </w:rPr>
      </w:pPr>
      <w:r w:rsidRPr="001C1E47">
        <w:rPr>
          <w:rFonts w:cs="Calibri"/>
          <w:b/>
        </w:rPr>
        <w:t>New Issues</w:t>
      </w:r>
    </w:p>
    <w:p w14:paraId="1A950952" w14:textId="77777777" w:rsidR="00781312" w:rsidRPr="001C1E47" w:rsidRDefault="00781312" w:rsidP="00783189">
      <w:pPr>
        <w:ind w:left="720"/>
        <w:contextualSpacing/>
        <w:rPr>
          <w:rFonts w:cs="Calibri"/>
          <w:sz w:val="28"/>
          <w:szCs w:val="28"/>
        </w:rPr>
      </w:pPr>
    </w:p>
    <w:p w14:paraId="4D45CF2E" w14:textId="5EC40642" w:rsidR="00780E29" w:rsidRPr="0041630E" w:rsidRDefault="0041630E" w:rsidP="00783189">
      <w:pPr>
        <w:widowControl/>
        <w:autoSpaceDE/>
        <w:autoSpaceDN/>
        <w:adjustRightInd/>
        <w:rPr>
          <w:rFonts w:cs="Calibri"/>
          <w:iCs/>
          <w:color w:val="000000" w:themeColor="text1"/>
        </w:rPr>
      </w:pPr>
      <w:r w:rsidRPr="0041630E">
        <w:rPr>
          <w:rFonts w:cs="Calibri"/>
          <w:iCs/>
          <w:color w:val="000000" w:themeColor="text1"/>
        </w:rPr>
        <w:t>None.</w:t>
      </w:r>
    </w:p>
    <w:p w14:paraId="70D5B46D" w14:textId="77777777" w:rsidR="0041630E" w:rsidRDefault="0041630E" w:rsidP="00783189">
      <w:pPr>
        <w:widowControl/>
        <w:autoSpaceDE/>
        <w:autoSpaceDN/>
        <w:adjustRightInd/>
        <w:rPr>
          <w:rFonts w:cs="Calibri"/>
          <w:iCs/>
        </w:rPr>
      </w:pPr>
    </w:p>
    <w:p w14:paraId="5202941B" w14:textId="77777777" w:rsidR="00C02AE8" w:rsidRPr="00AB16D9" w:rsidRDefault="00C02AE8" w:rsidP="00783189">
      <w:pPr>
        <w:widowControl/>
        <w:autoSpaceDE/>
        <w:autoSpaceDN/>
        <w:adjustRightInd/>
        <w:rPr>
          <w:rFonts w:cs="Calibri"/>
          <w:iCs/>
        </w:rPr>
      </w:pPr>
    </w:p>
    <w:p w14:paraId="0A29FCDE" w14:textId="40051B71" w:rsidR="00054900" w:rsidRPr="00476C08" w:rsidRDefault="00054900" w:rsidP="00476C08">
      <w:pPr>
        <w:pStyle w:val="Heading2"/>
      </w:pPr>
      <w:bookmarkStart w:id="9" w:name="_Toc118900172"/>
      <w:bookmarkStart w:id="10" w:name="_Toc118905011"/>
      <w:bookmarkStart w:id="11" w:name="_Toc119418665"/>
      <w:r w:rsidRPr="00476C08">
        <w:t xml:space="preserve">Assessment of State Plan </w:t>
      </w:r>
      <w:r w:rsidR="001E2FBB" w:rsidRPr="00476C08">
        <w:t xml:space="preserve">Progress and </w:t>
      </w:r>
      <w:r w:rsidRPr="00476C08">
        <w:t>Performance</w:t>
      </w:r>
      <w:bookmarkEnd w:id="9"/>
      <w:bookmarkEnd w:id="10"/>
      <w:bookmarkEnd w:id="11"/>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1362E">
      <w:pPr>
        <w:pStyle w:val="Heading3"/>
      </w:pPr>
      <w:bookmarkStart w:id="12" w:name="_Toc118900173"/>
      <w:bookmarkStart w:id="13" w:name="_Toc118905012"/>
      <w:bookmarkStart w:id="14" w:name="_Toc119418666"/>
      <w:r w:rsidRPr="00C53328">
        <w:t>Data and Methodology</w:t>
      </w:r>
      <w:bookmarkEnd w:id="12"/>
      <w:bookmarkEnd w:id="13"/>
      <w:bookmarkEnd w:id="14"/>
    </w:p>
    <w:p w14:paraId="72EF69F8" w14:textId="77777777" w:rsidR="000A134A" w:rsidRPr="001C1E47" w:rsidRDefault="000A134A" w:rsidP="00783189">
      <w:pPr>
        <w:widowControl/>
        <w:autoSpaceDE/>
        <w:autoSpaceDN/>
        <w:adjustRightInd/>
        <w:ind w:left="1440"/>
        <w:rPr>
          <w:rFonts w:cs="Calibri"/>
          <w:bCs/>
        </w:rPr>
      </w:pPr>
    </w:p>
    <w:p w14:paraId="3EEE3A69" w14:textId="77777777" w:rsidR="005504BC" w:rsidRPr="001C1E47" w:rsidRDefault="000A134A" w:rsidP="00783189">
      <w:pPr>
        <w:widowControl/>
        <w:autoSpaceDE/>
        <w:autoSpaceDN/>
        <w:adjustRightInd/>
        <w:rPr>
          <w:rFonts w:cs="Calibri"/>
          <w:bCs/>
        </w:rPr>
      </w:pPr>
      <w:r w:rsidRPr="001C1E47">
        <w:rPr>
          <w:rFonts w:cs="Calibri"/>
          <w:bCs/>
        </w:rPr>
        <w:t>OSHA has established a two-year cycle for the FAME process.  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09C16B9" w14:textId="62BEE527" w:rsidR="005504BC" w:rsidRPr="001C1E47" w:rsidRDefault="005504BC" w:rsidP="008626CE">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p>
    <w:p w14:paraId="4054753A" w14:textId="4AB2C43B"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OSHA Annual Report </w:t>
      </w:r>
    </w:p>
    <w:p w14:paraId="03220F96" w14:textId="6F853232" w:rsidR="00FF4AE2" w:rsidRPr="001C1E47"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618B8944" w14:textId="3534B9D0" w:rsidR="0061177B" w:rsidRPr="005301E7" w:rsidRDefault="00FF4AE2" w:rsidP="00783189">
      <w:pPr>
        <w:pStyle w:val="ListParagraph"/>
        <w:numPr>
          <w:ilvl w:val="0"/>
          <w:numId w:val="7"/>
        </w:numPr>
        <w:spacing w:after="0" w:line="240" w:lineRule="auto"/>
        <w:rPr>
          <w:bCs/>
        </w:rPr>
      </w:pPr>
      <w:r w:rsidRPr="001C1E47">
        <w:rPr>
          <w:bCs/>
          <w:sz w:val="24"/>
          <w:szCs w:val="24"/>
        </w:rPr>
        <w:t>Quarterly monitoring meetings between OSHA and the State Plan</w:t>
      </w:r>
    </w:p>
    <w:p w14:paraId="7EA0158E" w14:textId="77777777" w:rsidR="001E2FBB" w:rsidRPr="001C1E47" w:rsidRDefault="001E2FBB" w:rsidP="00783189">
      <w:pPr>
        <w:widowControl/>
        <w:autoSpaceDE/>
        <w:autoSpaceDN/>
        <w:adjustRightInd/>
        <w:rPr>
          <w:rFonts w:cs="Calibri"/>
          <w:bCs/>
          <w:i/>
        </w:rPr>
      </w:pPr>
    </w:p>
    <w:p w14:paraId="5E67DDEC" w14:textId="77777777" w:rsidR="000A134A" w:rsidRPr="001C1E47" w:rsidRDefault="000A134A" w:rsidP="0061362E">
      <w:pPr>
        <w:pStyle w:val="Heading3"/>
      </w:pPr>
      <w:bookmarkStart w:id="15" w:name="_Toc118900174"/>
      <w:bookmarkStart w:id="16" w:name="_Toc118905013"/>
      <w:bookmarkStart w:id="17" w:name="_Toc119418667"/>
      <w:r w:rsidRPr="001C1E47">
        <w:t>Findings and Observations</w:t>
      </w:r>
      <w:bookmarkEnd w:id="15"/>
      <w:bookmarkEnd w:id="16"/>
      <w:bookmarkEnd w:id="17"/>
    </w:p>
    <w:p w14:paraId="5A952A6F" w14:textId="77777777" w:rsidR="001E2FBB" w:rsidRPr="001C1E47" w:rsidRDefault="001E2FBB" w:rsidP="00783189">
      <w:pPr>
        <w:widowControl/>
        <w:autoSpaceDE/>
        <w:autoSpaceDN/>
        <w:adjustRightInd/>
        <w:jc w:val="center"/>
        <w:rPr>
          <w:rFonts w:cs="Calibri"/>
          <w:i/>
          <w:highlight w:val="cyan"/>
        </w:rPr>
      </w:pPr>
    </w:p>
    <w:p w14:paraId="2789CCA0" w14:textId="77777777" w:rsidR="00E71FB7" w:rsidRDefault="00E71FB7" w:rsidP="00E44D46">
      <w:pPr>
        <w:pStyle w:val="Heading4"/>
      </w:pPr>
      <w:bookmarkStart w:id="18" w:name="_Toc118900175"/>
      <w:bookmarkStart w:id="19" w:name="_Toc118905014"/>
      <w:r w:rsidRPr="001C1E47">
        <w:t>Findings</w:t>
      </w:r>
      <w:r w:rsidR="00443054" w:rsidRPr="001C1E47">
        <w:t xml:space="preserve"> (Status of Previous and New Items)</w:t>
      </w:r>
      <w:bookmarkEnd w:id="18"/>
      <w:bookmarkEnd w:id="19"/>
    </w:p>
    <w:p w14:paraId="3A9018DF" w14:textId="77777777" w:rsidR="00EE41D2" w:rsidRDefault="00EE41D2" w:rsidP="00EE41D2">
      <w:pPr>
        <w:rPr>
          <w:highlight w:val="yellow"/>
        </w:rPr>
      </w:pPr>
    </w:p>
    <w:p w14:paraId="1C2BBD2C" w14:textId="604C5F1C" w:rsidR="00EE41D2" w:rsidRPr="00315339" w:rsidRDefault="00B535D2" w:rsidP="00EE41D2">
      <w:r>
        <w:t>T</w:t>
      </w:r>
      <w:r w:rsidR="00EE41D2" w:rsidRPr="00315339">
        <w:t xml:space="preserve">here </w:t>
      </w:r>
      <w:r w:rsidR="00752990">
        <w:t xml:space="preserve">are no new or continued findings in this report. </w:t>
      </w:r>
    </w:p>
    <w:p w14:paraId="6C7BE9F8" w14:textId="77777777" w:rsidR="00E71FB7" w:rsidRPr="00ED3927" w:rsidRDefault="00E71FB7" w:rsidP="00783189">
      <w:pPr>
        <w:widowControl/>
        <w:autoSpaceDE/>
        <w:autoSpaceDN/>
        <w:adjustRightInd/>
        <w:rPr>
          <w:rFonts w:cs="Calibri"/>
          <w:color w:val="000000" w:themeColor="text1"/>
          <w:highlight w:val="yellow"/>
          <w:u w:val="single"/>
        </w:rPr>
      </w:pPr>
    </w:p>
    <w:p w14:paraId="49B482D8" w14:textId="640F09CF" w:rsidR="00443054" w:rsidRDefault="00443054" w:rsidP="00E44D46">
      <w:pPr>
        <w:pStyle w:val="Heading4"/>
      </w:pPr>
      <w:bookmarkStart w:id="20" w:name="_Toc118900176"/>
      <w:bookmarkStart w:id="21" w:name="_Toc118905015"/>
      <w:r w:rsidRPr="001C1E47">
        <w:t>Observati</w:t>
      </w:r>
      <w:bookmarkEnd w:id="20"/>
      <w:bookmarkEnd w:id="21"/>
      <w:r w:rsidR="00BD53B9">
        <w:t>ons</w:t>
      </w:r>
    </w:p>
    <w:p w14:paraId="5991D309" w14:textId="77777777" w:rsidR="005A0C35" w:rsidRDefault="005A0C35" w:rsidP="005A0C35">
      <w:pPr>
        <w:widowControl/>
        <w:autoSpaceDE/>
        <w:autoSpaceDN/>
        <w:adjustRightInd/>
      </w:pPr>
    </w:p>
    <w:p w14:paraId="348FD736" w14:textId="7F3CACD6" w:rsidR="005A0C35" w:rsidRPr="00ED3927" w:rsidRDefault="00B535D2" w:rsidP="005A0C35">
      <w:pPr>
        <w:widowControl/>
        <w:autoSpaceDE/>
        <w:autoSpaceDN/>
        <w:adjustRightInd/>
        <w:rPr>
          <w:rFonts w:cs="Calibri"/>
          <w:color w:val="000000" w:themeColor="text1"/>
        </w:rPr>
      </w:pPr>
      <w:r>
        <w:rPr>
          <w:rFonts w:cs="Calibri"/>
          <w:color w:val="000000" w:themeColor="text1"/>
        </w:rPr>
        <w:t xml:space="preserve">There are no new observations in this report.  </w:t>
      </w:r>
      <w:r w:rsidR="005A0C35" w:rsidRPr="00ED3927">
        <w:rPr>
          <w:rFonts w:cs="Calibri"/>
          <w:color w:val="000000" w:themeColor="text1"/>
        </w:rPr>
        <w:t>Appendix B describes the three observations subject to continued monitoring and the related federal monitoring plan</w:t>
      </w:r>
      <w:r w:rsidR="006F31CF">
        <w:rPr>
          <w:rFonts w:cs="Calibri"/>
          <w:color w:val="000000" w:themeColor="text1"/>
        </w:rPr>
        <w:t>s</w:t>
      </w:r>
      <w:r w:rsidR="005A0C35" w:rsidRPr="00ED3927">
        <w:rPr>
          <w:rFonts w:cs="Calibri"/>
          <w:color w:val="000000" w:themeColor="text1"/>
        </w:rPr>
        <w:t xml:space="preserve">.  </w:t>
      </w:r>
    </w:p>
    <w:p w14:paraId="0A8D8F9E" w14:textId="77777777" w:rsidR="005A0C35" w:rsidRDefault="005A0C35" w:rsidP="005A0C35"/>
    <w:p w14:paraId="44207A22" w14:textId="77777777" w:rsidR="00D87230" w:rsidRDefault="00D87230" w:rsidP="005A0C35"/>
    <w:p w14:paraId="1A898148" w14:textId="77777777" w:rsidR="00D87230" w:rsidRDefault="00D87230" w:rsidP="005A0C35"/>
    <w:p w14:paraId="0BB624C4" w14:textId="77777777" w:rsidR="00D87230" w:rsidRPr="005A0C35" w:rsidRDefault="00D87230" w:rsidP="005A0C35"/>
    <w:p w14:paraId="370CCAAD" w14:textId="702871AA" w:rsidR="00602EF3" w:rsidRPr="0061362E" w:rsidRDefault="004E505A" w:rsidP="00783189">
      <w:pPr>
        <w:widowControl/>
        <w:autoSpaceDE/>
        <w:autoSpaceDN/>
        <w:adjustRightInd/>
        <w:rPr>
          <w:rFonts w:cs="Calibri"/>
          <w:b/>
        </w:rPr>
      </w:pPr>
      <w:r w:rsidRPr="005A0C35">
        <w:rPr>
          <w:rFonts w:cs="Calibri"/>
          <w:b/>
          <w:color w:val="000000" w:themeColor="text1"/>
        </w:rPr>
        <w:lastRenderedPageBreak/>
        <w:t xml:space="preserve">Continued </w:t>
      </w:r>
      <w:r w:rsidR="00054416" w:rsidRPr="005A0C35">
        <w:rPr>
          <w:rFonts w:cs="Calibri"/>
          <w:b/>
          <w:color w:val="000000" w:themeColor="text1"/>
        </w:rPr>
        <w:t xml:space="preserve">FY </w:t>
      </w:r>
      <w:r w:rsidR="007C0A36" w:rsidRPr="005A0C35">
        <w:rPr>
          <w:rFonts w:cs="Calibri"/>
          <w:b/>
          <w:color w:val="000000" w:themeColor="text1"/>
        </w:rPr>
        <w:t>20</w:t>
      </w:r>
      <w:r w:rsidR="002D407E" w:rsidRPr="005A0C35">
        <w:rPr>
          <w:rFonts w:cs="Calibri"/>
          <w:b/>
          <w:color w:val="000000" w:themeColor="text1"/>
        </w:rPr>
        <w:t>2</w:t>
      </w:r>
      <w:r w:rsidR="00F865CE">
        <w:rPr>
          <w:rFonts w:cs="Calibri"/>
          <w:b/>
          <w:color w:val="000000" w:themeColor="text1"/>
        </w:rPr>
        <w:t>3</w:t>
      </w:r>
      <w:r w:rsidR="007C0A36" w:rsidRPr="005A0C35">
        <w:rPr>
          <w:rFonts w:cs="Calibri"/>
          <w:b/>
          <w:color w:val="000000" w:themeColor="text1"/>
        </w:rPr>
        <w:t xml:space="preserve"> </w:t>
      </w:r>
      <w:r w:rsidR="00443054" w:rsidRPr="005A0C35">
        <w:rPr>
          <w:rFonts w:cs="Calibri"/>
          <w:b/>
          <w:color w:val="000000" w:themeColor="text1"/>
        </w:rPr>
        <w:t>Observation</w:t>
      </w:r>
      <w:r w:rsidR="0061362E" w:rsidRPr="005A0C35">
        <w:rPr>
          <w:rFonts w:cs="Calibri"/>
          <w:b/>
          <w:color w:val="000000" w:themeColor="text1"/>
        </w:rPr>
        <w:t>s</w:t>
      </w:r>
    </w:p>
    <w:p w14:paraId="00C81835" w14:textId="77777777" w:rsidR="00602EF3" w:rsidRPr="001C1E47" w:rsidRDefault="00602EF3" w:rsidP="00783189">
      <w:pPr>
        <w:widowControl/>
        <w:autoSpaceDE/>
        <w:autoSpaceDN/>
        <w:adjustRightInd/>
        <w:rPr>
          <w:rFonts w:cs="Calibri"/>
          <w:b/>
          <w:bCs/>
          <w:highlight w:val="yellow"/>
        </w:rPr>
      </w:pPr>
    </w:p>
    <w:p w14:paraId="7BD1095F" w14:textId="5B9963D8" w:rsidR="00EA4B05" w:rsidRPr="005A0C35" w:rsidRDefault="00EA4B05" w:rsidP="00783189">
      <w:pPr>
        <w:widowControl/>
        <w:tabs>
          <w:tab w:val="left" w:pos="1890"/>
          <w:tab w:val="left" w:pos="2430"/>
        </w:tabs>
        <w:autoSpaceDE/>
        <w:autoSpaceDN/>
        <w:adjustRightInd/>
        <w:contextualSpacing/>
        <w:rPr>
          <w:rFonts w:cs="Calibri"/>
          <w:b/>
          <w:color w:val="000000" w:themeColor="text1"/>
        </w:rPr>
      </w:pPr>
      <w:bookmarkStart w:id="22" w:name="_Hlk187651690"/>
      <w:r w:rsidRPr="005A0C35">
        <w:rPr>
          <w:rFonts w:cs="Calibri"/>
          <w:b/>
          <w:color w:val="000000" w:themeColor="text1"/>
        </w:rPr>
        <w:t>Observation FY 20</w:t>
      </w:r>
      <w:r w:rsidR="00FC55EF" w:rsidRPr="005A0C35">
        <w:rPr>
          <w:rFonts w:cs="Calibri"/>
          <w:b/>
          <w:color w:val="000000" w:themeColor="text1"/>
        </w:rPr>
        <w:t>24</w:t>
      </w:r>
      <w:r w:rsidRPr="005A0C35">
        <w:rPr>
          <w:rFonts w:cs="Calibri"/>
          <w:b/>
          <w:color w:val="000000" w:themeColor="text1"/>
        </w:rPr>
        <w:t>-01</w:t>
      </w:r>
      <w:r w:rsidR="00FC55EF" w:rsidRPr="005A0C35">
        <w:rPr>
          <w:rFonts w:cs="Calibri"/>
          <w:b/>
          <w:color w:val="000000" w:themeColor="text1"/>
        </w:rPr>
        <w:t xml:space="preserve"> (formerly Observation FY 2023-OB-01)</w:t>
      </w:r>
      <w:r w:rsidRPr="005A0C35">
        <w:rPr>
          <w:rFonts w:cs="Calibri"/>
          <w:b/>
          <w:color w:val="000000" w:themeColor="text1"/>
        </w:rPr>
        <w:t xml:space="preserve">: </w:t>
      </w:r>
      <w:r w:rsidR="00FC55EF" w:rsidRPr="005A0C35">
        <w:rPr>
          <w:rFonts w:asciiTheme="minorHAnsi" w:hAnsiTheme="minorHAnsi" w:cstheme="minorHAnsi"/>
          <w:iCs/>
          <w:color w:val="000000" w:themeColor="text1"/>
        </w:rPr>
        <w:t xml:space="preserve">In FY 2023, in 12 of 17 </w:t>
      </w:r>
      <w:r w:rsidR="00301723">
        <w:rPr>
          <w:rFonts w:asciiTheme="minorHAnsi" w:hAnsiTheme="minorHAnsi" w:cstheme="minorHAnsi"/>
          <w:iCs/>
          <w:color w:val="000000" w:themeColor="text1"/>
        </w:rPr>
        <w:t>(71</w:t>
      </w:r>
      <w:r w:rsidR="006F4F09">
        <w:rPr>
          <w:rFonts w:asciiTheme="minorHAnsi" w:hAnsiTheme="minorHAnsi" w:cstheme="minorHAnsi"/>
          <w:iCs/>
          <w:color w:val="000000" w:themeColor="text1"/>
        </w:rPr>
        <w:t xml:space="preserve"> percent</w:t>
      </w:r>
      <w:r w:rsidR="00301723">
        <w:rPr>
          <w:rFonts w:asciiTheme="minorHAnsi" w:hAnsiTheme="minorHAnsi" w:cstheme="minorHAnsi"/>
          <w:iCs/>
          <w:color w:val="000000" w:themeColor="text1"/>
        </w:rPr>
        <w:t xml:space="preserve">) </w:t>
      </w:r>
      <w:r w:rsidR="00FC55EF" w:rsidRPr="005A0C35">
        <w:rPr>
          <w:rFonts w:asciiTheme="minorHAnsi" w:hAnsiTheme="minorHAnsi" w:cstheme="minorHAnsi"/>
          <w:iCs/>
          <w:color w:val="000000" w:themeColor="text1"/>
        </w:rPr>
        <w:t>case files that had violations cited, the violation worksheet was not included in the case file or did not adequately describe all relevant facts pertaining to the violation, as required in the MA FOM, Chapter 5.</w:t>
      </w:r>
    </w:p>
    <w:p w14:paraId="1D6189A9" w14:textId="77777777" w:rsidR="00EA4B05" w:rsidRPr="005A0C35" w:rsidRDefault="00EA4B05" w:rsidP="00783189">
      <w:pPr>
        <w:widowControl/>
        <w:tabs>
          <w:tab w:val="left" w:pos="1890"/>
          <w:tab w:val="left" w:pos="2430"/>
        </w:tabs>
        <w:autoSpaceDE/>
        <w:autoSpaceDN/>
        <w:adjustRightInd/>
        <w:contextualSpacing/>
        <w:rPr>
          <w:rFonts w:cs="Calibri"/>
          <w:b/>
          <w:color w:val="000000" w:themeColor="text1"/>
          <w:highlight w:val="yellow"/>
          <w:u w:val="single"/>
        </w:rPr>
      </w:pPr>
    </w:p>
    <w:p w14:paraId="41EACD85" w14:textId="5D620534" w:rsidR="00EA4B05" w:rsidRPr="005A0C35" w:rsidRDefault="00EA4B05" w:rsidP="00783189">
      <w:pPr>
        <w:widowControl/>
        <w:autoSpaceDE/>
        <w:autoSpaceDN/>
        <w:adjustRightInd/>
        <w:rPr>
          <w:rFonts w:cs="Calibri"/>
          <w:color w:val="000000" w:themeColor="text1"/>
        </w:rPr>
      </w:pPr>
      <w:r w:rsidRPr="005A0C35">
        <w:rPr>
          <w:rFonts w:cs="Calibri"/>
          <w:b/>
          <w:color w:val="000000" w:themeColor="text1"/>
        </w:rPr>
        <w:t xml:space="preserve">Status:  </w:t>
      </w:r>
      <w:r w:rsidRPr="005A0C35">
        <w:rPr>
          <w:rFonts w:cs="Calibri"/>
          <w:color w:val="000000" w:themeColor="text1"/>
        </w:rPr>
        <w:t xml:space="preserve">A case file review is necessary to gather the facts needed to evaluate performance in relation to this observation. </w:t>
      </w:r>
      <w:r w:rsidR="00A84AD2">
        <w:rPr>
          <w:rFonts w:cs="Calibri"/>
          <w:color w:val="000000" w:themeColor="text1"/>
        </w:rPr>
        <w:t xml:space="preserve"> </w:t>
      </w:r>
      <w:r w:rsidRPr="005A0C35">
        <w:rPr>
          <w:rFonts w:cs="Calibri"/>
          <w:color w:val="000000" w:themeColor="text1"/>
        </w:rPr>
        <w:t>This observation will be a focus of next year’s on</w:t>
      </w:r>
      <w:r w:rsidR="00976E27" w:rsidRPr="005A0C35">
        <w:rPr>
          <w:rFonts w:cs="Calibri"/>
          <w:color w:val="000000" w:themeColor="text1"/>
        </w:rPr>
        <w:t>-</w:t>
      </w:r>
      <w:r w:rsidRPr="005A0C35">
        <w:rPr>
          <w:rFonts w:cs="Calibri"/>
          <w:color w:val="000000" w:themeColor="text1"/>
        </w:rPr>
        <w:t>site case file review during the FY 20</w:t>
      </w:r>
      <w:r w:rsidR="00FC55EF" w:rsidRPr="005A0C35">
        <w:rPr>
          <w:rFonts w:cs="Calibri"/>
          <w:color w:val="000000" w:themeColor="text1"/>
        </w:rPr>
        <w:t>25</w:t>
      </w:r>
      <w:r w:rsidRPr="005A0C35">
        <w:rPr>
          <w:rFonts w:cs="Calibri"/>
          <w:color w:val="000000" w:themeColor="text1"/>
        </w:rPr>
        <w:t xml:space="preserve"> </w:t>
      </w:r>
      <w:r w:rsidR="00D41B13" w:rsidRPr="005A0C35">
        <w:rPr>
          <w:rFonts w:cs="Calibri"/>
          <w:color w:val="000000" w:themeColor="text1"/>
        </w:rPr>
        <w:t>c</w:t>
      </w:r>
      <w:r w:rsidRPr="005A0C35">
        <w:rPr>
          <w:rFonts w:cs="Calibri"/>
          <w:color w:val="000000" w:themeColor="text1"/>
        </w:rPr>
        <w:t>omprehensive FAME</w:t>
      </w:r>
      <w:r w:rsidR="007D3ABC">
        <w:rPr>
          <w:rFonts w:cs="Calibri"/>
          <w:color w:val="000000" w:themeColor="text1"/>
        </w:rPr>
        <w:t xml:space="preserve"> and</w:t>
      </w:r>
      <w:r w:rsidR="00BD53B9">
        <w:rPr>
          <w:rFonts w:cs="Calibri"/>
          <w:color w:val="000000" w:themeColor="text1"/>
        </w:rPr>
        <w:t xml:space="preserve"> </w:t>
      </w:r>
      <w:r w:rsidRPr="005A0C35">
        <w:rPr>
          <w:rFonts w:cs="Calibri"/>
          <w:color w:val="000000" w:themeColor="text1"/>
        </w:rPr>
        <w:t>will be continued.</w:t>
      </w:r>
    </w:p>
    <w:bookmarkEnd w:id="22"/>
    <w:p w14:paraId="6F1CDA90" w14:textId="77777777" w:rsidR="009505E7" w:rsidRPr="001C1E47" w:rsidRDefault="009505E7" w:rsidP="00783189">
      <w:pPr>
        <w:widowControl/>
        <w:autoSpaceDE/>
        <w:autoSpaceDN/>
        <w:adjustRightInd/>
        <w:rPr>
          <w:rFonts w:cs="Calibri"/>
          <w:b/>
        </w:rPr>
      </w:pPr>
    </w:p>
    <w:p w14:paraId="70E738AA" w14:textId="688190C1" w:rsidR="009505E7" w:rsidRPr="005A0C35" w:rsidRDefault="009505E7" w:rsidP="009505E7">
      <w:pPr>
        <w:widowControl/>
        <w:tabs>
          <w:tab w:val="left" w:pos="1890"/>
          <w:tab w:val="left" w:pos="2430"/>
        </w:tabs>
        <w:autoSpaceDE/>
        <w:autoSpaceDN/>
        <w:adjustRightInd/>
        <w:contextualSpacing/>
        <w:rPr>
          <w:rFonts w:cs="Calibri"/>
          <w:b/>
          <w:color w:val="000000" w:themeColor="text1"/>
        </w:rPr>
      </w:pPr>
      <w:r w:rsidRPr="005A0C35">
        <w:rPr>
          <w:rFonts w:cs="Calibri"/>
          <w:b/>
          <w:color w:val="000000" w:themeColor="text1"/>
        </w:rPr>
        <w:t xml:space="preserve">Observation FY 2024-02 (formerly Observation FY 2023-OB-02): </w:t>
      </w:r>
      <w:r w:rsidR="00E33EF7" w:rsidRPr="005A0C35">
        <w:rPr>
          <w:rFonts w:cs="Calibri"/>
          <w:bCs/>
          <w:iCs/>
          <w:color w:val="000000" w:themeColor="text1"/>
        </w:rPr>
        <w:t xml:space="preserve">In FY 2023, in 14 of 23 </w:t>
      </w:r>
      <w:r w:rsidR="00301723">
        <w:rPr>
          <w:rFonts w:cs="Calibri"/>
          <w:bCs/>
          <w:iCs/>
          <w:color w:val="000000" w:themeColor="text1"/>
        </w:rPr>
        <w:t>(61</w:t>
      </w:r>
      <w:r w:rsidR="006F4F09">
        <w:rPr>
          <w:rFonts w:cs="Calibri"/>
          <w:bCs/>
          <w:iCs/>
          <w:color w:val="000000" w:themeColor="text1"/>
        </w:rPr>
        <w:t xml:space="preserve"> percent</w:t>
      </w:r>
      <w:r w:rsidR="00301723">
        <w:rPr>
          <w:rFonts w:cs="Calibri"/>
          <w:bCs/>
          <w:iCs/>
          <w:color w:val="000000" w:themeColor="text1"/>
        </w:rPr>
        <w:t xml:space="preserve">) </w:t>
      </w:r>
      <w:r w:rsidR="00E33EF7" w:rsidRPr="005A0C35">
        <w:rPr>
          <w:rFonts w:cs="Calibri"/>
          <w:bCs/>
          <w:iCs/>
          <w:color w:val="000000" w:themeColor="text1"/>
        </w:rPr>
        <w:t>inspection case files, WSHP did not properly document worker interviews, as required in Chapters 3, 4, and 5 of the MA FOM.</w:t>
      </w:r>
    </w:p>
    <w:p w14:paraId="7175CB5D" w14:textId="77777777" w:rsidR="009505E7" w:rsidRPr="005A0C35" w:rsidRDefault="009505E7" w:rsidP="009505E7">
      <w:pPr>
        <w:widowControl/>
        <w:tabs>
          <w:tab w:val="left" w:pos="1890"/>
          <w:tab w:val="left" w:pos="2430"/>
        </w:tabs>
        <w:autoSpaceDE/>
        <w:autoSpaceDN/>
        <w:adjustRightInd/>
        <w:contextualSpacing/>
        <w:rPr>
          <w:rFonts w:cs="Calibri"/>
          <w:b/>
          <w:color w:val="000000" w:themeColor="text1"/>
          <w:highlight w:val="yellow"/>
          <w:u w:val="single"/>
        </w:rPr>
      </w:pPr>
    </w:p>
    <w:p w14:paraId="4F07A77E" w14:textId="3A2EDB5A" w:rsidR="009505E7" w:rsidRPr="005A0C35" w:rsidRDefault="009505E7" w:rsidP="009505E7">
      <w:pPr>
        <w:widowControl/>
        <w:autoSpaceDE/>
        <w:autoSpaceDN/>
        <w:adjustRightInd/>
        <w:rPr>
          <w:rFonts w:cs="Calibri"/>
          <w:color w:val="000000" w:themeColor="text1"/>
        </w:rPr>
      </w:pPr>
      <w:r w:rsidRPr="005A0C35">
        <w:rPr>
          <w:rFonts w:cs="Calibri"/>
          <w:b/>
          <w:color w:val="000000" w:themeColor="text1"/>
        </w:rPr>
        <w:t xml:space="preserve">Status:  </w:t>
      </w:r>
      <w:r w:rsidRPr="005A0C35">
        <w:rPr>
          <w:rFonts w:cs="Calibri"/>
          <w:color w:val="000000" w:themeColor="text1"/>
        </w:rPr>
        <w:t xml:space="preserve">A case file review is necessary to gather the facts needed to evaluate performance in relation to this observation. </w:t>
      </w:r>
      <w:r w:rsidR="007D3ABC">
        <w:rPr>
          <w:rFonts w:cs="Calibri"/>
          <w:color w:val="000000" w:themeColor="text1"/>
        </w:rPr>
        <w:t xml:space="preserve"> </w:t>
      </w:r>
      <w:r w:rsidRPr="005A0C35">
        <w:rPr>
          <w:rFonts w:cs="Calibri"/>
          <w:color w:val="000000" w:themeColor="text1"/>
        </w:rPr>
        <w:t>This observation will be a focus of next year’s on-site case file review during the FY 2025 comprehensive FAME</w:t>
      </w:r>
      <w:r w:rsidR="007D3ABC">
        <w:rPr>
          <w:rFonts w:cs="Calibri"/>
          <w:bCs/>
          <w:color w:val="000000" w:themeColor="text1"/>
        </w:rPr>
        <w:t xml:space="preserve"> </w:t>
      </w:r>
      <w:r w:rsidR="00122043">
        <w:rPr>
          <w:rFonts w:cs="Calibri"/>
          <w:color w:val="000000" w:themeColor="text1"/>
        </w:rPr>
        <w:t>and</w:t>
      </w:r>
      <w:r w:rsidRPr="005A0C35">
        <w:rPr>
          <w:rFonts w:cs="Calibri"/>
          <w:color w:val="000000" w:themeColor="text1"/>
        </w:rPr>
        <w:t xml:space="preserve"> will be continued.</w:t>
      </w:r>
    </w:p>
    <w:p w14:paraId="540D3F57" w14:textId="77777777" w:rsidR="00E33EF7" w:rsidRDefault="00E33EF7" w:rsidP="009505E7">
      <w:pPr>
        <w:widowControl/>
        <w:autoSpaceDE/>
        <w:autoSpaceDN/>
        <w:adjustRightInd/>
        <w:rPr>
          <w:rFonts w:cs="Calibri"/>
          <w:color w:val="0070C0"/>
        </w:rPr>
      </w:pPr>
    </w:p>
    <w:p w14:paraId="5A752C78" w14:textId="5B8F6F8A" w:rsidR="00E33EF7" w:rsidRPr="005A0C35" w:rsidRDefault="00E33EF7" w:rsidP="00E33EF7">
      <w:pPr>
        <w:widowControl/>
        <w:tabs>
          <w:tab w:val="left" w:pos="1890"/>
          <w:tab w:val="left" w:pos="2430"/>
        </w:tabs>
        <w:autoSpaceDE/>
        <w:autoSpaceDN/>
        <w:adjustRightInd/>
        <w:contextualSpacing/>
        <w:rPr>
          <w:rFonts w:cs="Calibri"/>
          <w:b/>
          <w:color w:val="000000" w:themeColor="text1"/>
        </w:rPr>
      </w:pPr>
      <w:r w:rsidRPr="005A0C35">
        <w:rPr>
          <w:rFonts w:cs="Calibri"/>
          <w:b/>
          <w:color w:val="000000" w:themeColor="text1"/>
        </w:rPr>
        <w:t xml:space="preserve">Observation FY 2024-03 (formerly Observation FY 2023-OB-03): </w:t>
      </w:r>
      <w:r w:rsidR="002D407E" w:rsidRPr="005A0C35">
        <w:rPr>
          <w:rFonts w:asciiTheme="minorHAnsi" w:hAnsiTheme="minorHAnsi" w:cstheme="minorHAnsi"/>
          <w:iCs/>
          <w:color w:val="000000" w:themeColor="text1"/>
        </w:rPr>
        <w:t>In FY 2023, union participation in the inspection was not sufficiently documented in 11 (52 percent) of 21 case files, as required by the MA FOM, Chapter 5.</w:t>
      </w:r>
    </w:p>
    <w:p w14:paraId="5C37D015" w14:textId="77777777" w:rsidR="00E33EF7" w:rsidRPr="005A0C35" w:rsidRDefault="00E33EF7" w:rsidP="00E33EF7">
      <w:pPr>
        <w:widowControl/>
        <w:tabs>
          <w:tab w:val="left" w:pos="1890"/>
          <w:tab w:val="left" w:pos="2430"/>
        </w:tabs>
        <w:autoSpaceDE/>
        <w:autoSpaceDN/>
        <w:adjustRightInd/>
        <w:contextualSpacing/>
        <w:rPr>
          <w:rFonts w:cs="Calibri"/>
          <w:b/>
          <w:color w:val="000000" w:themeColor="text1"/>
          <w:highlight w:val="yellow"/>
          <w:u w:val="single"/>
        </w:rPr>
      </w:pPr>
    </w:p>
    <w:p w14:paraId="6436A352" w14:textId="2FF467BD" w:rsidR="00E33EF7" w:rsidRPr="005A0C35" w:rsidRDefault="00E33EF7" w:rsidP="00E33EF7">
      <w:pPr>
        <w:widowControl/>
        <w:autoSpaceDE/>
        <w:autoSpaceDN/>
        <w:adjustRightInd/>
        <w:rPr>
          <w:rFonts w:cs="Calibri"/>
          <w:color w:val="000000" w:themeColor="text1"/>
        </w:rPr>
      </w:pPr>
      <w:r w:rsidRPr="005A0C35">
        <w:rPr>
          <w:rFonts w:cs="Calibri"/>
          <w:b/>
          <w:color w:val="000000" w:themeColor="text1"/>
        </w:rPr>
        <w:t xml:space="preserve">Status:  </w:t>
      </w:r>
      <w:r w:rsidRPr="005A0C35">
        <w:rPr>
          <w:rFonts w:cs="Calibri"/>
          <w:color w:val="000000" w:themeColor="text1"/>
        </w:rPr>
        <w:t xml:space="preserve">A case file review is necessary to gather the facts needed to evaluate performance in relation to this observation. </w:t>
      </w:r>
      <w:r w:rsidR="00122043">
        <w:rPr>
          <w:rFonts w:cs="Calibri"/>
          <w:color w:val="000000" w:themeColor="text1"/>
        </w:rPr>
        <w:t xml:space="preserve"> </w:t>
      </w:r>
      <w:r w:rsidRPr="005A0C35">
        <w:rPr>
          <w:rFonts w:cs="Calibri"/>
          <w:color w:val="000000" w:themeColor="text1"/>
        </w:rPr>
        <w:t>This observation will be a focus of next year’s on-site case file review during the FY 2025 comprehensive FAME</w:t>
      </w:r>
      <w:r w:rsidR="00BD53B9">
        <w:rPr>
          <w:rFonts w:cs="Calibri"/>
          <w:color w:val="000000" w:themeColor="text1"/>
        </w:rPr>
        <w:t xml:space="preserve"> </w:t>
      </w:r>
      <w:r w:rsidR="00122043">
        <w:rPr>
          <w:rFonts w:cs="Calibri"/>
          <w:color w:val="000000" w:themeColor="text1"/>
        </w:rPr>
        <w:t>and</w:t>
      </w:r>
      <w:r w:rsidRPr="005A0C35">
        <w:rPr>
          <w:rFonts w:cs="Calibri"/>
          <w:color w:val="000000" w:themeColor="text1"/>
        </w:rPr>
        <w:t xml:space="preserve"> will be continued.</w:t>
      </w:r>
    </w:p>
    <w:p w14:paraId="1F247DFF" w14:textId="77777777" w:rsidR="00E33EF7" w:rsidRPr="001C1E47" w:rsidRDefault="00E33EF7" w:rsidP="00E33EF7">
      <w:pPr>
        <w:widowControl/>
        <w:autoSpaceDE/>
        <w:autoSpaceDN/>
        <w:adjustRightInd/>
        <w:rPr>
          <w:rFonts w:cs="Calibri"/>
          <w:b/>
          <w:highlight w:val="yellow"/>
          <w:u w:val="single"/>
        </w:rPr>
      </w:pPr>
    </w:p>
    <w:p w14:paraId="67DB38D6" w14:textId="77777777" w:rsidR="00EA4B05" w:rsidRPr="001C1E47" w:rsidRDefault="00EA4B05" w:rsidP="00783189">
      <w:pPr>
        <w:widowControl/>
        <w:autoSpaceDE/>
        <w:autoSpaceDN/>
        <w:adjustRightInd/>
        <w:rPr>
          <w:rFonts w:cs="Calibri"/>
          <w:b/>
          <w:highlight w:val="yellow"/>
          <w:u w:val="single"/>
        </w:rPr>
      </w:pPr>
    </w:p>
    <w:p w14:paraId="3B828F9D" w14:textId="31C016C6" w:rsidR="00F132A8" w:rsidRPr="0061362E" w:rsidRDefault="00F132A8" w:rsidP="0061362E">
      <w:pPr>
        <w:pStyle w:val="Heading3"/>
      </w:pPr>
      <w:bookmarkStart w:id="23" w:name="_Toc118900177"/>
      <w:bookmarkStart w:id="24" w:name="_Toc118905016"/>
      <w:bookmarkStart w:id="25" w:name="_Toc119418668"/>
      <w:r w:rsidRPr="0061362E">
        <w:t xml:space="preserve">State Activity Mandated Measures </w:t>
      </w:r>
      <w:r w:rsidR="00A243D6" w:rsidRPr="0061362E">
        <w:t>Highlights</w:t>
      </w:r>
      <w:bookmarkEnd w:id="23"/>
      <w:bookmarkEnd w:id="24"/>
      <w:bookmarkEnd w:id="25"/>
    </w:p>
    <w:p w14:paraId="1ACC4DE2" w14:textId="77777777" w:rsidR="00F132A8" w:rsidRPr="001C1E47" w:rsidRDefault="00F132A8" w:rsidP="00783189">
      <w:pPr>
        <w:widowControl/>
        <w:autoSpaceDE/>
        <w:autoSpaceDN/>
        <w:adjustRightInd/>
        <w:ind w:left="720"/>
        <w:contextualSpacing/>
        <w:rPr>
          <w:rFonts w:cs="Calibri"/>
          <w:sz w:val="28"/>
          <w:szCs w:val="28"/>
        </w:rPr>
      </w:pPr>
    </w:p>
    <w:p w14:paraId="502774D6" w14:textId="2362D18F" w:rsidR="002966F6" w:rsidRDefault="00EC7600" w:rsidP="002966F6">
      <w:pPr>
        <w:widowControl/>
        <w:autoSpaceDE/>
        <w:adjustRightInd/>
        <w:rPr>
          <w:rFonts w:cs="Calibri"/>
        </w:rPr>
      </w:pPr>
      <w:r w:rsidRPr="001C1E47">
        <w:rPr>
          <w:rFonts w:cs="Calibri"/>
        </w:rPr>
        <w:t xml:space="preserve">Each SAMM has an agreed upon </w:t>
      </w:r>
      <w:r w:rsidR="00D7654E" w:rsidRPr="001C1E47">
        <w:rPr>
          <w:rFonts w:cs="Calibri"/>
        </w:rPr>
        <w:t>FRL</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5A0C35">
        <w:rPr>
          <w:rFonts w:cs="Calibri"/>
        </w:rPr>
        <w:t>24</w:t>
      </w:r>
      <w:r w:rsidR="005D1F76" w:rsidRPr="001C1E47">
        <w:rPr>
          <w:rFonts w:cs="Calibri"/>
        </w:rPr>
        <w:t xml:space="preserve"> </w:t>
      </w:r>
      <w:r w:rsidR="005A0C35">
        <w:rPr>
          <w:rFonts w:cs="Calibri"/>
        </w:rPr>
        <w:t xml:space="preserve">SAMM </w:t>
      </w:r>
      <w:r w:rsidR="005D1F76" w:rsidRPr="001C1E47">
        <w:rPr>
          <w:rFonts w:cs="Calibri"/>
        </w:rPr>
        <w:t xml:space="preserve">Report and includes the FRL for each measure. </w:t>
      </w:r>
    </w:p>
    <w:p w14:paraId="44A3AB01" w14:textId="77777777" w:rsidR="002966F6" w:rsidRDefault="002966F6" w:rsidP="00783189">
      <w:pPr>
        <w:widowControl/>
        <w:autoSpaceDE/>
        <w:adjustRightInd/>
        <w:rPr>
          <w:rFonts w:cs="Calibri"/>
        </w:rPr>
      </w:pPr>
    </w:p>
    <w:p w14:paraId="75AF2501" w14:textId="29D5613D" w:rsidR="00EC7600" w:rsidRPr="001C1E47" w:rsidRDefault="00EC7600" w:rsidP="00783189">
      <w:pPr>
        <w:widowControl/>
        <w:autoSpaceDE/>
        <w:adjustRightInd/>
        <w:rPr>
          <w:rFonts w:cs="Calibri"/>
        </w:rPr>
      </w:pPr>
      <w:r w:rsidRPr="001C1E47">
        <w:rPr>
          <w:rFonts w:cs="Calibri"/>
        </w:rPr>
        <w:t>The State Plan was outside the FRL on the following SAMMs:</w:t>
      </w:r>
    </w:p>
    <w:p w14:paraId="5B2B946B" w14:textId="77777777" w:rsidR="00A02B33" w:rsidRPr="001C1E47" w:rsidRDefault="00A02B33" w:rsidP="00783189">
      <w:pPr>
        <w:widowControl/>
        <w:autoSpaceDE/>
        <w:adjustRightInd/>
        <w:rPr>
          <w:rFonts w:cs="Calibri"/>
          <w:b/>
          <w:u w:val="single"/>
        </w:rPr>
      </w:pPr>
    </w:p>
    <w:p w14:paraId="0A3FADDF" w14:textId="210E2821" w:rsidR="009E265E" w:rsidRPr="009E265E" w:rsidRDefault="00EC7600" w:rsidP="009E265E">
      <w:pPr>
        <w:pStyle w:val="Default"/>
        <w:rPr>
          <w:rFonts w:asciiTheme="minorHAnsi" w:hAnsiTheme="minorHAnsi" w:cstheme="minorHAnsi"/>
          <w:b/>
          <w:bCs/>
        </w:rPr>
      </w:pPr>
      <w:r w:rsidRPr="0058745F">
        <w:rPr>
          <w:rFonts w:asciiTheme="minorHAnsi" w:hAnsiTheme="minorHAnsi" w:cstheme="minorHAnsi"/>
          <w:b/>
          <w:color w:val="000000" w:themeColor="text1"/>
        </w:rPr>
        <w:t xml:space="preserve">SAMM </w:t>
      </w:r>
      <w:r w:rsidR="001D02D6" w:rsidRPr="0058745F">
        <w:rPr>
          <w:rFonts w:asciiTheme="minorHAnsi" w:hAnsiTheme="minorHAnsi" w:cstheme="minorHAnsi"/>
          <w:b/>
          <w:color w:val="000000" w:themeColor="text1"/>
        </w:rPr>
        <w:t>1a</w:t>
      </w:r>
      <w:r w:rsidRPr="0058745F">
        <w:rPr>
          <w:rFonts w:asciiTheme="minorHAnsi" w:hAnsiTheme="minorHAnsi" w:cstheme="minorHAnsi"/>
          <w:b/>
          <w:color w:val="000000" w:themeColor="text1"/>
        </w:rPr>
        <w:t xml:space="preserve"> </w:t>
      </w:r>
      <w:r w:rsidRPr="009E265E">
        <w:rPr>
          <w:rFonts w:asciiTheme="minorHAnsi" w:hAnsiTheme="minorHAnsi" w:cstheme="minorHAnsi"/>
          <w:b/>
          <w:color w:val="0070C0"/>
        </w:rPr>
        <w:t xml:space="preserve">– </w:t>
      </w:r>
      <w:r w:rsidR="009E265E" w:rsidRPr="009E265E">
        <w:rPr>
          <w:rFonts w:asciiTheme="minorHAnsi" w:hAnsiTheme="minorHAnsi" w:cstheme="minorHAnsi"/>
          <w:b/>
          <w:bCs/>
        </w:rPr>
        <w:t>Average number of workdays to initiate complaint inspections (state formula)</w:t>
      </w:r>
    </w:p>
    <w:p w14:paraId="47FDF756" w14:textId="77777777" w:rsidR="009E265E" w:rsidRPr="009E265E" w:rsidRDefault="009E265E" w:rsidP="009E265E">
      <w:pPr>
        <w:pStyle w:val="Default"/>
        <w:rPr>
          <w:rFonts w:asciiTheme="minorHAnsi" w:hAnsiTheme="minorHAnsi" w:cstheme="minorHAnsi"/>
        </w:rPr>
      </w:pPr>
      <w:r w:rsidRPr="009E265E">
        <w:rPr>
          <w:rFonts w:asciiTheme="minorHAnsi" w:hAnsiTheme="minorHAnsi" w:cstheme="minorHAnsi"/>
          <w:b/>
          <w:bCs/>
        </w:rPr>
        <w:t xml:space="preserve"> </w:t>
      </w:r>
    </w:p>
    <w:p w14:paraId="709A112F" w14:textId="57AABDFE" w:rsidR="00BC5CBB" w:rsidRPr="001916B1" w:rsidRDefault="005D1F76" w:rsidP="00BC5CBB">
      <w:pPr>
        <w:pStyle w:val="Default"/>
        <w:rPr>
          <w:rFonts w:ascii="Calibri" w:hAnsi="Calibri" w:cs="Calibri"/>
        </w:rPr>
      </w:pPr>
      <w:r w:rsidRPr="001916B1">
        <w:rPr>
          <w:rFonts w:ascii="Calibri" w:hAnsi="Calibri" w:cs="Calibri"/>
          <w:u w:val="single"/>
        </w:rPr>
        <w:t xml:space="preserve">Discussion of </w:t>
      </w:r>
      <w:r w:rsidR="003F2E2D" w:rsidRPr="001916B1">
        <w:rPr>
          <w:rFonts w:ascii="Calibri" w:hAnsi="Calibri" w:cs="Calibri"/>
          <w:u w:val="single"/>
        </w:rPr>
        <w:t>State</w:t>
      </w:r>
      <w:r w:rsidR="00391D6F" w:rsidRPr="001916B1">
        <w:rPr>
          <w:rFonts w:ascii="Calibri" w:hAnsi="Calibri" w:cs="Calibri"/>
          <w:u w:val="single"/>
        </w:rPr>
        <w:t xml:space="preserve"> Plan </w:t>
      </w:r>
      <w:r w:rsidR="00476C08" w:rsidRPr="001916B1">
        <w:rPr>
          <w:rFonts w:ascii="Calibri" w:hAnsi="Calibri" w:cs="Calibri"/>
          <w:u w:val="single"/>
        </w:rPr>
        <w:t>D</w:t>
      </w:r>
      <w:r w:rsidR="00EC7600" w:rsidRPr="001916B1">
        <w:rPr>
          <w:rFonts w:ascii="Calibri" w:hAnsi="Calibri" w:cs="Calibri"/>
          <w:u w:val="single"/>
        </w:rPr>
        <w:t>ata and FRL</w:t>
      </w:r>
      <w:r w:rsidRPr="00784F95">
        <w:rPr>
          <w:rFonts w:ascii="Calibri" w:hAnsi="Calibri" w:cs="Calibri"/>
        </w:rPr>
        <w:t>:</w:t>
      </w:r>
      <w:r w:rsidR="00EC7600" w:rsidRPr="001916B1">
        <w:rPr>
          <w:rFonts w:ascii="Calibri" w:hAnsi="Calibri" w:cs="Calibri"/>
        </w:rPr>
        <w:t xml:space="preserve"> </w:t>
      </w:r>
      <w:r w:rsidR="00BC5CBB" w:rsidRPr="001916B1">
        <w:rPr>
          <w:rFonts w:ascii="Calibri" w:hAnsi="Calibri" w:cs="Calibri"/>
        </w:rPr>
        <w:t>The negotiated FRL for this measure was five workdays. WSHP’s average in FY 2024 was 6.</w:t>
      </w:r>
      <w:r w:rsidR="001916B1" w:rsidRPr="001916B1">
        <w:rPr>
          <w:rFonts w:ascii="Calibri" w:hAnsi="Calibri" w:cs="Calibri"/>
        </w:rPr>
        <w:t>29</w:t>
      </w:r>
      <w:r w:rsidR="00BC5CBB" w:rsidRPr="001916B1">
        <w:rPr>
          <w:rFonts w:ascii="Calibri" w:hAnsi="Calibri" w:cs="Calibri"/>
        </w:rPr>
        <w:t xml:space="preserve"> workdays, which was </w:t>
      </w:r>
      <w:r w:rsidR="006F4F09">
        <w:rPr>
          <w:rFonts w:ascii="Calibri" w:hAnsi="Calibri" w:cs="Calibri"/>
        </w:rPr>
        <w:t xml:space="preserve">just </w:t>
      </w:r>
      <w:r w:rsidR="00BC5CBB" w:rsidRPr="001916B1">
        <w:rPr>
          <w:rFonts w:ascii="Calibri" w:hAnsi="Calibri" w:cs="Calibri"/>
        </w:rPr>
        <w:t xml:space="preserve">outside (above) the FRL.  </w:t>
      </w:r>
    </w:p>
    <w:p w14:paraId="48B4BACE" w14:textId="61923D72" w:rsidR="00EC7600" w:rsidRPr="001916B1" w:rsidRDefault="00EC7600" w:rsidP="00783189">
      <w:pPr>
        <w:widowControl/>
        <w:autoSpaceDE/>
        <w:adjustRightInd/>
        <w:rPr>
          <w:rFonts w:cs="Calibri"/>
          <w:color w:val="0070C0"/>
        </w:rPr>
      </w:pPr>
    </w:p>
    <w:p w14:paraId="41EFD244" w14:textId="61CF2147" w:rsidR="000A134A" w:rsidRDefault="00EC7600" w:rsidP="007A71AC">
      <w:pPr>
        <w:widowControl/>
        <w:autoSpaceDE/>
        <w:autoSpaceDN/>
        <w:adjustRightInd/>
        <w:rPr>
          <w:rFonts w:asciiTheme="minorHAnsi" w:hAnsiTheme="minorHAnsi" w:cstheme="minorHAnsi"/>
        </w:rPr>
      </w:pPr>
      <w:r w:rsidRPr="001916B1">
        <w:rPr>
          <w:rFonts w:cs="Calibri"/>
          <w:u w:val="single"/>
        </w:rPr>
        <w:lastRenderedPageBreak/>
        <w:t>Explanation</w:t>
      </w:r>
      <w:r w:rsidR="005D1F76" w:rsidRPr="00784F95">
        <w:rPr>
          <w:rFonts w:cs="Calibri"/>
        </w:rPr>
        <w:t>:</w:t>
      </w:r>
      <w:r w:rsidR="001916B1" w:rsidRPr="001916B1">
        <w:rPr>
          <w:rFonts w:cs="Calibri"/>
        </w:rPr>
        <w:t xml:space="preserve"> </w:t>
      </w:r>
      <w:r w:rsidR="00526534" w:rsidRPr="008235B5">
        <w:rPr>
          <w:rFonts w:asciiTheme="minorHAnsi" w:hAnsiTheme="minorHAnsi" w:cstheme="minorHAnsi"/>
        </w:rPr>
        <w:t xml:space="preserve">WSHP’s average for SAMM 1a was </w:t>
      </w:r>
      <w:r w:rsidR="00A1078C">
        <w:rPr>
          <w:rFonts w:asciiTheme="minorHAnsi" w:hAnsiTheme="minorHAnsi" w:cstheme="minorHAnsi"/>
        </w:rPr>
        <w:t xml:space="preserve">above </w:t>
      </w:r>
      <w:r w:rsidR="00526534" w:rsidRPr="008235B5">
        <w:rPr>
          <w:rFonts w:asciiTheme="minorHAnsi" w:hAnsiTheme="minorHAnsi" w:cstheme="minorHAnsi"/>
        </w:rPr>
        <w:t xml:space="preserve">the FRL, but it was not high enough to warrant concern since </w:t>
      </w:r>
      <w:r w:rsidR="00526534">
        <w:rPr>
          <w:rFonts w:asciiTheme="minorHAnsi" w:hAnsiTheme="minorHAnsi" w:cstheme="minorHAnsi"/>
        </w:rPr>
        <w:t xml:space="preserve">WSHP </w:t>
      </w:r>
      <w:r w:rsidR="00461AEB">
        <w:rPr>
          <w:rFonts w:asciiTheme="minorHAnsi" w:hAnsiTheme="minorHAnsi" w:cstheme="minorHAnsi"/>
        </w:rPr>
        <w:t xml:space="preserve">continued </w:t>
      </w:r>
      <w:r w:rsidR="003F1E47">
        <w:rPr>
          <w:rFonts w:asciiTheme="minorHAnsi" w:hAnsiTheme="minorHAnsi" w:cstheme="minorHAnsi"/>
        </w:rPr>
        <w:t xml:space="preserve">to </w:t>
      </w:r>
      <w:r w:rsidR="00526534" w:rsidRPr="008235B5">
        <w:rPr>
          <w:rFonts w:asciiTheme="minorHAnsi" w:hAnsiTheme="minorHAnsi" w:cstheme="minorHAnsi"/>
        </w:rPr>
        <w:t>face</w:t>
      </w:r>
      <w:r w:rsidR="003F1E47">
        <w:rPr>
          <w:rFonts w:asciiTheme="minorHAnsi" w:hAnsiTheme="minorHAnsi" w:cstheme="minorHAnsi"/>
        </w:rPr>
        <w:t xml:space="preserve"> </w:t>
      </w:r>
      <w:r w:rsidR="00526534" w:rsidRPr="008235B5">
        <w:rPr>
          <w:rFonts w:asciiTheme="minorHAnsi" w:hAnsiTheme="minorHAnsi" w:cstheme="minorHAnsi"/>
        </w:rPr>
        <w:t>a learning</w:t>
      </w:r>
      <w:r w:rsidR="00A1078C">
        <w:rPr>
          <w:rFonts w:asciiTheme="minorHAnsi" w:hAnsiTheme="minorHAnsi" w:cstheme="minorHAnsi"/>
        </w:rPr>
        <w:t xml:space="preserve"> curve</w:t>
      </w:r>
      <w:r w:rsidR="00526534" w:rsidRPr="008235B5">
        <w:rPr>
          <w:rFonts w:asciiTheme="minorHAnsi" w:hAnsiTheme="minorHAnsi" w:cstheme="minorHAnsi"/>
        </w:rPr>
        <w:t xml:space="preserve"> </w:t>
      </w:r>
      <w:r w:rsidR="00461AEB">
        <w:rPr>
          <w:rFonts w:asciiTheme="minorHAnsi" w:hAnsiTheme="minorHAnsi" w:cstheme="minorHAnsi"/>
        </w:rPr>
        <w:t>in its second full year as an OSHA</w:t>
      </w:r>
      <w:r w:rsidR="00BF501A">
        <w:rPr>
          <w:rFonts w:asciiTheme="minorHAnsi" w:hAnsiTheme="minorHAnsi" w:cstheme="minorHAnsi"/>
        </w:rPr>
        <w:t>-</w:t>
      </w:r>
      <w:r w:rsidR="00461AEB">
        <w:rPr>
          <w:rFonts w:asciiTheme="minorHAnsi" w:hAnsiTheme="minorHAnsi" w:cstheme="minorHAnsi"/>
        </w:rPr>
        <w:t>approved State Plan.</w:t>
      </w:r>
    </w:p>
    <w:p w14:paraId="425820EC" w14:textId="77777777" w:rsidR="00B81A42" w:rsidRDefault="00B81A42" w:rsidP="007A71AC">
      <w:pPr>
        <w:widowControl/>
        <w:autoSpaceDE/>
        <w:autoSpaceDN/>
        <w:adjustRightInd/>
        <w:rPr>
          <w:rFonts w:asciiTheme="minorHAnsi" w:hAnsiTheme="minorHAnsi" w:cstheme="minorHAnsi"/>
        </w:rPr>
      </w:pPr>
    </w:p>
    <w:p w14:paraId="341E3B80" w14:textId="623C8040" w:rsidR="00B81A42" w:rsidRPr="00B81A42" w:rsidRDefault="00B81A42" w:rsidP="00B81A42">
      <w:pPr>
        <w:widowControl/>
        <w:rPr>
          <w:rFonts w:asciiTheme="minorHAnsi" w:hAnsiTheme="minorHAnsi" w:cstheme="minorHAnsi"/>
          <w:b/>
          <w:bCs/>
          <w:color w:val="000000"/>
        </w:rPr>
      </w:pPr>
      <w:r w:rsidRPr="00B81A42">
        <w:rPr>
          <w:rFonts w:asciiTheme="minorHAnsi" w:hAnsiTheme="minorHAnsi" w:cstheme="minorHAnsi"/>
          <w:b/>
          <w:bCs/>
          <w:color w:val="000000"/>
        </w:rPr>
        <w:t>SAMM 2a</w:t>
      </w:r>
      <w:r w:rsidR="001A0D56">
        <w:rPr>
          <w:rFonts w:asciiTheme="minorHAnsi" w:hAnsiTheme="minorHAnsi" w:cstheme="minorHAnsi"/>
          <w:color w:val="000000"/>
        </w:rPr>
        <w:t xml:space="preserve"> – </w:t>
      </w:r>
      <w:r w:rsidRPr="00B81A42">
        <w:rPr>
          <w:rFonts w:asciiTheme="minorHAnsi" w:hAnsiTheme="minorHAnsi" w:cstheme="minorHAnsi"/>
          <w:b/>
          <w:bCs/>
          <w:color w:val="000000"/>
        </w:rPr>
        <w:t xml:space="preserve">Average number of workdays to initiate complaint investigations (state formula) </w:t>
      </w:r>
    </w:p>
    <w:p w14:paraId="06DD656F" w14:textId="77777777" w:rsidR="00B81A42" w:rsidRPr="00B81A42" w:rsidRDefault="00B81A42" w:rsidP="00B81A42">
      <w:pPr>
        <w:widowControl/>
        <w:rPr>
          <w:rFonts w:asciiTheme="minorHAnsi" w:hAnsiTheme="minorHAnsi" w:cstheme="minorHAnsi"/>
          <w:color w:val="000000"/>
        </w:rPr>
      </w:pPr>
    </w:p>
    <w:p w14:paraId="7689152F" w14:textId="4C47A2D9" w:rsidR="00B81A42" w:rsidRPr="00B81A42" w:rsidRDefault="00B81A42" w:rsidP="00B81A42">
      <w:pPr>
        <w:widowControl/>
        <w:rPr>
          <w:rFonts w:asciiTheme="minorHAnsi" w:hAnsiTheme="minorHAnsi" w:cstheme="minorHAnsi"/>
          <w:color w:val="000000"/>
        </w:rPr>
      </w:pPr>
      <w:r w:rsidRPr="00B81A42">
        <w:rPr>
          <w:rFonts w:asciiTheme="minorHAnsi" w:hAnsiTheme="minorHAnsi" w:cstheme="minorHAnsi"/>
          <w:color w:val="000000"/>
          <w:u w:val="single"/>
        </w:rPr>
        <w:t>Discussion of State Plan Data and FRL</w:t>
      </w:r>
      <w:r w:rsidRPr="00784F95">
        <w:rPr>
          <w:rFonts w:asciiTheme="minorHAnsi" w:hAnsiTheme="minorHAnsi" w:cstheme="minorHAnsi"/>
          <w:color w:val="000000"/>
        </w:rPr>
        <w:t>:</w:t>
      </w:r>
      <w:r w:rsidRPr="00B81A42">
        <w:rPr>
          <w:rFonts w:asciiTheme="minorHAnsi" w:hAnsiTheme="minorHAnsi" w:cstheme="minorHAnsi"/>
          <w:color w:val="000000"/>
        </w:rPr>
        <w:t xml:space="preserve"> The negotiated FRL was one workday.  WSHP’s result of </w:t>
      </w:r>
      <w:r w:rsidR="0058559B">
        <w:rPr>
          <w:rFonts w:asciiTheme="minorHAnsi" w:hAnsiTheme="minorHAnsi" w:cstheme="minorHAnsi"/>
          <w:color w:val="000000"/>
        </w:rPr>
        <w:t>2.73</w:t>
      </w:r>
      <w:r w:rsidRPr="00B81A42">
        <w:rPr>
          <w:rFonts w:asciiTheme="minorHAnsi" w:hAnsiTheme="minorHAnsi" w:cstheme="minorHAnsi"/>
          <w:color w:val="000000"/>
        </w:rPr>
        <w:t xml:space="preserve"> workdays was outside (above) the FRL</w:t>
      </w:r>
      <w:r w:rsidR="00301723">
        <w:rPr>
          <w:rFonts w:asciiTheme="minorHAnsi" w:hAnsiTheme="minorHAnsi" w:cstheme="minorHAnsi"/>
          <w:color w:val="000000"/>
        </w:rPr>
        <w:t>.</w:t>
      </w:r>
      <w:r w:rsidRPr="00B81A42">
        <w:rPr>
          <w:rFonts w:asciiTheme="minorHAnsi" w:hAnsiTheme="minorHAnsi" w:cstheme="minorHAnsi"/>
          <w:color w:val="000000"/>
        </w:rPr>
        <w:t xml:space="preserve"> </w:t>
      </w:r>
    </w:p>
    <w:p w14:paraId="03FE9F51" w14:textId="77777777" w:rsidR="00B81A42" w:rsidRPr="00B81A42" w:rsidRDefault="00B81A42" w:rsidP="00B81A42">
      <w:pPr>
        <w:widowControl/>
        <w:rPr>
          <w:rFonts w:asciiTheme="minorHAnsi" w:hAnsiTheme="minorHAnsi" w:cstheme="minorHAnsi"/>
          <w:color w:val="000000"/>
        </w:rPr>
      </w:pPr>
    </w:p>
    <w:p w14:paraId="64636C46" w14:textId="2885B3E7" w:rsidR="00B81A42" w:rsidRDefault="00B81A42" w:rsidP="00B81A42">
      <w:pPr>
        <w:rPr>
          <w:rFonts w:asciiTheme="minorHAnsi" w:hAnsiTheme="minorHAnsi" w:cstheme="minorHAnsi"/>
        </w:rPr>
      </w:pPr>
      <w:r w:rsidRPr="00B81A42">
        <w:rPr>
          <w:rFonts w:asciiTheme="minorHAnsi" w:hAnsiTheme="minorHAnsi" w:cstheme="minorHAnsi"/>
          <w:u w:val="single"/>
        </w:rPr>
        <w:t>Explanation</w:t>
      </w:r>
      <w:r w:rsidRPr="00784F95">
        <w:rPr>
          <w:rFonts w:asciiTheme="minorHAnsi" w:hAnsiTheme="minorHAnsi" w:cstheme="minorHAnsi"/>
        </w:rPr>
        <w:t>:</w:t>
      </w:r>
      <w:r w:rsidRPr="00B81A42">
        <w:rPr>
          <w:rFonts w:asciiTheme="minorHAnsi" w:hAnsiTheme="minorHAnsi" w:cstheme="minorHAnsi"/>
        </w:rPr>
        <w:t xml:space="preserve"> SAMM 2a pertains only to complaints that were handled by investigation (i.e., “inquiry”) and had no related inspection (MA FOM, Chapter 9).  </w:t>
      </w:r>
      <w:r w:rsidR="0054276B">
        <w:rPr>
          <w:rFonts w:asciiTheme="minorHAnsi" w:hAnsiTheme="minorHAnsi" w:cstheme="minorHAnsi"/>
        </w:rPr>
        <w:t>In F</w:t>
      </w:r>
      <w:r w:rsidR="00AF73A5">
        <w:rPr>
          <w:rFonts w:asciiTheme="minorHAnsi" w:hAnsiTheme="minorHAnsi" w:cstheme="minorHAnsi"/>
        </w:rPr>
        <w:t>Y</w:t>
      </w:r>
      <w:r w:rsidR="0054276B">
        <w:rPr>
          <w:rFonts w:asciiTheme="minorHAnsi" w:hAnsiTheme="minorHAnsi" w:cstheme="minorHAnsi"/>
        </w:rPr>
        <w:t xml:space="preserve"> 2024, WSHP</w:t>
      </w:r>
      <w:r w:rsidR="00E6682E">
        <w:rPr>
          <w:rFonts w:asciiTheme="minorHAnsi" w:hAnsiTheme="minorHAnsi" w:cstheme="minorHAnsi"/>
        </w:rPr>
        <w:t xml:space="preserve">’s managers </w:t>
      </w:r>
      <w:r w:rsidR="00C7403F">
        <w:rPr>
          <w:rFonts w:asciiTheme="minorHAnsi" w:hAnsiTheme="minorHAnsi" w:cstheme="minorHAnsi"/>
        </w:rPr>
        <w:t>were still becoming familiar with the inquiry process and</w:t>
      </w:r>
      <w:r w:rsidR="0087357D">
        <w:rPr>
          <w:rFonts w:asciiTheme="minorHAnsi" w:hAnsiTheme="minorHAnsi" w:cstheme="minorHAnsi"/>
        </w:rPr>
        <w:t>,</w:t>
      </w:r>
      <w:r w:rsidR="00C7403F">
        <w:rPr>
          <w:rFonts w:asciiTheme="minorHAnsi" w:hAnsiTheme="minorHAnsi" w:cstheme="minorHAnsi"/>
        </w:rPr>
        <w:t xml:space="preserve"> in some instances</w:t>
      </w:r>
      <w:r w:rsidR="00110A46">
        <w:rPr>
          <w:rFonts w:asciiTheme="minorHAnsi" w:hAnsiTheme="minorHAnsi" w:cstheme="minorHAnsi"/>
        </w:rPr>
        <w:t>,</w:t>
      </w:r>
      <w:r w:rsidR="00C7403F">
        <w:rPr>
          <w:rFonts w:asciiTheme="minorHAnsi" w:hAnsiTheme="minorHAnsi" w:cstheme="minorHAnsi"/>
        </w:rPr>
        <w:t xml:space="preserve"> took more than one </w:t>
      </w:r>
      <w:r w:rsidR="009B4186">
        <w:rPr>
          <w:rFonts w:asciiTheme="minorHAnsi" w:hAnsiTheme="minorHAnsi" w:cstheme="minorHAnsi"/>
        </w:rPr>
        <w:t>work</w:t>
      </w:r>
      <w:r w:rsidR="00C7403F">
        <w:rPr>
          <w:rFonts w:asciiTheme="minorHAnsi" w:hAnsiTheme="minorHAnsi" w:cstheme="minorHAnsi"/>
        </w:rPr>
        <w:t xml:space="preserve">day to initiate the </w:t>
      </w:r>
      <w:r w:rsidR="005005A2">
        <w:rPr>
          <w:rFonts w:asciiTheme="minorHAnsi" w:hAnsiTheme="minorHAnsi" w:cstheme="minorHAnsi"/>
        </w:rPr>
        <w:t>investigation</w:t>
      </w:r>
      <w:r w:rsidR="008A1E74">
        <w:rPr>
          <w:rFonts w:asciiTheme="minorHAnsi" w:hAnsiTheme="minorHAnsi" w:cstheme="minorHAnsi"/>
        </w:rPr>
        <w:t xml:space="preserve">.  </w:t>
      </w:r>
      <w:r w:rsidR="00C7403F">
        <w:rPr>
          <w:rFonts w:asciiTheme="minorHAnsi" w:hAnsiTheme="minorHAnsi" w:cstheme="minorHAnsi"/>
        </w:rPr>
        <w:t xml:space="preserve">Although WSHP’s average was </w:t>
      </w:r>
      <w:r w:rsidR="00581426">
        <w:rPr>
          <w:rFonts w:asciiTheme="minorHAnsi" w:hAnsiTheme="minorHAnsi" w:cstheme="minorHAnsi"/>
        </w:rPr>
        <w:t xml:space="preserve">above </w:t>
      </w:r>
      <w:r w:rsidR="00C7403F">
        <w:rPr>
          <w:rFonts w:asciiTheme="minorHAnsi" w:hAnsiTheme="minorHAnsi" w:cstheme="minorHAnsi"/>
        </w:rPr>
        <w:t xml:space="preserve">the FRL, it was not high enough to warrant concern. </w:t>
      </w:r>
    </w:p>
    <w:p w14:paraId="2FE6F0B7" w14:textId="77777777" w:rsidR="00225433" w:rsidRDefault="00225433" w:rsidP="00B81A42">
      <w:pPr>
        <w:rPr>
          <w:rFonts w:asciiTheme="minorHAnsi" w:hAnsiTheme="minorHAnsi" w:cstheme="minorHAnsi"/>
        </w:rPr>
      </w:pPr>
    </w:p>
    <w:p w14:paraId="71CB92D4" w14:textId="77777777" w:rsidR="00225433" w:rsidRPr="00225433" w:rsidRDefault="00225433" w:rsidP="00225433">
      <w:pPr>
        <w:widowControl/>
        <w:kinsoku w:val="0"/>
        <w:overflowPunct w:val="0"/>
        <w:ind w:right="250"/>
        <w:rPr>
          <w:rFonts w:asciiTheme="minorHAnsi" w:hAnsiTheme="minorHAnsi" w:cstheme="minorHAnsi"/>
        </w:rPr>
      </w:pPr>
      <w:r w:rsidRPr="00225433">
        <w:rPr>
          <w:rFonts w:asciiTheme="minorHAnsi" w:hAnsiTheme="minorHAnsi" w:cstheme="minorHAnsi"/>
          <w:b/>
          <w:bCs/>
        </w:rPr>
        <w:t xml:space="preserve">SAMM 5 – Average number of violations per inspection with violations by violation type </w:t>
      </w:r>
    </w:p>
    <w:p w14:paraId="29CCD391" w14:textId="77777777" w:rsidR="00225433" w:rsidRPr="00225433" w:rsidRDefault="00225433" w:rsidP="00225433">
      <w:pPr>
        <w:widowControl/>
        <w:kinsoku w:val="0"/>
        <w:overflowPunct w:val="0"/>
        <w:ind w:right="250"/>
        <w:rPr>
          <w:rFonts w:asciiTheme="minorHAnsi" w:hAnsiTheme="minorHAnsi" w:cstheme="minorHAnsi"/>
          <w:u w:val="single"/>
        </w:rPr>
      </w:pPr>
    </w:p>
    <w:p w14:paraId="31DD2197" w14:textId="733F360C" w:rsidR="00225433" w:rsidRPr="00225433" w:rsidRDefault="00225433" w:rsidP="00225433">
      <w:pPr>
        <w:widowControl/>
        <w:kinsoku w:val="0"/>
        <w:overflowPunct w:val="0"/>
        <w:ind w:right="250"/>
        <w:rPr>
          <w:rFonts w:asciiTheme="minorHAnsi" w:hAnsiTheme="minorHAnsi" w:cstheme="minorHAnsi"/>
        </w:rPr>
      </w:pPr>
      <w:r w:rsidRPr="00225433">
        <w:rPr>
          <w:rFonts w:asciiTheme="minorHAnsi" w:hAnsiTheme="minorHAnsi" w:cstheme="minorHAnsi"/>
          <w:u w:val="single"/>
        </w:rPr>
        <w:t>Discussion of State Plan Data and FRL</w:t>
      </w:r>
      <w:r w:rsidRPr="00784F95">
        <w:rPr>
          <w:rFonts w:asciiTheme="minorHAnsi" w:hAnsiTheme="minorHAnsi" w:cstheme="minorHAnsi"/>
        </w:rPr>
        <w:t>:</w:t>
      </w:r>
      <w:r w:rsidRPr="00225433">
        <w:rPr>
          <w:rFonts w:asciiTheme="minorHAnsi" w:hAnsiTheme="minorHAnsi" w:cstheme="minorHAnsi"/>
        </w:rPr>
        <w:t xml:space="preserve"> The FRL is based on a three-year national average. </w:t>
      </w:r>
      <w:r w:rsidR="00D819D1">
        <w:rPr>
          <w:rFonts w:asciiTheme="minorHAnsi" w:hAnsiTheme="minorHAnsi" w:cstheme="minorHAnsi"/>
        </w:rPr>
        <w:t>WSHP</w:t>
      </w:r>
      <w:r w:rsidRPr="00225433">
        <w:rPr>
          <w:rFonts w:asciiTheme="minorHAnsi" w:hAnsiTheme="minorHAnsi" w:cstheme="minorHAnsi"/>
        </w:rPr>
        <w:t>’s FY 202</w:t>
      </w:r>
      <w:r w:rsidR="00D819D1">
        <w:rPr>
          <w:rFonts w:asciiTheme="minorHAnsi" w:hAnsiTheme="minorHAnsi" w:cstheme="minorHAnsi"/>
        </w:rPr>
        <w:t>4</w:t>
      </w:r>
      <w:r w:rsidRPr="00225433">
        <w:rPr>
          <w:rFonts w:asciiTheme="minorHAnsi" w:hAnsiTheme="minorHAnsi" w:cstheme="minorHAnsi"/>
        </w:rPr>
        <w:t xml:space="preserve"> average of </w:t>
      </w:r>
      <w:r w:rsidR="00D94D88">
        <w:rPr>
          <w:rFonts w:asciiTheme="minorHAnsi" w:hAnsiTheme="minorHAnsi" w:cstheme="minorHAnsi"/>
        </w:rPr>
        <w:t>3.11</w:t>
      </w:r>
      <w:r w:rsidRPr="00225433">
        <w:rPr>
          <w:rFonts w:asciiTheme="minorHAnsi" w:hAnsiTheme="minorHAnsi" w:cstheme="minorHAnsi"/>
        </w:rPr>
        <w:t xml:space="preserve"> was</w:t>
      </w:r>
      <w:r w:rsidR="00F865CE">
        <w:rPr>
          <w:rFonts w:asciiTheme="minorHAnsi" w:hAnsiTheme="minorHAnsi" w:cstheme="minorHAnsi"/>
        </w:rPr>
        <w:t xml:space="preserve"> outside (above)</w:t>
      </w:r>
      <w:r w:rsidRPr="00225433">
        <w:rPr>
          <w:rFonts w:asciiTheme="minorHAnsi" w:hAnsiTheme="minorHAnsi" w:cstheme="minorHAnsi"/>
        </w:rPr>
        <w:t xml:space="preserve"> the FRL range of </w:t>
      </w:r>
      <w:r w:rsidR="00D94D88" w:rsidRPr="00C87659">
        <w:rPr>
          <w:rFonts w:asciiTheme="minorHAnsi" w:eastAsia="PMingLiU" w:hAnsiTheme="minorHAnsi" w:cstheme="minorHAnsi"/>
        </w:rPr>
        <w:t xml:space="preserve">1.39 to 2.08 </w:t>
      </w:r>
      <w:r w:rsidRPr="00225433">
        <w:rPr>
          <w:rFonts w:asciiTheme="minorHAnsi" w:hAnsiTheme="minorHAnsi" w:cstheme="minorHAnsi"/>
        </w:rPr>
        <w:t>for serious, willful, repeat, or unclassified (SWRU) violations.  For other-than-serious (OTS) violations, the State Plan’s average of 0.</w:t>
      </w:r>
      <w:r w:rsidR="00211F5E">
        <w:rPr>
          <w:rFonts w:asciiTheme="minorHAnsi" w:hAnsiTheme="minorHAnsi" w:cstheme="minorHAnsi"/>
        </w:rPr>
        <w:t>50</w:t>
      </w:r>
      <w:r w:rsidRPr="00225433">
        <w:rPr>
          <w:rFonts w:asciiTheme="minorHAnsi" w:hAnsiTheme="minorHAnsi" w:cstheme="minorHAnsi"/>
        </w:rPr>
        <w:t xml:space="preserve"> was outside (below) the FRL range of</w:t>
      </w:r>
      <w:r w:rsidR="00211F5E">
        <w:rPr>
          <w:rFonts w:asciiTheme="minorHAnsi" w:hAnsiTheme="minorHAnsi" w:cstheme="minorHAnsi"/>
        </w:rPr>
        <w:t xml:space="preserve"> </w:t>
      </w:r>
      <w:r w:rsidR="00211F5E" w:rsidRPr="00C87659">
        <w:rPr>
          <w:rFonts w:asciiTheme="minorHAnsi" w:eastAsia="PMingLiU" w:hAnsiTheme="minorHAnsi" w:cstheme="minorHAnsi"/>
        </w:rPr>
        <w:t>0.75 to 1.12</w:t>
      </w:r>
      <w:r w:rsidRPr="00225433">
        <w:rPr>
          <w:rFonts w:asciiTheme="minorHAnsi" w:hAnsiTheme="minorHAnsi" w:cstheme="minorHAnsi"/>
        </w:rPr>
        <w:t xml:space="preserve">.  </w:t>
      </w:r>
    </w:p>
    <w:p w14:paraId="0B5E7560" w14:textId="77777777" w:rsidR="00225433" w:rsidRPr="00225433" w:rsidRDefault="00225433" w:rsidP="00225433">
      <w:pPr>
        <w:widowControl/>
        <w:kinsoku w:val="0"/>
        <w:overflowPunct w:val="0"/>
        <w:ind w:right="250"/>
        <w:rPr>
          <w:rFonts w:asciiTheme="minorHAnsi" w:hAnsiTheme="minorHAnsi" w:cstheme="minorHAnsi"/>
          <w:u w:val="single"/>
        </w:rPr>
      </w:pPr>
    </w:p>
    <w:p w14:paraId="43E572D5" w14:textId="4D079FBC" w:rsidR="0040117E" w:rsidRDefault="00225433" w:rsidP="00225433">
      <w:pPr>
        <w:widowControl/>
        <w:kinsoku w:val="0"/>
        <w:overflowPunct w:val="0"/>
        <w:ind w:right="250"/>
        <w:rPr>
          <w:rFonts w:asciiTheme="minorHAnsi" w:hAnsiTheme="minorHAnsi" w:cstheme="minorHAnsi"/>
        </w:rPr>
      </w:pPr>
      <w:r w:rsidRPr="00225433">
        <w:rPr>
          <w:rFonts w:asciiTheme="minorHAnsi" w:hAnsiTheme="minorHAnsi" w:cstheme="minorHAnsi"/>
          <w:u w:val="single"/>
        </w:rPr>
        <w:t>Explanation</w:t>
      </w:r>
      <w:r w:rsidRPr="00784F95">
        <w:rPr>
          <w:rFonts w:asciiTheme="minorHAnsi" w:hAnsiTheme="minorHAnsi" w:cstheme="minorHAnsi"/>
        </w:rPr>
        <w:t>:</w:t>
      </w:r>
      <w:r w:rsidRPr="00225433">
        <w:rPr>
          <w:rFonts w:asciiTheme="minorHAnsi" w:hAnsiTheme="minorHAnsi" w:cstheme="minorHAnsi"/>
        </w:rPr>
        <w:t xml:space="preserve"> OSHA would be concerned if the State Plan had a high average for OTS violations and a correspondingly low average for SWRU violations; this could indicate that </w:t>
      </w:r>
      <w:r w:rsidR="00BC5475">
        <w:rPr>
          <w:rFonts w:asciiTheme="minorHAnsi" w:hAnsiTheme="minorHAnsi" w:cstheme="minorHAnsi"/>
        </w:rPr>
        <w:t>WSHP was</w:t>
      </w:r>
      <w:r w:rsidRPr="00225433">
        <w:rPr>
          <w:rFonts w:asciiTheme="minorHAnsi" w:hAnsiTheme="minorHAnsi" w:cstheme="minorHAnsi"/>
        </w:rPr>
        <w:t xml:space="preserve"> not targeting high-hazard employers and/or tended to classify some serious violations as OTS violations. </w:t>
      </w:r>
      <w:r w:rsidR="00CB28E1">
        <w:rPr>
          <w:rFonts w:asciiTheme="minorHAnsi" w:hAnsiTheme="minorHAnsi" w:cstheme="minorHAnsi"/>
        </w:rPr>
        <w:t xml:space="preserve"> For WSHP, this was not the case</w:t>
      </w:r>
      <w:r w:rsidR="00301723">
        <w:rPr>
          <w:rFonts w:asciiTheme="minorHAnsi" w:hAnsiTheme="minorHAnsi" w:cstheme="minorHAnsi"/>
        </w:rPr>
        <w:t>. I</w:t>
      </w:r>
      <w:r w:rsidR="00CB28E1">
        <w:rPr>
          <w:rFonts w:asciiTheme="minorHAnsi" w:hAnsiTheme="minorHAnsi" w:cstheme="minorHAnsi"/>
        </w:rPr>
        <w:t>n FY 2024</w:t>
      </w:r>
      <w:r w:rsidR="00301723">
        <w:rPr>
          <w:rFonts w:asciiTheme="minorHAnsi" w:hAnsiTheme="minorHAnsi" w:cstheme="minorHAnsi"/>
        </w:rPr>
        <w:t xml:space="preserve">, </w:t>
      </w:r>
      <w:r w:rsidR="00CE37E1">
        <w:rPr>
          <w:rFonts w:asciiTheme="minorHAnsi" w:hAnsiTheme="minorHAnsi" w:cstheme="minorHAnsi"/>
        </w:rPr>
        <w:t>the</w:t>
      </w:r>
      <w:r w:rsidR="00CB28E1">
        <w:rPr>
          <w:rFonts w:asciiTheme="minorHAnsi" w:hAnsiTheme="minorHAnsi" w:cstheme="minorHAnsi"/>
        </w:rPr>
        <w:t xml:space="preserve"> State Plan’s </w:t>
      </w:r>
      <w:r w:rsidR="00535127">
        <w:rPr>
          <w:rFonts w:asciiTheme="minorHAnsi" w:hAnsiTheme="minorHAnsi" w:cstheme="minorHAnsi"/>
        </w:rPr>
        <w:t xml:space="preserve">high </w:t>
      </w:r>
      <w:r w:rsidR="00CB28E1">
        <w:rPr>
          <w:rFonts w:asciiTheme="minorHAnsi" w:hAnsiTheme="minorHAnsi" w:cstheme="minorHAnsi"/>
        </w:rPr>
        <w:t xml:space="preserve">average for SWRU </w:t>
      </w:r>
      <w:r w:rsidR="00535127">
        <w:rPr>
          <w:rFonts w:asciiTheme="minorHAnsi" w:hAnsiTheme="minorHAnsi" w:cstheme="minorHAnsi"/>
        </w:rPr>
        <w:t xml:space="preserve">violations </w:t>
      </w:r>
      <w:r w:rsidR="00C23C55">
        <w:rPr>
          <w:rFonts w:asciiTheme="minorHAnsi" w:hAnsiTheme="minorHAnsi" w:cstheme="minorHAnsi"/>
        </w:rPr>
        <w:t xml:space="preserve">indicates </w:t>
      </w:r>
      <w:r w:rsidR="00F637FE">
        <w:rPr>
          <w:rFonts w:asciiTheme="minorHAnsi" w:hAnsiTheme="minorHAnsi" w:cstheme="minorHAnsi"/>
        </w:rPr>
        <w:t>that the most hazardous industries were tar</w:t>
      </w:r>
      <w:r w:rsidR="004E49E1">
        <w:rPr>
          <w:rFonts w:asciiTheme="minorHAnsi" w:hAnsiTheme="minorHAnsi" w:cstheme="minorHAnsi"/>
        </w:rPr>
        <w:t>g</w:t>
      </w:r>
      <w:r w:rsidR="00F637FE">
        <w:rPr>
          <w:rFonts w:asciiTheme="minorHAnsi" w:hAnsiTheme="minorHAnsi" w:cstheme="minorHAnsi"/>
        </w:rPr>
        <w:t xml:space="preserve">eted and that ISHIs </w:t>
      </w:r>
      <w:r w:rsidR="00C23C55">
        <w:rPr>
          <w:rFonts w:asciiTheme="minorHAnsi" w:hAnsiTheme="minorHAnsi" w:cstheme="minorHAnsi"/>
        </w:rPr>
        <w:t xml:space="preserve">are </w:t>
      </w:r>
      <w:r w:rsidR="00F637FE">
        <w:rPr>
          <w:rFonts w:asciiTheme="minorHAnsi" w:hAnsiTheme="minorHAnsi" w:cstheme="minorHAnsi"/>
        </w:rPr>
        <w:t xml:space="preserve">adept at </w:t>
      </w:r>
      <w:r w:rsidR="00FA4831">
        <w:rPr>
          <w:rFonts w:asciiTheme="minorHAnsi" w:hAnsiTheme="minorHAnsi" w:cstheme="minorHAnsi"/>
        </w:rPr>
        <w:t>identifying</w:t>
      </w:r>
      <w:r w:rsidR="00F637FE">
        <w:rPr>
          <w:rFonts w:asciiTheme="minorHAnsi" w:hAnsiTheme="minorHAnsi" w:cstheme="minorHAnsi"/>
        </w:rPr>
        <w:t xml:space="preserve"> </w:t>
      </w:r>
      <w:r w:rsidR="00FA4831">
        <w:rPr>
          <w:rFonts w:asciiTheme="minorHAnsi" w:hAnsiTheme="minorHAnsi" w:cstheme="minorHAnsi"/>
        </w:rPr>
        <w:t>violations</w:t>
      </w:r>
      <w:r w:rsidR="00F637FE">
        <w:rPr>
          <w:rFonts w:asciiTheme="minorHAnsi" w:hAnsiTheme="minorHAnsi" w:cstheme="minorHAnsi"/>
        </w:rPr>
        <w:t xml:space="preserve">.  </w:t>
      </w:r>
      <w:r w:rsidRPr="00225433">
        <w:rPr>
          <w:rFonts w:asciiTheme="minorHAnsi" w:hAnsiTheme="minorHAnsi" w:cstheme="minorHAnsi"/>
        </w:rPr>
        <w:t xml:space="preserve">Therefore, OSHA is not concerned that </w:t>
      </w:r>
      <w:r w:rsidR="00C91B83">
        <w:rPr>
          <w:rFonts w:asciiTheme="minorHAnsi" w:hAnsiTheme="minorHAnsi" w:cstheme="minorHAnsi"/>
        </w:rPr>
        <w:t>WSHP</w:t>
      </w:r>
      <w:r w:rsidRPr="00225433">
        <w:rPr>
          <w:rFonts w:asciiTheme="minorHAnsi" w:hAnsiTheme="minorHAnsi" w:cstheme="minorHAnsi"/>
        </w:rPr>
        <w:t>’s result for OTS violations was outside (below) the FRL range.</w:t>
      </w:r>
    </w:p>
    <w:p w14:paraId="385B59B2" w14:textId="77777777" w:rsidR="00567430" w:rsidRPr="00567430" w:rsidRDefault="00567430" w:rsidP="00225433">
      <w:pPr>
        <w:widowControl/>
        <w:kinsoku w:val="0"/>
        <w:overflowPunct w:val="0"/>
        <w:ind w:right="250"/>
        <w:rPr>
          <w:rFonts w:asciiTheme="minorHAnsi" w:hAnsiTheme="minorHAnsi" w:cstheme="minorHAnsi"/>
          <w:b/>
          <w:bCs/>
        </w:rPr>
      </w:pPr>
    </w:p>
    <w:p w14:paraId="646E0BEA" w14:textId="1EB24F82" w:rsidR="0040117E" w:rsidRDefault="0040117E" w:rsidP="00225433">
      <w:pPr>
        <w:widowControl/>
        <w:kinsoku w:val="0"/>
        <w:overflowPunct w:val="0"/>
        <w:ind w:right="250"/>
        <w:rPr>
          <w:rFonts w:eastAsia="Calibri" w:cs="Calibri"/>
          <w:b/>
          <w:bCs/>
          <w:sz w:val="22"/>
          <w:szCs w:val="22"/>
        </w:rPr>
      </w:pPr>
      <w:r w:rsidRPr="00567430">
        <w:rPr>
          <w:rFonts w:asciiTheme="minorHAnsi" w:hAnsiTheme="minorHAnsi" w:cstheme="minorHAnsi"/>
          <w:b/>
          <w:bCs/>
        </w:rPr>
        <w:t>SAMM 10</w:t>
      </w:r>
      <w:r w:rsidR="00567430" w:rsidRPr="00567430">
        <w:rPr>
          <w:rFonts w:asciiTheme="minorHAnsi" w:hAnsiTheme="minorHAnsi" w:cstheme="minorHAnsi"/>
          <w:b/>
          <w:bCs/>
        </w:rPr>
        <w:t xml:space="preserve"> – </w:t>
      </w:r>
      <w:r w:rsidRPr="00804C54">
        <w:rPr>
          <w:rFonts w:eastAsia="Calibri" w:cs="Calibri"/>
          <w:b/>
          <w:bCs/>
        </w:rPr>
        <w:t>Percent of work-related fatalities responded to in one workday</w:t>
      </w:r>
    </w:p>
    <w:p w14:paraId="6EEBB29B" w14:textId="77777777" w:rsidR="004E49E1" w:rsidRDefault="004E49E1" w:rsidP="00225433">
      <w:pPr>
        <w:widowControl/>
        <w:kinsoku w:val="0"/>
        <w:overflowPunct w:val="0"/>
        <w:ind w:right="250"/>
        <w:rPr>
          <w:rFonts w:eastAsia="Calibri" w:cs="Calibri"/>
          <w:b/>
          <w:bCs/>
          <w:sz w:val="22"/>
          <w:szCs w:val="22"/>
        </w:rPr>
      </w:pPr>
    </w:p>
    <w:p w14:paraId="03994871" w14:textId="4ABAE6B7" w:rsidR="004E49E1" w:rsidRPr="004E49E1" w:rsidRDefault="004E49E1" w:rsidP="004E49E1">
      <w:pPr>
        <w:widowControl/>
        <w:rPr>
          <w:rFonts w:asciiTheme="minorHAnsi" w:hAnsiTheme="minorHAnsi" w:cstheme="minorHAnsi"/>
          <w:color w:val="000000"/>
        </w:rPr>
      </w:pPr>
      <w:bookmarkStart w:id="26" w:name="_Hlk187995870"/>
      <w:r w:rsidRPr="004E49E1">
        <w:rPr>
          <w:rFonts w:asciiTheme="minorHAnsi" w:hAnsiTheme="minorHAnsi" w:cstheme="minorHAnsi"/>
          <w:color w:val="000000"/>
          <w:u w:val="single"/>
        </w:rPr>
        <w:t>Discussion of State Plan Data and FRL</w:t>
      </w:r>
      <w:r w:rsidRPr="002E2C9B">
        <w:rPr>
          <w:rFonts w:asciiTheme="minorHAnsi" w:hAnsiTheme="minorHAnsi" w:cstheme="minorHAnsi"/>
          <w:color w:val="000000"/>
        </w:rPr>
        <w:t>:</w:t>
      </w:r>
      <w:r w:rsidRPr="004E49E1">
        <w:rPr>
          <w:rFonts w:asciiTheme="minorHAnsi" w:hAnsiTheme="minorHAnsi" w:cstheme="minorHAnsi"/>
          <w:color w:val="000000"/>
        </w:rPr>
        <w:t xml:space="preserve"> The FRL of 100 percent was fixed for all State Plans.  In FY 202</w:t>
      </w:r>
      <w:r w:rsidR="000B785B">
        <w:rPr>
          <w:rFonts w:asciiTheme="minorHAnsi" w:hAnsiTheme="minorHAnsi" w:cstheme="minorHAnsi"/>
          <w:color w:val="000000"/>
        </w:rPr>
        <w:t>4</w:t>
      </w:r>
      <w:r w:rsidRPr="004E49E1">
        <w:rPr>
          <w:rFonts w:asciiTheme="minorHAnsi" w:hAnsiTheme="minorHAnsi" w:cstheme="minorHAnsi"/>
          <w:color w:val="000000"/>
        </w:rPr>
        <w:t xml:space="preserve">, WSHP’s result </w:t>
      </w:r>
      <w:r w:rsidR="000B785B">
        <w:rPr>
          <w:rFonts w:asciiTheme="minorHAnsi" w:hAnsiTheme="minorHAnsi" w:cstheme="minorHAnsi"/>
          <w:color w:val="000000"/>
        </w:rPr>
        <w:t>of</w:t>
      </w:r>
      <w:r w:rsidRPr="004E49E1">
        <w:rPr>
          <w:rFonts w:asciiTheme="minorHAnsi" w:hAnsiTheme="minorHAnsi" w:cstheme="minorHAnsi"/>
          <w:color w:val="000000"/>
        </w:rPr>
        <w:t xml:space="preserve"> </w:t>
      </w:r>
      <w:r>
        <w:rPr>
          <w:rFonts w:asciiTheme="minorHAnsi" w:hAnsiTheme="minorHAnsi" w:cstheme="minorHAnsi"/>
          <w:color w:val="000000"/>
        </w:rPr>
        <w:t>50 percent</w:t>
      </w:r>
      <w:r w:rsidR="008821E1">
        <w:rPr>
          <w:rFonts w:asciiTheme="minorHAnsi" w:hAnsiTheme="minorHAnsi" w:cstheme="minorHAnsi"/>
          <w:color w:val="000000"/>
        </w:rPr>
        <w:t xml:space="preserve"> </w:t>
      </w:r>
      <w:r w:rsidR="00C172CB">
        <w:rPr>
          <w:rFonts w:asciiTheme="minorHAnsi" w:hAnsiTheme="minorHAnsi" w:cstheme="minorHAnsi"/>
          <w:color w:val="000000"/>
        </w:rPr>
        <w:t xml:space="preserve">was outside (below) the FRL </w:t>
      </w:r>
      <w:r w:rsidR="008821E1">
        <w:rPr>
          <w:rFonts w:asciiTheme="minorHAnsi" w:hAnsiTheme="minorHAnsi" w:cstheme="minorHAnsi"/>
          <w:color w:val="000000"/>
        </w:rPr>
        <w:t xml:space="preserve">because one of two work-related fatalities was </w:t>
      </w:r>
      <w:r w:rsidR="00C172CB">
        <w:rPr>
          <w:rFonts w:asciiTheme="minorHAnsi" w:hAnsiTheme="minorHAnsi" w:cstheme="minorHAnsi"/>
          <w:color w:val="000000"/>
        </w:rPr>
        <w:t xml:space="preserve">not </w:t>
      </w:r>
      <w:r w:rsidR="008821E1">
        <w:rPr>
          <w:rFonts w:asciiTheme="minorHAnsi" w:hAnsiTheme="minorHAnsi" w:cstheme="minorHAnsi"/>
          <w:color w:val="000000"/>
        </w:rPr>
        <w:t>investigated in one workday.</w:t>
      </w:r>
      <w:r w:rsidRPr="004E49E1">
        <w:rPr>
          <w:rFonts w:asciiTheme="minorHAnsi" w:hAnsiTheme="minorHAnsi" w:cstheme="minorHAnsi"/>
          <w:color w:val="000000"/>
        </w:rPr>
        <w:t xml:space="preserve"> </w:t>
      </w:r>
      <w:r w:rsidR="00315339">
        <w:rPr>
          <w:rFonts w:asciiTheme="minorHAnsi" w:hAnsiTheme="minorHAnsi" w:cstheme="minorHAnsi"/>
          <w:color w:val="000000"/>
        </w:rPr>
        <w:t xml:space="preserve"> </w:t>
      </w:r>
    </w:p>
    <w:p w14:paraId="2A7CD3AB" w14:textId="77777777" w:rsidR="004E49E1" w:rsidRPr="004E49E1" w:rsidRDefault="004E49E1" w:rsidP="004E49E1">
      <w:pPr>
        <w:widowControl/>
        <w:rPr>
          <w:rFonts w:asciiTheme="minorHAnsi" w:hAnsiTheme="minorHAnsi" w:cstheme="minorHAnsi"/>
          <w:color w:val="000000"/>
        </w:rPr>
      </w:pPr>
    </w:p>
    <w:p w14:paraId="2159C280" w14:textId="15B347FF" w:rsidR="004C4897" w:rsidRDefault="004E49E1" w:rsidP="00333020">
      <w:pPr>
        <w:widowControl/>
        <w:kinsoku w:val="0"/>
        <w:overflowPunct w:val="0"/>
        <w:ind w:right="250"/>
        <w:rPr>
          <w:rFonts w:asciiTheme="minorHAnsi" w:hAnsiTheme="minorHAnsi" w:cstheme="minorHAnsi"/>
          <w:bCs/>
          <w:kern w:val="32"/>
          <w:lang w:bidi="en-US"/>
        </w:rPr>
      </w:pPr>
      <w:r w:rsidRPr="004E49E1">
        <w:rPr>
          <w:rFonts w:asciiTheme="minorHAnsi" w:hAnsiTheme="minorHAnsi" w:cstheme="minorHAnsi"/>
          <w:u w:val="single"/>
        </w:rPr>
        <w:t>Explanation</w:t>
      </w:r>
      <w:r w:rsidRPr="004E49E1">
        <w:rPr>
          <w:rFonts w:asciiTheme="minorHAnsi" w:hAnsiTheme="minorHAnsi" w:cstheme="minorHAnsi"/>
        </w:rPr>
        <w:t xml:space="preserve">: </w:t>
      </w:r>
      <w:r w:rsidR="004C4897" w:rsidRPr="00AD7423">
        <w:rPr>
          <w:rFonts w:asciiTheme="minorHAnsi" w:hAnsiTheme="minorHAnsi" w:cstheme="minorHAnsi"/>
        </w:rPr>
        <w:t xml:space="preserve">In FY 2024, </w:t>
      </w:r>
      <w:r w:rsidR="00597A1C">
        <w:rPr>
          <w:rFonts w:asciiTheme="minorHAnsi" w:hAnsiTheme="minorHAnsi" w:cstheme="minorHAnsi"/>
        </w:rPr>
        <w:t xml:space="preserve">the fatality that </w:t>
      </w:r>
      <w:r w:rsidR="005B45EA">
        <w:rPr>
          <w:rFonts w:asciiTheme="minorHAnsi" w:hAnsiTheme="minorHAnsi" w:cstheme="minorHAnsi"/>
        </w:rPr>
        <w:t xml:space="preserve">was not investigated in </w:t>
      </w:r>
      <w:r w:rsidR="00597A1C">
        <w:rPr>
          <w:rFonts w:asciiTheme="minorHAnsi" w:hAnsiTheme="minorHAnsi" w:cstheme="minorHAnsi"/>
        </w:rPr>
        <w:t xml:space="preserve">one workday </w:t>
      </w:r>
      <w:r w:rsidR="00C3749A" w:rsidRPr="00AD7423">
        <w:rPr>
          <w:rFonts w:asciiTheme="minorHAnsi" w:hAnsiTheme="minorHAnsi" w:cstheme="minorHAnsi"/>
          <w:bCs/>
          <w:kern w:val="32"/>
          <w:lang w:bidi="en-US"/>
        </w:rPr>
        <w:t xml:space="preserve">involved </w:t>
      </w:r>
      <w:r w:rsidR="00FD7690" w:rsidRPr="00AD7423">
        <w:rPr>
          <w:rFonts w:asciiTheme="minorHAnsi" w:hAnsiTheme="minorHAnsi" w:cstheme="minorHAnsi"/>
          <w:bCs/>
          <w:kern w:val="32"/>
          <w:lang w:bidi="en-US"/>
        </w:rPr>
        <w:t xml:space="preserve">a worker who </w:t>
      </w:r>
      <w:r w:rsidR="004C4897" w:rsidRPr="00AD7423">
        <w:rPr>
          <w:rFonts w:asciiTheme="minorHAnsi" w:hAnsiTheme="minorHAnsi" w:cstheme="minorHAnsi"/>
          <w:bCs/>
          <w:kern w:val="32"/>
          <w:lang w:bidi="en-US"/>
        </w:rPr>
        <w:t xml:space="preserve">was </w:t>
      </w:r>
      <w:r w:rsidR="008A24FF">
        <w:rPr>
          <w:rFonts w:asciiTheme="minorHAnsi" w:hAnsiTheme="minorHAnsi" w:cstheme="minorHAnsi"/>
          <w:bCs/>
          <w:kern w:val="32"/>
          <w:lang w:bidi="en-US"/>
        </w:rPr>
        <w:t xml:space="preserve">struck by a vehicle </w:t>
      </w:r>
      <w:r w:rsidR="00491F9A" w:rsidRPr="00AD7423">
        <w:rPr>
          <w:rFonts w:asciiTheme="minorHAnsi" w:hAnsiTheme="minorHAnsi" w:cstheme="minorHAnsi"/>
          <w:bCs/>
          <w:kern w:val="32"/>
          <w:lang w:bidi="en-US"/>
        </w:rPr>
        <w:t xml:space="preserve">while picking up debris along </w:t>
      </w:r>
      <w:r w:rsidR="002F5DBD" w:rsidRPr="00AD7423">
        <w:rPr>
          <w:rFonts w:asciiTheme="minorHAnsi" w:hAnsiTheme="minorHAnsi" w:cstheme="minorHAnsi"/>
          <w:bCs/>
          <w:kern w:val="32"/>
          <w:lang w:bidi="en-US"/>
        </w:rPr>
        <w:t xml:space="preserve">a </w:t>
      </w:r>
      <w:r w:rsidR="00491F9A" w:rsidRPr="00AD7423">
        <w:rPr>
          <w:rFonts w:asciiTheme="minorHAnsi" w:hAnsiTheme="minorHAnsi" w:cstheme="minorHAnsi"/>
          <w:bCs/>
          <w:kern w:val="32"/>
          <w:lang w:bidi="en-US"/>
        </w:rPr>
        <w:t>highway</w:t>
      </w:r>
      <w:r w:rsidR="00E51A3D">
        <w:rPr>
          <w:rFonts w:asciiTheme="minorHAnsi" w:hAnsiTheme="minorHAnsi" w:cstheme="minorHAnsi"/>
          <w:bCs/>
          <w:kern w:val="32"/>
          <w:lang w:bidi="en-US"/>
        </w:rPr>
        <w:t>.</w:t>
      </w:r>
      <w:r w:rsidR="00D954CB" w:rsidRPr="00AD7423">
        <w:rPr>
          <w:rFonts w:asciiTheme="minorHAnsi" w:hAnsiTheme="minorHAnsi" w:cstheme="minorHAnsi"/>
          <w:bCs/>
          <w:kern w:val="32"/>
          <w:lang w:bidi="en-US"/>
        </w:rPr>
        <w:t xml:space="preserve"> </w:t>
      </w:r>
      <w:r w:rsidR="0031502B">
        <w:rPr>
          <w:rFonts w:asciiTheme="minorHAnsi" w:hAnsiTheme="minorHAnsi" w:cstheme="minorHAnsi"/>
          <w:bCs/>
          <w:kern w:val="32"/>
          <w:lang w:bidi="en-US"/>
        </w:rPr>
        <w:t xml:space="preserve"> </w:t>
      </w:r>
      <w:r w:rsidR="009D6AF5" w:rsidRPr="00AD7423">
        <w:rPr>
          <w:rFonts w:asciiTheme="minorHAnsi" w:hAnsiTheme="minorHAnsi" w:cstheme="minorHAnsi"/>
        </w:rPr>
        <w:t xml:space="preserve">The accident happened on a Saturday night, and later that </w:t>
      </w:r>
      <w:r w:rsidR="00987FD0">
        <w:rPr>
          <w:rFonts w:asciiTheme="minorHAnsi" w:hAnsiTheme="minorHAnsi" w:cstheme="minorHAnsi"/>
        </w:rPr>
        <w:t>night</w:t>
      </w:r>
      <w:r w:rsidR="009D6AF5" w:rsidRPr="00AD7423">
        <w:rPr>
          <w:rFonts w:asciiTheme="minorHAnsi" w:hAnsiTheme="minorHAnsi" w:cstheme="minorHAnsi"/>
        </w:rPr>
        <w:t xml:space="preserve">, </w:t>
      </w:r>
      <w:r w:rsidR="00D00EDA">
        <w:rPr>
          <w:rFonts w:asciiTheme="minorHAnsi" w:hAnsiTheme="minorHAnsi" w:cstheme="minorHAnsi"/>
        </w:rPr>
        <w:t>law enforcement</w:t>
      </w:r>
      <w:r w:rsidR="009D6AF5" w:rsidRPr="00AD7423">
        <w:rPr>
          <w:rFonts w:asciiTheme="minorHAnsi" w:hAnsiTheme="minorHAnsi" w:cstheme="minorHAnsi"/>
        </w:rPr>
        <w:t xml:space="preserve"> </w:t>
      </w:r>
      <w:r w:rsidR="000679AE">
        <w:rPr>
          <w:rFonts w:asciiTheme="minorHAnsi" w:hAnsiTheme="minorHAnsi" w:cstheme="minorHAnsi"/>
        </w:rPr>
        <w:t xml:space="preserve">processed the scene and </w:t>
      </w:r>
      <w:r w:rsidR="00A87B3D">
        <w:rPr>
          <w:rFonts w:asciiTheme="minorHAnsi" w:hAnsiTheme="minorHAnsi" w:cstheme="minorHAnsi"/>
        </w:rPr>
        <w:t xml:space="preserve">cleared </w:t>
      </w:r>
      <w:r w:rsidR="009D6AF5" w:rsidRPr="00AD7423">
        <w:rPr>
          <w:rFonts w:asciiTheme="minorHAnsi" w:hAnsiTheme="minorHAnsi" w:cstheme="minorHAnsi"/>
        </w:rPr>
        <w:t xml:space="preserve">the </w:t>
      </w:r>
      <w:r w:rsidR="000679AE">
        <w:rPr>
          <w:rFonts w:asciiTheme="minorHAnsi" w:hAnsiTheme="minorHAnsi" w:cstheme="minorHAnsi"/>
        </w:rPr>
        <w:t>highway</w:t>
      </w:r>
      <w:r w:rsidR="008E3C05">
        <w:rPr>
          <w:rFonts w:asciiTheme="minorHAnsi" w:hAnsiTheme="minorHAnsi" w:cstheme="minorHAnsi"/>
        </w:rPr>
        <w:t xml:space="preserve"> for </w:t>
      </w:r>
      <w:r w:rsidR="009A3B54">
        <w:rPr>
          <w:rFonts w:asciiTheme="minorHAnsi" w:hAnsiTheme="minorHAnsi" w:cstheme="minorHAnsi"/>
        </w:rPr>
        <w:t>regular use.</w:t>
      </w:r>
      <w:r w:rsidR="0031502B">
        <w:rPr>
          <w:rFonts w:asciiTheme="minorHAnsi" w:hAnsiTheme="minorHAnsi" w:cstheme="minorHAnsi"/>
        </w:rPr>
        <w:t xml:space="preserve"> </w:t>
      </w:r>
      <w:r w:rsidR="009D6AF5" w:rsidRPr="00AD7423">
        <w:rPr>
          <w:rFonts w:asciiTheme="minorHAnsi" w:hAnsiTheme="minorHAnsi" w:cstheme="minorHAnsi"/>
        </w:rPr>
        <w:t xml:space="preserve"> </w:t>
      </w:r>
      <w:r w:rsidR="00345A16" w:rsidRPr="00AD7423">
        <w:rPr>
          <w:rFonts w:asciiTheme="minorHAnsi" w:hAnsiTheme="minorHAnsi" w:cstheme="minorHAnsi"/>
        </w:rPr>
        <w:t xml:space="preserve">The next day (Sunday), the employer </w:t>
      </w:r>
      <w:r w:rsidR="0081169E">
        <w:rPr>
          <w:rFonts w:asciiTheme="minorHAnsi" w:hAnsiTheme="minorHAnsi" w:cstheme="minorHAnsi"/>
        </w:rPr>
        <w:t xml:space="preserve">informed </w:t>
      </w:r>
      <w:r w:rsidR="00345A16" w:rsidRPr="00AD7423">
        <w:rPr>
          <w:rFonts w:asciiTheme="minorHAnsi" w:hAnsiTheme="minorHAnsi" w:cstheme="minorHAnsi"/>
        </w:rPr>
        <w:t>WSHP</w:t>
      </w:r>
      <w:r w:rsidR="0081169E">
        <w:rPr>
          <w:rFonts w:asciiTheme="minorHAnsi" w:hAnsiTheme="minorHAnsi" w:cstheme="minorHAnsi"/>
        </w:rPr>
        <w:t xml:space="preserve"> </w:t>
      </w:r>
      <w:r w:rsidR="00345A16" w:rsidRPr="00AD7423">
        <w:rPr>
          <w:rFonts w:asciiTheme="minorHAnsi" w:hAnsiTheme="minorHAnsi" w:cstheme="minorHAnsi"/>
        </w:rPr>
        <w:t>of the fatality</w:t>
      </w:r>
      <w:r w:rsidR="00752990">
        <w:rPr>
          <w:rFonts w:asciiTheme="minorHAnsi" w:hAnsiTheme="minorHAnsi" w:cstheme="minorHAnsi"/>
        </w:rPr>
        <w:t xml:space="preserve"> by email,</w:t>
      </w:r>
      <w:r w:rsidR="00345A16" w:rsidRPr="00AD7423">
        <w:rPr>
          <w:rFonts w:asciiTheme="minorHAnsi" w:hAnsiTheme="minorHAnsi" w:cstheme="minorHAnsi"/>
        </w:rPr>
        <w:t xml:space="preserve"> but </w:t>
      </w:r>
      <w:r w:rsidR="00752990">
        <w:rPr>
          <w:rFonts w:asciiTheme="minorHAnsi" w:hAnsiTheme="minorHAnsi" w:cstheme="minorHAnsi"/>
        </w:rPr>
        <w:t xml:space="preserve">the </w:t>
      </w:r>
      <w:r w:rsidR="00B82C87">
        <w:rPr>
          <w:rFonts w:asciiTheme="minorHAnsi" w:hAnsiTheme="minorHAnsi" w:cstheme="minorHAnsi"/>
        </w:rPr>
        <w:t>message</w:t>
      </w:r>
      <w:r w:rsidR="00345A16" w:rsidRPr="00AD7423">
        <w:rPr>
          <w:rFonts w:asciiTheme="minorHAnsi" w:hAnsiTheme="minorHAnsi" w:cstheme="minorHAnsi"/>
        </w:rPr>
        <w:t xml:space="preserve"> </w:t>
      </w:r>
      <w:r w:rsidR="00752990">
        <w:rPr>
          <w:rFonts w:asciiTheme="minorHAnsi" w:hAnsiTheme="minorHAnsi" w:cstheme="minorHAnsi"/>
        </w:rPr>
        <w:t xml:space="preserve">was not read </w:t>
      </w:r>
      <w:r w:rsidR="00345A16" w:rsidRPr="00AD7423">
        <w:rPr>
          <w:rFonts w:asciiTheme="minorHAnsi" w:hAnsiTheme="minorHAnsi" w:cstheme="minorHAnsi"/>
        </w:rPr>
        <w:t>until Monday morning.</w:t>
      </w:r>
      <w:r w:rsidR="00333020">
        <w:rPr>
          <w:rFonts w:asciiTheme="minorHAnsi" w:hAnsiTheme="minorHAnsi" w:cstheme="minorHAnsi"/>
        </w:rPr>
        <w:t xml:space="preserve">  Since </w:t>
      </w:r>
      <w:r w:rsidR="006350C7">
        <w:rPr>
          <w:rFonts w:asciiTheme="minorHAnsi" w:hAnsiTheme="minorHAnsi" w:cstheme="minorHAnsi"/>
        </w:rPr>
        <w:t xml:space="preserve">the scene </w:t>
      </w:r>
      <w:r w:rsidR="00524B0A">
        <w:rPr>
          <w:rFonts w:asciiTheme="minorHAnsi" w:hAnsiTheme="minorHAnsi" w:cstheme="minorHAnsi"/>
        </w:rPr>
        <w:t xml:space="preserve">was cleared </w:t>
      </w:r>
      <w:r w:rsidR="00657714">
        <w:rPr>
          <w:rFonts w:asciiTheme="minorHAnsi" w:hAnsiTheme="minorHAnsi" w:cstheme="minorHAnsi"/>
        </w:rPr>
        <w:t xml:space="preserve">several </w:t>
      </w:r>
      <w:r w:rsidR="00333020">
        <w:rPr>
          <w:rFonts w:asciiTheme="minorHAnsi" w:hAnsiTheme="minorHAnsi" w:cstheme="minorHAnsi"/>
        </w:rPr>
        <w:t xml:space="preserve">hours before WSHP learned of the fatality, the State Plan directed staff to other inspections that were deemed to be more urgent.  </w:t>
      </w:r>
      <w:r w:rsidR="002B0001">
        <w:rPr>
          <w:rFonts w:asciiTheme="minorHAnsi" w:hAnsiTheme="minorHAnsi" w:cstheme="minorHAnsi"/>
          <w:bCs/>
          <w:kern w:val="32"/>
          <w:lang w:bidi="en-US"/>
        </w:rPr>
        <w:t xml:space="preserve">Thus, </w:t>
      </w:r>
      <w:r w:rsidR="002B0001" w:rsidRPr="002B0001">
        <w:rPr>
          <w:rFonts w:asciiTheme="minorHAnsi" w:hAnsiTheme="minorHAnsi" w:cstheme="minorHAnsi"/>
          <w:bCs/>
          <w:kern w:val="32"/>
          <w:lang w:bidi="en-US"/>
        </w:rPr>
        <w:t xml:space="preserve">OSHA understands why the fatality investigation </w:t>
      </w:r>
      <w:r w:rsidR="000D587B" w:rsidRPr="002B0001">
        <w:rPr>
          <w:rFonts w:asciiTheme="minorHAnsi" w:hAnsiTheme="minorHAnsi" w:cstheme="minorHAnsi"/>
          <w:bCs/>
          <w:kern w:val="32"/>
          <w:lang w:bidi="en-US"/>
        </w:rPr>
        <w:t>did not begin</w:t>
      </w:r>
      <w:r w:rsidR="002B0001" w:rsidRPr="002B0001">
        <w:rPr>
          <w:rFonts w:asciiTheme="minorHAnsi" w:hAnsiTheme="minorHAnsi" w:cstheme="minorHAnsi"/>
          <w:bCs/>
          <w:kern w:val="32"/>
          <w:lang w:bidi="en-US"/>
        </w:rPr>
        <w:t xml:space="preserve"> in one </w:t>
      </w:r>
      <w:r w:rsidR="00093BA1">
        <w:rPr>
          <w:rFonts w:asciiTheme="minorHAnsi" w:hAnsiTheme="minorHAnsi" w:cstheme="minorHAnsi"/>
          <w:bCs/>
          <w:kern w:val="32"/>
          <w:lang w:bidi="en-US"/>
        </w:rPr>
        <w:t>work</w:t>
      </w:r>
      <w:r w:rsidR="002B0001" w:rsidRPr="002B0001">
        <w:rPr>
          <w:rFonts w:asciiTheme="minorHAnsi" w:hAnsiTheme="minorHAnsi" w:cstheme="minorHAnsi"/>
          <w:bCs/>
          <w:kern w:val="32"/>
          <w:lang w:bidi="en-US"/>
        </w:rPr>
        <w:t xml:space="preserve">day. </w:t>
      </w:r>
      <w:r w:rsidR="000B62E1">
        <w:rPr>
          <w:rFonts w:asciiTheme="minorHAnsi" w:hAnsiTheme="minorHAnsi" w:cstheme="minorHAnsi"/>
          <w:bCs/>
          <w:kern w:val="32"/>
          <w:lang w:bidi="en-US"/>
        </w:rPr>
        <w:t xml:space="preserve"> </w:t>
      </w:r>
      <w:r w:rsidR="002B0001" w:rsidRPr="002B0001">
        <w:rPr>
          <w:rFonts w:asciiTheme="minorHAnsi" w:hAnsiTheme="minorHAnsi" w:cstheme="minorHAnsi"/>
          <w:bCs/>
          <w:kern w:val="32"/>
          <w:lang w:bidi="en-US"/>
        </w:rPr>
        <w:t xml:space="preserve">Due to the specific circumstances of this </w:t>
      </w:r>
      <w:r w:rsidR="002B0001" w:rsidRPr="002B0001">
        <w:rPr>
          <w:rFonts w:asciiTheme="minorHAnsi" w:hAnsiTheme="minorHAnsi" w:cstheme="minorHAnsi"/>
          <w:bCs/>
          <w:kern w:val="32"/>
          <w:lang w:bidi="en-US"/>
        </w:rPr>
        <w:lastRenderedPageBreak/>
        <w:t>case</w:t>
      </w:r>
      <w:r w:rsidR="00F70D36">
        <w:rPr>
          <w:rFonts w:asciiTheme="minorHAnsi" w:hAnsiTheme="minorHAnsi" w:cstheme="minorHAnsi"/>
          <w:bCs/>
          <w:kern w:val="32"/>
          <w:lang w:bidi="en-US"/>
        </w:rPr>
        <w:t>,</w:t>
      </w:r>
      <w:r w:rsidR="002B0001" w:rsidRPr="002B0001">
        <w:rPr>
          <w:rFonts w:asciiTheme="minorHAnsi" w:hAnsiTheme="minorHAnsi" w:cstheme="minorHAnsi"/>
          <w:bCs/>
          <w:kern w:val="32"/>
          <w:lang w:bidi="en-US"/>
        </w:rPr>
        <w:t xml:space="preserve"> OSHA has decided further assessment of the </w:t>
      </w:r>
      <w:r w:rsidR="00F70D36">
        <w:rPr>
          <w:rFonts w:asciiTheme="minorHAnsi" w:hAnsiTheme="minorHAnsi" w:cstheme="minorHAnsi"/>
          <w:bCs/>
          <w:kern w:val="32"/>
          <w:lang w:bidi="en-US"/>
        </w:rPr>
        <w:t>S</w:t>
      </w:r>
      <w:r w:rsidR="002B0001" w:rsidRPr="002B0001">
        <w:rPr>
          <w:rFonts w:asciiTheme="minorHAnsi" w:hAnsiTheme="minorHAnsi" w:cstheme="minorHAnsi"/>
          <w:bCs/>
          <w:kern w:val="32"/>
          <w:lang w:bidi="en-US"/>
        </w:rPr>
        <w:t>tate</w:t>
      </w:r>
      <w:r w:rsidR="00F70D36">
        <w:rPr>
          <w:rFonts w:asciiTheme="minorHAnsi" w:hAnsiTheme="minorHAnsi" w:cstheme="minorHAnsi"/>
          <w:bCs/>
          <w:kern w:val="32"/>
          <w:lang w:bidi="en-US"/>
        </w:rPr>
        <w:t xml:space="preserve"> Plan</w:t>
      </w:r>
      <w:r w:rsidR="002B0001" w:rsidRPr="002B0001">
        <w:rPr>
          <w:rFonts w:asciiTheme="minorHAnsi" w:hAnsiTheme="minorHAnsi" w:cstheme="minorHAnsi"/>
          <w:bCs/>
          <w:kern w:val="32"/>
          <w:lang w:bidi="en-US"/>
        </w:rPr>
        <w:t xml:space="preserve">’s response time to fatalities is unnecessary </w:t>
      </w:r>
      <w:proofErr w:type="gramStart"/>
      <w:r w:rsidR="002B0001" w:rsidRPr="002B0001">
        <w:rPr>
          <w:rFonts w:asciiTheme="minorHAnsi" w:hAnsiTheme="minorHAnsi" w:cstheme="minorHAnsi"/>
          <w:bCs/>
          <w:kern w:val="32"/>
          <w:lang w:bidi="en-US"/>
        </w:rPr>
        <w:t>at this time</w:t>
      </w:r>
      <w:proofErr w:type="gramEnd"/>
      <w:r w:rsidR="002B0001" w:rsidRPr="002B0001">
        <w:rPr>
          <w:rFonts w:asciiTheme="minorHAnsi" w:hAnsiTheme="minorHAnsi" w:cstheme="minorHAnsi"/>
          <w:bCs/>
          <w:kern w:val="32"/>
          <w:lang w:bidi="en-US"/>
        </w:rPr>
        <w:t>.</w:t>
      </w:r>
    </w:p>
    <w:bookmarkEnd w:id="26"/>
    <w:p w14:paraId="68FBEC74" w14:textId="77777777" w:rsidR="00E706F1" w:rsidRDefault="00E706F1" w:rsidP="00333020">
      <w:pPr>
        <w:widowControl/>
        <w:kinsoku w:val="0"/>
        <w:overflowPunct w:val="0"/>
        <w:ind w:right="250"/>
        <w:rPr>
          <w:rFonts w:asciiTheme="minorHAnsi" w:hAnsiTheme="minorHAnsi" w:cstheme="minorHAnsi"/>
          <w:bCs/>
          <w:kern w:val="32"/>
          <w:lang w:bidi="en-US"/>
        </w:rPr>
      </w:pPr>
    </w:p>
    <w:p w14:paraId="32AA1B27" w14:textId="66EEAB5A" w:rsidR="00E706F1" w:rsidRPr="00E706F1" w:rsidRDefault="00E706F1" w:rsidP="00333020">
      <w:pPr>
        <w:widowControl/>
        <w:kinsoku w:val="0"/>
        <w:overflowPunct w:val="0"/>
        <w:ind w:right="250"/>
        <w:rPr>
          <w:rFonts w:asciiTheme="minorHAnsi" w:hAnsiTheme="minorHAnsi" w:cstheme="minorHAnsi"/>
          <w:b/>
        </w:rPr>
      </w:pPr>
      <w:r w:rsidRPr="00E706F1">
        <w:rPr>
          <w:rFonts w:asciiTheme="minorHAnsi" w:hAnsiTheme="minorHAnsi" w:cstheme="minorHAnsi"/>
          <w:b/>
          <w:kern w:val="32"/>
          <w:lang w:bidi="en-US"/>
        </w:rPr>
        <w:t>SAMM 13 - Percent of initial inspections with worker walk-around representation or worker interview</w:t>
      </w:r>
    </w:p>
    <w:p w14:paraId="3AE63ACF" w14:textId="4E13A932" w:rsidR="004E49E1" w:rsidRDefault="00771100" w:rsidP="00225433">
      <w:pPr>
        <w:widowControl/>
        <w:kinsoku w:val="0"/>
        <w:overflowPunct w:val="0"/>
        <w:ind w:right="250"/>
        <w:rPr>
          <w:rFonts w:asciiTheme="minorHAnsi" w:hAnsiTheme="minorHAnsi" w:cstheme="minorHAnsi"/>
          <w:b/>
          <w:bCs/>
        </w:rPr>
      </w:pPr>
      <w:r>
        <w:rPr>
          <w:rFonts w:asciiTheme="minorHAnsi" w:hAnsiTheme="minorHAnsi" w:cstheme="minorHAnsi"/>
          <w:b/>
          <w:bCs/>
        </w:rPr>
        <w:t xml:space="preserve"> </w:t>
      </w:r>
    </w:p>
    <w:p w14:paraId="06A443DA" w14:textId="297E87D7" w:rsidR="00E706F1" w:rsidRDefault="00E706F1" w:rsidP="00E706F1">
      <w:pPr>
        <w:widowControl/>
        <w:rPr>
          <w:rFonts w:asciiTheme="minorHAnsi" w:hAnsiTheme="minorHAnsi" w:cstheme="minorHAnsi"/>
          <w:color w:val="000000"/>
        </w:rPr>
      </w:pPr>
      <w:r w:rsidRPr="004E49E1">
        <w:rPr>
          <w:rFonts w:asciiTheme="minorHAnsi" w:hAnsiTheme="minorHAnsi" w:cstheme="minorHAnsi"/>
          <w:color w:val="000000"/>
          <w:u w:val="single"/>
        </w:rPr>
        <w:t>Discussion of State Plan Data and FRL</w:t>
      </w:r>
      <w:r w:rsidRPr="002E2C9B">
        <w:rPr>
          <w:rFonts w:asciiTheme="minorHAnsi" w:hAnsiTheme="minorHAnsi" w:cstheme="minorHAnsi"/>
          <w:color w:val="000000"/>
        </w:rPr>
        <w:t>:</w:t>
      </w:r>
      <w:r w:rsidRPr="004E49E1">
        <w:rPr>
          <w:rFonts w:asciiTheme="minorHAnsi" w:hAnsiTheme="minorHAnsi" w:cstheme="minorHAnsi"/>
          <w:color w:val="000000"/>
        </w:rPr>
        <w:t xml:space="preserve"> The FRL of 100 percent was fixed for all State Plans.  </w:t>
      </w:r>
      <w:r w:rsidR="008666F6">
        <w:rPr>
          <w:rFonts w:asciiTheme="minorHAnsi" w:hAnsiTheme="minorHAnsi" w:cstheme="minorHAnsi"/>
          <w:color w:val="000000"/>
        </w:rPr>
        <w:t xml:space="preserve">In FY 2024, WSHP’s result </w:t>
      </w:r>
      <w:r w:rsidR="00FB2C2A">
        <w:rPr>
          <w:rFonts w:asciiTheme="minorHAnsi" w:hAnsiTheme="minorHAnsi" w:cstheme="minorHAnsi"/>
          <w:color w:val="000000"/>
        </w:rPr>
        <w:t>of</w:t>
      </w:r>
      <w:r w:rsidR="008666F6">
        <w:rPr>
          <w:rFonts w:asciiTheme="minorHAnsi" w:hAnsiTheme="minorHAnsi" w:cstheme="minorHAnsi"/>
          <w:color w:val="000000"/>
        </w:rPr>
        <w:t xml:space="preserve"> 99.</w:t>
      </w:r>
      <w:r w:rsidR="002D4BEE">
        <w:rPr>
          <w:rFonts w:asciiTheme="minorHAnsi" w:hAnsiTheme="minorHAnsi" w:cstheme="minorHAnsi"/>
          <w:color w:val="000000"/>
        </w:rPr>
        <w:t xml:space="preserve">47 percent </w:t>
      </w:r>
      <w:r w:rsidR="004E3AE9">
        <w:rPr>
          <w:rFonts w:asciiTheme="minorHAnsi" w:hAnsiTheme="minorHAnsi" w:cstheme="minorHAnsi"/>
          <w:color w:val="000000"/>
        </w:rPr>
        <w:t>was</w:t>
      </w:r>
      <w:r w:rsidR="002D4BEE">
        <w:rPr>
          <w:rFonts w:asciiTheme="minorHAnsi" w:hAnsiTheme="minorHAnsi" w:cstheme="minorHAnsi"/>
          <w:color w:val="000000"/>
        </w:rPr>
        <w:t xml:space="preserve"> outside (below) the FRL of 100 percent.  </w:t>
      </w:r>
    </w:p>
    <w:p w14:paraId="7A98B924" w14:textId="767375FB" w:rsidR="00093DC2" w:rsidRPr="004E49E1" w:rsidRDefault="00093DC2" w:rsidP="00E706F1">
      <w:pPr>
        <w:widowControl/>
        <w:rPr>
          <w:rFonts w:asciiTheme="minorHAnsi" w:hAnsiTheme="minorHAnsi" w:cstheme="minorHAnsi"/>
          <w:color w:val="000000"/>
        </w:rPr>
      </w:pPr>
    </w:p>
    <w:p w14:paraId="7A7ED415" w14:textId="472E48CD" w:rsidR="00F336D5" w:rsidRDefault="00E706F1" w:rsidP="00260DD2">
      <w:pPr>
        <w:widowControl/>
        <w:kinsoku w:val="0"/>
        <w:overflowPunct w:val="0"/>
        <w:ind w:right="250"/>
        <w:rPr>
          <w:rFonts w:asciiTheme="minorHAnsi" w:hAnsiTheme="minorHAnsi" w:cstheme="minorHAnsi"/>
          <w:bCs/>
          <w:kern w:val="32"/>
          <w:lang w:bidi="en-US"/>
        </w:rPr>
      </w:pPr>
      <w:r w:rsidRPr="004E49E1">
        <w:rPr>
          <w:rFonts w:asciiTheme="minorHAnsi" w:hAnsiTheme="minorHAnsi" w:cstheme="minorHAnsi"/>
          <w:u w:val="single"/>
        </w:rPr>
        <w:t>Explanation</w:t>
      </w:r>
      <w:r w:rsidRPr="004E49E1">
        <w:rPr>
          <w:rFonts w:asciiTheme="minorHAnsi" w:hAnsiTheme="minorHAnsi" w:cstheme="minorHAnsi"/>
        </w:rPr>
        <w:t xml:space="preserve">: </w:t>
      </w:r>
      <w:r w:rsidRPr="00AD7423">
        <w:rPr>
          <w:rFonts w:asciiTheme="minorHAnsi" w:hAnsiTheme="minorHAnsi" w:cstheme="minorHAnsi"/>
        </w:rPr>
        <w:t xml:space="preserve">In FY 2024, </w:t>
      </w:r>
      <w:r w:rsidR="00DC5A4B">
        <w:rPr>
          <w:rFonts w:asciiTheme="minorHAnsi" w:hAnsiTheme="minorHAnsi" w:cstheme="minorHAnsi"/>
        </w:rPr>
        <w:t xml:space="preserve">WSHP conducted </w:t>
      </w:r>
      <w:r w:rsidR="00153E79">
        <w:rPr>
          <w:rFonts w:asciiTheme="minorHAnsi" w:hAnsiTheme="minorHAnsi" w:cstheme="minorHAnsi"/>
        </w:rPr>
        <w:t xml:space="preserve">a complaint </w:t>
      </w:r>
      <w:r w:rsidR="00DC5A4B">
        <w:rPr>
          <w:rFonts w:asciiTheme="minorHAnsi" w:hAnsiTheme="minorHAnsi" w:cstheme="minorHAnsi"/>
        </w:rPr>
        <w:t xml:space="preserve">inspection at </w:t>
      </w:r>
      <w:r w:rsidR="00D5257F">
        <w:rPr>
          <w:rFonts w:asciiTheme="minorHAnsi" w:hAnsiTheme="minorHAnsi" w:cstheme="minorHAnsi"/>
        </w:rPr>
        <w:t xml:space="preserve">a </w:t>
      </w:r>
      <w:r w:rsidR="00DC5A4B">
        <w:rPr>
          <w:rFonts w:asciiTheme="minorHAnsi" w:hAnsiTheme="minorHAnsi" w:cstheme="minorHAnsi"/>
        </w:rPr>
        <w:t>volunteer fire</w:t>
      </w:r>
      <w:r w:rsidR="004C2D6B">
        <w:rPr>
          <w:rFonts w:asciiTheme="minorHAnsi" w:hAnsiTheme="minorHAnsi" w:cstheme="minorHAnsi"/>
        </w:rPr>
        <w:t xml:space="preserve"> </w:t>
      </w:r>
      <w:r w:rsidR="00DC5A4B">
        <w:rPr>
          <w:rFonts w:asciiTheme="minorHAnsi" w:hAnsiTheme="minorHAnsi" w:cstheme="minorHAnsi"/>
        </w:rPr>
        <w:t>company</w:t>
      </w:r>
      <w:r w:rsidR="00D5257F">
        <w:rPr>
          <w:rFonts w:asciiTheme="minorHAnsi" w:hAnsiTheme="minorHAnsi" w:cstheme="minorHAnsi"/>
        </w:rPr>
        <w:t xml:space="preserve"> </w:t>
      </w:r>
      <w:r w:rsidR="00153E79">
        <w:rPr>
          <w:rFonts w:asciiTheme="minorHAnsi" w:hAnsiTheme="minorHAnsi" w:cstheme="minorHAnsi"/>
        </w:rPr>
        <w:t xml:space="preserve">when </w:t>
      </w:r>
      <w:r w:rsidR="00D5257F">
        <w:rPr>
          <w:rFonts w:asciiTheme="minorHAnsi" w:hAnsiTheme="minorHAnsi" w:cstheme="minorHAnsi"/>
        </w:rPr>
        <w:t>there were no v</w:t>
      </w:r>
      <w:r w:rsidR="00213634">
        <w:rPr>
          <w:rFonts w:asciiTheme="minorHAnsi" w:hAnsiTheme="minorHAnsi" w:cstheme="minorHAnsi"/>
        </w:rPr>
        <w:t>olunteer firefighter</w:t>
      </w:r>
      <w:r w:rsidR="00D5257F">
        <w:rPr>
          <w:rFonts w:asciiTheme="minorHAnsi" w:hAnsiTheme="minorHAnsi" w:cstheme="minorHAnsi"/>
        </w:rPr>
        <w:t>s</w:t>
      </w:r>
      <w:r w:rsidR="00213634">
        <w:rPr>
          <w:rFonts w:asciiTheme="minorHAnsi" w:hAnsiTheme="minorHAnsi" w:cstheme="minorHAnsi"/>
        </w:rPr>
        <w:t xml:space="preserve"> available to </w:t>
      </w:r>
      <w:r w:rsidR="0020406A">
        <w:rPr>
          <w:rFonts w:asciiTheme="minorHAnsi" w:hAnsiTheme="minorHAnsi" w:cstheme="minorHAnsi"/>
        </w:rPr>
        <w:t xml:space="preserve">take part </w:t>
      </w:r>
      <w:r w:rsidR="004D68ED">
        <w:rPr>
          <w:rFonts w:asciiTheme="minorHAnsi" w:hAnsiTheme="minorHAnsi" w:cstheme="minorHAnsi"/>
        </w:rPr>
        <w:t>in the walk-</w:t>
      </w:r>
      <w:r w:rsidR="00E22678">
        <w:rPr>
          <w:rFonts w:asciiTheme="minorHAnsi" w:hAnsiTheme="minorHAnsi" w:cstheme="minorHAnsi"/>
        </w:rPr>
        <w:t>around and</w:t>
      </w:r>
      <w:r w:rsidR="0020406A">
        <w:rPr>
          <w:rFonts w:asciiTheme="minorHAnsi" w:hAnsiTheme="minorHAnsi" w:cstheme="minorHAnsi"/>
        </w:rPr>
        <w:t xml:space="preserve"> </w:t>
      </w:r>
      <w:r w:rsidR="004D68ED">
        <w:rPr>
          <w:rFonts w:asciiTheme="minorHAnsi" w:hAnsiTheme="minorHAnsi" w:cstheme="minorHAnsi"/>
        </w:rPr>
        <w:t>interview</w:t>
      </w:r>
      <w:r w:rsidR="0020406A">
        <w:rPr>
          <w:rFonts w:asciiTheme="minorHAnsi" w:hAnsiTheme="minorHAnsi" w:cstheme="minorHAnsi"/>
        </w:rPr>
        <w:t>s</w:t>
      </w:r>
      <w:r w:rsidR="004D68ED">
        <w:rPr>
          <w:rFonts w:asciiTheme="minorHAnsi" w:hAnsiTheme="minorHAnsi" w:cstheme="minorHAnsi"/>
        </w:rPr>
        <w:t xml:space="preserve">. </w:t>
      </w:r>
      <w:r w:rsidR="00752990">
        <w:rPr>
          <w:rFonts w:asciiTheme="minorHAnsi" w:hAnsiTheme="minorHAnsi" w:cstheme="minorHAnsi"/>
        </w:rPr>
        <w:t xml:space="preserve"> </w:t>
      </w:r>
      <w:r w:rsidR="006941BC">
        <w:rPr>
          <w:rFonts w:asciiTheme="minorHAnsi" w:hAnsiTheme="minorHAnsi" w:cstheme="minorHAnsi"/>
        </w:rPr>
        <w:t xml:space="preserve">This </w:t>
      </w:r>
      <w:r w:rsidR="005574E0">
        <w:rPr>
          <w:rFonts w:asciiTheme="minorHAnsi" w:hAnsiTheme="minorHAnsi" w:cstheme="minorHAnsi"/>
        </w:rPr>
        <w:t>wa</w:t>
      </w:r>
      <w:r w:rsidR="006941BC">
        <w:rPr>
          <w:rFonts w:asciiTheme="minorHAnsi" w:hAnsiTheme="minorHAnsi" w:cstheme="minorHAnsi"/>
        </w:rPr>
        <w:t xml:space="preserve">s because the </w:t>
      </w:r>
      <w:r w:rsidR="0020406A">
        <w:rPr>
          <w:rFonts w:asciiTheme="minorHAnsi" w:hAnsiTheme="minorHAnsi" w:cstheme="minorHAnsi"/>
        </w:rPr>
        <w:t xml:space="preserve">volunteers were working at their day jobs when the inspection was conducted. </w:t>
      </w:r>
      <w:r w:rsidR="00752990">
        <w:rPr>
          <w:rFonts w:asciiTheme="minorHAnsi" w:hAnsiTheme="minorHAnsi" w:cstheme="minorHAnsi"/>
        </w:rPr>
        <w:t xml:space="preserve"> </w:t>
      </w:r>
      <w:r w:rsidR="005E3D80">
        <w:rPr>
          <w:rFonts w:asciiTheme="minorHAnsi" w:hAnsiTheme="minorHAnsi" w:cstheme="minorHAnsi"/>
        </w:rPr>
        <w:t>T</w:t>
      </w:r>
      <w:r w:rsidR="00543483">
        <w:rPr>
          <w:rFonts w:asciiTheme="minorHAnsi" w:hAnsiTheme="minorHAnsi" w:cstheme="minorHAnsi"/>
        </w:rPr>
        <w:t>he State Plan’s</w:t>
      </w:r>
      <w:r w:rsidR="005E3D80">
        <w:rPr>
          <w:rFonts w:asciiTheme="minorHAnsi" w:hAnsiTheme="minorHAnsi" w:cstheme="minorHAnsi"/>
        </w:rPr>
        <w:t xml:space="preserve"> outcome is not overly concerning because it was </w:t>
      </w:r>
      <w:r w:rsidR="00D5257F">
        <w:rPr>
          <w:rFonts w:asciiTheme="minorHAnsi" w:hAnsiTheme="minorHAnsi" w:cstheme="minorHAnsi"/>
        </w:rPr>
        <w:t xml:space="preserve">a unique situation </w:t>
      </w:r>
      <w:r w:rsidR="00F30956">
        <w:rPr>
          <w:rFonts w:asciiTheme="minorHAnsi" w:hAnsiTheme="minorHAnsi" w:cstheme="minorHAnsi"/>
        </w:rPr>
        <w:t>involving</w:t>
      </w:r>
      <w:r w:rsidR="00070C3C">
        <w:rPr>
          <w:rFonts w:asciiTheme="minorHAnsi" w:hAnsiTheme="minorHAnsi" w:cstheme="minorHAnsi"/>
        </w:rPr>
        <w:t xml:space="preserve"> only one of the 189 inspections conducted by WSHP in 2024.  </w:t>
      </w:r>
    </w:p>
    <w:p w14:paraId="143756CC" w14:textId="77777777" w:rsidR="00260DD2" w:rsidRPr="00260DD2" w:rsidRDefault="00260DD2" w:rsidP="00260DD2">
      <w:pPr>
        <w:widowControl/>
        <w:kinsoku w:val="0"/>
        <w:overflowPunct w:val="0"/>
        <w:ind w:right="250"/>
        <w:rPr>
          <w:rFonts w:asciiTheme="minorHAnsi" w:hAnsiTheme="minorHAnsi" w:cstheme="minorHAnsi"/>
          <w:bCs/>
          <w:kern w:val="32"/>
          <w:lang w:bidi="en-US"/>
        </w:rPr>
      </w:pPr>
    </w:p>
    <w:p w14:paraId="4FBDC364" w14:textId="77777777" w:rsidR="00F336D5" w:rsidRDefault="00F336D5" w:rsidP="007A71AC">
      <w:pPr>
        <w:widowControl/>
        <w:autoSpaceDE/>
        <w:autoSpaceDN/>
        <w:adjustRightInd/>
        <w:rPr>
          <w:rFonts w:cs="Calibri"/>
          <w:iCs/>
          <w:color w:val="0070C0"/>
        </w:rPr>
      </w:pPr>
    </w:p>
    <w:p w14:paraId="7ADC5474" w14:textId="6988D046" w:rsidR="00F336D5" w:rsidRPr="00F336D5" w:rsidRDefault="00F336D5" w:rsidP="00357AAD">
      <w:pPr>
        <w:pStyle w:val="Heading3"/>
        <w:numPr>
          <w:ilvl w:val="0"/>
          <w:numId w:val="0"/>
        </w:numPr>
        <w:ind w:left="360"/>
      </w:pPr>
      <w:r w:rsidRPr="007A72D9">
        <w:t>D.</w:t>
      </w:r>
      <w:r w:rsidRPr="00F336D5">
        <w:t xml:space="preserve">   S</w:t>
      </w:r>
      <w:r w:rsidR="00357AAD">
        <w:t>tat</w:t>
      </w:r>
      <w:r w:rsidRPr="00F336D5">
        <w:t xml:space="preserve">us of </w:t>
      </w:r>
      <w:r w:rsidR="00357AAD">
        <w:t>D</w:t>
      </w:r>
      <w:r w:rsidRPr="00F336D5">
        <w:t xml:space="preserve">evelopmental </w:t>
      </w:r>
      <w:r w:rsidR="00357AAD">
        <w:t>Sc</w:t>
      </w:r>
      <w:r w:rsidRPr="00F336D5">
        <w:t>hedule</w:t>
      </w:r>
    </w:p>
    <w:p w14:paraId="71A0EDFC" w14:textId="77777777" w:rsidR="00F336D5" w:rsidRPr="00F336D5" w:rsidRDefault="00F336D5" w:rsidP="00F336D5">
      <w:pPr>
        <w:widowControl/>
        <w:autoSpaceDE/>
        <w:autoSpaceDN/>
        <w:adjustRightInd/>
        <w:rPr>
          <w:rFonts w:asciiTheme="minorHAnsi" w:eastAsia="Calibri" w:hAnsiTheme="minorHAnsi" w:cstheme="minorHAnsi"/>
          <w:sz w:val="22"/>
          <w:szCs w:val="22"/>
          <w14:ligatures w14:val="standardContextual"/>
        </w:rPr>
      </w:pPr>
    </w:p>
    <w:p w14:paraId="45D6C286" w14:textId="39031621"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14:ligatures w14:val="standardContextual"/>
        </w:rPr>
        <w:t xml:space="preserve">As noted earlier, WSHP was approved as a </w:t>
      </w:r>
      <w:r w:rsidR="00B2189B">
        <w:rPr>
          <w:rFonts w:asciiTheme="minorHAnsi" w:eastAsia="Calibri" w:hAnsiTheme="minorHAnsi" w:cstheme="minorHAnsi"/>
          <w14:ligatures w14:val="standardContextual"/>
        </w:rPr>
        <w:t>d</w:t>
      </w:r>
      <w:r w:rsidRPr="00F336D5">
        <w:rPr>
          <w:rFonts w:asciiTheme="minorHAnsi" w:eastAsia="Calibri" w:hAnsiTheme="minorHAnsi" w:cstheme="minorHAnsi"/>
          <w14:ligatures w14:val="standardContextual"/>
        </w:rPr>
        <w:t xml:space="preserve">evelopmental </w:t>
      </w:r>
      <w:r w:rsidR="00B2189B">
        <w:rPr>
          <w:rFonts w:asciiTheme="minorHAnsi" w:eastAsia="Calibri" w:hAnsiTheme="minorHAnsi" w:cstheme="minorHAnsi"/>
          <w14:ligatures w14:val="standardContextual"/>
        </w:rPr>
        <w:t xml:space="preserve">State and Local Government </w:t>
      </w:r>
      <w:r w:rsidRPr="00F336D5">
        <w:rPr>
          <w:rFonts w:asciiTheme="minorHAnsi" w:eastAsia="Calibri" w:hAnsiTheme="minorHAnsi" w:cstheme="minorHAnsi"/>
          <w14:ligatures w14:val="standardContextual"/>
        </w:rPr>
        <w:t xml:space="preserve">Plan under the OSH Act of 1970 and OSHA regulations.  This means although some of the criteria set forth in 29 CFR 1956.10 and 1956.11 were not fully met at the time the approval was granted, August 18, 2022, the State Plan received initial approval with the condition that they meet these criteria or “developmental steps” within three years.  As such, a developmental schedule has been established for WSHP </w:t>
      </w:r>
      <w:r w:rsidR="002A4EA5">
        <w:rPr>
          <w:rFonts w:asciiTheme="minorHAnsi" w:eastAsia="Calibri" w:hAnsiTheme="minorHAnsi" w:cstheme="minorHAnsi"/>
          <w14:ligatures w14:val="standardContextual"/>
        </w:rPr>
        <w:t>and</w:t>
      </w:r>
      <w:r w:rsidRPr="00F336D5">
        <w:rPr>
          <w:rFonts w:asciiTheme="minorHAnsi" w:eastAsia="Calibri" w:hAnsiTheme="minorHAnsi" w:cstheme="minorHAnsi"/>
          <w14:ligatures w14:val="standardContextual"/>
        </w:rPr>
        <w:t xml:space="preserve"> must be completed by August 18, 2025. </w:t>
      </w:r>
    </w:p>
    <w:p w14:paraId="5AF170C2"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p>
    <w:p w14:paraId="047FA718" w14:textId="05092EA8" w:rsidR="009352D7" w:rsidRPr="00F336D5" w:rsidRDefault="00F336D5" w:rsidP="00F336D5">
      <w:pPr>
        <w:widowControl/>
        <w:autoSpaceDE/>
        <w:autoSpaceDN/>
        <w:adjustRightInd/>
        <w:rPr>
          <w:rFonts w:asciiTheme="minorHAnsi" w:eastAsia="Calibri" w:hAnsiTheme="minorHAnsi" w:cstheme="minorBidi"/>
          <w14:ligatures w14:val="standardContextual"/>
        </w:rPr>
      </w:pPr>
      <w:r w:rsidRPr="724D6EB8">
        <w:rPr>
          <w:rFonts w:asciiTheme="minorHAnsi" w:eastAsia="Calibri" w:hAnsiTheme="minorHAnsi" w:cstheme="minorBidi"/>
          <w14:ligatures w14:val="standardContextual"/>
        </w:rPr>
        <w:t>The table below summarizes WSHP’s developmental schedule and notes progress in completing each step.  Currently, OSHA does not foresee any obstacles to WSHP completing all developmental steps by the end of the three-year period</w:t>
      </w:r>
      <w:r w:rsidR="37BFD2B2" w:rsidRPr="724D6EB8">
        <w:rPr>
          <w:rFonts w:asciiTheme="minorHAnsi" w:eastAsia="Calibri" w:hAnsiTheme="minorHAnsi" w:cstheme="minorBidi"/>
          <w14:ligatures w14:val="standardContextual"/>
        </w:rPr>
        <w:t xml:space="preserve"> (</w:t>
      </w:r>
      <w:r w:rsidR="00BD53B9" w:rsidRPr="724D6EB8">
        <w:rPr>
          <w:rFonts w:asciiTheme="minorHAnsi" w:eastAsia="Calibri" w:hAnsiTheme="minorHAnsi" w:cstheme="minorBidi"/>
          <w14:ligatures w14:val="standardContextual"/>
        </w:rPr>
        <w:t>except for</w:t>
      </w:r>
      <w:r w:rsidR="37BFD2B2" w:rsidRPr="724D6EB8">
        <w:rPr>
          <w:rFonts w:asciiTheme="minorHAnsi" w:eastAsia="Calibri" w:hAnsiTheme="minorHAnsi" w:cstheme="minorBidi"/>
          <w14:ligatures w14:val="standardContextual"/>
        </w:rPr>
        <w:t xml:space="preserve"> delays caused by OSHA’s review of the MA FOM).</w:t>
      </w:r>
    </w:p>
    <w:p w14:paraId="6E064E45" w14:textId="77777777" w:rsidR="00F336D5" w:rsidRPr="00F336D5" w:rsidRDefault="00F336D5" w:rsidP="00F336D5">
      <w:pPr>
        <w:widowControl/>
        <w:autoSpaceDE/>
        <w:autoSpaceDN/>
        <w:adjustRightInd/>
        <w:rPr>
          <w:rFonts w:asciiTheme="minorHAnsi" w:eastAsia="Calibri" w:hAnsiTheme="minorHAnsi" w:cstheme="minorHAnsi"/>
          <w:sz w:val="22"/>
          <w:szCs w:val="22"/>
          <w14:ligatures w14:val="standardContextual"/>
        </w:rPr>
      </w:pPr>
    </w:p>
    <w:p w14:paraId="02F5A495" w14:textId="77777777" w:rsidR="00F336D5" w:rsidRPr="00F336D5" w:rsidRDefault="00F336D5" w:rsidP="00F336D5">
      <w:pPr>
        <w:widowControl/>
        <w:autoSpaceDE/>
        <w:autoSpaceDN/>
        <w:adjustRightInd/>
        <w:rPr>
          <w:rFonts w:asciiTheme="minorHAnsi" w:eastAsia="Calibri" w:hAnsiTheme="minorHAnsi" w:cstheme="minorHAnsi"/>
          <w:sz w:val="22"/>
          <w:szCs w:val="22"/>
          <w14:ligatures w14:val="standardContextual"/>
        </w:rPr>
      </w:pPr>
    </w:p>
    <w:tbl>
      <w:tblPr>
        <w:tblStyle w:val="TableGrid"/>
        <w:tblW w:w="9715" w:type="dxa"/>
        <w:tblLook w:val="04A0" w:firstRow="1" w:lastRow="0" w:firstColumn="1" w:lastColumn="0" w:noHBand="0" w:noVBand="1"/>
      </w:tblPr>
      <w:tblGrid>
        <w:gridCol w:w="663"/>
        <w:gridCol w:w="4944"/>
        <w:gridCol w:w="4108"/>
      </w:tblGrid>
      <w:tr w:rsidR="00F336D5" w:rsidRPr="00F336D5" w14:paraId="2C9AB8BA" w14:textId="77777777" w:rsidTr="00E32291">
        <w:tc>
          <w:tcPr>
            <w:tcW w:w="626" w:type="dxa"/>
          </w:tcPr>
          <w:p w14:paraId="24B790D1" w14:textId="77777777" w:rsidR="00F336D5" w:rsidRPr="00F336D5" w:rsidRDefault="00F336D5" w:rsidP="00F336D5">
            <w:pPr>
              <w:widowControl/>
              <w:autoSpaceDE/>
              <w:autoSpaceDN/>
              <w:adjustRightInd/>
              <w:rPr>
                <w:rFonts w:asciiTheme="minorHAnsi" w:eastAsia="Calibri" w:hAnsiTheme="minorHAnsi" w:cstheme="minorHAnsi"/>
                <w:b/>
                <w:bCs/>
                <w14:ligatures w14:val="standardContextual"/>
              </w:rPr>
            </w:pPr>
            <w:r w:rsidRPr="00F336D5">
              <w:rPr>
                <w:rFonts w:asciiTheme="minorHAnsi" w:eastAsia="Calibri" w:hAnsiTheme="minorHAnsi" w:cstheme="minorHAnsi"/>
                <w:b/>
                <w:bCs/>
                <w14:ligatures w14:val="standardContextual"/>
              </w:rPr>
              <w:t>Step</w:t>
            </w:r>
          </w:p>
        </w:tc>
        <w:tc>
          <w:tcPr>
            <w:tcW w:w="4964" w:type="dxa"/>
          </w:tcPr>
          <w:p w14:paraId="313B6D9B" w14:textId="77777777" w:rsidR="00F336D5" w:rsidRPr="00F336D5" w:rsidRDefault="00F336D5" w:rsidP="00F336D5">
            <w:pPr>
              <w:widowControl/>
              <w:autoSpaceDE/>
              <w:autoSpaceDN/>
              <w:adjustRightInd/>
              <w:jc w:val="center"/>
              <w:rPr>
                <w:rFonts w:asciiTheme="minorHAnsi" w:eastAsia="Calibri" w:hAnsiTheme="minorHAnsi" w:cstheme="minorHAnsi"/>
                <w:b/>
                <w:bCs/>
                <w14:ligatures w14:val="standardContextual"/>
              </w:rPr>
            </w:pPr>
            <w:r w:rsidRPr="00F336D5">
              <w:rPr>
                <w:rFonts w:asciiTheme="minorHAnsi" w:eastAsia="Calibri" w:hAnsiTheme="minorHAnsi" w:cstheme="minorHAnsi"/>
                <w:b/>
                <w:bCs/>
                <w14:ligatures w14:val="standardContextual"/>
              </w:rPr>
              <w:t>Developmental Requirement</w:t>
            </w:r>
          </w:p>
        </w:tc>
        <w:tc>
          <w:tcPr>
            <w:tcW w:w="4125" w:type="dxa"/>
          </w:tcPr>
          <w:p w14:paraId="4FE8AF52" w14:textId="77777777" w:rsidR="00F336D5" w:rsidRPr="00F336D5" w:rsidRDefault="00F336D5" w:rsidP="00F336D5">
            <w:pPr>
              <w:widowControl/>
              <w:autoSpaceDE/>
              <w:autoSpaceDN/>
              <w:adjustRightInd/>
              <w:jc w:val="center"/>
              <w:rPr>
                <w:rFonts w:asciiTheme="minorHAnsi" w:eastAsia="Calibri" w:hAnsiTheme="minorHAnsi" w:cstheme="minorHAnsi"/>
                <w:b/>
                <w:bCs/>
                <w14:ligatures w14:val="standardContextual"/>
              </w:rPr>
            </w:pPr>
            <w:r w:rsidRPr="00F336D5">
              <w:rPr>
                <w:rFonts w:asciiTheme="minorHAnsi" w:eastAsia="Calibri" w:hAnsiTheme="minorHAnsi" w:cstheme="minorHAnsi"/>
                <w:b/>
                <w:bCs/>
                <w14:ligatures w14:val="standardContextual"/>
              </w:rPr>
              <w:t>Status</w:t>
            </w:r>
          </w:p>
        </w:tc>
      </w:tr>
      <w:tr w:rsidR="00F336D5" w:rsidRPr="00F336D5" w14:paraId="4055BD79" w14:textId="77777777" w:rsidTr="00E32291">
        <w:tc>
          <w:tcPr>
            <w:tcW w:w="626" w:type="dxa"/>
          </w:tcPr>
          <w:p w14:paraId="46AD8C8A"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14:ligatures w14:val="standardContextual"/>
              </w:rPr>
              <w:t>1</w:t>
            </w:r>
          </w:p>
        </w:tc>
        <w:tc>
          <w:tcPr>
            <w:tcW w:w="4964" w:type="dxa"/>
          </w:tcPr>
          <w:p w14:paraId="0AF5633A"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bCs/>
                <w14:ligatures w14:val="standardContextual"/>
              </w:rPr>
              <w:t xml:space="preserve">Amend 454 CMR 25.02 to clarify its rulemaking process with respect to OSHA standards. </w:t>
            </w:r>
          </w:p>
        </w:tc>
        <w:tc>
          <w:tcPr>
            <w:tcW w:w="4125" w:type="dxa"/>
          </w:tcPr>
          <w:p w14:paraId="02EC5A6D" w14:textId="5A54005E" w:rsidR="00F336D5" w:rsidRPr="00F336D5" w:rsidRDefault="0046741E" w:rsidP="00F336D5">
            <w:pPr>
              <w:widowControl/>
              <w:autoSpaceDE/>
              <w:autoSpaceDN/>
              <w:adjustRightInd/>
              <w:rPr>
                <w:rFonts w:asciiTheme="minorHAnsi" w:eastAsia="Calibri" w:hAnsiTheme="minorHAnsi" w:cstheme="minorHAnsi"/>
                <w14:ligatures w14:val="standardContextual"/>
              </w:rPr>
            </w:pPr>
            <w:r>
              <w:rPr>
                <w:rFonts w:asciiTheme="minorHAnsi" w:eastAsia="Calibri" w:hAnsiTheme="minorHAnsi" w:cstheme="minorHAnsi"/>
                <w14:ligatures w14:val="standardContextual"/>
              </w:rPr>
              <w:t xml:space="preserve">Completed </w:t>
            </w:r>
            <w:r w:rsidR="00ED56A4">
              <w:rPr>
                <w:rFonts w:asciiTheme="minorHAnsi" w:eastAsia="Calibri" w:hAnsiTheme="minorHAnsi" w:cstheme="minorHAnsi"/>
                <w14:ligatures w14:val="standardContextual"/>
              </w:rPr>
              <w:t>8/16/2024</w:t>
            </w:r>
          </w:p>
        </w:tc>
      </w:tr>
      <w:tr w:rsidR="00F336D5" w:rsidRPr="00F336D5" w14:paraId="5D52A4D9" w14:textId="77777777" w:rsidTr="00E32291">
        <w:tc>
          <w:tcPr>
            <w:tcW w:w="626" w:type="dxa"/>
          </w:tcPr>
          <w:p w14:paraId="34529570"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14:ligatures w14:val="standardContextual"/>
              </w:rPr>
              <w:t>2</w:t>
            </w:r>
          </w:p>
        </w:tc>
        <w:tc>
          <w:tcPr>
            <w:tcW w:w="4964" w:type="dxa"/>
          </w:tcPr>
          <w:p w14:paraId="5F3BC94B"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14:ligatures w14:val="standardContextual"/>
              </w:rPr>
              <w:t>Ensure that all federal policies designated as federal program changes that are currently in effect, including all federal directives designated as “adoption required” or “equivalency required” by OSHA, are adopted or have an at least as effective alternative.</w:t>
            </w:r>
          </w:p>
        </w:tc>
        <w:tc>
          <w:tcPr>
            <w:tcW w:w="4125" w:type="dxa"/>
          </w:tcPr>
          <w:p w14:paraId="13A639C2" w14:textId="55B438CD" w:rsidR="00F336D5" w:rsidRPr="00F336D5" w:rsidRDefault="00F336D5" w:rsidP="00F336D5">
            <w:pPr>
              <w:widowControl/>
              <w:autoSpaceDE/>
              <w:autoSpaceDN/>
              <w:adjustRightInd/>
              <w:rPr>
                <w:rFonts w:asciiTheme="minorHAnsi" w:eastAsia="Calibri" w:hAnsiTheme="minorHAnsi" w:cstheme="minorHAnsi"/>
                <w14:ligatures w14:val="standardContextual"/>
              </w:rPr>
            </w:pPr>
            <w:bookmarkStart w:id="27" w:name="_Hlk158212099"/>
            <w:r w:rsidRPr="00F336D5">
              <w:rPr>
                <w:rFonts w:asciiTheme="minorHAnsi" w:eastAsia="Calibri" w:hAnsiTheme="minorHAnsi" w:cstheme="minorHAnsi"/>
                <w:bCs/>
                <w14:ligatures w14:val="standardContextual"/>
              </w:rPr>
              <w:t>Completed</w:t>
            </w:r>
            <w:r w:rsidR="00C24F00">
              <w:rPr>
                <w:rFonts w:asciiTheme="minorHAnsi" w:eastAsia="Calibri" w:hAnsiTheme="minorHAnsi" w:cstheme="minorHAnsi"/>
                <w:bCs/>
                <w14:ligatures w14:val="standardContextual"/>
              </w:rPr>
              <w:t xml:space="preserve"> </w:t>
            </w:r>
            <w:r w:rsidRPr="00F336D5">
              <w:rPr>
                <w:rFonts w:asciiTheme="minorHAnsi" w:eastAsia="Calibri" w:hAnsiTheme="minorHAnsi" w:cstheme="minorHAnsi"/>
                <w:bCs/>
                <w14:ligatures w14:val="standardContextual"/>
              </w:rPr>
              <w:t>11/9/2023</w:t>
            </w:r>
            <w:bookmarkEnd w:id="27"/>
          </w:p>
          <w:p w14:paraId="6B029673"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p>
        </w:tc>
      </w:tr>
      <w:tr w:rsidR="00F336D5" w:rsidRPr="00F336D5" w14:paraId="14B133C4" w14:textId="77777777" w:rsidTr="00E32291">
        <w:tc>
          <w:tcPr>
            <w:tcW w:w="626" w:type="dxa"/>
          </w:tcPr>
          <w:p w14:paraId="468B0866"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14:ligatures w14:val="standardContextual"/>
              </w:rPr>
              <w:t>3</w:t>
            </w:r>
          </w:p>
        </w:tc>
        <w:tc>
          <w:tcPr>
            <w:tcW w:w="4964" w:type="dxa"/>
          </w:tcPr>
          <w:p w14:paraId="5ECE1CA6"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bookmarkStart w:id="28" w:name="_Hlk158277950"/>
            <w:r w:rsidRPr="00F336D5">
              <w:rPr>
                <w:rFonts w:asciiTheme="minorHAnsi" w:eastAsia="Calibri" w:hAnsiTheme="minorHAnsi" w:cstheme="minorHAnsi"/>
                <w:bCs/>
                <w14:ligatures w14:val="standardContextual"/>
              </w:rPr>
              <w:t xml:space="preserve">Amend 454 CMR 25.05 to modify variance requirements for consistency with the OSH Act. </w:t>
            </w:r>
            <w:bookmarkEnd w:id="28"/>
          </w:p>
        </w:tc>
        <w:tc>
          <w:tcPr>
            <w:tcW w:w="4125" w:type="dxa"/>
          </w:tcPr>
          <w:p w14:paraId="242E0637" w14:textId="3950F9CF" w:rsidR="00F336D5" w:rsidRPr="00F336D5" w:rsidRDefault="00AD246A" w:rsidP="00F336D5">
            <w:pPr>
              <w:widowControl/>
              <w:autoSpaceDE/>
              <w:autoSpaceDN/>
              <w:adjustRightInd/>
              <w:rPr>
                <w:rFonts w:asciiTheme="minorHAnsi" w:eastAsia="Calibri" w:hAnsiTheme="minorHAnsi" w:cstheme="minorHAnsi"/>
                <w14:ligatures w14:val="standardContextual"/>
              </w:rPr>
            </w:pPr>
            <w:r>
              <w:rPr>
                <w:rFonts w:asciiTheme="minorHAnsi" w:eastAsia="Calibri" w:hAnsiTheme="minorHAnsi" w:cstheme="minorHAnsi"/>
                <w14:ligatures w14:val="standardContextual"/>
              </w:rPr>
              <w:t>Completed 8/16/2024</w:t>
            </w:r>
          </w:p>
        </w:tc>
      </w:tr>
      <w:tr w:rsidR="00F336D5" w:rsidRPr="00F336D5" w14:paraId="6DFB0D36" w14:textId="77777777" w:rsidTr="00E32291">
        <w:tc>
          <w:tcPr>
            <w:tcW w:w="626" w:type="dxa"/>
          </w:tcPr>
          <w:p w14:paraId="6D1B9A20"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14:ligatures w14:val="standardContextual"/>
              </w:rPr>
              <w:t>4</w:t>
            </w:r>
          </w:p>
        </w:tc>
        <w:tc>
          <w:tcPr>
            <w:tcW w:w="4964" w:type="dxa"/>
          </w:tcPr>
          <w:p w14:paraId="56F4B91B"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bCs/>
                <w14:ligatures w14:val="standardContextual"/>
              </w:rPr>
              <w:t>Adopt 29 CFR 1905, OSHA’s regulation governing variances.</w:t>
            </w:r>
          </w:p>
        </w:tc>
        <w:tc>
          <w:tcPr>
            <w:tcW w:w="4125" w:type="dxa"/>
          </w:tcPr>
          <w:p w14:paraId="056E27D7" w14:textId="728C3C0F" w:rsidR="00F336D5" w:rsidRPr="00F336D5" w:rsidRDefault="00AD246A" w:rsidP="00F336D5">
            <w:pPr>
              <w:widowControl/>
              <w:autoSpaceDE/>
              <w:autoSpaceDN/>
              <w:adjustRightInd/>
              <w:rPr>
                <w:rFonts w:asciiTheme="minorHAnsi" w:eastAsia="Calibri" w:hAnsiTheme="minorHAnsi" w:cstheme="minorHAnsi"/>
                <w14:ligatures w14:val="standardContextual"/>
              </w:rPr>
            </w:pPr>
            <w:r>
              <w:rPr>
                <w:rFonts w:asciiTheme="minorHAnsi" w:eastAsia="Calibri" w:hAnsiTheme="minorHAnsi" w:cstheme="minorHAnsi"/>
                <w14:ligatures w14:val="standardContextual"/>
              </w:rPr>
              <w:t>Completed 8/16/2024</w:t>
            </w:r>
          </w:p>
        </w:tc>
      </w:tr>
      <w:tr w:rsidR="00F336D5" w:rsidRPr="00F336D5" w14:paraId="3744F21C" w14:textId="77777777" w:rsidTr="00E32291">
        <w:tc>
          <w:tcPr>
            <w:tcW w:w="626" w:type="dxa"/>
          </w:tcPr>
          <w:p w14:paraId="5336D3F7"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14:ligatures w14:val="standardContextual"/>
              </w:rPr>
              <w:lastRenderedPageBreak/>
              <w:t>5</w:t>
            </w:r>
          </w:p>
        </w:tc>
        <w:tc>
          <w:tcPr>
            <w:tcW w:w="4964" w:type="dxa"/>
          </w:tcPr>
          <w:p w14:paraId="796E949A"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bCs/>
                <w14:ligatures w14:val="standardContextual"/>
              </w:rPr>
              <w:t xml:space="preserve">Amend 454 CMR 25.05 to accurately reflect Massachusetts’ policy that citations will be issued withing 180 days of the initiation (rather than completion) of the inspection. </w:t>
            </w:r>
          </w:p>
        </w:tc>
        <w:tc>
          <w:tcPr>
            <w:tcW w:w="4125" w:type="dxa"/>
          </w:tcPr>
          <w:p w14:paraId="2247CB0A" w14:textId="1814E5AC" w:rsidR="00F336D5" w:rsidRPr="00F336D5" w:rsidRDefault="00AD246A" w:rsidP="00F336D5">
            <w:pPr>
              <w:widowControl/>
              <w:autoSpaceDE/>
              <w:autoSpaceDN/>
              <w:adjustRightInd/>
              <w:rPr>
                <w:rFonts w:asciiTheme="minorHAnsi" w:eastAsia="Calibri" w:hAnsiTheme="minorHAnsi" w:cstheme="minorHAnsi"/>
                <w14:ligatures w14:val="standardContextual"/>
              </w:rPr>
            </w:pPr>
            <w:r>
              <w:rPr>
                <w:rFonts w:asciiTheme="minorHAnsi" w:eastAsia="Calibri" w:hAnsiTheme="minorHAnsi" w:cstheme="minorHAnsi"/>
                <w14:ligatures w14:val="standardContextual"/>
              </w:rPr>
              <w:t>Completed 8/16/2024</w:t>
            </w:r>
          </w:p>
        </w:tc>
      </w:tr>
      <w:tr w:rsidR="00F336D5" w:rsidRPr="00F336D5" w14:paraId="6E8A1B6D" w14:textId="77777777" w:rsidTr="00E32291">
        <w:tc>
          <w:tcPr>
            <w:tcW w:w="626" w:type="dxa"/>
          </w:tcPr>
          <w:p w14:paraId="6B08EDD7"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14:ligatures w14:val="standardContextual"/>
              </w:rPr>
              <w:t>6</w:t>
            </w:r>
          </w:p>
        </w:tc>
        <w:tc>
          <w:tcPr>
            <w:tcW w:w="4964" w:type="dxa"/>
          </w:tcPr>
          <w:p w14:paraId="509950DC"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bCs/>
                <w14:ligatures w14:val="standardContextual"/>
              </w:rPr>
              <w:t xml:space="preserve">Amend 454 CMR 25 Regulatory Authority to add a reference to authority in M.G.L. 149, s. 9, which provides the employer’s right to contest citations. </w:t>
            </w:r>
          </w:p>
        </w:tc>
        <w:tc>
          <w:tcPr>
            <w:tcW w:w="4125" w:type="dxa"/>
          </w:tcPr>
          <w:p w14:paraId="24BFD639" w14:textId="2804F994" w:rsidR="00F336D5" w:rsidRPr="00F336D5" w:rsidRDefault="00D17332" w:rsidP="00F336D5">
            <w:pPr>
              <w:widowControl/>
              <w:autoSpaceDE/>
              <w:autoSpaceDN/>
              <w:adjustRightInd/>
              <w:rPr>
                <w:rFonts w:asciiTheme="minorHAnsi" w:eastAsia="Calibri" w:hAnsiTheme="minorHAnsi" w:cstheme="minorHAnsi"/>
                <w14:ligatures w14:val="standardContextual"/>
              </w:rPr>
            </w:pPr>
            <w:r>
              <w:rPr>
                <w:rFonts w:asciiTheme="minorHAnsi" w:eastAsia="Calibri" w:hAnsiTheme="minorHAnsi" w:cstheme="minorHAnsi"/>
                <w14:ligatures w14:val="standardContextual"/>
              </w:rPr>
              <w:t>Completed 8/16/2024</w:t>
            </w:r>
          </w:p>
        </w:tc>
      </w:tr>
      <w:tr w:rsidR="00F336D5" w:rsidRPr="00F336D5" w14:paraId="231754D5" w14:textId="77777777" w:rsidTr="00E32291">
        <w:tc>
          <w:tcPr>
            <w:tcW w:w="626" w:type="dxa"/>
          </w:tcPr>
          <w:p w14:paraId="434B12D1"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rPr>
              <w:t>7</w:t>
            </w:r>
          </w:p>
        </w:tc>
        <w:tc>
          <w:tcPr>
            <w:tcW w:w="4964" w:type="dxa"/>
          </w:tcPr>
          <w:p w14:paraId="321DBD42" w14:textId="77777777" w:rsidR="00F336D5" w:rsidRPr="00F336D5" w:rsidRDefault="00F336D5" w:rsidP="00F336D5">
            <w:pPr>
              <w:widowControl/>
              <w:autoSpaceDE/>
              <w:autoSpaceDN/>
              <w:adjustRightInd/>
              <w:rPr>
                <w:rFonts w:asciiTheme="minorHAnsi" w:eastAsia="Calibri" w:hAnsiTheme="minorHAnsi" w:cstheme="minorHAnsi"/>
                <w:bCs/>
                <w14:ligatures w14:val="standardContextual"/>
              </w:rPr>
            </w:pPr>
            <w:r w:rsidRPr="00F336D5">
              <w:rPr>
                <w:rFonts w:asciiTheme="minorHAnsi" w:hAnsiTheme="minorHAnsi" w:cstheme="minorHAnsi"/>
              </w:rPr>
              <w:t xml:space="preserve">Adopt 29 CFR 1908, OSHA’s regulation governing consultation, as well as the Consultation Policies and Procedures Manual and any relevant directives, during the developmental period. </w:t>
            </w:r>
          </w:p>
        </w:tc>
        <w:tc>
          <w:tcPr>
            <w:tcW w:w="4125" w:type="dxa"/>
          </w:tcPr>
          <w:p w14:paraId="39F264F1" w14:textId="778D4DA5" w:rsidR="00F336D5" w:rsidRPr="00F336D5" w:rsidRDefault="00D17332" w:rsidP="00F336D5">
            <w:pPr>
              <w:widowControl/>
              <w:autoSpaceDE/>
              <w:autoSpaceDN/>
              <w:adjustRightInd/>
              <w:rPr>
                <w:rFonts w:asciiTheme="minorHAnsi" w:eastAsia="Calibri" w:hAnsiTheme="minorHAnsi" w:cstheme="minorHAnsi"/>
                <w:bCs/>
                <w14:ligatures w14:val="standardContextual"/>
              </w:rPr>
            </w:pPr>
            <w:r>
              <w:rPr>
                <w:rFonts w:asciiTheme="minorHAnsi" w:eastAsia="Calibri" w:hAnsiTheme="minorHAnsi" w:cstheme="minorHAnsi"/>
                <w14:ligatures w14:val="standardContextual"/>
              </w:rPr>
              <w:t>Completed 8/16/2024</w:t>
            </w:r>
          </w:p>
        </w:tc>
      </w:tr>
      <w:tr w:rsidR="00F336D5" w:rsidRPr="00F336D5" w14:paraId="675817D4" w14:textId="77777777" w:rsidTr="00E32291">
        <w:tc>
          <w:tcPr>
            <w:tcW w:w="626" w:type="dxa"/>
          </w:tcPr>
          <w:p w14:paraId="511E3CB4"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rPr>
              <w:t>8</w:t>
            </w:r>
          </w:p>
        </w:tc>
        <w:tc>
          <w:tcPr>
            <w:tcW w:w="4964" w:type="dxa"/>
          </w:tcPr>
          <w:p w14:paraId="100BB09E" w14:textId="77777777" w:rsidR="00F336D5" w:rsidRPr="00F336D5" w:rsidRDefault="00F336D5" w:rsidP="00F336D5">
            <w:pPr>
              <w:widowControl/>
              <w:autoSpaceDE/>
              <w:autoSpaceDN/>
              <w:adjustRightInd/>
              <w:rPr>
                <w:rFonts w:asciiTheme="minorHAnsi" w:eastAsia="Calibri" w:hAnsiTheme="minorHAnsi" w:cstheme="minorHAnsi"/>
                <w:bCs/>
                <w14:ligatures w14:val="standardContextual"/>
              </w:rPr>
            </w:pPr>
            <w:r w:rsidRPr="00F336D5">
              <w:rPr>
                <w:rFonts w:asciiTheme="minorHAnsi" w:hAnsiTheme="minorHAnsi" w:cstheme="minorHAnsi"/>
              </w:rPr>
              <w:t xml:space="preserve">Complete a Massachusetts Technical Manual that is at least as effective as OSHA’s Technical Manual. </w:t>
            </w:r>
          </w:p>
        </w:tc>
        <w:tc>
          <w:tcPr>
            <w:tcW w:w="4125" w:type="dxa"/>
          </w:tcPr>
          <w:p w14:paraId="2B834E1A" w14:textId="7C3E32F9" w:rsidR="00F336D5" w:rsidRPr="00F336D5" w:rsidRDefault="00F336D5" w:rsidP="00F336D5">
            <w:pPr>
              <w:widowControl/>
              <w:autoSpaceDE/>
              <w:autoSpaceDN/>
              <w:adjustRightInd/>
              <w:rPr>
                <w:rFonts w:asciiTheme="minorHAnsi" w:eastAsia="Calibri" w:hAnsiTheme="minorHAnsi" w:cstheme="minorHAnsi"/>
                <w:bCs/>
                <w14:ligatures w14:val="standardContextual"/>
              </w:rPr>
            </w:pPr>
            <w:r w:rsidRPr="00F336D5">
              <w:rPr>
                <w:rFonts w:asciiTheme="minorHAnsi" w:hAnsiTheme="minorHAnsi" w:cstheme="minorHAnsi"/>
                <w:bCs/>
              </w:rPr>
              <w:t>Completed 11/4/2022</w:t>
            </w:r>
          </w:p>
        </w:tc>
      </w:tr>
      <w:tr w:rsidR="00F336D5" w:rsidRPr="00F336D5" w14:paraId="76CAA8FD" w14:textId="77777777" w:rsidTr="00E32291">
        <w:tc>
          <w:tcPr>
            <w:tcW w:w="626" w:type="dxa"/>
          </w:tcPr>
          <w:p w14:paraId="39971ECC"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rPr>
              <w:t>9</w:t>
            </w:r>
          </w:p>
        </w:tc>
        <w:tc>
          <w:tcPr>
            <w:tcW w:w="4964" w:type="dxa"/>
          </w:tcPr>
          <w:p w14:paraId="75853878" w14:textId="77777777" w:rsidR="00F336D5" w:rsidRPr="00F336D5" w:rsidRDefault="00F336D5" w:rsidP="00F336D5">
            <w:pPr>
              <w:widowControl/>
              <w:autoSpaceDE/>
              <w:autoSpaceDN/>
              <w:adjustRightInd/>
              <w:rPr>
                <w:rFonts w:asciiTheme="minorHAnsi" w:eastAsia="Calibri" w:hAnsiTheme="minorHAnsi" w:cstheme="minorHAnsi"/>
                <w:bCs/>
                <w14:ligatures w14:val="standardContextual"/>
              </w:rPr>
            </w:pPr>
            <w:r w:rsidRPr="00F336D5">
              <w:rPr>
                <w:rFonts w:asciiTheme="minorHAnsi" w:hAnsiTheme="minorHAnsi" w:cstheme="minorHAnsi"/>
              </w:rPr>
              <w:t xml:space="preserve">Conduct hiring to achieve staffing goals outlined in the Narrative and the three-year staffing plan. </w:t>
            </w:r>
          </w:p>
        </w:tc>
        <w:tc>
          <w:tcPr>
            <w:tcW w:w="4125" w:type="dxa"/>
          </w:tcPr>
          <w:p w14:paraId="12D454EC" w14:textId="5E009CD0" w:rsidR="00F336D5" w:rsidRPr="00F336D5" w:rsidRDefault="00F336D5" w:rsidP="00F336D5">
            <w:pPr>
              <w:widowControl/>
              <w:autoSpaceDE/>
              <w:autoSpaceDN/>
              <w:adjustRightInd/>
              <w:rPr>
                <w:rFonts w:asciiTheme="minorHAnsi" w:eastAsia="Calibri" w:hAnsiTheme="minorHAnsi" w:cstheme="minorHAnsi"/>
                <w:bCs/>
                <w14:ligatures w14:val="standardContextual"/>
              </w:rPr>
            </w:pPr>
            <w:r w:rsidRPr="00F336D5">
              <w:rPr>
                <w:rFonts w:asciiTheme="minorHAnsi" w:hAnsiTheme="minorHAnsi" w:cstheme="minorHAnsi"/>
              </w:rPr>
              <w:t>Incomplete: WSHP has met staffing goals for consultation and the Anti-Retaliation Program</w:t>
            </w:r>
            <w:r w:rsidR="006C01DC">
              <w:rPr>
                <w:rFonts w:asciiTheme="minorHAnsi" w:hAnsiTheme="minorHAnsi" w:cstheme="minorHAnsi"/>
              </w:rPr>
              <w:t xml:space="preserve">.  </w:t>
            </w:r>
            <w:r w:rsidRPr="00F336D5">
              <w:rPr>
                <w:rFonts w:asciiTheme="minorHAnsi" w:hAnsiTheme="minorHAnsi" w:cstheme="minorHAnsi"/>
              </w:rPr>
              <w:t>WSHP needs to hire two enforcement ISHIs to meet this requirement.</w:t>
            </w:r>
          </w:p>
        </w:tc>
      </w:tr>
      <w:tr w:rsidR="00F336D5" w:rsidRPr="00F336D5" w14:paraId="21EBC6FB" w14:textId="77777777" w:rsidTr="00E32291">
        <w:tc>
          <w:tcPr>
            <w:tcW w:w="626" w:type="dxa"/>
          </w:tcPr>
          <w:p w14:paraId="57C1E825"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rPr>
              <w:t>10</w:t>
            </w:r>
          </w:p>
        </w:tc>
        <w:tc>
          <w:tcPr>
            <w:tcW w:w="4964" w:type="dxa"/>
          </w:tcPr>
          <w:p w14:paraId="44F3C58F" w14:textId="77777777" w:rsidR="00F336D5" w:rsidRPr="00F336D5" w:rsidRDefault="00F336D5" w:rsidP="00F336D5">
            <w:pPr>
              <w:widowControl/>
              <w:autoSpaceDE/>
              <w:autoSpaceDN/>
              <w:adjustRightInd/>
              <w:rPr>
                <w:rFonts w:asciiTheme="minorHAnsi" w:eastAsia="Calibri" w:hAnsiTheme="minorHAnsi" w:cstheme="minorHAnsi"/>
                <w:bCs/>
                <w14:ligatures w14:val="standardContextual"/>
              </w:rPr>
            </w:pPr>
            <w:r w:rsidRPr="00F336D5">
              <w:rPr>
                <w:rFonts w:asciiTheme="minorHAnsi" w:hAnsiTheme="minorHAnsi" w:cstheme="minorHAnsi"/>
              </w:rPr>
              <w:t xml:space="preserve">Reorganize staffing pattern to ensure separation of consultation and enforcement personnel, consistent with 29 CFR 1908.  This will include hiring three ISHIs who will perform consultation services and be part of a separate division under separate supervision. </w:t>
            </w:r>
          </w:p>
        </w:tc>
        <w:tc>
          <w:tcPr>
            <w:tcW w:w="4125" w:type="dxa"/>
          </w:tcPr>
          <w:p w14:paraId="56EECAED" w14:textId="77777777" w:rsidR="00F336D5" w:rsidRPr="00F336D5" w:rsidRDefault="00F336D5" w:rsidP="00F336D5">
            <w:pPr>
              <w:widowControl/>
              <w:autoSpaceDE/>
              <w:autoSpaceDN/>
              <w:adjustRightInd/>
              <w:rPr>
                <w:rFonts w:asciiTheme="minorHAnsi" w:eastAsia="Calibri" w:hAnsiTheme="minorHAnsi" w:cstheme="minorHAnsi"/>
                <w:bCs/>
                <w14:ligatures w14:val="standardContextual"/>
              </w:rPr>
            </w:pPr>
            <w:r w:rsidRPr="00F336D5">
              <w:rPr>
                <w:rFonts w:asciiTheme="minorHAnsi" w:hAnsiTheme="minorHAnsi" w:cstheme="minorHAnsi"/>
              </w:rPr>
              <w:t>Completed: Enforcement and consultation staff were separated as of 08/18/2022.  The staffing level for consultation was complete as of 12/05/2022.</w:t>
            </w:r>
          </w:p>
        </w:tc>
      </w:tr>
      <w:tr w:rsidR="00F336D5" w:rsidRPr="00F336D5" w14:paraId="014B61B6" w14:textId="77777777" w:rsidTr="00E32291">
        <w:tc>
          <w:tcPr>
            <w:tcW w:w="626" w:type="dxa"/>
          </w:tcPr>
          <w:p w14:paraId="6D3D5FB3"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rPr>
              <w:t>11</w:t>
            </w:r>
          </w:p>
        </w:tc>
        <w:tc>
          <w:tcPr>
            <w:tcW w:w="4964" w:type="dxa"/>
          </w:tcPr>
          <w:p w14:paraId="668D5208" w14:textId="77777777" w:rsidR="00F336D5" w:rsidRPr="00F336D5" w:rsidRDefault="00F336D5" w:rsidP="00F336D5">
            <w:pPr>
              <w:widowControl/>
              <w:autoSpaceDE/>
              <w:autoSpaceDN/>
              <w:adjustRightInd/>
              <w:rPr>
                <w:rFonts w:asciiTheme="minorHAnsi" w:hAnsiTheme="minorHAnsi" w:cstheme="minorHAnsi"/>
              </w:rPr>
            </w:pPr>
            <w:r w:rsidRPr="00F336D5">
              <w:rPr>
                <w:rFonts w:asciiTheme="minorHAnsi" w:hAnsiTheme="minorHAnsi" w:cstheme="minorHAnsi"/>
              </w:rPr>
              <w:t xml:space="preserve">Adopt the Mandatory Training Program for OSHA Compliance Personnel Directive (TED 01-00-019). </w:t>
            </w:r>
          </w:p>
          <w:p w14:paraId="5690EE6C" w14:textId="77777777" w:rsidR="00F336D5" w:rsidRPr="00F336D5" w:rsidRDefault="00F336D5" w:rsidP="00F336D5">
            <w:pPr>
              <w:widowControl/>
              <w:autoSpaceDE/>
              <w:autoSpaceDN/>
              <w:adjustRightInd/>
              <w:rPr>
                <w:rFonts w:asciiTheme="minorHAnsi" w:hAnsiTheme="minorHAnsi" w:cstheme="minorHAnsi"/>
              </w:rPr>
            </w:pPr>
          </w:p>
          <w:p w14:paraId="11178632" w14:textId="77777777" w:rsidR="00F336D5" w:rsidRPr="00F336D5" w:rsidRDefault="00F336D5" w:rsidP="00F336D5">
            <w:pPr>
              <w:widowControl/>
              <w:autoSpaceDE/>
              <w:autoSpaceDN/>
              <w:adjustRightInd/>
              <w:rPr>
                <w:rFonts w:asciiTheme="minorHAnsi" w:eastAsia="Calibri" w:hAnsiTheme="minorHAnsi" w:cstheme="minorHAnsi"/>
                <w:bCs/>
                <w14:ligatures w14:val="standardContextual"/>
              </w:rPr>
            </w:pPr>
            <w:r w:rsidRPr="00F336D5">
              <w:rPr>
                <w:rFonts w:asciiTheme="minorHAnsi" w:hAnsiTheme="minorHAnsi" w:cstheme="minorHAnsi"/>
              </w:rPr>
              <w:t xml:space="preserve">Ensure currently employed personnel and prospectively hires receive training consistent with this directive. </w:t>
            </w:r>
          </w:p>
        </w:tc>
        <w:tc>
          <w:tcPr>
            <w:tcW w:w="4125" w:type="dxa"/>
          </w:tcPr>
          <w:p w14:paraId="4E83E14A" w14:textId="77777777" w:rsidR="00F336D5" w:rsidRPr="00F336D5" w:rsidRDefault="00F336D5" w:rsidP="00F336D5">
            <w:pPr>
              <w:tabs>
                <w:tab w:val="left" w:pos="1659"/>
                <w:tab w:val="left" w:pos="1660"/>
              </w:tabs>
              <w:ind w:right="78"/>
              <w:rPr>
                <w:rFonts w:asciiTheme="minorHAnsi" w:hAnsiTheme="minorHAnsi" w:cstheme="minorHAnsi"/>
                <w:i/>
                <w:iCs/>
              </w:rPr>
            </w:pPr>
            <w:r w:rsidRPr="00F336D5">
              <w:rPr>
                <w:rFonts w:asciiTheme="minorHAnsi" w:hAnsiTheme="minorHAnsi" w:cstheme="minorHAnsi"/>
              </w:rPr>
              <w:t>Completed: WSHP adopted OSHA’s training directive as of 10/11/2022.</w:t>
            </w:r>
          </w:p>
          <w:p w14:paraId="3466A568" w14:textId="77777777" w:rsidR="00F336D5" w:rsidRPr="00F336D5" w:rsidRDefault="00F336D5" w:rsidP="00F336D5">
            <w:pPr>
              <w:tabs>
                <w:tab w:val="left" w:pos="1659"/>
                <w:tab w:val="left" w:pos="1660"/>
              </w:tabs>
              <w:ind w:right="78"/>
              <w:rPr>
                <w:rFonts w:asciiTheme="minorHAnsi" w:hAnsiTheme="minorHAnsi" w:cstheme="minorHAnsi"/>
              </w:rPr>
            </w:pPr>
          </w:p>
          <w:p w14:paraId="60E4523B" w14:textId="77777777" w:rsidR="00F336D5" w:rsidRPr="00F336D5" w:rsidRDefault="00F336D5" w:rsidP="00F336D5">
            <w:pPr>
              <w:tabs>
                <w:tab w:val="left" w:pos="1659"/>
                <w:tab w:val="left" w:pos="1660"/>
              </w:tabs>
              <w:ind w:right="78"/>
              <w:rPr>
                <w:rFonts w:asciiTheme="minorHAnsi" w:hAnsiTheme="minorHAnsi" w:cstheme="minorHAnsi"/>
              </w:rPr>
            </w:pPr>
          </w:p>
          <w:p w14:paraId="32339E44" w14:textId="35DD70C0" w:rsidR="00F336D5" w:rsidRPr="00F336D5" w:rsidRDefault="00F336D5" w:rsidP="00F336D5">
            <w:pPr>
              <w:widowControl/>
              <w:autoSpaceDE/>
              <w:autoSpaceDN/>
              <w:adjustRightInd/>
              <w:rPr>
                <w:rFonts w:asciiTheme="minorHAnsi" w:eastAsia="Calibri" w:hAnsiTheme="minorHAnsi" w:cstheme="minorHAnsi"/>
                <w:bCs/>
                <w14:ligatures w14:val="standardContextual"/>
              </w:rPr>
            </w:pPr>
            <w:r w:rsidRPr="00F336D5">
              <w:rPr>
                <w:rFonts w:asciiTheme="minorHAnsi" w:hAnsiTheme="minorHAnsi" w:cstheme="minorHAnsi"/>
              </w:rPr>
              <w:t xml:space="preserve">WSHP’s compliance with the OSHA’s training directive has been satisfactory. </w:t>
            </w:r>
          </w:p>
        </w:tc>
      </w:tr>
      <w:tr w:rsidR="00F336D5" w:rsidRPr="00F336D5" w14:paraId="49645668" w14:textId="77777777" w:rsidTr="00E32291">
        <w:tc>
          <w:tcPr>
            <w:tcW w:w="626" w:type="dxa"/>
          </w:tcPr>
          <w:p w14:paraId="43F02FC6"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rPr>
              <w:t>12</w:t>
            </w:r>
          </w:p>
        </w:tc>
        <w:tc>
          <w:tcPr>
            <w:tcW w:w="4964" w:type="dxa"/>
          </w:tcPr>
          <w:p w14:paraId="7065A2A8" w14:textId="016DE1AC" w:rsidR="00F336D5" w:rsidRPr="00F336D5" w:rsidRDefault="00F336D5" w:rsidP="00F336D5">
            <w:pPr>
              <w:widowControl/>
              <w:autoSpaceDE/>
              <w:autoSpaceDN/>
              <w:adjustRightInd/>
              <w:rPr>
                <w:rFonts w:asciiTheme="minorHAnsi" w:eastAsia="Calibri" w:hAnsiTheme="minorHAnsi" w:cstheme="minorHAnsi"/>
                <w:bCs/>
                <w14:ligatures w14:val="standardContextual"/>
              </w:rPr>
            </w:pPr>
            <w:r w:rsidRPr="00F336D5">
              <w:rPr>
                <w:rFonts w:asciiTheme="minorHAnsi" w:hAnsiTheme="minorHAnsi" w:cstheme="minorHAnsi"/>
              </w:rPr>
              <w:t xml:space="preserve">Adopt the Mandatory Training Program for </w:t>
            </w:r>
            <w:r w:rsidR="007B1AF7">
              <w:rPr>
                <w:rFonts w:asciiTheme="minorHAnsi" w:hAnsiTheme="minorHAnsi" w:cstheme="minorHAnsi"/>
              </w:rPr>
              <w:t xml:space="preserve">the </w:t>
            </w:r>
            <w:r w:rsidRPr="00F336D5">
              <w:rPr>
                <w:rFonts w:asciiTheme="minorHAnsi" w:hAnsiTheme="minorHAnsi" w:cstheme="minorHAnsi"/>
              </w:rPr>
              <w:t xml:space="preserve">OSHA Whistleblower Investigators Directive (TED 01-00-020).  Ensure that workers who will perform whistleblower investigations are trained consistent with this directive. </w:t>
            </w:r>
          </w:p>
        </w:tc>
        <w:tc>
          <w:tcPr>
            <w:tcW w:w="4125" w:type="dxa"/>
          </w:tcPr>
          <w:p w14:paraId="061E09A3" w14:textId="0B3B47CD" w:rsidR="00F336D5" w:rsidRPr="00F336D5" w:rsidRDefault="00F336D5" w:rsidP="00F336D5">
            <w:pPr>
              <w:widowControl/>
              <w:autoSpaceDE/>
              <w:autoSpaceDN/>
              <w:adjustRightInd/>
              <w:rPr>
                <w:rFonts w:asciiTheme="minorHAnsi" w:eastAsia="Calibri" w:hAnsiTheme="minorHAnsi" w:cstheme="minorHAnsi"/>
                <w:bCs/>
                <w14:ligatures w14:val="standardContextual"/>
              </w:rPr>
            </w:pPr>
            <w:r w:rsidRPr="00F336D5">
              <w:rPr>
                <w:rFonts w:asciiTheme="minorHAnsi" w:hAnsiTheme="minorHAnsi" w:cstheme="minorHAnsi"/>
                <w:bCs/>
              </w:rPr>
              <w:t>Completed 10/11/2022</w:t>
            </w:r>
          </w:p>
        </w:tc>
      </w:tr>
      <w:tr w:rsidR="00F336D5" w:rsidRPr="00F336D5" w14:paraId="4EA9EBED" w14:textId="77777777" w:rsidTr="00E32291">
        <w:tc>
          <w:tcPr>
            <w:tcW w:w="626" w:type="dxa"/>
          </w:tcPr>
          <w:p w14:paraId="2953A35B"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rPr>
              <w:t>13</w:t>
            </w:r>
          </w:p>
        </w:tc>
        <w:tc>
          <w:tcPr>
            <w:tcW w:w="4964" w:type="dxa"/>
          </w:tcPr>
          <w:p w14:paraId="08AEB028" w14:textId="77777777" w:rsidR="00F336D5" w:rsidRPr="00F336D5" w:rsidRDefault="00F336D5" w:rsidP="00F336D5">
            <w:pPr>
              <w:widowControl/>
              <w:autoSpaceDE/>
              <w:autoSpaceDN/>
              <w:adjustRightInd/>
              <w:rPr>
                <w:rFonts w:asciiTheme="minorHAnsi" w:eastAsia="Calibri" w:hAnsiTheme="minorHAnsi" w:cstheme="minorHAnsi"/>
                <w:bCs/>
                <w14:ligatures w14:val="standardContextual"/>
              </w:rPr>
            </w:pPr>
            <w:r w:rsidRPr="00F336D5">
              <w:rPr>
                <w:rFonts w:asciiTheme="minorHAnsi" w:hAnsiTheme="minorHAnsi" w:cstheme="minorHAnsi"/>
              </w:rPr>
              <w:t xml:space="preserve">Complete the transition to OIS. </w:t>
            </w:r>
          </w:p>
        </w:tc>
        <w:tc>
          <w:tcPr>
            <w:tcW w:w="4125" w:type="dxa"/>
          </w:tcPr>
          <w:p w14:paraId="30A896B2" w14:textId="77777777" w:rsidR="00F336D5" w:rsidRPr="00F336D5" w:rsidRDefault="00F336D5" w:rsidP="00F336D5">
            <w:pPr>
              <w:widowControl/>
              <w:autoSpaceDE/>
              <w:autoSpaceDN/>
              <w:adjustRightInd/>
              <w:rPr>
                <w:rFonts w:asciiTheme="minorHAnsi" w:eastAsia="Calibri" w:hAnsiTheme="minorHAnsi" w:cstheme="minorHAnsi"/>
                <w:bCs/>
                <w14:ligatures w14:val="standardContextual"/>
              </w:rPr>
            </w:pPr>
            <w:r w:rsidRPr="00F336D5">
              <w:rPr>
                <w:rFonts w:asciiTheme="minorHAnsi" w:hAnsiTheme="minorHAnsi" w:cstheme="minorHAnsi"/>
                <w:bCs/>
              </w:rPr>
              <w:t xml:space="preserve">Completed: WSHP began using OIS as of 10/4/2022. </w:t>
            </w:r>
          </w:p>
        </w:tc>
      </w:tr>
      <w:tr w:rsidR="00F336D5" w:rsidRPr="00F336D5" w14:paraId="2B7DF1FC" w14:textId="77777777" w:rsidTr="00E32291">
        <w:tc>
          <w:tcPr>
            <w:tcW w:w="626" w:type="dxa"/>
          </w:tcPr>
          <w:p w14:paraId="67CCC4F4"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rPr>
              <w:t>14</w:t>
            </w:r>
          </w:p>
        </w:tc>
        <w:tc>
          <w:tcPr>
            <w:tcW w:w="4964" w:type="dxa"/>
          </w:tcPr>
          <w:p w14:paraId="35ACA706" w14:textId="77777777" w:rsidR="00F336D5" w:rsidRPr="00F336D5" w:rsidRDefault="00F336D5" w:rsidP="00F336D5">
            <w:pPr>
              <w:widowControl/>
              <w:autoSpaceDE/>
              <w:autoSpaceDN/>
              <w:adjustRightInd/>
              <w:rPr>
                <w:rFonts w:asciiTheme="minorHAnsi" w:eastAsia="Calibri" w:hAnsiTheme="minorHAnsi" w:cstheme="minorHAnsi"/>
                <w:bCs/>
                <w14:ligatures w14:val="standardContextual"/>
              </w:rPr>
            </w:pPr>
            <w:r w:rsidRPr="00F336D5">
              <w:rPr>
                <w:rFonts w:asciiTheme="minorHAnsi" w:hAnsiTheme="minorHAnsi" w:cstheme="minorHAnsi"/>
              </w:rPr>
              <w:t xml:space="preserve">Develop a five-year strategic plan and annual performance plan. </w:t>
            </w:r>
          </w:p>
        </w:tc>
        <w:tc>
          <w:tcPr>
            <w:tcW w:w="4125" w:type="dxa"/>
          </w:tcPr>
          <w:p w14:paraId="3B90579D" w14:textId="7DF3F1E0" w:rsidR="00F336D5" w:rsidRPr="00F336D5" w:rsidRDefault="00F336D5" w:rsidP="00F336D5">
            <w:pPr>
              <w:widowControl/>
              <w:autoSpaceDE/>
              <w:autoSpaceDN/>
              <w:adjustRightInd/>
              <w:rPr>
                <w:rFonts w:asciiTheme="minorHAnsi" w:eastAsia="Calibri" w:hAnsiTheme="minorHAnsi" w:cstheme="minorHAnsi"/>
                <w:bCs/>
                <w14:ligatures w14:val="standardContextual"/>
              </w:rPr>
            </w:pPr>
            <w:r w:rsidRPr="00F336D5">
              <w:rPr>
                <w:rFonts w:asciiTheme="minorHAnsi" w:hAnsiTheme="minorHAnsi" w:cstheme="minorHAnsi"/>
                <w:bCs/>
              </w:rPr>
              <w:t>Completed 8/18/2022</w:t>
            </w:r>
          </w:p>
        </w:tc>
      </w:tr>
      <w:tr w:rsidR="00F336D5" w:rsidRPr="00F336D5" w14:paraId="539703DD" w14:textId="77777777" w:rsidTr="00E32291">
        <w:tc>
          <w:tcPr>
            <w:tcW w:w="626" w:type="dxa"/>
          </w:tcPr>
          <w:p w14:paraId="19B9231F" w14:textId="77777777" w:rsidR="00F336D5" w:rsidRPr="00F336D5" w:rsidRDefault="00F336D5" w:rsidP="00F336D5">
            <w:pPr>
              <w:widowControl/>
              <w:autoSpaceDE/>
              <w:autoSpaceDN/>
              <w:adjustRightInd/>
              <w:rPr>
                <w:rFonts w:asciiTheme="minorHAnsi" w:eastAsia="Calibri" w:hAnsiTheme="minorHAnsi" w:cstheme="minorHAnsi"/>
                <w14:ligatures w14:val="standardContextual"/>
              </w:rPr>
            </w:pPr>
            <w:r w:rsidRPr="00F336D5">
              <w:rPr>
                <w:rFonts w:asciiTheme="minorHAnsi" w:eastAsia="Calibri" w:hAnsiTheme="minorHAnsi" w:cstheme="minorHAnsi"/>
              </w:rPr>
              <w:lastRenderedPageBreak/>
              <w:t>15</w:t>
            </w:r>
          </w:p>
        </w:tc>
        <w:tc>
          <w:tcPr>
            <w:tcW w:w="4964" w:type="dxa"/>
          </w:tcPr>
          <w:p w14:paraId="6E85162E" w14:textId="77777777" w:rsidR="00F336D5" w:rsidRPr="00F336D5" w:rsidRDefault="00F336D5" w:rsidP="00F336D5">
            <w:pPr>
              <w:widowControl/>
              <w:autoSpaceDE/>
              <w:autoSpaceDN/>
              <w:adjustRightInd/>
              <w:rPr>
                <w:rFonts w:asciiTheme="minorHAnsi" w:eastAsia="Calibri" w:hAnsiTheme="minorHAnsi" w:cstheme="minorHAnsi"/>
                <w:bCs/>
                <w14:ligatures w14:val="standardContextual"/>
              </w:rPr>
            </w:pPr>
            <w:r w:rsidRPr="00F336D5">
              <w:rPr>
                <w:rFonts w:asciiTheme="minorHAnsi" w:hAnsiTheme="minorHAnsi" w:cstheme="minorHAnsi"/>
              </w:rPr>
              <w:t xml:space="preserve">Once OSHA’s review of the draft MA FOM is complete, WSHP will make any updates, as necessary, to ensure that the enforcement policies in its FOM are at least as effective as those in OSHA’s FOM. </w:t>
            </w:r>
          </w:p>
        </w:tc>
        <w:tc>
          <w:tcPr>
            <w:tcW w:w="4125" w:type="dxa"/>
          </w:tcPr>
          <w:p w14:paraId="02B0CC37" w14:textId="0EB83DA7" w:rsidR="00F336D5" w:rsidRPr="00F336D5" w:rsidRDefault="00F336D5" w:rsidP="00F336D5">
            <w:pPr>
              <w:widowControl/>
              <w:autoSpaceDE/>
              <w:autoSpaceDN/>
              <w:adjustRightInd/>
              <w:rPr>
                <w:rFonts w:asciiTheme="minorHAnsi" w:hAnsiTheme="minorHAnsi" w:cstheme="minorHAnsi"/>
              </w:rPr>
            </w:pPr>
            <w:r w:rsidRPr="00F336D5">
              <w:rPr>
                <w:rFonts w:asciiTheme="minorHAnsi" w:hAnsiTheme="minorHAnsi" w:cstheme="minorHAnsi"/>
              </w:rPr>
              <w:t xml:space="preserve">Incomplete: In November 2022, OSHA approved the MA FOM; however, in June 2023, OSHA requested revisions.  In November 2023, OSHA approved the second MA FOM.  </w:t>
            </w:r>
            <w:r w:rsidR="006235AE">
              <w:rPr>
                <w:rFonts w:asciiTheme="minorHAnsi" w:hAnsiTheme="minorHAnsi" w:cstheme="minorHAnsi"/>
              </w:rPr>
              <w:t>F</w:t>
            </w:r>
            <w:r w:rsidRPr="00F336D5">
              <w:rPr>
                <w:rFonts w:asciiTheme="minorHAnsi" w:hAnsiTheme="minorHAnsi" w:cstheme="minorHAnsi"/>
              </w:rPr>
              <w:t xml:space="preserve">urther clarifications were identified, and WSHP decided to amend some sections </w:t>
            </w:r>
            <w:r w:rsidR="0007714E">
              <w:rPr>
                <w:rFonts w:asciiTheme="minorHAnsi" w:hAnsiTheme="minorHAnsi" w:cstheme="minorHAnsi"/>
              </w:rPr>
              <w:t xml:space="preserve">of </w:t>
            </w:r>
            <w:r w:rsidRPr="00F336D5">
              <w:rPr>
                <w:rFonts w:asciiTheme="minorHAnsi" w:hAnsiTheme="minorHAnsi" w:cstheme="minorHAnsi"/>
              </w:rPr>
              <w:t xml:space="preserve">Chapter 6 </w:t>
            </w:r>
            <w:r w:rsidR="0007714E">
              <w:rPr>
                <w:rFonts w:asciiTheme="minorHAnsi" w:hAnsiTheme="minorHAnsi" w:cstheme="minorHAnsi"/>
              </w:rPr>
              <w:t>(</w:t>
            </w:r>
            <w:r w:rsidR="00EB4F63">
              <w:rPr>
                <w:rFonts w:asciiTheme="minorHAnsi" w:hAnsiTheme="minorHAnsi" w:cstheme="minorHAnsi"/>
              </w:rPr>
              <w:t xml:space="preserve">Penalties and Debt Collection) </w:t>
            </w:r>
            <w:r w:rsidRPr="00F336D5">
              <w:rPr>
                <w:rFonts w:asciiTheme="minorHAnsi" w:hAnsiTheme="minorHAnsi" w:cstheme="minorHAnsi"/>
              </w:rPr>
              <w:t>and Chapter 7</w:t>
            </w:r>
            <w:r w:rsidR="00EB4F63">
              <w:rPr>
                <w:rFonts w:asciiTheme="minorHAnsi" w:hAnsiTheme="minorHAnsi" w:cstheme="minorHAnsi"/>
              </w:rPr>
              <w:t xml:space="preserve"> </w:t>
            </w:r>
            <w:r w:rsidR="00A87F99">
              <w:rPr>
                <w:rFonts w:asciiTheme="minorHAnsi" w:hAnsiTheme="minorHAnsi" w:cstheme="minorHAnsi"/>
              </w:rPr>
              <w:t>(</w:t>
            </w:r>
            <w:r w:rsidR="00EB4F63">
              <w:rPr>
                <w:rFonts w:asciiTheme="minorHAnsi" w:hAnsiTheme="minorHAnsi" w:cstheme="minorHAnsi"/>
              </w:rPr>
              <w:t>Post Citation Procedures</w:t>
            </w:r>
            <w:r w:rsidR="00D259BC">
              <w:rPr>
                <w:rFonts w:asciiTheme="minorHAnsi" w:hAnsiTheme="minorHAnsi" w:cstheme="minorHAnsi"/>
              </w:rPr>
              <w:t xml:space="preserve"> and Abatement Verification</w:t>
            </w:r>
            <w:r w:rsidR="00EB4F63">
              <w:rPr>
                <w:rFonts w:asciiTheme="minorHAnsi" w:hAnsiTheme="minorHAnsi" w:cstheme="minorHAnsi"/>
              </w:rPr>
              <w:t>)</w:t>
            </w:r>
            <w:r w:rsidRPr="00F336D5">
              <w:rPr>
                <w:rFonts w:asciiTheme="minorHAnsi" w:hAnsiTheme="minorHAnsi" w:cstheme="minorHAnsi"/>
              </w:rPr>
              <w:t xml:space="preserve">.  </w:t>
            </w:r>
            <w:r w:rsidR="006235AE">
              <w:rPr>
                <w:rFonts w:asciiTheme="minorHAnsi" w:hAnsiTheme="minorHAnsi" w:cstheme="minorHAnsi"/>
              </w:rPr>
              <w:t>WSHP submitted revisions to these two chapters</w:t>
            </w:r>
            <w:r w:rsidR="00543483">
              <w:rPr>
                <w:rFonts w:asciiTheme="minorHAnsi" w:hAnsiTheme="minorHAnsi" w:cstheme="minorHAnsi"/>
              </w:rPr>
              <w:t xml:space="preserve"> to OSHA </w:t>
            </w:r>
            <w:r w:rsidR="006235AE">
              <w:rPr>
                <w:rFonts w:asciiTheme="minorHAnsi" w:hAnsiTheme="minorHAnsi" w:cstheme="minorHAnsi"/>
              </w:rPr>
              <w:t>in October 2024</w:t>
            </w:r>
            <w:r w:rsidR="00543483">
              <w:rPr>
                <w:rFonts w:asciiTheme="minorHAnsi" w:hAnsiTheme="minorHAnsi" w:cstheme="minorHAnsi"/>
              </w:rPr>
              <w:t>.</w:t>
            </w:r>
          </w:p>
        </w:tc>
      </w:tr>
    </w:tbl>
    <w:p w14:paraId="637C23BB" w14:textId="775735FA" w:rsidR="00F336D5" w:rsidRPr="00F336D5" w:rsidRDefault="00F336D5" w:rsidP="00F336D5">
      <w:pPr>
        <w:widowControl/>
        <w:autoSpaceDE/>
        <w:autoSpaceDN/>
        <w:adjustRightInd/>
        <w:rPr>
          <w:rFonts w:asciiTheme="minorHAnsi" w:eastAsia="Calibri" w:hAnsiTheme="minorHAnsi" w:cstheme="minorHAnsi"/>
          <w14:ligatures w14:val="standardContextual"/>
        </w:rPr>
      </w:pPr>
    </w:p>
    <w:p w14:paraId="2C73A3BD" w14:textId="77777777" w:rsidR="00F336D5" w:rsidRPr="00F336D5" w:rsidRDefault="00F336D5" w:rsidP="00F336D5">
      <w:pPr>
        <w:tabs>
          <w:tab w:val="left" w:pos="2160"/>
        </w:tabs>
        <w:spacing w:after="200"/>
        <w:contextualSpacing/>
        <w:rPr>
          <w:rFonts w:asciiTheme="minorHAnsi" w:hAnsiTheme="minorHAnsi" w:cstheme="minorHAnsi"/>
          <w:iCs/>
          <w:strike/>
        </w:rPr>
      </w:pPr>
    </w:p>
    <w:p w14:paraId="4DD4CBB7" w14:textId="6FC9EA6B" w:rsidR="00F336D5" w:rsidRPr="00F336D5" w:rsidRDefault="00F336D5" w:rsidP="007A71AC">
      <w:pPr>
        <w:widowControl/>
        <w:autoSpaceDE/>
        <w:autoSpaceDN/>
        <w:adjustRightInd/>
        <w:rPr>
          <w:rFonts w:cs="Calibri"/>
          <w:iCs/>
          <w:color w:val="0070C0"/>
        </w:rPr>
        <w:sectPr w:rsidR="00F336D5" w:rsidRPr="00F336D5" w:rsidSect="00783189">
          <w:footerReference w:type="default" r:id="rId10"/>
          <w:footerReference w:type="first" r:id="rId11"/>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0F63C1">
      <w:pPr>
        <w:pStyle w:val="Heading3"/>
        <w:numPr>
          <w:ilvl w:val="0"/>
          <w:numId w:val="0"/>
        </w:numPr>
      </w:pPr>
      <w:bookmarkStart w:id="29" w:name="_Toc118905017"/>
      <w:bookmarkStart w:id="30" w:name="_Toc119418669"/>
      <w:r w:rsidRPr="0002572C">
        <w:lastRenderedPageBreak/>
        <w:t>Appendix A – New and Continued Findings and Recommendations</w:t>
      </w:r>
      <w:bookmarkEnd w:id="29"/>
      <w:bookmarkEnd w:id="30"/>
    </w:p>
    <w:p w14:paraId="670F195C" w14:textId="4A09A86C" w:rsidR="00B6741C" w:rsidRDefault="00B6741C" w:rsidP="00B6741C">
      <w:r>
        <w:t xml:space="preserve">FY </w:t>
      </w:r>
      <w:r w:rsidRPr="00B55B47">
        <w:t>20</w:t>
      </w:r>
      <w:r w:rsidR="00711F29" w:rsidRPr="00B55B47">
        <w:t>24</w:t>
      </w:r>
      <w:r w:rsidRPr="00B55B47">
        <w:t xml:space="preserve"> </w:t>
      </w:r>
      <w:r w:rsidR="00711F29" w:rsidRPr="00B55B47">
        <w:t>WSHP</w:t>
      </w:r>
      <w:r w:rsidR="00E13C4B" w:rsidRPr="00B55B47">
        <w:t xml:space="preserve"> </w:t>
      </w:r>
      <w:r>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25555EEF"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711F29">
              <w:rPr>
                <w:rFonts w:cs="Calibri"/>
                <w:b/>
              </w:rPr>
              <w:t>24</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4819"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90" w:type="dxa"/>
          </w:tcPr>
          <w:p w14:paraId="7C9006CD" w14:textId="0578765F" w:rsidR="00BB0343"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711F29">
              <w:rPr>
                <w:rFonts w:cs="Calibri"/>
                <w:b/>
              </w:rPr>
              <w:t>23</w:t>
            </w:r>
            <w:r w:rsidRPr="001C1E47">
              <w:rPr>
                <w:rFonts w:cs="Calibri"/>
                <w:b/>
              </w:rPr>
              <w:t xml:space="preserve">-# or </w:t>
            </w:r>
          </w:p>
          <w:p w14:paraId="3C61CFBF" w14:textId="2725D2BA" w:rsidR="000A134A"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865841">
              <w:rPr>
                <w:rFonts w:cs="Calibri"/>
                <w:b/>
              </w:rPr>
              <w:t>23</w:t>
            </w:r>
            <w:r w:rsidRPr="001C1E47">
              <w:rPr>
                <w:rFonts w:cs="Calibri"/>
                <w:b/>
              </w:rPr>
              <w:t>-OB-#</w:t>
            </w:r>
          </w:p>
        </w:tc>
      </w:tr>
      <w:tr w:rsidR="000A134A" w:rsidRPr="001C1E47" w14:paraId="5368CE16" w14:textId="77777777" w:rsidTr="00185C7D">
        <w:tc>
          <w:tcPr>
            <w:tcW w:w="1440" w:type="dxa"/>
          </w:tcPr>
          <w:p w14:paraId="31EBB109" w14:textId="77777777" w:rsidR="000A134A" w:rsidRPr="001C1E47" w:rsidRDefault="000A134A" w:rsidP="007A71AC">
            <w:pPr>
              <w:widowControl/>
              <w:autoSpaceDE/>
              <w:autoSpaceDN/>
              <w:adjustRightInd/>
              <w:rPr>
                <w:rFonts w:cs="Calibri"/>
              </w:rPr>
            </w:pPr>
            <w:r w:rsidRPr="001C1E47">
              <w:rPr>
                <w:rFonts w:cs="Calibri"/>
              </w:rPr>
              <w:t xml:space="preserve"> </w:t>
            </w:r>
          </w:p>
          <w:p w14:paraId="39F370D3" w14:textId="77777777" w:rsidR="000A134A" w:rsidRPr="001C1E47" w:rsidRDefault="000A134A" w:rsidP="007A71AC">
            <w:pPr>
              <w:widowControl/>
              <w:autoSpaceDE/>
              <w:autoSpaceDN/>
              <w:adjustRightInd/>
              <w:rPr>
                <w:rFonts w:cs="Calibri"/>
              </w:rPr>
            </w:pPr>
          </w:p>
        </w:tc>
        <w:tc>
          <w:tcPr>
            <w:tcW w:w="4721" w:type="dxa"/>
          </w:tcPr>
          <w:p w14:paraId="4B3C1E3A" w14:textId="42DBF51C" w:rsidR="000A134A" w:rsidRPr="001C1E47" w:rsidRDefault="000A134A" w:rsidP="007A71AC">
            <w:pPr>
              <w:widowControl/>
              <w:autoSpaceDE/>
              <w:autoSpaceDN/>
              <w:adjustRightInd/>
              <w:rPr>
                <w:rFonts w:cs="Calibri"/>
              </w:rPr>
            </w:pPr>
            <w:r w:rsidRPr="001C1E47">
              <w:rPr>
                <w:rFonts w:cs="Calibri"/>
              </w:rPr>
              <w:t xml:space="preserve">   </w:t>
            </w:r>
            <w:r w:rsidR="00865841">
              <w:rPr>
                <w:rFonts w:cs="Calibri"/>
              </w:rPr>
              <w:t>None.</w:t>
            </w:r>
          </w:p>
        </w:tc>
        <w:tc>
          <w:tcPr>
            <w:tcW w:w="4819" w:type="dxa"/>
          </w:tcPr>
          <w:p w14:paraId="5C606D29" w14:textId="77777777" w:rsidR="000A134A" w:rsidRPr="001C1E47" w:rsidRDefault="000A134A" w:rsidP="007A71AC">
            <w:pPr>
              <w:widowControl/>
              <w:autoSpaceDE/>
              <w:autoSpaceDN/>
              <w:adjustRightInd/>
              <w:rPr>
                <w:rFonts w:cs="Calibri"/>
              </w:rPr>
            </w:pPr>
            <w:r w:rsidRPr="001C1E47">
              <w:rPr>
                <w:rFonts w:cs="Calibri"/>
              </w:rPr>
              <w:t xml:space="preserve"> </w:t>
            </w:r>
          </w:p>
          <w:p w14:paraId="7A48B2C8" w14:textId="77777777" w:rsidR="000A134A" w:rsidRPr="001C1E47" w:rsidRDefault="000A134A" w:rsidP="007A71AC">
            <w:pPr>
              <w:widowControl/>
              <w:autoSpaceDE/>
              <w:autoSpaceDN/>
              <w:adjustRightInd/>
              <w:rPr>
                <w:rFonts w:cs="Calibri"/>
              </w:rPr>
            </w:pPr>
          </w:p>
        </w:tc>
        <w:tc>
          <w:tcPr>
            <w:tcW w:w="1890" w:type="dxa"/>
          </w:tcPr>
          <w:p w14:paraId="51FF8A48" w14:textId="77777777" w:rsidR="000A134A" w:rsidRPr="001C1E47" w:rsidRDefault="000A134A" w:rsidP="007A71AC">
            <w:pPr>
              <w:widowControl/>
              <w:autoSpaceDE/>
              <w:autoSpaceDN/>
              <w:adjustRightInd/>
              <w:rPr>
                <w:rFonts w:cs="Calibri"/>
              </w:rPr>
            </w:pPr>
            <w:r w:rsidRPr="001C1E47">
              <w:rPr>
                <w:rFonts w:cs="Calibri"/>
              </w:rPr>
              <w:t xml:space="preserve"> </w:t>
            </w:r>
          </w:p>
        </w:tc>
      </w:tr>
    </w:tbl>
    <w:p w14:paraId="3C1E0E19" w14:textId="77777777" w:rsidR="000A134A" w:rsidRPr="001C1E47" w:rsidRDefault="000A134A" w:rsidP="007A71AC">
      <w:pPr>
        <w:widowControl/>
        <w:autoSpaceDE/>
        <w:autoSpaceDN/>
        <w:adjustRightInd/>
        <w:rPr>
          <w:rFonts w:cs="Calibri"/>
        </w:rPr>
      </w:pPr>
    </w:p>
    <w:p w14:paraId="3AB3DC8E" w14:textId="77777777" w:rsidR="000A134A" w:rsidRDefault="000A134A" w:rsidP="007A71AC">
      <w:pPr>
        <w:widowControl/>
        <w:autoSpaceDE/>
        <w:autoSpaceDN/>
        <w:adjustRightInd/>
        <w:rPr>
          <w:rFonts w:cs="Calibri"/>
          <w:iCs/>
          <w:color w:val="0070C0"/>
        </w:rPr>
      </w:pPr>
    </w:p>
    <w:p w14:paraId="2884B212" w14:textId="77777777" w:rsidR="00A026EB" w:rsidRDefault="00A026EB" w:rsidP="007A71AC">
      <w:pPr>
        <w:widowControl/>
        <w:autoSpaceDE/>
        <w:autoSpaceDN/>
        <w:adjustRightInd/>
        <w:rPr>
          <w:rFonts w:cs="Calibri"/>
          <w:iCs/>
          <w:color w:val="0070C0"/>
        </w:rPr>
      </w:pPr>
    </w:p>
    <w:p w14:paraId="50A7E100" w14:textId="77777777" w:rsidR="00A026EB" w:rsidRDefault="00A026EB" w:rsidP="007A71AC">
      <w:pPr>
        <w:widowControl/>
        <w:autoSpaceDE/>
        <w:autoSpaceDN/>
        <w:adjustRightInd/>
        <w:rPr>
          <w:rFonts w:cs="Calibri"/>
          <w:iCs/>
          <w:color w:val="0070C0"/>
        </w:rPr>
      </w:pPr>
    </w:p>
    <w:p w14:paraId="7CA3F4A2" w14:textId="77777777" w:rsidR="00A026EB" w:rsidRDefault="00A026EB" w:rsidP="007A71AC">
      <w:pPr>
        <w:widowControl/>
        <w:autoSpaceDE/>
        <w:autoSpaceDN/>
        <w:adjustRightInd/>
        <w:rPr>
          <w:rFonts w:cs="Calibri"/>
          <w:iCs/>
          <w:color w:val="0070C0"/>
        </w:rPr>
      </w:pPr>
    </w:p>
    <w:p w14:paraId="748683E1" w14:textId="77777777" w:rsidR="00A026EB" w:rsidRPr="00476C08" w:rsidRDefault="00A026EB" w:rsidP="007A71AC">
      <w:pPr>
        <w:widowControl/>
        <w:autoSpaceDE/>
        <w:autoSpaceDN/>
        <w:adjustRightInd/>
        <w:rPr>
          <w:rFonts w:cs="Calibri"/>
          <w:iCs/>
          <w:color w:val="0070C0"/>
        </w:rPr>
      </w:pPr>
    </w:p>
    <w:p w14:paraId="2DA8A6D2" w14:textId="77777777" w:rsidR="00A026EB" w:rsidRDefault="00A026EB" w:rsidP="007A71AC">
      <w:pPr>
        <w:widowControl/>
        <w:autoSpaceDE/>
        <w:autoSpaceDN/>
        <w:adjustRightInd/>
        <w:rPr>
          <w:rFonts w:cs="Calibri"/>
          <w:iCs/>
          <w:color w:val="0070C0"/>
        </w:rPr>
      </w:pPr>
    </w:p>
    <w:p w14:paraId="40537192" w14:textId="77777777" w:rsidR="00A026EB" w:rsidRDefault="00A026EB" w:rsidP="007A71AC">
      <w:pPr>
        <w:widowControl/>
        <w:autoSpaceDE/>
        <w:autoSpaceDN/>
        <w:adjustRightInd/>
        <w:rPr>
          <w:rFonts w:cs="Calibri"/>
          <w:iCs/>
          <w:color w:val="0070C0"/>
        </w:rPr>
      </w:pPr>
    </w:p>
    <w:p w14:paraId="0A0DEC44" w14:textId="77777777" w:rsidR="00A026EB" w:rsidRDefault="00A026EB" w:rsidP="007A71AC">
      <w:pPr>
        <w:widowControl/>
        <w:autoSpaceDE/>
        <w:autoSpaceDN/>
        <w:adjustRightInd/>
        <w:rPr>
          <w:rFonts w:cs="Calibri"/>
          <w:iCs/>
          <w:color w:val="0070C0"/>
        </w:rPr>
      </w:pPr>
    </w:p>
    <w:p w14:paraId="19ABA7C6" w14:textId="77777777" w:rsidR="00A026EB" w:rsidRDefault="00A026EB" w:rsidP="007A71AC">
      <w:pPr>
        <w:widowControl/>
        <w:autoSpaceDE/>
        <w:autoSpaceDN/>
        <w:adjustRightInd/>
        <w:rPr>
          <w:rFonts w:cs="Calibri"/>
          <w:iCs/>
          <w:color w:val="0070C0"/>
        </w:rPr>
      </w:pPr>
    </w:p>
    <w:p w14:paraId="3DCEB369" w14:textId="77777777" w:rsidR="00A026EB" w:rsidRDefault="00A026EB" w:rsidP="007A71AC">
      <w:pPr>
        <w:widowControl/>
        <w:autoSpaceDE/>
        <w:autoSpaceDN/>
        <w:adjustRightInd/>
        <w:rPr>
          <w:rFonts w:cs="Calibri"/>
          <w:iCs/>
          <w:color w:val="0070C0"/>
        </w:rPr>
      </w:pPr>
    </w:p>
    <w:p w14:paraId="7C19C4AE" w14:textId="77777777" w:rsidR="00D86879" w:rsidRDefault="00D86879" w:rsidP="007A71AC">
      <w:pPr>
        <w:widowControl/>
        <w:autoSpaceDE/>
        <w:autoSpaceDN/>
        <w:adjustRightInd/>
        <w:rPr>
          <w:rFonts w:cs="Calibri"/>
          <w:i/>
        </w:rPr>
      </w:pPr>
    </w:p>
    <w:p w14:paraId="3FBCA900" w14:textId="77777777" w:rsidR="00A026EB" w:rsidRDefault="00A026EB" w:rsidP="007A71AC">
      <w:pPr>
        <w:widowControl/>
        <w:autoSpaceDE/>
        <w:autoSpaceDN/>
        <w:adjustRightInd/>
        <w:rPr>
          <w:rFonts w:cs="Calibri"/>
          <w:i/>
        </w:rPr>
      </w:pPr>
    </w:p>
    <w:p w14:paraId="4263AABC" w14:textId="77777777" w:rsidR="00A026EB" w:rsidRDefault="00A026EB" w:rsidP="007A71AC">
      <w:pPr>
        <w:widowControl/>
        <w:autoSpaceDE/>
        <w:autoSpaceDN/>
        <w:adjustRightInd/>
        <w:rPr>
          <w:rFonts w:cs="Calibri"/>
          <w:i/>
        </w:rPr>
      </w:pPr>
    </w:p>
    <w:p w14:paraId="1977A5B6" w14:textId="77777777" w:rsidR="00A026EB" w:rsidRDefault="00A026EB" w:rsidP="007A71AC">
      <w:pPr>
        <w:widowControl/>
        <w:autoSpaceDE/>
        <w:autoSpaceDN/>
        <w:adjustRightInd/>
        <w:rPr>
          <w:rFonts w:cs="Calibri"/>
          <w:i/>
        </w:rPr>
      </w:pPr>
    </w:p>
    <w:p w14:paraId="56AE3766" w14:textId="77777777" w:rsidR="00A026EB" w:rsidRPr="001C1E47" w:rsidRDefault="00A026EB" w:rsidP="007A71AC">
      <w:pPr>
        <w:widowControl/>
        <w:autoSpaceDE/>
        <w:autoSpaceDN/>
        <w:adjustRightInd/>
        <w:rPr>
          <w:rFonts w:cs="Calibri"/>
          <w:i/>
        </w:rPr>
      </w:pPr>
    </w:p>
    <w:p w14:paraId="039B49D1" w14:textId="77777777" w:rsidR="00D86879" w:rsidRPr="001C1E47" w:rsidRDefault="00D86879"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77777777" w:rsidR="00D86879" w:rsidRPr="001C1E47" w:rsidRDefault="00D86879" w:rsidP="007A71AC">
      <w:pPr>
        <w:widowControl/>
        <w:autoSpaceDE/>
        <w:autoSpaceDN/>
        <w:adjustRightInd/>
        <w:rPr>
          <w:rFonts w:cs="Calibri"/>
          <w:i/>
        </w:rPr>
      </w:pPr>
    </w:p>
    <w:p w14:paraId="162D00D9" w14:textId="77777777" w:rsidR="00C47D45" w:rsidRDefault="00C47D45" w:rsidP="000F63C1">
      <w:pPr>
        <w:pStyle w:val="Heading3"/>
        <w:numPr>
          <w:ilvl w:val="0"/>
          <w:numId w:val="0"/>
        </w:numPr>
      </w:pPr>
      <w:bookmarkStart w:id="31" w:name="_Toc118905018"/>
      <w:bookmarkStart w:id="32" w:name="_Toc119418670"/>
    </w:p>
    <w:p w14:paraId="3CFCD520" w14:textId="77777777" w:rsidR="00050FA4" w:rsidRDefault="00050FA4" w:rsidP="00050FA4"/>
    <w:p w14:paraId="072E44DF" w14:textId="77777777" w:rsidR="00050FA4" w:rsidRPr="00050FA4" w:rsidRDefault="00050FA4" w:rsidP="00050FA4"/>
    <w:p w14:paraId="72DA695E" w14:textId="523A005E" w:rsidR="00B6741C" w:rsidRPr="0002572C" w:rsidRDefault="00B6741C" w:rsidP="000F63C1">
      <w:pPr>
        <w:pStyle w:val="Heading3"/>
        <w:numPr>
          <w:ilvl w:val="0"/>
          <w:numId w:val="0"/>
        </w:numPr>
      </w:pPr>
      <w:r w:rsidRPr="0002572C">
        <w:lastRenderedPageBreak/>
        <w:t>Appendix B – Observations Subject to Continued Monitoring</w:t>
      </w:r>
      <w:bookmarkEnd w:id="31"/>
      <w:bookmarkEnd w:id="32"/>
    </w:p>
    <w:p w14:paraId="75823E10" w14:textId="6B689242" w:rsidR="00D86879" w:rsidRPr="001C1E47" w:rsidRDefault="00B6741C" w:rsidP="003A6647">
      <w:pPr>
        <w:rPr>
          <w:rFonts w:cs="Calibri"/>
          <w:i/>
        </w:rPr>
      </w:pPr>
      <w:r>
        <w:t xml:space="preserve">FY </w:t>
      </w:r>
      <w:r w:rsidRPr="00B55B47">
        <w:t>20</w:t>
      </w:r>
      <w:r w:rsidR="005A5861" w:rsidRPr="00B55B47">
        <w:t>24</w:t>
      </w:r>
      <w:r w:rsidRPr="00B55B47">
        <w:t xml:space="preserve"> </w:t>
      </w:r>
      <w:r w:rsidR="005A5861" w:rsidRPr="00B55B47">
        <w:t xml:space="preserve">WSHP </w:t>
      </w:r>
      <w:r>
        <w:t>Follow-up FAME Report</w:t>
      </w:r>
    </w:p>
    <w:p w14:paraId="2093D22B" w14:textId="77777777" w:rsidR="00D86879" w:rsidRPr="001C1E47" w:rsidRDefault="00D86879" w:rsidP="007A71AC">
      <w:pPr>
        <w:widowControl/>
        <w:autoSpaceDE/>
        <w:autoSpaceDN/>
        <w:adjustRightInd/>
        <w:rPr>
          <w:rFonts w:cs="Calibri"/>
          <w:i/>
        </w:rPr>
      </w:pPr>
    </w:p>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rsidRPr="00E35E8A" w14:paraId="266E8016" w14:textId="4E26EFF8" w:rsidTr="00B6741C">
        <w:trPr>
          <w:cantSplit/>
          <w:tblHeader/>
        </w:trPr>
        <w:tc>
          <w:tcPr>
            <w:tcW w:w="2657" w:type="dxa"/>
          </w:tcPr>
          <w:p w14:paraId="5950BEA4" w14:textId="77777777" w:rsidR="00B6741C" w:rsidRPr="00E35E8A" w:rsidRDefault="00B6741C" w:rsidP="00B6741C">
            <w:pPr>
              <w:widowControl/>
              <w:autoSpaceDE/>
              <w:autoSpaceDN/>
              <w:adjustRightInd/>
              <w:rPr>
                <w:rFonts w:cs="Calibri"/>
                <w:b/>
              </w:rPr>
            </w:pPr>
            <w:r w:rsidRPr="00E35E8A">
              <w:rPr>
                <w:rFonts w:cs="Calibri"/>
                <w:b/>
              </w:rPr>
              <w:t>Observation #</w:t>
            </w:r>
          </w:p>
          <w:p w14:paraId="09AE72D2" w14:textId="74C04E54" w:rsidR="00B6741C" w:rsidRPr="00E35E8A" w:rsidRDefault="00B6741C" w:rsidP="00B6741C">
            <w:pPr>
              <w:widowControl/>
              <w:autoSpaceDE/>
              <w:autoSpaceDN/>
              <w:adjustRightInd/>
              <w:rPr>
                <w:rFonts w:cs="Calibri"/>
                <w:b/>
              </w:rPr>
            </w:pPr>
            <w:r w:rsidRPr="00E35E8A">
              <w:rPr>
                <w:rFonts w:cs="Calibri"/>
                <w:b/>
              </w:rPr>
              <w:t>FY 20</w:t>
            </w:r>
            <w:r w:rsidR="00751732">
              <w:rPr>
                <w:rFonts w:cs="Calibri"/>
                <w:b/>
              </w:rPr>
              <w:t>24</w:t>
            </w:r>
            <w:r w:rsidRPr="00E35E8A">
              <w:rPr>
                <w:rFonts w:cs="Calibri"/>
                <w:b/>
              </w:rPr>
              <w:t>-OB-#</w:t>
            </w:r>
          </w:p>
          <w:p w14:paraId="07702D17" w14:textId="77777777" w:rsidR="00B6741C" w:rsidRPr="00E35E8A" w:rsidRDefault="00B6741C" w:rsidP="00B6741C">
            <w:pPr>
              <w:widowControl/>
              <w:autoSpaceDE/>
              <w:autoSpaceDN/>
              <w:adjustRightInd/>
              <w:rPr>
                <w:rFonts w:cs="Calibri"/>
                <w:i/>
              </w:rPr>
            </w:pPr>
          </w:p>
        </w:tc>
        <w:tc>
          <w:tcPr>
            <w:tcW w:w="2690" w:type="dxa"/>
          </w:tcPr>
          <w:p w14:paraId="5B8F9311" w14:textId="77777777" w:rsidR="00B6741C" w:rsidRPr="00E35E8A" w:rsidRDefault="00B6741C" w:rsidP="00B6741C">
            <w:pPr>
              <w:widowControl/>
              <w:autoSpaceDE/>
              <w:autoSpaceDN/>
              <w:adjustRightInd/>
              <w:rPr>
                <w:rFonts w:cs="Calibri"/>
                <w:b/>
              </w:rPr>
            </w:pPr>
            <w:r w:rsidRPr="00E35E8A">
              <w:rPr>
                <w:rFonts w:cs="Calibri"/>
                <w:b/>
              </w:rPr>
              <w:t>Observation#</w:t>
            </w:r>
          </w:p>
          <w:p w14:paraId="757E85A6" w14:textId="3B2695B4" w:rsidR="00B6741C" w:rsidRPr="00E35E8A" w:rsidRDefault="00B6741C" w:rsidP="00B6741C">
            <w:pPr>
              <w:widowControl/>
              <w:autoSpaceDE/>
              <w:autoSpaceDN/>
              <w:adjustRightInd/>
              <w:rPr>
                <w:rFonts w:cs="Calibri"/>
                <w:i/>
              </w:rPr>
            </w:pPr>
            <w:r w:rsidRPr="00E35E8A">
              <w:rPr>
                <w:rFonts w:cs="Calibri"/>
                <w:b/>
              </w:rPr>
              <w:t>FY 20</w:t>
            </w:r>
            <w:r w:rsidR="00751732">
              <w:rPr>
                <w:rFonts w:cs="Calibri"/>
                <w:b/>
              </w:rPr>
              <w:t>23</w:t>
            </w:r>
            <w:r w:rsidRPr="00E35E8A">
              <w:rPr>
                <w:rFonts w:cs="Calibri"/>
                <w:b/>
              </w:rPr>
              <w:t xml:space="preserve">-OB-# </w:t>
            </w:r>
            <w:r w:rsidRPr="00E35E8A">
              <w:rPr>
                <w:rFonts w:cs="Calibri"/>
                <w:b/>
                <w:i/>
              </w:rPr>
              <w:t>or</w:t>
            </w:r>
            <w:r w:rsidRPr="00E35E8A">
              <w:rPr>
                <w:rFonts w:cs="Calibri"/>
                <w:b/>
              </w:rPr>
              <w:t xml:space="preserve"> FY 20</w:t>
            </w:r>
            <w:r w:rsidR="00751732">
              <w:rPr>
                <w:rFonts w:cs="Calibri"/>
                <w:b/>
              </w:rPr>
              <w:t>23</w:t>
            </w:r>
            <w:r w:rsidRPr="00E35E8A">
              <w:rPr>
                <w:rFonts w:cs="Calibri"/>
                <w:b/>
              </w:rPr>
              <w:t>-#</w:t>
            </w:r>
          </w:p>
        </w:tc>
        <w:tc>
          <w:tcPr>
            <w:tcW w:w="2657" w:type="dxa"/>
          </w:tcPr>
          <w:p w14:paraId="11DA1749" w14:textId="7AE042CC" w:rsidR="00B6741C" w:rsidRPr="00E35E8A" w:rsidRDefault="00B6741C" w:rsidP="00B6741C">
            <w:pPr>
              <w:widowControl/>
              <w:autoSpaceDE/>
              <w:autoSpaceDN/>
              <w:adjustRightInd/>
              <w:rPr>
                <w:rFonts w:cs="Calibri"/>
                <w:i/>
              </w:rPr>
            </w:pPr>
            <w:r w:rsidRPr="00E35E8A">
              <w:rPr>
                <w:rFonts w:cs="Calibri"/>
                <w:b/>
              </w:rPr>
              <w:t>Observation</w:t>
            </w:r>
          </w:p>
        </w:tc>
        <w:tc>
          <w:tcPr>
            <w:tcW w:w="2630" w:type="dxa"/>
          </w:tcPr>
          <w:p w14:paraId="76BC073C" w14:textId="70BBC1B0" w:rsidR="00B6741C" w:rsidRPr="00E35E8A" w:rsidRDefault="00B6741C" w:rsidP="00B6741C">
            <w:pPr>
              <w:widowControl/>
              <w:autoSpaceDE/>
              <w:autoSpaceDN/>
              <w:adjustRightInd/>
              <w:rPr>
                <w:rFonts w:cs="Calibri"/>
                <w:i/>
              </w:rPr>
            </w:pPr>
            <w:r w:rsidRPr="00E35E8A">
              <w:rPr>
                <w:rFonts w:cs="Calibri"/>
                <w:b/>
              </w:rPr>
              <w:t>Federal Monitoring Plan</w:t>
            </w:r>
          </w:p>
        </w:tc>
        <w:tc>
          <w:tcPr>
            <w:tcW w:w="2316" w:type="dxa"/>
          </w:tcPr>
          <w:p w14:paraId="46D0EE63" w14:textId="4A2BA825" w:rsidR="00B6741C" w:rsidRPr="00E35E8A" w:rsidRDefault="00B6741C" w:rsidP="00B6741C">
            <w:pPr>
              <w:widowControl/>
              <w:autoSpaceDE/>
              <w:autoSpaceDN/>
              <w:adjustRightInd/>
              <w:rPr>
                <w:rFonts w:cs="Calibri"/>
                <w:b/>
              </w:rPr>
            </w:pPr>
            <w:r w:rsidRPr="00E35E8A">
              <w:rPr>
                <w:rFonts w:cs="Calibri"/>
                <w:b/>
              </w:rPr>
              <w:t>Current Status</w:t>
            </w:r>
          </w:p>
        </w:tc>
      </w:tr>
      <w:tr w:rsidR="00B6741C" w:rsidRPr="00E35E8A" w14:paraId="715083EB" w14:textId="58561804" w:rsidTr="00B6741C">
        <w:trPr>
          <w:cantSplit/>
        </w:trPr>
        <w:tc>
          <w:tcPr>
            <w:tcW w:w="2657" w:type="dxa"/>
          </w:tcPr>
          <w:p w14:paraId="514C1621" w14:textId="7C58CB66" w:rsidR="00B6741C" w:rsidRPr="00B55B47" w:rsidRDefault="00B6741C" w:rsidP="00B6741C">
            <w:pPr>
              <w:widowControl/>
              <w:autoSpaceDE/>
              <w:autoSpaceDN/>
              <w:adjustRightInd/>
              <w:rPr>
                <w:rFonts w:cs="Calibri"/>
                <w:iCs/>
              </w:rPr>
            </w:pPr>
            <w:r w:rsidRPr="00B55B47">
              <w:rPr>
                <w:rFonts w:cs="Calibri"/>
                <w:iCs/>
              </w:rPr>
              <w:t>FY 20</w:t>
            </w:r>
            <w:r w:rsidR="00E45C89" w:rsidRPr="00B55B47">
              <w:rPr>
                <w:rFonts w:cs="Calibri"/>
                <w:iCs/>
              </w:rPr>
              <w:t>24</w:t>
            </w:r>
            <w:r w:rsidRPr="00B55B47">
              <w:rPr>
                <w:rFonts w:cs="Calibri"/>
                <w:iCs/>
              </w:rPr>
              <w:t>-OB-01</w:t>
            </w:r>
          </w:p>
          <w:p w14:paraId="7834860F" w14:textId="77777777" w:rsidR="00B6741C" w:rsidRPr="00B55B47" w:rsidRDefault="00B6741C" w:rsidP="00B6741C">
            <w:pPr>
              <w:widowControl/>
              <w:autoSpaceDE/>
              <w:autoSpaceDN/>
              <w:adjustRightInd/>
              <w:rPr>
                <w:rFonts w:cs="Calibri"/>
                <w:iCs/>
              </w:rPr>
            </w:pPr>
          </w:p>
        </w:tc>
        <w:tc>
          <w:tcPr>
            <w:tcW w:w="2690" w:type="dxa"/>
          </w:tcPr>
          <w:p w14:paraId="0E657848" w14:textId="710AA651" w:rsidR="00B6741C" w:rsidRPr="00B55B47" w:rsidRDefault="00B6741C" w:rsidP="00B6741C">
            <w:pPr>
              <w:widowControl/>
              <w:autoSpaceDE/>
              <w:autoSpaceDN/>
              <w:adjustRightInd/>
              <w:rPr>
                <w:rFonts w:cs="Calibri"/>
                <w:iCs/>
              </w:rPr>
            </w:pPr>
            <w:r w:rsidRPr="00B55B47">
              <w:rPr>
                <w:rFonts w:cs="Calibri"/>
                <w:iCs/>
              </w:rPr>
              <w:t>FY 20</w:t>
            </w:r>
            <w:r w:rsidR="00E45C89" w:rsidRPr="00B55B47">
              <w:rPr>
                <w:rFonts w:cs="Calibri"/>
                <w:iCs/>
              </w:rPr>
              <w:t>23</w:t>
            </w:r>
            <w:r w:rsidRPr="00B55B47">
              <w:rPr>
                <w:rFonts w:cs="Calibri"/>
                <w:iCs/>
              </w:rPr>
              <w:t>-OB-01</w:t>
            </w:r>
          </w:p>
          <w:p w14:paraId="1207E4E3" w14:textId="77777777" w:rsidR="00B6741C" w:rsidRPr="00B55B47" w:rsidRDefault="00B6741C" w:rsidP="00B6741C">
            <w:pPr>
              <w:widowControl/>
              <w:autoSpaceDE/>
              <w:autoSpaceDN/>
              <w:adjustRightInd/>
              <w:rPr>
                <w:rFonts w:cs="Calibri"/>
                <w:iCs/>
              </w:rPr>
            </w:pPr>
          </w:p>
        </w:tc>
        <w:tc>
          <w:tcPr>
            <w:tcW w:w="2657" w:type="dxa"/>
          </w:tcPr>
          <w:p w14:paraId="53E4A09F" w14:textId="0DC90336" w:rsidR="00B6741C" w:rsidRPr="00E35E8A" w:rsidRDefault="00776AEC" w:rsidP="00B6741C">
            <w:pPr>
              <w:widowControl/>
              <w:autoSpaceDE/>
              <w:autoSpaceDN/>
              <w:adjustRightInd/>
              <w:rPr>
                <w:rFonts w:cs="Calibri"/>
                <w:iCs/>
                <w:color w:val="0070C0"/>
              </w:rPr>
            </w:pPr>
            <w:r w:rsidRPr="005A0C35">
              <w:rPr>
                <w:rFonts w:asciiTheme="minorHAnsi" w:hAnsiTheme="minorHAnsi" w:cstheme="minorHAnsi"/>
                <w:iCs/>
                <w:color w:val="000000" w:themeColor="text1"/>
              </w:rPr>
              <w:t xml:space="preserve">In FY 2023, </w:t>
            </w:r>
            <w:r w:rsidR="00AF215B">
              <w:rPr>
                <w:rFonts w:asciiTheme="minorHAnsi" w:hAnsiTheme="minorHAnsi" w:cstheme="minorHAnsi"/>
                <w:iCs/>
                <w:color w:val="000000" w:themeColor="text1"/>
              </w:rPr>
              <w:t>in 12 of 17 (71</w:t>
            </w:r>
            <w:r w:rsidR="009C63D5">
              <w:rPr>
                <w:rFonts w:asciiTheme="minorHAnsi" w:hAnsiTheme="minorHAnsi" w:cstheme="minorHAnsi"/>
                <w:iCs/>
                <w:color w:val="000000" w:themeColor="text1"/>
              </w:rPr>
              <w:t xml:space="preserve"> percent</w:t>
            </w:r>
            <w:r w:rsidR="00AF215B">
              <w:rPr>
                <w:rFonts w:asciiTheme="minorHAnsi" w:hAnsiTheme="minorHAnsi" w:cstheme="minorHAnsi"/>
                <w:iCs/>
                <w:color w:val="000000" w:themeColor="text1"/>
              </w:rPr>
              <w:t xml:space="preserve">) of </w:t>
            </w:r>
            <w:r w:rsidRPr="005A0C35">
              <w:rPr>
                <w:rFonts w:asciiTheme="minorHAnsi" w:hAnsiTheme="minorHAnsi" w:cstheme="minorHAnsi"/>
                <w:iCs/>
                <w:color w:val="000000" w:themeColor="text1"/>
              </w:rPr>
              <w:t>case files that had violations cited, the violation worksheet was not included in the case file or did not adequately describe all relevant facts pertaining to the violation, as required in the MA FOM, Chapter 5.</w:t>
            </w:r>
          </w:p>
        </w:tc>
        <w:tc>
          <w:tcPr>
            <w:tcW w:w="2630" w:type="dxa"/>
          </w:tcPr>
          <w:p w14:paraId="62F2418F" w14:textId="77777777" w:rsidR="008B07EB" w:rsidRPr="008B07EB" w:rsidRDefault="008B07EB" w:rsidP="008B07EB">
            <w:pPr>
              <w:widowControl/>
              <w:autoSpaceDE/>
              <w:autoSpaceDN/>
              <w:adjustRightInd/>
              <w:rPr>
                <w:rFonts w:asciiTheme="minorHAnsi" w:hAnsiTheme="minorHAnsi" w:cstheme="minorHAnsi"/>
                <w:iCs/>
              </w:rPr>
            </w:pPr>
            <w:r w:rsidRPr="008B07EB">
              <w:rPr>
                <w:rFonts w:asciiTheme="minorHAnsi" w:hAnsiTheme="minorHAnsi" w:cstheme="minorHAnsi"/>
                <w:iCs/>
              </w:rPr>
              <w:t>On a quarterly basis, OSHA will review the requirements for completing the violation worksheet, as required by the MA FOM, Chapter 5.</w:t>
            </w:r>
          </w:p>
          <w:p w14:paraId="04F2CA88" w14:textId="77777777" w:rsidR="00B6741C" w:rsidRPr="00E35E8A" w:rsidRDefault="00B6741C" w:rsidP="00B6741C">
            <w:pPr>
              <w:widowControl/>
              <w:autoSpaceDE/>
              <w:autoSpaceDN/>
              <w:adjustRightInd/>
              <w:rPr>
                <w:rFonts w:cs="Calibri"/>
                <w:iCs/>
                <w:color w:val="0070C0"/>
              </w:rPr>
            </w:pPr>
          </w:p>
        </w:tc>
        <w:tc>
          <w:tcPr>
            <w:tcW w:w="2316" w:type="dxa"/>
          </w:tcPr>
          <w:p w14:paraId="79E4394D" w14:textId="69407FCD" w:rsidR="00B6741C" w:rsidRPr="00192524" w:rsidRDefault="00B6741C" w:rsidP="00B6741C">
            <w:pPr>
              <w:widowControl/>
              <w:autoSpaceDE/>
              <w:autoSpaceDN/>
              <w:adjustRightInd/>
              <w:rPr>
                <w:rFonts w:cs="Calibri"/>
                <w:iCs/>
              </w:rPr>
            </w:pPr>
            <w:r w:rsidRPr="00192524">
              <w:rPr>
                <w:rFonts w:cs="Calibri"/>
                <w:iCs/>
              </w:rPr>
              <w:t>Continued</w:t>
            </w:r>
          </w:p>
        </w:tc>
      </w:tr>
      <w:tr w:rsidR="007D2F9A" w:rsidRPr="00E35E8A" w14:paraId="414575F4" w14:textId="437735BC" w:rsidTr="00B6741C">
        <w:trPr>
          <w:cantSplit/>
        </w:trPr>
        <w:tc>
          <w:tcPr>
            <w:tcW w:w="2657" w:type="dxa"/>
          </w:tcPr>
          <w:p w14:paraId="38E1B745" w14:textId="47094E1E" w:rsidR="007D2F9A" w:rsidRPr="00E35E8A" w:rsidRDefault="007D2F9A" w:rsidP="007D2F9A">
            <w:pPr>
              <w:widowControl/>
              <w:autoSpaceDE/>
              <w:autoSpaceDN/>
              <w:adjustRightInd/>
              <w:rPr>
                <w:rFonts w:cs="Calibri"/>
                <w:iCs/>
                <w:color w:val="0070C0"/>
              </w:rPr>
            </w:pPr>
            <w:r w:rsidRPr="007654EA">
              <w:rPr>
                <w:rFonts w:asciiTheme="minorHAnsi" w:hAnsiTheme="minorHAnsi" w:cstheme="minorHAnsi"/>
                <w:iCs/>
              </w:rPr>
              <w:t>FY 202</w:t>
            </w:r>
            <w:r>
              <w:rPr>
                <w:rFonts w:asciiTheme="minorHAnsi" w:hAnsiTheme="minorHAnsi" w:cstheme="minorHAnsi"/>
                <w:iCs/>
              </w:rPr>
              <w:t>4</w:t>
            </w:r>
            <w:r w:rsidRPr="007654EA">
              <w:rPr>
                <w:rFonts w:asciiTheme="minorHAnsi" w:hAnsiTheme="minorHAnsi" w:cstheme="minorHAnsi"/>
                <w:iCs/>
              </w:rPr>
              <w:t>-OB-02</w:t>
            </w:r>
          </w:p>
        </w:tc>
        <w:tc>
          <w:tcPr>
            <w:tcW w:w="2690" w:type="dxa"/>
          </w:tcPr>
          <w:p w14:paraId="4640B74B" w14:textId="66FA2C5F" w:rsidR="007D2F9A" w:rsidRPr="00E35E8A" w:rsidRDefault="00AC14C5" w:rsidP="007D2F9A">
            <w:pPr>
              <w:widowControl/>
              <w:autoSpaceDE/>
              <w:autoSpaceDN/>
              <w:adjustRightInd/>
              <w:rPr>
                <w:rFonts w:cs="Calibri"/>
                <w:iCs/>
                <w:color w:val="0070C0"/>
              </w:rPr>
            </w:pPr>
            <w:r w:rsidRPr="00B55B47">
              <w:rPr>
                <w:rFonts w:cs="Calibri"/>
                <w:iCs/>
              </w:rPr>
              <w:t>FY 2023-OB-02</w:t>
            </w:r>
          </w:p>
        </w:tc>
        <w:tc>
          <w:tcPr>
            <w:tcW w:w="2657" w:type="dxa"/>
          </w:tcPr>
          <w:p w14:paraId="3BC4A14C" w14:textId="2C0874D4" w:rsidR="007D2F9A" w:rsidRPr="00E35E8A" w:rsidRDefault="007D2F9A" w:rsidP="007D2F9A">
            <w:pPr>
              <w:widowControl/>
              <w:autoSpaceDE/>
              <w:autoSpaceDN/>
              <w:adjustRightInd/>
              <w:rPr>
                <w:rFonts w:cs="Calibri"/>
                <w:iCs/>
                <w:color w:val="0070C0"/>
              </w:rPr>
            </w:pPr>
            <w:r>
              <w:rPr>
                <w:rFonts w:asciiTheme="minorHAnsi" w:hAnsiTheme="minorHAnsi" w:cstheme="minorHAnsi"/>
                <w:iCs/>
              </w:rPr>
              <w:t>In FY 2023, i</w:t>
            </w:r>
            <w:r w:rsidRPr="007654EA">
              <w:rPr>
                <w:rFonts w:asciiTheme="minorHAnsi" w:hAnsiTheme="minorHAnsi" w:cstheme="minorHAnsi"/>
                <w:iCs/>
              </w:rPr>
              <w:t xml:space="preserve">n </w:t>
            </w:r>
            <w:r w:rsidR="00AF215B">
              <w:rPr>
                <w:rFonts w:asciiTheme="minorHAnsi" w:hAnsiTheme="minorHAnsi" w:cstheme="minorHAnsi"/>
                <w:iCs/>
              </w:rPr>
              <w:t>14 of 23 (61</w:t>
            </w:r>
            <w:r w:rsidR="009C63D5">
              <w:rPr>
                <w:rFonts w:asciiTheme="minorHAnsi" w:hAnsiTheme="minorHAnsi" w:cstheme="minorHAnsi"/>
                <w:iCs/>
              </w:rPr>
              <w:t xml:space="preserve"> percent</w:t>
            </w:r>
            <w:r w:rsidR="00AF215B">
              <w:rPr>
                <w:rFonts w:asciiTheme="minorHAnsi" w:hAnsiTheme="minorHAnsi" w:cstheme="minorHAnsi"/>
                <w:iCs/>
              </w:rPr>
              <w:t>) in</w:t>
            </w:r>
            <w:r w:rsidRPr="007654EA">
              <w:rPr>
                <w:rFonts w:asciiTheme="minorHAnsi" w:hAnsiTheme="minorHAnsi" w:cstheme="minorHAnsi"/>
                <w:iCs/>
              </w:rPr>
              <w:t>spection case files</w:t>
            </w:r>
            <w:r>
              <w:rPr>
                <w:rFonts w:asciiTheme="minorHAnsi" w:hAnsiTheme="minorHAnsi" w:cstheme="minorHAnsi"/>
                <w:iCs/>
              </w:rPr>
              <w:t>,</w:t>
            </w:r>
            <w:r w:rsidRPr="007654EA">
              <w:rPr>
                <w:rFonts w:asciiTheme="minorHAnsi" w:hAnsiTheme="minorHAnsi" w:cstheme="minorHAnsi"/>
                <w:iCs/>
              </w:rPr>
              <w:t xml:space="preserve"> WSHP did not properly document worker interviews</w:t>
            </w:r>
            <w:r>
              <w:rPr>
                <w:rFonts w:asciiTheme="minorHAnsi" w:hAnsiTheme="minorHAnsi" w:cstheme="minorHAnsi"/>
                <w:iCs/>
              </w:rPr>
              <w:t>,</w:t>
            </w:r>
            <w:r w:rsidRPr="007654EA">
              <w:rPr>
                <w:rFonts w:asciiTheme="minorHAnsi" w:hAnsiTheme="minorHAnsi" w:cstheme="minorHAnsi"/>
                <w:iCs/>
              </w:rPr>
              <w:t xml:space="preserve"> as required in </w:t>
            </w:r>
            <w:r>
              <w:rPr>
                <w:rFonts w:asciiTheme="minorHAnsi" w:hAnsiTheme="minorHAnsi" w:cstheme="minorHAnsi"/>
                <w:iCs/>
              </w:rPr>
              <w:t xml:space="preserve">Chapters 3, 4, and 5 of </w:t>
            </w:r>
            <w:r w:rsidRPr="007654EA">
              <w:rPr>
                <w:rFonts w:asciiTheme="minorHAnsi" w:hAnsiTheme="minorHAnsi" w:cstheme="minorHAnsi"/>
                <w:iCs/>
              </w:rPr>
              <w:t>the MA FOM.</w:t>
            </w:r>
          </w:p>
        </w:tc>
        <w:tc>
          <w:tcPr>
            <w:tcW w:w="2630" w:type="dxa"/>
          </w:tcPr>
          <w:p w14:paraId="27F40F55" w14:textId="77777777" w:rsidR="007D2F9A" w:rsidRPr="00204557" w:rsidRDefault="007D2F9A" w:rsidP="007D2F9A">
            <w:pPr>
              <w:widowControl/>
              <w:autoSpaceDE/>
              <w:autoSpaceDN/>
              <w:adjustRightInd/>
              <w:rPr>
                <w:rFonts w:asciiTheme="minorHAnsi" w:hAnsiTheme="minorHAnsi" w:cstheme="minorHAnsi"/>
                <w:b/>
                <w:bCs/>
                <w:iCs/>
                <w:u w:val="single"/>
              </w:rPr>
            </w:pPr>
            <w:r w:rsidRPr="00204557">
              <w:rPr>
                <w:rFonts w:asciiTheme="minorHAnsi" w:hAnsiTheme="minorHAnsi" w:cstheme="minorHAnsi"/>
                <w:iCs/>
              </w:rPr>
              <w:t xml:space="preserve">During quarterly meetings, OSHA will discuss the need for WSHP to follow the MA FOM’s guidance on worker interviews. </w:t>
            </w:r>
          </w:p>
          <w:p w14:paraId="016CAD6A" w14:textId="3D054F3D" w:rsidR="007D2F9A" w:rsidRPr="00E35E8A" w:rsidRDefault="007D2F9A" w:rsidP="007D2F9A">
            <w:pPr>
              <w:widowControl/>
              <w:autoSpaceDE/>
              <w:autoSpaceDN/>
              <w:adjustRightInd/>
              <w:rPr>
                <w:rFonts w:cs="Calibri"/>
                <w:iCs/>
                <w:color w:val="0070C0"/>
              </w:rPr>
            </w:pPr>
          </w:p>
        </w:tc>
        <w:tc>
          <w:tcPr>
            <w:tcW w:w="2316" w:type="dxa"/>
          </w:tcPr>
          <w:p w14:paraId="4F554364" w14:textId="1A39DEFB" w:rsidR="007D2F9A" w:rsidRPr="00E35E8A" w:rsidRDefault="00AC14C5" w:rsidP="007D2F9A">
            <w:pPr>
              <w:widowControl/>
              <w:autoSpaceDE/>
              <w:autoSpaceDN/>
              <w:adjustRightInd/>
              <w:rPr>
                <w:rFonts w:cs="Calibri"/>
                <w:iCs/>
                <w:color w:val="0070C0"/>
              </w:rPr>
            </w:pPr>
            <w:r w:rsidRPr="00192524">
              <w:rPr>
                <w:rFonts w:cs="Calibri"/>
                <w:iCs/>
              </w:rPr>
              <w:t>Continued</w:t>
            </w:r>
          </w:p>
        </w:tc>
      </w:tr>
      <w:tr w:rsidR="007D2F9A" w:rsidRPr="00E35E8A" w14:paraId="2563AAE5" w14:textId="77777777" w:rsidTr="00B6741C">
        <w:trPr>
          <w:cantSplit/>
        </w:trPr>
        <w:tc>
          <w:tcPr>
            <w:tcW w:w="2657" w:type="dxa"/>
          </w:tcPr>
          <w:p w14:paraId="00743D19" w14:textId="59A6E320" w:rsidR="007D2F9A" w:rsidRPr="00E35E8A" w:rsidRDefault="007D2F9A" w:rsidP="007D2F9A">
            <w:pPr>
              <w:widowControl/>
              <w:autoSpaceDE/>
              <w:autoSpaceDN/>
              <w:adjustRightInd/>
              <w:rPr>
                <w:rFonts w:cs="Calibri"/>
                <w:iCs/>
                <w:color w:val="0070C0"/>
              </w:rPr>
            </w:pPr>
            <w:r w:rsidRPr="00204557">
              <w:rPr>
                <w:rFonts w:asciiTheme="minorHAnsi" w:hAnsiTheme="minorHAnsi" w:cstheme="minorHAnsi"/>
                <w:iCs/>
              </w:rPr>
              <w:lastRenderedPageBreak/>
              <w:t>FY 202</w:t>
            </w:r>
            <w:r>
              <w:rPr>
                <w:rFonts w:asciiTheme="minorHAnsi" w:hAnsiTheme="minorHAnsi" w:cstheme="minorHAnsi"/>
                <w:iCs/>
              </w:rPr>
              <w:t>4</w:t>
            </w:r>
            <w:r w:rsidRPr="00204557">
              <w:rPr>
                <w:rFonts w:asciiTheme="minorHAnsi" w:hAnsiTheme="minorHAnsi" w:cstheme="minorHAnsi"/>
                <w:iCs/>
              </w:rPr>
              <w:t>-OB-03</w:t>
            </w:r>
          </w:p>
        </w:tc>
        <w:tc>
          <w:tcPr>
            <w:tcW w:w="2690" w:type="dxa"/>
          </w:tcPr>
          <w:p w14:paraId="06589438" w14:textId="5AAE68CB" w:rsidR="007D2F9A" w:rsidRPr="00E35E8A" w:rsidRDefault="00AC14C5" w:rsidP="007D2F9A">
            <w:pPr>
              <w:widowControl/>
              <w:autoSpaceDE/>
              <w:autoSpaceDN/>
              <w:adjustRightInd/>
              <w:rPr>
                <w:rFonts w:cs="Calibri"/>
                <w:iCs/>
                <w:color w:val="0070C0"/>
              </w:rPr>
            </w:pPr>
            <w:r w:rsidRPr="00B55B47">
              <w:rPr>
                <w:rFonts w:cs="Calibri"/>
                <w:iCs/>
              </w:rPr>
              <w:t>FY 2023-OB-0</w:t>
            </w:r>
            <w:r w:rsidR="00192524">
              <w:rPr>
                <w:rFonts w:cs="Calibri"/>
                <w:iCs/>
              </w:rPr>
              <w:t>3</w:t>
            </w:r>
          </w:p>
        </w:tc>
        <w:tc>
          <w:tcPr>
            <w:tcW w:w="2657" w:type="dxa"/>
          </w:tcPr>
          <w:p w14:paraId="0F3ADB4D" w14:textId="738CE4DD" w:rsidR="007D2F9A" w:rsidRPr="00E35E8A" w:rsidRDefault="007D2F9A" w:rsidP="007D2F9A">
            <w:pPr>
              <w:widowControl/>
              <w:autoSpaceDE/>
              <w:autoSpaceDN/>
              <w:adjustRightInd/>
              <w:rPr>
                <w:rFonts w:cs="Calibri"/>
                <w:iCs/>
                <w:color w:val="0070C0"/>
              </w:rPr>
            </w:pPr>
            <w:r>
              <w:rPr>
                <w:rFonts w:asciiTheme="minorHAnsi" w:hAnsiTheme="minorHAnsi" w:cstheme="minorHAnsi"/>
                <w:iCs/>
              </w:rPr>
              <w:t>In FY 2023, u</w:t>
            </w:r>
            <w:r w:rsidRPr="00873273">
              <w:rPr>
                <w:rFonts w:asciiTheme="minorHAnsi" w:hAnsiTheme="minorHAnsi" w:cstheme="minorHAnsi"/>
                <w:iCs/>
              </w:rPr>
              <w:t xml:space="preserve">nion participation in the inspection was not sufficiently documented in </w:t>
            </w:r>
            <w:r w:rsidR="00AF215B">
              <w:rPr>
                <w:rFonts w:asciiTheme="minorHAnsi" w:hAnsiTheme="minorHAnsi" w:cstheme="minorHAnsi"/>
                <w:iCs/>
              </w:rPr>
              <w:t>52</w:t>
            </w:r>
            <w:r w:rsidR="009C63D5">
              <w:rPr>
                <w:rFonts w:asciiTheme="minorHAnsi" w:hAnsiTheme="minorHAnsi" w:cstheme="minorHAnsi"/>
                <w:iCs/>
              </w:rPr>
              <w:t xml:space="preserve"> percent</w:t>
            </w:r>
            <w:r w:rsidR="00ED2152">
              <w:rPr>
                <w:rFonts w:asciiTheme="minorHAnsi" w:hAnsiTheme="minorHAnsi" w:cstheme="minorHAnsi"/>
                <w:iCs/>
              </w:rPr>
              <w:t xml:space="preserve"> </w:t>
            </w:r>
            <w:r w:rsidR="00AF215B">
              <w:rPr>
                <w:rFonts w:asciiTheme="minorHAnsi" w:hAnsiTheme="minorHAnsi" w:cstheme="minorHAnsi"/>
                <w:iCs/>
              </w:rPr>
              <w:t>(11 of 21) of</w:t>
            </w:r>
            <w:r w:rsidRPr="00873273">
              <w:rPr>
                <w:rFonts w:asciiTheme="minorHAnsi" w:hAnsiTheme="minorHAnsi" w:cstheme="minorHAnsi"/>
                <w:iCs/>
              </w:rPr>
              <w:t xml:space="preserve"> case files</w:t>
            </w:r>
            <w:r>
              <w:rPr>
                <w:rFonts w:asciiTheme="minorHAnsi" w:hAnsiTheme="minorHAnsi" w:cstheme="minorHAnsi"/>
                <w:iCs/>
              </w:rPr>
              <w:t>,</w:t>
            </w:r>
            <w:r w:rsidRPr="00873273">
              <w:rPr>
                <w:rFonts w:asciiTheme="minorHAnsi" w:hAnsiTheme="minorHAnsi" w:cstheme="minorHAnsi"/>
                <w:iCs/>
              </w:rPr>
              <w:t xml:space="preserve"> as required by the MA FOM, Chapter 5.</w:t>
            </w:r>
          </w:p>
        </w:tc>
        <w:tc>
          <w:tcPr>
            <w:tcW w:w="2630" w:type="dxa"/>
          </w:tcPr>
          <w:p w14:paraId="5FFBC55D" w14:textId="59A4B2A4" w:rsidR="007D2F9A" w:rsidRPr="00E35E8A" w:rsidRDefault="007D2F9A" w:rsidP="007D2F9A">
            <w:pPr>
              <w:widowControl/>
              <w:autoSpaceDE/>
              <w:autoSpaceDN/>
              <w:adjustRightInd/>
              <w:rPr>
                <w:rFonts w:cs="Calibri"/>
                <w:iCs/>
                <w:color w:val="0070C0"/>
              </w:rPr>
            </w:pPr>
            <w:r w:rsidRPr="00873273">
              <w:rPr>
                <w:rFonts w:asciiTheme="minorHAnsi" w:hAnsiTheme="minorHAnsi" w:cstheme="minorHAnsi"/>
                <w:iCs/>
              </w:rPr>
              <w:t xml:space="preserve">During quarterly meetings, OSHA will discuss the need for WSHP to follow </w:t>
            </w:r>
            <w:r>
              <w:rPr>
                <w:rFonts w:asciiTheme="minorHAnsi" w:hAnsiTheme="minorHAnsi" w:cstheme="minorHAnsi"/>
                <w:iCs/>
              </w:rPr>
              <w:t xml:space="preserve">the MA FOM’s </w:t>
            </w:r>
            <w:r w:rsidRPr="00873273">
              <w:rPr>
                <w:rFonts w:asciiTheme="minorHAnsi" w:hAnsiTheme="minorHAnsi" w:cstheme="minorHAnsi"/>
                <w:iCs/>
              </w:rPr>
              <w:t xml:space="preserve">guidance for documenting union participation in the inspection.  </w:t>
            </w:r>
          </w:p>
        </w:tc>
        <w:tc>
          <w:tcPr>
            <w:tcW w:w="2316" w:type="dxa"/>
          </w:tcPr>
          <w:p w14:paraId="58CF57AF" w14:textId="0E219A4F" w:rsidR="007D2F9A" w:rsidRPr="00E35E8A" w:rsidRDefault="00AC14C5" w:rsidP="007D2F9A">
            <w:pPr>
              <w:widowControl/>
              <w:autoSpaceDE/>
              <w:autoSpaceDN/>
              <w:adjustRightInd/>
              <w:rPr>
                <w:rFonts w:cs="Calibri"/>
                <w:iCs/>
                <w:color w:val="0070C0"/>
              </w:rPr>
            </w:pPr>
            <w:r w:rsidRPr="00192524">
              <w:rPr>
                <w:rFonts w:cs="Calibri"/>
                <w:iCs/>
              </w:rPr>
              <w:t>Continued</w:t>
            </w:r>
          </w:p>
        </w:tc>
      </w:tr>
    </w:tbl>
    <w:p w14:paraId="2352A70A" w14:textId="7478DFBA" w:rsidR="00E759AB" w:rsidRPr="001C1E47" w:rsidRDefault="00E759AB" w:rsidP="007A71AC">
      <w:pPr>
        <w:widowControl/>
        <w:autoSpaceDE/>
        <w:autoSpaceDN/>
        <w:adjustRightInd/>
        <w:rPr>
          <w:rFonts w:cs="Calibri"/>
          <w:i/>
          <w:sz w:val="22"/>
          <w:szCs w:val="22"/>
        </w:rPr>
      </w:pPr>
    </w:p>
    <w:p w14:paraId="3912394D" w14:textId="77777777" w:rsidR="000A134A" w:rsidRDefault="000A134A" w:rsidP="007A71AC">
      <w:pPr>
        <w:widowControl/>
        <w:autoSpaceDE/>
        <w:autoSpaceDN/>
        <w:adjustRightInd/>
        <w:rPr>
          <w:rFonts w:cs="Calibri"/>
          <w:i/>
          <w:sz w:val="22"/>
          <w:szCs w:val="22"/>
        </w:rPr>
      </w:pPr>
    </w:p>
    <w:p w14:paraId="183EDE01" w14:textId="1675A6FA" w:rsidR="00892D3A" w:rsidRDefault="00892D3A" w:rsidP="00996CB7">
      <w:pPr>
        <w:tabs>
          <w:tab w:val="left" w:pos="6980"/>
        </w:tabs>
        <w:rPr>
          <w:rFonts w:cs="Calibri"/>
          <w:i/>
          <w:sz w:val="22"/>
          <w:szCs w:val="22"/>
        </w:rPr>
      </w:pPr>
      <w:r>
        <w:rPr>
          <w:rFonts w:cs="Calibri"/>
          <w:i/>
          <w:sz w:val="22"/>
          <w:szCs w:val="22"/>
        </w:rPr>
        <w:tab/>
      </w:r>
    </w:p>
    <w:p w14:paraId="5966FA9F" w14:textId="448AA8AC" w:rsidR="0065591D" w:rsidRPr="00996CB7" w:rsidRDefault="00892D3A" w:rsidP="00996CB7">
      <w:pPr>
        <w:tabs>
          <w:tab w:val="left" w:pos="6980"/>
        </w:tabs>
        <w:rPr>
          <w:rFonts w:cs="Calibri"/>
          <w:sz w:val="22"/>
          <w:szCs w:val="22"/>
        </w:rPr>
        <w:sectPr w:rsidR="0065591D" w:rsidRPr="00996CB7"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r>
        <w:rPr>
          <w:rFonts w:cs="Calibri"/>
          <w:sz w:val="22"/>
          <w:szCs w:val="22"/>
        </w:rPr>
        <w:tab/>
      </w:r>
    </w:p>
    <w:p w14:paraId="01176981" w14:textId="6A381B0A" w:rsidR="00747710" w:rsidRDefault="00747710" w:rsidP="000F63C1">
      <w:pPr>
        <w:pStyle w:val="Heading3"/>
        <w:numPr>
          <w:ilvl w:val="0"/>
          <w:numId w:val="0"/>
        </w:numPr>
      </w:pPr>
      <w:bookmarkStart w:id="33" w:name="_Toc118905019"/>
      <w:bookmarkStart w:id="34" w:name="_Toc119418671"/>
      <w:r w:rsidRPr="00747710">
        <w:lastRenderedPageBreak/>
        <w:t>Appendix C - Status of FY 20</w:t>
      </w:r>
      <w:r w:rsidR="00E13C4B">
        <w:t>23</w:t>
      </w:r>
      <w:r w:rsidRPr="00747710">
        <w:t xml:space="preserve"> Findings and Recommendations</w:t>
      </w:r>
      <w:bookmarkEnd w:id="33"/>
      <w:bookmarkEnd w:id="34"/>
    </w:p>
    <w:p w14:paraId="3D850E81" w14:textId="6C4A8F3A" w:rsidR="00747710" w:rsidRDefault="00747710" w:rsidP="005367D5">
      <w:r w:rsidRPr="00747710">
        <w:t xml:space="preserve">FY </w:t>
      </w:r>
      <w:r w:rsidRPr="00A026EB">
        <w:t>20</w:t>
      </w:r>
      <w:r w:rsidR="00E13C4B" w:rsidRPr="00A026EB">
        <w:t>24</w:t>
      </w:r>
      <w:r w:rsidRPr="00A026EB">
        <w:t xml:space="preserve"> </w:t>
      </w:r>
      <w:r w:rsidR="00E13C4B" w:rsidRPr="00A026EB">
        <w:t>WSHP</w:t>
      </w:r>
      <w:r w:rsidRPr="00A026EB">
        <w:t xml:space="preserve"> </w:t>
      </w:r>
      <w:r w:rsidRPr="00747710">
        <w:t>Follow-up FAME Report</w:t>
      </w:r>
    </w:p>
    <w:p w14:paraId="2F43B6AB" w14:textId="77777777" w:rsidR="00302AA0" w:rsidRPr="00747710" w:rsidRDefault="00302AA0" w:rsidP="005367D5"/>
    <w:p w14:paraId="45E6B5CB" w14:textId="3ED906A9" w:rsidR="005367D5" w:rsidRDefault="005367D5" w:rsidP="007A71AC">
      <w:pPr>
        <w:widowControl/>
        <w:autoSpaceDE/>
        <w:autoSpaceDN/>
        <w:adjustRightInd/>
        <w:rPr>
          <w:rFonts w:cs="Calibri"/>
          <w:iCs/>
        </w:rPr>
      </w:pP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5367D5" w:rsidRPr="001C1E47" w14:paraId="04152CB8" w14:textId="77777777" w:rsidTr="00D93CB3">
        <w:trPr>
          <w:trHeight w:val="412"/>
        </w:trPr>
        <w:tc>
          <w:tcPr>
            <w:tcW w:w="1435" w:type="dxa"/>
          </w:tcPr>
          <w:p w14:paraId="0FAB4AA2" w14:textId="78B54741" w:rsidR="005367D5" w:rsidRPr="001C1E47" w:rsidRDefault="005367D5" w:rsidP="00D93CB3">
            <w:pPr>
              <w:rPr>
                <w:rFonts w:cs="Calibri"/>
                <w:b/>
              </w:rPr>
            </w:pPr>
            <w:r w:rsidRPr="001C1E47">
              <w:rPr>
                <w:rFonts w:cs="Calibri"/>
                <w:b/>
              </w:rPr>
              <w:t>FY 2</w:t>
            </w:r>
            <w:r w:rsidRPr="00A026EB">
              <w:rPr>
                <w:rFonts w:cs="Calibri"/>
                <w:b/>
              </w:rPr>
              <w:t>0</w:t>
            </w:r>
            <w:r w:rsidR="00E13C4B" w:rsidRPr="00A026EB">
              <w:rPr>
                <w:rFonts w:cs="Calibri"/>
                <w:b/>
              </w:rPr>
              <w:t>2</w:t>
            </w:r>
            <w:r w:rsidR="003F368C" w:rsidRPr="00A026EB">
              <w:rPr>
                <w:rFonts w:cs="Calibri"/>
                <w:b/>
              </w:rPr>
              <w:t>3</w:t>
            </w:r>
            <w:r w:rsidRPr="001C1E47">
              <w:rPr>
                <w:rFonts w:cs="Calibri"/>
                <w:b/>
              </w:rPr>
              <w:t>-#</w:t>
            </w:r>
          </w:p>
        </w:tc>
        <w:tc>
          <w:tcPr>
            <w:tcW w:w="2098" w:type="dxa"/>
          </w:tcPr>
          <w:p w14:paraId="395AE41F" w14:textId="77777777" w:rsidR="005367D5" w:rsidRPr="001C1E47" w:rsidRDefault="005367D5" w:rsidP="00D93CB3">
            <w:pPr>
              <w:rPr>
                <w:rFonts w:cs="Calibri"/>
                <w:b/>
              </w:rPr>
            </w:pPr>
            <w:r w:rsidRPr="001C1E47">
              <w:rPr>
                <w:rFonts w:cs="Calibri"/>
                <w:b/>
              </w:rPr>
              <w:t>Finding</w:t>
            </w:r>
          </w:p>
        </w:tc>
        <w:tc>
          <w:tcPr>
            <w:tcW w:w="2250" w:type="dxa"/>
          </w:tcPr>
          <w:p w14:paraId="6EEE46BC" w14:textId="77777777" w:rsidR="005367D5" w:rsidRPr="001C1E47" w:rsidRDefault="005367D5" w:rsidP="00D93CB3">
            <w:pPr>
              <w:rPr>
                <w:rFonts w:cs="Calibri"/>
                <w:b/>
              </w:rPr>
            </w:pPr>
            <w:r w:rsidRPr="001C1E47">
              <w:rPr>
                <w:rFonts w:cs="Calibri"/>
                <w:b/>
              </w:rPr>
              <w:t>Recommendation</w:t>
            </w:r>
          </w:p>
        </w:tc>
        <w:tc>
          <w:tcPr>
            <w:tcW w:w="396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592" w:type="dxa"/>
          </w:tcPr>
          <w:p w14:paraId="5151BE67" w14:textId="77777777" w:rsidR="005367D5" w:rsidRPr="001C1E47" w:rsidRDefault="005367D5" w:rsidP="00D93CB3">
            <w:pPr>
              <w:rPr>
                <w:rFonts w:cs="Calibri"/>
                <w:b/>
              </w:rPr>
            </w:pPr>
            <w:r w:rsidRPr="001C1E47">
              <w:rPr>
                <w:rFonts w:cs="Calibri"/>
                <w:b/>
              </w:rPr>
              <w:t>Completion Date</w:t>
            </w:r>
          </w:p>
        </w:tc>
        <w:tc>
          <w:tcPr>
            <w:tcW w:w="225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5367D5" w:rsidRPr="001C1E47" w14:paraId="7244A508" w14:textId="77777777" w:rsidTr="00D93CB3">
        <w:trPr>
          <w:trHeight w:val="412"/>
        </w:trPr>
        <w:tc>
          <w:tcPr>
            <w:tcW w:w="1435" w:type="dxa"/>
          </w:tcPr>
          <w:p w14:paraId="3B6143AB"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bCs/>
                <w:sz w:val="22"/>
                <w:szCs w:val="22"/>
              </w:rPr>
            </w:pPr>
            <w:r w:rsidRPr="001C1E47">
              <w:rPr>
                <w:rFonts w:eastAsia="PMingLiU" w:cs="Calibri"/>
                <w:b/>
                <w:bCs/>
                <w:sz w:val="22"/>
                <w:szCs w:val="22"/>
              </w:rPr>
              <w:t> </w:t>
            </w:r>
          </w:p>
        </w:tc>
        <w:tc>
          <w:tcPr>
            <w:tcW w:w="2098" w:type="dxa"/>
          </w:tcPr>
          <w:p w14:paraId="1D6DD323" w14:textId="2CCC663D" w:rsidR="005367D5" w:rsidRPr="00050FA4" w:rsidRDefault="003F368C" w:rsidP="003F368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050FA4">
              <w:rPr>
                <w:rFonts w:eastAsia="PMingLiU" w:cs="Calibri"/>
                <w:bCs/>
              </w:rPr>
              <w:t>None.</w:t>
            </w:r>
            <w:r w:rsidR="005367D5" w:rsidRPr="00050FA4">
              <w:rPr>
                <w:rFonts w:eastAsia="PMingLiU" w:cs="Calibri"/>
                <w:bCs/>
              </w:rPr>
              <w:t> </w:t>
            </w:r>
          </w:p>
        </w:tc>
        <w:tc>
          <w:tcPr>
            <w:tcW w:w="2250" w:type="dxa"/>
          </w:tcPr>
          <w:p w14:paraId="19499B4B"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3960" w:type="dxa"/>
          </w:tcPr>
          <w:p w14:paraId="37D73ADA"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1592" w:type="dxa"/>
          </w:tcPr>
          <w:p w14:paraId="56F99649"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2250" w:type="dxa"/>
          </w:tcPr>
          <w:p w14:paraId="4007473C"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r>
    </w:tbl>
    <w:p w14:paraId="1C97E05F" w14:textId="77777777" w:rsidR="004148C0" w:rsidRDefault="004148C0" w:rsidP="007A71AC">
      <w:pPr>
        <w:widowControl/>
        <w:autoSpaceDE/>
        <w:autoSpaceDN/>
        <w:adjustRightInd/>
        <w:rPr>
          <w:rFonts w:cs="Calibri"/>
          <w:iCs/>
          <w:color w:val="0070C0"/>
          <w:sz w:val="22"/>
          <w:szCs w:val="22"/>
        </w:rPr>
      </w:pPr>
    </w:p>
    <w:p w14:paraId="1C5034A6" w14:textId="77777777" w:rsidR="00F12BDC" w:rsidRDefault="00F12BDC" w:rsidP="007A71AC">
      <w:pPr>
        <w:widowControl/>
        <w:autoSpaceDE/>
        <w:autoSpaceDN/>
        <w:adjustRightInd/>
        <w:rPr>
          <w:rFonts w:cs="Calibri"/>
          <w:iCs/>
          <w:color w:val="0070C0"/>
          <w:sz w:val="22"/>
          <w:szCs w:val="22"/>
        </w:rPr>
      </w:pPr>
    </w:p>
    <w:p w14:paraId="62827895" w14:textId="77777777" w:rsidR="00F12BDC" w:rsidRDefault="00F12BDC" w:rsidP="007A71AC">
      <w:pPr>
        <w:widowControl/>
        <w:autoSpaceDE/>
        <w:autoSpaceDN/>
        <w:adjustRightInd/>
        <w:rPr>
          <w:rFonts w:cs="Calibri"/>
          <w:iCs/>
          <w:color w:val="0070C0"/>
          <w:sz w:val="22"/>
          <w:szCs w:val="22"/>
        </w:rPr>
      </w:pPr>
    </w:p>
    <w:p w14:paraId="645339E2" w14:textId="77777777" w:rsidR="00F12BDC" w:rsidRPr="00476C08" w:rsidRDefault="00F12BDC" w:rsidP="007A71AC">
      <w:pPr>
        <w:widowControl/>
        <w:autoSpaceDE/>
        <w:autoSpaceDN/>
        <w:adjustRightInd/>
        <w:rPr>
          <w:rFonts w:cs="Calibri"/>
          <w:iCs/>
          <w:color w:val="0070C0"/>
          <w:sz w:val="22"/>
          <w:szCs w:val="22"/>
        </w:rPr>
      </w:pPr>
    </w:p>
    <w:p w14:paraId="28B61E27" w14:textId="77777777" w:rsidR="008164E8" w:rsidRPr="00476C08" w:rsidRDefault="008164E8" w:rsidP="007A71AC">
      <w:pPr>
        <w:widowControl/>
        <w:tabs>
          <w:tab w:val="left" w:pos="630"/>
        </w:tabs>
        <w:autoSpaceDE/>
        <w:autoSpaceDN/>
        <w:adjustRightInd/>
        <w:ind w:firstLine="360"/>
        <w:rPr>
          <w:rFonts w:cs="Calibri"/>
          <w:iCs/>
          <w:color w:val="0070C0"/>
        </w:rPr>
      </w:pPr>
    </w:p>
    <w:p w14:paraId="1448242C" w14:textId="3E73C287" w:rsidR="00AD505E" w:rsidRDefault="00AD505E" w:rsidP="007A71AC">
      <w:pPr>
        <w:widowControl/>
        <w:tabs>
          <w:tab w:val="left" w:pos="630"/>
        </w:tabs>
        <w:autoSpaceDE/>
        <w:autoSpaceDN/>
        <w:adjustRightInd/>
        <w:ind w:firstLine="360"/>
        <w:rPr>
          <w:rFonts w:cs="Calibri"/>
          <w:iCs/>
          <w:color w:val="0070C0"/>
        </w:rPr>
      </w:pPr>
    </w:p>
    <w:p w14:paraId="6E220A18" w14:textId="77777777" w:rsidR="008164E8" w:rsidRPr="00476C08" w:rsidRDefault="008164E8" w:rsidP="008164E8">
      <w:pPr>
        <w:widowControl/>
        <w:tabs>
          <w:tab w:val="left" w:pos="630"/>
        </w:tabs>
        <w:autoSpaceDE/>
        <w:autoSpaceDN/>
        <w:adjustRightInd/>
        <w:rPr>
          <w:rFonts w:cs="Calibri"/>
          <w:iCs/>
          <w:color w:val="0070C0"/>
        </w:rPr>
      </w:pPr>
    </w:p>
    <w:p w14:paraId="19CB30DD" w14:textId="03F73CF5" w:rsidR="000A134A" w:rsidRDefault="000A134A" w:rsidP="008164E8">
      <w:pPr>
        <w:widowControl/>
        <w:tabs>
          <w:tab w:val="left" w:pos="630"/>
        </w:tabs>
        <w:autoSpaceDE/>
        <w:autoSpaceDN/>
        <w:adjustRightInd/>
        <w:ind w:left="720" w:hanging="360"/>
        <w:rPr>
          <w:rFonts w:cs="Calibri"/>
          <w:iCs/>
          <w:color w:val="0070C0"/>
        </w:rPr>
      </w:pPr>
    </w:p>
    <w:p w14:paraId="392AAA83" w14:textId="77777777" w:rsidR="00260DD2" w:rsidRDefault="00260DD2" w:rsidP="008164E8">
      <w:pPr>
        <w:widowControl/>
        <w:tabs>
          <w:tab w:val="left" w:pos="630"/>
        </w:tabs>
        <w:autoSpaceDE/>
        <w:autoSpaceDN/>
        <w:adjustRightInd/>
        <w:ind w:left="720" w:hanging="360"/>
        <w:rPr>
          <w:rFonts w:cs="Calibri"/>
          <w:iCs/>
          <w:color w:val="0070C0"/>
        </w:rPr>
      </w:pPr>
    </w:p>
    <w:p w14:paraId="00ABF0F2" w14:textId="77777777" w:rsidR="00260DD2" w:rsidRDefault="00260DD2" w:rsidP="008164E8">
      <w:pPr>
        <w:widowControl/>
        <w:tabs>
          <w:tab w:val="left" w:pos="630"/>
        </w:tabs>
        <w:autoSpaceDE/>
        <w:autoSpaceDN/>
        <w:adjustRightInd/>
        <w:ind w:left="720" w:hanging="360"/>
        <w:rPr>
          <w:rFonts w:cs="Calibri"/>
          <w:iCs/>
          <w:color w:val="0070C0"/>
        </w:rPr>
      </w:pPr>
    </w:p>
    <w:p w14:paraId="5EF81788" w14:textId="77777777" w:rsidR="00260DD2" w:rsidRDefault="00260DD2" w:rsidP="008164E8">
      <w:pPr>
        <w:widowControl/>
        <w:tabs>
          <w:tab w:val="left" w:pos="630"/>
        </w:tabs>
        <w:autoSpaceDE/>
        <w:autoSpaceDN/>
        <w:adjustRightInd/>
        <w:ind w:left="720" w:hanging="360"/>
        <w:rPr>
          <w:rFonts w:cs="Calibri"/>
          <w:iCs/>
          <w:color w:val="0070C0"/>
        </w:rPr>
      </w:pPr>
    </w:p>
    <w:p w14:paraId="487617A3" w14:textId="77777777" w:rsidR="00260DD2" w:rsidRDefault="00260DD2" w:rsidP="008164E8">
      <w:pPr>
        <w:widowControl/>
        <w:tabs>
          <w:tab w:val="left" w:pos="630"/>
        </w:tabs>
        <w:autoSpaceDE/>
        <w:autoSpaceDN/>
        <w:adjustRightInd/>
        <w:ind w:left="720" w:hanging="360"/>
        <w:rPr>
          <w:rFonts w:cs="Calibri"/>
          <w:iCs/>
          <w:color w:val="0070C0"/>
        </w:rPr>
      </w:pPr>
    </w:p>
    <w:p w14:paraId="3A69E0B1" w14:textId="77777777" w:rsidR="00260DD2" w:rsidRDefault="00260DD2" w:rsidP="008164E8">
      <w:pPr>
        <w:widowControl/>
        <w:tabs>
          <w:tab w:val="left" w:pos="630"/>
        </w:tabs>
        <w:autoSpaceDE/>
        <w:autoSpaceDN/>
        <w:adjustRightInd/>
        <w:ind w:left="720" w:hanging="360"/>
        <w:rPr>
          <w:rFonts w:cs="Calibri"/>
          <w:iCs/>
          <w:color w:val="0070C0"/>
        </w:rPr>
      </w:pPr>
    </w:p>
    <w:p w14:paraId="794069D0" w14:textId="77777777" w:rsidR="00260DD2" w:rsidRDefault="00260DD2" w:rsidP="008164E8">
      <w:pPr>
        <w:widowControl/>
        <w:tabs>
          <w:tab w:val="left" w:pos="630"/>
        </w:tabs>
        <w:autoSpaceDE/>
        <w:autoSpaceDN/>
        <w:adjustRightInd/>
        <w:ind w:left="720" w:hanging="360"/>
        <w:rPr>
          <w:rFonts w:cs="Calibri"/>
          <w:iCs/>
          <w:color w:val="0070C0"/>
        </w:rPr>
      </w:pPr>
    </w:p>
    <w:p w14:paraId="221970A8" w14:textId="77777777" w:rsidR="00260DD2" w:rsidRDefault="00260DD2" w:rsidP="008164E8">
      <w:pPr>
        <w:widowControl/>
        <w:tabs>
          <w:tab w:val="left" w:pos="630"/>
        </w:tabs>
        <w:autoSpaceDE/>
        <w:autoSpaceDN/>
        <w:adjustRightInd/>
        <w:ind w:left="720" w:hanging="360"/>
        <w:rPr>
          <w:rFonts w:cs="Calibri"/>
          <w:iCs/>
          <w:color w:val="0070C0"/>
        </w:rPr>
      </w:pPr>
    </w:p>
    <w:p w14:paraId="3871D2DE" w14:textId="77777777" w:rsidR="00260DD2" w:rsidRDefault="00260DD2" w:rsidP="008164E8">
      <w:pPr>
        <w:widowControl/>
        <w:tabs>
          <w:tab w:val="left" w:pos="630"/>
        </w:tabs>
        <w:autoSpaceDE/>
        <w:autoSpaceDN/>
        <w:adjustRightInd/>
        <w:ind w:left="720" w:hanging="360"/>
        <w:rPr>
          <w:rFonts w:cs="Calibri"/>
          <w:iCs/>
          <w:color w:val="0070C0"/>
        </w:rPr>
      </w:pPr>
    </w:p>
    <w:p w14:paraId="5B2C7009" w14:textId="77777777" w:rsidR="00260DD2" w:rsidRDefault="00260DD2" w:rsidP="008164E8">
      <w:pPr>
        <w:widowControl/>
        <w:tabs>
          <w:tab w:val="left" w:pos="630"/>
        </w:tabs>
        <w:autoSpaceDE/>
        <w:autoSpaceDN/>
        <w:adjustRightInd/>
        <w:ind w:left="720" w:hanging="360"/>
        <w:rPr>
          <w:rFonts w:cs="Calibri"/>
          <w:iCs/>
          <w:color w:val="0070C0"/>
        </w:rPr>
      </w:pPr>
    </w:p>
    <w:p w14:paraId="5A163C8E" w14:textId="1F9EC252" w:rsidR="00260DD2" w:rsidRPr="008164E8" w:rsidRDefault="00260DD2" w:rsidP="008164E8">
      <w:pPr>
        <w:widowControl/>
        <w:tabs>
          <w:tab w:val="left" w:pos="630"/>
        </w:tabs>
        <w:autoSpaceDE/>
        <w:autoSpaceDN/>
        <w:adjustRightInd/>
        <w:ind w:left="720" w:hanging="360"/>
        <w:rPr>
          <w:rFonts w:cs="Calibri"/>
          <w:iCs/>
          <w:color w:val="0070C0"/>
        </w:rPr>
        <w:sectPr w:rsidR="00260DD2" w:rsidRPr="008164E8" w:rsidSect="00476C08">
          <w:headerReference w:type="default" r:id="rId18"/>
          <w:headerReference w:type="first" r:id="rId19"/>
          <w:footerReference w:type="first" r:id="rId20"/>
          <w:pgSz w:w="15840" w:h="12240" w:orient="landscape"/>
          <w:pgMar w:top="1440" w:right="1440" w:bottom="1440" w:left="1440" w:header="630" w:footer="720" w:gutter="0"/>
          <w:cols w:space="720"/>
          <w:titlePg/>
          <w:docGrid w:linePitch="360"/>
        </w:sectPr>
      </w:pPr>
    </w:p>
    <w:p w14:paraId="1B0B407C" w14:textId="4615BD8B" w:rsidR="00690C0D" w:rsidRPr="00D93CB3" w:rsidRDefault="00690C0D" w:rsidP="000F63C1">
      <w:pPr>
        <w:pStyle w:val="Heading3"/>
        <w:numPr>
          <w:ilvl w:val="0"/>
          <w:numId w:val="0"/>
        </w:numPr>
        <w:rPr>
          <w:color w:val="0070C0"/>
        </w:rPr>
      </w:pPr>
      <w:bookmarkStart w:id="35" w:name="_Toc119418672"/>
      <w:r w:rsidRPr="008E4054">
        <w:lastRenderedPageBreak/>
        <w:t xml:space="preserve">Appendix D – </w:t>
      </w:r>
      <w:bookmarkStart w:id="36" w:name="_Hlk119349018"/>
      <w:r w:rsidRPr="008E4054">
        <w:t>FY 20</w:t>
      </w:r>
      <w:r w:rsidR="00563D5B">
        <w:t>24</w:t>
      </w:r>
      <w:r w:rsidRPr="008E4054">
        <w:t xml:space="preserve"> State Activity Mandated Measures (SAMM) Report</w:t>
      </w:r>
      <w:bookmarkEnd w:id="35"/>
      <w:bookmarkEnd w:id="36"/>
    </w:p>
    <w:p w14:paraId="221DF49F" w14:textId="4DA935B8" w:rsidR="000A134A" w:rsidRDefault="00690C0D" w:rsidP="00563D5B">
      <w:pPr>
        <w:pStyle w:val="Header"/>
      </w:pPr>
      <w:r w:rsidRPr="00042327">
        <w:t xml:space="preserve">FY </w:t>
      </w:r>
      <w:r>
        <w:t>20</w:t>
      </w:r>
      <w:r w:rsidR="00563D5B" w:rsidRPr="00A026EB">
        <w:t>24</w:t>
      </w:r>
      <w:r w:rsidRPr="00A026EB">
        <w:t xml:space="preserve"> </w:t>
      </w:r>
      <w:r w:rsidR="008C2F5C">
        <w:t>WSHP</w:t>
      </w:r>
      <w:r w:rsidRPr="00476C08">
        <w:rPr>
          <w:color w:val="0070C0"/>
        </w:rPr>
        <w:t xml:space="preserve"> </w:t>
      </w:r>
      <w:r>
        <w:t xml:space="preserve">Follow-up </w:t>
      </w:r>
      <w:r w:rsidRPr="00042327">
        <w:t>FAME Report</w:t>
      </w:r>
    </w:p>
    <w:p w14:paraId="4F53440B" w14:textId="77777777" w:rsidR="008C2F5C" w:rsidRPr="00563D5B" w:rsidRDefault="008C2F5C" w:rsidP="00563D5B">
      <w:pPr>
        <w:pStyle w:val="Header"/>
      </w:pPr>
    </w:p>
    <w:tbl>
      <w:tblPr>
        <w:tblStyle w:val="GridTable4"/>
        <w:tblW w:w="10350" w:type="dxa"/>
        <w:tblInd w:w="-365" w:type="dxa"/>
        <w:tblLook w:val="06A0" w:firstRow="1" w:lastRow="0" w:firstColumn="1" w:lastColumn="0" w:noHBand="1" w:noVBand="1"/>
        <w:tblCaption w:val="FY 20XX SAMM Report"/>
        <w:tblDescription w:val="Appendix D"/>
      </w:tblPr>
      <w:tblGrid>
        <w:gridCol w:w="1035"/>
        <w:gridCol w:w="2529"/>
        <w:gridCol w:w="967"/>
        <w:gridCol w:w="1301"/>
        <w:gridCol w:w="4518"/>
      </w:tblGrid>
      <w:tr w:rsidR="00634539" w:rsidRPr="001C1E47" w14:paraId="4B607DC1" w14:textId="77777777" w:rsidTr="008474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5" w:type="dxa"/>
            <w:tcBorders>
              <w:right w:val="single" w:sz="4" w:space="0" w:color="000000" w:themeColor="text1"/>
            </w:tcBorders>
            <w:shd w:val="clear" w:color="auto" w:fill="auto"/>
          </w:tcPr>
          <w:p w14:paraId="57458A1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bookmarkStart w:id="37" w:name="_Hlk179982501"/>
            <w:r w:rsidRPr="001C1E47">
              <w:rPr>
                <w:rFonts w:eastAsia="PMingLiU" w:cs="Calibri"/>
                <w:bCs w:val="0"/>
                <w:color w:val="000000" w:themeColor="text1"/>
              </w:rPr>
              <w:t>SAMM Number</w:t>
            </w:r>
          </w:p>
        </w:tc>
        <w:tc>
          <w:tcPr>
            <w:tcW w:w="2529" w:type="dxa"/>
            <w:tcBorders>
              <w:left w:val="single" w:sz="4" w:space="0" w:color="000000" w:themeColor="text1"/>
              <w:right w:val="single" w:sz="4" w:space="0" w:color="000000" w:themeColor="text1"/>
            </w:tcBorders>
            <w:shd w:val="clear" w:color="auto" w:fill="auto"/>
          </w:tcPr>
          <w:p w14:paraId="21CEF63D"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SAMM Name</w:t>
            </w:r>
          </w:p>
        </w:tc>
        <w:tc>
          <w:tcPr>
            <w:tcW w:w="967" w:type="dxa"/>
            <w:tcBorders>
              <w:left w:val="single" w:sz="4" w:space="0" w:color="000000" w:themeColor="text1"/>
              <w:right w:val="single" w:sz="4" w:space="0" w:color="000000" w:themeColor="text1"/>
            </w:tcBorders>
            <w:shd w:val="clear" w:color="auto" w:fill="auto"/>
          </w:tcPr>
          <w:p w14:paraId="1BC934E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State Plan Data</w:t>
            </w:r>
          </w:p>
        </w:tc>
        <w:tc>
          <w:tcPr>
            <w:tcW w:w="1301" w:type="dxa"/>
            <w:tcBorders>
              <w:left w:val="single" w:sz="4" w:space="0" w:color="000000" w:themeColor="text1"/>
              <w:right w:val="single" w:sz="4" w:space="0" w:color="000000" w:themeColor="text1"/>
            </w:tcBorders>
            <w:shd w:val="clear" w:color="auto" w:fill="auto"/>
          </w:tcPr>
          <w:p w14:paraId="10FEC12F"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Further Review Level</w:t>
            </w:r>
          </w:p>
        </w:tc>
        <w:tc>
          <w:tcPr>
            <w:tcW w:w="4518" w:type="dxa"/>
            <w:tcBorders>
              <w:left w:val="single" w:sz="4" w:space="0" w:color="000000" w:themeColor="text1"/>
            </w:tcBorders>
            <w:shd w:val="clear" w:color="auto" w:fill="auto"/>
          </w:tcPr>
          <w:p w14:paraId="1845DDF3"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Notes</w:t>
            </w:r>
          </w:p>
        </w:tc>
      </w:tr>
      <w:tr w:rsidR="008474A3" w:rsidRPr="001C1E47" w14:paraId="23E15083"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4FC54415" w14:textId="77777777"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1a</w:t>
            </w:r>
          </w:p>
        </w:tc>
        <w:tc>
          <w:tcPr>
            <w:tcW w:w="2529" w:type="dxa"/>
          </w:tcPr>
          <w:p w14:paraId="5DD1B3D7" w14:textId="77777777"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inspections (state formula)</w:t>
            </w:r>
          </w:p>
        </w:tc>
        <w:tc>
          <w:tcPr>
            <w:tcW w:w="967" w:type="dxa"/>
          </w:tcPr>
          <w:p w14:paraId="50ED339E" w14:textId="57AC71E9"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6.29</w:t>
            </w:r>
          </w:p>
        </w:tc>
        <w:tc>
          <w:tcPr>
            <w:tcW w:w="1301" w:type="dxa"/>
          </w:tcPr>
          <w:p w14:paraId="36E21F8C" w14:textId="0D9AE9FD"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5</w:t>
            </w:r>
          </w:p>
        </w:tc>
        <w:tc>
          <w:tcPr>
            <w:tcW w:w="4518" w:type="dxa"/>
          </w:tcPr>
          <w:p w14:paraId="1BE10DF6" w14:textId="77777777"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negotiated by OSHA and the State Plan.</w:t>
            </w:r>
          </w:p>
        </w:tc>
      </w:tr>
      <w:tr w:rsidR="008474A3" w:rsidRPr="001C1E47" w14:paraId="6E87F5F9"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15DA89A2" w14:textId="77777777"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1b</w:t>
            </w:r>
          </w:p>
        </w:tc>
        <w:tc>
          <w:tcPr>
            <w:tcW w:w="2529" w:type="dxa"/>
          </w:tcPr>
          <w:p w14:paraId="7BDECFBC" w14:textId="77777777"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inspections (federal formula)</w:t>
            </w:r>
          </w:p>
        </w:tc>
        <w:tc>
          <w:tcPr>
            <w:tcW w:w="967" w:type="dxa"/>
          </w:tcPr>
          <w:p w14:paraId="2DD44EDE" w14:textId="0B0F496F"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4.79</w:t>
            </w:r>
          </w:p>
        </w:tc>
        <w:tc>
          <w:tcPr>
            <w:tcW w:w="1301" w:type="dxa"/>
          </w:tcPr>
          <w:p w14:paraId="44E25FF5" w14:textId="6480D57A"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N/A</w:t>
            </w:r>
          </w:p>
        </w:tc>
        <w:tc>
          <w:tcPr>
            <w:tcW w:w="4518" w:type="dxa"/>
          </w:tcPr>
          <w:p w14:paraId="3B881485" w14:textId="77777777"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This measure is for informational purposes only and is not a mandated measure.</w:t>
            </w:r>
          </w:p>
        </w:tc>
      </w:tr>
      <w:tr w:rsidR="008474A3" w:rsidRPr="001C1E47" w14:paraId="7254895F"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70F4527B" w14:textId="77777777"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2a</w:t>
            </w:r>
          </w:p>
        </w:tc>
        <w:tc>
          <w:tcPr>
            <w:tcW w:w="2529" w:type="dxa"/>
          </w:tcPr>
          <w:p w14:paraId="680D30CB" w14:textId="77777777"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investigations (state formula)</w:t>
            </w:r>
          </w:p>
        </w:tc>
        <w:tc>
          <w:tcPr>
            <w:tcW w:w="967" w:type="dxa"/>
          </w:tcPr>
          <w:p w14:paraId="5D15BC2D" w14:textId="3D8AA554"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2.73</w:t>
            </w:r>
          </w:p>
        </w:tc>
        <w:tc>
          <w:tcPr>
            <w:tcW w:w="1301" w:type="dxa"/>
          </w:tcPr>
          <w:p w14:paraId="25E101C9" w14:textId="0AF55299"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1</w:t>
            </w:r>
          </w:p>
        </w:tc>
        <w:tc>
          <w:tcPr>
            <w:tcW w:w="4518" w:type="dxa"/>
          </w:tcPr>
          <w:p w14:paraId="440E4407" w14:textId="77777777"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negotiated by OSHA and the State Plan.</w:t>
            </w:r>
          </w:p>
        </w:tc>
      </w:tr>
      <w:tr w:rsidR="008474A3" w:rsidRPr="001C1E47" w14:paraId="43AA3020"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3026F0A2" w14:textId="77777777"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2b</w:t>
            </w:r>
          </w:p>
        </w:tc>
        <w:tc>
          <w:tcPr>
            <w:tcW w:w="2529" w:type="dxa"/>
          </w:tcPr>
          <w:p w14:paraId="60EA38B6" w14:textId="77777777"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investigations (federal formula)</w:t>
            </w:r>
          </w:p>
        </w:tc>
        <w:tc>
          <w:tcPr>
            <w:tcW w:w="967" w:type="dxa"/>
          </w:tcPr>
          <w:p w14:paraId="148E915C" w14:textId="006E6B36"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1.90</w:t>
            </w:r>
          </w:p>
        </w:tc>
        <w:tc>
          <w:tcPr>
            <w:tcW w:w="1301" w:type="dxa"/>
          </w:tcPr>
          <w:p w14:paraId="3C6B37D6" w14:textId="2713AFDD"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N/A</w:t>
            </w:r>
          </w:p>
        </w:tc>
        <w:tc>
          <w:tcPr>
            <w:tcW w:w="4518" w:type="dxa"/>
          </w:tcPr>
          <w:p w14:paraId="7849D62B" w14:textId="77777777" w:rsidR="008474A3" w:rsidRPr="001C1E47" w:rsidRDefault="008474A3" w:rsidP="008474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This measure is for informational purposes only and is not a mandated measure.</w:t>
            </w:r>
          </w:p>
        </w:tc>
      </w:tr>
      <w:tr w:rsidR="00FD35A8" w:rsidRPr="001C1E47" w14:paraId="463E07C8"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730502E1" w14:textId="77777777"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3</w:t>
            </w:r>
          </w:p>
        </w:tc>
        <w:tc>
          <w:tcPr>
            <w:tcW w:w="2529" w:type="dxa"/>
          </w:tcPr>
          <w:p w14:paraId="224C67FA" w14:textId="77777777"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complaints and referrals responded to within one workday (imminent danger)</w:t>
            </w:r>
          </w:p>
        </w:tc>
        <w:tc>
          <w:tcPr>
            <w:tcW w:w="967" w:type="dxa"/>
          </w:tcPr>
          <w:p w14:paraId="683DAD92" w14:textId="2BB0BA02"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100%</w:t>
            </w:r>
          </w:p>
        </w:tc>
        <w:tc>
          <w:tcPr>
            <w:tcW w:w="1301" w:type="dxa"/>
          </w:tcPr>
          <w:p w14:paraId="2138AC62" w14:textId="35DCA66F"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100%</w:t>
            </w:r>
          </w:p>
        </w:tc>
        <w:tc>
          <w:tcPr>
            <w:tcW w:w="4518" w:type="dxa"/>
          </w:tcPr>
          <w:p w14:paraId="1639E620" w14:textId="1B9E928C"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The further review level is fixed for all State Plans.</w:t>
            </w:r>
          </w:p>
        </w:tc>
      </w:tr>
      <w:tr w:rsidR="00FD35A8" w:rsidRPr="001C1E47" w14:paraId="448E8EB5"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54BD594C" w14:textId="77777777"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4</w:t>
            </w:r>
          </w:p>
        </w:tc>
        <w:tc>
          <w:tcPr>
            <w:tcW w:w="2529" w:type="dxa"/>
          </w:tcPr>
          <w:p w14:paraId="7F17AA0C" w14:textId="77777777"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Number of denials where entry not obtained</w:t>
            </w:r>
          </w:p>
        </w:tc>
        <w:tc>
          <w:tcPr>
            <w:tcW w:w="967" w:type="dxa"/>
          </w:tcPr>
          <w:p w14:paraId="49E38EB6" w14:textId="6CE9C3A4"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0</w:t>
            </w:r>
          </w:p>
        </w:tc>
        <w:tc>
          <w:tcPr>
            <w:tcW w:w="1301" w:type="dxa"/>
          </w:tcPr>
          <w:p w14:paraId="39E6BBCD" w14:textId="5F036A2E"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0</w:t>
            </w:r>
          </w:p>
        </w:tc>
        <w:tc>
          <w:tcPr>
            <w:tcW w:w="4518" w:type="dxa"/>
          </w:tcPr>
          <w:p w14:paraId="63BF7F96" w14:textId="2D68CD8B"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The further review level is fixed for all State Plans.</w:t>
            </w:r>
          </w:p>
        </w:tc>
      </w:tr>
      <w:tr w:rsidR="00FD35A8" w:rsidRPr="001C1E47" w14:paraId="391899CE" w14:textId="77777777" w:rsidTr="008474A3">
        <w:trPr>
          <w:trHeight w:val="854"/>
        </w:trPr>
        <w:tc>
          <w:tcPr>
            <w:cnfStyle w:val="001000000000" w:firstRow="0" w:lastRow="0" w:firstColumn="1" w:lastColumn="0" w:oddVBand="0" w:evenVBand="0" w:oddHBand="0" w:evenHBand="0" w:firstRowFirstColumn="0" w:firstRowLastColumn="0" w:lastRowFirstColumn="0" w:lastRowLastColumn="0"/>
            <w:tcW w:w="1035" w:type="dxa"/>
          </w:tcPr>
          <w:p w14:paraId="2C05A134" w14:textId="77777777"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5a</w:t>
            </w:r>
          </w:p>
        </w:tc>
        <w:tc>
          <w:tcPr>
            <w:tcW w:w="2529" w:type="dxa"/>
          </w:tcPr>
          <w:p w14:paraId="6F060D7F" w14:textId="77777777"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violations per inspection with violations by violation type (SWRU)</w:t>
            </w:r>
          </w:p>
        </w:tc>
        <w:tc>
          <w:tcPr>
            <w:tcW w:w="967" w:type="dxa"/>
          </w:tcPr>
          <w:p w14:paraId="5640B786" w14:textId="210D4D71"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3.11</w:t>
            </w:r>
          </w:p>
        </w:tc>
        <w:tc>
          <w:tcPr>
            <w:tcW w:w="1301" w:type="dxa"/>
          </w:tcPr>
          <w:p w14:paraId="16609CA7" w14:textId="77777777" w:rsidR="00FD35A8" w:rsidRPr="00C87659" w:rsidRDefault="00FD35A8" w:rsidP="00FD35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+/- 20% of 1.74</w:t>
            </w:r>
          </w:p>
          <w:p w14:paraId="5B24EFBC" w14:textId="77777777"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8" w:type="dxa"/>
          </w:tcPr>
          <w:p w14:paraId="330DF263" w14:textId="705E7E74"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 xml:space="preserve">The further review level is based on a three-year national average.  The range of acceptable data not requiring further review is from 1.39 to 2.08 for SWRU. </w:t>
            </w:r>
          </w:p>
        </w:tc>
      </w:tr>
      <w:tr w:rsidR="00FD35A8" w:rsidRPr="001C1E47" w14:paraId="0C0C34AD"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7FD14581" w14:textId="77777777"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5b</w:t>
            </w:r>
          </w:p>
        </w:tc>
        <w:tc>
          <w:tcPr>
            <w:tcW w:w="2529" w:type="dxa"/>
          </w:tcPr>
          <w:p w14:paraId="1A64659E" w14:textId="77777777"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violations per inspection with violations by violation type (other)</w:t>
            </w:r>
          </w:p>
        </w:tc>
        <w:tc>
          <w:tcPr>
            <w:tcW w:w="967" w:type="dxa"/>
          </w:tcPr>
          <w:p w14:paraId="189B2CB4" w14:textId="136679C7"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0.50</w:t>
            </w:r>
          </w:p>
        </w:tc>
        <w:tc>
          <w:tcPr>
            <w:tcW w:w="1301" w:type="dxa"/>
          </w:tcPr>
          <w:p w14:paraId="5D5A893A" w14:textId="77777777" w:rsidR="00FD35A8" w:rsidRPr="00C87659" w:rsidRDefault="00FD35A8" w:rsidP="00FD35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+/- 20% of 0.94</w:t>
            </w:r>
          </w:p>
          <w:p w14:paraId="10600A9C" w14:textId="5B428A5B"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8" w:type="dxa"/>
          </w:tcPr>
          <w:p w14:paraId="4F83BD91" w14:textId="74260F2A"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The further review level is based on a three-year national average.  The range of acceptable data not requiring further review is from 0.75 to 1.12 for OTS.</w:t>
            </w:r>
          </w:p>
        </w:tc>
      </w:tr>
      <w:tr w:rsidR="00FD35A8" w:rsidRPr="001C1E47" w14:paraId="73051CF9"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5617F510" w14:textId="77777777" w:rsidR="00ED2152" w:rsidRDefault="00ED2152"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bCs w:val="0"/>
              </w:rPr>
            </w:pPr>
          </w:p>
          <w:p w14:paraId="4B4D91E3" w14:textId="43A96F19"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6</w:t>
            </w:r>
          </w:p>
        </w:tc>
        <w:tc>
          <w:tcPr>
            <w:tcW w:w="2529" w:type="dxa"/>
          </w:tcPr>
          <w:p w14:paraId="466C7BD5" w14:textId="77777777" w:rsidR="00ED2152" w:rsidRDefault="00ED2152"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p>
          <w:p w14:paraId="79E27E6A" w14:textId="70213EA0"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lastRenderedPageBreak/>
              <w:t>Percent of total inspections in state and local government workplaces</w:t>
            </w:r>
          </w:p>
        </w:tc>
        <w:tc>
          <w:tcPr>
            <w:tcW w:w="967" w:type="dxa"/>
          </w:tcPr>
          <w:p w14:paraId="45F16142" w14:textId="77777777" w:rsidR="00ED2152" w:rsidRDefault="00ED2152"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01189742" w14:textId="4AD77006" w:rsidR="00FD35A8" w:rsidRPr="001C1E47"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lastRenderedPageBreak/>
              <w:t>100%</w:t>
            </w:r>
          </w:p>
        </w:tc>
        <w:tc>
          <w:tcPr>
            <w:tcW w:w="1301" w:type="dxa"/>
          </w:tcPr>
          <w:p w14:paraId="50A4B557" w14:textId="77777777" w:rsidR="00ED2152" w:rsidRDefault="00ED2152"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FDD0A17" w14:textId="77777777" w:rsidR="00FD35A8" w:rsidRDefault="00FD35A8"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lastRenderedPageBreak/>
              <w:t>100%</w:t>
            </w:r>
          </w:p>
          <w:p w14:paraId="7678C0FD" w14:textId="582CFAF7" w:rsidR="00ED2152" w:rsidRPr="001C1E47" w:rsidRDefault="00ED2152"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8" w:type="dxa"/>
          </w:tcPr>
          <w:p w14:paraId="230C2A4F" w14:textId="77777777" w:rsidR="00ED2152" w:rsidRDefault="00ED2152"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p w14:paraId="11909732" w14:textId="1DD8D911" w:rsidR="00FD35A8" w:rsidRPr="00ED2152" w:rsidRDefault="00C610CC" w:rsidP="00FD35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D2152">
              <w:rPr>
                <w:rFonts w:eastAsia="PMingLiU" w:cs="Calibri"/>
              </w:rPr>
              <w:lastRenderedPageBreak/>
              <w:t>Since this is a State and Local Government State Plan, all inspections are in state and local government workplaces.</w:t>
            </w:r>
          </w:p>
        </w:tc>
      </w:tr>
      <w:tr w:rsidR="00884CE5" w:rsidRPr="001C1E47" w14:paraId="47E35DEE"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2635650F" w14:textId="77777777" w:rsidR="00884CE5" w:rsidRPr="001C1E47" w:rsidRDefault="00884CE5" w:rsidP="00884CE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7a</w:t>
            </w:r>
          </w:p>
        </w:tc>
        <w:tc>
          <w:tcPr>
            <w:tcW w:w="2529" w:type="dxa"/>
          </w:tcPr>
          <w:p w14:paraId="6972B9CD" w14:textId="3BED009A" w:rsidR="00884CE5" w:rsidRPr="001C1E47" w:rsidRDefault="00884CE5" w:rsidP="00884CE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Planned v. actual inspections (safety)</w:t>
            </w:r>
          </w:p>
        </w:tc>
        <w:tc>
          <w:tcPr>
            <w:tcW w:w="967" w:type="dxa"/>
          </w:tcPr>
          <w:p w14:paraId="714EE701" w14:textId="63C3C479" w:rsidR="00884CE5" w:rsidRPr="001C1E47" w:rsidRDefault="00884CE5" w:rsidP="00884CE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153</w:t>
            </w:r>
          </w:p>
        </w:tc>
        <w:tc>
          <w:tcPr>
            <w:tcW w:w="1301" w:type="dxa"/>
          </w:tcPr>
          <w:p w14:paraId="68553830" w14:textId="77777777" w:rsidR="00884CE5" w:rsidRPr="00C87659" w:rsidRDefault="00884CE5" w:rsidP="00884C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 xml:space="preserve">+/- 5% of </w:t>
            </w:r>
          </w:p>
          <w:p w14:paraId="70DE1282" w14:textId="2859684C" w:rsidR="00884CE5" w:rsidRPr="001C1E47" w:rsidRDefault="00884CE5" w:rsidP="00884CE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Grant 121</w:t>
            </w:r>
          </w:p>
        </w:tc>
        <w:tc>
          <w:tcPr>
            <w:tcW w:w="4518" w:type="dxa"/>
          </w:tcPr>
          <w:p w14:paraId="127905E2" w14:textId="275B5832" w:rsidR="00884CE5" w:rsidRPr="001C1E47" w:rsidRDefault="00884CE5" w:rsidP="00884CE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Since this is a State and Local Government State Plan, all inspections are in state and local government workplaces.</w:t>
            </w:r>
          </w:p>
        </w:tc>
      </w:tr>
      <w:tr w:rsidR="00884CE5" w:rsidRPr="001C1E47" w14:paraId="41D7E5AF"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78976174" w14:textId="77777777" w:rsidR="00884CE5" w:rsidRPr="001C1E47" w:rsidRDefault="00884CE5" w:rsidP="00884CE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1C1E47">
              <w:rPr>
                <w:rFonts w:eastAsia="PMingLiU" w:cs="Calibri"/>
              </w:rPr>
              <w:t>7b</w:t>
            </w:r>
          </w:p>
        </w:tc>
        <w:tc>
          <w:tcPr>
            <w:tcW w:w="2529" w:type="dxa"/>
          </w:tcPr>
          <w:p w14:paraId="628291DB" w14:textId="4C38D916" w:rsidR="00884CE5" w:rsidRPr="001C1E47" w:rsidRDefault="00884CE5" w:rsidP="00884CE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Planned v. actual inspections (health)</w:t>
            </w:r>
          </w:p>
        </w:tc>
        <w:tc>
          <w:tcPr>
            <w:tcW w:w="967" w:type="dxa"/>
          </w:tcPr>
          <w:p w14:paraId="46225BFE" w14:textId="090303CE" w:rsidR="00884CE5" w:rsidRPr="001C1E47" w:rsidRDefault="00884CE5" w:rsidP="00884CE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36</w:t>
            </w:r>
          </w:p>
        </w:tc>
        <w:tc>
          <w:tcPr>
            <w:tcW w:w="1301" w:type="dxa"/>
          </w:tcPr>
          <w:p w14:paraId="53B5A14B" w14:textId="77777777" w:rsidR="00884CE5" w:rsidRPr="00C87659" w:rsidRDefault="00884CE5" w:rsidP="00884C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 xml:space="preserve">+/- 5% of </w:t>
            </w:r>
          </w:p>
          <w:p w14:paraId="615D1DB6" w14:textId="79F9A192" w:rsidR="00884CE5" w:rsidRPr="001C1E47" w:rsidRDefault="00884CE5" w:rsidP="00884CE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Grant 18</w:t>
            </w:r>
          </w:p>
        </w:tc>
        <w:tc>
          <w:tcPr>
            <w:tcW w:w="4518" w:type="dxa"/>
          </w:tcPr>
          <w:p w14:paraId="4C49AF53" w14:textId="76533494" w:rsidR="00884CE5" w:rsidRPr="001C1E47" w:rsidRDefault="00884CE5" w:rsidP="00884CE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The further review level is based on a number negotiated by OSHA and the State Plan through the grant application.  The range of acceptable data not requiring further review is from 115 to 127 for safety.</w:t>
            </w:r>
          </w:p>
        </w:tc>
      </w:tr>
      <w:tr w:rsidR="00317F6C" w:rsidRPr="001C1E47" w14:paraId="19A930B8"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12933EF2"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8</w:t>
            </w:r>
          </w:p>
        </w:tc>
        <w:tc>
          <w:tcPr>
            <w:tcW w:w="2529" w:type="dxa"/>
          </w:tcPr>
          <w:p w14:paraId="35E2919F"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current serious penalty in private sector - total (1 to greater than 250 workers)</w:t>
            </w:r>
          </w:p>
        </w:tc>
        <w:tc>
          <w:tcPr>
            <w:tcW w:w="967" w:type="dxa"/>
          </w:tcPr>
          <w:p w14:paraId="4FF95415" w14:textId="22CCEDE0"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N/A</w:t>
            </w:r>
          </w:p>
        </w:tc>
        <w:tc>
          <w:tcPr>
            <w:tcW w:w="1301" w:type="dxa"/>
          </w:tcPr>
          <w:p w14:paraId="2ACE5D7A" w14:textId="77777777" w:rsidR="00317F6C" w:rsidRPr="00C87659" w:rsidRDefault="00317F6C" w:rsidP="00317F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 xml:space="preserve">+/- 25% of </w:t>
            </w:r>
          </w:p>
          <w:p w14:paraId="49E4E683" w14:textId="77777777" w:rsidR="00317F6C" w:rsidRPr="00C87659" w:rsidRDefault="00317F6C" w:rsidP="00317F6C">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87659">
              <w:rPr>
                <w:rFonts w:asciiTheme="minorHAnsi" w:eastAsia="PMingLiU" w:hAnsiTheme="minorHAnsi" w:cstheme="minorHAnsi"/>
              </w:rPr>
              <w:t>$3,793.81</w:t>
            </w:r>
          </w:p>
          <w:p w14:paraId="7AD30EF7"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8" w:type="dxa"/>
          </w:tcPr>
          <w:p w14:paraId="7D391D6F" w14:textId="77777777" w:rsidR="00317F6C" w:rsidRPr="00C87659" w:rsidRDefault="00317F6C" w:rsidP="00317F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N/A – This is a State and Local Government State Plan.</w:t>
            </w:r>
          </w:p>
          <w:p w14:paraId="132B3592" w14:textId="77777777" w:rsidR="00317F6C" w:rsidRPr="00C87659" w:rsidRDefault="00317F6C" w:rsidP="00317F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DF20B53" w14:textId="7BB2DA75" w:rsidR="00317F6C" w:rsidRPr="001C1E47" w:rsidRDefault="00317F6C" w:rsidP="00317F6C">
            <w:pPr>
              <w:ind w:right="1331"/>
              <w:cnfStyle w:val="000000000000" w:firstRow="0" w:lastRow="0" w:firstColumn="0" w:lastColumn="0" w:oddVBand="0" w:evenVBand="0" w:oddHBand="0" w:evenHBand="0" w:firstRowFirstColumn="0" w:firstRowLastColumn="0" w:lastRowFirstColumn="0" w:lastRowLastColumn="0"/>
              <w:rPr>
                <w:rFonts w:cs="Calibri"/>
              </w:rPr>
            </w:pPr>
            <w:r w:rsidRPr="00C87659">
              <w:rPr>
                <w:rFonts w:asciiTheme="minorHAnsi" w:hAnsiTheme="minorHAnsi" w:cstheme="minorHAnsi"/>
              </w:rPr>
              <w:t>The further review level is based on a three-year national average.</w:t>
            </w:r>
          </w:p>
        </w:tc>
      </w:tr>
      <w:tr w:rsidR="00317F6C" w:rsidRPr="001C1E47" w14:paraId="4CF9D609"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0ABEB3DA"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29" w:type="dxa"/>
          </w:tcPr>
          <w:p w14:paraId="51065DBA" w14:textId="77777777" w:rsidR="00317F6C" w:rsidRPr="001C1E47" w:rsidRDefault="00317F6C" w:rsidP="00317F6C">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a</w:t>
            </w:r>
            <w:r w:rsidRPr="001C1E47">
              <w:rPr>
                <w:rFonts w:cs="Calibri"/>
              </w:rPr>
              <w:t>.  Average current serious penalty in private sector</w:t>
            </w:r>
          </w:p>
          <w:p w14:paraId="7C4696DD"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(1-25 workers)</w:t>
            </w:r>
          </w:p>
        </w:tc>
        <w:tc>
          <w:tcPr>
            <w:tcW w:w="967" w:type="dxa"/>
          </w:tcPr>
          <w:p w14:paraId="3B168483" w14:textId="6D6C1D95"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N/A</w:t>
            </w:r>
          </w:p>
        </w:tc>
        <w:tc>
          <w:tcPr>
            <w:tcW w:w="1301" w:type="dxa"/>
          </w:tcPr>
          <w:p w14:paraId="67B7CFD8" w14:textId="77777777" w:rsidR="00317F6C" w:rsidRPr="00C87659" w:rsidRDefault="00317F6C" w:rsidP="00317F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 xml:space="preserve">+/- 25% of </w:t>
            </w:r>
          </w:p>
          <w:p w14:paraId="11AD6EE8" w14:textId="77777777" w:rsidR="00317F6C" w:rsidRPr="00C87659" w:rsidRDefault="00317F6C" w:rsidP="00317F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$2,498.51</w:t>
            </w:r>
          </w:p>
          <w:p w14:paraId="4DC91B0C"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8" w:type="dxa"/>
          </w:tcPr>
          <w:p w14:paraId="1773B218" w14:textId="77777777" w:rsidR="00317F6C" w:rsidRPr="00C87659"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87659">
              <w:rPr>
                <w:rFonts w:asciiTheme="minorHAnsi" w:eastAsia="PMingLiU" w:hAnsiTheme="minorHAnsi" w:cstheme="minorHAnsi"/>
              </w:rPr>
              <w:t>N/A – This is a State and Local Government State Plan.</w:t>
            </w:r>
          </w:p>
          <w:p w14:paraId="4C83F24C" w14:textId="77777777" w:rsidR="00317F6C" w:rsidRPr="00C87659"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371F75E0" w14:textId="7CF3348F"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The further review level is based on a three-year national average.</w:t>
            </w:r>
          </w:p>
        </w:tc>
      </w:tr>
      <w:tr w:rsidR="00317F6C" w:rsidRPr="001C1E47" w14:paraId="2F293093"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2794F1EF"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29" w:type="dxa"/>
          </w:tcPr>
          <w:p w14:paraId="18122F6D" w14:textId="77777777" w:rsidR="00317F6C" w:rsidRPr="001C1E47" w:rsidRDefault="00317F6C" w:rsidP="00317F6C">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b</w:t>
            </w:r>
            <w:r w:rsidRPr="001C1E47">
              <w:rPr>
                <w:rFonts w:cs="Calibri"/>
              </w:rPr>
              <w:t xml:space="preserve">. Average current serious penalty in private sector </w:t>
            </w:r>
          </w:p>
          <w:p w14:paraId="0CB214A9"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(26-100 workers</w:t>
            </w:r>
            <w:r w:rsidRPr="001C1E47">
              <w:rPr>
                <w:rFonts w:cs="Calibri"/>
                <w:b/>
              </w:rPr>
              <w:t>)</w:t>
            </w:r>
          </w:p>
        </w:tc>
        <w:tc>
          <w:tcPr>
            <w:tcW w:w="967" w:type="dxa"/>
          </w:tcPr>
          <w:p w14:paraId="26CF4361" w14:textId="4584812A"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N/A</w:t>
            </w:r>
          </w:p>
        </w:tc>
        <w:tc>
          <w:tcPr>
            <w:tcW w:w="1301" w:type="dxa"/>
          </w:tcPr>
          <w:p w14:paraId="075BFBA8" w14:textId="77777777" w:rsidR="00317F6C" w:rsidRPr="00C87659" w:rsidRDefault="00317F6C" w:rsidP="00317F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 xml:space="preserve">+/- 25% of </w:t>
            </w:r>
          </w:p>
          <w:p w14:paraId="6ED215E0" w14:textId="77777777" w:rsidR="00317F6C" w:rsidRPr="00C87659" w:rsidRDefault="00317F6C" w:rsidP="00317F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$4,322.61</w:t>
            </w:r>
          </w:p>
          <w:p w14:paraId="6AB595C0"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8" w:type="dxa"/>
          </w:tcPr>
          <w:p w14:paraId="193441D2" w14:textId="77777777" w:rsidR="00317F6C" w:rsidRPr="00C87659"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87659">
              <w:rPr>
                <w:rFonts w:asciiTheme="minorHAnsi" w:eastAsia="PMingLiU" w:hAnsiTheme="minorHAnsi" w:cstheme="minorHAnsi"/>
              </w:rPr>
              <w:t>N/A – This is a State and Local Government State Plan.</w:t>
            </w:r>
          </w:p>
          <w:p w14:paraId="04CDD01D" w14:textId="77777777" w:rsidR="00317F6C" w:rsidRPr="00C87659"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533EE6CD" w14:textId="66B58C33"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The further review level is based on a three-year national average.</w:t>
            </w:r>
          </w:p>
        </w:tc>
      </w:tr>
      <w:tr w:rsidR="00317F6C" w:rsidRPr="001C1E47" w14:paraId="786F3F1A"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5A3932AB"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29" w:type="dxa"/>
          </w:tcPr>
          <w:p w14:paraId="5F59BDF5" w14:textId="77777777" w:rsidR="00317F6C" w:rsidRPr="001C1E47" w:rsidRDefault="00317F6C" w:rsidP="00317F6C">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c</w:t>
            </w:r>
            <w:r w:rsidRPr="001C1E47">
              <w:rPr>
                <w:rFonts w:cs="Calibri"/>
              </w:rPr>
              <w:t>. Average current serious penalty in private sector</w:t>
            </w:r>
          </w:p>
          <w:p w14:paraId="10D9592B"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(101-250 workers)</w:t>
            </w:r>
          </w:p>
        </w:tc>
        <w:tc>
          <w:tcPr>
            <w:tcW w:w="967" w:type="dxa"/>
          </w:tcPr>
          <w:p w14:paraId="7D3E6F14" w14:textId="0C9E14E9"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N/A</w:t>
            </w:r>
          </w:p>
        </w:tc>
        <w:tc>
          <w:tcPr>
            <w:tcW w:w="1301" w:type="dxa"/>
          </w:tcPr>
          <w:p w14:paraId="2794DCBA" w14:textId="77777777" w:rsidR="00317F6C" w:rsidRPr="00C87659" w:rsidRDefault="00317F6C" w:rsidP="00317F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 xml:space="preserve">+/- 25% of </w:t>
            </w:r>
          </w:p>
          <w:p w14:paraId="14E49A3F" w14:textId="77777777" w:rsidR="00317F6C" w:rsidRPr="00C87659" w:rsidRDefault="00317F6C" w:rsidP="00317F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$6,114.84</w:t>
            </w:r>
          </w:p>
          <w:p w14:paraId="20FE3217" w14:textId="77777777" w:rsidR="00317F6C" w:rsidRPr="00C87659" w:rsidRDefault="00317F6C" w:rsidP="00317F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194F828"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8" w:type="dxa"/>
          </w:tcPr>
          <w:p w14:paraId="5DD06C0C" w14:textId="77777777" w:rsidR="00317F6C" w:rsidRPr="00C87659"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87659">
              <w:rPr>
                <w:rFonts w:asciiTheme="minorHAnsi" w:eastAsia="PMingLiU" w:hAnsiTheme="minorHAnsi" w:cstheme="minorHAnsi"/>
              </w:rPr>
              <w:t>N/A – This is a State and Local Government State Plan.</w:t>
            </w:r>
          </w:p>
          <w:p w14:paraId="1FCDFB4D" w14:textId="77777777" w:rsidR="00317F6C" w:rsidRPr="00C87659"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4B00CAC2" w14:textId="3C2E84E0"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The further review level is based on a three-year national average.</w:t>
            </w:r>
          </w:p>
        </w:tc>
      </w:tr>
      <w:tr w:rsidR="00317F6C" w:rsidRPr="001C1E47" w14:paraId="44B346AD"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5ED4D0D0"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29" w:type="dxa"/>
          </w:tcPr>
          <w:p w14:paraId="255BABE2" w14:textId="77777777" w:rsidR="00317F6C" w:rsidRPr="001C1E47" w:rsidRDefault="00317F6C" w:rsidP="00317F6C">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d</w:t>
            </w:r>
            <w:r w:rsidRPr="001C1E47">
              <w:rPr>
                <w:rFonts w:cs="Calibri"/>
              </w:rPr>
              <w:t>. Average current serious penalty in private sector</w:t>
            </w:r>
          </w:p>
          <w:p w14:paraId="48DDBB4B"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(greater than 250 workers)</w:t>
            </w:r>
          </w:p>
        </w:tc>
        <w:tc>
          <w:tcPr>
            <w:tcW w:w="967" w:type="dxa"/>
          </w:tcPr>
          <w:p w14:paraId="7D66FCF1" w14:textId="52D44F9B"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N/A</w:t>
            </w:r>
          </w:p>
        </w:tc>
        <w:tc>
          <w:tcPr>
            <w:tcW w:w="1301" w:type="dxa"/>
          </w:tcPr>
          <w:p w14:paraId="35FED071" w14:textId="77777777" w:rsidR="00317F6C" w:rsidRPr="00C87659" w:rsidRDefault="00317F6C" w:rsidP="00317F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 xml:space="preserve">+/- 25% of </w:t>
            </w:r>
          </w:p>
          <w:p w14:paraId="0B8F3E72" w14:textId="77777777" w:rsidR="00317F6C" w:rsidRPr="00C87659" w:rsidRDefault="00317F6C" w:rsidP="00317F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$7,533.58</w:t>
            </w:r>
          </w:p>
          <w:p w14:paraId="3FB5515E"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8" w:type="dxa"/>
          </w:tcPr>
          <w:p w14:paraId="5FAC5F4A" w14:textId="77777777" w:rsidR="00317F6C" w:rsidRPr="00C87659"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87659">
              <w:rPr>
                <w:rFonts w:asciiTheme="minorHAnsi" w:eastAsia="PMingLiU" w:hAnsiTheme="minorHAnsi" w:cstheme="minorHAnsi"/>
              </w:rPr>
              <w:t>N/A – This is a State and Local Government State Plan.</w:t>
            </w:r>
          </w:p>
          <w:p w14:paraId="72D07285" w14:textId="77777777" w:rsidR="00317F6C" w:rsidRPr="00C87659"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29FF5D83" w14:textId="41C653F3"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The further review level is based on a three-year national average.</w:t>
            </w:r>
          </w:p>
        </w:tc>
      </w:tr>
      <w:tr w:rsidR="00317F6C" w:rsidRPr="001C1E47" w14:paraId="6F99001F"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0F40BE10" w14:textId="77777777" w:rsidR="00ED2152" w:rsidRDefault="00ED2152"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bCs w:val="0"/>
              </w:rPr>
            </w:pPr>
          </w:p>
          <w:p w14:paraId="3570AB0A" w14:textId="77777777" w:rsidR="00ED2152" w:rsidRDefault="00ED2152"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bCs w:val="0"/>
              </w:rPr>
            </w:pPr>
          </w:p>
          <w:p w14:paraId="2CAB3DC1" w14:textId="41C81F9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9a</w:t>
            </w:r>
          </w:p>
        </w:tc>
        <w:tc>
          <w:tcPr>
            <w:tcW w:w="2529" w:type="dxa"/>
          </w:tcPr>
          <w:p w14:paraId="46B6E8DB" w14:textId="77777777" w:rsidR="00ED2152" w:rsidRDefault="00ED2152"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p>
          <w:p w14:paraId="6A805023" w14:textId="77777777" w:rsidR="00ED2152" w:rsidRDefault="00ED2152"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p>
          <w:p w14:paraId="406CE5F6" w14:textId="720FFD96"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lastRenderedPageBreak/>
              <w:t>Percent in compliance (safety)</w:t>
            </w:r>
          </w:p>
        </w:tc>
        <w:tc>
          <w:tcPr>
            <w:tcW w:w="967" w:type="dxa"/>
          </w:tcPr>
          <w:p w14:paraId="2C4707E9" w14:textId="77777777" w:rsidR="00ED2152" w:rsidRDefault="00ED2152"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7F1F5E1D" w14:textId="77777777" w:rsidR="00ED2152" w:rsidRDefault="00ED2152"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2CBEE7D5" w14:textId="3C074CF0"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lastRenderedPageBreak/>
              <w:t>25.33%</w:t>
            </w:r>
          </w:p>
        </w:tc>
        <w:tc>
          <w:tcPr>
            <w:tcW w:w="1301" w:type="dxa"/>
          </w:tcPr>
          <w:p w14:paraId="1B7C0235" w14:textId="77777777" w:rsidR="00ED2152" w:rsidRDefault="00ED2152" w:rsidP="00317F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7C01BF" w14:textId="77777777" w:rsidR="00ED2152" w:rsidRDefault="00ED2152" w:rsidP="00317F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2DAF0BC" w14:textId="7F6D5C54" w:rsidR="00317F6C" w:rsidRPr="00C87659" w:rsidRDefault="00317F6C" w:rsidP="00317F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lastRenderedPageBreak/>
              <w:t>+/- 20% of</w:t>
            </w:r>
          </w:p>
          <w:p w14:paraId="0A52EE0A" w14:textId="54525574"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32.83%</w:t>
            </w:r>
          </w:p>
        </w:tc>
        <w:tc>
          <w:tcPr>
            <w:tcW w:w="4518" w:type="dxa"/>
          </w:tcPr>
          <w:p w14:paraId="33EEE682" w14:textId="77777777" w:rsidR="00ED2152" w:rsidRDefault="00ED2152"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F183F86" w14:textId="77777777" w:rsidR="00ED2152" w:rsidRDefault="00ED2152"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A829BA0" w14:textId="6F0DCA56"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lastRenderedPageBreak/>
              <w:t>The further review level is based on a three-year national average.  The range of acceptable data not requiring further review is from 26.27% to 39.40% for safety.</w:t>
            </w:r>
          </w:p>
        </w:tc>
      </w:tr>
      <w:tr w:rsidR="00317F6C" w:rsidRPr="001C1E47" w14:paraId="3EB76E55"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5BA68B8A"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9b</w:t>
            </w:r>
          </w:p>
        </w:tc>
        <w:tc>
          <w:tcPr>
            <w:tcW w:w="2529" w:type="dxa"/>
          </w:tcPr>
          <w:p w14:paraId="1F4404BA"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(health)</w:t>
            </w:r>
          </w:p>
        </w:tc>
        <w:tc>
          <w:tcPr>
            <w:tcW w:w="967" w:type="dxa"/>
          </w:tcPr>
          <w:p w14:paraId="0F761403" w14:textId="75A5386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29.41%</w:t>
            </w:r>
          </w:p>
        </w:tc>
        <w:tc>
          <w:tcPr>
            <w:tcW w:w="1301" w:type="dxa"/>
          </w:tcPr>
          <w:p w14:paraId="5E71AB85" w14:textId="77777777" w:rsidR="00317F6C" w:rsidRPr="00C87659" w:rsidRDefault="00317F6C" w:rsidP="00317F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+/- 20% of</w:t>
            </w:r>
          </w:p>
          <w:p w14:paraId="203D8062" w14:textId="49CE00EE"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44.18%</w:t>
            </w:r>
          </w:p>
        </w:tc>
        <w:tc>
          <w:tcPr>
            <w:tcW w:w="4518" w:type="dxa"/>
          </w:tcPr>
          <w:p w14:paraId="7272F1E9" w14:textId="4763C2B6"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The further review level is based on a three-year national average.  The range of acceptable data not requiring further review is from 35.34% to 53.01% for health.</w:t>
            </w:r>
          </w:p>
        </w:tc>
      </w:tr>
      <w:tr w:rsidR="00317F6C" w:rsidRPr="001C1E47" w14:paraId="6BD622B6"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1E1081EE"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10</w:t>
            </w:r>
          </w:p>
        </w:tc>
        <w:tc>
          <w:tcPr>
            <w:tcW w:w="2529" w:type="dxa"/>
          </w:tcPr>
          <w:p w14:paraId="7A555323"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work-related fatalities responded to in one workday</w:t>
            </w:r>
          </w:p>
        </w:tc>
        <w:tc>
          <w:tcPr>
            <w:tcW w:w="967" w:type="dxa"/>
          </w:tcPr>
          <w:p w14:paraId="36635117" w14:textId="7F068EB6"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50%</w:t>
            </w:r>
          </w:p>
        </w:tc>
        <w:tc>
          <w:tcPr>
            <w:tcW w:w="1301" w:type="dxa"/>
          </w:tcPr>
          <w:p w14:paraId="1B2A9E13" w14:textId="399DDDAB"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100%</w:t>
            </w:r>
          </w:p>
        </w:tc>
        <w:tc>
          <w:tcPr>
            <w:tcW w:w="4518" w:type="dxa"/>
          </w:tcPr>
          <w:p w14:paraId="4CFEF3A7" w14:textId="77777777" w:rsidR="00317F6C" w:rsidRPr="001C1E47" w:rsidRDefault="00317F6C" w:rsidP="00317F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1C737E" w:rsidRPr="001C1E47" w14:paraId="2893D3CE"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10FE802E"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11a</w:t>
            </w:r>
          </w:p>
        </w:tc>
        <w:tc>
          <w:tcPr>
            <w:tcW w:w="2529" w:type="dxa"/>
          </w:tcPr>
          <w:p w14:paraId="0E881318"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(safety)</w:t>
            </w:r>
          </w:p>
        </w:tc>
        <w:tc>
          <w:tcPr>
            <w:tcW w:w="967" w:type="dxa"/>
          </w:tcPr>
          <w:p w14:paraId="155143E8" w14:textId="356B33FE"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32.63</w:t>
            </w:r>
          </w:p>
        </w:tc>
        <w:tc>
          <w:tcPr>
            <w:tcW w:w="1301" w:type="dxa"/>
          </w:tcPr>
          <w:p w14:paraId="6CB675D5" w14:textId="77777777" w:rsidR="001C737E" w:rsidRPr="00C87659" w:rsidRDefault="001C737E" w:rsidP="001C73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 xml:space="preserve">+/- 20% of </w:t>
            </w:r>
          </w:p>
          <w:p w14:paraId="4105E6C0" w14:textId="2ED34F10"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56.02</w:t>
            </w:r>
          </w:p>
        </w:tc>
        <w:tc>
          <w:tcPr>
            <w:tcW w:w="4518" w:type="dxa"/>
          </w:tcPr>
          <w:p w14:paraId="1A7228CC" w14:textId="5511D627" w:rsidR="001C737E" w:rsidRPr="001C1E47" w:rsidRDefault="001C737E" w:rsidP="004A2C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04"/>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The further review level is based on a three-year national average.  The range of acceptable data not requiring further review is from 44.82 to 67.23 for safety.</w:t>
            </w:r>
          </w:p>
        </w:tc>
      </w:tr>
      <w:tr w:rsidR="001C737E" w:rsidRPr="001C1E47" w14:paraId="71994532"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4A315A6E"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11b</w:t>
            </w:r>
          </w:p>
        </w:tc>
        <w:tc>
          <w:tcPr>
            <w:tcW w:w="2529" w:type="dxa"/>
          </w:tcPr>
          <w:p w14:paraId="62670A92"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(health)</w:t>
            </w:r>
          </w:p>
        </w:tc>
        <w:tc>
          <w:tcPr>
            <w:tcW w:w="967" w:type="dxa"/>
          </w:tcPr>
          <w:p w14:paraId="260D705D" w14:textId="7B8CD4D4"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36.09</w:t>
            </w:r>
          </w:p>
        </w:tc>
        <w:tc>
          <w:tcPr>
            <w:tcW w:w="1301" w:type="dxa"/>
          </w:tcPr>
          <w:p w14:paraId="64CDB5CF" w14:textId="77777777" w:rsidR="001C737E" w:rsidRPr="00C87659" w:rsidRDefault="001C737E" w:rsidP="001C73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 xml:space="preserve">+/- 20% of </w:t>
            </w:r>
          </w:p>
          <w:p w14:paraId="4447221B" w14:textId="42C4BC83"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67.21</w:t>
            </w:r>
          </w:p>
        </w:tc>
        <w:tc>
          <w:tcPr>
            <w:tcW w:w="4518" w:type="dxa"/>
          </w:tcPr>
          <w:p w14:paraId="77F448C9" w14:textId="695B7BE3"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The further review level is based on a three-year national average.  The range of acceptable data not requiring further review is from 53.77 to 80.65 for health.</w:t>
            </w:r>
          </w:p>
        </w:tc>
      </w:tr>
      <w:tr w:rsidR="001C737E" w:rsidRPr="001C1E47" w14:paraId="13BCA211"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20008ADF"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12</w:t>
            </w:r>
          </w:p>
        </w:tc>
        <w:tc>
          <w:tcPr>
            <w:tcW w:w="2529" w:type="dxa"/>
          </w:tcPr>
          <w:p w14:paraId="4FDC62A7"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penalty retained</w:t>
            </w:r>
          </w:p>
        </w:tc>
        <w:tc>
          <w:tcPr>
            <w:tcW w:w="967" w:type="dxa"/>
          </w:tcPr>
          <w:p w14:paraId="54C1921C" w14:textId="1080C02A"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N/A</w:t>
            </w:r>
          </w:p>
        </w:tc>
        <w:tc>
          <w:tcPr>
            <w:tcW w:w="1301" w:type="dxa"/>
          </w:tcPr>
          <w:p w14:paraId="3658C52E" w14:textId="77777777" w:rsidR="001C737E" w:rsidRPr="00C87659" w:rsidRDefault="001C737E" w:rsidP="001C73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659">
              <w:rPr>
                <w:rFonts w:asciiTheme="minorHAnsi" w:hAnsiTheme="minorHAnsi" w:cstheme="minorHAnsi"/>
              </w:rPr>
              <w:t>+/- 15% of</w:t>
            </w:r>
          </w:p>
          <w:p w14:paraId="5AD20280" w14:textId="069138DA"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70.81%</w:t>
            </w:r>
          </w:p>
        </w:tc>
        <w:tc>
          <w:tcPr>
            <w:tcW w:w="4518" w:type="dxa"/>
          </w:tcPr>
          <w:p w14:paraId="75ACA38E" w14:textId="77777777" w:rsidR="001C737E" w:rsidRPr="00C87659"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87659">
              <w:rPr>
                <w:rFonts w:asciiTheme="minorHAnsi" w:eastAsia="PMingLiU" w:hAnsiTheme="minorHAnsi" w:cstheme="minorHAnsi"/>
              </w:rPr>
              <w:t>NA – This is a State and Local Government State Plan and is not held to this SAMM.</w:t>
            </w:r>
          </w:p>
          <w:p w14:paraId="7B0B7498" w14:textId="77777777" w:rsidR="001C737E" w:rsidRPr="00C87659"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45B6E003" w14:textId="0184EEB9"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 xml:space="preserve">The further review level is based on a three-year national average.  </w:t>
            </w:r>
          </w:p>
        </w:tc>
      </w:tr>
      <w:tr w:rsidR="001C737E" w:rsidRPr="001C1E47" w14:paraId="2EAC34D6"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46A22AE3"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13</w:t>
            </w:r>
          </w:p>
        </w:tc>
        <w:tc>
          <w:tcPr>
            <w:tcW w:w="2529" w:type="dxa"/>
          </w:tcPr>
          <w:p w14:paraId="56540F98"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bookmarkStart w:id="38" w:name="_Hlk187995840"/>
            <w:r w:rsidRPr="001C1E47">
              <w:rPr>
                <w:rFonts w:cs="Calibri"/>
              </w:rPr>
              <w:t>Percent of initial inspections with worker walk-around representation or worker interview</w:t>
            </w:r>
            <w:bookmarkEnd w:id="38"/>
          </w:p>
        </w:tc>
        <w:tc>
          <w:tcPr>
            <w:tcW w:w="967" w:type="dxa"/>
          </w:tcPr>
          <w:p w14:paraId="71E71ED8" w14:textId="0C3EAD15"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99.47%</w:t>
            </w:r>
          </w:p>
        </w:tc>
        <w:tc>
          <w:tcPr>
            <w:tcW w:w="1301" w:type="dxa"/>
          </w:tcPr>
          <w:p w14:paraId="4A97427F" w14:textId="5B82C6B5"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100%</w:t>
            </w:r>
          </w:p>
        </w:tc>
        <w:tc>
          <w:tcPr>
            <w:tcW w:w="4518" w:type="dxa"/>
          </w:tcPr>
          <w:p w14:paraId="27DEF00F"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1C737E" w:rsidRPr="001C1E47" w14:paraId="0083664F"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1F73B0DD"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14</w:t>
            </w:r>
          </w:p>
        </w:tc>
        <w:tc>
          <w:tcPr>
            <w:tcW w:w="2529" w:type="dxa"/>
          </w:tcPr>
          <w:p w14:paraId="3454CDD3"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investigations completed within 90 days</w:t>
            </w:r>
          </w:p>
        </w:tc>
        <w:tc>
          <w:tcPr>
            <w:tcW w:w="967" w:type="dxa"/>
          </w:tcPr>
          <w:p w14:paraId="3468F2B1" w14:textId="2A7317C0"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N/A</w:t>
            </w:r>
          </w:p>
        </w:tc>
        <w:tc>
          <w:tcPr>
            <w:tcW w:w="1301" w:type="dxa"/>
          </w:tcPr>
          <w:p w14:paraId="39333E60" w14:textId="1C62DD85"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N/A</w:t>
            </w:r>
          </w:p>
        </w:tc>
        <w:tc>
          <w:tcPr>
            <w:tcW w:w="4518" w:type="dxa"/>
          </w:tcPr>
          <w:p w14:paraId="7DECCD0D" w14:textId="7667245F"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421030">
              <w:rPr>
                <w:rFonts w:eastAsia="PMingLiU" w:cstheme="minorHAnsi"/>
              </w:rPr>
              <w:t>This measure is not being reported for FY 2024 due to the transition to the new SAMM measures starting in FY 2025.</w:t>
            </w:r>
          </w:p>
        </w:tc>
      </w:tr>
      <w:tr w:rsidR="001C737E" w:rsidRPr="001C1E47" w14:paraId="570F3912"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4BF89E78"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15</w:t>
            </w:r>
          </w:p>
        </w:tc>
        <w:tc>
          <w:tcPr>
            <w:tcW w:w="2529" w:type="dxa"/>
          </w:tcPr>
          <w:p w14:paraId="1BE43D29"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complaints that are meritorious</w:t>
            </w:r>
          </w:p>
        </w:tc>
        <w:tc>
          <w:tcPr>
            <w:tcW w:w="967" w:type="dxa"/>
          </w:tcPr>
          <w:p w14:paraId="1E0B0B7D" w14:textId="797D4ADA"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N/A</w:t>
            </w:r>
          </w:p>
        </w:tc>
        <w:tc>
          <w:tcPr>
            <w:tcW w:w="1301" w:type="dxa"/>
          </w:tcPr>
          <w:p w14:paraId="147E9AB5" w14:textId="17D8F6B5"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N/A</w:t>
            </w:r>
          </w:p>
        </w:tc>
        <w:tc>
          <w:tcPr>
            <w:tcW w:w="4518" w:type="dxa"/>
          </w:tcPr>
          <w:p w14:paraId="5801C5D4" w14:textId="025CB5ED"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421030">
              <w:rPr>
                <w:rFonts w:eastAsia="PMingLiU" w:cstheme="minorHAnsi"/>
              </w:rPr>
              <w:t>This measure is not being reported for FY 2024 due to the transition to the new SAMM measures starting in FY 2025.</w:t>
            </w:r>
          </w:p>
        </w:tc>
      </w:tr>
      <w:tr w:rsidR="001C737E" w:rsidRPr="001C1E47" w14:paraId="06EFF7B6"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7E0D4652"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16</w:t>
            </w:r>
          </w:p>
        </w:tc>
        <w:tc>
          <w:tcPr>
            <w:tcW w:w="2529" w:type="dxa"/>
          </w:tcPr>
          <w:p w14:paraId="5E4FAF60"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Average number of calendar days to complete an 11(c) </w:t>
            </w:r>
            <w:r w:rsidRPr="001C1E47">
              <w:rPr>
                <w:rFonts w:cs="Calibri"/>
              </w:rPr>
              <w:lastRenderedPageBreak/>
              <w:t>investigation</w:t>
            </w:r>
          </w:p>
        </w:tc>
        <w:tc>
          <w:tcPr>
            <w:tcW w:w="967" w:type="dxa"/>
          </w:tcPr>
          <w:p w14:paraId="3207CBD2" w14:textId="56AD89E0"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lastRenderedPageBreak/>
              <w:t>N/A</w:t>
            </w:r>
          </w:p>
        </w:tc>
        <w:tc>
          <w:tcPr>
            <w:tcW w:w="1301" w:type="dxa"/>
            <w:shd w:val="clear" w:color="auto" w:fill="auto"/>
          </w:tcPr>
          <w:p w14:paraId="7022F7E0" w14:textId="5A8F39CE"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hAnsiTheme="minorHAnsi" w:cstheme="minorHAnsi"/>
              </w:rPr>
              <w:t>N/A</w:t>
            </w:r>
          </w:p>
        </w:tc>
        <w:tc>
          <w:tcPr>
            <w:tcW w:w="4518" w:type="dxa"/>
          </w:tcPr>
          <w:p w14:paraId="088C3C3F" w14:textId="57B343B9"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421030">
              <w:rPr>
                <w:rFonts w:eastAsia="PMingLiU" w:cstheme="minorHAnsi"/>
              </w:rPr>
              <w:t>This measure is not being reported for FY 2024 due to the transition to the new SAMM measures starting in FY 2025.</w:t>
            </w:r>
          </w:p>
        </w:tc>
      </w:tr>
      <w:tr w:rsidR="001C737E" w:rsidRPr="001C1E47" w14:paraId="464BCA80" w14:textId="77777777" w:rsidTr="008474A3">
        <w:tc>
          <w:tcPr>
            <w:cnfStyle w:val="001000000000" w:firstRow="0" w:lastRow="0" w:firstColumn="1" w:lastColumn="0" w:oddVBand="0" w:evenVBand="0" w:oddHBand="0" w:evenHBand="0" w:firstRowFirstColumn="0" w:firstRowLastColumn="0" w:lastRowFirstColumn="0" w:lastRowLastColumn="0"/>
            <w:tcW w:w="1035" w:type="dxa"/>
          </w:tcPr>
          <w:p w14:paraId="3EFEA4C9"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17</w:t>
            </w:r>
          </w:p>
        </w:tc>
        <w:tc>
          <w:tcPr>
            <w:tcW w:w="2529" w:type="dxa"/>
          </w:tcPr>
          <w:p w14:paraId="4A04782E" w14:textId="7777777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enforcement presence</w:t>
            </w:r>
          </w:p>
        </w:tc>
        <w:tc>
          <w:tcPr>
            <w:tcW w:w="967" w:type="dxa"/>
          </w:tcPr>
          <w:p w14:paraId="2883494A" w14:textId="1339FF07"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N/A</w:t>
            </w:r>
          </w:p>
        </w:tc>
        <w:tc>
          <w:tcPr>
            <w:tcW w:w="1301" w:type="dxa"/>
          </w:tcPr>
          <w:p w14:paraId="315D63EF" w14:textId="32F97BD2"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N/A</w:t>
            </w:r>
          </w:p>
        </w:tc>
        <w:tc>
          <w:tcPr>
            <w:tcW w:w="4518" w:type="dxa"/>
          </w:tcPr>
          <w:p w14:paraId="66CFA076" w14:textId="11669AB0" w:rsidR="001C737E" w:rsidRPr="001C1E47" w:rsidRDefault="001C737E" w:rsidP="001C737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87659">
              <w:rPr>
                <w:rFonts w:asciiTheme="minorHAnsi" w:eastAsia="PMingLiU" w:hAnsiTheme="minorHAnsi" w:cstheme="minorHAnsi"/>
              </w:rPr>
              <w:t>NA – This is a State and Local Government State Plan and is not held to this SAMM.</w:t>
            </w:r>
          </w:p>
        </w:tc>
      </w:tr>
      <w:bookmarkEnd w:id="37"/>
    </w:tbl>
    <w:p w14:paraId="6573BAF6" w14:textId="3FAD77B0" w:rsidR="00634539" w:rsidRPr="001C1E47" w:rsidRDefault="00634539" w:rsidP="00ED2152">
      <w:pPr>
        <w:tabs>
          <w:tab w:val="left" w:pos="3405"/>
        </w:tabs>
        <w:rPr>
          <w:rFonts w:cs="Calibri"/>
        </w:rPr>
      </w:pPr>
    </w:p>
    <w:sectPr w:rsidR="00634539" w:rsidRPr="001C1E47" w:rsidSect="005128CD">
      <w:headerReference w:type="default" r:id="rId21"/>
      <w:footerReference w:type="default" r:id="rId22"/>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61927" w14:textId="77777777" w:rsidR="006613A7" w:rsidRDefault="006613A7" w:rsidP="00C872A0">
      <w:r>
        <w:separator/>
      </w:r>
    </w:p>
  </w:endnote>
  <w:endnote w:type="continuationSeparator" w:id="0">
    <w:p w14:paraId="0BBF08E7" w14:textId="77777777" w:rsidR="006613A7" w:rsidRDefault="006613A7" w:rsidP="00C872A0">
      <w:r>
        <w:continuationSeparator/>
      </w:r>
    </w:p>
  </w:endnote>
  <w:endnote w:type="continuationNotice" w:id="1">
    <w:p w14:paraId="39ADDB15" w14:textId="77777777" w:rsidR="006613A7" w:rsidRDefault="00661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EFAE" w14:textId="77777777" w:rsidR="006613A7" w:rsidRDefault="006613A7" w:rsidP="00C872A0">
      <w:r>
        <w:separator/>
      </w:r>
    </w:p>
  </w:footnote>
  <w:footnote w:type="continuationSeparator" w:id="0">
    <w:p w14:paraId="09A957CC" w14:textId="77777777" w:rsidR="006613A7" w:rsidRDefault="006613A7" w:rsidP="00C872A0">
      <w:r>
        <w:continuationSeparator/>
      </w:r>
    </w:p>
  </w:footnote>
  <w:footnote w:type="continuationNotice" w:id="1">
    <w:p w14:paraId="6ADF2570" w14:textId="77777777" w:rsidR="006613A7" w:rsidRDefault="006613A7"/>
  </w:footnote>
  <w:footnote w:id="2">
    <w:p w14:paraId="4BEA0FD7" w14:textId="77777777" w:rsidR="00E6248C" w:rsidRDefault="00E6248C" w:rsidP="00E6248C">
      <w:pPr>
        <w:pStyle w:val="FootnoteText"/>
        <w:rPr>
          <w:sz w:val="24"/>
          <w:szCs w:val="24"/>
        </w:rPr>
      </w:pPr>
      <w:r w:rsidRPr="00E6248C">
        <w:rPr>
          <w:rStyle w:val="FootnoteReference"/>
          <w:b/>
          <w:bCs/>
          <w:sz w:val="28"/>
          <w:szCs w:val="28"/>
          <w:vertAlign w:val="superscript"/>
        </w:rPr>
        <w:footnoteRef/>
      </w:r>
      <w:r w:rsidRPr="00E6248C">
        <w:rPr>
          <w:b/>
          <w:bCs/>
          <w:sz w:val="28"/>
          <w:szCs w:val="28"/>
          <w:vertAlign w:val="superscript"/>
        </w:rPr>
        <w:t xml:space="preserve"> </w:t>
      </w:r>
      <w:r w:rsidRPr="003F783D">
        <w:rPr>
          <w:rFonts w:asciiTheme="minorHAnsi" w:hAnsiTheme="minorHAnsi" w:cstheme="minorHAnsi"/>
          <w:color w:val="000000" w:themeColor="text1"/>
        </w:rPr>
        <w:t xml:space="preserve">Source: </w:t>
      </w:r>
      <w:r w:rsidRPr="00C04D7A">
        <w:rPr>
          <w:rFonts w:asciiTheme="minorHAnsi" w:hAnsiTheme="minorHAnsi" w:cstheme="minorHAnsi"/>
          <w:color w:val="000000" w:themeColor="text1"/>
        </w:rPr>
        <w:t xml:space="preserve"> </w:t>
      </w:r>
      <w:hyperlink r:id="rId1" w:history="1">
        <w:r w:rsidRPr="00C04D7A">
          <w:rPr>
            <w:color w:val="0000FF"/>
            <w:u w:val="single"/>
          </w:rPr>
          <w:t>Bureau of Labor Statistics' Quarterly Census of Employment and Wages</w:t>
        </w:r>
      </w:hyperlink>
    </w:p>
    <w:p w14:paraId="572783D3" w14:textId="6D6E9A12" w:rsidR="00E6248C" w:rsidRDefault="00E6248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0"/>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1"/>
  </w:num>
  <w:num w:numId="11" w16cid:durableId="247546233">
    <w:abstractNumId w:val="23"/>
  </w:num>
  <w:num w:numId="12" w16cid:durableId="1587691524">
    <w:abstractNumId w:val="24"/>
  </w:num>
  <w:num w:numId="13" w16cid:durableId="16663837">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805"/>
    <w:rsid w:val="00002B73"/>
    <w:rsid w:val="000036AB"/>
    <w:rsid w:val="00004200"/>
    <w:rsid w:val="00004C32"/>
    <w:rsid w:val="00007781"/>
    <w:rsid w:val="000116C0"/>
    <w:rsid w:val="00014C7A"/>
    <w:rsid w:val="00016214"/>
    <w:rsid w:val="00016803"/>
    <w:rsid w:val="0001706D"/>
    <w:rsid w:val="00017349"/>
    <w:rsid w:val="0002064D"/>
    <w:rsid w:val="00021274"/>
    <w:rsid w:val="000217D1"/>
    <w:rsid w:val="00021FE0"/>
    <w:rsid w:val="00022BEE"/>
    <w:rsid w:val="0002309A"/>
    <w:rsid w:val="00023E67"/>
    <w:rsid w:val="000248F0"/>
    <w:rsid w:val="0002572C"/>
    <w:rsid w:val="00025F57"/>
    <w:rsid w:val="00026D63"/>
    <w:rsid w:val="00027093"/>
    <w:rsid w:val="0003442F"/>
    <w:rsid w:val="00034A4E"/>
    <w:rsid w:val="00035083"/>
    <w:rsid w:val="0003567C"/>
    <w:rsid w:val="00036865"/>
    <w:rsid w:val="00036BF8"/>
    <w:rsid w:val="00036EB4"/>
    <w:rsid w:val="00036F0D"/>
    <w:rsid w:val="00037F48"/>
    <w:rsid w:val="000404ED"/>
    <w:rsid w:val="000408F6"/>
    <w:rsid w:val="00042327"/>
    <w:rsid w:val="00042C4C"/>
    <w:rsid w:val="00043515"/>
    <w:rsid w:val="00044436"/>
    <w:rsid w:val="000447C9"/>
    <w:rsid w:val="000449F8"/>
    <w:rsid w:val="00045479"/>
    <w:rsid w:val="00045BD6"/>
    <w:rsid w:val="00045C51"/>
    <w:rsid w:val="00046151"/>
    <w:rsid w:val="000468C6"/>
    <w:rsid w:val="00046BEE"/>
    <w:rsid w:val="00046E13"/>
    <w:rsid w:val="000470EE"/>
    <w:rsid w:val="00047446"/>
    <w:rsid w:val="0005007B"/>
    <w:rsid w:val="00050FA4"/>
    <w:rsid w:val="00050FEB"/>
    <w:rsid w:val="000517FA"/>
    <w:rsid w:val="00052B36"/>
    <w:rsid w:val="00053184"/>
    <w:rsid w:val="00053A2C"/>
    <w:rsid w:val="00054416"/>
    <w:rsid w:val="00054900"/>
    <w:rsid w:val="00055243"/>
    <w:rsid w:val="00055B40"/>
    <w:rsid w:val="00055F2C"/>
    <w:rsid w:val="00057840"/>
    <w:rsid w:val="00060D39"/>
    <w:rsid w:val="00061875"/>
    <w:rsid w:val="000625FB"/>
    <w:rsid w:val="0006398D"/>
    <w:rsid w:val="00065AB2"/>
    <w:rsid w:val="0006611A"/>
    <w:rsid w:val="00066A7B"/>
    <w:rsid w:val="00066C52"/>
    <w:rsid w:val="000679AE"/>
    <w:rsid w:val="000701E4"/>
    <w:rsid w:val="0007073F"/>
    <w:rsid w:val="00070C3C"/>
    <w:rsid w:val="0007157F"/>
    <w:rsid w:val="00071CB6"/>
    <w:rsid w:val="00071E71"/>
    <w:rsid w:val="000724F1"/>
    <w:rsid w:val="0007306B"/>
    <w:rsid w:val="00073C4B"/>
    <w:rsid w:val="00074005"/>
    <w:rsid w:val="000743D1"/>
    <w:rsid w:val="00074876"/>
    <w:rsid w:val="000760CB"/>
    <w:rsid w:val="00076601"/>
    <w:rsid w:val="000767C0"/>
    <w:rsid w:val="0007714E"/>
    <w:rsid w:val="00077228"/>
    <w:rsid w:val="00077410"/>
    <w:rsid w:val="00083A76"/>
    <w:rsid w:val="00085230"/>
    <w:rsid w:val="00085B30"/>
    <w:rsid w:val="00086F2F"/>
    <w:rsid w:val="0008759E"/>
    <w:rsid w:val="00087EE9"/>
    <w:rsid w:val="00090155"/>
    <w:rsid w:val="000902ED"/>
    <w:rsid w:val="0009134A"/>
    <w:rsid w:val="00091ABD"/>
    <w:rsid w:val="00091AE2"/>
    <w:rsid w:val="00091B54"/>
    <w:rsid w:val="000923E0"/>
    <w:rsid w:val="00092555"/>
    <w:rsid w:val="000929B5"/>
    <w:rsid w:val="00092F1B"/>
    <w:rsid w:val="00093239"/>
    <w:rsid w:val="00093BA1"/>
    <w:rsid w:val="00093DC2"/>
    <w:rsid w:val="0009535D"/>
    <w:rsid w:val="0009583F"/>
    <w:rsid w:val="000969E2"/>
    <w:rsid w:val="00096CCF"/>
    <w:rsid w:val="000A134A"/>
    <w:rsid w:val="000A1CE9"/>
    <w:rsid w:val="000A2DE7"/>
    <w:rsid w:val="000A3878"/>
    <w:rsid w:val="000A40EC"/>
    <w:rsid w:val="000A55DB"/>
    <w:rsid w:val="000A658C"/>
    <w:rsid w:val="000A7279"/>
    <w:rsid w:val="000A7A05"/>
    <w:rsid w:val="000A7DE8"/>
    <w:rsid w:val="000B07D7"/>
    <w:rsid w:val="000B1A5B"/>
    <w:rsid w:val="000B1ECC"/>
    <w:rsid w:val="000B22E4"/>
    <w:rsid w:val="000B3A37"/>
    <w:rsid w:val="000B440B"/>
    <w:rsid w:val="000B4852"/>
    <w:rsid w:val="000B4FAF"/>
    <w:rsid w:val="000B62E1"/>
    <w:rsid w:val="000B6A8A"/>
    <w:rsid w:val="000B785B"/>
    <w:rsid w:val="000C04C6"/>
    <w:rsid w:val="000C0E15"/>
    <w:rsid w:val="000C0E53"/>
    <w:rsid w:val="000C12C6"/>
    <w:rsid w:val="000C1882"/>
    <w:rsid w:val="000C1ED8"/>
    <w:rsid w:val="000C295F"/>
    <w:rsid w:val="000C2E74"/>
    <w:rsid w:val="000C368E"/>
    <w:rsid w:val="000C38BD"/>
    <w:rsid w:val="000C4141"/>
    <w:rsid w:val="000C43DE"/>
    <w:rsid w:val="000C46E4"/>
    <w:rsid w:val="000C5C82"/>
    <w:rsid w:val="000C7C9A"/>
    <w:rsid w:val="000D343F"/>
    <w:rsid w:val="000D4560"/>
    <w:rsid w:val="000D4A64"/>
    <w:rsid w:val="000D587B"/>
    <w:rsid w:val="000D6F48"/>
    <w:rsid w:val="000D723A"/>
    <w:rsid w:val="000D750A"/>
    <w:rsid w:val="000D7AAD"/>
    <w:rsid w:val="000D7AE7"/>
    <w:rsid w:val="000E0408"/>
    <w:rsid w:val="000E07E7"/>
    <w:rsid w:val="000E0DD1"/>
    <w:rsid w:val="000E1AA2"/>
    <w:rsid w:val="000E20A2"/>
    <w:rsid w:val="000E3E1F"/>
    <w:rsid w:val="000E46F3"/>
    <w:rsid w:val="000E5C64"/>
    <w:rsid w:val="000E6466"/>
    <w:rsid w:val="000E7F42"/>
    <w:rsid w:val="000F1D68"/>
    <w:rsid w:val="000F1E49"/>
    <w:rsid w:val="000F46ED"/>
    <w:rsid w:val="000F4DA3"/>
    <w:rsid w:val="000F5631"/>
    <w:rsid w:val="000F5A36"/>
    <w:rsid w:val="000F63C1"/>
    <w:rsid w:val="000F6A5C"/>
    <w:rsid w:val="000F7ECC"/>
    <w:rsid w:val="001039FA"/>
    <w:rsid w:val="001056A7"/>
    <w:rsid w:val="0011011A"/>
    <w:rsid w:val="00110A46"/>
    <w:rsid w:val="00110CB0"/>
    <w:rsid w:val="00110D66"/>
    <w:rsid w:val="0011134F"/>
    <w:rsid w:val="001113A1"/>
    <w:rsid w:val="00112C81"/>
    <w:rsid w:val="0011326F"/>
    <w:rsid w:val="00113394"/>
    <w:rsid w:val="00113C76"/>
    <w:rsid w:val="0011522A"/>
    <w:rsid w:val="00115ADC"/>
    <w:rsid w:val="00115B48"/>
    <w:rsid w:val="00115DF5"/>
    <w:rsid w:val="00116055"/>
    <w:rsid w:val="001170E4"/>
    <w:rsid w:val="00117115"/>
    <w:rsid w:val="001174A0"/>
    <w:rsid w:val="001206B1"/>
    <w:rsid w:val="0012164B"/>
    <w:rsid w:val="00122043"/>
    <w:rsid w:val="00122228"/>
    <w:rsid w:val="0012279E"/>
    <w:rsid w:val="00122839"/>
    <w:rsid w:val="00122BD3"/>
    <w:rsid w:val="00123AC4"/>
    <w:rsid w:val="00125065"/>
    <w:rsid w:val="00125345"/>
    <w:rsid w:val="00125C8A"/>
    <w:rsid w:val="00125E83"/>
    <w:rsid w:val="00126880"/>
    <w:rsid w:val="00127DC5"/>
    <w:rsid w:val="00132862"/>
    <w:rsid w:val="00132F71"/>
    <w:rsid w:val="001330E6"/>
    <w:rsid w:val="00133B2B"/>
    <w:rsid w:val="001341FE"/>
    <w:rsid w:val="00134F5C"/>
    <w:rsid w:val="00134F5D"/>
    <w:rsid w:val="001358F0"/>
    <w:rsid w:val="00136D3B"/>
    <w:rsid w:val="00136DA3"/>
    <w:rsid w:val="001376D1"/>
    <w:rsid w:val="00140C21"/>
    <w:rsid w:val="00141758"/>
    <w:rsid w:val="0014199D"/>
    <w:rsid w:val="00142198"/>
    <w:rsid w:val="00143ACD"/>
    <w:rsid w:val="0014420A"/>
    <w:rsid w:val="00144A53"/>
    <w:rsid w:val="00144C74"/>
    <w:rsid w:val="00145BC1"/>
    <w:rsid w:val="001469F6"/>
    <w:rsid w:val="001471B8"/>
    <w:rsid w:val="00147B01"/>
    <w:rsid w:val="00147F8B"/>
    <w:rsid w:val="00150F03"/>
    <w:rsid w:val="001515BB"/>
    <w:rsid w:val="00151CFD"/>
    <w:rsid w:val="00152207"/>
    <w:rsid w:val="00153E79"/>
    <w:rsid w:val="00155591"/>
    <w:rsid w:val="001565D2"/>
    <w:rsid w:val="00156CD6"/>
    <w:rsid w:val="00156E0C"/>
    <w:rsid w:val="00157520"/>
    <w:rsid w:val="00161740"/>
    <w:rsid w:val="0016336D"/>
    <w:rsid w:val="00163E90"/>
    <w:rsid w:val="00172085"/>
    <w:rsid w:val="00173853"/>
    <w:rsid w:val="0017552C"/>
    <w:rsid w:val="00176DF8"/>
    <w:rsid w:val="00177A1E"/>
    <w:rsid w:val="00177D70"/>
    <w:rsid w:val="00182B5C"/>
    <w:rsid w:val="00182CE0"/>
    <w:rsid w:val="001843E2"/>
    <w:rsid w:val="0018450B"/>
    <w:rsid w:val="00184E43"/>
    <w:rsid w:val="00185C7D"/>
    <w:rsid w:val="001861B8"/>
    <w:rsid w:val="00187065"/>
    <w:rsid w:val="00187182"/>
    <w:rsid w:val="001902FE"/>
    <w:rsid w:val="001916B1"/>
    <w:rsid w:val="00192524"/>
    <w:rsid w:val="001927A4"/>
    <w:rsid w:val="00192881"/>
    <w:rsid w:val="00192C14"/>
    <w:rsid w:val="00193E53"/>
    <w:rsid w:val="001941DE"/>
    <w:rsid w:val="00195153"/>
    <w:rsid w:val="001958C8"/>
    <w:rsid w:val="001A0D56"/>
    <w:rsid w:val="001A2967"/>
    <w:rsid w:val="001A335E"/>
    <w:rsid w:val="001A3671"/>
    <w:rsid w:val="001A526C"/>
    <w:rsid w:val="001A6370"/>
    <w:rsid w:val="001A6B79"/>
    <w:rsid w:val="001A7BB9"/>
    <w:rsid w:val="001A7F60"/>
    <w:rsid w:val="001B0219"/>
    <w:rsid w:val="001B02D7"/>
    <w:rsid w:val="001B0632"/>
    <w:rsid w:val="001B0AF1"/>
    <w:rsid w:val="001B160F"/>
    <w:rsid w:val="001B284A"/>
    <w:rsid w:val="001B346B"/>
    <w:rsid w:val="001B6DA7"/>
    <w:rsid w:val="001B74D9"/>
    <w:rsid w:val="001B77A2"/>
    <w:rsid w:val="001C154D"/>
    <w:rsid w:val="001C1E47"/>
    <w:rsid w:val="001C2B11"/>
    <w:rsid w:val="001C3276"/>
    <w:rsid w:val="001C44E8"/>
    <w:rsid w:val="001C560E"/>
    <w:rsid w:val="001C58C2"/>
    <w:rsid w:val="001C620B"/>
    <w:rsid w:val="001C737E"/>
    <w:rsid w:val="001D02D6"/>
    <w:rsid w:val="001D1819"/>
    <w:rsid w:val="001D1A16"/>
    <w:rsid w:val="001D5B32"/>
    <w:rsid w:val="001D6530"/>
    <w:rsid w:val="001D681F"/>
    <w:rsid w:val="001D6D59"/>
    <w:rsid w:val="001D7428"/>
    <w:rsid w:val="001D7613"/>
    <w:rsid w:val="001E0EFF"/>
    <w:rsid w:val="001E1323"/>
    <w:rsid w:val="001E1B35"/>
    <w:rsid w:val="001E1C5D"/>
    <w:rsid w:val="001E1FD1"/>
    <w:rsid w:val="001E2D62"/>
    <w:rsid w:val="001E2FBB"/>
    <w:rsid w:val="001E4F8A"/>
    <w:rsid w:val="001E5ABD"/>
    <w:rsid w:val="001E5C43"/>
    <w:rsid w:val="001E5FE4"/>
    <w:rsid w:val="001E71BA"/>
    <w:rsid w:val="001F0B51"/>
    <w:rsid w:val="001F1D8A"/>
    <w:rsid w:val="001F359C"/>
    <w:rsid w:val="001F3750"/>
    <w:rsid w:val="001F40E1"/>
    <w:rsid w:val="001F58B8"/>
    <w:rsid w:val="00200D27"/>
    <w:rsid w:val="002011AC"/>
    <w:rsid w:val="00201EB9"/>
    <w:rsid w:val="00202BD7"/>
    <w:rsid w:val="0020406A"/>
    <w:rsid w:val="002048CC"/>
    <w:rsid w:val="0020506D"/>
    <w:rsid w:val="00205391"/>
    <w:rsid w:val="00205A99"/>
    <w:rsid w:val="00205B95"/>
    <w:rsid w:val="0020733F"/>
    <w:rsid w:val="00207B94"/>
    <w:rsid w:val="00210157"/>
    <w:rsid w:val="00210E15"/>
    <w:rsid w:val="00211626"/>
    <w:rsid w:val="00211F5E"/>
    <w:rsid w:val="002120BB"/>
    <w:rsid w:val="0021277A"/>
    <w:rsid w:val="00212BC7"/>
    <w:rsid w:val="00213634"/>
    <w:rsid w:val="0021380C"/>
    <w:rsid w:val="00213FCA"/>
    <w:rsid w:val="00215279"/>
    <w:rsid w:val="002164AE"/>
    <w:rsid w:val="00216621"/>
    <w:rsid w:val="00216B0E"/>
    <w:rsid w:val="00217433"/>
    <w:rsid w:val="00217437"/>
    <w:rsid w:val="0022017B"/>
    <w:rsid w:val="00222350"/>
    <w:rsid w:val="002231D3"/>
    <w:rsid w:val="002235F3"/>
    <w:rsid w:val="002247E7"/>
    <w:rsid w:val="00224829"/>
    <w:rsid w:val="0022537C"/>
    <w:rsid w:val="00225433"/>
    <w:rsid w:val="0022685E"/>
    <w:rsid w:val="00227868"/>
    <w:rsid w:val="00230915"/>
    <w:rsid w:val="00230D53"/>
    <w:rsid w:val="0023191B"/>
    <w:rsid w:val="002337B2"/>
    <w:rsid w:val="00233C64"/>
    <w:rsid w:val="00233D5E"/>
    <w:rsid w:val="002404BA"/>
    <w:rsid w:val="002427F7"/>
    <w:rsid w:val="00242D31"/>
    <w:rsid w:val="00243015"/>
    <w:rsid w:val="0024338F"/>
    <w:rsid w:val="002511A8"/>
    <w:rsid w:val="002511E9"/>
    <w:rsid w:val="002512E8"/>
    <w:rsid w:val="00251FA2"/>
    <w:rsid w:val="002523FB"/>
    <w:rsid w:val="002529E8"/>
    <w:rsid w:val="00253249"/>
    <w:rsid w:val="002536CB"/>
    <w:rsid w:val="0025526A"/>
    <w:rsid w:val="00255EA4"/>
    <w:rsid w:val="00260A89"/>
    <w:rsid w:val="00260C9F"/>
    <w:rsid w:val="00260DD2"/>
    <w:rsid w:val="00261A11"/>
    <w:rsid w:val="00262A51"/>
    <w:rsid w:val="00262DDC"/>
    <w:rsid w:val="002648FC"/>
    <w:rsid w:val="00265140"/>
    <w:rsid w:val="00265778"/>
    <w:rsid w:val="002658D0"/>
    <w:rsid w:val="002679E5"/>
    <w:rsid w:val="00270695"/>
    <w:rsid w:val="002707B8"/>
    <w:rsid w:val="0027084D"/>
    <w:rsid w:val="002725BC"/>
    <w:rsid w:val="00272EFD"/>
    <w:rsid w:val="002731DE"/>
    <w:rsid w:val="002735F9"/>
    <w:rsid w:val="00273CD1"/>
    <w:rsid w:val="00274463"/>
    <w:rsid w:val="0027502F"/>
    <w:rsid w:val="00277103"/>
    <w:rsid w:val="0027779C"/>
    <w:rsid w:val="00277C24"/>
    <w:rsid w:val="0028166F"/>
    <w:rsid w:val="00281733"/>
    <w:rsid w:val="0028174D"/>
    <w:rsid w:val="00281A30"/>
    <w:rsid w:val="002823D9"/>
    <w:rsid w:val="002831C6"/>
    <w:rsid w:val="00283FF9"/>
    <w:rsid w:val="002870BB"/>
    <w:rsid w:val="00290B29"/>
    <w:rsid w:val="00292313"/>
    <w:rsid w:val="00292AAE"/>
    <w:rsid w:val="00294168"/>
    <w:rsid w:val="00294245"/>
    <w:rsid w:val="002948AE"/>
    <w:rsid w:val="00294FD0"/>
    <w:rsid w:val="002954DC"/>
    <w:rsid w:val="0029647F"/>
    <w:rsid w:val="002966F6"/>
    <w:rsid w:val="00296B1E"/>
    <w:rsid w:val="00297ABC"/>
    <w:rsid w:val="002A213F"/>
    <w:rsid w:val="002A2421"/>
    <w:rsid w:val="002A35CF"/>
    <w:rsid w:val="002A39F7"/>
    <w:rsid w:val="002A40A1"/>
    <w:rsid w:val="002A4594"/>
    <w:rsid w:val="002A4934"/>
    <w:rsid w:val="002A4EA5"/>
    <w:rsid w:val="002A50A7"/>
    <w:rsid w:val="002A5181"/>
    <w:rsid w:val="002A65C4"/>
    <w:rsid w:val="002A6CAA"/>
    <w:rsid w:val="002A6EA8"/>
    <w:rsid w:val="002B0001"/>
    <w:rsid w:val="002B020A"/>
    <w:rsid w:val="002B228C"/>
    <w:rsid w:val="002B334F"/>
    <w:rsid w:val="002B3E37"/>
    <w:rsid w:val="002B4100"/>
    <w:rsid w:val="002B4250"/>
    <w:rsid w:val="002B429D"/>
    <w:rsid w:val="002B43F3"/>
    <w:rsid w:val="002B4830"/>
    <w:rsid w:val="002B4F49"/>
    <w:rsid w:val="002B5D30"/>
    <w:rsid w:val="002B63FA"/>
    <w:rsid w:val="002B7D36"/>
    <w:rsid w:val="002C1C0A"/>
    <w:rsid w:val="002C1E78"/>
    <w:rsid w:val="002C21A1"/>
    <w:rsid w:val="002C4E8C"/>
    <w:rsid w:val="002C65D1"/>
    <w:rsid w:val="002C7E3D"/>
    <w:rsid w:val="002D0261"/>
    <w:rsid w:val="002D1D1E"/>
    <w:rsid w:val="002D407E"/>
    <w:rsid w:val="002D473A"/>
    <w:rsid w:val="002D4BEE"/>
    <w:rsid w:val="002D4F37"/>
    <w:rsid w:val="002D54B7"/>
    <w:rsid w:val="002D61CE"/>
    <w:rsid w:val="002D6E03"/>
    <w:rsid w:val="002E030B"/>
    <w:rsid w:val="002E17EC"/>
    <w:rsid w:val="002E1FD2"/>
    <w:rsid w:val="002E211F"/>
    <w:rsid w:val="002E2C9B"/>
    <w:rsid w:val="002E372C"/>
    <w:rsid w:val="002E397D"/>
    <w:rsid w:val="002E43B7"/>
    <w:rsid w:val="002E4405"/>
    <w:rsid w:val="002E4FDC"/>
    <w:rsid w:val="002E50F9"/>
    <w:rsid w:val="002E516E"/>
    <w:rsid w:val="002E580D"/>
    <w:rsid w:val="002E5F0C"/>
    <w:rsid w:val="002E6386"/>
    <w:rsid w:val="002E6979"/>
    <w:rsid w:val="002E6E73"/>
    <w:rsid w:val="002E7365"/>
    <w:rsid w:val="002E799C"/>
    <w:rsid w:val="002F0FB7"/>
    <w:rsid w:val="002F140C"/>
    <w:rsid w:val="002F313C"/>
    <w:rsid w:val="002F4625"/>
    <w:rsid w:val="002F4FA0"/>
    <w:rsid w:val="002F5DBD"/>
    <w:rsid w:val="002F5F07"/>
    <w:rsid w:val="002F78C9"/>
    <w:rsid w:val="002F7F47"/>
    <w:rsid w:val="00300760"/>
    <w:rsid w:val="0030105C"/>
    <w:rsid w:val="00301723"/>
    <w:rsid w:val="00302AA0"/>
    <w:rsid w:val="00304846"/>
    <w:rsid w:val="00304930"/>
    <w:rsid w:val="0030523E"/>
    <w:rsid w:val="00306137"/>
    <w:rsid w:val="00312D97"/>
    <w:rsid w:val="00312FDE"/>
    <w:rsid w:val="0031493F"/>
    <w:rsid w:val="0031502B"/>
    <w:rsid w:val="00315339"/>
    <w:rsid w:val="00315E58"/>
    <w:rsid w:val="00316DD5"/>
    <w:rsid w:val="00317F6C"/>
    <w:rsid w:val="0032083E"/>
    <w:rsid w:val="00320A32"/>
    <w:rsid w:val="00322518"/>
    <w:rsid w:val="00322C51"/>
    <w:rsid w:val="003235C8"/>
    <w:rsid w:val="003249AC"/>
    <w:rsid w:val="0032597C"/>
    <w:rsid w:val="00327926"/>
    <w:rsid w:val="00327E12"/>
    <w:rsid w:val="003306BF"/>
    <w:rsid w:val="00331F49"/>
    <w:rsid w:val="00333020"/>
    <w:rsid w:val="00334155"/>
    <w:rsid w:val="0033567A"/>
    <w:rsid w:val="00336613"/>
    <w:rsid w:val="00336FF6"/>
    <w:rsid w:val="0033715B"/>
    <w:rsid w:val="003400CE"/>
    <w:rsid w:val="00340ED2"/>
    <w:rsid w:val="00341DD1"/>
    <w:rsid w:val="00343604"/>
    <w:rsid w:val="00344186"/>
    <w:rsid w:val="00344D3F"/>
    <w:rsid w:val="0034504D"/>
    <w:rsid w:val="00345174"/>
    <w:rsid w:val="0034562A"/>
    <w:rsid w:val="00345A16"/>
    <w:rsid w:val="003478A8"/>
    <w:rsid w:val="00351ABE"/>
    <w:rsid w:val="00351DAD"/>
    <w:rsid w:val="00352839"/>
    <w:rsid w:val="0035483B"/>
    <w:rsid w:val="0035620E"/>
    <w:rsid w:val="0035765D"/>
    <w:rsid w:val="00357AAD"/>
    <w:rsid w:val="00360CDE"/>
    <w:rsid w:val="003625AF"/>
    <w:rsid w:val="00363176"/>
    <w:rsid w:val="00363AF6"/>
    <w:rsid w:val="0036420B"/>
    <w:rsid w:val="00366692"/>
    <w:rsid w:val="00366FCA"/>
    <w:rsid w:val="003675BA"/>
    <w:rsid w:val="00371330"/>
    <w:rsid w:val="00373067"/>
    <w:rsid w:val="00373624"/>
    <w:rsid w:val="00374643"/>
    <w:rsid w:val="00374E61"/>
    <w:rsid w:val="0037554E"/>
    <w:rsid w:val="003759CE"/>
    <w:rsid w:val="00375AFE"/>
    <w:rsid w:val="00380246"/>
    <w:rsid w:val="0038038C"/>
    <w:rsid w:val="00380DBE"/>
    <w:rsid w:val="003810F0"/>
    <w:rsid w:val="00381572"/>
    <w:rsid w:val="003822A8"/>
    <w:rsid w:val="00382632"/>
    <w:rsid w:val="00383151"/>
    <w:rsid w:val="00383223"/>
    <w:rsid w:val="0038386E"/>
    <w:rsid w:val="00383BE2"/>
    <w:rsid w:val="00384D3F"/>
    <w:rsid w:val="003861AB"/>
    <w:rsid w:val="0038622A"/>
    <w:rsid w:val="00386A92"/>
    <w:rsid w:val="00387B03"/>
    <w:rsid w:val="00387C8A"/>
    <w:rsid w:val="0039036E"/>
    <w:rsid w:val="00391D6F"/>
    <w:rsid w:val="00392C0A"/>
    <w:rsid w:val="0039497C"/>
    <w:rsid w:val="00395A18"/>
    <w:rsid w:val="0039632A"/>
    <w:rsid w:val="00396848"/>
    <w:rsid w:val="00396CFB"/>
    <w:rsid w:val="003A15AE"/>
    <w:rsid w:val="003A1E5E"/>
    <w:rsid w:val="003A1F58"/>
    <w:rsid w:val="003A20DA"/>
    <w:rsid w:val="003A2119"/>
    <w:rsid w:val="003A4F3E"/>
    <w:rsid w:val="003A53CD"/>
    <w:rsid w:val="003A6647"/>
    <w:rsid w:val="003A6DB0"/>
    <w:rsid w:val="003A79DB"/>
    <w:rsid w:val="003B022E"/>
    <w:rsid w:val="003B2977"/>
    <w:rsid w:val="003B3314"/>
    <w:rsid w:val="003B3D85"/>
    <w:rsid w:val="003B3DD0"/>
    <w:rsid w:val="003B572B"/>
    <w:rsid w:val="003B5B99"/>
    <w:rsid w:val="003B699C"/>
    <w:rsid w:val="003B7931"/>
    <w:rsid w:val="003C24E4"/>
    <w:rsid w:val="003C25AC"/>
    <w:rsid w:val="003C45C1"/>
    <w:rsid w:val="003C4EE8"/>
    <w:rsid w:val="003C553A"/>
    <w:rsid w:val="003C5C8B"/>
    <w:rsid w:val="003C664A"/>
    <w:rsid w:val="003C70C3"/>
    <w:rsid w:val="003C7DC1"/>
    <w:rsid w:val="003D0C21"/>
    <w:rsid w:val="003D248B"/>
    <w:rsid w:val="003D2F9B"/>
    <w:rsid w:val="003D4ED4"/>
    <w:rsid w:val="003D53B8"/>
    <w:rsid w:val="003D5D7B"/>
    <w:rsid w:val="003D6D33"/>
    <w:rsid w:val="003D750D"/>
    <w:rsid w:val="003E01A1"/>
    <w:rsid w:val="003E1251"/>
    <w:rsid w:val="003E2170"/>
    <w:rsid w:val="003E375A"/>
    <w:rsid w:val="003E4294"/>
    <w:rsid w:val="003E42BD"/>
    <w:rsid w:val="003E4B5E"/>
    <w:rsid w:val="003E6165"/>
    <w:rsid w:val="003E6A8F"/>
    <w:rsid w:val="003E6E8B"/>
    <w:rsid w:val="003E7A6E"/>
    <w:rsid w:val="003E7AEA"/>
    <w:rsid w:val="003F016A"/>
    <w:rsid w:val="003F0994"/>
    <w:rsid w:val="003F0FB1"/>
    <w:rsid w:val="003F1E47"/>
    <w:rsid w:val="003F2A05"/>
    <w:rsid w:val="003F2C9D"/>
    <w:rsid w:val="003F2E2D"/>
    <w:rsid w:val="003F368C"/>
    <w:rsid w:val="003F46FA"/>
    <w:rsid w:val="003F6C61"/>
    <w:rsid w:val="003F6EE5"/>
    <w:rsid w:val="003F7844"/>
    <w:rsid w:val="003F78C1"/>
    <w:rsid w:val="003F7A1E"/>
    <w:rsid w:val="003F7BE0"/>
    <w:rsid w:val="004007AC"/>
    <w:rsid w:val="0040117E"/>
    <w:rsid w:val="00401AD3"/>
    <w:rsid w:val="00401DF0"/>
    <w:rsid w:val="0040227E"/>
    <w:rsid w:val="00402DA2"/>
    <w:rsid w:val="00403973"/>
    <w:rsid w:val="00403ADC"/>
    <w:rsid w:val="0040424A"/>
    <w:rsid w:val="004079EB"/>
    <w:rsid w:val="004103CD"/>
    <w:rsid w:val="00410A18"/>
    <w:rsid w:val="00410CBE"/>
    <w:rsid w:val="004119E8"/>
    <w:rsid w:val="00411E44"/>
    <w:rsid w:val="004134D7"/>
    <w:rsid w:val="004138A5"/>
    <w:rsid w:val="00414885"/>
    <w:rsid w:val="004148C0"/>
    <w:rsid w:val="00414F98"/>
    <w:rsid w:val="0041560D"/>
    <w:rsid w:val="00416112"/>
    <w:rsid w:val="0041630E"/>
    <w:rsid w:val="00420CEA"/>
    <w:rsid w:val="00422070"/>
    <w:rsid w:val="00423164"/>
    <w:rsid w:val="0042395F"/>
    <w:rsid w:val="0042568D"/>
    <w:rsid w:val="00425EE1"/>
    <w:rsid w:val="00426918"/>
    <w:rsid w:val="0042694A"/>
    <w:rsid w:val="00430741"/>
    <w:rsid w:val="00431115"/>
    <w:rsid w:val="00431F6C"/>
    <w:rsid w:val="00433468"/>
    <w:rsid w:val="00435253"/>
    <w:rsid w:val="004359BB"/>
    <w:rsid w:val="00440DF1"/>
    <w:rsid w:val="004419F6"/>
    <w:rsid w:val="00443054"/>
    <w:rsid w:val="00443D46"/>
    <w:rsid w:val="00445851"/>
    <w:rsid w:val="00446455"/>
    <w:rsid w:val="0045049B"/>
    <w:rsid w:val="004508E1"/>
    <w:rsid w:val="00451D3D"/>
    <w:rsid w:val="00451DA6"/>
    <w:rsid w:val="00454277"/>
    <w:rsid w:val="004548B9"/>
    <w:rsid w:val="00454DE0"/>
    <w:rsid w:val="00454FE1"/>
    <w:rsid w:val="00456460"/>
    <w:rsid w:val="00456A58"/>
    <w:rsid w:val="00456AB3"/>
    <w:rsid w:val="00456C45"/>
    <w:rsid w:val="00457149"/>
    <w:rsid w:val="0046047E"/>
    <w:rsid w:val="004604D2"/>
    <w:rsid w:val="00461AEB"/>
    <w:rsid w:val="00464590"/>
    <w:rsid w:val="00464C75"/>
    <w:rsid w:val="004658D1"/>
    <w:rsid w:val="00466B8D"/>
    <w:rsid w:val="0046741E"/>
    <w:rsid w:val="00470794"/>
    <w:rsid w:val="00471DCC"/>
    <w:rsid w:val="004729E0"/>
    <w:rsid w:val="00473850"/>
    <w:rsid w:val="00473A4D"/>
    <w:rsid w:val="00473DD7"/>
    <w:rsid w:val="00473E98"/>
    <w:rsid w:val="004740E8"/>
    <w:rsid w:val="00474125"/>
    <w:rsid w:val="004745DA"/>
    <w:rsid w:val="00474896"/>
    <w:rsid w:val="00475E79"/>
    <w:rsid w:val="00476C08"/>
    <w:rsid w:val="0047789A"/>
    <w:rsid w:val="00480BEA"/>
    <w:rsid w:val="004811CE"/>
    <w:rsid w:val="00483334"/>
    <w:rsid w:val="004834B7"/>
    <w:rsid w:val="00483779"/>
    <w:rsid w:val="0048380E"/>
    <w:rsid w:val="00485A61"/>
    <w:rsid w:val="00486665"/>
    <w:rsid w:val="0048668C"/>
    <w:rsid w:val="00486971"/>
    <w:rsid w:val="00486BE3"/>
    <w:rsid w:val="00487D91"/>
    <w:rsid w:val="00490395"/>
    <w:rsid w:val="0049137F"/>
    <w:rsid w:val="00491ECF"/>
    <w:rsid w:val="00491F9A"/>
    <w:rsid w:val="00492379"/>
    <w:rsid w:val="004923EB"/>
    <w:rsid w:val="0049240B"/>
    <w:rsid w:val="0049342D"/>
    <w:rsid w:val="0049420B"/>
    <w:rsid w:val="0049474F"/>
    <w:rsid w:val="004954D4"/>
    <w:rsid w:val="00496760"/>
    <w:rsid w:val="00497316"/>
    <w:rsid w:val="00497C0D"/>
    <w:rsid w:val="00497CF7"/>
    <w:rsid w:val="004A17E0"/>
    <w:rsid w:val="004A2C57"/>
    <w:rsid w:val="004A515D"/>
    <w:rsid w:val="004A57F6"/>
    <w:rsid w:val="004A5A2F"/>
    <w:rsid w:val="004A613F"/>
    <w:rsid w:val="004B0D97"/>
    <w:rsid w:val="004B106A"/>
    <w:rsid w:val="004B1B25"/>
    <w:rsid w:val="004B31ED"/>
    <w:rsid w:val="004B394F"/>
    <w:rsid w:val="004B3D81"/>
    <w:rsid w:val="004B52F6"/>
    <w:rsid w:val="004B5F49"/>
    <w:rsid w:val="004C1432"/>
    <w:rsid w:val="004C2D6B"/>
    <w:rsid w:val="004C3ECD"/>
    <w:rsid w:val="004C4576"/>
    <w:rsid w:val="004C4897"/>
    <w:rsid w:val="004C5E86"/>
    <w:rsid w:val="004C641B"/>
    <w:rsid w:val="004C7081"/>
    <w:rsid w:val="004C7EFC"/>
    <w:rsid w:val="004D0505"/>
    <w:rsid w:val="004D05C8"/>
    <w:rsid w:val="004D0B18"/>
    <w:rsid w:val="004D0DD0"/>
    <w:rsid w:val="004D194A"/>
    <w:rsid w:val="004D2808"/>
    <w:rsid w:val="004D4A2C"/>
    <w:rsid w:val="004D68ED"/>
    <w:rsid w:val="004D7611"/>
    <w:rsid w:val="004D7EE4"/>
    <w:rsid w:val="004E11D8"/>
    <w:rsid w:val="004E22AA"/>
    <w:rsid w:val="004E3225"/>
    <w:rsid w:val="004E3AE9"/>
    <w:rsid w:val="004E40FD"/>
    <w:rsid w:val="004E49E1"/>
    <w:rsid w:val="004E4C79"/>
    <w:rsid w:val="004E505A"/>
    <w:rsid w:val="004E58BC"/>
    <w:rsid w:val="004E6043"/>
    <w:rsid w:val="004E72DE"/>
    <w:rsid w:val="004E7417"/>
    <w:rsid w:val="004E7689"/>
    <w:rsid w:val="004F1095"/>
    <w:rsid w:val="004F3A7E"/>
    <w:rsid w:val="004F4B9A"/>
    <w:rsid w:val="004F4D6A"/>
    <w:rsid w:val="004F5149"/>
    <w:rsid w:val="004F5900"/>
    <w:rsid w:val="004F5FF4"/>
    <w:rsid w:val="004F6325"/>
    <w:rsid w:val="004F706D"/>
    <w:rsid w:val="004F7483"/>
    <w:rsid w:val="004F7758"/>
    <w:rsid w:val="005005A2"/>
    <w:rsid w:val="00500676"/>
    <w:rsid w:val="0050077F"/>
    <w:rsid w:val="00500DEF"/>
    <w:rsid w:val="00501CB0"/>
    <w:rsid w:val="00502D50"/>
    <w:rsid w:val="00510256"/>
    <w:rsid w:val="0051107A"/>
    <w:rsid w:val="00511BBB"/>
    <w:rsid w:val="00512339"/>
    <w:rsid w:val="005128CD"/>
    <w:rsid w:val="005129C3"/>
    <w:rsid w:val="005133E4"/>
    <w:rsid w:val="00513906"/>
    <w:rsid w:val="00513BF3"/>
    <w:rsid w:val="0051489E"/>
    <w:rsid w:val="00514AFF"/>
    <w:rsid w:val="00515979"/>
    <w:rsid w:val="00516517"/>
    <w:rsid w:val="005175EF"/>
    <w:rsid w:val="005179A1"/>
    <w:rsid w:val="00521191"/>
    <w:rsid w:val="005218C3"/>
    <w:rsid w:val="00521951"/>
    <w:rsid w:val="00522159"/>
    <w:rsid w:val="0052483D"/>
    <w:rsid w:val="00524B0A"/>
    <w:rsid w:val="00524F0C"/>
    <w:rsid w:val="00525623"/>
    <w:rsid w:val="00525FCA"/>
    <w:rsid w:val="0052604A"/>
    <w:rsid w:val="00526534"/>
    <w:rsid w:val="00527D5F"/>
    <w:rsid w:val="005301E7"/>
    <w:rsid w:val="00531978"/>
    <w:rsid w:val="00535127"/>
    <w:rsid w:val="005353EA"/>
    <w:rsid w:val="005367D5"/>
    <w:rsid w:val="00536FF5"/>
    <w:rsid w:val="00537E35"/>
    <w:rsid w:val="00540A1E"/>
    <w:rsid w:val="00540D4C"/>
    <w:rsid w:val="00541BE6"/>
    <w:rsid w:val="0054276B"/>
    <w:rsid w:val="00542FFC"/>
    <w:rsid w:val="00543483"/>
    <w:rsid w:val="00543D20"/>
    <w:rsid w:val="00543F37"/>
    <w:rsid w:val="00545AD4"/>
    <w:rsid w:val="005461C0"/>
    <w:rsid w:val="00547B1C"/>
    <w:rsid w:val="005504BC"/>
    <w:rsid w:val="00551791"/>
    <w:rsid w:val="00552EB3"/>
    <w:rsid w:val="00553324"/>
    <w:rsid w:val="00553433"/>
    <w:rsid w:val="005535B0"/>
    <w:rsid w:val="00553AA5"/>
    <w:rsid w:val="00554025"/>
    <w:rsid w:val="005543E0"/>
    <w:rsid w:val="00555259"/>
    <w:rsid w:val="005556B2"/>
    <w:rsid w:val="005574E0"/>
    <w:rsid w:val="00561459"/>
    <w:rsid w:val="00561B12"/>
    <w:rsid w:val="0056204C"/>
    <w:rsid w:val="00562433"/>
    <w:rsid w:val="00562F0E"/>
    <w:rsid w:val="00563D5B"/>
    <w:rsid w:val="005647C8"/>
    <w:rsid w:val="00565D72"/>
    <w:rsid w:val="00565F80"/>
    <w:rsid w:val="005660FD"/>
    <w:rsid w:val="005672B5"/>
    <w:rsid w:val="00567430"/>
    <w:rsid w:val="005700FC"/>
    <w:rsid w:val="00571660"/>
    <w:rsid w:val="0057283B"/>
    <w:rsid w:val="00575B51"/>
    <w:rsid w:val="00576178"/>
    <w:rsid w:val="0057789C"/>
    <w:rsid w:val="00581426"/>
    <w:rsid w:val="005819C5"/>
    <w:rsid w:val="005824E9"/>
    <w:rsid w:val="005837BD"/>
    <w:rsid w:val="0058464C"/>
    <w:rsid w:val="00584756"/>
    <w:rsid w:val="0058559B"/>
    <w:rsid w:val="005860FD"/>
    <w:rsid w:val="0058745F"/>
    <w:rsid w:val="00587EE4"/>
    <w:rsid w:val="00590091"/>
    <w:rsid w:val="0059044C"/>
    <w:rsid w:val="0059072C"/>
    <w:rsid w:val="005915D6"/>
    <w:rsid w:val="00591A40"/>
    <w:rsid w:val="00591E11"/>
    <w:rsid w:val="00591F96"/>
    <w:rsid w:val="00594F37"/>
    <w:rsid w:val="00597441"/>
    <w:rsid w:val="00597A1C"/>
    <w:rsid w:val="005A0888"/>
    <w:rsid w:val="005A0C35"/>
    <w:rsid w:val="005A1AFE"/>
    <w:rsid w:val="005A1D4C"/>
    <w:rsid w:val="005A2F63"/>
    <w:rsid w:val="005A2F6F"/>
    <w:rsid w:val="005A43AA"/>
    <w:rsid w:val="005A573D"/>
    <w:rsid w:val="005A5861"/>
    <w:rsid w:val="005A59F4"/>
    <w:rsid w:val="005A5B9A"/>
    <w:rsid w:val="005A5C27"/>
    <w:rsid w:val="005A5EEE"/>
    <w:rsid w:val="005A6B9B"/>
    <w:rsid w:val="005A6CF1"/>
    <w:rsid w:val="005A7708"/>
    <w:rsid w:val="005B007E"/>
    <w:rsid w:val="005B0F17"/>
    <w:rsid w:val="005B368D"/>
    <w:rsid w:val="005B3E85"/>
    <w:rsid w:val="005B45EA"/>
    <w:rsid w:val="005B50B8"/>
    <w:rsid w:val="005B5B2D"/>
    <w:rsid w:val="005B5BFC"/>
    <w:rsid w:val="005B6E86"/>
    <w:rsid w:val="005B7C09"/>
    <w:rsid w:val="005C138B"/>
    <w:rsid w:val="005C1BFC"/>
    <w:rsid w:val="005C3F96"/>
    <w:rsid w:val="005C489D"/>
    <w:rsid w:val="005C59CE"/>
    <w:rsid w:val="005C5F99"/>
    <w:rsid w:val="005C6529"/>
    <w:rsid w:val="005D027D"/>
    <w:rsid w:val="005D1B1B"/>
    <w:rsid w:val="005D1F76"/>
    <w:rsid w:val="005D1FFE"/>
    <w:rsid w:val="005D25EC"/>
    <w:rsid w:val="005D2ABC"/>
    <w:rsid w:val="005D2D13"/>
    <w:rsid w:val="005D3366"/>
    <w:rsid w:val="005D5383"/>
    <w:rsid w:val="005D54CA"/>
    <w:rsid w:val="005D5717"/>
    <w:rsid w:val="005D5CD7"/>
    <w:rsid w:val="005D6827"/>
    <w:rsid w:val="005D7D4E"/>
    <w:rsid w:val="005D7FB3"/>
    <w:rsid w:val="005E038B"/>
    <w:rsid w:val="005E1543"/>
    <w:rsid w:val="005E18EB"/>
    <w:rsid w:val="005E1D1F"/>
    <w:rsid w:val="005E20BF"/>
    <w:rsid w:val="005E2179"/>
    <w:rsid w:val="005E2647"/>
    <w:rsid w:val="005E28CB"/>
    <w:rsid w:val="005E3D80"/>
    <w:rsid w:val="005E3EFB"/>
    <w:rsid w:val="005E56E6"/>
    <w:rsid w:val="005E61ED"/>
    <w:rsid w:val="005F128A"/>
    <w:rsid w:val="005F1373"/>
    <w:rsid w:val="005F1742"/>
    <w:rsid w:val="005F2EB5"/>
    <w:rsid w:val="005F4085"/>
    <w:rsid w:val="005F52A6"/>
    <w:rsid w:val="005F70AA"/>
    <w:rsid w:val="005F77E4"/>
    <w:rsid w:val="00600B02"/>
    <w:rsid w:val="00600D22"/>
    <w:rsid w:val="00601444"/>
    <w:rsid w:val="006025A4"/>
    <w:rsid w:val="00602EF3"/>
    <w:rsid w:val="006036FD"/>
    <w:rsid w:val="006049B0"/>
    <w:rsid w:val="00606905"/>
    <w:rsid w:val="006109F6"/>
    <w:rsid w:val="0061177B"/>
    <w:rsid w:val="006124DB"/>
    <w:rsid w:val="0061276B"/>
    <w:rsid w:val="0061362E"/>
    <w:rsid w:val="00615341"/>
    <w:rsid w:val="006160BF"/>
    <w:rsid w:val="0061616D"/>
    <w:rsid w:val="006163AE"/>
    <w:rsid w:val="00616ADA"/>
    <w:rsid w:val="006175A7"/>
    <w:rsid w:val="00621052"/>
    <w:rsid w:val="006220FA"/>
    <w:rsid w:val="00622432"/>
    <w:rsid w:val="006235AE"/>
    <w:rsid w:val="006239C7"/>
    <w:rsid w:val="00623BE6"/>
    <w:rsid w:val="00623F51"/>
    <w:rsid w:val="0062454B"/>
    <w:rsid w:val="006252C6"/>
    <w:rsid w:val="0062576C"/>
    <w:rsid w:val="00626033"/>
    <w:rsid w:val="00630505"/>
    <w:rsid w:val="00630922"/>
    <w:rsid w:val="00630E11"/>
    <w:rsid w:val="00631143"/>
    <w:rsid w:val="00631459"/>
    <w:rsid w:val="00631C17"/>
    <w:rsid w:val="0063248E"/>
    <w:rsid w:val="006324CB"/>
    <w:rsid w:val="00632CF0"/>
    <w:rsid w:val="00632E7D"/>
    <w:rsid w:val="006331B0"/>
    <w:rsid w:val="0063415D"/>
    <w:rsid w:val="006343C7"/>
    <w:rsid w:val="00634539"/>
    <w:rsid w:val="006345B2"/>
    <w:rsid w:val="0063489B"/>
    <w:rsid w:val="006350C7"/>
    <w:rsid w:val="006360DB"/>
    <w:rsid w:val="00636B85"/>
    <w:rsid w:val="006375CA"/>
    <w:rsid w:val="00641172"/>
    <w:rsid w:val="00643DC9"/>
    <w:rsid w:val="0064402A"/>
    <w:rsid w:val="006460B8"/>
    <w:rsid w:val="0064646B"/>
    <w:rsid w:val="0064731F"/>
    <w:rsid w:val="006479EF"/>
    <w:rsid w:val="006514A3"/>
    <w:rsid w:val="006529AA"/>
    <w:rsid w:val="00654707"/>
    <w:rsid w:val="0065591D"/>
    <w:rsid w:val="00656378"/>
    <w:rsid w:val="00657714"/>
    <w:rsid w:val="0066010E"/>
    <w:rsid w:val="00660D00"/>
    <w:rsid w:val="006613A7"/>
    <w:rsid w:val="00664B47"/>
    <w:rsid w:val="00664D23"/>
    <w:rsid w:val="0066658E"/>
    <w:rsid w:val="006668D8"/>
    <w:rsid w:val="00666D5A"/>
    <w:rsid w:val="006672E3"/>
    <w:rsid w:val="00667656"/>
    <w:rsid w:val="00670051"/>
    <w:rsid w:val="00670523"/>
    <w:rsid w:val="00670587"/>
    <w:rsid w:val="00672D7A"/>
    <w:rsid w:val="00672E10"/>
    <w:rsid w:val="00672F6E"/>
    <w:rsid w:val="0067419C"/>
    <w:rsid w:val="00675794"/>
    <w:rsid w:val="006765F9"/>
    <w:rsid w:val="00680333"/>
    <w:rsid w:val="00680E08"/>
    <w:rsid w:val="00681DA9"/>
    <w:rsid w:val="006828FC"/>
    <w:rsid w:val="00683B4B"/>
    <w:rsid w:val="00683C7D"/>
    <w:rsid w:val="006856D8"/>
    <w:rsid w:val="00686D1E"/>
    <w:rsid w:val="00686E4E"/>
    <w:rsid w:val="00687F36"/>
    <w:rsid w:val="006909D1"/>
    <w:rsid w:val="00690C0D"/>
    <w:rsid w:val="006915C5"/>
    <w:rsid w:val="00692151"/>
    <w:rsid w:val="00692678"/>
    <w:rsid w:val="00692B5D"/>
    <w:rsid w:val="00693E90"/>
    <w:rsid w:val="006941BC"/>
    <w:rsid w:val="00694365"/>
    <w:rsid w:val="0069437A"/>
    <w:rsid w:val="006946E4"/>
    <w:rsid w:val="00695011"/>
    <w:rsid w:val="00696E6F"/>
    <w:rsid w:val="00696E76"/>
    <w:rsid w:val="00697198"/>
    <w:rsid w:val="00697AE2"/>
    <w:rsid w:val="006A01D7"/>
    <w:rsid w:val="006A27BA"/>
    <w:rsid w:val="006A3024"/>
    <w:rsid w:val="006A424B"/>
    <w:rsid w:val="006A6EF2"/>
    <w:rsid w:val="006A7B6C"/>
    <w:rsid w:val="006B16CD"/>
    <w:rsid w:val="006B22CB"/>
    <w:rsid w:val="006B2C36"/>
    <w:rsid w:val="006B4C20"/>
    <w:rsid w:val="006B5FC7"/>
    <w:rsid w:val="006B664F"/>
    <w:rsid w:val="006B72DC"/>
    <w:rsid w:val="006C01DC"/>
    <w:rsid w:val="006C0489"/>
    <w:rsid w:val="006C0DF1"/>
    <w:rsid w:val="006C19FF"/>
    <w:rsid w:val="006C38F5"/>
    <w:rsid w:val="006C4152"/>
    <w:rsid w:val="006C4B0D"/>
    <w:rsid w:val="006C5179"/>
    <w:rsid w:val="006C56B2"/>
    <w:rsid w:val="006C5C95"/>
    <w:rsid w:val="006C70ED"/>
    <w:rsid w:val="006D045D"/>
    <w:rsid w:val="006D05F8"/>
    <w:rsid w:val="006D09E8"/>
    <w:rsid w:val="006D219A"/>
    <w:rsid w:val="006D2FCF"/>
    <w:rsid w:val="006D3126"/>
    <w:rsid w:val="006D3407"/>
    <w:rsid w:val="006D34ED"/>
    <w:rsid w:val="006D44D3"/>
    <w:rsid w:val="006D49F8"/>
    <w:rsid w:val="006D526E"/>
    <w:rsid w:val="006D52C6"/>
    <w:rsid w:val="006D64A8"/>
    <w:rsid w:val="006D68FE"/>
    <w:rsid w:val="006D6F0C"/>
    <w:rsid w:val="006E02C8"/>
    <w:rsid w:val="006E0832"/>
    <w:rsid w:val="006E11C5"/>
    <w:rsid w:val="006E2139"/>
    <w:rsid w:val="006E2E96"/>
    <w:rsid w:val="006E31DC"/>
    <w:rsid w:val="006E3730"/>
    <w:rsid w:val="006E4ADC"/>
    <w:rsid w:val="006E5B1C"/>
    <w:rsid w:val="006E6CC3"/>
    <w:rsid w:val="006E7D32"/>
    <w:rsid w:val="006F01DD"/>
    <w:rsid w:val="006F10FB"/>
    <w:rsid w:val="006F10FE"/>
    <w:rsid w:val="006F1799"/>
    <w:rsid w:val="006F1912"/>
    <w:rsid w:val="006F22ED"/>
    <w:rsid w:val="006F2309"/>
    <w:rsid w:val="006F31CF"/>
    <w:rsid w:val="006F3F20"/>
    <w:rsid w:val="006F4D78"/>
    <w:rsid w:val="006F4F09"/>
    <w:rsid w:val="006F511E"/>
    <w:rsid w:val="006F5CBA"/>
    <w:rsid w:val="006F5D72"/>
    <w:rsid w:val="00700807"/>
    <w:rsid w:val="00702538"/>
    <w:rsid w:val="007025D9"/>
    <w:rsid w:val="0070369D"/>
    <w:rsid w:val="00704431"/>
    <w:rsid w:val="007052B7"/>
    <w:rsid w:val="00705A09"/>
    <w:rsid w:val="00710360"/>
    <w:rsid w:val="00711F29"/>
    <w:rsid w:val="00714CC3"/>
    <w:rsid w:val="00716505"/>
    <w:rsid w:val="0072002A"/>
    <w:rsid w:val="0072015A"/>
    <w:rsid w:val="00720230"/>
    <w:rsid w:val="00720865"/>
    <w:rsid w:val="00723121"/>
    <w:rsid w:val="007232E0"/>
    <w:rsid w:val="007249B2"/>
    <w:rsid w:val="00724A9A"/>
    <w:rsid w:val="00725BBB"/>
    <w:rsid w:val="007270F4"/>
    <w:rsid w:val="00731276"/>
    <w:rsid w:val="00731F12"/>
    <w:rsid w:val="007324F0"/>
    <w:rsid w:val="00733729"/>
    <w:rsid w:val="00733D36"/>
    <w:rsid w:val="007340FB"/>
    <w:rsid w:val="00737B21"/>
    <w:rsid w:val="007408CB"/>
    <w:rsid w:val="00740B71"/>
    <w:rsid w:val="00740F2A"/>
    <w:rsid w:val="0074312B"/>
    <w:rsid w:val="007443F6"/>
    <w:rsid w:val="007453B6"/>
    <w:rsid w:val="007458FA"/>
    <w:rsid w:val="007467DE"/>
    <w:rsid w:val="00747710"/>
    <w:rsid w:val="00747E84"/>
    <w:rsid w:val="007508C3"/>
    <w:rsid w:val="00750ADF"/>
    <w:rsid w:val="00751732"/>
    <w:rsid w:val="00752990"/>
    <w:rsid w:val="00753357"/>
    <w:rsid w:val="00755256"/>
    <w:rsid w:val="007552CC"/>
    <w:rsid w:val="00755907"/>
    <w:rsid w:val="007562DA"/>
    <w:rsid w:val="0075756B"/>
    <w:rsid w:val="00757C70"/>
    <w:rsid w:val="0076059A"/>
    <w:rsid w:val="007627D2"/>
    <w:rsid w:val="00762C7C"/>
    <w:rsid w:val="00762FBE"/>
    <w:rsid w:val="007634A9"/>
    <w:rsid w:val="0076356B"/>
    <w:rsid w:val="007651EA"/>
    <w:rsid w:val="007664E4"/>
    <w:rsid w:val="00766A7A"/>
    <w:rsid w:val="00771100"/>
    <w:rsid w:val="00771BAB"/>
    <w:rsid w:val="00771C54"/>
    <w:rsid w:val="00773BA0"/>
    <w:rsid w:val="007740BD"/>
    <w:rsid w:val="007747BE"/>
    <w:rsid w:val="00775886"/>
    <w:rsid w:val="007768DF"/>
    <w:rsid w:val="007768FB"/>
    <w:rsid w:val="00776AEC"/>
    <w:rsid w:val="00776F99"/>
    <w:rsid w:val="00777C67"/>
    <w:rsid w:val="007802AD"/>
    <w:rsid w:val="0078047F"/>
    <w:rsid w:val="00780E29"/>
    <w:rsid w:val="00781203"/>
    <w:rsid w:val="00781312"/>
    <w:rsid w:val="00781F73"/>
    <w:rsid w:val="00782FF3"/>
    <w:rsid w:val="00783189"/>
    <w:rsid w:val="00784482"/>
    <w:rsid w:val="007845E1"/>
    <w:rsid w:val="00784ACA"/>
    <w:rsid w:val="00784C55"/>
    <w:rsid w:val="00784F95"/>
    <w:rsid w:val="00785927"/>
    <w:rsid w:val="00785982"/>
    <w:rsid w:val="00785B2E"/>
    <w:rsid w:val="00786583"/>
    <w:rsid w:val="00787686"/>
    <w:rsid w:val="00787E50"/>
    <w:rsid w:val="0079063F"/>
    <w:rsid w:val="00793D9F"/>
    <w:rsid w:val="00795EF2"/>
    <w:rsid w:val="007968B8"/>
    <w:rsid w:val="00796B1B"/>
    <w:rsid w:val="00797E93"/>
    <w:rsid w:val="007A0B2C"/>
    <w:rsid w:val="007A0D7A"/>
    <w:rsid w:val="007A0FEC"/>
    <w:rsid w:val="007A12C9"/>
    <w:rsid w:val="007A17BB"/>
    <w:rsid w:val="007A17F4"/>
    <w:rsid w:val="007A272C"/>
    <w:rsid w:val="007A2B3E"/>
    <w:rsid w:val="007A2EE6"/>
    <w:rsid w:val="007A3B56"/>
    <w:rsid w:val="007A584C"/>
    <w:rsid w:val="007A6EEF"/>
    <w:rsid w:val="007A71AC"/>
    <w:rsid w:val="007A72D9"/>
    <w:rsid w:val="007A7AF1"/>
    <w:rsid w:val="007B173F"/>
    <w:rsid w:val="007B18D0"/>
    <w:rsid w:val="007B1AF7"/>
    <w:rsid w:val="007B1F3E"/>
    <w:rsid w:val="007B21AB"/>
    <w:rsid w:val="007B2E9D"/>
    <w:rsid w:val="007B5E8E"/>
    <w:rsid w:val="007B6843"/>
    <w:rsid w:val="007C0A36"/>
    <w:rsid w:val="007C0B6B"/>
    <w:rsid w:val="007C0D75"/>
    <w:rsid w:val="007C126B"/>
    <w:rsid w:val="007C13B8"/>
    <w:rsid w:val="007C2617"/>
    <w:rsid w:val="007C2FE3"/>
    <w:rsid w:val="007C3072"/>
    <w:rsid w:val="007C30E3"/>
    <w:rsid w:val="007C3170"/>
    <w:rsid w:val="007C38C6"/>
    <w:rsid w:val="007C4D6B"/>
    <w:rsid w:val="007C4FEE"/>
    <w:rsid w:val="007C68B5"/>
    <w:rsid w:val="007C79A2"/>
    <w:rsid w:val="007D1457"/>
    <w:rsid w:val="007D1D5D"/>
    <w:rsid w:val="007D2002"/>
    <w:rsid w:val="007D2511"/>
    <w:rsid w:val="007D287F"/>
    <w:rsid w:val="007D2F9A"/>
    <w:rsid w:val="007D354A"/>
    <w:rsid w:val="007D3ABC"/>
    <w:rsid w:val="007D41D8"/>
    <w:rsid w:val="007D4FDA"/>
    <w:rsid w:val="007D5AD8"/>
    <w:rsid w:val="007D6269"/>
    <w:rsid w:val="007D62F3"/>
    <w:rsid w:val="007D6425"/>
    <w:rsid w:val="007D7696"/>
    <w:rsid w:val="007E01D5"/>
    <w:rsid w:val="007E0DAF"/>
    <w:rsid w:val="007E120E"/>
    <w:rsid w:val="007E48CF"/>
    <w:rsid w:val="007F00FF"/>
    <w:rsid w:val="007F035B"/>
    <w:rsid w:val="007F172E"/>
    <w:rsid w:val="007F1946"/>
    <w:rsid w:val="007F2D88"/>
    <w:rsid w:val="007F31B2"/>
    <w:rsid w:val="007F34B6"/>
    <w:rsid w:val="007F352D"/>
    <w:rsid w:val="007F4014"/>
    <w:rsid w:val="007F446E"/>
    <w:rsid w:val="007F497E"/>
    <w:rsid w:val="007F549E"/>
    <w:rsid w:val="007F607A"/>
    <w:rsid w:val="007F6FB1"/>
    <w:rsid w:val="007F71DF"/>
    <w:rsid w:val="0080076A"/>
    <w:rsid w:val="00801560"/>
    <w:rsid w:val="00801EB3"/>
    <w:rsid w:val="00803052"/>
    <w:rsid w:val="008033C2"/>
    <w:rsid w:val="0080342B"/>
    <w:rsid w:val="00803AF3"/>
    <w:rsid w:val="00803DB8"/>
    <w:rsid w:val="00804AA4"/>
    <w:rsid w:val="00804C54"/>
    <w:rsid w:val="00805073"/>
    <w:rsid w:val="00805FBE"/>
    <w:rsid w:val="00806A19"/>
    <w:rsid w:val="00806A3A"/>
    <w:rsid w:val="00806B47"/>
    <w:rsid w:val="00807D8A"/>
    <w:rsid w:val="00810570"/>
    <w:rsid w:val="0081169E"/>
    <w:rsid w:val="00812232"/>
    <w:rsid w:val="00812AA1"/>
    <w:rsid w:val="008131FA"/>
    <w:rsid w:val="008133C0"/>
    <w:rsid w:val="00814A3A"/>
    <w:rsid w:val="00815A3E"/>
    <w:rsid w:val="0081637D"/>
    <w:rsid w:val="008164E8"/>
    <w:rsid w:val="008177EE"/>
    <w:rsid w:val="00820BED"/>
    <w:rsid w:val="00821692"/>
    <w:rsid w:val="00821B54"/>
    <w:rsid w:val="00822091"/>
    <w:rsid w:val="008222FD"/>
    <w:rsid w:val="00822725"/>
    <w:rsid w:val="00822A6D"/>
    <w:rsid w:val="00823311"/>
    <w:rsid w:val="00823C69"/>
    <w:rsid w:val="008246E3"/>
    <w:rsid w:val="00824BFF"/>
    <w:rsid w:val="008259CF"/>
    <w:rsid w:val="00825E35"/>
    <w:rsid w:val="0082711E"/>
    <w:rsid w:val="00827686"/>
    <w:rsid w:val="00827EC4"/>
    <w:rsid w:val="00830CC4"/>
    <w:rsid w:val="0083168B"/>
    <w:rsid w:val="00831D33"/>
    <w:rsid w:val="00832D88"/>
    <w:rsid w:val="00832F6E"/>
    <w:rsid w:val="0083338D"/>
    <w:rsid w:val="00833722"/>
    <w:rsid w:val="00833FB6"/>
    <w:rsid w:val="00834BC3"/>
    <w:rsid w:val="00842FE7"/>
    <w:rsid w:val="00844277"/>
    <w:rsid w:val="00844434"/>
    <w:rsid w:val="00844F3B"/>
    <w:rsid w:val="008455EF"/>
    <w:rsid w:val="00845891"/>
    <w:rsid w:val="00845F4B"/>
    <w:rsid w:val="008460BA"/>
    <w:rsid w:val="0084695A"/>
    <w:rsid w:val="008474A3"/>
    <w:rsid w:val="00850E16"/>
    <w:rsid w:val="00852018"/>
    <w:rsid w:val="00852226"/>
    <w:rsid w:val="008543E8"/>
    <w:rsid w:val="00856121"/>
    <w:rsid w:val="00860AF0"/>
    <w:rsid w:val="008618B2"/>
    <w:rsid w:val="008626CE"/>
    <w:rsid w:val="00862760"/>
    <w:rsid w:val="00865841"/>
    <w:rsid w:val="008666F6"/>
    <w:rsid w:val="00867A25"/>
    <w:rsid w:val="008700BA"/>
    <w:rsid w:val="0087068E"/>
    <w:rsid w:val="008715C0"/>
    <w:rsid w:val="0087300D"/>
    <w:rsid w:val="0087357D"/>
    <w:rsid w:val="00873666"/>
    <w:rsid w:val="0087426E"/>
    <w:rsid w:val="00874736"/>
    <w:rsid w:val="008748B4"/>
    <w:rsid w:val="008751F6"/>
    <w:rsid w:val="00875AF6"/>
    <w:rsid w:val="00875CD5"/>
    <w:rsid w:val="00876854"/>
    <w:rsid w:val="00876986"/>
    <w:rsid w:val="008769F5"/>
    <w:rsid w:val="008804BC"/>
    <w:rsid w:val="00880D1A"/>
    <w:rsid w:val="00880D91"/>
    <w:rsid w:val="00881D81"/>
    <w:rsid w:val="00881E2C"/>
    <w:rsid w:val="008821E1"/>
    <w:rsid w:val="00882F2B"/>
    <w:rsid w:val="00883566"/>
    <w:rsid w:val="00883BBB"/>
    <w:rsid w:val="008849FF"/>
    <w:rsid w:val="00884CE5"/>
    <w:rsid w:val="00884ED9"/>
    <w:rsid w:val="008859AC"/>
    <w:rsid w:val="00885AAB"/>
    <w:rsid w:val="008869C8"/>
    <w:rsid w:val="00886AC3"/>
    <w:rsid w:val="00892D3A"/>
    <w:rsid w:val="00896574"/>
    <w:rsid w:val="008979C1"/>
    <w:rsid w:val="008A0025"/>
    <w:rsid w:val="008A1E74"/>
    <w:rsid w:val="008A2094"/>
    <w:rsid w:val="008A2249"/>
    <w:rsid w:val="008A24FF"/>
    <w:rsid w:val="008A2524"/>
    <w:rsid w:val="008A337D"/>
    <w:rsid w:val="008A338C"/>
    <w:rsid w:val="008A37BA"/>
    <w:rsid w:val="008A4178"/>
    <w:rsid w:val="008A4E18"/>
    <w:rsid w:val="008A571F"/>
    <w:rsid w:val="008A64F4"/>
    <w:rsid w:val="008A674D"/>
    <w:rsid w:val="008A78EC"/>
    <w:rsid w:val="008A7991"/>
    <w:rsid w:val="008A7C07"/>
    <w:rsid w:val="008B07EB"/>
    <w:rsid w:val="008B0E67"/>
    <w:rsid w:val="008B11C9"/>
    <w:rsid w:val="008B155F"/>
    <w:rsid w:val="008B1863"/>
    <w:rsid w:val="008B1BC6"/>
    <w:rsid w:val="008B461B"/>
    <w:rsid w:val="008B6B71"/>
    <w:rsid w:val="008C0158"/>
    <w:rsid w:val="008C11D5"/>
    <w:rsid w:val="008C174F"/>
    <w:rsid w:val="008C2F5C"/>
    <w:rsid w:val="008C3F3A"/>
    <w:rsid w:val="008C4902"/>
    <w:rsid w:val="008C5042"/>
    <w:rsid w:val="008C544B"/>
    <w:rsid w:val="008D1581"/>
    <w:rsid w:val="008D1BAD"/>
    <w:rsid w:val="008D1C55"/>
    <w:rsid w:val="008D33E2"/>
    <w:rsid w:val="008D4019"/>
    <w:rsid w:val="008D4FE7"/>
    <w:rsid w:val="008D51F3"/>
    <w:rsid w:val="008D59DC"/>
    <w:rsid w:val="008E051D"/>
    <w:rsid w:val="008E0F34"/>
    <w:rsid w:val="008E13FA"/>
    <w:rsid w:val="008E1E03"/>
    <w:rsid w:val="008E2B3B"/>
    <w:rsid w:val="008E2CED"/>
    <w:rsid w:val="008E3C05"/>
    <w:rsid w:val="008E4054"/>
    <w:rsid w:val="008E4A0D"/>
    <w:rsid w:val="008E7142"/>
    <w:rsid w:val="008F0335"/>
    <w:rsid w:val="008F093F"/>
    <w:rsid w:val="008F1410"/>
    <w:rsid w:val="008F1B64"/>
    <w:rsid w:val="008F2A12"/>
    <w:rsid w:val="008F431C"/>
    <w:rsid w:val="008F43B7"/>
    <w:rsid w:val="008F4901"/>
    <w:rsid w:val="008F5289"/>
    <w:rsid w:val="008F5430"/>
    <w:rsid w:val="008F6AD8"/>
    <w:rsid w:val="008F746B"/>
    <w:rsid w:val="008F79E8"/>
    <w:rsid w:val="0090108A"/>
    <w:rsid w:val="00901219"/>
    <w:rsid w:val="00901BA6"/>
    <w:rsid w:val="009042CC"/>
    <w:rsid w:val="00904571"/>
    <w:rsid w:val="00906134"/>
    <w:rsid w:val="00907160"/>
    <w:rsid w:val="009076A8"/>
    <w:rsid w:val="00907EF2"/>
    <w:rsid w:val="00910D95"/>
    <w:rsid w:val="00911309"/>
    <w:rsid w:val="009127A4"/>
    <w:rsid w:val="00912AE9"/>
    <w:rsid w:val="00913D5F"/>
    <w:rsid w:val="00914A3B"/>
    <w:rsid w:val="009159B2"/>
    <w:rsid w:val="00915DC8"/>
    <w:rsid w:val="0091664D"/>
    <w:rsid w:val="0091695C"/>
    <w:rsid w:val="00916A3B"/>
    <w:rsid w:val="009179D3"/>
    <w:rsid w:val="00917B96"/>
    <w:rsid w:val="00920BBD"/>
    <w:rsid w:val="00921D13"/>
    <w:rsid w:val="00923EF9"/>
    <w:rsid w:val="00925876"/>
    <w:rsid w:val="0092646E"/>
    <w:rsid w:val="009266E5"/>
    <w:rsid w:val="009310B5"/>
    <w:rsid w:val="00931611"/>
    <w:rsid w:val="0093208E"/>
    <w:rsid w:val="009329AE"/>
    <w:rsid w:val="00933C53"/>
    <w:rsid w:val="00934C83"/>
    <w:rsid w:val="009352D7"/>
    <w:rsid w:val="009369AE"/>
    <w:rsid w:val="00941421"/>
    <w:rsid w:val="00942CD8"/>
    <w:rsid w:val="0094439D"/>
    <w:rsid w:val="00944AFA"/>
    <w:rsid w:val="00945650"/>
    <w:rsid w:val="00945FE2"/>
    <w:rsid w:val="0094621D"/>
    <w:rsid w:val="009505E7"/>
    <w:rsid w:val="00950727"/>
    <w:rsid w:val="009508E4"/>
    <w:rsid w:val="00951F3E"/>
    <w:rsid w:val="00951FDB"/>
    <w:rsid w:val="009522DA"/>
    <w:rsid w:val="00953E02"/>
    <w:rsid w:val="00954323"/>
    <w:rsid w:val="00954BC2"/>
    <w:rsid w:val="009567B8"/>
    <w:rsid w:val="00957233"/>
    <w:rsid w:val="009576A7"/>
    <w:rsid w:val="00957E7E"/>
    <w:rsid w:val="00957EFA"/>
    <w:rsid w:val="00960D34"/>
    <w:rsid w:val="009611D2"/>
    <w:rsid w:val="0096202E"/>
    <w:rsid w:val="009621A0"/>
    <w:rsid w:val="00962BC2"/>
    <w:rsid w:val="00963D5E"/>
    <w:rsid w:val="00964224"/>
    <w:rsid w:val="00964270"/>
    <w:rsid w:val="0096696A"/>
    <w:rsid w:val="0096699D"/>
    <w:rsid w:val="00967201"/>
    <w:rsid w:val="00967C74"/>
    <w:rsid w:val="00971FDA"/>
    <w:rsid w:val="009722A8"/>
    <w:rsid w:val="00972548"/>
    <w:rsid w:val="009728FF"/>
    <w:rsid w:val="00974888"/>
    <w:rsid w:val="00974B47"/>
    <w:rsid w:val="00974D53"/>
    <w:rsid w:val="00974D5D"/>
    <w:rsid w:val="009760C4"/>
    <w:rsid w:val="00976E27"/>
    <w:rsid w:val="009772A5"/>
    <w:rsid w:val="00977550"/>
    <w:rsid w:val="00980B5D"/>
    <w:rsid w:val="00981173"/>
    <w:rsid w:val="00981A75"/>
    <w:rsid w:val="00981F83"/>
    <w:rsid w:val="009841A8"/>
    <w:rsid w:val="009866FD"/>
    <w:rsid w:val="009868BE"/>
    <w:rsid w:val="00986B64"/>
    <w:rsid w:val="00986EFA"/>
    <w:rsid w:val="009876A4"/>
    <w:rsid w:val="00987FD0"/>
    <w:rsid w:val="009909B6"/>
    <w:rsid w:val="009917E9"/>
    <w:rsid w:val="00992416"/>
    <w:rsid w:val="00993789"/>
    <w:rsid w:val="00994B4C"/>
    <w:rsid w:val="00994F61"/>
    <w:rsid w:val="00996057"/>
    <w:rsid w:val="00996394"/>
    <w:rsid w:val="00996C89"/>
    <w:rsid w:val="00996CB7"/>
    <w:rsid w:val="009979B9"/>
    <w:rsid w:val="009A03C7"/>
    <w:rsid w:val="009A0703"/>
    <w:rsid w:val="009A1399"/>
    <w:rsid w:val="009A22FD"/>
    <w:rsid w:val="009A2358"/>
    <w:rsid w:val="009A267E"/>
    <w:rsid w:val="009A2ED6"/>
    <w:rsid w:val="009A31E7"/>
    <w:rsid w:val="009A3B54"/>
    <w:rsid w:val="009A546A"/>
    <w:rsid w:val="009A621C"/>
    <w:rsid w:val="009A6677"/>
    <w:rsid w:val="009A6C66"/>
    <w:rsid w:val="009A6EF9"/>
    <w:rsid w:val="009A7BBC"/>
    <w:rsid w:val="009B16F1"/>
    <w:rsid w:val="009B2A11"/>
    <w:rsid w:val="009B4186"/>
    <w:rsid w:val="009B5581"/>
    <w:rsid w:val="009B5940"/>
    <w:rsid w:val="009B63ED"/>
    <w:rsid w:val="009B710D"/>
    <w:rsid w:val="009C3862"/>
    <w:rsid w:val="009C4171"/>
    <w:rsid w:val="009C475C"/>
    <w:rsid w:val="009C5878"/>
    <w:rsid w:val="009C60A5"/>
    <w:rsid w:val="009C63D5"/>
    <w:rsid w:val="009C75C9"/>
    <w:rsid w:val="009D1492"/>
    <w:rsid w:val="009D169E"/>
    <w:rsid w:val="009D17E7"/>
    <w:rsid w:val="009D2602"/>
    <w:rsid w:val="009D3234"/>
    <w:rsid w:val="009D346D"/>
    <w:rsid w:val="009D41B7"/>
    <w:rsid w:val="009D510E"/>
    <w:rsid w:val="009D5CA7"/>
    <w:rsid w:val="009D65CD"/>
    <w:rsid w:val="009D6AF5"/>
    <w:rsid w:val="009D6E2E"/>
    <w:rsid w:val="009D7259"/>
    <w:rsid w:val="009D7298"/>
    <w:rsid w:val="009E03C7"/>
    <w:rsid w:val="009E12B5"/>
    <w:rsid w:val="009E265E"/>
    <w:rsid w:val="009E3C1C"/>
    <w:rsid w:val="009E3F6F"/>
    <w:rsid w:val="009E6ACB"/>
    <w:rsid w:val="009F0ABA"/>
    <w:rsid w:val="009F0AC7"/>
    <w:rsid w:val="009F1043"/>
    <w:rsid w:val="009F2B0A"/>
    <w:rsid w:val="009F2D78"/>
    <w:rsid w:val="009F36CA"/>
    <w:rsid w:val="009F4FE2"/>
    <w:rsid w:val="009F58F9"/>
    <w:rsid w:val="009F5BFE"/>
    <w:rsid w:val="009F6167"/>
    <w:rsid w:val="009F752A"/>
    <w:rsid w:val="00A003BE"/>
    <w:rsid w:val="00A00EE1"/>
    <w:rsid w:val="00A01E66"/>
    <w:rsid w:val="00A022AB"/>
    <w:rsid w:val="00A026EB"/>
    <w:rsid w:val="00A02B33"/>
    <w:rsid w:val="00A03435"/>
    <w:rsid w:val="00A03567"/>
    <w:rsid w:val="00A03614"/>
    <w:rsid w:val="00A0385F"/>
    <w:rsid w:val="00A05D08"/>
    <w:rsid w:val="00A06C2D"/>
    <w:rsid w:val="00A079D0"/>
    <w:rsid w:val="00A1078C"/>
    <w:rsid w:val="00A11132"/>
    <w:rsid w:val="00A11756"/>
    <w:rsid w:val="00A11969"/>
    <w:rsid w:val="00A11C2F"/>
    <w:rsid w:val="00A12837"/>
    <w:rsid w:val="00A12DE8"/>
    <w:rsid w:val="00A157B9"/>
    <w:rsid w:val="00A158FB"/>
    <w:rsid w:val="00A1712E"/>
    <w:rsid w:val="00A17F2D"/>
    <w:rsid w:val="00A20667"/>
    <w:rsid w:val="00A22348"/>
    <w:rsid w:val="00A22C8D"/>
    <w:rsid w:val="00A243D6"/>
    <w:rsid w:val="00A24C62"/>
    <w:rsid w:val="00A254EC"/>
    <w:rsid w:val="00A25F51"/>
    <w:rsid w:val="00A26182"/>
    <w:rsid w:val="00A30382"/>
    <w:rsid w:val="00A30CEC"/>
    <w:rsid w:val="00A3188E"/>
    <w:rsid w:val="00A32604"/>
    <w:rsid w:val="00A32EF3"/>
    <w:rsid w:val="00A33959"/>
    <w:rsid w:val="00A35312"/>
    <w:rsid w:val="00A354C8"/>
    <w:rsid w:val="00A407E6"/>
    <w:rsid w:val="00A40E00"/>
    <w:rsid w:val="00A417AE"/>
    <w:rsid w:val="00A43345"/>
    <w:rsid w:val="00A447E6"/>
    <w:rsid w:val="00A463E3"/>
    <w:rsid w:val="00A4674D"/>
    <w:rsid w:val="00A50AD6"/>
    <w:rsid w:val="00A50D0F"/>
    <w:rsid w:val="00A50E2B"/>
    <w:rsid w:val="00A51495"/>
    <w:rsid w:val="00A54097"/>
    <w:rsid w:val="00A54DAA"/>
    <w:rsid w:val="00A55AC0"/>
    <w:rsid w:val="00A57661"/>
    <w:rsid w:val="00A60E34"/>
    <w:rsid w:val="00A62074"/>
    <w:rsid w:val="00A62606"/>
    <w:rsid w:val="00A62EA7"/>
    <w:rsid w:val="00A6451D"/>
    <w:rsid w:val="00A6459E"/>
    <w:rsid w:val="00A64686"/>
    <w:rsid w:val="00A64CAE"/>
    <w:rsid w:val="00A6578C"/>
    <w:rsid w:val="00A6605D"/>
    <w:rsid w:val="00A71A0A"/>
    <w:rsid w:val="00A72227"/>
    <w:rsid w:val="00A72CC1"/>
    <w:rsid w:val="00A73E12"/>
    <w:rsid w:val="00A748F2"/>
    <w:rsid w:val="00A74939"/>
    <w:rsid w:val="00A75B9D"/>
    <w:rsid w:val="00A76AED"/>
    <w:rsid w:val="00A77B52"/>
    <w:rsid w:val="00A77BE7"/>
    <w:rsid w:val="00A77F49"/>
    <w:rsid w:val="00A80044"/>
    <w:rsid w:val="00A81845"/>
    <w:rsid w:val="00A8271D"/>
    <w:rsid w:val="00A82B34"/>
    <w:rsid w:val="00A83611"/>
    <w:rsid w:val="00A84AD2"/>
    <w:rsid w:val="00A84B21"/>
    <w:rsid w:val="00A8580C"/>
    <w:rsid w:val="00A85A45"/>
    <w:rsid w:val="00A85F3E"/>
    <w:rsid w:val="00A86A92"/>
    <w:rsid w:val="00A86CEB"/>
    <w:rsid w:val="00A87B3D"/>
    <w:rsid w:val="00A87F99"/>
    <w:rsid w:val="00A90AA5"/>
    <w:rsid w:val="00A912BA"/>
    <w:rsid w:val="00A924F3"/>
    <w:rsid w:val="00A92AF0"/>
    <w:rsid w:val="00A94369"/>
    <w:rsid w:val="00A94564"/>
    <w:rsid w:val="00A94E62"/>
    <w:rsid w:val="00A97923"/>
    <w:rsid w:val="00AA00B7"/>
    <w:rsid w:val="00AA0E31"/>
    <w:rsid w:val="00AA150D"/>
    <w:rsid w:val="00AA1803"/>
    <w:rsid w:val="00AA20EA"/>
    <w:rsid w:val="00AA254A"/>
    <w:rsid w:val="00AA446F"/>
    <w:rsid w:val="00AA59A6"/>
    <w:rsid w:val="00AA739B"/>
    <w:rsid w:val="00AB0D80"/>
    <w:rsid w:val="00AB16D9"/>
    <w:rsid w:val="00AB1C49"/>
    <w:rsid w:val="00AB1FC8"/>
    <w:rsid w:val="00AB284D"/>
    <w:rsid w:val="00AB2F02"/>
    <w:rsid w:val="00AB304E"/>
    <w:rsid w:val="00AB4277"/>
    <w:rsid w:val="00AB6C17"/>
    <w:rsid w:val="00AC0A9D"/>
    <w:rsid w:val="00AC0C9E"/>
    <w:rsid w:val="00AC14C5"/>
    <w:rsid w:val="00AC20C0"/>
    <w:rsid w:val="00AC23BE"/>
    <w:rsid w:val="00AC2876"/>
    <w:rsid w:val="00AC3349"/>
    <w:rsid w:val="00AC33C8"/>
    <w:rsid w:val="00AC449A"/>
    <w:rsid w:val="00AC4C13"/>
    <w:rsid w:val="00AC4C74"/>
    <w:rsid w:val="00AC4CD2"/>
    <w:rsid w:val="00AC5D5B"/>
    <w:rsid w:val="00AC72E9"/>
    <w:rsid w:val="00AC7BE1"/>
    <w:rsid w:val="00AD059B"/>
    <w:rsid w:val="00AD07FF"/>
    <w:rsid w:val="00AD102A"/>
    <w:rsid w:val="00AD1502"/>
    <w:rsid w:val="00AD1796"/>
    <w:rsid w:val="00AD1974"/>
    <w:rsid w:val="00AD2353"/>
    <w:rsid w:val="00AD239A"/>
    <w:rsid w:val="00AD246A"/>
    <w:rsid w:val="00AD26D4"/>
    <w:rsid w:val="00AD3102"/>
    <w:rsid w:val="00AD3EDC"/>
    <w:rsid w:val="00AD41C3"/>
    <w:rsid w:val="00AD4BF1"/>
    <w:rsid w:val="00AD505E"/>
    <w:rsid w:val="00AD5CCC"/>
    <w:rsid w:val="00AD6CC5"/>
    <w:rsid w:val="00AD713A"/>
    <w:rsid w:val="00AD7423"/>
    <w:rsid w:val="00AD7E0B"/>
    <w:rsid w:val="00AE0E58"/>
    <w:rsid w:val="00AE594A"/>
    <w:rsid w:val="00AF0189"/>
    <w:rsid w:val="00AF061D"/>
    <w:rsid w:val="00AF12CE"/>
    <w:rsid w:val="00AF1E1D"/>
    <w:rsid w:val="00AF215B"/>
    <w:rsid w:val="00AF3FE0"/>
    <w:rsid w:val="00AF45EB"/>
    <w:rsid w:val="00AF4794"/>
    <w:rsid w:val="00AF531D"/>
    <w:rsid w:val="00AF695E"/>
    <w:rsid w:val="00AF7191"/>
    <w:rsid w:val="00AF71CB"/>
    <w:rsid w:val="00AF73A5"/>
    <w:rsid w:val="00AF7C74"/>
    <w:rsid w:val="00B001EB"/>
    <w:rsid w:val="00B004D7"/>
    <w:rsid w:val="00B00586"/>
    <w:rsid w:val="00B00972"/>
    <w:rsid w:val="00B0098B"/>
    <w:rsid w:val="00B0271B"/>
    <w:rsid w:val="00B041BF"/>
    <w:rsid w:val="00B06B70"/>
    <w:rsid w:val="00B10708"/>
    <w:rsid w:val="00B125AE"/>
    <w:rsid w:val="00B16A33"/>
    <w:rsid w:val="00B17AC0"/>
    <w:rsid w:val="00B17B7B"/>
    <w:rsid w:val="00B17D41"/>
    <w:rsid w:val="00B21333"/>
    <w:rsid w:val="00B216D5"/>
    <w:rsid w:val="00B2189B"/>
    <w:rsid w:val="00B24AD9"/>
    <w:rsid w:val="00B25959"/>
    <w:rsid w:val="00B267CA"/>
    <w:rsid w:val="00B270E2"/>
    <w:rsid w:val="00B32A7C"/>
    <w:rsid w:val="00B3572E"/>
    <w:rsid w:val="00B40734"/>
    <w:rsid w:val="00B40C90"/>
    <w:rsid w:val="00B41FAA"/>
    <w:rsid w:val="00B44EFF"/>
    <w:rsid w:val="00B46F12"/>
    <w:rsid w:val="00B5134D"/>
    <w:rsid w:val="00B516F5"/>
    <w:rsid w:val="00B535D2"/>
    <w:rsid w:val="00B53A0A"/>
    <w:rsid w:val="00B5413B"/>
    <w:rsid w:val="00B54341"/>
    <w:rsid w:val="00B5576A"/>
    <w:rsid w:val="00B559F2"/>
    <w:rsid w:val="00B55B47"/>
    <w:rsid w:val="00B57130"/>
    <w:rsid w:val="00B57816"/>
    <w:rsid w:val="00B57D82"/>
    <w:rsid w:val="00B607E0"/>
    <w:rsid w:val="00B6087C"/>
    <w:rsid w:val="00B60E4E"/>
    <w:rsid w:val="00B61973"/>
    <w:rsid w:val="00B61ED6"/>
    <w:rsid w:val="00B62102"/>
    <w:rsid w:val="00B62E41"/>
    <w:rsid w:val="00B6403E"/>
    <w:rsid w:val="00B65E5A"/>
    <w:rsid w:val="00B663F5"/>
    <w:rsid w:val="00B66C2A"/>
    <w:rsid w:val="00B6741C"/>
    <w:rsid w:val="00B70AD6"/>
    <w:rsid w:val="00B710C6"/>
    <w:rsid w:val="00B71940"/>
    <w:rsid w:val="00B72D36"/>
    <w:rsid w:val="00B73342"/>
    <w:rsid w:val="00B735E5"/>
    <w:rsid w:val="00B73B73"/>
    <w:rsid w:val="00B743E8"/>
    <w:rsid w:val="00B75FEC"/>
    <w:rsid w:val="00B76239"/>
    <w:rsid w:val="00B775F5"/>
    <w:rsid w:val="00B808E4"/>
    <w:rsid w:val="00B810C9"/>
    <w:rsid w:val="00B81A42"/>
    <w:rsid w:val="00B81A7D"/>
    <w:rsid w:val="00B823A3"/>
    <w:rsid w:val="00B82C87"/>
    <w:rsid w:val="00B83729"/>
    <w:rsid w:val="00B839FB"/>
    <w:rsid w:val="00B83DFF"/>
    <w:rsid w:val="00B84A9F"/>
    <w:rsid w:val="00B85C12"/>
    <w:rsid w:val="00B8620B"/>
    <w:rsid w:val="00B909F2"/>
    <w:rsid w:val="00B928DE"/>
    <w:rsid w:val="00B92912"/>
    <w:rsid w:val="00B92BEA"/>
    <w:rsid w:val="00B95605"/>
    <w:rsid w:val="00B9605F"/>
    <w:rsid w:val="00B968AA"/>
    <w:rsid w:val="00B96B6A"/>
    <w:rsid w:val="00BA0943"/>
    <w:rsid w:val="00BA09BB"/>
    <w:rsid w:val="00BA0C81"/>
    <w:rsid w:val="00BA0F97"/>
    <w:rsid w:val="00BA1F04"/>
    <w:rsid w:val="00BA21E1"/>
    <w:rsid w:val="00BA23ED"/>
    <w:rsid w:val="00BA423F"/>
    <w:rsid w:val="00BA64E8"/>
    <w:rsid w:val="00BA6512"/>
    <w:rsid w:val="00BA75BB"/>
    <w:rsid w:val="00BA7767"/>
    <w:rsid w:val="00BA7CD8"/>
    <w:rsid w:val="00BB0343"/>
    <w:rsid w:val="00BB09F8"/>
    <w:rsid w:val="00BB0DDB"/>
    <w:rsid w:val="00BB235B"/>
    <w:rsid w:val="00BB27EB"/>
    <w:rsid w:val="00BB344E"/>
    <w:rsid w:val="00BB3CBD"/>
    <w:rsid w:val="00BB458D"/>
    <w:rsid w:val="00BB4907"/>
    <w:rsid w:val="00BB5CDE"/>
    <w:rsid w:val="00BB6000"/>
    <w:rsid w:val="00BB600D"/>
    <w:rsid w:val="00BB72F4"/>
    <w:rsid w:val="00BB7D5B"/>
    <w:rsid w:val="00BC0BB3"/>
    <w:rsid w:val="00BC0E8D"/>
    <w:rsid w:val="00BC10BC"/>
    <w:rsid w:val="00BC17C3"/>
    <w:rsid w:val="00BC23FB"/>
    <w:rsid w:val="00BC2458"/>
    <w:rsid w:val="00BC3BC9"/>
    <w:rsid w:val="00BC5475"/>
    <w:rsid w:val="00BC5CBB"/>
    <w:rsid w:val="00BC6254"/>
    <w:rsid w:val="00BC7CB3"/>
    <w:rsid w:val="00BD0358"/>
    <w:rsid w:val="00BD05FC"/>
    <w:rsid w:val="00BD1448"/>
    <w:rsid w:val="00BD2B8D"/>
    <w:rsid w:val="00BD3834"/>
    <w:rsid w:val="00BD53B9"/>
    <w:rsid w:val="00BD5923"/>
    <w:rsid w:val="00BD6750"/>
    <w:rsid w:val="00BD7018"/>
    <w:rsid w:val="00BD7A6B"/>
    <w:rsid w:val="00BD7D58"/>
    <w:rsid w:val="00BD7DD0"/>
    <w:rsid w:val="00BE0049"/>
    <w:rsid w:val="00BE0493"/>
    <w:rsid w:val="00BE5887"/>
    <w:rsid w:val="00BE5CF3"/>
    <w:rsid w:val="00BE7AC7"/>
    <w:rsid w:val="00BF4442"/>
    <w:rsid w:val="00BF487A"/>
    <w:rsid w:val="00BF501A"/>
    <w:rsid w:val="00BF5642"/>
    <w:rsid w:val="00BF640F"/>
    <w:rsid w:val="00BF7129"/>
    <w:rsid w:val="00C02AE8"/>
    <w:rsid w:val="00C033E7"/>
    <w:rsid w:val="00C04166"/>
    <w:rsid w:val="00C07DF4"/>
    <w:rsid w:val="00C10836"/>
    <w:rsid w:val="00C11FD0"/>
    <w:rsid w:val="00C122BA"/>
    <w:rsid w:val="00C12986"/>
    <w:rsid w:val="00C12D78"/>
    <w:rsid w:val="00C14885"/>
    <w:rsid w:val="00C15234"/>
    <w:rsid w:val="00C1558D"/>
    <w:rsid w:val="00C15A52"/>
    <w:rsid w:val="00C15E83"/>
    <w:rsid w:val="00C1632D"/>
    <w:rsid w:val="00C170C0"/>
    <w:rsid w:val="00C172CB"/>
    <w:rsid w:val="00C17DE9"/>
    <w:rsid w:val="00C204A6"/>
    <w:rsid w:val="00C2197D"/>
    <w:rsid w:val="00C22DAC"/>
    <w:rsid w:val="00C2352A"/>
    <w:rsid w:val="00C23BD1"/>
    <w:rsid w:val="00C23C55"/>
    <w:rsid w:val="00C24F00"/>
    <w:rsid w:val="00C300E4"/>
    <w:rsid w:val="00C303A9"/>
    <w:rsid w:val="00C303F0"/>
    <w:rsid w:val="00C306A7"/>
    <w:rsid w:val="00C30CD3"/>
    <w:rsid w:val="00C310C0"/>
    <w:rsid w:val="00C31569"/>
    <w:rsid w:val="00C31905"/>
    <w:rsid w:val="00C31AF7"/>
    <w:rsid w:val="00C33CFA"/>
    <w:rsid w:val="00C344E9"/>
    <w:rsid w:val="00C35F90"/>
    <w:rsid w:val="00C36BFD"/>
    <w:rsid w:val="00C3749A"/>
    <w:rsid w:val="00C37C60"/>
    <w:rsid w:val="00C42588"/>
    <w:rsid w:val="00C443EA"/>
    <w:rsid w:val="00C449C8"/>
    <w:rsid w:val="00C451D8"/>
    <w:rsid w:val="00C4636A"/>
    <w:rsid w:val="00C4663F"/>
    <w:rsid w:val="00C47D45"/>
    <w:rsid w:val="00C51EEC"/>
    <w:rsid w:val="00C5303D"/>
    <w:rsid w:val="00C53328"/>
    <w:rsid w:val="00C53BC4"/>
    <w:rsid w:val="00C55A51"/>
    <w:rsid w:val="00C55A71"/>
    <w:rsid w:val="00C608B8"/>
    <w:rsid w:val="00C610CC"/>
    <w:rsid w:val="00C610FD"/>
    <w:rsid w:val="00C632AD"/>
    <w:rsid w:val="00C6348B"/>
    <w:rsid w:val="00C63620"/>
    <w:rsid w:val="00C65A7B"/>
    <w:rsid w:val="00C66BC5"/>
    <w:rsid w:val="00C67434"/>
    <w:rsid w:val="00C70077"/>
    <w:rsid w:val="00C704AA"/>
    <w:rsid w:val="00C704F8"/>
    <w:rsid w:val="00C71652"/>
    <w:rsid w:val="00C7184D"/>
    <w:rsid w:val="00C72DC0"/>
    <w:rsid w:val="00C7403F"/>
    <w:rsid w:val="00C76997"/>
    <w:rsid w:val="00C76AC4"/>
    <w:rsid w:val="00C777B1"/>
    <w:rsid w:val="00C779B2"/>
    <w:rsid w:val="00C77F54"/>
    <w:rsid w:val="00C80798"/>
    <w:rsid w:val="00C80F18"/>
    <w:rsid w:val="00C818BD"/>
    <w:rsid w:val="00C81B55"/>
    <w:rsid w:val="00C822E1"/>
    <w:rsid w:val="00C82687"/>
    <w:rsid w:val="00C82A5B"/>
    <w:rsid w:val="00C84DE1"/>
    <w:rsid w:val="00C8517B"/>
    <w:rsid w:val="00C85CAB"/>
    <w:rsid w:val="00C85F05"/>
    <w:rsid w:val="00C865A9"/>
    <w:rsid w:val="00C872A0"/>
    <w:rsid w:val="00C90EE5"/>
    <w:rsid w:val="00C91B83"/>
    <w:rsid w:val="00C93677"/>
    <w:rsid w:val="00C93C87"/>
    <w:rsid w:val="00C94FA3"/>
    <w:rsid w:val="00C9589E"/>
    <w:rsid w:val="00C95F1F"/>
    <w:rsid w:val="00C95FC8"/>
    <w:rsid w:val="00C97809"/>
    <w:rsid w:val="00C97DDC"/>
    <w:rsid w:val="00CA1905"/>
    <w:rsid w:val="00CA2E36"/>
    <w:rsid w:val="00CA396C"/>
    <w:rsid w:val="00CA3D17"/>
    <w:rsid w:val="00CA3EB4"/>
    <w:rsid w:val="00CA5380"/>
    <w:rsid w:val="00CB04A3"/>
    <w:rsid w:val="00CB0B25"/>
    <w:rsid w:val="00CB1B3B"/>
    <w:rsid w:val="00CB28CD"/>
    <w:rsid w:val="00CB28E1"/>
    <w:rsid w:val="00CB45F5"/>
    <w:rsid w:val="00CB5257"/>
    <w:rsid w:val="00CB52E3"/>
    <w:rsid w:val="00CB540B"/>
    <w:rsid w:val="00CB7E3E"/>
    <w:rsid w:val="00CC014E"/>
    <w:rsid w:val="00CC1054"/>
    <w:rsid w:val="00CC22A8"/>
    <w:rsid w:val="00CC371A"/>
    <w:rsid w:val="00CC4104"/>
    <w:rsid w:val="00CC665E"/>
    <w:rsid w:val="00CC6E87"/>
    <w:rsid w:val="00CC79E0"/>
    <w:rsid w:val="00CD059B"/>
    <w:rsid w:val="00CD1748"/>
    <w:rsid w:val="00CD1AD6"/>
    <w:rsid w:val="00CD251B"/>
    <w:rsid w:val="00CD25B8"/>
    <w:rsid w:val="00CD2AC0"/>
    <w:rsid w:val="00CD5E06"/>
    <w:rsid w:val="00CD670F"/>
    <w:rsid w:val="00CE0290"/>
    <w:rsid w:val="00CE0BF0"/>
    <w:rsid w:val="00CE0EF4"/>
    <w:rsid w:val="00CE0FA9"/>
    <w:rsid w:val="00CE1258"/>
    <w:rsid w:val="00CE2BEB"/>
    <w:rsid w:val="00CE37E1"/>
    <w:rsid w:val="00CE3842"/>
    <w:rsid w:val="00CE4800"/>
    <w:rsid w:val="00CE51EE"/>
    <w:rsid w:val="00CE57AA"/>
    <w:rsid w:val="00CE7F54"/>
    <w:rsid w:val="00CF0BB6"/>
    <w:rsid w:val="00CF2BA3"/>
    <w:rsid w:val="00CF3423"/>
    <w:rsid w:val="00CF4C38"/>
    <w:rsid w:val="00D00330"/>
    <w:rsid w:val="00D0051A"/>
    <w:rsid w:val="00D0089D"/>
    <w:rsid w:val="00D00DEF"/>
    <w:rsid w:val="00D00EDA"/>
    <w:rsid w:val="00D00FD6"/>
    <w:rsid w:val="00D012B0"/>
    <w:rsid w:val="00D027E6"/>
    <w:rsid w:val="00D02E83"/>
    <w:rsid w:val="00D03079"/>
    <w:rsid w:val="00D03616"/>
    <w:rsid w:val="00D03F7E"/>
    <w:rsid w:val="00D05841"/>
    <w:rsid w:val="00D05C27"/>
    <w:rsid w:val="00D05D30"/>
    <w:rsid w:val="00D05F8E"/>
    <w:rsid w:val="00D076F4"/>
    <w:rsid w:val="00D07BB7"/>
    <w:rsid w:val="00D10BDF"/>
    <w:rsid w:val="00D110CF"/>
    <w:rsid w:val="00D1186B"/>
    <w:rsid w:val="00D11C10"/>
    <w:rsid w:val="00D12DCB"/>
    <w:rsid w:val="00D132FA"/>
    <w:rsid w:val="00D144D9"/>
    <w:rsid w:val="00D1582D"/>
    <w:rsid w:val="00D15CCD"/>
    <w:rsid w:val="00D15D33"/>
    <w:rsid w:val="00D17332"/>
    <w:rsid w:val="00D1749C"/>
    <w:rsid w:val="00D202A1"/>
    <w:rsid w:val="00D20CE3"/>
    <w:rsid w:val="00D214C1"/>
    <w:rsid w:val="00D228CE"/>
    <w:rsid w:val="00D23477"/>
    <w:rsid w:val="00D23754"/>
    <w:rsid w:val="00D24728"/>
    <w:rsid w:val="00D25027"/>
    <w:rsid w:val="00D254BA"/>
    <w:rsid w:val="00D256CC"/>
    <w:rsid w:val="00D2585B"/>
    <w:rsid w:val="00D259BC"/>
    <w:rsid w:val="00D305E7"/>
    <w:rsid w:val="00D31519"/>
    <w:rsid w:val="00D31E7C"/>
    <w:rsid w:val="00D32C28"/>
    <w:rsid w:val="00D3428F"/>
    <w:rsid w:val="00D3493F"/>
    <w:rsid w:val="00D34D18"/>
    <w:rsid w:val="00D35071"/>
    <w:rsid w:val="00D369B0"/>
    <w:rsid w:val="00D37B8F"/>
    <w:rsid w:val="00D37D8A"/>
    <w:rsid w:val="00D40574"/>
    <w:rsid w:val="00D40EB5"/>
    <w:rsid w:val="00D41586"/>
    <w:rsid w:val="00D41A52"/>
    <w:rsid w:val="00D41B13"/>
    <w:rsid w:val="00D44789"/>
    <w:rsid w:val="00D46800"/>
    <w:rsid w:val="00D46C7E"/>
    <w:rsid w:val="00D46D6E"/>
    <w:rsid w:val="00D4786B"/>
    <w:rsid w:val="00D50B41"/>
    <w:rsid w:val="00D50E0E"/>
    <w:rsid w:val="00D51662"/>
    <w:rsid w:val="00D519B7"/>
    <w:rsid w:val="00D51D7E"/>
    <w:rsid w:val="00D523AB"/>
    <w:rsid w:val="00D5257F"/>
    <w:rsid w:val="00D54C49"/>
    <w:rsid w:val="00D55598"/>
    <w:rsid w:val="00D557BF"/>
    <w:rsid w:val="00D56517"/>
    <w:rsid w:val="00D571B4"/>
    <w:rsid w:val="00D607FF"/>
    <w:rsid w:val="00D60C9C"/>
    <w:rsid w:val="00D6289E"/>
    <w:rsid w:val="00D6337A"/>
    <w:rsid w:val="00D63C8B"/>
    <w:rsid w:val="00D63CFD"/>
    <w:rsid w:val="00D641D6"/>
    <w:rsid w:val="00D65888"/>
    <w:rsid w:val="00D66301"/>
    <w:rsid w:val="00D701DD"/>
    <w:rsid w:val="00D70B1F"/>
    <w:rsid w:val="00D717AD"/>
    <w:rsid w:val="00D723F5"/>
    <w:rsid w:val="00D72659"/>
    <w:rsid w:val="00D72C34"/>
    <w:rsid w:val="00D72C6E"/>
    <w:rsid w:val="00D72DDD"/>
    <w:rsid w:val="00D732EC"/>
    <w:rsid w:val="00D7419B"/>
    <w:rsid w:val="00D742B5"/>
    <w:rsid w:val="00D7654E"/>
    <w:rsid w:val="00D80209"/>
    <w:rsid w:val="00D8047B"/>
    <w:rsid w:val="00D81445"/>
    <w:rsid w:val="00D819D1"/>
    <w:rsid w:val="00D82509"/>
    <w:rsid w:val="00D825EA"/>
    <w:rsid w:val="00D829AA"/>
    <w:rsid w:val="00D82A17"/>
    <w:rsid w:val="00D83995"/>
    <w:rsid w:val="00D83CC0"/>
    <w:rsid w:val="00D83D8F"/>
    <w:rsid w:val="00D84607"/>
    <w:rsid w:val="00D84901"/>
    <w:rsid w:val="00D86250"/>
    <w:rsid w:val="00D8651C"/>
    <w:rsid w:val="00D86879"/>
    <w:rsid w:val="00D87230"/>
    <w:rsid w:val="00D87EFC"/>
    <w:rsid w:val="00D91654"/>
    <w:rsid w:val="00D93CB3"/>
    <w:rsid w:val="00D94D88"/>
    <w:rsid w:val="00D954CB"/>
    <w:rsid w:val="00D95665"/>
    <w:rsid w:val="00D96D6A"/>
    <w:rsid w:val="00D96F97"/>
    <w:rsid w:val="00D97421"/>
    <w:rsid w:val="00D97481"/>
    <w:rsid w:val="00D97C66"/>
    <w:rsid w:val="00DA10A4"/>
    <w:rsid w:val="00DA1B90"/>
    <w:rsid w:val="00DA3EAA"/>
    <w:rsid w:val="00DA42B5"/>
    <w:rsid w:val="00DA5B20"/>
    <w:rsid w:val="00DA70B4"/>
    <w:rsid w:val="00DA78F5"/>
    <w:rsid w:val="00DB0CC6"/>
    <w:rsid w:val="00DB228C"/>
    <w:rsid w:val="00DB278E"/>
    <w:rsid w:val="00DB28EB"/>
    <w:rsid w:val="00DB32BF"/>
    <w:rsid w:val="00DB3ABE"/>
    <w:rsid w:val="00DB5B03"/>
    <w:rsid w:val="00DB6078"/>
    <w:rsid w:val="00DB63A4"/>
    <w:rsid w:val="00DB76D9"/>
    <w:rsid w:val="00DB7A60"/>
    <w:rsid w:val="00DC0E99"/>
    <w:rsid w:val="00DC162F"/>
    <w:rsid w:val="00DC1799"/>
    <w:rsid w:val="00DC1C01"/>
    <w:rsid w:val="00DC2E09"/>
    <w:rsid w:val="00DC330A"/>
    <w:rsid w:val="00DC4A62"/>
    <w:rsid w:val="00DC5A4B"/>
    <w:rsid w:val="00DC6559"/>
    <w:rsid w:val="00DC6563"/>
    <w:rsid w:val="00DC6A5E"/>
    <w:rsid w:val="00DC7221"/>
    <w:rsid w:val="00DD0F62"/>
    <w:rsid w:val="00DD20B7"/>
    <w:rsid w:val="00DD233A"/>
    <w:rsid w:val="00DD254F"/>
    <w:rsid w:val="00DD2820"/>
    <w:rsid w:val="00DD2851"/>
    <w:rsid w:val="00DD54CA"/>
    <w:rsid w:val="00DD57EB"/>
    <w:rsid w:val="00DD5DE3"/>
    <w:rsid w:val="00DD5F50"/>
    <w:rsid w:val="00DD7206"/>
    <w:rsid w:val="00DD7D54"/>
    <w:rsid w:val="00DD7E2E"/>
    <w:rsid w:val="00DE04F8"/>
    <w:rsid w:val="00DE069B"/>
    <w:rsid w:val="00DE096C"/>
    <w:rsid w:val="00DE1FFC"/>
    <w:rsid w:val="00DE2D03"/>
    <w:rsid w:val="00DE368D"/>
    <w:rsid w:val="00DE38DF"/>
    <w:rsid w:val="00DE3B47"/>
    <w:rsid w:val="00DE3D20"/>
    <w:rsid w:val="00DE4028"/>
    <w:rsid w:val="00DE43D9"/>
    <w:rsid w:val="00DE6669"/>
    <w:rsid w:val="00DE6CFB"/>
    <w:rsid w:val="00DE7017"/>
    <w:rsid w:val="00DE76B9"/>
    <w:rsid w:val="00DE788A"/>
    <w:rsid w:val="00DF0540"/>
    <w:rsid w:val="00DF1356"/>
    <w:rsid w:val="00DF13C0"/>
    <w:rsid w:val="00DF4304"/>
    <w:rsid w:val="00DF505B"/>
    <w:rsid w:val="00DF631B"/>
    <w:rsid w:val="00DF78FB"/>
    <w:rsid w:val="00DF7F31"/>
    <w:rsid w:val="00E005BB"/>
    <w:rsid w:val="00E006CC"/>
    <w:rsid w:val="00E00849"/>
    <w:rsid w:val="00E019D5"/>
    <w:rsid w:val="00E02095"/>
    <w:rsid w:val="00E031BE"/>
    <w:rsid w:val="00E05350"/>
    <w:rsid w:val="00E05851"/>
    <w:rsid w:val="00E05AD0"/>
    <w:rsid w:val="00E072C3"/>
    <w:rsid w:val="00E11F9C"/>
    <w:rsid w:val="00E125C6"/>
    <w:rsid w:val="00E12AF8"/>
    <w:rsid w:val="00E13C4B"/>
    <w:rsid w:val="00E1410B"/>
    <w:rsid w:val="00E162B6"/>
    <w:rsid w:val="00E1739F"/>
    <w:rsid w:val="00E1762B"/>
    <w:rsid w:val="00E179DC"/>
    <w:rsid w:val="00E20610"/>
    <w:rsid w:val="00E22678"/>
    <w:rsid w:val="00E23D98"/>
    <w:rsid w:val="00E24AAC"/>
    <w:rsid w:val="00E258BC"/>
    <w:rsid w:val="00E25EE0"/>
    <w:rsid w:val="00E25FA3"/>
    <w:rsid w:val="00E30C19"/>
    <w:rsid w:val="00E3116D"/>
    <w:rsid w:val="00E31949"/>
    <w:rsid w:val="00E33B70"/>
    <w:rsid w:val="00E33EF7"/>
    <w:rsid w:val="00E359C7"/>
    <w:rsid w:val="00E35E8A"/>
    <w:rsid w:val="00E368C9"/>
    <w:rsid w:val="00E37663"/>
    <w:rsid w:val="00E3787C"/>
    <w:rsid w:val="00E37E61"/>
    <w:rsid w:val="00E41C5D"/>
    <w:rsid w:val="00E43966"/>
    <w:rsid w:val="00E43E68"/>
    <w:rsid w:val="00E44556"/>
    <w:rsid w:val="00E44D46"/>
    <w:rsid w:val="00E454E2"/>
    <w:rsid w:val="00E458FF"/>
    <w:rsid w:val="00E45C89"/>
    <w:rsid w:val="00E46472"/>
    <w:rsid w:val="00E46700"/>
    <w:rsid w:val="00E46890"/>
    <w:rsid w:val="00E46E66"/>
    <w:rsid w:val="00E47306"/>
    <w:rsid w:val="00E4787F"/>
    <w:rsid w:val="00E50592"/>
    <w:rsid w:val="00E50A96"/>
    <w:rsid w:val="00E50ECC"/>
    <w:rsid w:val="00E51A3D"/>
    <w:rsid w:val="00E523AE"/>
    <w:rsid w:val="00E52E82"/>
    <w:rsid w:val="00E52F76"/>
    <w:rsid w:val="00E537FF"/>
    <w:rsid w:val="00E556FA"/>
    <w:rsid w:val="00E557C1"/>
    <w:rsid w:val="00E565FB"/>
    <w:rsid w:val="00E56885"/>
    <w:rsid w:val="00E56AC9"/>
    <w:rsid w:val="00E577BF"/>
    <w:rsid w:val="00E60DC6"/>
    <w:rsid w:val="00E61319"/>
    <w:rsid w:val="00E6248C"/>
    <w:rsid w:val="00E65DDE"/>
    <w:rsid w:val="00E6682E"/>
    <w:rsid w:val="00E669C4"/>
    <w:rsid w:val="00E66EAD"/>
    <w:rsid w:val="00E6740C"/>
    <w:rsid w:val="00E7030A"/>
    <w:rsid w:val="00E706F1"/>
    <w:rsid w:val="00E70DF0"/>
    <w:rsid w:val="00E70E21"/>
    <w:rsid w:val="00E70FCB"/>
    <w:rsid w:val="00E71027"/>
    <w:rsid w:val="00E71691"/>
    <w:rsid w:val="00E71D99"/>
    <w:rsid w:val="00E71FB7"/>
    <w:rsid w:val="00E72466"/>
    <w:rsid w:val="00E725B6"/>
    <w:rsid w:val="00E72ED0"/>
    <w:rsid w:val="00E759AB"/>
    <w:rsid w:val="00E75A15"/>
    <w:rsid w:val="00E75ACD"/>
    <w:rsid w:val="00E76ADF"/>
    <w:rsid w:val="00E81AA1"/>
    <w:rsid w:val="00E821BF"/>
    <w:rsid w:val="00E835E9"/>
    <w:rsid w:val="00E840AA"/>
    <w:rsid w:val="00E85252"/>
    <w:rsid w:val="00E85665"/>
    <w:rsid w:val="00E858C0"/>
    <w:rsid w:val="00E8692D"/>
    <w:rsid w:val="00E87299"/>
    <w:rsid w:val="00E909DF"/>
    <w:rsid w:val="00E90EE0"/>
    <w:rsid w:val="00E92647"/>
    <w:rsid w:val="00E940B0"/>
    <w:rsid w:val="00E950BC"/>
    <w:rsid w:val="00E95510"/>
    <w:rsid w:val="00E95FC7"/>
    <w:rsid w:val="00EA11BC"/>
    <w:rsid w:val="00EA120A"/>
    <w:rsid w:val="00EA1480"/>
    <w:rsid w:val="00EA2ABA"/>
    <w:rsid w:val="00EA2E7A"/>
    <w:rsid w:val="00EA3BAC"/>
    <w:rsid w:val="00EA4B05"/>
    <w:rsid w:val="00EA5046"/>
    <w:rsid w:val="00EA546C"/>
    <w:rsid w:val="00EA5653"/>
    <w:rsid w:val="00EA5B26"/>
    <w:rsid w:val="00EA5B42"/>
    <w:rsid w:val="00EA70FF"/>
    <w:rsid w:val="00EA7911"/>
    <w:rsid w:val="00EA7C36"/>
    <w:rsid w:val="00EA7E75"/>
    <w:rsid w:val="00EB08D7"/>
    <w:rsid w:val="00EB1EB7"/>
    <w:rsid w:val="00EB264B"/>
    <w:rsid w:val="00EB30C9"/>
    <w:rsid w:val="00EB31F4"/>
    <w:rsid w:val="00EB37BB"/>
    <w:rsid w:val="00EB4370"/>
    <w:rsid w:val="00EB4F63"/>
    <w:rsid w:val="00EB5A71"/>
    <w:rsid w:val="00EB6D36"/>
    <w:rsid w:val="00EC26B0"/>
    <w:rsid w:val="00EC28E8"/>
    <w:rsid w:val="00EC3897"/>
    <w:rsid w:val="00EC3E42"/>
    <w:rsid w:val="00EC3E4C"/>
    <w:rsid w:val="00EC4745"/>
    <w:rsid w:val="00EC4FED"/>
    <w:rsid w:val="00EC5A36"/>
    <w:rsid w:val="00EC6B24"/>
    <w:rsid w:val="00EC7073"/>
    <w:rsid w:val="00EC7600"/>
    <w:rsid w:val="00EC7609"/>
    <w:rsid w:val="00ED06ED"/>
    <w:rsid w:val="00ED0CA5"/>
    <w:rsid w:val="00ED13BA"/>
    <w:rsid w:val="00ED2152"/>
    <w:rsid w:val="00ED3388"/>
    <w:rsid w:val="00ED3927"/>
    <w:rsid w:val="00ED440C"/>
    <w:rsid w:val="00ED56A4"/>
    <w:rsid w:val="00EE15CE"/>
    <w:rsid w:val="00EE1C69"/>
    <w:rsid w:val="00EE2BC4"/>
    <w:rsid w:val="00EE3379"/>
    <w:rsid w:val="00EE40E5"/>
    <w:rsid w:val="00EE41D2"/>
    <w:rsid w:val="00EE52D6"/>
    <w:rsid w:val="00EE6C9E"/>
    <w:rsid w:val="00EE77F7"/>
    <w:rsid w:val="00EE7DB4"/>
    <w:rsid w:val="00EF0435"/>
    <w:rsid w:val="00EF10DF"/>
    <w:rsid w:val="00EF11AE"/>
    <w:rsid w:val="00EF1969"/>
    <w:rsid w:val="00EF2589"/>
    <w:rsid w:val="00EF25EC"/>
    <w:rsid w:val="00EF34B9"/>
    <w:rsid w:val="00EF383F"/>
    <w:rsid w:val="00EF4D92"/>
    <w:rsid w:val="00EF5378"/>
    <w:rsid w:val="00EF573C"/>
    <w:rsid w:val="00EF6541"/>
    <w:rsid w:val="00EF6550"/>
    <w:rsid w:val="00EF75A0"/>
    <w:rsid w:val="00F0079E"/>
    <w:rsid w:val="00F02B7B"/>
    <w:rsid w:val="00F04175"/>
    <w:rsid w:val="00F0678A"/>
    <w:rsid w:val="00F074BF"/>
    <w:rsid w:val="00F077A8"/>
    <w:rsid w:val="00F07B5E"/>
    <w:rsid w:val="00F102CD"/>
    <w:rsid w:val="00F1048B"/>
    <w:rsid w:val="00F10951"/>
    <w:rsid w:val="00F10B61"/>
    <w:rsid w:val="00F12BDC"/>
    <w:rsid w:val="00F132A8"/>
    <w:rsid w:val="00F1394D"/>
    <w:rsid w:val="00F142FD"/>
    <w:rsid w:val="00F15947"/>
    <w:rsid w:val="00F177C2"/>
    <w:rsid w:val="00F201B9"/>
    <w:rsid w:val="00F218B7"/>
    <w:rsid w:val="00F21A48"/>
    <w:rsid w:val="00F24E6F"/>
    <w:rsid w:val="00F250C0"/>
    <w:rsid w:val="00F25BBC"/>
    <w:rsid w:val="00F26294"/>
    <w:rsid w:val="00F30956"/>
    <w:rsid w:val="00F31BDD"/>
    <w:rsid w:val="00F33550"/>
    <w:rsid w:val="00F336D5"/>
    <w:rsid w:val="00F338E7"/>
    <w:rsid w:val="00F33973"/>
    <w:rsid w:val="00F34A4A"/>
    <w:rsid w:val="00F35F68"/>
    <w:rsid w:val="00F3765A"/>
    <w:rsid w:val="00F40413"/>
    <w:rsid w:val="00F40E31"/>
    <w:rsid w:val="00F41FF3"/>
    <w:rsid w:val="00F42E3D"/>
    <w:rsid w:val="00F43B23"/>
    <w:rsid w:val="00F4644B"/>
    <w:rsid w:val="00F5030C"/>
    <w:rsid w:val="00F50BF8"/>
    <w:rsid w:val="00F52C95"/>
    <w:rsid w:val="00F5367B"/>
    <w:rsid w:val="00F5387B"/>
    <w:rsid w:val="00F5467E"/>
    <w:rsid w:val="00F54BA5"/>
    <w:rsid w:val="00F54BE0"/>
    <w:rsid w:val="00F54F2B"/>
    <w:rsid w:val="00F54FF0"/>
    <w:rsid w:val="00F57CFE"/>
    <w:rsid w:val="00F60A49"/>
    <w:rsid w:val="00F60F45"/>
    <w:rsid w:val="00F61CFA"/>
    <w:rsid w:val="00F622AA"/>
    <w:rsid w:val="00F62466"/>
    <w:rsid w:val="00F62EC4"/>
    <w:rsid w:val="00F637FE"/>
    <w:rsid w:val="00F63864"/>
    <w:rsid w:val="00F6407E"/>
    <w:rsid w:val="00F66D2D"/>
    <w:rsid w:val="00F70D36"/>
    <w:rsid w:val="00F7140F"/>
    <w:rsid w:val="00F71596"/>
    <w:rsid w:val="00F72E89"/>
    <w:rsid w:val="00F7399D"/>
    <w:rsid w:val="00F73E5E"/>
    <w:rsid w:val="00F74C40"/>
    <w:rsid w:val="00F76033"/>
    <w:rsid w:val="00F7618B"/>
    <w:rsid w:val="00F7699A"/>
    <w:rsid w:val="00F8252F"/>
    <w:rsid w:val="00F8391F"/>
    <w:rsid w:val="00F83B13"/>
    <w:rsid w:val="00F84339"/>
    <w:rsid w:val="00F846A9"/>
    <w:rsid w:val="00F8554C"/>
    <w:rsid w:val="00F856E9"/>
    <w:rsid w:val="00F8594E"/>
    <w:rsid w:val="00F85F2D"/>
    <w:rsid w:val="00F862D0"/>
    <w:rsid w:val="00F86355"/>
    <w:rsid w:val="00F865CE"/>
    <w:rsid w:val="00F869A4"/>
    <w:rsid w:val="00F86D4B"/>
    <w:rsid w:val="00F90909"/>
    <w:rsid w:val="00F93B5C"/>
    <w:rsid w:val="00F94116"/>
    <w:rsid w:val="00F95126"/>
    <w:rsid w:val="00F95B7B"/>
    <w:rsid w:val="00F95D6A"/>
    <w:rsid w:val="00F962F3"/>
    <w:rsid w:val="00F96371"/>
    <w:rsid w:val="00F96452"/>
    <w:rsid w:val="00F96718"/>
    <w:rsid w:val="00FA04AD"/>
    <w:rsid w:val="00FA19CC"/>
    <w:rsid w:val="00FA1DC6"/>
    <w:rsid w:val="00FA2035"/>
    <w:rsid w:val="00FA296B"/>
    <w:rsid w:val="00FA2C37"/>
    <w:rsid w:val="00FA41CF"/>
    <w:rsid w:val="00FA467D"/>
    <w:rsid w:val="00FA4831"/>
    <w:rsid w:val="00FA69A5"/>
    <w:rsid w:val="00FA6B86"/>
    <w:rsid w:val="00FA759D"/>
    <w:rsid w:val="00FB2C2A"/>
    <w:rsid w:val="00FB2C32"/>
    <w:rsid w:val="00FB37FF"/>
    <w:rsid w:val="00FB5436"/>
    <w:rsid w:val="00FB57A6"/>
    <w:rsid w:val="00FB5905"/>
    <w:rsid w:val="00FB6E96"/>
    <w:rsid w:val="00FC0D89"/>
    <w:rsid w:val="00FC0FA3"/>
    <w:rsid w:val="00FC1E77"/>
    <w:rsid w:val="00FC41C1"/>
    <w:rsid w:val="00FC4360"/>
    <w:rsid w:val="00FC55EF"/>
    <w:rsid w:val="00FC6328"/>
    <w:rsid w:val="00FC6FB3"/>
    <w:rsid w:val="00FD0B7B"/>
    <w:rsid w:val="00FD1787"/>
    <w:rsid w:val="00FD20F9"/>
    <w:rsid w:val="00FD2772"/>
    <w:rsid w:val="00FD31FF"/>
    <w:rsid w:val="00FD35A8"/>
    <w:rsid w:val="00FD49FB"/>
    <w:rsid w:val="00FD7690"/>
    <w:rsid w:val="00FE00B5"/>
    <w:rsid w:val="00FE027F"/>
    <w:rsid w:val="00FE230B"/>
    <w:rsid w:val="00FE2EE5"/>
    <w:rsid w:val="00FE32C0"/>
    <w:rsid w:val="00FE6F63"/>
    <w:rsid w:val="00FE71B9"/>
    <w:rsid w:val="00FE76F1"/>
    <w:rsid w:val="00FF01BC"/>
    <w:rsid w:val="00FF15AD"/>
    <w:rsid w:val="00FF1BB7"/>
    <w:rsid w:val="00FF2778"/>
    <w:rsid w:val="00FF2BC5"/>
    <w:rsid w:val="00FF3188"/>
    <w:rsid w:val="00FF4AE2"/>
    <w:rsid w:val="00FF50FC"/>
    <w:rsid w:val="00FF6828"/>
    <w:rsid w:val="00FF7058"/>
    <w:rsid w:val="00FF738C"/>
    <w:rsid w:val="00FF7B28"/>
    <w:rsid w:val="00FF7DEE"/>
    <w:rsid w:val="06A17D91"/>
    <w:rsid w:val="37BFD2B2"/>
    <w:rsid w:val="4DB71542"/>
    <w:rsid w:val="724D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9266E5"/>
    <w:pPr>
      <w:keepNext/>
      <w:keepLines/>
      <w:widowControl/>
      <w:autoSpaceDE/>
      <w:autoSpaceDN/>
      <w:adjustRightInd/>
      <w:spacing w:before="480" w:line="276" w:lineRule="auto"/>
      <w:outlineLvl w:val="0"/>
    </w:pPr>
    <w:rPr>
      <w:b/>
      <w:bCs/>
      <w:i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66E5"/>
    <w:rPr>
      <w:b/>
      <w:bCs/>
      <w:i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customStyle="1" w:styleId="cf01">
    <w:name w:val="cf01"/>
    <w:basedOn w:val="DefaultParagraphFont"/>
    <w:rsid w:val="00996CB7"/>
    <w:rPr>
      <w:rFonts w:ascii="Segoe UI" w:hAnsi="Segoe UI" w:cs="Segoe UI" w:hint="default"/>
      <w:sz w:val="18"/>
      <w:szCs w:val="18"/>
    </w:rPr>
  </w:style>
  <w:style w:type="paragraph" w:styleId="EndnoteText">
    <w:name w:val="endnote text"/>
    <w:basedOn w:val="Normal"/>
    <w:link w:val="EndnoteTextChar"/>
    <w:uiPriority w:val="99"/>
    <w:semiHidden/>
    <w:unhideWhenUsed/>
    <w:rsid w:val="00454DE0"/>
    <w:rPr>
      <w:sz w:val="20"/>
      <w:szCs w:val="20"/>
    </w:rPr>
  </w:style>
  <w:style w:type="character" w:customStyle="1" w:styleId="EndnoteTextChar">
    <w:name w:val="Endnote Text Char"/>
    <w:basedOn w:val="DefaultParagraphFont"/>
    <w:link w:val="EndnoteText"/>
    <w:uiPriority w:val="99"/>
    <w:semiHidden/>
    <w:rsid w:val="00454DE0"/>
    <w:rPr>
      <w:sz w:val="20"/>
      <w:szCs w:val="20"/>
    </w:rPr>
  </w:style>
  <w:style w:type="character" w:styleId="EndnoteReference">
    <w:name w:val="endnote reference"/>
    <w:basedOn w:val="DefaultParagraphFont"/>
    <w:uiPriority w:val="99"/>
    <w:semiHidden/>
    <w:unhideWhenUsed/>
    <w:rsid w:val="00454DE0"/>
    <w:rPr>
      <w:vertAlign w:val="superscript"/>
    </w:rPr>
  </w:style>
  <w:style w:type="character" w:customStyle="1" w:styleId="css-1g9q2al">
    <w:name w:val="css-1g9q2al"/>
    <w:basedOn w:val="DefaultParagraphFont"/>
    <w:rsid w:val="00333020"/>
  </w:style>
  <w:style w:type="character" w:customStyle="1" w:styleId="css-1tmeul0">
    <w:name w:val="css-1tmeul0"/>
    <w:basedOn w:val="DefaultParagraphFont"/>
    <w:rsid w:val="00333020"/>
  </w:style>
  <w:style w:type="character" w:customStyle="1" w:styleId="css-10o52y0">
    <w:name w:val="css-10o52y0"/>
    <w:basedOn w:val="DefaultParagraphFont"/>
    <w:rsid w:val="00333020"/>
  </w:style>
  <w:style w:type="character" w:customStyle="1" w:styleId="css-h5d7i9">
    <w:name w:val="css-h5d7i9"/>
    <w:basedOn w:val="DefaultParagraphFont"/>
    <w:rsid w:val="00333020"/>
  </w:style>
  <w:style w:type="character" w:customStyle="1" w:styleId="css-0">
    <w:name w:val="css-0"/>
    <w:basedOn w:val="DefaultParagraphFont"/>
    <w:rsid w:val="00333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72905239">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617875060">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09736498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25751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data.bls.gov/PDQWeb/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4361</Words>
  <Characters>24318</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dgibbs</dc:creator>
  <cp:lastModifiedBy>Eccles, Tanesha - OSHA</cp:lastModifiedBy>
  <cp:revision>2</cp:revision>
  <cp:lastPrinted>2017-07-11T15:59:00Z</cp:lastPrinted>
  <dcterms:created xsi:type="dcterms:W3CDTF">2025-05-30T13:18:00Z</dcterms:created>
  <dcterms:modified xsi:type="dcterms:W3CDTF">2025-05-30T13:18:00Z</dcterms:modified>
</cp:coreProperties>
</file>