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D7AB" w14:textId="74B4AC54" w:rsidR="000A134A" w:rsidRPr="001C1E47" w:rsidRDefault="002511E9" w:rsidP="00E44D46">
      <w:pPr>
        <w:pStyle w:val="Heading1"/>
      </w:pPr>
      <w:bookmarkStart w:id="0" w:name="_Toc118900169"/>
      <w:bookmarkStart w:id="1" w:name="_Toc118905008"/>
      <w:r w:rsidRPr="001C1E47">
        <w:rPr>
          <w:iCs/>
        </w:rPr>
        <w:t>FY 2</w:t>
      </w:r>
      <w:r w:rsidR="009068D1">
        <w:rPr>
          <w:iCs/>
        </w:rPr>
        <w:t>024</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61177B">
      <w:pPr>
        <w:widowControl/>
        <w:autoSpaceDE/>
        <w:autoSpaceDN/>
        <w:adjustRightInd/>
        <w:rPr>
          <w:rFonts w:cs="Calibri"/>
          <w:bCs/>
          <w:iCs/>
        </w:rPr>
      </w:pPr>
    </w:p>
    <w:p w14:paraId="2A3E5133" w14:textId="418B3120" w:rsidR="000A134A" w:rsidRPr="0020253E" w:rsidRDefault="000A134A" w:rsidP="0020253E">
      <w:pPr>
        <w:widowControl/>
        <w:autoSpaceDE/>
        <w:autoSpaceDN/>
        <w:adjustRightInd/>
        <w:jc w:val="center"/>
        <w:rPr>
          <w:rFonts w:cs="Calibri"/>
        </w:rPr>
      </w:pPr>
      <w:r w:rsidRPr="001C1E47">
        <w:rPr>
          <w:rFonts w:cs="Calibri"/>
        </w:rPr>
        <w:t xml:space="preserve"> </w:t>
      </w:r>
      <w:r w:rsidR="00A76556" w:rsidRPr="00A76556">
        <w:rPr>
          <w:noProof/>
        </w:rPr>
        <w:drawing>
          <wp:inline distT="0" distB="0" distL="0" distR="0" wp14:anchorId="3973EFD7" wp14:editId="785BAD14">
            <wp:extent cx="5943600" cy="425450"/>
            <wp:effectExtent l="0" t="0" r="0" b="0"/>
            <wp:docPr id="2831031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03174"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25450"/>
                    </a:xfrm>
                    <a:prstGeom prst="rect">
                      <a:avLst/>
                    </a:prstGeom>
                    <a:noFill/>
                    <a:ln>
                      <a:noFill/>
                    </a:ln>
                  </pic:spPr>
                </pic:pic>
              </a:graphicData>
            </a:graphic>
          </wp:inline>
        </w:drawing>
      </w:r>
    </w:p>
    <w:p w14:paraId="0E828210" w14:textId="77777777" w:rsidR="000A134A" w:rsidRDefault="000A134A" w:rsidP="0061177B">
      <w:pPr>
        <w:widowControl/>
        <w:autoSpaceDE/>
        <w:autoSpaceDN/>
        <w:adjustRightInd/>
        <w:rPr>
          <w:rFonts w:cs="Calibri"/>
          <w:bCs/>
        </w:rPr>
      </w:pPr>
    </w:p>
    <w:p w14:paraId="50FCE3EC" w14:textId="77777777" w:rsidR="00104119" w:rsidRDefault="00104119" w:rsidP="0061177B">
      <w:pPr>
        <w:widowControl/>
        <w:autoSpaceDE/>
        <w:autoSpaceDN/>
        <w:adjustRightInd/>
        <w:rPr>
          <w:rFonts w:cs="Calibri"/>
          <w:bCs/>
        </w:rPr>
      </w:pPr>
    </w:p>
    <w:p w14:paraId="4B8E6838" w14:textId="3948392F" w:rsidR="00104119" w:rsidRPr="001C1E47" w:rsidRDefault="00104119" w:rsidP="0061177B">
      <w:pPr>
        <w:widowControl/>
        <w:autoSpaceDE/>
        <w:autoSpaceDN/>
        <w:adjustRightInd/>
        <w:rPr>
          <w:rFonts w:cs="Calibri"/>
          <w:bCs/>
        </w:rPr>
      </w:pPr>
      <w:r>
        <w:rPr>
          <w:rFonts w:cs="Calibri"/>
          <w:bCs/>
          <w:noProof/>
        </w:rPr>
        <w:drawing>
          <wp:inline distT="0" distB="0" distL="0" distR="0" wp14:anchorId="13DB2A29" wp14:editId="700BBE8A">
            <wp:extent cx="1804670" cy="1981200"/>
            <wp:effectExtent l="0" t="0" r="0" b="0"/>
            <wp:docPr id="94015224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152249"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4670" cy="1981200"/>
                    </a:xfrm>
                    <a:prstGeom prst="rect">
                      <a:avLst/>
                    </a:prstGeom>
                    <a:noFill/>
                  </pic:spPr>
                </pic:pic>
              </a:graphicData>
            </a:graphic>
          </wp:inline>
        </w:drawing>
      </w:r>
    </w:p>
    <w:p w14:paraId="3FC46738" w14:textId="77777777" w:rsidR="000A134A" w:rsidRPr="001C1E47" w:rsidRDefault="000A134A" w:rsidP="0061177B">
      <w:pPr>
        <w:widowControl/>
        <w:autoSpaceDE/>
        <w:autoSpaceDN/>
        <w:adjustRightInd/>
        <w:rPr>
          <w:rFonts w:cs="Calibri"/>
          <w:b/>
        </w:rPr>
      </w:pPr>
    </w:p>
    <w:p w14:paraId="5C51DCDE" w14:textId="77777777" w:rsidR="00212C0E" w:rsidRDefault="00212C0E" w:rsidP="001C1E47">
      <w:pPr>
        <w:widowControl/>
        <w:tabs>
          <w:tab w:val="left" w:pos="720"/>
          <w:tab w:val="left" w:pos="1440"/>
          <w:tab w:val="left" w:pos="2160"/>
        </w:tabs>
        <w:autoSpaceDE/>
        <w:autoSpaceDN/>
        <w:adjustRightInd/>
        <w:rPr>
          <w:rFonts w:eastAsia="Batang" w:cs="Calibri"/>
          <w:b/>
          <w:sz w:val="28"/>
          <w:szCs w:val="28"/>
        </w:rPr>
      </w:pPr>
    </w:p>
    <w:p w14:paraId="6CB8AD27" w14:textId="0D99B217" w:rsidR="000A134A" w:rsidRPr="00104119" w:rsidRDefault="000A134A" w:rsidP="001C1E47">
      <w:pPr>
        <w:widowControl/>
        <w:tabs>
          <w:tab w:val="left" w:pos="720"/>
          <w:tab w:val="left" w:pos="1440"/>
          <w:tab w:val="left" w:pos="2160"/>
        </w:tabs>
        <w:autoSpaceDE/>
        <w:autoSpaceDN/>
        <w:adjustRightInd/>
        <w:rPr>
          <w:rFonts w:eastAsia="Batang" w:cs="Calibri"/>
          <w:b/>
          <w:color w:val="000000" w:themeColor="text1"/>
          <w:sz w:val="28"/>
          <w:szCs w:val="28"/>
        </w:rPr>
      </w:pPr>
      <w:r w:rsidRPr="001C1E47">
        <w:rPr>
          <w:rFonts w:eastAsia="Batang" w:cs="Calibri"/>
          <w:b/>
          <w:sz w:val="28"/>
          <w:szCs w:val="28"/>
        </w:rPr>
        <w:t>Ev</w:t>
      </w:r>
      <w:r w:rsidR="00882F2B" w:rsidRPr="001C1E47">
        <w:rPr>
          <w:rFonts w:eastAsia="Batang" w:cs="Calibri"/>
          <w:b/>
          <w:sz w:val="28"/>
          <w:szCs w:val="28"/>
        </w:rPr>
        <w:t xml:space="preserve">aluation Period: October 1, </w:t>
      </w:r>
      <w:r w:rsidR="00882F2B" w:rsidRPr="00104119">
        <w:rPr>
          <w:rFonts w:eastAsia="Batang" w:cs="Calibri"/>
          <w:b/>
          <w:color w:val="000000" w:themeColor="text1"/>
          <w:sz w:val="28"/>
          <w:szCs w:val="28"/>
        </w:rPr>
        <w:t>20</w:t>
      </w:r>
      <w:r w:rsidR="00104119" w:rsidRPr="00104119">
        <w:rPr>
          <w:rFonts w:eastAsia="Batang" w:cs="Calibri"/>
          <w:b/>
          <w:color w:val="000000" w:themeColor="text1"/>
          <w:sz w:val="28"/>
          <w:szCs w:val="28"/>
        </w:rPr>
        <w:t>2</w:t>
      </w:r>
      <w:r w:rsidR="00497F87">
        <w:rPr>
          <w:rFonts w:eastAsia="Batang" w:cs="Calibri"/>
          <w:b/>
          <w:color w:val="000000" w:themeColor="text1"/>
          <w:sz w:val="28"/>
          <w:szCs w:val="28"/>
        </w:rPr>
        <w:t>3</w:t>
      </w:r>
      <w:r w:rsidRPr="00104119">
        <w:rPr>
          <w:rFonts w:eastAsia="Batang" w:cs="Calibri"/>
          <w:b/>
          <w:color w:val="000000" w:themeColor="text1"/>
          <w:sz w:val="28"/>
          <w:szCs w:val="28"/>
        </w:rPr>
        <w:t xml:space="preserve"> –</w:t>
      </w:r>
      <w:r w:rsidR="00882F2B" w:rsidRPr="00104119">
        <w:rPr>
          <w:rFonts w:eastAsia="Batang" w:cs="Calibri"/>
          <w:b/>
          <w:color w:val="000000" w:themeColor="text1"/>
          <w:sz w:val="28"/>
          <w:szCs w:val="28"/>
        </w:rPr>
        <w:t xml:space="preserve"> September 30, 20</w:t>
      </w:r>
      <w:r w:rsidR="00104119" w:rsidRPr="00104119">
        <w:rPr>
          <w:rFonts w:eastAsia="Batang" w:cs="Calibri"/>
          <w:b/>
          <w:color w:val="000000" w:themeColor="text1"/>
          <w:sz w:val="28"/>
          <w:szCs w:val="28"/>
        </w:rPr>
        <w:t>24</w:t>
      </w:r>
    </w:p>
    <w:p w14:paraId="03D79AE5" w14:textId="77777777" w:rsidR="000A134A" w:rsidRPr="001C1E47" w:rsidRDefault="000A134A" w:rsidP="007A71AC">
      <w:pPr>
        <w:widowControl/>
        <w:autoSpaceDE/>
        <w:autoSpaceDN/>
        <w:adjustRightInd/>
        <w:jc w:val="center"/>
        <w:rPr>
          <w:rFonts w:cs="Calibri"/>
        </w:rPr>
      </w:pPr>
    </w:p>
    <w:p w14:paraId="015E020F" w14:textId="77777777" w:rsidR="000A134A" w:rsidRPr="001C1E47" w:rsidRDefault="000A134A" w:rsidP="0061177B">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462EFEB1" w14:textId="77777777" w:rsidR="0020253E" w:rsidRPr="0020253E" w:rsidRDefault="0020253E" w:rsidP="0020253E">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20253E">
        <w:rPr>
          <w:rFonts w:eastAsia="Batang" w:cs="Calibri"/>
          <w:b/>
        </w:rPr>
        <w:t>Initial Approval Date:  August 5, 2015</w:t>
      </w:r>
    </w:p>
    <w:p w14:paraId="13ED99A1" w14:textId="77777777" w:rsidR="0020253E" w:rsidRPr="0020253E" w:rsidRDefault="0020253E" w:rsidP="0020253E">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20253E">
        <w:rPr>
          <w:rFonts w:eastAsia="Batang" w:cs="Calibri"/>
          <w:b/>
        </w:rPr>
        <w:t>Program Certification Date: March 21, 2023</w:t>
      </w:r>
    </w:p>
    <w:p w14:paraId="1D2B7A5A" w14:textId="77777777" w:rsidR="0020253E" w:rsidRPr="0020253E" w:rsidRDefault="0020253E" w:rsidP="0020253E">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color w:val="FF0000"/>
        </w:rPr>
      </w:pPr>
      <w:r w:rsidRPr="0020253E">
        <w:rPr>
          <w:rFonts w:eastAsia="Batang" w:cs="Calibri"/>
          <w:b/>
        </w:rPr>
        <w:t xml:space="preserve">  </w:t>
      </w:r>
    </w:p>
    <w:p w14:paraId="28017F67" w14:textId="77777777" w:rsidR="0020253E" w:rsidRPr="0020253E" w:rsidRDefault="0020253E" w:rsidP="0020253E">
      <w:pPr>
        <w:widowControl/>
        <w:autoSpaceDE/>
        <w:autoSpaceDN/>
        <w:adjustRightInd/>
        <w:rPr>
          <w:rFonts w:cs="Calibri"/>
          <w:b/>
          <w:bCs/>
        </w:rPr>
      </w:pPr>
    </w:p>
    <w:p w14:paraId="66C4EF77" w14:textId="77777777" w:rsidR="0020253E" w:rsidRPr="0020253E" w:rsidRDefault="0020253E" w:rsidP="0020253E">
      <w:pPr>
        <w:widowControl/>
        <w:autoSpaceDE/>
        <w:autoSpaceDN/>
        <w:adjustRightInd/>
        <w:rPr>
          <w:rFonts w:cs="Calibri"/>
          <w:b/>
        </w:rPr>
      </w:pPr>
      <w:r w:rsidRPr="0020253E">
        <w:rPr>
          <w:rFonts w:cs="Calibri"/>
          <w:b/>
        </w:rPr>
        <w:t>Prepared by:</w:t>
      </w:r>
    </w:p>
    <w:p w14:paraId="2C238EF5" w14:textId="77777777" w:rsidR="0020253E" w:rsidRPr="0020253E" w:rsidRDefault="0020253E" w:rsidP="0020253E">
      <w:pPr>
        <w:widowControl/>
        <w:autoSpaceDE/>
        <w:autoSpaceDN/>
        <w:adjustRightInd/>
        <w:rPr>
          <w:rFonts w:cs="Calibri"/>
          <w:b/>
        </w:rPr>
      </w:pPr>
      <w:r w:rsidRPr="0020253E">
        <w:rPr>
          <w:rFonts w:cs="Calibri"/>
          <w:b/>
        </w:rPr>
        <w:t xml:space="preserve">U. S. Department of Labor </w:t>
      </w:r>
    </w:p>
    <w:p w14:paraId="6B3027F7" w14:textId="77777777" w:rsidR="0020253E" w:rsidRPr="0020253E" w:rsidRDefault="0020253E" w:rsidP="0020253E">
      <w:pPr>
        <w:widowControl/>
        <w:autoSpaceDE/>
        <w:autoSpaceDN/>
        <w:adjustRightInd/>
        <w:rPr>
          <w:rFonts w:cs="Calibri"/>
          <w:b/>
        </w:rPr>
      </w:pPr>
      <w:r w:rsidRPr="0020253E">
        <w:rPr>
          <w:rFonts w:cs="Calibri"/>
          <w:b/>
        </w:rPr>
        <w:t>Occupational Safety and Health Administration</w:t>
      </w:r>
    </w:p>
    <w:p w14:paraId="317A1C34" w14:textId="40170247" w:rsidR="0020253E" w:rsidRPr="0020253E" w:rsidRDefault="0020253E" w:rsidP="0020253E">
      <w:pPr>
        <w:widowControl/>
        <w:autoSpaceDE/>
        <w:autoSpaceDN/>
        <w:adjustRightInd/>
        <w:rPr>
          <w:rFonts w:cs="Calibri"/>
          <w:b/>
        </w:rPr>
      </w:pPr>
      <w:r>
        <w:rPr>
          <w:rFonts w:cs="Calibri"/>
          <w:b/>
        </w:rPr>
        <w:t>Boston Region</w:t>
      </w:r>
    </w:p>
    <w:p w14:paraId="3498B8E7" w14:textId="77777777" w:rsidR="0020253E" w:rsidRPr="0020253E" w:rsidRDefault="0020253E" w:rsidP="0020253E">
      <w:pPr>
        <w:widowControl/>
        <w:autoSpaceDE/>
        <w:autoSpaceDN/>
        <w:adjustRightInd/>
        <w:rPr>
          <w:rFonts w:cs="Calibri"/>
          <w:b/>
        </w:rPr>
      </w:pPr>
      <w:r w:rsidRPr="0020253E">
        <w:rPr>
          <w:rFonts w:cs="Calibri"/>
          <w:b/>
        </w:rPr>
        <w:t>Boston, Massachusetts</w:t>
      </w:r>
    </w:p>
    <w:p w14:paraId="0E81BC24"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221B5785"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18164B2D" w14:textId="77777777" w:rsidR="000A134A" w:rsidRPr="001C1E47" w:rsidRDefault="000A134A" w:rsidP="0020253E">
      <w:pPr>
        <w:widowControl/>
        <w:autoSpaceDE/>
        <w:autoSpaceDN/>
        <w:adjustRightInd/>
        <w:rPr>
          <w:rFonts w:cs="Calibri"/>
          <w:b/>
        </w:rPr>
      </w:pPr>
    </w:p>
    <w:p w14:paraId="2A4EC189" w14:textId="77777777" w:rsidR="000A134A" w:rsidRPr="001C1E47" w:rsidRDefault="000A134A" w:rsidP="007A71AC">
      <w:pPr>
        <w:widowControl/>
        <w:autoSpaceDE/>
        <w:autoSpaceDN/>
        <w:adjustRightInd/>
        <w:jc w:val="center"/>
        <w:rPr>
          <w:rFonts w:cs="Calibri"/>
          <w:b/>
        </w:rPr>
      </w:pPr>
    </w:p>
    <w:p w14:paraId="2A63637C" w14:textId="77777777" w:rsidR="000A134A" w:rsidRPr="001C1E47" w:rsidRDefault="000A134A" w:rsidP="007A71AC">
      <w:pPr>
        <w:widowControl/>
        <w:autoSpaceDE/>
        <w:autoSpaceDN/>
        <w:adjustRightInd/>
        <w:jc w:val="center"/>
        <w:rPr>
          <w:rFonts w:cs="Calibri"/>
          <w:b/>
        </w:rPr>
      </w:pPr>
    </w:p>
    <w:p w14:paraId="41EC6729" w14:textId="77777777" w:rsidR="000A134A" w:rsidRPr="001C1E47" w:rsidRDefault="000A134A" w:rsidP="007A71AC">
      <w:pPr>
        <w:widowControl/>
        <w:autoSpaceDE/>
        <w:autoSpaceDN/>
        <w:adjustRightInd/>
        <w:jc w:val="center"/>
        <w:rPr>
          <w:rFonts w:cs="Calibri"/>
          <w:b/>
          <w:sz w:val="40"/>
          <w:szCs w:val="40"/>
        </w:rPr>
      </w:pPr>
      <w:r w:rsidRPr="001C1E47">
        <w:rPr>
          <w:rFonts w:cs="Calibri"/>
          <w:noProof/>
        </w:rPr>
        <w:drawing>
          <wp:inline distT="0" distB="0" distL="0" distR="0" wp14:anchorId="1D849888" wp14:editId="02DC62B1">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6D1C94C" w14:textId="4B93198C" w:rsidR="00F43B23" w:rsidRDefault="00F43B23">
      <w:pPr>
        <w:widowControl/>
        <w:autoSpaceDE/>
        <w:autoSpaceDN/>
        <w:adjustRightInd/>
        <w:rPr>
          <w:rFonts w:cs="Calibri"/>
          <w:b/>
          <w:sz w:val="40"/>
          <w:szCs w:val="40"/>
        </w:rPr>
      </w:pPr>
    </w:p>
    <w:p w14:paraId="253E64F1" w14:textId="2FAB4601" w:rsidR="002A6CAA" w:rsidRPr="00F43B23" w:rsidRDefault="00F43B23">
      <w:pPr>
        <w:widowControl/>
        <w:autoSpaceDE/>
        <w:autoSpaceDN/>
        <w:adjustRightInd/>
        <w:rPr>
          <w:rFonts w:cs="Calibri"/>
          <w:b/>
          <w:sz w:val="28"/>
          <w:szCs w:val="28"/>
        </w:rPr>
      </w:pPr>
      <w:r w:rsidRPr="00F43B23">
        <w:rPr>
          <w:rFonts w:cs="Calibri"/>
          <w:b/>
          <w:sz w:val="28"/>
          <w:szCs w:val="28"/>
        </w:rPr>
        <w:t>Table of Contents</w:t>
      </w:r>
    </w:p>
    <w:p w14:paraId="161B9969" w14:textId="35F1BB15" w:rsidR="000F63C1" w:rsidRDefault="000F63C1">
      <w:pPr>
        <w:pStyle w:val="TOC2"/>
        <w:tabs>
          <w:tab w:val="left" w:pos="480"/>
          <w:tab w:val="right" w:leader="dot" w:pos="9530"/>
        </w:tabs>
        <w:rPr>
          <w:rFonts w:eastAsiaTheme="minorEastAsia" w:cstheme="minorBidi"/>
          <w:b/>
          <w:bCs w:val="0"/>
          <w:noProof/>
          <w:sz w:val="22"/>
          <w:szCs w:val="22"/>
        </w:rPr>
      </w:pPr>
      <w:r>
        <w:fldChar w:fldCharType="begin"/>
      </w:r>
      <w:r>
        <w:instrText xml:space="preserve"> TOC \o "2-3" \h \z \u \t "Level 1,1" </w:instrText>
      </w:r>
      <w:r>
        <w:fldChar w:fldCharType="separate"/>
      </w:r>
      <w:hyperlink w:anchor="_Toc119418663" w:history="1">
        <w:r w:rsidRPr="00B5463F">
          <w:rPr>
            <w:rStyle w:val="Hyperlink"/>
            <w:noProof/>
          </w:rPr>
          <w:t>I.</w:t>
        </w:r>
        <w:r>
          <w:rPr>
            <w:rFonts w:eastAsiaTheme="minorEastAsia" w:cstheme="minorBidi"/>
            <w:b/>
            <w:bCs w:val="0"/>
            <w:noProof/>
            <w:sz w:val="22"/>
            <w:szCs w:val="22"/>
          </w:rPr>
          <w:tab/>
        </w:r>
        <w:r w:rsidRPr="00B5463F">
          <w:rPr>
            <w:rStyle w:val="Hyperlink"/>
            <w:noProof/>
          </w:rPr>
          <w:t>Executive Summary</w:t>
        </w:r>
        <w:r>
          <w:rPr>
            <w:noProof/>
            <w:webHidden/>
          </w:rPr>
          <w:tab/>
        </w:r>
        <w:r>
          <w:rPr>
            <w:noProof/>
            <w:webHidden/>
          </w:rPr>
          <w:fldChar w:fldCharType="begin"/>
        </w:r>
        <w:r>
          <w:rPr>
            <w:noProof/>
            <w:webHidden/>
          </w:rPr>
          <w:instrText xml:space="preserve"> PAGEREF _Toc119418663 \h </w:instrText>
        </w:r>
        <w:r>
          <w:rPr>
            <w:noProof/>
            <w:webHidden/>
          </w:rPr>
        </w:r>
        <w:r>
          <w:rPr>
            <w:noProof/>
            <w:webHidden/>
          </w:rPr>
          <w:fldChar w:fldCharType="separate"/>
        </w:r>
        <w:r>
          <w:rPr>
            <w:noProof/>
            <w:webHidden/>
          </w:rPr>
          <w:t>3</w:t>
        </w:r>
        <w:r>
          <w:rPr>
            <w:noProof/>
            <w:webHidden/>
          </w:rPr>
          <w:fldChar w:fldCharType="end"/>
        </w:r>
      </w:hyperlink>
    </w:p>
    <w:p w14:paraId="3BD91ACD" w14:textId="79E701F0" w:rsidR="000F63C1" w:rsidRDefault="000F63C1">
      <w:pPr>
        <w:pStyle w:val="TOC2"/>
        <w:tabs>
          <w:tab w:val="left" w:pos="480"/>
          <w:tab w:val="right" w:leader="dot" w:pos="9530"/>
        </w:tabs>
        <w:rPr>
          <w:rFonts w:eastAsiaTheme="minorEastAsia" w:cstheme="minorBidi"/>
          <w:b/>
          <w:bCs w:val="0"/>
          <w:noProof/>
          <w:sz w:val="22"/>
          <w:szCs w:val="22"/>
        </w:rPr>
      </w:pPr>
      <w:hyperlink w:anchor="_Toc119418664" w:history="1">
        <w:r w:rsidRPr="00B5463F">
          <w:rPr>
            <w:rStyle w:val="Hyperlink"/>
            <w:noProof/>
          </w:rPr>
          <w:t>II.</w:t>
        </w:r>
        <w:r>
          <w:rPr>
            <w:rFonts w:eastAsiaTheme="minorEastAsia" w:cstheme="minorBidi"/>
            <w:b/>
            <w:bCs w:val="0"/>
            <w:noProof/>
            <w:sz w:val="22"/>
            <w:szCs w:val="22"/>
          </w:rPr>
          <w:tab/>
        </w:r>
        <w:r w:rsidRPr="00B5463F">
          <w:rPr>
            <w:rStyle w:val="Hyperlink"/>
            <w:noProof/>
          </w:rPr>
          <w:t>State Plan Background</w:t>
        </w:r>
        <w:r>
          <w:rPr>
            <w:noProof/>
            <w:webHidden/>
          </w:rPr>
          <w:tab/>
        </w:r>
        <w:r>
          <w:rPr>
            <w:noProof/>
            <w:webHidden/>
          </w:rPr>
          <w:fldChar w:fldCharType="begin"/>
        </w:r>
        <w:r>
          <w:rPr>
            <w:noProof/>
            <w:webHidden/>
          </w:rPr>
          <w:instrText xml:space="preserve"> PAGEREF _Toc119418664 \h </w:instrText>
        </w:r>
        <w:r>
          <w:rPr>
            <w:noProof/>
            <w:webHidden/>
          </w:rPr>
        </w:r>
        <w:r>
          <w:rPr>
            <w:noProof/>
            <w:webHidden/>
          </w:rPr>
          <w:fldChar w:fldCharType="separate"/>
        </w:r>
        <w:r>
          <w:rPr>
            <w:noProof/>
            <w:webHidden/>
          </w:rPr>
          <w:t>4</w:t>
        </w:r>
        <w:r>
          <w:rPr>
            <w:noProof/>
            <w:webHidden/>
          </w:rPr>
          <w:fldChar w:fldCharType="end"/>
        </w:r>
      </w:hyperlink>
    </w:p>
    <w:p w14:paraId="12E60A29" w14:textId="0E609E57" w:rsidR="000F63C1" w:rsidRDefault="000F63C1">
      <w:pPr>
        <w:pStyle w:val="TOC2"/>
        <w:tabs>
          <w:tab w:val="left" w:pos="480"/>
          <w:tab w:val="right" w:leader="dot" w:pos="9530"/>
        </w:tabs>
        <w:rPr>
          <w:rFonts w:eastAsiaTheme="minorEastAsia" w:cstheme="minorBidi"/>
          <w:b/>
          <w:bCs w:val="0"/>
          <w:noProof/>
          <w:sz w:val="22"/>
          <w:szCs w:val="22"/>
        </w:rPr>
      </w:pPr>
      <w:hyperlink w:anchor="_Toc119418665" w:history="1">
        <w:r w:rsidRPr="00B5463F">
          <w:rPr>
            <w:rStyle w:val="Hyperlink"/>
            <w:noProof/>
          </w:rPr>
          <w:t>III.</w:t>
        </w:r>
        <w:r>
          <w:rPr>
            <w:rFonts w:eastAsiaTheme="minorEastAsia" w:cstheme="minorBidi"/>
            <w:b/>
            <w:bCs w:val="0"/>
            <w:noProof/>
            <w:sz w:val="22"/>
            <w:szCs w:val="22"/>
          </w:rPr>
          <w:tab/>
        </w:r>
        <w:r w:rsidRPr="00B5463F">
          <w:rPr>
            <w:rStyle w:val="Hyperlink"/>
            <w:noProof/>
          </w:rPr>
          <w:t>Assessment of State Plan Progress and Performance</w:t>
        </w:r>
        <w:r>
          <w:rPr>
            <w:noProof/>
            <w:webHidden/>
          </w:rPr>
          <w:tab/>
        </w:r>
        <w:r>
          <w:rPr>
            <w:noProof/>
            <w:webHidden/>
          </w:rPr>
          <w:fldChar w:fldCharType="begin"/>
        </w:r>
        <w:r>
          <w:rPr>
            <w:noProof/>
            <w:webHidden/>
          </w:rPr>
          <w:instrText xml:space="preserve"> PAGEREF _Toc119418665 \h </w:instrText>
        </w:r>
        <w:r>
          <w:rPr>
            <w:noProof/>
            <w:webHidden/>
          </w:rPr>
        </w:r>
        <w:r>
          <w:rPr>
            <w:noProof/>
            <w:webHidden/>
          </w:rPr>
          <w:fldChar w:fldCharType="separate"/>
        </w:r>
        <w:r>
          <w:rPr>
            <w:noProof/>
            <w:webHidden/>
          </w:rPr>
          <w:t>4</w:t>
        </w:r>
        <w:r>
          <w:rPr>
            <w:noProof/>
            <w:webHidden/>
          </w:rPr>
          <w:fldChar w:fldCharType="end"/>
        </w:r>
      </w:hyperlink>
    </w:p>
    <w:p w14:paraId="1E2078A6" w14:textId="79671C8E" w:rsidR="000F63C1" w:rsidRDefault="000F63C1">
      <w:pPr>
        <w:pStyle w:val="TOC3"/>
        <w:tabs>
          <w:tab w:val="left" w:pos="720"/>
          <w:tab w:val="right" w:leader="dot" w:pos="9530"/>
        </w:tabs>
        <w:rPr>
          <w:rFonts w:eastAsiaTheme="minorEastAsia" w:cstheme="minorBidi"/>
          <w:noProof/>
          <w:sz w:val="22"/>
          <w:szCs w:val="22"/>
        </w:rPr>
      </w:pPr>
      <w:hyperlink w:anchor="_Toc119418666" w:history="1">
        <w:r w:rsidRPr="00B5463F">
          <w:rPr>
            <w:rStyle w:val="Hyperlink"/>
            <w:rFonts w:ascii="Calibri" w:hAnsi="Calibri"/>
            <w:noProof/>
          </w:rPr>
          <w:t>A.</w:t>
        </w:r>
        <w:r>
          <w:rPr>
            <w:rFonts w:eastAsiaTheme="minorEastAsia" w:cstheme="minorBidi"/>
            <w:noProof/>
            <w:sz w:val="22"/>
            <w:szCs w:val="22"/>
          </w:rPr>
          <w:tab/>
        </w:r>
        <w:r w:rsidRPr="00B5463F">
          <w:rPr>
            <w:rStyle w:val="Hyperlink"/>
            <w:noProof/>
          </w:rPr>
          <w:t>Data and Methodology</w:t>
        </w:r>
        <w:r>
          <w:rPr>
            <w:noProof/>
            <w:webHidden/>
          </w:rPr>
          <w:tab/>
        </w:r>
        <w:r>
          <w:rPr>
            <w:noProof/>
            <w:webHidden/>
          </w:rPr>
          <w:fldChar w:fldCharType="begin"/>
        </w:r>
        <w:r>
          <w:rPr>
            <w:noProof/>
            <w:webHidden/>
          </w:rPr>
          <w:instrText xml:space="preserve"> PAGEREF _Toc119418666 \h </w:instrText>
        </w:r>
        <w:r>
          <w:rPr>
            <w:noProof/>
            <w:webHidden/>
          </w:rPr>
        </w:r>
        <w:r>
          <w:rPr>
            <w:noProof/>
            <w:webHidden/>
          </w:rPr>
          <w:fldChar w:fldCharType="separate"/>
        </w:r>
        <w:r>
          <w:rPr>
            <w:noProof/>
            <w:webHidden/>
          </w:rPr>
          <w:t>4</w:t>
        </w:r>
        <w:r>
          <w:rPr>
            <w:noProof/>
            <w:webHidden/>
          </w:rPr>
          <w:fldChar w:fldCharType="end"/>
        </w:r>
      </w:hyperlink>
    </w:p>
    <w:p w14:paraId="5EC14328" w14:textId="35E5CD39" w:rsidR="000F63C1" w:rsidRDefault="000F63C1">
      <w:pPr>
        <w:pStyle w:val="TOC3"/>
        <w:tabs>
          <w:tab w:val="left" w:pos="720"/>
          <w:tab w:val="right" w:leader="dot" w:pos="9530"/>
        </w:tabs>
        <w:rPr>
          <w:rFonts w:eastAsiaTheme="minorEastAsia" w:cstheme="minorBidi"/>
          <w:noProof/>
          <w:sz w:val="22"/>
          <w:szCs w:val="22"/>
        </w:rPr>
      </w:pPr>
      <w:hyperlink w:anchor="_Toc119418667" w:history="1">
        <w:r w:rsidRPr="00B5463F">
          <w:rPr>
            <w:rStyle w:val="Hyperlink"/>
            <w:rFonts w:ascii="Calibri" w:hAnsi="Calibri"/>
            <w:noProof/>
          </w:rPr>
          <w:t>B.</w:t>
        </w:r>
        <w:r>
          <w:rPr>
            <w:rFonts w:eastAsiaTheme="minorEastAsia" w:cstheme="minorBidi"/>
            <w:noProof/>
            <w:sz w:val="22"/>
            <w:szCs w:val="22"/>
          </w:rPr>
          <w:tab/>
        </w:r>
        <w:r w:rsidRPr="00B5463F">
          <w:rPr>
            <w:rStyle w:val="Hyperlink"/>
            <w:noProof/>
          </w:rPr>
          <w:t>Findings and Observations</w:t>
        </w:r>
        <w:r>
          <w:rPr>
            <w:noProof/>
            <w:webHidden/>
          </w:rPr>
          <w:tab/>
        </w:r>
        <w:r>
          <w:rPr>
            <w:noProof/>
            <w:webHidden/>
          </w:rPr>
          <w:fldChar w:fldCharType="begin"/>
        </w:r>
        <w:r>
          <w:rPr>
            <w:noProof/>
            <w:webHidden/>
          </w:rPr>
          <w:instrText xml:space="preserve"> PAGEREF _Toc119418667 \h </w:instrText>
        </w:r>
        <w:r>
          <w:rPr>
            <w:noProof/>
            <w:webHidden/>
          </w:rPr>
        </w:r>
        <w:r>
          <w:rPr>
            <w:noProof/>
            <w:webHidden/>
          </w:rPr>
          <w:fldChar w:fldCharType="separate"/>
        </w:r>
        <w:r>
          <w:rPr>
            <w:noProof/>
            <w:webHidden/>
          </w:rPr>
          <w:t>6</w:t>
        </w:r>
        <w:r>
          <w:rPr>
            <w:noProof/>
            <w:webHidden/>
          </w:rPr>
          <w:fldChar w:fldCharType="end"/>
        </w:r>
      </w:hyperlink>
    </w:p>
    <w:p w14:paraId="373A40FB" w14:textId="591837B9" w:rsidR="000F63C1" w:rsidRDefault="000F63C1">
      <w:pPr>
        <w:pStyle w:val="TOC3"/>
        <w:tabs>
          <w:tab w:val="left" w:pos="720"/>
          <w:tab w:val="right" w:leader="dot" w:pos="9530"/>
        </w:tabs>
        <w:rPr>
          <w:rFonts w:eastAsiaTheme="minorEastAsia" w:cstheme="minorBidi"/>
          <w:noProof/>
          <w:sz w:val="22"/>
          <w:szCs w:val="22"/>
        </w:rPr>
      </w:pPr>
      <w:hyperlink w:anchor="_Toc119418668" w:history="1">
        <w:r w:rsidRPr="00B5463F">
          <w:rPr>
            <w:rStyle w:val="Hyperlink"/>
            <w:rFonts w:ascii="Calibri" w:hAnsi="Calibri"/>
            <w:noProof/>
          </w:rPr>
          <w:t>C.</w:t>
        </w:r>
        <w:r>
          <w:rPr>
            <w:rFonts w:eastAsiaTheme="minorEastAsia" w:cstheme="minorBidi"/>
            <w:noProof/>
            <w:sz w:val="22"/>
            <w:szCs w:val="22"/>
          </w:rPr>
          <w:tab/>
        </w:r>
        <w:r w:rsidRPr="00B5463F">
          <w:rPr>
            <w:rStyle w:val="Hyperlink"/>
            <w:noProof/>
          </w:rPr>
          <w:t>State Activity Mandated Measures (SAMM) Highlights</w:t>
        </w:r>
        <w:r>
          <w:rPr>
            <w:noProof/>
            <w:webHidden/>
          </w:rPr>
          <w:tab/>
        </w:r>
        <w:r>
          <w:rPr>
            <w:noProof/>
            <w:webHidden/>
          </w:rPr>
          <w:fldChar w:fldCharType="begin"/>
        </w:r>
        <w:r>
          <w:rPr>
            <w:noProof/>
            <w:webHidden/>
          </w:rPr>
          <w:instrText xml:space="preserve"> PAGEREF _Toc119418668 \h </w:instrText>
        </w:r>
        <w:r>
          <w:rPr>
            <w:noProof/>
            <w:webHidden/>
          </w:rPr>
        </w:r>
        <w:r>
          <w:rPr>
            <w:noProof/>
            <w:webHidden/>
          </w:rPr>
          <w:fldChar w:fldCharType="separate"/>
        </w:r>
        <w:r>
          <w:rPr>
            <w:noProof/>
            <w:webHidden/>
          </w:rPr>
          <w:t>10</w:t>
        </w:r>
        <w:r>
          <w:rPr>
            <w:noProof/>
            <w:webHidden/>
          </w:rPr>
          <w:fldChar w:fldCharType="end"/>
        </w:r>
      </w:hyperlink>
    </w:p>
    <w:p w14:paraId="50DBA2CB" w14:textId="1FD99932" w:rsidR="000F63C1" w:rsidRDefault="000F63C1">
      <w:pPr>
        <w:pStyle w:val="TOC3"/>
        <w:tabs>
          <w:tab w:val="right" w:leader="dot" w:pos="9530"/>
        </w:tabs>
        <w:rPr>
          <w:rFonts w:eastAsiaTheme="minorEastAsia" w:cstheme="minorBidi"/>
          <w:noProof/>
          <w:sz w:val="22"/>
          <w:szCs w:val="22"/>
        </w:rPr>
      </w:pPr>
      <w:hyperlink w:anchor="_Toc119418669" w:history="1">
        <w:r w:rsidRPr="00B5463F">
          <w:rPr>
            <w:rStyle w:val="Hyperlink"/>
            <w:noProof/>
          </w:rPr>
          <w:t>Appendix A – New and Continued Findings and Recommendations</w:t>
        </w:r>
        <w:r>
          <w:rPr>
            <w:noProof/>
            <w:webHidden/>
          </w:rPr>
          <w:tab/>
        </w:r>
        <w:r>
          <w:rPr>
            <w:noProof/>
            <w:webHidden/>
          </w:rPr>
          <w:fldChar w:fldCharType="begin"/>
        </w:r>
        <w:r>
          <w:rPr>
            <w:noProof/>
            <w:webHidden/>
          </w:rPr>
          <w:instrText xml:space="preserve"> PAGEREF _Toc119418669 \h </w:instrText>
        </w:r>
        <w:r>
          <w:rPr>
            <w:noProof/>
            <w:webHidden/>
          </w:rPr>
        </w:r>
        <w:r>
          <w:rPr>
            <w:noProof/>
            <w:webHidden/>
          </w:rPr>
          <w:fldChar w:fldCharType="separate"/>
        </w:r>
        <w:r>
          <w:rPr>
            <w:noProof/>
            <w:webHidden/>
          </w:rPr>
          <w:t>12</w:t>
        </w:r>
        <w:r>
          <w:rPr>
            <w:noProof/>
            <w:webHidden/>
          </w:rPr>
          <w:fldChar w:fldCharType="end"/>
        </w:r>
      </w:hyperlink>
    </w:p>
    <w:p w14:paraId="150115C6" w14:textId="18F3E0BB" w:rsidR="000F63C1" w:rsidRDefault="000F63C1">
      <w:pPr>
        <w:pStyle w:val="TOC3"/>
        <w:tabs>
          <w:tab w:val="right" w:leader="dot" w:pos="9530"/>
        </w:tabs>
        <w:rPr>
          <w:rFonts w:eastAsiaTheme="minorEastAsia" w:cstheme="minorBidi"/>
          <w:noProof/>
          <w:sz w:val="22"/>
          <w:szCs w:val="22"/>
        </w:rPr>
      </w:pPr>
      <w:hyperlink w:anchor="_Toc119418670" w:history="1">
        <w:r w:rsidRPr="00B5463F">
          <w:rPr>
            <w:rStyle w:val="Hyperlink"/>
            <w:noProof/>
          </w:rPr>
          <w:t>Appendix B – Observations Subject to Continued Monitoring</w:t>
        </w:r>
        <w:r>
          <w:rPr>
            <w:noProof/>
            <w:webHidden/>
          </w:rPr>
          <w:tab/>
        </w:r>
        <w:r>
          <w:rPr>
            <w:noProof/>
            <w:webHidden/>
          </w:rPr>
          <w:fldChar w:fldCharType="begin"/>
        </w:r>
        <w:r>
          <w:rPr>
            <w:noProof/>
            <w:webHidden/>
          </w:rPr>
          <w:instrText xml:space="preserve"> PAGEREF _Toc119418670 \h </w:instrText>
        </w:r>
        <w:r>
          <w:rPr>
            <w:noProof/>
            <w:webHidden/>
          </w:rPr>
        </w:r>
        <w:r>
          <w:rPr>
            <w:noProof/>
            <w:webHidden/>
          </w:rPr>
          <w:fldChar w:fldCharType="separate"/>
        </w:r>
        <w:r>
          <w:rPr>
            <w:noProof/>
            <w:webHidden/>
          </w:rPr>
          <w:t>13</w:t>
        </w:r>
        <w:r>
          <w:rPr>
            <w:noProof/>
            <w:webHidden/>
          </w:rPr>
          <w:fldChar w:fldCharType="end"/>
        </w:r>
      </w:hyperlink>
    </w:p>
    <w:p w14:paraId="65AD001B" w14:textId="4C9621D9" w:rsidR="000F63C1" w:rsidRDefault="000F63C1">
      <w:pPr>
        <w:pStyle w:val="TOC3"/>
        <w:tabs>
          <w:tab w:val="right" w:leader="dot" w:pos="9530"/>
        </w:tabs>
        <w:rPr>
          <w:rFonts w:eastAsiaTheme="minorEastAsia" w:cstheme="minorBidi"/>
          <w:noProof/>
          <w:sz w:val="22"/>
          <w:szCs w:val="22"/>
        </w:rPr>
      </w:pPr>
      <w:hyperlink w:anchor="_Toc119418671" w:history="1">
        <w:r w:rsidRPr="00B5463F">
          <w:rPr>
            <w:rStyle w:val="Hyperlink"/>
            <w:noProof/>
          </w:rPr>
          <w:t>Appendix C - Status of FY 20</w:t>
        </w:r>
        <w:r w:rsidR="00BA7A68">
          <w:rPr>
            <w:rStyle w:val="Hyperlink"/>
            <w:noProof/>
          </w:rPr>
          <w:t xml:space="preserve">23 </w:t>
        </w:r>
        <w:r w:rsidRPr="00B5463F">
          <w:rPr>
            <w:rStyle w:val="Hyperlink"/>
            <w:noProof/>
          </w:rPr>
          <w:t>Findings and Recommendations</w:t>
        </w:r>
        <w:r>
          <w:rPr>
            <w:noProof/>
            <w:webHidden/>
          </w:rPr>
          <w:tab/>
        </w:r>
        <w:r>
          <w:rPr>
            <w:noProof/>
            <w:webHidden/>
          </w:rPr>
          <w:fldChar w:fldCharType="begin"/>
        </w:r>
        <w:r>
          <w:rPr>
            <w:noProof/>
            <w:webHidden/>
          </w:rPr>
          <w:instrText xml:space="preserve"> PAGEREF _Toc119418671 \h </w:instrText>
        </w:r>
        <w:r>
          <w:rPr>
            <w:noProof/>
            <w:webHidden/>
          </w:rPr>
        </w:r>
        <w:r>
          <w:rPr>
            <w:noProof/>
            <w:webHidden/>
          </w:rPr>
          <w:fldChar w:fldCharType="separate"/>
        </w:r>
        <w:r>
          <w:rPr>
            <w:noProof/>
            <w:webHidden/>
          </w:rPr>
          <w:t>15</w:t>
        </w:r>
        <w:r>
          <w:rPr>
            <w:noProof/>
            <w:webHidden/>
          </w:rPr>
          <w:fldChar w:fldCharType="end"/>
        </w:r>
      </w:hyperlink>
    </w:p>
    <w:p w14:paraId="38E9E7F9" w14:textId="0E6FF7FF" w:rsidR="000F63C1" w:rsidRDefault="000F63C1">
      <w:pPr>
        <w:pStyle w:val="TOC3"/>
        <w:tabs>
          <w:tab w:val="right" w:leader="dot" w:pos="9530"/>
        </w:tabs>
        <w:rPr>
          <w:rFonts w:eastAsiaTheme="minorEastAsia" w:cstheme="minorBidi"/>
          <w:noProof/>
          <w:sz w:val="22"/>
          <w:szCs w:val="22"/>
        </w:rPr>
      </w:pPr>
      <w:hyperlink w:anchor="_Toc119418672" w:history="1">
        <w:r w:rsidRPr="00B5463F">
          <w:rPr>
            <w:rStyle w:val="Hyperlink"/>
            <w:noProof/>
          </w:rPr>
          <w:t>Appendix D – FY 20</w:t>
        </w:r>
        <w:r w:rsidR="00BA7A68" w:rsidRPr="00C6221B">
          <w:rPr>
            <w:rStyle w:val="Hyperlink"/>
            <w:noProof/>
            <w:color w:val="000000" w:themeColor="text1"/>
          </w:rPr>
          <w:t>24</w:t>
        </w:r>
        <w:r w:rsidRPr="00B5463F">
          <w:rPr>
            <w:rStyle w:val="Hyperlink"/>
            <w:noProof/>
          </w:rPr>
          <w:t xml:space="preserve"> State Activity Mandated Measures (SAMM) Report</w:t>
        </w:r>
        <w:r>
          <w:rPr>
            <w:noProof/>
            <w:webHidden/>
          </w:rPr>
          <w:tab/>
        </w:r>
        <w:r>
          <w:rPr>
            <w:noProof/>
            <w:webHidden/>
          </w:rPr>
          <w:fldChar w:fldCharType="begin"/>
        </w:r>
        <w:r>
          <w:rPr>
            <w:noProof/>
            <w:webHidden/>
          </w:rPr>
          <w:instrText xml:space="preserve"> PAGEREF _Toc119418672 \h </w:instrText>
        </w:r>
        <w:r>
          <w:rPr>
            <w:noProof/>
            <w:webHidden/>
          </w:rPr>
        </w:r>
        <w:r>
          <w:rPr>
            <w:noProof/>
            <w:webHidden/>
          </w:rPr>
          <w:fldChar w:fldCharType="separate"/>
        </w:r>
        <w:r>
          <w:rPr>
            <w:noProof/>
            <w:webHidden/>
          </w:rPr>
          <w:t>17</w:t>
        </w:r>
        <w:r>
          <w:rPr>
            <w:noProof/>
            <w:webHidden/>
          </w:rPr>
          <w:fldChar w:fldCharType="end"/>
        </w:r>
      </w:hyperlink>
    </w:p>
    <w:p w14:paraId="2A952C03" w14:textId="0074FEF9" w:rsidR="00B823A3" w:rsidRDefault="000F63C1" w:rsidP="000F63C1">
      <w:r>
        <w:fldChar w:fldCharType="end"/>
      </w:r>
      <w:r w:rsidR="00B823A3">
        <w:br w:type="page"/>
      </w:r>
    </w:p>
    <w:p w14:paraId="57C8B837" w14:textId="77777777" w:rsidR="000A134A" w:rsidRPr="001C1E47" w:rsidRDefault="000A134A" w:rsidP="00476C08">
      <w:pPr>
        <w:pStyle w:val="Heading2"/>
      </w:pPr>
      <w:bookmarkStart w:id="2" w:name="_Toc338764303"/>
      <w:bookmarkStart w:id="3" w:name="_Toc118900170"/>
      <w:bookmarkStart w:id="4" w:name="_Toc118905009"/>
      <w:bookmarkStart w:id="5" w:name="_Toc119418663"/>
      <w:r w:rsidRPr="001C1E47">
        <w:lastRenderedPageBreak/>
        <w:t>Executive Summary</w:t>
      </w:r>
      <w:bookmarkEnd w:id="2"/>
      <w:bookmarkEnd w:id="3"/>
      <w:bookmarkEnd w:id="4"/>
      <w:bookmarkEnd w:id="5"/>
    </w:p>
    <w:p w14:paraId="0F631FC5" w14:textId="77777777" w:rsidR="005E7FC7" w:rsidRDefault="005E7FC7" w:rsidP="001C0BD7">
      <w:pPr>
        <w:rPr>
          <w:rFonts w:cs="Calibri"/>
          <w:b/>
        </w:rPr>
      </w:pPr>
    </w:p>
    <w:p w14:paraId="35EE6218" w14:textId="79741AE3" w:rsidR="001C0BD7" w:rsidRDefault="00050FEB" w:rsidP="001C0BD7">
      <w:pPr>
        <w:rPr>
          <w:rFonts w:cs="Calibri"/>
        </w:rPr>
      </w:pPr>
      <w:r w:rsidRPr="001C1E47">
        <w:rPr>
          <w:rFonts w:cs="Calibri"/>
        </w:rPr>
        <w:t xml:space="preserve">The </w:t>
      </w:r>
      <w:r w:rsidR="00F85F2D" w:rsidRPr="001C1E47">
        <w:rPr>
          <w:rFonts w:cs="Calibri"/>
        </w:rPr>
        <w:t xml:space="preserve">primary </w:t>
      </w:r>
      <w:r w:rsidRPr="001C1E47">
        <w:rPr>
          <w:rFonts w:cs="Calibri"/>
        </w:rPr>
        <w:t xml:space="preserve">purpose of this report is to assess the </w:t>
      </w:r>
      <w:r w:rsidR="005E7FC7">
        <w:rPr>
          <w:rFonts w:cs="Calibri"/>
        </w:rPr>
        <w:t xml:space="preserve">Maine </w:t>
      </w:r>
      <w:r w:rsidRPr="001C1E47">
        <w:rPr>
          <w:rFonts w:cs="Calibri"/>
        </w:rPr>
        <w:t xml:space="preserve">State Plan’s </w:t>
      </w:r>
      <w:r w:rsidR="005E7FC7">
        <w:rPr>
          <w:rFonts w:cs="Calibri"/>
        </w:rPr>
        <w:t>(MEOSH)</w:t>
      </w:r>
      <w:r w:rsidR="009068D1">
        <w:rPr>
          <w:rFonts w:cs="Calibri"/>
        </w:rPr>
        <w:t>’s</w:t>
      </w:r>
      <w:r w:rsidR="005E7FC7">
        <w:rPr>
          <w:rFonts w:cs="Calibri"/>
        </w:rPr>
        <w:t xml:space="preserve"> </w:t>
      </w:r>
      <w:r w:rsidR="00F85F2D" w:rsidRPr="001C1E47">
        <w:rPr>
          <w:rFonts w:cs="Calibri"/>
        </w:rPr>
        <w:t>progress in</w:t>
      </w:r>
      <w:r w:rsidRPr="001C1E47">
        <w:rPr>
          <w:rFonts w:cs="Calibri"/>
        </w:rPr>
        <w:t xml:space="preserve"> Fiscal Year (FY) 20</w:t>
      </w:r>
      <w:r w:rsidR="005E7FC7">
        <w:rPr>
          <w:rFonts w:cs="Calibri"/>
        </w:rPr>
        <w:t>24</w:t>
      </w:r>
      <w:r w:rsidRPr="001C1E47">
        <w:rPr>
          <w:rFonts w:cs="Calibri"/>
        </w:rPr>
        <w:t xml:space="preserve">, in resolving outstanding findings from </w:t>
      </w:r>
      <w:r w:rsidR="005837BD" w:rsidRPr="001C1E47">
        <w:rPr>
          <w:rFonts w:cs="Calibri"/>
        </w:rPr>
        <w:t xml:space="preserve">the </w:t>
      </w:r>
      <w:r w:rsidRPr="001C1E47">
        <w:rPr>
          <w:rFonts w:cs="Calibri"/>
        </w:rPr>
        <w:t>previous FY 20</w:t>
      </w:r>
      <w:r w:rsidR="005E7FC7" w:rsidRPr="00706EF7">
        <w:rPr>
          <w:rFonts w:cs="Calibri"/>
        </w:rPr>
        <w:t>23</w:t>
      </w:r>
      <w:r w:rsidR="005E7FC7">
        <w:rPr>
          <w:rFonts w:cs="Calibri"/>
          <w:color w:val="0070C0"/>
        </w:rPr>
        <w:t xml:space="preserve"> </w:t>
      </w:r>
      <w:r w:rsidRPr="001C1E47">
        <w:rPr>
          <w:rFonts w:cs="Calibri"/>
        </w:rPr>
        <w:t>Comprehensive F</w:t>
      </w:r>
      <w:r w:rsidR="00626033" w:rsidRPr="001C1E47">
        <w:rPr>
          <w:rFonts w:cs="Calibri"/>
        </w:rPr>
        <w:t>ederal Annual Monitoring Evaluation (F</w:t>
      </w:r>
      <w:r w:rsidRPr="001C1E47">
        <w:rPr>
          <w:rFonts w:cs="Calibri"/>
        </w:rPr>
        <w:t>AME</w:t>
      </w:r>
      <w:r w:rsidR="00626033" w:rsidRPr="001C1E47">
        <w:rPr>
          <w:rFonts w:cs="Calibri"/>
        </w:rPr>
        <w:t>)</w:t>
      </w:r>
      <w:r w:rsidRPr="001C1E47">
        <w:rPr>
          <w:rFonts w:cs="Calibri"/>
        </w:rPr>
        <w:t xml:space="preserve"> Report.  </w:t>
      </w:r>
    </w:p>
    <w:p w14:paraId="518CAC61" w14:textId="77777777" w:rsidR="002E3874" w:rsidRDefault="002E3874" w:rsidP="00CE0628">
      <w:pPr>
        <w:rPr>
          <w:rFonts w:cs="Calibri"/>
        </w:rPr>
      </w:pPr>
    </w:p>
    <w:p w14:paraId="6727EEC9" w14:textId="70761070" w:rsidR="0023172B" w:rsidRPr="0023172B" w:rsidRDefault="006C68B2" w:rsidP="0023172B">
      <w:pPr>
        <w:widowControl/>
        <w:autoSpaceDE/>
        <w:autoSpaceDN/>
        <w:adjustRightInd/>
        <w:rPr>
          <w:rFonts w:asciiTheme="minorHAnsi" w:hAnsiTheme="minorHAnsi" w:cstheme="minorHAnsi"/>
        </w:rPr>
      </w:pPr>
      <w:r>
        <w:rPr>
          <w:rFonts w:cs="Calibri"/>
        </w:rPr>
        <w:t>In FY 2024, there were no</w:t>
      </w:r>
      <w:r w:rsidR="00CE0628" w:rsidRPr="00CE0628">
        <w:rPr>
          <w:rFonts w:cs="Calibri"/>
          <w:iCs/>
        </w:rPr>
        <w:t xml:space="preserve"> findings or observations </w:t>
      </w:r>
      <w:r>
        <w:rPr>
          <w:rFonts w:cs="Calibri"/>
          <w:iCs/>
        </w:rPr>
        <w:t xml:space="preserve">from the previous FAME report </w:t>
      </w:r>
      <w:r w:rsidR="00CE0628" w:rsidRPr="00CE0628">
        <w:rPr>
          <w:rFonts w:cs="Calibri"/>
          <w:iCs/>
        </w:rPr>
        <w:t>that MEOSH needed to address.</w:t>
      </w:r>
      <w:r>
        <w:rPr>
          <w:rFonts w:cs="Calibri"/>
          <w:iCs/>
        </w:rPr>
        <w:t xml:space="preserve"> </w:t>
      </w:r>
      <w:r w:rsidR="00CE0628" w:rsidRPr="00CE0628">
        <w:rPr>
          <w:rFonts w:cs="Calibri"/>
          <w:iCs/>
        </w:rPr>
        <w:t xml:space="preserve"> As a result, the State Plan focused on maintaining stability</w:t>
      </w:r>
      <w:r w:rsidR="00E93840">
        <w:rPr>
          <w:rFonts w:cs="Calibri"/>
          <w:iCs/>
        </w:rPr>
        <w:t xml:space="preserve">.  </w:t>
      </w:r>
      <w:r w:rsidR="0023172B" w:rsidRPr="0023172B">
        <w:rPr>
          <w:rFonts w:asciiTheme="minorHAnsi" w:hAnsiTheme="minorHAnsi" w:cstheme="minorHAnsi"/>
        </w:rPr>
        <w:t xml:space="preserve">Despite a few staffing vacancies and two of the four compliance officers taking </w:t>
      </w:r>
      <w:r w:rsidR="00E31DB4">
        <w:rPr>
          <w:rFonts w:asciiTheme="minorHAnsi" w:hAnsiTheme="minorHAnsi" w:cstheme="minorHAnsi"/>
        </w:rPr>
        <w:t xml:space="preserve">extended periods of </w:t>
      </w:r>
      <w:r w:rsidR="00C251C0">
        <w:rPr>
          <w:rFonts w:asciiTheme="minorHAnsi" w:hAnsiTheme="minorHAnsi" w:cstheme="minorHAnsi"/>
        </w:rPr>
        <w:t>l</w:t>
      </w:r>
      <w:r w:rsidR="0023172B" w:rsidRPr="0023172B">
        <w:rPr>
          <w:rFonts w:asciiTheme="minorHAnsi" w:hAnsiTheme="minorHAnsi" w:cstheme="minorHAnsi"/>
        </w:rPr>
        <w:t>eave</w:t>
      </w:r>
      <w:r w:rsidR="00E31DB4">
        <w:rPr>
          <w:rFonts w:asciiTheme="minorHAnsi" w:hAnsiTheme="minorHAnsi" w:cstheme="minorHAnsi"/>
        </w:rPr>
        <w:t xml:space="preserve"> </w:t>
      </w:r>
      <w:r w:rsidR="0023172B" w:rsidRPr="0023172B">
        <w:rPr>
          <w:rFonts w:asciiTheme="minorHAnsi" w:hAnsiTheme="minorHAnsi" w:cstheme="minorHAnsi"/>
        </w:rPr>
        <w:t xml:space="preserve">during the year, MEOSH performed well on most performance metrics and achieved </w:t>
      </w:r>
      <w:r w:rsidR="008B50C1">
        <w:rPr>
          <w:rFonts w:asciiTheme="minorHAnsi" w:hAnsiTheme="minorHAnsi" w:cstheme="minorHAnsi"/>
        </w:rPr>
        <w:t>goals for inspection</w:t>
      </w:r>
      <w:r w:rsidR="005D423F">
        <w:rPr>
          <w:rFonts w:asciiTheme="minorHAnsi" w:hAnsiTheme="minorHAnsi" w:cstheme="minorHAnsi"/>
        </w:rPr>
        <w:t xml:space="preserve">s and </w:t>
      </w:r>
      <w:r w:rsidR="0023172B" w:rsidRPr="0023172B">
        <w:rPr>
          <w:rFonts w:asciiTheme="minorHAnsi" w:hAnsiTheme="minorHAnsi" w:cstheme="minorHAnsi"/>
        </w:rPr>
        <w:t>consultation visit</w:t>
      </w:r>
      <w:r w:rsidR="005D423F">
        <w:rPr>
          <w:rFonts w:asciiTheme="minorHAnsi" w:hAnsiTheme="minorHAnsi" w:cstheme="minorHAnsi"/>
        </w:rPr>
        <w:t>s.</w:t>
      </w:r>
    </w:p>
    <w:p w14:paraId="5B4B9261" w14:textId="02007F1F" w:rsidR="00CE0628" w:rsidRPr="00CE0628" w:rsidRDefault="00CE0628" w:rsidP="00CE0628">
      <w:pPr>
        <w:rPr>
          <w:rFonts w:cs="Calibri"/>
          <w:iCs/>
        </w:rPr>
      </w:pPr>
    </w:p>
    <w:p w14:paraId="22712F79" w14:textId="5655A7BB" w:rsidR="00465602" w:rsidRPr="00616003" w:rsidRDefault="00CE0628" w:rsidP="00465602">
      <w:pPr>
        <w:widowControl/>
        <w:autoSpaceDE/>
        <w:autoSpaceDN/>
        <w:adjustRightInd/>
        <w:rPr>
          <w:rFonts w:asciiTheme="minorHAnsi" w:hAnsiTheme="minorHAnsi" w:cstheme="minorHAnsi"/>
        </w:rPr>
      </w:pPr>
      <w:r w:rsidRPr="00616003">
        <w:rPr>
          <w:rFonts w:asciiTheme="minorHAnsi" w:hAnsiTheme="minorHAnsi" w:cstheme="minorHAnsi"/>
          <w:iCs/>
        </w:rPr>
        <w:t xml:space="preserve">However, </w:t>
      </w:r>
      <w:r w:rsidR="00501725">
        <w:rPr>
          <w:rFonts w:asciiTheme="minorHAnsi" w:hAnsiTheme="minorHAnsi" w:cstheme="minorHAnsi"/>
          <w:iCs/>
        </w:rPr>
        <w:t>these staffing issues were not without consequence</w:t>
      </w:r>
      <w:r w:rsidR="0042484F">
        <w:rPr>
          <w:rFonts w:asciiTheme="minorHAnsi" w:hAnsiTheme="minorHAnsi" w:cstheme="minorHAnsi"/>
          <w:iCs/>
        </w:rPr>
        <w:t xml:space="preserve">.  </w:t>
      </w:r>
      <w:r w:rsidR="00465602" w:rsidRPr="00616003">
        <w:rPr>
          <w:rFonts w:asciiTheme="minorHAnsi" w:hAnsiTheme="minorHAnsi" w:cstheme="minorHAnsi"/>
        </w:rPr>
        <w:t xml:space="preserve">MEOSH </w:t>
      </w:r>
      <w:r w:rsidR="000E2136">
        <w:rPr>
          <w:rFonts w:asciiTheme="minorHAnsi" w:hAnsiTheme="minorHAnsi" w:cstheme="minorHAnsi"/>
        </w:rPr>
        <w:t>was unable to a</w:t>
      </w:r>
      <w:r w:rsidR="00465602" w:rsidRPr="00616003">
        <w:rPr>
          <w:rFonts w:asciiTheme="minorHAnsi" w:hAnsiTheme="minorHAnsi" w:cstheme="minorHAnsi"/>
        </w:rPr>
        <w:t xml:space="preserve">chieve its </w:t>
      </w:r>
      <w:r w:rsidR="005D423F">
        <w:rPr>
          <w:rFonts w:asciiTheme="minorHAnsi" w:hAnsiTheme="minorHAnsi" w:cstheme="minorHAnsi"/>
        </w:rPr>
        <w:t>annual performance goal</w:t>
      </w:r>
      <w:r w:rsidR="00DB22F0">
        <w:rPr>
          <w:rFonts w:asciiTheme="minorHAnsi" w:hAnsiTheme="minorHAnsi" w:cstheme="minorHAnsi"/>
        </w:rPr>
        <w:t>s</w:t>
      </w:r>
      <w:r w:rsidR="005D423F">
        <w:rPr>
          <w:rFonts w:asciiTheme="minorHAnsi" w:hAnsiTheme="minorHAnsi" w:cstheme="minorHAnsi"/>
        </w:rPr>
        <w:t xml:space="preserve"> for</w:t>
      </w:r>
      <w:r w:rsidR="005E212F">
        <w:rPr>
          <w:rFonts w:asciiTheme="minorHAnsi" w:hAnsiTheme="minorHAnsi" w:cstheme="minorHAnsi"/>
        </w:rPr>
        <w:t xml:space="preserve"> </w:t>
      </w:r>
      <w:r w:rsidR="00DB22F0">
        <w:rPr>
          <w:rFonts w:asciiTheme="minorHAnsi" w:hAnsiTheme="minorHAnsi" w:cstheme="minorHAnsi"/>
        </w:rPr>
        <w:t>abatement, because it did not</w:t>
      </w:r>
      <w:r w:rsidR="0042484F">
        <w:rPr>
          <w:rFonts w:asciiTheme="minorHAnsi" w:hAnsiTheme="minorHAnsi" w:cstheme="minorHAnsi"/>
        </w:rPr>
        <w:t xml:space="preserve"> identify as many</w:t>
      </w:r>
      <w:r w:rsidR="007E7196">
        <w:rPr>
          <w:rFonts w:asciiTheme="minorHAnsi" w:hAnsiTheme="minorHAnsi" w:cstheme="minorHAnsi"/>
        </w:rPr>
        <w:t xml:space="preserve"> </w:t>
      </w:r>
      <w:r w:rsidR="005E212F">
        <w:rPr>
          <w:rFonts w:asciiTheme="minorHAnsi" w:hAnsiTheme="minorHAnsi" w:cstheme="minorHAnsi"/>
        </w:rPr>
        <w:t>hazards and</w:t>
      </w:r>
      <w:r w:rsidR="005D423F">
        <w:rPr>
          <w:rFonts w:asciiTheme="minorHAnsi" w:hAnsiTheme="minorHAnsi" w:cstheme="minorHAnsi"/>
        </w:rPr>
        <w:t xml:space="preserve"> </w:t>
      </w:r>
      <w:r w:rsidR="00465602" w:rsidRPr="00616003">
        <w:rPr>
          <w:rFonts w:asciiTheme="minorHAnsi" w:hAnsiTheme="minorHAnsi" w:cstheme="minorHAnsi"/>
        </w:rPr>
        <w:t>violations</w:t>
      </w:r>
      <w:r w:rsidR="0042484F">
        <w:rPr>
          <w:rFonts w:asciiTheme="minorHAnsi" w:hAnsiTheme="minorHAnsi" w:cstheme="minorHAnsi"/>
        </w:rPr>
        <w:t xml:space="preserve"> as planned.</w:t>
      </w:r>
      <w:r w:rsidR="007E7196">
        <w:rPr>
          <w:rFonts w:asciiTheme="minorHAnsi" w:hAnsiTheme="minorHAnsi" w:cstheme="minorHAnsi"/>
        </w:rPr>
        <w:t xml:space="preserve">  </w:t>
      </w:r>
      <w:r w:rsidR="00553566">
        <w:rPr>
          <w:rFonts w:asciiTheme="minorHAnsi" w:hAnsiTheme="minorHAnsi" w:cstheme="minorHAnsi"/>
        </w:rPr>
        <w:t>T</w:t>
      </w:r>
      <w:r w:rsidR="001C6EAC">
        <w:rPr>
          <w:rFonts w:asciiTheme="minorHAnsi" w:hAnsiTheme="minorHAnsi" w:cstheme="minorHAnsi"/>
        </w:rPr>
        <w:t>hus</w:t>
      </w:r>
      <w:r w:rsidR="00553566">
        <w:rPr>
          <w:rFonts w:asciiTheme="minorHAnsi" w:hAnsiTheme="minorHAnsi" w:cstheme="minorHAnsi"/>
        </w:rPr>
        <w:t xml:space="preserve">, </w:t>
      </w:r>
      <w:r w:rsidR="00465602" w:rsidRPr="00616003">
        <w:rPr>
          <w:rFonts w:asciiTheme="minorHAnsi" w:hAnsiTheme="minorHAnsi" w:cstheme="minorHAnsi"/>
        </w:rPr>
        <w:t>the State Plan</w:t>
      </w:r>
      <w:r w:rsidR="006F5904" w:rsidRPr="00616003">
        <w:rPr>
          <w:rFonts w:asciiTheme="minorHAnsi" w:hAnsiTheme="minorHAnsi" w:cstheme="minorHAnsi"/>
        </w:rPr>
        <w:t xml:space="preserve"> </w:t>
      </w:r>
      <w:r w:rsidR="007B0F99">
        <w:rPr>
          <w:rFonts w:asciiTheme="minorHAnsi" w:hAnsiTheme="minorHAnsi" w:cstheme="minorHAnsi"/>
        </w:rPr>
        <w:t xml:space="preserve">has </w:t>
      </w:r>
      <w:r w:rsidR="00F05149">
        <w:rPr>
          <w:rFonts w:asciiTheme="minorHAnsi" w:hAnsiTheme="minorHAnsi" w:cstheme="minorHAnsi"/>
        </w:rPr>
        <w:t>some</w:t>
      </w:r>
      <w:r w:rsidR="006B01BB">
        <w:rPr>
          <w:rFonts w:asciiTheme="minorHAnsi" w:hAnsiTheme="minorHAnsi" w:cstheme="minorHAnsi"/>
        </w:rPr>
        <w:t xml:space="preserve"> catching up to do </w:t>
      </w:r>
      <w:r w:rsidR="00401516">
        <w:rPr>
          <w:rFonts w:asciiTheme="minorHAnsi" w:hAnsiTheme="minorHAnsi" w:cstheme="minorHAnsi"/>
        </w:rPr>
        <w:t>to meet long term goals for abatement</w:t>
      </w:r>
      <w:r w:rsidR="00706EF7">
        <w:rPr>
          <w:rFonts w:asciiTheme="minorHAnsi" w:hAnsiTheme="minorHAnsi" w:cstheme="minorHAnsi"/>
        </w:rPr>
        <w:t xml:space="preserve">. </w:t>
      </w:r>
    </w:p>
    <w:p w14:paraId="0C4844B9" w14:textId="128F5121" w:rsidR="005E7FC7" w:rsidRPr="0082265C" w:rsidRDefault="005E7FC7" w:rsidP="001C0BD7">
      <w:pPr>
        <w:rPr>
          <w:rFonts w:cs="Calibri"/>
          <w:iCs/>
        </w:rPr>
      </w:pPr>
    </w:p>
    <w:p w14:paraId="6A7D671B" w14:textId="073148D5" w:rsidR="00783189" w:rsidRPr="001C1E47" w:rsidRDefault="00783189" w:rsidP="00783189">
      <w:pPr>
        <w:widowControl/>
        <w:autoSpaceDE/>
        <w:autoSpaceDN/>
        <w:adjustRightInd/>
        <w:rPr>
          <w:rFonts w:cs="Calibri"/>
        </w:rPr>
      </w:pPr>
    </w:p>
    <w:p w14:paraId="67E95E6F" w14:textId="6755D6C3" w:rsidR="000A134A" w:rsidRDefault="001E71BA" w:rsidP="00476C08">
      <w:pPr>
        <w:pStyle w:val="Heading2"/>
      </w:pPr>
      <w:bookmarkStart w:id="6" w:name="_Toc118900171"/>
      <w:bookmarkStart w:id="7" w:name="_Toc118905010"/>
      <w:bookmarkStart w:id="8" w:name="_Toc119418664"/>
      <w:r w:rsidRPr="001C1E47">
        <w:t>State Plan Background</w:t>
      </w:r>
      <w:bookmarkEnd w:id="6"/>
      <w:bookmarkEnd w:id="7"/>
      <w:bookmarkEnd w:id="8"/>
    </w:p>
    <w:p w14:paraId="3B44F68E" w14:textId="77777777" w:rsidR="00047D8A" w:rsidRDefault="00047D8A" w:rsidP="00047D8A"/>
    <w:p w14:paraId="35E52F33" w14:textId="77777777" w:rsidR="00047D8A" w:rsidRPr="00047D8A" w:rsidRDefault="00047D8A" w:rsidP="00047D8A">
      <w:pPr>
        <w:rPr>
          <w:rFonts w:asciiTheme="minorHAnsi" w:hAnsiTheme="minorHAnsi" w:cstheme="minorHAnsi"/>
        </w:rPr>
      </w:pPr>
      <w:r w:rsidRPr="00047D8A">
        <w:rPr>
          <w:rFonts w:asciiTheme="minorHAnsi" w:hAnsiTheme="minorHAnsi" w:cstheme="minorHAnsi"/>
        </w:rPr>
        <w:t xml:space="preserve">On August 5, 2015, MEOSH received initial approval as a developmental State and Local Government Only State Plan under the Occupational Safety and Health (OSH) Act of 1970.  In October 2020, the Maine Department of Labor, Bureau of Labor Standards submitted documentation attesting to the completion of all developmental steps.  OSHA certified this completion on March 21, 2023.  </w:t>
      </w:r>
    </w:p>
    <w:p w14:paraId="345095CA" w14:textId="77777777" w:rsidR="00047D8A" w:rsidRPr="00047D8A" w:rsidRDefault="00047D8A" w:rsidP="00047D8A">
      <w:pPr>
        <w:rPr>
          <w:rFonts w:asciiTheme="minorHAnsi" w:hAnsiTheme="minorHAnsi" w:cstheme="minorHAnsi"/>
        </w:rPr>
      </w:pPr>
    </w:p>
    <w:p w14:paraId="128F2D31" w14:textId="726965F0" w:rsidR="00047D8A" w:rsidRPr="00047D8A" w:rsidRDefault="00047D8A" w:rsidP="00047D8A">
      <w:pPr>
        <w:rPr>
          <w:rFonts w:asciiTheme="minorHAnsi" w:hAnsiTheme="minorHAnsi" w:cstheme="minorHAnsi"/>
        </w:rPr>
      </w:pPr>
      <w:r w:rsidRPr="00047D8A">
        <w:rPr>
          <w:rFonts w:asciiTheme="minorHAnsi" w:hAnsiTheme="minorHAnsi" w:cstheme="minorHAnsi"/>
        </w:rPr>
        <w:t>The Maine Department of Labor implements MEOSH, and the Director of the Department’s Bureau of Labor Standards is the State Plan designee.  The State Plan is headquartered in Augusta.  MEOSH covers approximately 2,4</w:t>
      </w:r>
      <w:r w:rsidR="00F77F0F">
        <w:rPr>
          <w:rFonts w:asciiTheme="minorHAnsi" w:hAnsiTheme="minorHAnsi" w:cstheme="minorHAnsi"/>
        </w:rPr>
        <w:t>16</w:t>
      </w:r>
      <w:r w:rsidRPr="00047D8A">
        <w:rPr>
          <w:rFonts w:asciiTheme="minorHAnsi" w:hAnsiTheme="minorHAnsi" w:cstheme="minorHAnsi"/>
        </w:rPr>
        <w:t xml:space="preserve"> employers (24</w:t>
      </w:r>
      <w:r w:rsidR="00A0770B">
        <w:rPr>
          <w:rFonts w:asciiTheme="minorHAnsi" w:hAnsiTheme="minorHAnsi" w:cstheme="minorHAnsi"/>
        </w:rPr>
        <w:t>5</w:t>
      </w:r>
      <w:r w:rsidRPr="00047D8A">
        <w:rPr>
          <w:rFonts w:asciiTheme="minorHAnsi" w:hAnsiTheme="minorHAnsi" w:cstheme="minorHAnsi"/>
        </w:rPr>
        <w:t xml:space="preserve"> in state government and 2,1</w:t>
      </w:r>
      <w:r w:rsidR="00D66BF2">
        <w:rPr>
          <w:rFonts w:asciiTheme="minorHAnsi" w:hAnsiTheme="minorHAnsi" w:cstheme="minorHAnsi"/>
        </w:rPr>
        <w:t xml:space="preserve">71 </w:t>
      </w:r>
      <w:r w:rsidRPr="00047D8A">
        <w:rPr>
          <w:rFonts w:asciiTheme="minorHAnsi" w:hAnsiTheme="minorHAnsi" w:cstheme="minorHAnsi"/>
        </w:rPr>
        <w:t>in local government) and 8</w:t>
      </w:r>
      <w:r w:rsidR="00092A1C">
        <w:rPr>
          <w:rFonts w:asciiTheme="minorHAnsi" w:hAnsiTheme="minorHAnsi" w:cstheme="minorHAnsi"/>
        </w:rPr>
        <w:t>5,937</w:t>
      </w:r>
      <w:r w:rsidRPr="00047D8A">
        <w:rPr>
          <w:rFonts w:asciiTheme="minorHAnsi" w:hAnsiTheme="minorHAnsi" w:cstheme="minorHAnsi"/>
        </w:rPr>
        <w:t xml:space="preserve"> workers (2</w:t>
      </w:r>
      <w:r w:rsidR="00156B46">
        <w:rPr>
          <w:rFonts w:asciiTheme="minorHAnsi" w:hAnsiTheme="minorHAnsi" w:cstheme="minorHAnsi"/>
        </w:rPr>
        <w:t>2</w:t>
      </w:r>
      <w:r w:rsidRPr="00047D8A">
        <w:rPr>
          <w:rFonts w:asciiTheme="minorHAnsi" w:hAnsiTheme="minorHAnsi" w:cstheme="minorHAnsi"/>
        </w:rPr>
        <w:t>,</w:t>
      </w:r>
      <w:r w:rsidR="00156B46">
        <w:rPr>
          <w:rFonts w:asciiTheme="minorHAnsi" w:hAnsiTheme="minorHAnsi" w:cstheme="minorHAnsi"/>
        </w:rPr>
        <w:t>055</w:t>
      </w:r>
      <w:r w:rsidRPr="00047D8A">
        <w:rPr>
          <w:rFonts w:asciiTheme="minorHAnsi" w:hAnsiTheme="minorHAnsi" w:cstheme="minorHAnsi"/>
        </w:rPr>
        <w:t xml:space="preserve"> workers in state government and 6</w:t>
      </w:r>
      <w:r w:rsidR="006343FD">
        <w:rPr>
          <w:rFonts w:asciiTheme="minorHAnsi" w:hAnsiTheme="minorHAnsi" w:cstheme="minorHAnsi"/>
        </w:rPr>
        <w:t>3,882</w:t>
      </w:r>
      <w:r w:rsidRPr="00047D8A">
        <w:rPr>
          <w:rFonts w:asciiTheme="minorHAnsi" w:hAnsiTheme="minorHAnsi" w:cstheme="minorHAnsi"/>
        </w:rPr>
        <w:t xml:space="preserve"> workers in local government).</w:t>
      </w:r>
      <w:r w:rsidRPr="00047D8A">
        <w:rPr>
          <w:rFonts w:asciiTheme="minorHAnsi" w:hAnsiTheme="minorHAnsi" w:cstheme="minorHAnsi"/>
          <w:b/>
          <w:bCs/>
          <w:sz w:val="32"/>
          <w:szCs w:val="32"/>
          <w:vertAlign w:val="superscript"/>
        </w:rPr>
        <w:footnoteReference w:id="1"/>
      </w:r>
      <w:r w:rsidRPr="00047D8A">
        <w:rPr>
          <w:rFonts w:asciiTheme="minorHAnsi" w:hAnsiTheme="minorHAnsi" w:cstheme="minorHAnsi"/>
          <w:b/>
          <w:bCs/>
          <w:sz w:val="32"/>
          <w:szCs w:val="32"/>
          <w:vertAlign w:val="superscript"/>
        </w:rPr>
        <w:t xml:space="preserve"> </w:t>
      </w:r>
    </w:p>
    <w:p w14:paraId="19C57D3B" w14:textId="77777777" w:rsidR="00047D8A" w:rsidRPr="00047D8A" w:rsidRDefault="00047D8A" w:rsidP="00047D8A">
      <w:pPr>
        <w:rPr>
          <w:rFonts w:asciiTheme="minorHAnsi" w:hAnsiTheme="minorHAnsi" w:cstheme="minorHAnsi"/>
        </w:rPr>
      </w:pPr>
    </w:p>
    <w:p w14:paraId="4861FE66" w14:textId="77777777" w:rsidR="00047D8A" w:rsidRPr="00047D8A" w:rsidRDefault="00047D8A" w:rsidP="00047D8A">
      <w:pPr>
        <w:rPr>
          <w:rFonts w:asciiTheme="minorHAnsi" w:hAnsiTheme="minorHAnsi" w:cstheme="minorHAnsi"/>
        </w:rPr>
      </w:pPr>
      <w:r w:rsidRPr="00047D8A">
        <w:rPr>
          <w:rFonts w:asciiTheme="minorHAnsi" w:hAnsiTheme="minorHAnsi" w:cstheme="minorHAnsi"/>
        </w:rPr>
        <w:t xml:space="preserve">Volunteers under the direction of a state or local government employer are also covered, as well as workers in county government and quasi-municipal agencies.  MEOSH does not cover federal government workers, including those employed by the United States Postal Service and civilian workers on military bases.  These workers are covered by OSHA, which also exercises authority over private sector employers in the state. </w:t>
      </w:r>
    </w:p>
    <w:p w14:paraId="72697135" w14:textId="77777777" w:rsidR="00047D8A" w:rsidRPr="00047D8A" w:rsidRDefault="00047D8A" w:rsidP="00047D8A">
      <w:pPr>
        <w:rPr>
          <w:rFonts w:asciiTheme="minorHAnsi" w:hAnsiTheme="minorHAnsi" w:cstheme="minorHAnsi"/>
        </w:rPr>
      </w:pPr>
    </w:p>
    <w:p w14:paraId="5228FC82" w14:textId="6B7286AE" w:rsidR="00047D8A" w:rsidRPr="00047D8A" w:rsidRDefault="00047D8A" w:rsidP="00047D8A">
      <w:pPr>
        <w:rPr>
          <w:rFonts w:asciiTheme="minorHAnsi" w:hAnsiTheme="minorHAnsi" w:cstheme="minorHAnsi"/>
        </w:rPr>
      </w:pPr>
      <w:r w:rsidRPr="00047D8A">
        <w:rPr>
          <w:rFonts w:asciiTheme="minorHAnsi" w:hAnsiTheme="minorHAnsi" w:cstheme="minorHAnsi"/>
        </w:rPr>
        <w:t xml:space="preserve">The director and the program manager are the State Plan’s first-line supervisors.  At full staffing, MEOSH has four compliance officers, three safety and one health.  One of the safety compliance officers, the chief safety and health inspector, helps supervise the other three compliance officers </w:t>
      </w:r>
      <w:r w:rsidRPr="00047D8A">
        <w:rPr>
          <w:rFonts w:asciiTheme="minorHAnsi" w:hAnsiTheme="minorHAnsi" w:cstheme="minorHAnsi"/>
        </w:rPr>
        <w:lastRenderedPageBreak/>
        <w:t xml:space="preserve">and, along with the program manager, assists the Director of the Bureau with handling workplace retaliation complaints.  The State Plan’s 23(g) consultation </w:t>
      </w:r>
      <w:r w:rsidR="00706EF7">
        <w:rPr>
          <w:rFonts w:asciiTheme="minorHAnsi" w:hAnsiTheme="minorHAnsi" w:cstheme="minorHAnsi"/>
        </w:rPr>
        <w:t xml:space="preserve">program </w:t>
      </w:r>
      <w:r w:rsidRPr="00047D8A">
        <w:rPr>
          <w:rFonts w:asciiTheme="minorHAnsi" w:hAnsiTheme="minorHAnsi" w:cstheme="minorHAnsi"/>
        </w:rPr>
        <w:t>consists of three consultants, two safety and one health, and a compliance assistance specialist</w:t>
      </w:r>
      <w:r w:rsidR="00A4790E">
        <w:rPr>
          <w:rFonts w:asciiTheme="minorHAnsi" w:hAnsiTheme="minorHAnsi" w:cstheme="minorHAnsi"/>
        </w:rPr>
        <w:t>.</w:t>
      </w:r>
    </w:p>
    <w:p w14:paraId="096BE39E" w14:textId="77777777" w:rsidR="00047D8A" w:rsidRPr="00047D8A" w:rsidRDefault="00047D8A" w:rsidP="00047D8A">
      <w:pPr>
        <w:rPr>
          <w:rFonts w:asciiTheme="minorHAnsi" w:hAnsiTheme="minorHAnsi" w:cstheme="minorHAnsi"/>
        </w:rPr>
      </w:pPr>
    </w:p>
    <w:p w14:paraId="0B07D674" w14:textId="6EFF9E6A" w:rsidR="00047D8A" w:rsidRPr="00047D8A" w:rsidRDefault="00047D8A" w:rsidP="00047D8A">
      <w:pPr>
        <w:rPr>
          <w:rFonts w:asciiTheme="minorHAnsi" w:hAnsiTheme="minorHAnsi" w:cstheme="minorHAnsi"/>
        </w:rPr>
      </w:pPr>
      <w:r w:rsidRPr="00047D8A">
        <w:rPr>
          <w:rFonts w:asciiTheme="minorHAnsi" w:hAnsiTheme="minorHAnsi" w:cstheme="minorHAnsi"/>
        </w:rPr>
        <w:t>MEOSH has adopted OSHA’s occupational safety and health standards.  They generally follow but are not necessarily identical to OSHA’s standards.  MEOSH has unique</w:t>
      </w:r>
      <w:r w:rsidR="007D4C70">
        <w:rPr>
          <w:rFonts w:asciiTheme="minorHAnsi" w:hAnsiTheme="minorHAnsi" w:cstheme="minorHAnsi"/>
        </w:rPr>
        <w:t xml:space="preserve"> standards on</w:t>
      </w:r>
      <w:r w:rsidRPr="00047D8A">
        <w:rPr>
          <w:rFonts w:asciiTheme="minorHAnsi" w:hAnsiTheme="minorHAnsi" w:cstheme="minorHAnsi"/>
        </w:rPr>
        <w:t xml:space="preserve"> respiratory protection and video display terminal</w:t>
      </w:r>
      <w:r w:rsidR="007D4C70">
        <w:rPr>
          <w:rFonts w:asciiTheme="minorHAnsi" w:hAnsiTheme="minorHAnsi" w:cstheme="minorHAnsi"/>
        </w:rPr>
        <w:t>s</w:t>
      </w:r>
      <w:r w:rsidRPr="00047D8A">
        <w:rPr>
          <w:rFonts w:asciiTheme="minorHAnsi" w:hAnsiTheme="minorHAnsi" w:cstheme="minorHAnsi"/>
        </w:rPr>
        <w:t xml:space="preserve">.  The State Plan has also adopted Maine’s standards for public safety dive team operations and driver training requirements for fire apparatuses. </w:t>
      </w:r>
    </w:p>
    <w:p w14:paraId="46BAE081" w14:textId="77777777" w:rsidR="00047D8A" w:rsidRPr="00047D8A" w:rsidRDefault="00047D8A" w:rsidP="00047D8A">
      <w:pPr>
        <w:rPr>
          <w:rFonts w:asciiTheme="minorHAnsi" w:hAnsiTheme="minorHAnsi" w:cstheme="minorHAnsi"/>
        </w:rPr>
      </w:pPr>
    </w:p>
    <w:p w14:paraId="0A438FD4" w14:textId="77777777" w:rsidR="00047D8A" w:rsidRPr="00047D8A" w:rsidRDefault="00047D8A" w:rsidP="00047D8A">
      <w:pPr>
        <w:rPr>
          <w:rFonts w:asciiTheme="minorHAnsi" w:hAnsiTheme="minorHAnsi" w:cstheme="minorHAnsi"/>
        </w:rPr>
      </w:pPr>
      <w:r w:rsidRPr="00047D8A">
        <w:rPr>
          <w:rFonts w:asciiTheme="minorHAnsi" w:hAnsiTheme="minorHAnsi" w:cstheme="minorHAnsi"/>
        </w:rPr>
        <w:t xml:space="preserve">MEOSH conducts workplace inspections.  If violations are identified, citations and proposed assessments of penalties are issued.  State and local government employers may contest citations and proposed penalties before the Board of Occupational Safety and Health (the Board) which adopts standards and is an independent review authority for contested cases.  </w:t>
      </w:r>
    </w:p>
    <w:p w14:paraId="5CF17F1F" w14:textId="77777777" w:rsidR="00047D8A" w:rsidRPr="00047D8A" w:rsidRDefault="00047D8A" w:rsidP="00047D8A">
      <w:pPr>
        <w:rPr>
          <w:rFonts w:asciiTheme="minorHAnsi" w:hAnsiTheme="minorHAnsi" w:cstheme="minorHAnsi"/>
        </w:rPr>
      </w:pPr>
    </w:p>
    <w:p w14:paraId="37A6B090" w14:textId="6065B9F4" w:rsidR="00047D8A" w:rsidRPr="00047D8A" w:rsidRDefault="00047D8A" w:rsidP="00047D8A">
      <w:pPr>
        <w:rPr>
          <w:rFonts w:asciiTheme="minorHAnsi" w:hAnsiTheme="minorHAnsi" w:cstheme="minorHAnsi"/>
        </w:rPr>
      </w:pPr>
      <w:r w:rsidRPr="00047D8A">
        <w:rPr>
          <w:rFonts w:asciiTheme="minorHAnsi" w:hAnsiTheme="minorHAnsi" w:cstheme="minorHAnsi"/>
        </w:rPr>
        <w:t xml:space="preserve">MEOSH’s Field Operations Manual (FOM) is equivalent to OSHA’s FOM, except MEOSH did not adopt OSHA’s penalty adjustment factors in Chapter 6, and the State Plan’s informal conference proceedings in Chapter 7 differ from OSHA’s.  In FY 2023, </w:t>
      </w:r>
      <w:bookmarkStart w:id="9" w:name="_Hlk159918298"/>
      <w:r w:rsidRPr="00047D8A">
        <w:rPr>
          <w:rFonts w:asciiTheme="minorHAnsi" w:hAnsiTheme="minorHAnsi" w:cstheme="minorHAnsi"/>
        </w:rPr>
        <w:t>the State Plan amended Chapter 3, requiring compliance officers to provide written abatement recommendations with each citation to assist employers with their abatement method.</w:t>
      </w:r>
      <w:bookmarkEnd w:id="9"/>
    </w:p>
    <w:p w14:paraId="10D05829" w14:textId="77777777" w:rsidR="00047D8A" w:rsidRPr="00047D8A" w:rsidRDefault="00047D8A" w:rsidP="00047D8A">
      <w:pPr>
        <w:rPr>
          <w:rFonts w:asciiTheme="minorHAnsi" w:hAnsiTheme="minorHAnsi" w:cstheme="minorHAnsi"/>
        </w:rPr>
      </w:pPr>
    </w:p>
    <w:p w14:paraId="23D2DA30" w14:textId="77777777" w:rsidR="00047D8A" w:rsidRPr="00047D8A" w:rsidRDefault="00047D8A" w:rsidP="00047D8A">
      <w:pPr>
        <w:rPr>
          <w:rFonts w:asciiTheme="minorHAnsi" w:hAnsiTheme="minorHAnsi" w:cstheme="minorHAnsi"/>
        </w:rPr>
      </w:pPr>
      <w:r w:rsidRPr="00047D8A">
        <w:rPr>
          <w:rFonts w:asciiTheme="minorHAnsi" w:hAnsiTheme="minorHAnsi" w:cstheme="minorHAnsi"/>
        </w:rPr>
        <w:t>The State Plan enforces Title 26, Chapter 6, §570 of the Maine Revised Statutes Annotated (M.R.S.A.), which outlines the provisions that an employer cannot discharge or in any manner discriminate against a worker filing a complaint, testifying, or otherwise acting to exercise rights granted by the M.R.S.A.  MEOSH adopted 29 CFR 1977, Discrimination Against Employees Under the OSH Act of 1970 in FY 2019.</w:t>
      </w:r>
    </w:p>
    <w:p w14:paraId="6B092D3D" w14:textId="77777777" w:rsidR="00047D8A" w:rsidRPr="00047D8A" w:rsidRDefault="00047D8A" w:rsidP="00047D8A">
      <w:pPr>
        <w:rPr>
          <w:rFonts w:asciiTheme="minorHAnsi" w:hAnsiTheme="minorHAnsi" w:cstheme="minorHAnsi"/>
        </w:rPr>
      </w:pPr>
    </w:p>
    <w:p w14:paraId="5A197A24" w14:textId="6D6D0181" w:rsidR="00047D8A" w:rsidRPr="00047D8A" w:rsidRDefault="00047D8A" w:rsidP="00047D8A">
      <w:pPr>
        <w:rPr>
          <w:rFonts w:asciiTheme="minorHAnsi" w:hAnsiTheme="minorHAnsi" w:cstheme="minorHAnsi"/>
        </w:rPr>
      </w:pPr>
      <w:r w:rsidRPr="006A6904">
        <w:rPr>
          <w:rFonts w:asciiTheme="minorHAnsi" w:hAnsiTheme="minorHAnsi" w:cstheme="minorHAnsi"/>
        </w:rPr>
        <w:t>Based on FY 202</w:t>
      </w:r>
      <w:r w:rsidR="00746476" w:rsidRPr="006A6904">
        <w:rPr>
          <w:rFonts w:asciiTheme="minorHAnsi" w:hAnsiTheme="minorHAnsi" w:cstheme="minorHAnsi"/>
        </w:rPr>
        <w:t>4</w:t>
      </w:r>
      <w:r w:rsidRPr="006A6904">
        <w:rPr>
          <w:rFonts w:asciiTheme="minorHAnsi" w:hAnsiTheme="minorHAnsi" w:cstheme="minorHAnsi"/>
        </w:rPr>
        <w:t xml:space="preserve"> financial close-out forms, the State Plan’s initial federal funding award was $</w:t>
      </w:r>
      <w:r w:rsidR="003800C7" w:rsidRPr="006A6904">
        <w:rPr>
          <w:rFonts w:asciiTheme="minorHAnsi" w:hAnsiTheme="minorHAnsi" w:cstheme="minorHAnsi"/>
        </w:rPr>
        <w:t>613,308</w:t>
      </w:r>
      <w:r w:rsidRPr="006A6904">
        <w:rPr>
          <w:rFonts w:asciiTheme="minorHAnsi" w:hAnsiTheme="minorHAnsi" w:cstheme="minorHAnsi"/>
        </w:rPr>
        <w:t>.  MEOSH contributed $</w:t>
      </w:r>
      <w:r w:rsidR="0034497F" w:rsidRPr="006A6904">
        <w:t>741,737</w:t>
      </w:r>
      <w:r w:rsidR="000657F6" w:rsidRPr="006A6904">
        <w:t xml:space="preserve"> which co</w:t>
      </w:r>
      <w:r w:rsidRPr="006A6904">
        <w:rPr>
          <w:rFonts w:asciiTheme="minorHAnsi" w:hAnsiTheme="minorHAnsi" w:cstheme="minorHAnsi"/>
        </w:rPr>
        <w:t>nsisted of the 50 percent match of $</w:t>
      </w:r>
      <w:r w:rsidR="00D0249F" w:rsidRPr="006A6904">
        <w:rPr>
          <w:rFonts w:asciiTheme="minorHAnsi" w:hAnsiTheme="minorHAnsi" w:cstheme="minorHAnsi"/>
        </w:rPr>
        <w:t>61</w:t>
      </w:r>
      <w:r w:rsidR="0034497F" w:rsidRPr="006A6904">
        <w:rPr>
          <w:rFonts w:asciiTheme="minorHAnsi" w:hAnsiTheme="minorHAnsi" w:cstheme="minorHAnsi"/>
        </w:rPr>
        <w:t xml:space="preserve">3,308 </w:t>
      </w:r>
      <w:r w:rsidRPr="006A6904">
        <w:rPr>
          <w:rFonts w:asciiTheme="minorHAnsi" w:hAnsiTheme="minorHAnsi" w:cstheme="minorHAnsi"/>
        </w:rPr>
        <w:t>plus an additional $</w:t>
      </w:r>
      <w:r w:rsidR="0034497F" w:rsidRPr="006A6904">
        <w:rPr>
          <w:rFonts w:asciiTheme="minorHAnsi" w:hAnsiTheme="minorHAnsi" w:cstheme="minorHAnsi"/>
        </w:rPr>
        <w:t>128,429</w:t>
      </w:r>
      <w:r w:rsidRPr="006A6904">
        <w:rPr>
          <w:rFonts w:asciiTheme="minorHAnsi" w:hAnsiTheme="minorHAnsi" w:cstheme="minorHAnsi"/>
        </w:rPr>
        <w:t>.</w:t>
      </w:r>
      <w:r w:rsidRPr="006A6904">
        <w:rPr>
          <w:rFonts w:asciiTheme="minorHAnsi" w:hAnsiTheme="minorHAnsi" w:cstheme="minorHAnsi"/>
          <w:i/>
          <w:iCs/>
        </w:rPr>
        <w:t xml:space="preserve">  </w:t>
      </w:r>
      <w:r w:rsidRPr="006A6904">
        <w:rPr>
          <w:rFonts w:asciiTheme="minorHAnsi" w:hAnsiTheme="minorHAnsi" w:cstheme="minorHAnsi"/>
        </w:rPr>
        <w:t>Thus, in FY 202</w:t>
      </w:r>
      <w:r w:rsidR="000657F6" w:rsidRPr="006A6904">
        <w:rPr>
          <w:rFonts w:asciiTheme="minorHAnsi" w:hAnsiTheme="minorHAnsi" w:cstheme="minorHAnsi"/>
        </w:rPr>
        <w:t>4</w:t>
      </w:r>
      <w:r w:rsidRPr="006A6904">
        <w:rPr>
          <w:rFonts w:asciiTheme="minorHAnsi" w:hAnsiTheme="minorHAnsi" w:cstheme="minorHAnsi"/>
        </w:rPr>
        <w:t>, MEOSH’s total funding amount was $</w:t>
      </w:r>
      <w:r w:rsidR="006A6904" w:rsidRPr="006A6904">
        <w:t xml:space="preserve">1,355,045. </w:t>
      </w:r>
      <w:r w:rsidRPr="006A6904">
        <w:rPr>
          <w:rFonts w:asciiTheme="minorHAnsi" w:hAnsiTheme="minorHAnsi" w:cstheme="minorHAnsi"/>
        </w:rPr>
        <w:t>MEOSH typically exceeds the 50 percent match and did so in FY 202</w:t>
      </w:r>
      <w:r w:rsidR="006A6904" w:rsidRPr="006A6904">
        <w:rPr>
          <w:rFonts w:asciiTheme="minorHAnsi" w:hAnsiTheme="minorHAnsi" w:cstheme="minorHAnsi"/>
        </w:rPr>
        <w:t>4</w:t>
      </w:r>
      <w:r w:rsidRPr="006A6904">
        <w:rPr>
          <w:rFonts w:asciiTheme="minorHAnsi" w:hAnsiTheme="minorHAnsi" w:cstheme="minorHAnsi"/>
        </w:rPr>
        <w:t xml:space="preserve"> by contributing 5</w:t>
      </w:r>
      <w:r w:rsidR="006A6904" w:rsidRPr="006A6904">
        <w:rPr>
          <w:rFonts w:asciiTheme="minorHAnsi" w:hAnsiTheme="minorHAnsi" w:cstheme="minorHAnsi"/>
        </w:rPr>
        <w:t>5</w:t>
      </w:r>
      <w:r w:rsidRPr="006A6904">
        <w:rPr>
          <w:rFonts w:asciiTheme="minorHAnsi" w:hAnsiTheme="minorHAnsi" w:cstheme="minorHAnsi"/>
        </w:rPr>
        <w:t xml:space="preserve"> percent of the total funding amount.</w:t>
      </w:r>
      <w:r w:rsidRPr="00047D8A">
        <w:rPr>
          <w:rFonts w:asciiTheme="minorHAnsi" w:hAnsiTheme="minorHAnsi" w:cstheme="minorHAnsi"/>
        </w:rPr>
        <w:t xml:space="preserve"> </w:t>
      </w:r>
    </w:p>
    <w:p w14:paraId="0215A254" w14:textId="77777777" w:rsidR="00047D8A" w:rsidRPr="00047D8A" w:rsidRDefault="00047D8A" w:rsidP="00047D8A"/>
    <w:p w14:paraId="07E4A0DB" w14:textId="77777777" w:rsidR="00783189" w:rsidRPr="001C1E47" w:rsidRDefault="00783189" w:rsidP="00783189">
      <w:pPr>
        <w:widowControl/>
        <w:autoSpaceDE/>
        <w:autoSpaceDN/>
        <w:adjustRightInd/>
        <w:contextualSpacing/>
        <w:rPr>
          <w:rFonts w:cs="Calibri"/>
          <w:b/>
        </w:rPr>
      </w:pPr>
    </w:p>
    <w:p w14:paraId="68FBAFD2" w14:textId="77777777" w:rsidR="00781312" w:rsidRPr="001C1E47" w:rsidRDefault="00781312" w:rsidP="00783189">
      <w:pPr>
        <w:widowControl/>
        <w:autoSpaceDE/>
        <w:autoSpaceDN/>
        <w:adjustRightInd/>
        <w:contextualSpacing/>
        <w:rPr>
          <w:rFonts w:cs="Calibri"/>
          <w:b/>
        </w:rPr>
      </w:pPr>
      <w:r w:rsidRPr="001C1E47">
        <w:rPr>
          <w:rFonts w:cs="Calibri"/>
          <w:b/>
        </w:rPr>
        <w:t>New Issues</w:t>
      </w:r>
    </w:p>
    <w:p w14:paraId="44CDA403" w14:textId="77777777" w:rsidR="00C549B5" w:rsidRPr="00C549B5" w:rsidRDefault="00C549B5" w:rsidP="00783189">
      <w:pPr>
        <w:widowControl/>
        <w:autoSpaceDE/>
        <w:autoSpaceDN/>
        <w:adjustRightInd/>
        <w:rPr>
          <w:rFonts w:cs="Calibri"/>
          <w:color w:val="000000" w:themeColor="text1"/>
          <w:sz w:val="28"/>
          <w:szCs w:val="28"/>
        </w:rPr>
      </w:pPr>
    </w:p>
    <w:p w14:paraId="4D45CF2E" w14:textId="2A6D7927" w:rsidR="00780E29" w:rsidRDefault="00C549B5" w:rsidP="00783189">
      <w:pPr>
        <w:widowControl/>
        <w:autoSpaceDE/>
        <w:autoSpaceDN/>
        <w:adjustRightInd/>
        <w:rPr>
          <w:rFonts w:cs="Calibri"/>
          <w:iCs/>
          <w:color w:val="000000" w:themeColor="text1"/>
        </w:rPr>
      </w:pPr>
      <w:r w:rsidRPr="00C549B5">
        <w:rPr>
          <w:rFonts w:cs="Calibri"/>
          <w:iCs/>
          <w:color w:val="000000" w:themeColor="text1"/>
        </w:rPr>
        <w:t>None.</w:t>
      </w:r>
    </w:p>
    <w:p w14:paraId="1BA525D2" w14:textId="77777777" w:rsidR="00C549B5" w:rsidRDefault="00C549B5" w:rsidP="00783189">
      <w:pPr>
        <w:widowControl/>
        <w:autoSpaceDE/>
        <w:autoSpaceDN/>
        <w:adjustRightInd/>
        <w:rPr>
          <w:rFonts w:cs="Calibri"/>
          <w:iCs/>
          <w:color w:val="000000" w:themeColor="text1"/>
        </w:rPr>
      </w:pPr>
    </w:p>
    <w:p w14:paraId="0A29FCDE" w14:textId="40051B71" w:rsidR="00054900" w:rsidRPr="00476C08" w:rsidRDefault="00054900" w:rsidP="00476C08">
      <w:pPr>
        <w:pStyle w:val="Heading2"/>
      </w:pPr>
      <w:bookmarkStart w:id="10" w:name="_Toc118900172"/>
      <w:bookmarkStart w:id="11" w:name="_Toc118905011"/>
      <w:bookmarkStart w:id="12" w:name="_Toc119418665"/>
      <w:r w:rsidRPr="00476C08">
        <w:t xml:space="preserve">Assessment of State Plan </w:t>
      </w:r>
      <w:r w:rsidR="001E2FBB" w:rsidRPr="00476C08">
        <w:t xml:space="preserve">Progress and </w:t>
      </w:r>
      <w:r w:rsidRPr="00476C08">
        <w:t>Performance</w:t>
      </w:r>
      <w:bookmarkEnd w:id="10"/>
      <w:bookmarkEnd w:id="11"/>
      <w:bookmarkEnd w:id="12"/>
    </w:p>
    <w:p w14:paraId="07D68C5F" w14:textId="77777777" w:rsidR="00054900" w:rsidRPr="001C1E47" w:rsidRDefault="00054900" w:rsidP="00783189">
      <w:pPr>
        <w:widowControl/>
        <w:autoSpaceDE/>
        <w:autoSpaceDN/>
        <w:adjustRightInd/>
        <w:rPr>
          <w:rFonts w:cs="Calibri"/>
        </w:rPr>
      </w:pPr>
    </w:p>
    <w:p w14:paraId="4CD3C312" w14:textId="77777777" w:rsidR="000A134A" w:rsidRPr="00C53328" w:rsidRDefault="000A134A" w:rsidP="0061362E">
      <w:pPr>
        <w:pStyle w:val="Heading3"/>
      </w:pPr>
      <w:bookmarkStart w:id="13" w:name="_Toc118900173"/>
      <w:bookmarkStart w:id="14" w:name="_Toc118905012"/>
      <w:bookmarkStart w:id="15" w:name="_Toc119418666"/>
      <w:r w:rsidRPr="00C53328">
        <w:t>Data and Methodology</w:t>
      </w:r>
      <w:bookmarkEnd w:id="13"/>
      <w:bookmarkEnd w:id="14"/>
      <w:bookmarkEnd w:id="15"/>
    </w:p>
    <w:p w14:paraId="72EF69F8" w14:textId="77777777" w:rsidR="000A134A" w:rsidRPr="001C1E47" w:rsidRDefault="000A134A" w:rsidP="00783189">
      <w:pPr>
        <w:widowControl/>
        <w:autoSpaceDE/>
        <w:autoSpaceDN/>
        <w:adjustRightInd/>
        <w:ind w:left="1440"/>
        <w:rPr>
          <w:rFonts w:cs="Calibri"/>
          <w:bCs/>
        </w:rPr>
      </w:pPr>
    </w:p>
    <w:p w14:paraId="3EEE3A69" w14:textId="77777777" w:rsidR="005504BC" w:rsidRPr="001C1E47" w:rsidRDefault="000A134A" w:rsidP="00783189">
      <w:pPr>
        <w:widowControl/>
        <w:autoSpaceDE/>
        <w:autoSpaceDN/>
        <w:adjustRightInd/>
        <w:rPr>
          <w:rFonts w:cs="Calibri"/>
          <w:bCs/>
        </w:rPr>
      </w:pPr>
      <w:r w:rsidRPr="001C1E47">
        <w:rPr>
          <w:rFonts w:cs="Calibri"/>
          <w:bCs/>
        </w:rPr>
        <w:t>OSHA has established a two-year cycle for the FAME process.  This is the follow-up year</w:t>
      </w:r>
      <w:r w:rsidR="005E3EFB" w:rsidRPr="001C1E47">
        <w:rPr>
          <w:rFonts w:cs="Calibri"/>
          <w:bCs/>
        </w:rPr>
        <w:t>,</w:t>
      </w:r>
      <w:r w:rsidRPr="001C1E47">
        <w:rPr>
          <w:rFonts w:cs="Calibri"/>
          <w:bCs/>
        </w:rPr>
        <w:t xml:space="preserve"> and as such</w:t>
      </w:r>
      <w:r w:rsidR="005E3EFB" w:rsidRPr="001C1E47">
        <w:rPr>
          <w:rFonts w:cs="Calibri"/>
          <w:bCs/>
        </w:rPr>
        <w:t>,</w:t>
      </w:r>
      <w:r w:rsidRPr="001C1E47">
        <w:rPr>
          <w:rFonts w:cs="Calibri"/>
          <w:bCs/>
        </w:rPr>
        <w:t xml:space="preserve"> OSHA did not perform </w:t>
      </w:r>
      <w:r w:rsidR="00957E7E" w:rsidRPr="001C1E47">
        <w:rPr>
          <w:rFonts w:cs="Calibri"/>
          <w:bCs/>
        </w:rPr>
        <w:t>an on</w:t>
      </w:r>
      <w:r w:rsidR="00DC6559" w:rsidRPr="001C1E47">
        <w:rPr>
          <w:rFonts w:cs="Calibri"/>
          <w:bCs/>
        </w:rPr>
        <w:t>-</w:t>
      </w:r>
      <w:r w:rsidR="00957E7E" w:rsidRPr="001C1E47">
        <w:rPr>
          <w:rFonts w:cs="Calibri"/>
          <w:bCs/>
        </w:rPr>
        <w:t>site</w:t>
      </w:r>
      <w:r w:rsidRPr="001C1E47">
        <w:rPr>
          <w:rFonts w:cs="Calibri"/>
          <w:bCs/>
        </w:rPr>
        <w:t xml:space="preserve"> case file review associated with a comprehensive FAME.  </w:t>
      </w:r>
      <w:r w:rsidRPr="001C1E47">
        <w:rPr>
          <w:rFonts w:cs="Calibri"/>
          <w:bCs/>
        </w:rPr>
        <w:lastRenderedPageBreak/>
        <w:t>This strategy allows the State Plan to focus on correcting deficiencies identified in the most recent comprehensive FAME</w:t>
      </w:r>
      <w:r w:rsidR="003A4F3E" w:rsidRPr="001C1E47">
        <w:rPr>
          <w:rFonts w:cs="Calibri"/>
          <w:bCs/>
        </w:rPr>
        <w:t>.</w:t>
      </w:r>
      <w:r w:rsidR="00733729" w:rsidRPr="001C1E47">
        <w:rPr>
          <w:rFonts w:cs="Calibri"/>
          <w:bCs/>
        </w:rPr>
        <w:t xml:space="preserve">  </w:t>
      </w:r>
      <w:r w:rsidR="005504BC" w:rsidRPr="001C1E47">
        <w:rPr>
          <w:rFonts w:cs="Calibri"/>
          <w:bCs/>
        </w:rPr>
        <w:t>The analyses and conclusions described in this report are based on information obtained from a variety of monitoring sources, including:</w:t>
      </w:r>
    </w:p>
    <w:p w14:paraId="54439AF2" w14:textId="77777777" w:rsidR="005504BC" w:rsidRPr="001C1E47" w:rsidRDefault="005504BC" w:rsidP="007A71AC">
      <w:pPr>
        <w:widowControl/>
        <w:autoSpaceDE/>
        <w:autoSpaceDN/>
        <w:adjustRightInd/>
        <w:rPr>
          <w:rFonts w:cs="Calibri"/>
          <w:bCs/>
        </w:rPr>
      </w:pPr>
    </w:p>
    <w:p w14:paraId="409C16B9" w14:textId="62BEE527" w:rsidR="005504BC" w:rsidRPr="001C1E47" w:rsidRDefault="005504BC" w:rsidP="008626CE">
      <w:pPr>
        <w:pStyle w:val="ListParagraph"/>
        <w:numPr>
          <w:ilvl w:val="0"/>
          <w:numId w:val="7"/>
        </w:numPr>
        <w:spacing w:after="0" w:line="240" w:lineRule="auto"/>
        <w:rPr>
          <w:bCs/>
        </w:rPr>
      </w:pPr>
      <w:r w:rsidRPr="001C1E47">
        <w:rPr>
          <w:bCs/>
          <w:sz w:val="24"/>
          <w:szCs w:val="24"/>
        </w:rPr>
        <w:t xml:space="preserve">State Activity Mandated Measures </w:t>
      </w:r>
      <w:r w:rsidR="00E7030A" w:rsidRPr="001C1E47">
        <w:rPr>
          <w:bCs/>
          <w:sz w:val="24"/>
          <w:szCs w:val="24"/>
        </w:rPr>
        <w:t xml:space="preserve">(SAMM) </w:t>
      </w:r>
      <w:r w:rsidRPr="001C1E47">
        <w:rPr>
          <w:bCs/>
          <w:sz w:val="24"/>
          <w:szCs w:val="24"/>
        </w:rPr>
        <w:t xml:space="preserve">Report </w:t>
      </w:r>
    </w:p>
    <w:p w14:paraId="5D91E03D" w14:textId="36E1E619" w:rsidR="00FF4AE2" w:rsidRPr="001C1E47" w:rsidRDefault="00FF4AE2" w:rsidP="008626CE">
      <w:pPr>
        <w:pStyle w:val="ListParagraph"/>
        <w:numPr>
          <w:ilvl w:val="0"/>
          <w:numId w:val="7"/>
        </w:numPr>
        <w:spacing w:after="0" w:line="240" w:lineRule="auto"/>
        <w:rPr>
          <w:bCs/>
        </w:rPr>
      </w:pPr>
      <w:r w:rsidRPr="001C1E47">
        <w:rPr>
          <w:bCs/>
          <w:sz w:val="24"/>
          <w:szCs w:val="24"/>
        </w:rPr>
        <w:t xml:space="preserve">Mandated Activities Report for Consultation </w:t>
      </w:r>
    </w:p>
    <w:p w14:paraId="4054753A" w14:textId="174FAF74"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OSHA Annual Report </w:t>
      </w:r>
    </w:p>
    <w:p w14:paraId="03220F96" w14:textId="134519E3" w:rsidR="00FF4AE2" w:rsidRPr="001C1E47" w:rsidRDefault="00FF4AE2" w:rsidP="008626CE">
      <w:pPr>
        <w:pStyle w:val="ListParagraph"/>
        <w:numPr>
          <w:ilvl w:val="0"/>
          <w:numId w:val="7"/>
        </w:numPr>
        <w:spacing w:after="0" w:line="240" w:lineRule="auto"/>
        <w:rPr>
          <w:bCs/>
        </w:rPr>
      </w:pPr>
      <w:r w:rsidRPr="001C1E47">
        <w:rPr>
          <w:bCs/>
          <w:sz w:val="24"/>
          <w:szCs w:val="24"/>
        </w:rPr>
        <w:t>State Plan Annual Performance Plan</w:t>
      </w:r>
      <w:r w:rsidR="0061362E">
        <w:rPr>
          <w:bCs/>
          <w:sz w:val="24"/>
          <w:szCs w:val="24"/>
        </w:rPr>
        <w:t xml:space="preserve"> </w:t>
      </w:r>
    </w:p>
    <w:p w14:paraId="4CBC94FB" w14:textId="77777777"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Plan Grant </w:t>
      </w:r>
      <w:r w:rsidR="00DC6559" w:rsidRPr="001C1E47">
        <w:rPr>
          <w:bCs/>
          <w:sz w:val="24"/>
          <w:szCs w:val="24"/>
        </w:rPr>
        <w:t>A</w:t>
      </w:r>
      <w:r w:rsidRPr="001C1E47">
        <w:rPr>
          <w:bCs/>
          <w:sz w:val="24"/>
          <w:szCs w:val="24"/>
        </w:rPr>
        <w:t xml:space="preserve">pplication </w:t>
      </w:r>
    </w:p>
    <w:p w14:paraId="79AC3075" w14:textId="77777777" w:rsidR="00FF4AE2" w:rsidRPr="001C1E47" w:rsidRDefault="00FF4AE2" w:rsidP="008626CE">
      <w:pPr>
        <w:pStyle w:val="ListParagraph"/>
        <w:numPr>
          <w:ilvl w:val="0"/>
          <w:numId w:val="7"/>
        </w:numPr>
        <w:spacing w:after="0" w:line="240" w:lineRule="auto"/>
        <w:rPr>
          <w:bCs/>
        </w:rPr>
      </w:pPr>
      <w:r w:rsidRPr="001C1E47">
        <w:rPr>
          <w:bCs/>
          <w:sz w:val="24"/>
          <w:szCs w:val="24"/>
        </w:rPr>
        <w:t>Quarterly monitoring meetings between OSHA and the State Plan</w:t>
      </w:r>
    </w:p>
    <w:p w14:paraId="5DCBF017" w14:textId="77777777" w:rsidR="00783189" w:rsidRPr="0061362E" w:rsidRDefault="00783189" w:rsidP="007A71AC">
      <w:pPr>
        <w:widowControl/>
        <w:autoSpaceDE/>
        <w:autoSpaceDN/>
        <w:adjustRightInd/>
        <w:rPr>
          <w:rFonts w:cs="Calibri"/>
          <w:bCs/>
          <w:iCs/>
          <w:color w:val="0070C0"/>
        </w:rPr>
      </w:pPr>
    </w:p>
    <w:p w14:paraId="7EA0158E" w14:textId="77777777" w:rsidR="001E2FBB" w:rsidRPr="0020345F" w:rsidRDefault="001E2FBB" w:rsidP="00783189">
      <w:pPr>
        <w:widowControl/>
        <w:autoSpaceDE/>
        <w:autoSpaceDN/>
        <w:adjustRightInd/>
        <w:rPr>
          <w:rFonts w:cs="Calibri"/>
          <w:bCs/>
          <w:iCs/>
        </w:rPr>
      </w:pPr>
    </w:p>
    <w:p w14:paraId="5E67DDEC" w14:textId="77777777" w:rsidR="000A134A" w:rsidRPr="001C1E47" w:rsidRDefault="000A134A" w:rsidP="0061362E">
      <w:pPr>
        <w:pStyle w:val="Heading3"/>
      </w:pPr>
      <w:bookmarkStart w:id="16" w:name="_Toc118900174"/>
      <w:bookmarkStart w:id="17" w:name="_Toc118905013"/>
      <w:bookmarkStart w:id="18" w:name="_Toc119418667"/>
      <w:r w:rsidRPr="001C1E47">
        <w:t>Findings and Observations</w:t>
      </w:r>
      <w:bookmarkEnd w:id="16"/>
      <w:bookmarkEnd w:id="17"/>
      <w:bookmarkEnd w:id="18"/>
    </w:p>
    <w:p w14:paraId="6C7BE9F8" w14:textId="77777777" w:rsidR="00E71FB7" w:rsidRPr="001C1E47" w:rsidRDefault="00E71FB7" w:rsidP="00783189">
      <w:pPr>
        <w:widowControl/>
        <w:autoSpaceDE/>
        <w:autoSpaceDN/>
        <w:adjustRightInd/>
        <w:rPr>
          <w:rFonts w:cs="Calibri"/>
          <w:highlight w:val="yellow"/>
          <w:u w:val="single"/>
        </w:rPr>
      </w:pPr>
    </w:p>
    <w:p w14:paraId="4D6FC0C9" w14:textId="77777777" w:rsidR="00A420C5" w:rsidRDefault="00A420C5" w:rsidP="00A420C5">
      <w:pPr>
        <w:pStyle w:val="Heading4"/>
      </w:pPr>
      <w:bookmarkStart w:id="19" w:name="_Toc118900175"/>
      <w:bookmarkStart w:id="20" w:name="_Toc118905014"/>
      <w:r w:rsidRPr="001C1E47">
        <w:t>Findings (Status of Previous and New Items)</w:t>
      </w:r>
      <w:bookmarkEnd w:id="19"/>
      <w:bookmarkEnd w:id="20"/>
    </w:p>
    <w:p w14:paraId="5343BB7B" w14:textId="77777777" w:rsidR="00A420C5" w:rsidRPr="00012145" w:rsidRDefault="00A420C5" w:rsidP="00A420C5">
      <w:pPr>
        <w:rPr>
          <w:highlight w:val="yellow"/>
        </w:rPr>
      </w:pPr>
    </w:p>
    <w:p w14:paraId="687C3D11" w14:textId="0BCFE896" w:rsidR="00A420C5" w:rsidRPr="001C1E47" w:rsidRDefault="00A420C5" w:rsidP="00A420C5">
      <w:pPr>
        <w:widowControl/>
        <w:autoSpaceDE/>
        <w:autoSpaceDN/>
        <w:adjustRightInd/>
        <w:rPr>
          <w:rFonts w:cs="Calibri"/>
        </w:rPr>
      </w:pPr>
      <w:r>
        <w:rPr>
          <w:rFonts w:cs="Calibri"/>
        </w:rPr>
        <w:t xml:space="preserve">This report </w:t>
      </w:r>
      <w:r w:rsidR="00706EF7">
        <w:rPr>
          <w:rFonts w:cs="Calibri"/>
        </w:rPr>
        <w:t>does not contain any</w:t>
      </w:r>
      <w:r>
        <w:rPr>
          <w:rFonts w:cs="Calibri"/>
        </w:rPr>
        <w:t xml:space="preserve"> new </w:t>
      </w:r>
      <w:r w:rsidRPr="005152BA">
        <w:rPr>
          <w:rFonts w:cs="Calibri"/>
        </w:rPr>
        <w:t>or continued</w:t>
      </w:r>
      <w:r>
        <w:rPr>
          <w:rFonts w:cs="Calibri"/>
        </w:rPr>
        <w:t xml:space="preserve"> findings or observations.</w:t>
      </w:r>
    </w:p>
    <w:p w14:paraId="7C2F3EA1" w14:textId="77777777" w:rsidR="005E038B" w:rsidRDefault="005E038B" w:rsidP="00783189">
      <w:pPr>
        <w:widowControl/>
        <w:autoSpaceDE/>
        <w:autoSpaceDN/>
        <w:adjustRightInd/>
        <w:rPr>
          <w:rFonts w:cs="Calibri"/>
          <w:bCs/>
        </w:rPr>
      </w:pPr>
    </w:p>
    <w:p w14:paraId="5E09AC4A" w14:textId="77777777" w:rsidR="00212C0E" w:rsidRPr="001C1E47" w:rsidRDefault="00212C0E" w:rsidP="00783189">
      <w:pPr>
        <w:widowControl/>
        <w:autoSpaceDE/>
        <w:autoSpaceDN/>
        <w:adjustRightInd/>
        <w:rPr>
          <w:rFonts w:cs="Calibri"/>
          <w:bCs/>
        </w:rPr>
      </w:pPr>
    </w:p>
    <w:p w14:paraId="3B828F9D" w14:textId="3974225E" w:rsidR="00F132A8" w:rsidRPr="0061362E" w:rsidRDefault="00F132A8" w:rsidP="0061362E">
      <w:pPr>
        <w:pStyle w:val="Heading3"/>
      </w:pPr>
      <w:bookmarkStart w:id="21" w:name="_Toc118900177"/>
      <w:bookmarkStart w:id="22" w:name="_Toc118905016"/>
      <w:bookmarkStart w:id="23" w:name="_Toc119418668"/>
      <w:r w:rsidRPr="0061362E">
        <w:t xml:space="preserve">State Activity Mandated Measures </w:t>
      </w:r>
      <w:r w:rsidR="00706EF7">
        <w:t>(</w:t>
      </w:r>
      <w:r w:rsidRPr="0061362E">
        <w:t>SAMM)</w:t>
      </w:r>
      <w:r w:rsidR="00A243D6" w:rsidRPr="0061362E">
        <w:t xml:space="preserve"> Highlights</w:t>
      </w:r>
      <w:bookmarkEnd w:id="21"/>
      <w:bookmarkEnd w:id="22"/>
      <w:bookmarkEnd w:id="23"/>
    </w:p>
    <w:p w14:paraId="1ACC4DE2" w14:textId="77777777" w:rsidR="00F132A8" w:rsidRPr="001C1E47" w:rsidRDefault="00F132A8" w:rsidP="00783189">
      <w:pPr>
        <w:widowControl/>
        <w:autoSpaceDE/>
        <w:autoSpaceDN/>
        <w:adjustRightInd/>
        <w:ind w:left="720"/>
        <w:contextualSpacing/>
        <w:rPr>
          <w:rFonts w:cs="Calibri"/>
          <w:sz w:val="28"/>
          <w:szCs w:val="28"/>
        </w:rPr>
      </w:pPr>
    </w:p>
    <w:p w14:paraId="502774D6" w14:textId="3C3D3BC1" w:rsidR="002966F6" w:rsidRDefault="00EC7600" w:rsidP="002966F6">
      <w:pPr>
        <w:widowControl/>
        <w:autoSpaceDE/>
        <w:adjustRightInd/>
        <w:rPr>
          <w:rFonts w:cs="Calibri"/>
        </w:rPr>
      </w:pPr>
      <w:r w:rsidRPr="001C1E47">
        <w:rPr>
          <w:rFonts w:cs="Calibri"/>
        </w:rPr>
        <w:t xml:space="preserve">Each SAMM has an agreed upon </w:t>
      </w:r>
      <w:r w:rsidR="00D7654E" w:rsidRPr="001C1E47">
        <w:rPr>
          <w:rFonts w:cs="Calibri"/>
        </w:rPr>
        <w:t>FRL</w:t>
      </w:r>
      <w:r w:rsidRPr="001C1E47">
        <w:rPr>
          <w:rFonts w:cs="Calibri"/>
        </w:rPr>
        <w:t xml:space="preserve"> which can be either a single number, or </w:t>
      </w:r>
      <w:r w:rsidR="00D7654E" w:rsidRPr="001C1E47">
        <w:rPr>
          <w:rFonts w:cs="Calibri"/>
        </w:rPr>
        <w:t xml:space="preserve">a </w:t>
      </w:r>
      <w:r w:rsidRPr="001C1E47">
        <w:rPr>
          <w:rFonts w:cs="Calibri"/>
        </w:rPr>
        <w:t xml:space="preserve">range of numbers above and below the national average.  State Plan SAMM data that falls outside the FRL triggers a closer look at the underlying performance of the mandatory activity.  </w:t>
      </w:r>
      <w:r w:rsidR="005D1F76" w:rsidRPr="001C1E47">
        <w:rPr>
          <w:rFonts w:cs="Calibri"/>
        </w:rPr>
        <w:t>Appendix D presents the State Plan’s FY 20</w:t>
      </w:r>
      <w:r w:rsidR="00972DA2">
        <w:rPr>
          <w:rFonts w:cs="Calibri"/>
        </w:rPr>
        <w:t>24</w:t>
      </w:r>
      <w:r w:rsidR="005D1F76" w:rsidRPr="001C1E47">
        <w:rPr>
          <w:rFonts w:cs="Calibri"/>
        </w:rPr>
        <w:t xml:space="preserve"> </w:t>
      </w:r>
      <w:r w:rsidR="00972DA2">
        <w:rPr>
          <w:rFonts w:cs="Calibri"/>
        </w:rPr>
        <w:t xml:space="preserve">SAMM </w:t>
      </w:r>
      <w:r w:rsidR="005D1F76" w:rsidRPr="001C1E47">
        <w:rPr>
          <w:rFonts w:cs="Calibri"/>
        </w:rPr>
        <w:t xml:space="preserve">Report and includes the FRLs for each measure. </w:t>
      </w:r>
    </w:p>
    <w:p w14:paraId="44A3AB01" w14:textId="77777777" w:rsidR="002966F6" w:rsidRDefault="002966F6" w:rsidP="00783189">
      <w:pPr>
        <w:widowControl/>
        <w:autoSpaceDE/>
        <w:adjustRightInd/>
        <w:rPr>
          <w:rFonts w:cs="Calibri"/>
        </w:rPr>
      </w:pPr>
    </w:p>
    <w:p w14:paraId="75AF2501" w14:textId="142A22D3" w:rsidR="00EC7600" w:rsidRDefault="00EC7600" w:rsidP="00783189">
      <w:pPr>
        <w:widowControl/>
        <w:autoSpaceDE/>
        <w:adjustRightInd/>
        <w:rPr>
          <w:rFonts w:cs="Calibri"/>
        </w:rPr>
      </w:pPr>
      <w:r w:rsidRPr="001C1E47">
        <w:rPr>
          <w:rFonts w:cs="Calibri"/>
        </w:rPr>
        <w:t>The State Plan was outside the FRL on the following SAMM:</w:t>
      </w:r>
    </w:p>
    <w:p w14:paraId="44508BC1" w14:textId="77777777" w:rsidR="007E22C2" w:rsidRDefault="007E22C2" w:rsidP="00783189">
      <w:pPr>
        <w:widowControl/>
        <w:autoSpaceDE/>
        <w:adjustRightInd/>
        <w:rPr>
          <w:rFonts w:cs="Calibri"/>
        </w:rPr>
      </w:pPr>
    </w:p>
    <w:p w14:paraId="527F48C5" w14:textId="77777777" w:rsidR="007E22C2" w:rsidRPr="00A268C6" w:rsidRDefault="007E22C2" w:rsidP="007E22C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rPr>
      </w:pPr>
      <w:r w:rsidRPr="00A268C6">
        <w:rPr>
          <w:rFonts w:asciiTheme="minorHAnsi" w:hAnsiTheme="minorHAnsi" w:cstheme="minorHAnsi"/>
          <w:b/>
          <w:bCs/>
        </w:rPr>
        <w:t xml:space="preserve">SAMM 2a - Average number of </w:t>
      </w:r>
      <w:proofErr w:type="gramStart"/>
      <w:r w:rsidRPr="00A268C6">
        <w:rPr>
          <w:rFonts w:asciiTheme="minorHAnsi" w:hAnsiTheme="minorHAnsi" w:cstheme="minorHAnsi"/>
          <w:b/>
          <w:bCs/>
        </w:rPr>
        <w:t>work days</w:t>
      </w:r>
      <w:proofErr w:type="gramEnd"/>
      <w:r w:rsidRPr="00A268C6">
        <w:rPr>
          <w:rFonts w:asciiTheme="minorHAnsi" w:hAnsiTheme="minorHAnsi" w:cstheme="minorHAnsi"/>
          <w:b/>
          <w:bCs/>
        </w:rPr>
        <w:t xml:space="preserve"> to initiate complaint investigations (state formula)</w:t>
      </w:r>
    </w:p>
    <w:p w14:paraId="781798F0" w14:textId="77777777" w:rsidR="007E22C2" w:rsidRPr="00A268C6" w:rsidRDefault="007E22C2" w:rsidP="007E22C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rPr>
      </w:pPr>
    </w:p>
    <w:p w14:paraId="5A3A6FF2" w14:textId="5F6D2D49" w:rsidR="007E22C2" w:rsidRDefault="007E22C2" w:rsidP="007E22C2">
      <w:pPr>
        <w:widowControl/>
        <w:rPr>
          <w:rFonts w:asciiTheme="minorHAnsi" w:hAnsiTheme="minorHAnsi" w:cstheme="minorHAnsi"/>
          <w:color w:val="000000"/>
        </w:rPr>
      </w:pPr>
      <w:r w:rsidRPr="00876FCD">
        <w:rPr>
          <w:rFonts w:asciiTheme="minorHAnsi" w:hAnsiTheme="minorHAnsi" w:cstheme="minorHAnsi"/>
          <w:u w:val="single"/>
        </w:rPr>
        <w:t>Discussion of State Plan Data and FRL:</w:t>
      </w:r>
      <w:r w:rsidRPr="00A268C6">
        <w:rPr>
          <w:rFonts w:asciiTheme="minorHAnsi" w:hAnsiTheme="minorHAnsi" w:cstheme="minorHAnsi"/>
        </w:rPr>
        <w:t xml:space="preserve"> </w:t>
      </w:r>
      <w:r w:rsidRPr="00A268C6">
        <w:rPr>
          <w:rFonts w:asciiTheme="minorHAnsi" w:hAnsiTheme="minorHAnsi" w:cstheme="minorHAnsi"/>
          <w:color w:val="000000"/>
        </w:rPr>
        <w:t xml:space="preserve">The negotiated FRL is one </w:t>
      </w:r>
      <w:proofErr w:type="gramStart"/>
      <w:r w:rsidRPr="00A268C6">
        <w:rPr>
          <w:rFonts w:asciiTheme="minorHAnsi" w:hAnsiTheme="minorHAnsi" w:cstheme="minorHAnsi"/>
          <w:color w:val="000000"/>
        </w:rPr>
        <w:t>work day</w:t>
      </w:r>
      <w:proofErr w:type="gramEnd"/>
      <w:r w:rsidRPr="00A268C6">
        <w:rPr>
          <w:rFonts w:asciiTheme="minorHAnsi" w:hAnsiTheme="minorHAnsi" w:cstheme="minorHAnsi"/>
          <w:color w:val="000000"/>
        </w:rPr>
        <w:t>.  MEOSH’s average in FY 202</w:t>
      </w:r>
      <w:r>
        <w:rPr>
          <w:rFonts w:asciiTheme="minorHAnsi" w:hAnsiTheme="minorHAnsi" w:cstheme="minorHAnsi"/>
          <w:color w:val="000000"/>
        </w:rPr>
        <w:t>4</w:t>
      </w:r>
      <w:r w:rsidRPr="00A268C6">
        <w:rPr>
          <w:rFonts w:asciiTheme="minorHAnsi" w:hAnsiTheme="minorHAnsi" w:cstheme="minorHAnsi"/>
          <w:color w:val="000000"/>
        </w:rPr>
        <w:t xml:space="preserve"> was </w:t>
      </w:r>
      <w:r w:rsidR="005C794D">
        <w:rPr>
          <w:rFonts w:asciiTheme="minorHAnsi" w:hAnsiTheme="minorHAnsi" w:cstheme="minorHAnsi"/>
          <w:color w:val="000000"/>
        </w:rPr>
        <w:t>2.75 workdays</w:t>
      </w:r>
      <w:r w:rsidR="000F1A9C">
        <w:rPr>
          <w:rFonts w:asciiTheme="minorHAnsi" w:hAnsiTheme="minorHAnsi" w:cstheme="minorHAnsi"/>
          <w:color w:val="000000"/>
        </w:rPr>
        <w:t>.</w:t>
      </w:r>
      <w:r w:rsidR="004526C0">
        <w:rPr>
          <w:rFonts w:asciiTheme="minorHAnsi" w:hAnsiTheme="minorHAnsi" w:cstheme="minorHAnsi"/>
          <w:color w:val="000000"/>
        </w:rPr>
        <w:t xml:space="preserve"> </w:t>
      </w:r>
    </w:p>
    <w:p w14:paraId="5D89B145" w14:textId="77777777" w:rsidR="005C794D" w:rsidRPr="007E22C2" w:rsidRDefault="005C794D" w:rsidP="007E22C2">
      <w:pPr>
        <w:widowControl/>
        <w:rPr>
          <w:rFonts w:asciiTheme="minorHAnsi" w:hAnsiTheme="minorHAnsi" w:cstheme="minorHAnsi"/>
          <w:color w:val="000000"/>
        </w:rPr>
      </w:pPr>
    </w:p>
    <w:p w14:paraId="413458CD" w14:textId="7A6F2F32" w:rsidR="0051789D" w:rsidRDefault="007E22C2" w:rsidP="00BE0432">
      <w:pPr>
        <w:widowControl/>
        <w:rPr>
          <w:rFonts w:asciiTheme="minorHAnsi" w:hAnsiTheme="minorHAnsi" w:cstheme="minorHAnsi"/>
          <w:color w:val="000000"/>
        </w:rPr>
      </w:pPr>
      <w:r w:rsidRPr="00876FCD">
        <w:rPr>
          <w:rFonts w:asciiTheme="minorHAnsi" w:hAnsiTheme="minorHAnsi" w:cstheme="minorHAnsi"/>
          <w:u w:val="single"/>
        </w:rPr>
        <w:t>Explanation:</w:t>
      </w:r>
      <w:r w:rsidRPr="00A268C6">
        <w:rPr>
          <w:rFonts w:asciiTheme="minorHAnsi" w:hAnsiTheme="minorHAnsi" w:cstheme="minorHAnsi"/>
        </w:rPr>
        <w:t xml:space="preserve"> </w:t>
      </w:r>
      <w:r w:rsidRPr="00A268C6">
        <w:rPr>
          <w:rFonts w:asciiTheme="minorHAnsi" w:hAnsiTheme="minorHAnsi" w:cstheme="minorHAnsi"/>
          <w:color w:val="000000"/>
        </w:rPr>
        <w:t xml:space="preserve">SAMM 2a calculates the </w:t>
      </w:r>
      <w:r w:rsidR="00706EF7" w:rsidRPr="00A268C6">
        <w:rPr>
          <w:rFonts w:asciiTheme="minorHAnsi" w:hAnsiTheme="minorHAnsi" w:cstheme="minorHAnsi"/>
          <w:color w:val="000000"/>
        </w:rPr>
        <w:t>average work</w:t>
      </w:r>
      <w:r w:rsidRPr="00A268C6">
        <w:rPr>
          <w:rFonts w:asciiTheme="minorHAnsi" w:hAnsiTheme="minorHAnsi" w:cstheme="minorHAnsi"/>
          <w:color w:val="000000"/>
        </w:rPr>
        <w:t xml:space="preserve">days from the date MEOSH receives the complaint to the date the State Plan initiates the investigation by notifying the employer of the complaint.  This SAMM pertains only to complaints that have no related inspection.  </w:t>
      </w:r>
    </w:p>
    <w:p w14:paraId="70D7EEAA" w14:textId="77777777" w:rsidR="0051789D" w:rsidRDefault="0051789D" w:rsidP="00BE0432">
      <w:pPr>
        <w:widowControl/>
        <w:rPr>
          <w:rFonts w:asciiTheme="minorHAnsi" w:hAnsiTheme="minorHAnsi" w:cstheme="minorHAnsi"/>
          <w:color w:val="000000"/>
        </w:rPr>
      </w:pPr>
    </w:p>
    <w:p w14:paraId="4DD4CBB7" w14:textId="16727DAA" w:rsidR="00197387" w:rsidRPr="00F02169" w:rsidRDefault="00F31C29" w:rsidP="00197387">
      <w:pPr>
        <w:widowControl/>
        <w:autoSpaceDE/>
        <w:autoSpaceDN/>
        <w:adjustRightInd/>
        <w:rPr>
          <w:rFonts w:asciiTheme="minorHAnsi" w:hAnsiTheme="minorHAnsi" w:cstheme="minorHAnsi"/>
        </w:rPr>
        <w:sectPr w:rsidR="00197387" w:rsidRPr="00F02169" w:rsidSect="00783189">
          <w:footerReference w:type="default" r:id="rId11"/>
          <w:footerReference w:type="first" r:id="rId12"/>
          <w:pgSz w:w="12240" w:h="15840"/>
          <w:pgMar w:top="1440" w:right="1260" w:bottom="1260" w:left="1440" w:header="720" w:footer="526" w:gutter="0"/>
          <w:pgNumType w:start="1"/>
          <w:cols w:space="720"/>
          <w:titlePg/>
          <w:docGrid w:linePitch="360"/>
        </w:sectPr>
      </w:pPr>
      <w:r>
        <w:rPr>
          <w:rFonts w:asciiTheme="minorHAnsi" w:hAnsiTheme="minorHAnsi" w:cstheme="minorHAnsi"/>
          <w:color w:val="000000"/>
        </w:rPr>
        <w:t xml:space="preserve">On a </w:t>
      </w:r>
      <w:r w:rsidR="001E5018">
        <w:rPr>
          <w:rFonts w:asciiTheme="minorHAnsi" w:hAnsiTheme="minorHAnsi" w:cstheme="minorHAnsi"/>
          <w:color w:val="000000"/>
        </w:rPr>
        <w:t>couple of</w:t>
      </w:r>
      <w:r>
        <w:rPr>
          <w:rFonts w:asciiTheme="minorHAnsi" w:hAnsiTheme="minorHAnsi" w:cstheme="minorHAnsi"/>
          <w:color w:val="000000"/>
        </w:rPr>
        <w:t xml:space="preserve"> occasions in FY 2024, </w:t>
      </w:r>
      <w:r w:rsidR="00197387" w:rsidRPr="00F02169">
        <w:rPr>
          <w:rFonts w:asciiTheme="minorHAnsi" w:hAnsiTheme="minorHAnsi" w:cstheme="minorHAnsi"/>
        </w:rPr>
        <w:t xml:space="preserve">the </w:t>
      </w:r>
      <w:r w:rsidR="00FE6819">
        <w:rPr>
          <w:rFonts w:asciiTheme="minorHAnsi" w:hAnsiTheme="minorHAnsi" w:cstheme="minorHAnsi"/>
        </w:rPr>
        <w:t>State Plan</w:t>
      </w:r>
      <w:r>
        <w:rPr>
          <w:rFonts w:asciiTheme="minorHAnsi" w:hAnsiTheme="minorHAnsi" w:cstheme="minorHAnsi"/>
        </w:rPr>
        <w:t>s’</w:t>
      </w:r>
      <w:r w:rsidR="00FE6819">
        <w:rPr>
          <w:rFonts w:asciiTheme="minorHAnsi" w:hAnsiTheme="minorHAnsi" w:cstheme="minorHAnsi"/>
        </w:rPr>
        <w:t xml:space="preserve"> managers </w:t>
      </w:r>
      <w:r w:rsidR="00197387" w:rsidRPr="00F02169">
        <w:rPr>
          <w:rFonts w:asciiTheme="minorHAnsi" w:hAnsiTheme="minorHAnsi" w:cstheme="minorHAnsi"/>
        </w:rPr>
        <w:t xml:space="preserve">were </w:t>
      </w:r>
      <w:r w:rsidR="004C0564">
        <w:rPr>
          <w:rFonts w:asciiTheme="minorHAnsi" w:hAnsiTheme="minorHAnsi" w:cstheme="minorHAnsi"/>
        </w:rPr>
        <w:t>un</w:t>
      </w:r>
      <w:r w:rsidR="000F6D29">
        <w:rPr>
          <w:rFonts w:asciiTheme="minorHAnsi" w:hAnsiTheme="minorHAnsi" w:cstheme="minorHAnsi"/>
        </w:rPr>
        <w:t>able</w:t>
      </w:r>
      <w:r w:rsidR="00197387" w:rsidRPr="00F02169">
        <w:rPr>
          <w:rFonts w:asciiTheme="minorHAnsi" w:hAnsiTheme="minorHAnsi" w:cstheme="minorHAnsi"/>
        </w:rPr>
        <w:t xml:space="preserve"> to initiate complaint investigations within the one</w:t>
      </w:r>
      <w:r w:rsidR="00F108A4">
        <w:rPr>
          <w:rFonts w:asciiTheme="minorHAnsi" w:hAnsiTheme="minorHAnsi" w:cstheme="minorHAnsi"/>
        </w:rPr>
        <w:t xml:space="preserve"> work</w:t>
      </w:r>
      <w:r w:rsidR="00CC0103">
        <w:rPr>
          <w:rFonts w:asciiTheme="minorHAnsi" w:hAnsiTheme="minorHAnsi" w:cstheme="minorHAnsi"/>
        </w:rPr>
        <w:t>day</w:t>
      </w:r>
      <w:r w:rsidR="00197387" w:rsidRPr="00F02169">
        <w:rPr>
          <w:rFonts w:asciiTheme="minorHAnsi" w:hAnsiTheme="minorHAnsi" w:cstheme="minorHAnsi"/>
        </w:rPr>
        <w:t xml:space="preserve">. </w:t>
      </w:r>
      <w:r w:rsidR="001E5018">
        <w:rPr>
          <w:rFonts w:asciiTheme="minorHAnsi" w:hAnsiTheme="minorHAnsi" w:cstheme="minorHAnsi"/>
        </w:rPr>
        <w:t xml:space="preserve"> </w:t>
      </w:r>
      <w:r w:rsidR="00197387" w:rsidRPr="00F02169">
        <w:rPr>
          <w:rFonts w:asciiTheme="minorHAnsi" w:hAnsiTheme="minorHAnsi" w:cstheme="minorHAnsi"/>
        </w:rPr>
        <w:t xml:space="preserve">These circumstances </w:t>
      </w:r>
      <w:r w:rsidR="00CC0103">
        <w:rPr>
          <w:rFonts w:asciiTheme="minorHAnsi" w:hAnsiTheme="minorHAnsi" w:cstheme="minorHAnsi"/>
        </w:rPr>
        <w:t>were</w:t>
      </w:r>
      <w:r w:rsidR="00197387" w:rsidRPr="00F02169">
        <w:rPr>
          <w:rFonts w:asciiTheme="minorHAnsi" w:hAnsiTheme="minorHAnsi" w:cstheme="minorHAnsi"/>
        </w:rPr>
        <w:t xml:space="preserve"> unusual for MEOSH and mainly due to one manager needing to take extended leave.</w:t>
      </w:r>
      <w:r w:rsidR="00560125" w:rsidRPr="00F02169">
        <w:rPr>
          <w:rFonts w:asciiTheme="minorHAnsi" w:hAnsiTheme="minorHAnsi" w:cstheme="minorHAnsi"/>
        </w:rPr>
        <w:t xml:space="preserve"> </w:t>
      </w:r>
      <w:r w:rsidR="004B6DCE">
        <w:rPr>
          <w:rFonts w:asciiTheme="minorHAnsi" w:hAnsiTheme="minorHAnsi" w:cstheme="minorHAnsi"/>
        </w:rPr>
        <w:t xml:space="preserve"> </w:t>
      </w:r>
      <w:r w:rsidR="00F02169" w:rsidRPr="00F02169">
        <w:rPr>
          <w:rFonts w:asciiTheme="minorHAnsi" w:hAnsiTheme="minorHAnsi" w:cstheme="minorHAnsi"/>
          <w:color w:val="000000"/>
        </w:rPr>
        <w:t>S</w:t>
      </w:r>
      <w:r w:rsidR="00197387" w:rsidRPr="00F02169">
        <w:rPr>
          <w:rFonts w:asciiTheme="minorHAnsi" w:hAnsiTheme="minorHAnsi" w:cstheme="minorHAnsi"/>
          <w:color w:val="000000"/>
        </w:rPr>
        <w:t>ince MEOSH’s result for SAMM 2a was due to unique circumst</w:t>
      </w:r>
      <w:r w:rsidR="00560125" w:rsidRPr="00F02169">
        <w:rPr>
          <w:rFonts w:asciiTheme="minorHAnsi" w:hAnsiTheme="minorHAnsi" w:cstheme="minorHAnsi"/>
          <w:color w:val="000000"/>
        </w:rPr>
        <w:t>ances</w:t>
      </w:r>
      <w:r w:rsidR="000F1A9C">
        <w:rPr>
          <w:rFonts w:asciiTheme="minorHAnsi" w:hAnsiTheme="minorHAnsi" w:cstheme="minorHAnsi"/>
          <w:color w:val="000000"/>
        </w:rPr>
        <w:t>,</w:t>
      </w:r>
      <w:r w:rsidR="00560125" w:rsidRPr="00F02169">
        <w:rPr>
          <w:rFonts w:asciiTheme="minorHAnsi" w:hAnsiTheme="minorHAnsi" w:cstheme="minorHAnsi"/>
          <w:color w:val="000000"/>
        </w:rPr>
        <w:t xml:space="preserve"> it does not warrant concern. </w:t>
      </w:r>
    </w:p>
    <w:p w14:paraId="516D3ECD" w14:textId="77777777" w:rsidR="00B6741C" w:rsidRPr="0002572C" w:rsidRDefault="00B6741C" w:rsidP="000F63C1">
      <w:pPr>
        <w:pStyle w:val="Heading3"/>
        <w:numPr>
          <w:ilvl w:val="0"/>
          <w:numId w:val="0"/>
        </w:numPr>
      </w:pPr>
      <w:bookmarkStart w:id="24" w:name="_Toc118905017"/>
      <w:bookmarkStart w:id="25" w:name="_Toc119418669"/>
      <w:r w:rsidRPr="0002572C">
        <w:lastRenderedPageBreak/>
        <w:t>Appendix A – New and Continued Findings and Recommendations</w:t>
      </w:r>
      <w:bookmarkEnd w:id="24"/>
      <w:bookmarkEnd w:id="25"/>
    </w:p>
    <w:p w14:paraId="670F195C" w14:textId="3933E634" w:rsidR="00B6741C" w:rsidRDefault="00B6741C" w:rsidP="00B6741C">
      <w:r>
        <w:t>FY</w:t>
      </w:r>
      <w:r w:rsidRPr="00155419">
        <w:t xml:space="preserve"> 20</w:t>
      </w:r>
      <w:r w:rsidR="009B5D4B" w:rsidRPr="00155419">
        <w:t>24</w:t>
      </w:r>
      <w:r w:rsidRPr="00155419">
        <w:t xml:space="preserve"> </w:t>
      </w:r>
      <w:r>
        <w:t>Follow-up FAME Report</w:t>
      </w:r>
    </w:p>
    <w:p w14:paraId="77980CE2" w14:textId="77777777" w:rsidR="000A134A" w:rsidRPr="001C1E47" w:rsidRDefault="000A134A"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185C7D">
        <w:trPr>
          <w:trHeight w:val="350"/>
        </w:trPr>
        <w:tc>
          <w:tcPr>
            <w:tcW w:w="1440" w:type="dxa"/>
          </w:tcPr>
          <w:p w14:paraId="1F333F67" w14:textId="2105101B" w:rsidR="000A134A" w:rsidRPr="001C1E47" w:rsidRDefault="000A134A"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137B2F">
              <w:rPr>
                <w:rFonts w:cs="Calibri"/>
                <w:b/>
              </w:rPr>
              <w:t>24</w:t>
            </w:r>
            <w:r w:rsidRPr="001C1E47">
              <w:rPr>
                <w:rFonts w:cs="Calibri"/>
                <w:b/>
              </w:rPr>
              <w:t>-</w:t>
            </w:r>
            <w:r w:rsidR="00BB0343" w:rsidRPr="001C1E47">
              <w:rPr>
                <w:rFonts w:cs="Calibri"/>
                <w:b/>
              </w:rPr>
              <w:t>#</w:t>
            </w:r>
          </w:p>
        </w:tc>
        <w:tc>
          <w:tcPr>
            <w:tcW w:w="4721" w:type="dxa"/>
          </w:tcPr>
          <w:p w14:paraId="0C140B4B" w14:textId="77777777" w:rsidR="000A134A" w:rsidRPr="001C1E47" w:rsidRDefault="000A134A" w:rsidP="007A71AC">
            <w:pPr>
              <w:widowControl/>
              <w:autoSpaceDE/>
              <w:autoSpaceDN/>
              <w:adjustRightInd/>
              <w:jc w:val="center"/>
              <w:rPr>
                <w:rFonts w:cs="Calibri"/>
                <w:b/>
              </w:rPr>
            </w:pPr>
            <w:r w:rsidRPr="001C1E47">
              <w:rPr>
                <w:rFonts w:cs="Calibri"/>
                <w:b/>
              </w:rPr>
              <w:t>Finding</w:t>
            </w:r>
          </w:p>
        </w:tc>
        <w:tc>
          <w:tcPr>
            <w:tcW w:w="4819" w:type="dxa"/>
          </w:tcPr>
          <w:p w14:paraId="7801EA8C" w14:textId="77777777" w:rsidR="000A134A" w:rsidRPr="001C1E47" w:rsidRDefault="000A134A" w:rsidP="007A71AC">
            <w:pPr>
              <w:widowControl/>
              <w:autoSpaceDE/>
              <w:autoSpaceDN/>
              <w:adjustRightInd/>
              <w:jc w:val="center"/>
              <w:rPr>
                <w:rFonts w:cs="Calibri"/>
                <w:b/>
              </w:rPr>
            </w:pPr>
            <w:r w:rsidRPr="001C1E47">
              <w:rPr>
                <w:rFonts w:cs="Calibri"/>
                <w:b/>
              </w:rPr>
              <w:t>Recommendation</w:t>
            </w:r>
          </w:p>
        </w:tc>
        <w:tc>
          <w:tcPr>
            <w:tcW w:w="1890" w:type="dxa"/>
          </w:tcPr>
          <w:p w14:paraId="7C9006CD" w14:textId="6F426D47" w:rsidR="00BB0343"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137B2F">
              <w:rPr>
                <w:rFonts w:cs="Calibri"/>
                <w:b/>
              </w:rPr>
              <w:t>23</w:t>
            </w:r>
            <w:r w:rsidRPr="001C1E47">
              <w:rPr>
                <w:rFonts w:cs="Calibri"/>
                <w:b/>
              </w:rPr>
              <w:t xml:space="preserve">-# or </w:t>
            </w:r>
          </w:p>
          <w:p w14:paraId="3C61CFBF" w14:textId="2576ECFB" w:rsidR="000A134A"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137B2F">
              <w:rPr>
                <w:rFonts w:cs="Calibri"/>
                <w:b/>
              </w:rPr>
              <w:t>23</w:t>
            </w:r>
            <w:r w:rsidRPr="001C1E47">
              <w:rPr>
                <w:rFonts w:cs="Calibri"/>
                <w:b/>
              </w:rPr>
              <w:t>-OB-#</w:t>
            </w:r>
          </w:p>
        </w:tc>
      </w:tr>
      <w:tr w:rsidR="000A134A" w:rsidRPr="001C1E47" w14:paraId="5368CE16" w14:textId="77777777" w:rsidTr="00185C7D">
        <w:tc>
          <w:tcPr>
            <w:tcW w:w="1440" w:type="dxa"/>
          </w:tcPr>
          <w:p w14:paraId="31EBB109" w14:textId="77777777" w:rsidR="000A134A" w:rsidRPr="001C1E47" w:rsidRDefault="000A134A" w:rsidP="007A71AC">
            <w:pPr>
              <w:widowControl/>
              <w:autoSpaceDE/>
              <w:autoSpaceDN/>
              <w:adjustRightInd/>
              <w:rPr>
                <w:rFonts w:cs="Calibri"/>
              </w:rPr>
            </w:pPr>
            <w:r w:rsidRPr="001C1E47">
              <w:rPr>
                <w:rFonts w:cs="Calibri"/>
              </w:rPr>
              <w:t xml:space="preserve"> </w:t>
            </w:r>
          </w:p>
          <w:p w14:paraId="39F370D3" w14:textId="77777777" w:rsidR="000A134A" w:rsidRPr="001C1E47" w:rsidRDefault="000A134A" w:rsidP="007A71AC">
            <w:pPr>
              <w:widowControl/>
              <w:autoSpaceDE/>
              <w:autoSpaceDN/>
              <w:adjustRightInd/>
              <w:rPr>
                <w:rFonts w:cs="Calibri"/>
              </w:rPr>
            </w:pPr>
          </w:p>
        </w:tc>
        <w:tc>
          <w:tcPr>
            <w:tcW w:w="4721" w:type="dxa"/>
          </w:tcPr>
          <w:p w14:paraId="4B3C1E3A" w14:textId="5F8492A0" w:rsidR="000A134A" w:rsidRPr="001C1E47" w:rsidRDefault="00BC2F16" w:rsidP="007A71AC">
            <w:pPr>
              <w:widowControl/>
              <w:autoSpaceDE/>
              <w:autoSpaceDN/>
              <w:adjustRightInd/>
              <w:rPr>
                <w:rFonts w:cs="Calibri"/>
              </w:rPr>
            </w:pPr>
            <w:r>
              <w:rPr>
                <w:rFonts w:cs="Calibri"/>
              </w:rPr>
              <w:t>None.</w:t>
            </w:r>
          </w:p>
        </w:tc>
        <w:tc>
          <w:tcPr>
            <w:tcW w:w="4819" w:type="dxa"/>
          </w:tcPr>
          <w:p w14:paraId="5C606D29" w14:textId="77777777" w:rsidR="000A134A" w:rsidRPr="001C1E47" w:rsidRDefault="000A134A" w:rsidP="007A71AC">
            <w:pPr>
              <w:widowControl/>
              <w:autoSpaceDE/>
              <w:autoSpaceDN/>
              <w:adjustRightInd/>
              <w:rPr>
                <w:rFonts w:cs="Calibri"/>
              </w:rPr>
            </w:pPr>
            <w:r w:rsidRPr="001C1E47">
              <w:rPr>
                <w:rFonts w:cs="Calibri"/>
              </w:rPr>
              <w:t xml:space="preserve"> </w:t>
            </w:r>
          </w:p>
          <w:p w14:paraId="7A48B2C8" w14:textId="77777777" w:rsidR="000A134A" w:rsidRPr="001C1E47" w:rsidRDefault="000A134A" w:rsidP="007A71AC">
            <w:pPr>
              <w:widowControl/>
              <w:autoSpaceDE/>
              <w:autoSpaceDN/>
              <w:adjustRightInd/>
              <w:rPr>
                <w:rFonts w:cs="Calibri"/>
              </w:rPr>
            </w:pPr>
          </w:p>
        </w:tc>
        <w:tc>
          <w:tcPr>
            <w:tcW w:w="1890" w:type="dxa"/>
          </w:tcPr>
          <w:p w14:paraId="51FF8A48" w14:textId="77777777" w:rsidR="000A134A" w:rsidRPr="001C1E47" w:rsidRDefault="000A134A" w:rsidP="007A71AC">
            <w:pPr>
              <w:widowControl/>
              <w:autoSpaceDE/>
              <w:autoSpaceDN/>
              <w:adjustRightInd/>
              <w:rPr>
                <w:rFonts w:cs="Calibri"/>
              </w:rPr>
            </w:pPr>
            <w:r w:rsidRPr="001C1E47">
              <w:rPr>
                <w:rFonts w:cs="Calibri"/>
              </w:rPr>
              <w:t xml:space="preserve"> </w:t>
            </w:r>
          </w:p>
        </w:tc>
      </w:tr>
    </w:tbl>
    <w:p w14:paraId="3C1E0E19" w14:textId="77777777" w:rsidR="000A134A" w:rsidRPr="001C1E47" w:rsidRDefault="000A134A" w:rsidP="007A71AC">
      <w:pPr>
        <w:widowControl/>
        <w:autoSpaceDE/>
        <w:autoSpaceDN/>
        <w:adjustRightInd/>
        <w:rPr>
          <w:rFonts w:cs="Calibri"/>
        </w:rPr>
      </w:pPr>
    </w:p>
    <w:p w14:paraId="067A0803" w14:textId="77777777" w:rsidR="003B4F00" w:rsidRDefault="003B4F00" w:rsidP="003B4F00">
      <w:pPr>
        <w:widowControl/>
        <w:autoSpaceDE/>
        <w:autoSpaceDN/>
        <w:adjustRightInd/>
        <w:rPr>
          <w:rFonts w:cs="Calibri"/>
          <w:iCs/>
          <w:color w:val="0070C0"/>
        </w:rPr>
      </w:pPr>
    </w:p>
    <w:p w14:paraId="0A36EBFA" w14:textId="77777777" w:rsidR="003B4F00" w:rsidRDefault="003B4F00" w:rsidP="003B4F00">
      <w:pPr>
        <w:widowControl/>
        <w:autoSpaceDE/>
        <w:autoSpaceDN/>
        <w:adjustRightInd/>
        <w:rPr>
          <w:rFonts w:cs="Calibri"/>
          <w:iCs/>
          <w:color w:val="0070C0"/>
        </w:rPr>
      </w:pPr>
    </w:p>
    <w:p w14:paraId="567DFF82" w14:textId="77777777" w:rsidR="003B4F00" w:rsidRDefault="003B4F00" w:rsidP="003B4F00">
      <w:pPr>
        <w:widowControl/>
        <w:autoSpaceDE/>
        <w:autoSpaceDN/>
        <w:adjustRightInd/>
        <w:rPr>
          <w:rFonts w:cs="Calibri"/>
          <w:iCs/>
          <w:color w:val="0070C0"/>
        </w:rPr>
      </w:pPr>
    </w:p>
    <w:p w14:paraId="69C6AAF3" w14:textId="77777777" w:rsidR="003B4F00" w:rsidRDefault="003B4F00" w:rsidP="003B4F00">
      <w:pPr>
        <w:widowControl/>
        <w:autoSpaceDE/>
        <w:autoSpaceDN/>
        <w:adjustRightInd/>
        <w:rPr>
          <w:rFonts w:cs="Calibri"/>
          <w:iCs/>
          <w:color w:val="0070C0"/>
        </w:rPr>
      </w:pPr>
    </w:p>
    <w:p w14:paraId="5AF9B9A8" w14:textId="77777777" w:rsidR="003B4F00" w:rsidRDefault="003B4F00" w:rsidP="003B4F00">
      <w:pPr>
        <w:widowControl/>
        <w:autoSpaceDE/>
        <w:autoSpaceDN/>
        <w:adjustRightInd/>
        <w:rPr>
          <w:rFonts w:cs="Calibri"/>
          <w:iCs/>
          <w:color w:val="0070C0"/>
        </w:rPr>
      </w:pPr>
    </w:p>
    <w:p w14:paraId="75F203ED" w14:textId="77777777" w:rsidR="003B4F00" w:rsidRDefault="003B4F00" w:rsidP="003B4F00">
      <w:pPr>
        <w:widowControl/>
        <w:autoSpaceDE/>
        <w:autoSpaceDN/>
        <w:adjustRightInd/>
        <w:rPr>
          <w:rFonts w:cs="Calibri"/>
          <w:iCs/>
          <w:color w:val="0070C0"/>
        </w:rPr>
      </w:pPr>
    </w:p>
    <w:p w14:paraId="30CE4A47" w14:textId="77777777" w:rsidR="003B4F00" w:rsidRDefault="003B4F00" w:rsidP="003B4F00">
      <w:pPr>
        <w:widowControl/>
        <w:autoSpaceDE/>
        <w:autoSpaceDN/>
        <w:adjustRightInd/>
        <w:rPr>
          <w:rFonts w:cs="Calibri"/>
          <w:iCs/>
          <w:color w:val="0070C0"/>
        </w:rPr>
      </w:pPr>
    </w:p>
    <w:p w14:paraId="40466485" w14:textId="77777777" w:rsidR="003B4F00" w:rsidRDefault="003B4F00" w:rsidP="003B4F00">
      <w:pPr>
        <w:widowControl/>
        <w:autoSpaceDE/>
        <w:autoSpaceDN/>
        <w:adjustRightInd/>
        <w:rPr>
          <w:rFonts w:cs="Calibri"/>
          <w:iCs/>
          <w:color w:val="0070C0"/>
        </w:rPr>
      </w:pPr>
    </w:p>
    <w:p w14:paraId="5F03395B" w14:textId="77777777" w:rsidR="003B4F00" w:rsidRDefault="003B4F00" w:rsidP="003B4F00">
      <w:pPr>
        <w:widowControl/>
        <w:autoSpaceDE/>
        <w:autoSpaceDN/>
        <w:adjustRightInd/>
        <w:rPr>
          <w:rFonts w:cs="Calibri"/>
          <w:iCs/>
          <w:color w:val="0070C0"/>
        </w:rPr>
      </w:pPr>
    </w:p>
    <w:p w14:paraId="676AECD7" w14:textId="77777777" w:rsidR="003B4F00" w:rsidRDefault="003B4F00" w:rsidP="003B4F00">
      <w:pPr>
        <w:widowControl/>
        <w:autoSpaceDE/>
        <w:autoSpaceDN/>
        <w:adjustRightInd/>
        <w:rPr>
          <w:rFonts w:cs="Calibri"/>
          <w:iCs/>
          <w:color w:val="0070C0"/>
        </w:rPr>
      </w:pPr>
    </w:p>
    <w:p w14:paraId="65CC25FA" w14:textId="77777777" w:rsidR="003B4F00" w:rsidRDefault="003B4F00" w:rsidP="003B4F00">
      <w:pPr>
        <w:widowControl/>
        <w:autoSpaceDE/>
        <w:autoSpaceDN/>
        <w:adjustRightInd/>
        <w:rPr>
          <w:rFonts w:cs="Calibri"/>
          <w:iCs/>
          <w:color w:val="0070C0"/>
        </w:rPr>
      </w:pPr>
    </w:p>
    <w:p w14:paraId="3562B0FF" w14:textId="77777777" w:rsidR="003B4F00" w:rsidRDefault="003B4F00" w:rsidP="003B4F00">
      <w:pPr>
        <w:widowControl/>
        <w:autoSpaceDE/>
        <w:autoSpaceDN/>
        <w:adjustRightInd/>
        <w:rPr>
          <w:rFonts w:cs="Calibri"/>
          <w:iCs/>
          <w:color w:val="0070C0"/>
        </w:rPr>
      </w:pPr>
    </w:p>
    <w:p w14:paraId="265E66AB" w14:textId="77777777" w:rsidR="003B4F00" w:rsidRDefault="003B4F00" w:rsidP="003B4F00">
      <w:pPr>
        <w:widowControl/>
        <w:autoSpaceDE/>
        <w:autoSpaceDN/>
        <w:adjustRightInd/>
        <w:rPr>
          <w:rFonts w:cs="Calibri"/>
          <w:iCs/>
          <w:color w:val="0070C0"/>
        </w:rPr>
      </w:pPr>
    </w:p>
    <w:p w14:paraId="16C4DA1D" w14:textId="77777777" w:rsidR="003B4F00" w:rsidRDefault="003B4F00" w:rsidP="003B4F00">
      <w:pPr>
        <w:widowControl/>
        <w:autoSpaceDE/>
        <w:autoSpaceDN/>
        <w:adjustRightInd/>
        <w:rPr>
          <w:rFonts w:cs="Calibri"/>
          <w:iCs/>
          <w:color w:val="0070C0"/>
        </w:rPr>
      </w:pPr>
    </w:p>
    <w:p w14:paraId="5725611E" w14:textId="77777777" w:rsidR="003B4F00" w:rsidRPr="00476C08" w:rsidRDefault="003B4F00" w:rsidP="003B4F00">
      <w:pPr>
        <w:widowControl/>
        <w:autoSpaceDE/>
        <w:autoSpaceDN/>
        <w:adjustRightInd/>
        <w:rPr>
          <w:rFonts w:cs="Calibri"/>
          <w:iCs/>
          <w:color w:val="0070C0"/>
        </w:rPr>
      </w:pPr>
    </w:p>
    <w:p w14:paraId="7C19C4AE" w14:textId="77777777" w:rsidR="00D86879" w:rsidRPr="001C1E47" w:rsidRDefault="00D86879" w:rsidP="007A71AC">
      <w:pPr>
        <w:widowControl/>
        <w:autoSpaceDE/>
        <w:autoSpaceDN/>
        <w:adjustRightInd/>
        <w:rPr>
          <w:rFonts w:cs="Calibri"/>
          <w:i/>
        </w:rPr>
      </w:pPr>
    </w:p>
    <w:p w14:paraId="039B49D1" w14:textId="77777777" w:rsidR="00D86879" w:rsidRDefault="00D86879" w:rsidP="007A71AC">
      <w:pPr>
        <w:widowControl/>
        <w:autoSpaceDE/>
        <w:autoSpaceDN/>
        <w:adjustRightInd/>
        <w:rPr>
          <w:rFonts w:cs="Calibri"/>
          <w:i/>
        </w:rPr>
      </w:pPr>
    </w:p>
    <w:p w14:paraId="3F45F60E" w14:textId="77777777" w:rsidR="00BC2F16" w:rsidRDefault="00BC2F16" w:rsidP="007A71AC">
      <w:pPr>
        <w:widowControl/>
        <w:autoSpaceDE/>
        <w:autoSpaceDN/>
        <w:adjustRightInd/>
        <w:rPr>
          <w:rFonts w:cs="Calibri"/>
          <w:i/>
        </w:rPr>
      </w:pPr>
    </w:p>
    <w:p w14:paraId="695F2E61" w14:textId="77777777" w:rsidR="003B4F00" w:rsidRDefault="003B4F00" w:rsidP="007A71AC">
      <w:pPr>
        <w:widowControl/>
        <w:autoSpaceDE/>
        <w:autoSpaceDN/>
        <w:adjustRightInd/>
        <w:rPr>
          <w:rFonts w:cs="Calibri"/>
          <w:i/>
        </w:rPr>
      </w:pPr>
    </w:p>
    <w:p w14:paraId="5D08F367" w14:textId="77777777" w:rsidR="003B4F00" w:rsidRDefault="003B4F00" w:rsidP="007A71AC">
      <w:pPr>
        <w:widowControl/>
        <w:autoSpaceDE/>
        <w:autoSpaceDN/>
        <w:adjustRightInd/>
        <w:rPr>
          <w:rFonts w:cs="Calibri"/>
          <w:i/>
        </w:rPr>
      </w:pPr>
    </w:p>
    <w:p w14:paraId="1B4509CA" w14:textId="77777777" w:rsidR="003B4F00" w:rsidRPr="001C1E47" w:rsidRDefault="003B4F00" w:rsidP="007A71AC">
      <w:pPr>
        <w:widowControl/>
        <w:autoSpaceDE/>
        <w:autoSpaceDN/>
        <w:adjustRightInd/>
        <w:rPr>
          <w:rFonts w:cs="Calibri"/>
          <w:i/>
        </w:rPr>
      </w:pPr>
    </w:p>
    <w:p w14:paraId="776B7B1D" w14:textId="77777777" w:rsidR="00D86879" w:rsidRPr="001C1E47" w:rsidRDefault="00D86879" w:rsidP="007A71AC">
      <w:pPr>
        <w:widowControl/>
        <w:autoSpaceDE/>
        <w:autoSpaceDN/>
        <w:adjustRightInd/>
        <w:rPr>
          <w:rFonts w:cs="Calibri"/>
          <w:i/>
        </w:rPr>
      </w:pPr>
    </w:p>
    <w:p w14:paraId="715EFD78" w14:textId="77777777" w:rsidR="00D86879" w:rsidRPr="001C1E47" w:rsidRDefault="00D86879" w:rsidP="007A71AC">
      <w:pPr>
        <w:widowControl/>
        <w:autoSpaceDE/>
        <w:autoSpaceDN/>
        <w:adjustRightInd/>
        <w:rPr>
          <w:rFonts w:cs="Calibri"/>
          <w:i/>
        </w:rPr>
      </w:pPr>
    </w:p>
    <w:p w14:paraId="72DA695E" w14:textId="77777777" w:rsidR="00B6741C" w:rsidRPr="00155419" w:rsidRDefault="00B6741C" w:rsidP="000F63C1">
      <w:pPr>
        <w:pStyle w:val="Heading3"/>
        <w:numPr>
          <w:ilvl w:val="0"/>
          <w:numId w:val="0"/>
        </w:numPr>
      </w:pPr>
      <w:bookmarkStart w:id="26" w:name="_Toc118905018"/>
      <w:bookmarkStart w:id="27" w:name="_Toc119418670"/>
      <w:r w:rsidRPr="0002572C">
        <w:lastRenderedPageBreak/>
        <w:t xml:space="preserve">Appendix B – </w:t>
      </w:r>
      <w:r w:rsidRPr="00155419">
        <w:t>Observations Subject to Continued Monitoring</w:t>
      </w:r>
      <w:bookmarkEnd w:id="26"/>
      <w:bookmarkEnd w:id="27"/>
    </w:p>
    <w:p w14:paraId="73014EBD" w14:textId="3D05A73C" w:rsidR="00B6741C" w:rsidRPr="00F0678A" w:rsidRDefault="00B6741C" w:rsidP="0002572C">
      <w:r w:rsidRPr="00155419">
        <w:t>FY 20</w:t>
      </w:r>
      <w:r w:rsidR="008F2199" w:rsidRPr="00155419">
        <w:t>24</w:t>
      </w:r>
      <w:r w:rsidRPr="00155419">
        <w:t xml:space="preserve"> </w:t>
      </w:r>
      <w:r w:rsidR="008F2199" w:rsidRPr="00155419">
        <w:t xml:space="preserve">MEOSH </w:t>
      </w:r>
      <w:r>
        <w:t>Follow-up FAME Report</w:t>
      </w:r>
    </w:p>
    <w:p w14:paraId="75823E10" w14:textId="77777777" w:rsidR="00D86879" w:rsidRPr="001C1E47" w:rsidRDefault="00D86879" w:rsidP="007A71AC">
      <w:pPr>
        <w:widowControl/>
        <w:autoSpaceDE/>
        <w:autoSpaceDN/>
        <w:adjustRightInd/>
        <w:rPr>
          <w:rFonts w:cs="Calibri"/>
          <w:i/>
        </w:rPr>
      </w:pPr>
    </w:p>
    <w:p w14:paraId="2093D22B" w14:textId="77777777" w:rsidR="00D86879" w:rsidRPr="001C1E47" w:rsidRDefault="00D86879" w:rsidP="007A71AC">
      <w:pPr>
        <w:widowControl/>
        <w:autoSpaceDE/>
        <w:autoSpaceDN/>
        <w:adjustRightInd/>
        <w:rPr>
          <w:rFonts w:cs="Calibri"/>
          <w:i/>
        </w:rPr>
      </w:pPr>
    </w:p>
    <w:p w14:paraId="61F273E4" w14:textId="4BA1F7A9" w:rsidR="00492379" w:rsidRPr="001C1E47" w:rsidRDefault="00492379" w:rsidP="007A71AC">
      <w:pPr>
        <w:widowControl/>
        <w:autoSpaceDE/>
        <w:autoSpaceDN/>
        <w:adjustRightInd/>
        <w:rPr>
          <w:rFonts w:cs="Calibri"/>
          <w:i/>
        </w:rPr>
        <w:sectPr w:rsidR="00492379" w:rsidRPr="001C1E47" w:rsidSect="00DD7206">
          <w:headerReference w:type="default" r:id="rId13"/>
          <w:footerReference w:type="default" r:id="rId14"/>
          <w:headerReference w:type="first" r:id="rId15"/>
          <w:footerReference w:type="first" r:id="rId16"/>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657"/>
        <w:gridCol w:w="2690"/>
        <w:gridCol w:w="2657"/>
        <w:gridCol w:w="2630"/>
        <w:gridCol w:w="2316"/>
      </w:tblGrid>
      <w:tr w:rsidR="00B6741C" w:rsidRPr="00E35E8A" w14:paraId="266E8016" w14:textId="4E26EFF8" w:rsidTr="00B6741C">
        <w:trPr>
          <w:cantSplit/>
          <w:tblHeader/>
        </w:trPr>
        <w:tc>
          <w:tcPr>
            <w:tcW w:w="2657" w:type="dxa"/>
          </w:tcPr>
          <w:p w14:paraId="5950BEA4" w14:textId="77777777" w:rsidR="00B6741C" w:rsidRPr="00E35E8A" w:rsidRDefault="00B6741C" w:rsidP="00B6741C">
            <w:pPr>
              <w:widowControl/>
              <w:autoSpaceDE/>
              <w:autoSpaceDN/>
              <w:adjustRightInd/>
              <w:rPr>
                <w:rFonts w:cs="Calibri"/>
                <w:b/>
              </w:rPr>
            </w:pPr>
            <w:r w:rsidRPr="00E35E8A">
              <w:rPr>
                <w:rFonts w:cs="Calibri"/>
                <w:b/>
              </w:rPr>
              <w:t>Observation #</w:t>
            </w:r>
          </w:p>
          <w:p w14:paraId="09AE72D2" w14:textId="493A1667" w:rsidR="00B6741C" w:rsidRPr="00E35E8A" w:rsidRDefault="00B6741C" w:rsidP="00B6741C">
            <w:pPr>
              <w:widowControl/>
              <w:autoSpaceDE/>
              <w:autoSpaceDN/>
              <w:adjustRightInd/>
              <w:rPr>
                <w:rFonts w:cs="Calibri"/>
                <w:b/>
              </w:rPr>
            </w:pPr>
            <w:r w:rsidRPr="00E35E8A">
              <w:rPr>
                <w:rFonts w:cs="Calibri"/>
                <w:b/>
              </w:rPr>
              <w:t>FY 20</w:t>
            </w:r>
            <w:r w:rsidR="00137B2F">
              <w:rPr>
                <w:rFonts w:cs="Calibri"/>
                <w:b/>
              </w:rPr>
              <w:t>24</w:t>
            </w:r>
            <w:r w:rsidRPr="00E35E8A">
              <w:rPr>
                <w:rFonts w:cs="Calibri"/>
                <w:b/>
              </w:rPr>
              <w:t>-OB-#</w:t>
            </w:r>
          </w:p>
          <w:p w14:paraId="07702D17" w14:textId="77777777" w:rsidR="00B6741C" w:rsidRPr="00E35E8A" w:rsidRDefault="00B6741C" w:rsidP="00B6741C">
            <w:pPr>
              <w:widowControl/>
              <w:autoSpaceDE/>
              <w:autoSpaceDN/>
              <w:adjustRightInd/>
              <w:rPr>
                <w:rFonts w:cs="Calibri"/>
                <w:i/>
              </w:rPr>
            </w:pPr>
          </w:p>
        </w:tc>
        <w:tc>
          <w:tcPr>
            <w:tcW w:w="2690" w:type="dxa"/>
          </w:tcPr>
          <w:p w14:paraId="5B8F9311" w14:textId="77777777" w:rsidR="00B6741C" w:rsidRPr="00E35E8A" w:rsidRDefault="00B6741C" w:rsidP="00B6741C">
            <w:pPr>
              <w:widowControl/>
              <w:autoSpaceDE/>
              <w:autoSpaceDN/>
              <w:adjustRightInd/>
              <w:rPr>
                <w:rFonts w:cs="Calibri"/>
                <w:b/>
              </w:rPr>
            </w:pPr>
            <w:r w:rsidRPr="00E35E8A">
              <w:rPr>
                <w:rFonts w:cs="Calibri"/>
                <w:b/>
              </w:rPr>
              <w:t>Observation#</w:t>
            </w:r>
          </w:p>
          <w:p w14:paraId="757E85A6" w14:textId="1A0E7C84" w:rsidR="00B6741C" w:rsidRPr="00E35E8A" w:rsidRDefault="00B6741C" w:rsidP="00B6741C">
            <w:pPr>
              <w:widowControl/>
              <w:autoSpaceDE/>
              <w:autoSpaceDN/>
              <w:adjustRightInd/>
              <w:rPr>
                <w:rFonts w:cs="Calibri"/>
                <w:i/>
              </w:rPr>
            </w:pPr>
            <w:r w:rsidRPr="00E35E8A">
              <w:rPr>
                <w:rFonts w:cs="Calibri"/>
                <w:b/>
              </w:rPr>
              <w:t>FY 20</w:t>
            </w:r>
            <w:r w:rsidR="00137B2F">
              <w:rPr>
                <w:rFonts w:cs="Calibri"/>
                <w:b/>
              </w:rPr>
              <w:t>24</w:t>
            </w:r>
            <w:r w:rsidRPr="00E35E8A">
              <w:rPr>
                <w:rFonts w:cs="Calibri"/>
                <w:b/>
              </w:rPr>
              <w:t xml:space="preserve">-OB-# </w:t>
            </w:r>
            <w:r w:rsidRPr="00E35E8A">
              <w:rPr>
                <w:rFonts w:cs="Calibri"/>
                <w:b/>
                <w:i/>
              </w:rPr>
              <w:t>or</w:t>
            </w:r>
            <w:r w:rsidRPr="00E35E8A">
              <w:rPr>
                <w:rFonts w:cs="Calibri"/>
                <w:b/>
              </w:rPr>
              <w:t xml:space="preserve"> FY 20</w:t>
            </w:r>
            <w:r w:rsidR="00137B2F">
              <w:rPr>
                <w:rFonts w:cs="Calibri"/>
                <w:b/>
              </w:rPr>
              <w:t>24</w:t>
            </w:r>
            <w:r w:rsidRPr="00E35E8A">
              <w:rPr>
                <w:rFonts w:cs="Calibri"/>
                <w:b/>
              </w:rPr>
              <w:t>-#</w:t>
            </w:r>
          </w:p>
        </w:tc>
        <w:tc>
          <w:tcPr>
            <w:tcW w:w="2657" w:type="dxa"/>
          </w:tcPr>
          <w:p w14:paraId="11DA1749" w14:textId="7AE042CC" w:rsidR="00B6741C" w:rsidRPr="00E35E8A" w:rsidRDefault="00B6741C" w:rsidP="00B6741C">
            <w:pPr>
              <w:widowControl/>
              <w:autoSpaceDE/>
              <w:autoSpaceDN/>
              <w:adjustRightInd/>
              <w:rPr>
                <w:rFonts w:cs="Calibri"/>
                <w:i/>
              </w:rPr>
            </w:pPr>
            <w:r w:rsidRPr="00E35E8A">
              <w:rPr>
                <w:rFonts w:cs="Calibri"/>
                <w:b/>
              </w:rPr>
              <w:t>Observation</w:t>
            </w:r>
          </w:p>
        </w:tc>
        <w:tc>
          <w:tcPr>
            <w:tcW w:w="2630" w:type="dxa"/>
          </w:tcPr>
          <w:p w14:paraId="76BC073C" w14:textId="70BBC1B0" w:rsidR="00B6741C" w:rsidRPr="00E35E8A" w:rsidRDefault="00B6741C" w:rsidP="00B6741C">
            <w:pPr>
              <w:widowControl/>
              <w:autoSpaceDE/>
              <w:autoSpaceDN/>
              <w:adjustRightInd/>
              <w:rPr>
                <w:rFonts w:cs="Calibri"/>
                <w:i/>
              </w:rPr>
            </w:pPr>
            <w:r w:rsidRPr="00E35E8A">
              <w:rPr>
                <w:rFonts w:cs="Calibri"/>
                <w:b/>
              </w:rPr>
              <w:t>Federal Monitoring Plan</w:t>
            </w:r>
          </w:p>
        </w:tc>
        <w:tc>
          <w:tcPr>
            <w:tcW w:w="2316" w:type="dxa"/>
          </w:tcPr>
          <w:p w14:paraId="46D0EE63" w14:textId="4A2BA825" w:rsidR="00B6741C" w:rsidRPr="00E35E8A" w:rsidRDefault="00B6741C" w:rsidP="00B6741C">
            <w:pPr>
              <w:widowControl/>
              <w:autoSpaceDE/>
              <w:autoSpaceDN/>
              <w:adjustRightInd/>
              <w:rPr>
                <w:rFonts w:cs="Calibri"/>
                <w:b/>
              </w:rPr>
            </w:pPr>
            <w:r w:rsidRPr="00E35E8A">
              <w:rPr>
                <w:rFonts w:cs="Calibri"/>
                <w:b/>
              </w:rPr>
              <w:t>Current Status</w:t>
            </w:r>
          </w:p>
        </w:tc>
      </w:tr>
      <w:tr w:rsidR="00B6741C" w:rsidRPr="00E35E8A" w14:paraId="715083EB" w14:textId="58561804" w:rsidTr="00212C0E">
        <w:trPr>
          <w:cantSplit/>
          <w:trHeight w:val="404"/>
        </w:trPr>
        <w:tc>
          <w:tcPr>
            <w:tcW w:w="2657" w:type="dxa"/>
          </w:tcPr>
          <w:p w14:paraId="7834860F" w14:textId="268352E9" w:rsidR="00B6741C" w:rsidRPr="00E35E8A" w:rsidRDefault="00B6741C" w:rsidP="00B6741C">
            <w:pPr>
              <w:widowControl/>
              <w:autoSpaceDE/>
              <w:autoSpaceDN/>
              <w:adjustRightInd/>
              <w:rPr>
                <w:rFonts w:cs="Calibri"/>
                <w:iCs/>
                <w:color w:val="0070C0"/>
              </w:rPr>
            </w:pPr>
          </w:p>
        </w:tc>
        <w:tc>
          <w:tcPr>
            <w:tcW w:w="2690" w:type="dxa"/>
          </w:tcPr>
          <w:p w14:paraId="1207E4E3" w14:textId="77777777" w:rsidR="00B6741C" w:rsidRPr="00E35E8A" w:rsidRDefault="00B6741C" w:rsidP="00B6741C">
            <w:pPr>
              <w:widowControl/>
              <w:autoSpaceDE/>
              <w:autoSpaceDN/>
              <w:adjustRightInd/>
              <w:rPr>
                <w:rFonts w:cs="Calibri"/>
                <w:iCs/>
                <w:color w:val="0070C0"/>
              </w:rPr>
            </w:pPr>
          </w:p>
        </w:tc>
        <w:tc>
          <w:tcPr>
            <w:tcW w:w="2657" w:type="dxa"/>
          </w:tcPr>
          <w:p w14:paraId="53E4A09F" w14:textId="73F559CF" w:rsidR="00B6741C" w:rsidRPr="00E35E8A" w:rsidRDefault="003B4F00" w:rsidP="00B6741C">
            <w:pPr>
              <w:widowControl/>
              <w:autoSpaceDE/>
              <w:autoSpaceDN/>
              <w:adjustRightInd/>
              <w:rPr>
                <w:rFonts w:cs="Calibri"/>
                <w:iCs/>
                <w:color w:val="0070C0"/>
              </w:rPr>
            </w:pPr>
            <w:r w:rsidRPr="003B4F00">
              <w:rPr>
                <w:rFonts w:cs="Calibri"/>
                <w:iCs/>
              </w:rPr>
              <w:t>None.</w:t>
            </w:r>
          </w:p>
        </w:tc>
        <w:tc>
          <w:tcPr>
            <w:tcW w:w="2630" w:type="dxa"/>
          </w:tcPr>
          <w:p w14:paraId="04F2CA88" w14:textId="77777777" w:rsidR="00B6741C" w:rsidRPr="00E35E8A" w:rsidRDefault="00B6741C" w:rsidP="00B6741C">
            <w:pPr>
              <w:widowControl/>
              <w:autoSpaceDE/>
              <w:autoSpaceDN/>
              <w:adjustRightInd/>
              <w:rPr>
                <w:rFonts w:cs="Calibri"/>
                <w:iCs/>
                <w:color w:val="0070C0"/>
              </w:rPr>
            </w:pPr>
          </w:p>
        </w:tc>
        <w:tc>
          <w:tcPr>
            <w:tcW w:w="2316" w:type="dxa"/>
          </w:tcPr>
          <w:p w14:paraId="79E4394D" w14:textId="1F766F96" w:rsidR="00B6741C" w:rsidRPr="00E35E8A" w:rsidRDefault="00B6741C" w:rsidP="00B6741C">
            <w:pPr>
              <w:widowControl/>
              <w:autoSpaceDE/>
              <w:autoSpaceDN/>
              <w:adjustRightInd/>
              <w:rPr>
                <w:rFonts w:cs="Calibri"/>
                <w:iCs/>
                <w:color w:val="0070C0"/>
              </w:rPr>
            </w:pPr>
          </w:p>
        </w:tc>
      </w:tr>
    </w:tbl>
    <w:p w14:paraId="2352A70A" w14:textId="7478DFBA" w:rsidR="00E759AB" w:rsidRPr="001C1E47" w:rsidRDefault="00E759AB" w:rsidP="007A71AC">
      <w:pPr>
        <w:widowControl/>
        <w:autoSpaceDE/>
        <w:autoSpaceDN/>
        <w:adjustRightInd/>
        <w:rPr>
          <w:rFonts w:cs="Calibri"/>
          <w:i/>
          <w:sz w:val="22"/>
          <w:szCs w:val="22"/>
        </w:rPr>
      </w:pPr>
    </w:p>
    <w:p w14:paraId="3912394D" w14:textId="77777777" w:rsidR="000A134A" w:rsidRDefault="000A134A" w:rsidP="007A71AC">
      <w:pPr>
        <w:widowControl/>
        <w:autoSpaceDE/>
        <w:autoSpaceDN/>
        <w:adjustRightInd/>
        <w:rPr>
          <w:rFonts w:cs="Calibri"/>
          <w:i/>
          <w:sz w:val="22"/>
          <w:szCs w:val="22"/>
        </w:rPr>
      </w:pPr>
    </w:p>
    <w:p w14:paraId="292D4B97" w14:textId="77777777" w:rsidR="003B4F00" w:rsidRDefault="003B4F00" w:rsidP="007A71AC">
      <w:pPr>
        <w:widowControl/>
        <w:autoSpaceDE/>
        <w:autoSpaceDN/>
        <w:adjustRightInd/>
        <w:rPr>
          <w:rFonts w:cs="Calibri"/>
          <w:i/>
          <w:sz w:val="22"/>
          <w:szCs w:val="22"/>
        </w:rPr>
      </w:pPr>
    </w:p>
    <w:p w14:paraId="70CBA4BC" w14:textId="77777777" w:rsidR="003B4F00" w:rsidRDefault="003B4F00" w:rsidP="007A71AC">
      <w:pPr>
        <w:widowControl/>
        <w:autoSpaceDE/>
        <w:autoSpaceDN/>
        <w:adjustRightInd/>
        <w:rPr>
          <w:rFonts w:cs="Calibri"/>
          <w:i/>
          <w:sz w:val="22"/>
          <w:szCs w:val="22"/>
        </w:rPr>
      </w:pPr>
    </w:p>
    <w:p w14:paraId="59B73EB2" w14:textId="77777777" w:rsidR="003B4F00" w:rsidRDefault="003B4F00" w:rsidP="007A71AC">
      <w:pPr>
        <w:widowControl/>
        <w:autoSpaceDE/>
        <w:autoSpaceDN/>
        <w:adjustRightInd/>
        <w:rPr>
          <w:rFonts w:cs="Calibri"/>
          <w:i/>
          <w:sz w:val="22"/>
          <w:szCs w:val="22"/>
        </w:rPr>
      </w:pPr>
    </w:p>
    <w:p w14:paraId="51562A6C" w14:textId="77777777" w:rsidR="003B4F00" w:rsidRDefault="003B4F00" w:rsidP="007A71AC">
      <w:pPr>
        <w:widowControl/>
        <w:autoSpaceDE/>
        <w:autoSpaceDN/>
        <w:adjustRightInd/>
        <w:rPr>
          <w:rFonts w:cs="Calibri"/>
          <w:i/>
          <w:sz w:val="22"/>
          <w:szCs w:val="22"/>
        </w:rPr>
      </w:pPr>
    </w:p>
    <w:p w14:paraId="16B725C1" w14:textId="77777777" w:rsidR="003B4F00" w:rsidRDefault="003B4F00" w:rsidP="007A71AC">
      <w:pPr>
        <w:widowControl/>
        <w:autoSpaceDE/>
        <w:autoSpaceDN/>
        <w:adjustRightInd/>
        <w:rPr>
          <w:rFonts w:cs="Calibri"/>
          <w:i/>
          <w:sz w:val="22"/>
          <w:szCs w:val="22"/>
        </w:rPr>
      </w:pPr>
    </w:p>
    <w:p w14:paraId="4F523302" w14:textId="77777777" w:rsidR="003B4F00" w:rsidRDefault="003B4F00" w:rsidP="007A71AC">
      <w:pPr>
        <w:widowControl/>
        <w:autoSpaceDE/>
        <w:autoSpaceDN/>
        <w:adjustRightInd/>
        <w:rPr>
          <w:rFonts w:cs="Calibri"/>
          <w:i/>
          <w:sz w:val="22"/>
          <w:szCs w:val="22"/>
        </w:rPr>
      </w:pPr>
    </w:p>
    <w:p w14:paraId="674E1EE1" w14:textId="77777777" w:rsidR="003B4F00" w:rsidRDefault="003B4F00" w:rsidP="007A71AC">
      <w:pPr>
        <w:widowControl/>
        <w:autoSpaceDE/>
        <w:autoSpaceDN/>
        <w:adjustRightInd/>
        <w:rPr>
          <w:rFonts w:cs="Calibri"/>
          <w:i/>
          <w:sz w:val="22"/>
          <w:szCs w:val="22"/>
        </w:rPr>
      </w:pPr>
    </w:p>
    <w:p w14:paraId="183EDE01" w14:textId="1675A6FA" w:rsidR="00892D3A" w:rsidRDefault="00892D3A" w:rsidP="00996CB7">
      <w:pPr>
        <w:tabs>
          <w:tab w:val="left" w:pos="6980"/>
        </w:tabs>
        <w:rPr>
          <w:rFonts w:cs="Calibri"/>
          <w:i/>
          <w:sz w:val="22"/>
          <w:szCs w:val="22"/>
        </w:rPr>
      </w:pPr>
      <w:r>
        <w:rPr>
          <w:rFonts w:cs="Calibri"/>
          <w:i/>
          <w:sz w:val="22"/>
          <w:szCs w:val="22"/>
        </w:rPr>
        <w:tab/>
      </w:r>
    </w:p>
    <w:p w14:paraId="6F0F158C" w14:textId="77777777" w:rsidR="003B4F00" w:rsidRDefault="003B4F00" w:rsidP="00996CB7">
      <w:pPr>
        <w:tabs>
          <w:tab w:val="left" w:pos="6980"/>
        </w:tabs>
        <w:rPr>
          <w:rFonts w:cs="Calibri"/>
          <w:sz w:val="22"/>
          <w:szCs w:val="22"/>
        </w:rPr>
      </w:pPr>
    </w:p>
    <w:p w14:paraId="7FC8BD2A" w14:textId="77777777" w:rsidR="003B4F00" w:rsidRDefault="003B4F00" w:rsidP="00996CB7">
      <w:pPr>
        <w:tabs>
          <w:tab w:val="left" w:pos="6980"/>
        </w:tabs>
        <w:rPr>
          <w:rFonts w:cs="Calibri"/>
          <w:sz w:val="22"/>
          <w:szCs w:val="22"/>
        </w:rPr>
      </w:pPr>
    </w:p>
    <w:p w14:paraId="562F29A8" w14:textId="77777777" w:rsidR="003B4F00" w:rsidRDefault="003B4F00" w:rsidP="00996CB7">
      <w:pPr>
        <w:tabs>
          <w:tab w:val="left" w:pos="6980"/>
        </w:tabs>
        <w:rPr>
          <w:rFonts w:cs="Calibri"/>
          <w:sz w:val="22"/>
          <w:szCs w:val="22"/>
        </w:rPr>
      </w:pPr>
    </w:p>
    <w:p w14:paraId="2F2347B6" w14:textId="77777777" w:rsidR="003B4F00" w:rsidRDefault="003B4F00" w:rsidP="00996CB7">
      <w:pPr>
        <w:tabs>
          <w:tab w:val="left" w:pos="6980"/>
        </w:tabs>
        <w:rPr>
          <w:rFonts w:cs="Calibri"/>
          <w:sz w:val="22"/>
          <w:szCs w:val="22"/>
        </w:rPr>
      </w:pPr>
    </w:p>
    <w:p w14:paraId="745CEC18" w14:textId="77777777" w:rsidR="003B4F00" w:rsidRDefault="003B4F00" w:rsidP="00996CB7">
      <w:pPr>
        <w:tabs>
          <w:tab w:val="left" w:pos="6980"/>
        </w:tabs>
        <w:rPr>
          <w:rFonts w:cs="Calibri"/>
          <w:sz w:val="22"/>
          <w:szCs w:val="22"/>
        </w:rPr>
      </w:pPr>
    </w:p>
    <w:p w14:paraId="72F5A819" w14:textId="77777777" w:rsidR="003B4F00" w:rsidRDefault="003B4F00" w:rsidP="00996CB7">
      <w:pPr>
        <w:tabs>
          <w:tab w:val="left" w:pos="6980"/>
        </w:tabs>
        <w:rPr>
          <w:rFonts w:cs="Calibri"/>
          <w:sz w:val="22"/>
          <w:szCs w:val="22"/>
        </w:rPr>
      </w:pPr>
    </w:p>
    <w:p w14:paraId="62CF4017" w14:textId="77777777" w:rsidR="003B4F00" w:rsidRDefault="003B4F00" w:rsidP="00996CB7">
      <w:pPr>
        <w:tabs>
          <w:tab w:val="left" w:pos="6980"/>
        </w:tabs>
        <w:rPr>
          <w:rFonts w:cs="Calibri"/>
          <w:sz w:val="22"/>
          <w:szCs w:val="22"/>
        </w:rPr>
      </w:pPr>
    </w:p>
    <w:p w14:paraId="37968E68" w14:textId="77777777" w:rsidR="003B4F00" w:rsidRDefault="003B4F00" w:rsidP="00996CB7">
      <w:pPr>
        <w:tabs>
          <w:tab w:val="left" w:pos="6980"/>
        </w:tabs>
        <w:rPr>
          <w:rFonts w:cs="Calibri"/>
          <w:sz w:val="22"/>
          <w:szCs w:val="22"/>
        </w:rPr>
      </w:pPr>
    </w:p>
    <w:p w14:paraId="6AC7D8E3" w14:textId="77777777" w:rsidR="003B4F00" w:rsidRDefault="003B4F00" w:rsidP="00996CB7">
      <w:pPr>
        <w:tabs>
          <w:tab w:val="left" w:pos="6980"/>
        </w:tabs>
        <w:rPr>
          <w:rFonts w:cs="Calibri"/>
          <w:sz w:val="22"/>
          <w:szCs w:val="22"/>
        </w:rPr>
      </w:pPr>
    </w:p>
    <w:p w14:paraId="5966FA9F" w14:textId="25E20433" w:rsidR="0065591D" w:rsidRPr="00996CB7" w:rsidRDefault="00892D3A" w:rsidP="00996CB7">
      <w:pPr>
        <w:tabs>
          <w:tab w:val="left" w:pos="6980"/>
        </w:tabs>
        <w:rPr>
          <w:rFonts w:cs="Calibri"/>
          <w:sz w:val="22"/>
          <w:szCs w:val="22"/>
        </w:rPr>
        <w:sectPr w:rsidR="0065591D" w:rsidRPr="00996CB7" w:rsidSect="00476C08">
          <w:headerReference w:type="first" r:id="rId17"/>
          <w:footerReference w:type="first" r:id="rId18"/>
          <w:type w:val="continuous"/>
          <w:pgSz w:w="15840" w:h="12240" w:orient="landscape"/>
          <w:pgMar w:top="1440" w:right="1440" w:bottom="1440" w:left="1440" w:header="720" w:footer="720" w:gutter="0"/>
          <w:cols w:space="720"/>
          <w:titlePg/>
          <w:docGrid w:linePitch="360"/>
        </w:sectPr>
      </w:pPr>
      <w:r>
        <w:rPr>
          <w:rFonts w:cs="Calibri"/>
          <w:sz w:val="22"/>
          <w:szCs w:val="22"/>
        </w:rPr>
        <w:tab/>
      </w:r>
    </w:p>
    <w:p w14:paraId="01176981" w14:textId="0E76A319" w:rsidR="00747710" w:rsidRDefault="00747710" w:rsidP="000F63C1">
      <w:pPr>
        <w:pStyle w:val="Heading3"/>
        <w:numPr>
          <w:ilvl w:val="0"/>
          <w:numId w:val="0"/>
        </w:numPr>
      </w:pPr>
      <w:bookmarkStart w:id="28" w:name="_Toc118905019"/>
      <w:bookmarkStart w:id="29" w:name="_Toc119418671"/>
      <w:r w:rsidRPr="00747710">
        <w:lastRenderedPageBreak/>
        <w:t>Appendix C - Status of FY 20</w:t>
      </w:r>
      <w:r w:rsidR="00212C0E">
        <w:t>23</w:t>
      </w:r>
      <w:r w:rsidRPr="00747710">
        <w:t xml:space="preserve"> Findings and Recommendations</w:t>
      </w:r>
      <w:bookmarkEnd w:id="28"/>
      <w:bookmarkEnd w:id="29"/>
    </w:p>
    <w:p w14:paraId="3D850E81" w14:textId="7D0FF5AD" w:rsidR="00747710" w:rsidRPr="00747710" w:rsidRDefault="00747710" w:rsidP="005367D5">
      <w:r w:rsidRPr="00155419">
        <w:t>FY 20</w:t>
      </w:r>
      <w:r w:rsidR="00155419" w:rsidRPr="00155419">
        <w:t>24</w:t>
      </w:r>
      <w:r w:rsidRPr="00155419">
        <w:t xml:space="preserve"> </w:t>
      </w:r>
      <w:r w:rsidR="00155419" w:rsidRPr="00155419">
        <w:t>MEOSH</w:t>
      </w:r>
      <w:r w:rsidRPr="00155419">
        <w:t xml:space="preserve"> </w:t>
      </w:r>
      <w:r w:rsidRPr="00747710">
        <w:t>Follow-up FAME Report</w:t>
      </w:r>
    </w:p>
    <w:p w14:paraId="45E6B5CB" w14:textId="3ED906A9" w:rsidR="005367D5" w:rsidRDefault="005367D5" w:rsidP="007A71AC">
      <w:pPr>
        <w:widowControl/>
        <w:autoSpaceDE/>
        <w:autoSpaceDN/>
        <w:adjustRightInd/>
        <w:rPr>
          <w:rFonts w:cs="Calibri"/>
          <w:iCs/>
        </w:rPr>
      </w:pP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3960"/>
        <w:gridCol w:w="1592"/>
        <w:gridCol w:w="2250"/>
      </w:tblGrid>
      <w:tr w:rsidR="005367D5" w:rsidRPr="001C1E47" w14:paraId="04152CB8" w14:textId="77777777" w:rsidTr="00D93CB3">
        <w:trPr>
          <w:trHeight w:val="412"/>
        </w:trPr>
        <w:tc>
          <w:tcPr>
            <w:tcW w:w="1435" w:type="dxa"/>
          </w:tcPr>
          <w:p w14:paraId="0FAB4AA2" w14:textId="4B83C837" w:rsidR="005367D5" w:rsidRPr="001C1E47" w:rsidRDefault="005367D5" w:rsidP="00D93CB3">
            <w:pPr>
              <w:rPr>
                <w:rFonts w:cs="Calibri"/>
                <w:b/>
              </w:rPr>
            </w:pPr>
            <w:r w:rsidRPr="001C1E47">
              <w:rPr>
                <w:rFonts w:cs="Calibri"/>
                <w:b/>
              </w:rPr>
              <w:t xml:space="preserve">FY </w:t>
            </w:r>
            <w:r w:rsidRPr="00155419">
              <w:rPr>
                <w:rFonts w:cs="Calibri"/>
                <w:b/>
              </w:rPr>
              <w:t>20</w:t>
            </w:r>
            <w:r w:rsidR="00155419" w:rsidRPr="00155419">
              <w:rPr>
                <w:rFonts w:cs="Calibri"/>
                <w:b/>
              </w:rPr>
              <w:t>23</w:t>
            </w:r>
            <w:r w:rsidRPr="00155419">
              <w:rPr>
                <w:rFonts w:cs="Calibri"/>
                <w:b/>
              </w:rPr>
              <w:t>-#</w:t>
            </w:r>
          </w:p>
        </w:tc>
        <w:tc>
          <w:tcPr>
            <w:tcW w:w="2098" w:type="dxa"/>
          </w:tcPr>
          <w:p w14:paraId="395AE41F" w14:textId="77777777" w:rsidR="005367D5" w:rsidRPr="001C1E47" w:rsidRDefault="005367D5" w:rsidP="00D93CB3">
            <w:pPr>
              <w:rPr>
                <w:rFonts w:cs="Calibri"/>
                <w:b/>
              </w:rPr>
            </w:pPr>
            <w:r w:rsidRPr="001C1E47">
              <w:rPr>
                <w:rFonts w:cs="Calibri"/>
                <w:b/>
              </w:rPr>
              <w:t>Finding</w:t>
            </w:r>
          </w:p>
        </w:tc>
        <w:tc>
          <w:tcPr>
            <w:tcW w:w="2250" w:type="dxa"/>
          </w:tcPr>
          <w:p w14:paraId="6EEE46BC" w14:textId="77777777" w:rsidR="005367D5" w:rsidRPr="001C1E47" w:rsidRDefault="005367D5" w:rsidP="00D93CB3">
            <w:pPr>
              <w:rPr>
                <w:rFonts w:cs="Calibri"/>
                <w:b/>
              </w:rPr>
            </w:pPr>
            <w:r w:rsidRPr="001C1E47">
              <w:rPr>
                <w:rFonts w:cs="Calibri"/>
                <w:b/>
              </w:rPr>
              <w:t>Recommendation</w:t>
            </w:r>
          </w:p>
        </w:tc>
        <w:tc>
          <w:tcPr>
            <w:tcW w:w="3960" w:type="dxa"/>
          </w:tcPr>
          <w:p w14:paraId="461C9375" w14:textId="77777777" w:rsidR="005367D5" w:rsidRPr="001C1E47" w:rsidRDefault="005367D5" w:rsidP="00D93CB3">
            <w:pPr>
              <w:rPr>
                <w:rFonts w:cs="Calibri"/>
                <w:b/>
              </w:rPr>
            </w:pPr>
            <w:r w:rsidRPr="001C1E47">
              <w:rPr>
                <w:rFonts w:cs="Calibri"/>
                <w:b/>
              </w:rPr>
              <w:t>State Plan Corrective Action</w:t>
            </w:r>
          </w:p>
        </w:tc>
        <w:tc>
          <w:tcPr>
            <w:tcW w:w="1592" w:type="dxa"/>
          </w:tcPr>
          <w:p w14:paraId="5151BE67" w14:textId="77777777" w:rsidR="005367D5" w:rsidRPr="001C1E47" w:rsidRDefault="005367D5" w:rsidP="00D93CB3">
            <w:pPr>
              <w:rPr>
                <w:rFonts w:cs="Calibri"/>
                <w:b/>
              </w:rPr>
            </w:pPr>
            <w:r w:rsidRPr="001C1E47">
              <w:rPr>
                <w:rFonts w:cs="Calibri"/>
                <w:b/>
              </w:rPr>
              <w:t>Completion Date</w:t>
            </w:r>
          </w:p>
        </w:tc>
        <w:tc>
          <w:tcPr>
            <w:tcW w:w="2250" w:type="dxa"/>
          </w:tcPr>
          <w:p w14:paraId="48025986" w14:textId="77777777" w:rsidR="005367D5" w:rsidRPr="001C1E47" w:rsidRDefault="005367D5" w:rsidP="00D93CB3">
            <w:pPr>
              <w:rPr>
                <w:rFonts w:cs="Calibri"/>
                <w:b/>
              </w:rPr>
            </w:pPr>
            <w:r w:rsidRPr="001C1E47">
              <w:rPr>
                <w:rFonts w:cs="Calibri"/>
                <w:b/>
              </w:rPr>
              <w:t xml:space="preserve">Current Status </w:t>
            </w:r>
          </w:p>
          <w:p w14:paraId="1D3136EF" w14:textId="77777777" w:rsidR="005367D5" w:rsidRPr="001C1E47" w:rsidRDefault="005367D5" w:rsidP="00D93CB3">
            <w:pPr>
              <w:rPr>
                <w:rFonts w:cs="Calibri"/>
                <w:b/>
              </w:rPr>
            </w:pPr>
            <w:r w:rsidRPr="001C1E47">
              <w:rPr>
                <w:rFonts w:cs="Calibri"/>
                <w:b/>
              </w:rPr>
              <w:t>and Date</w:t>
            </w:r>
          </w:p>
        </w:tc>
      </w:tr>
      <w:tr w:rsidR="005367D5" w:rsidRPr="001C1E47" w14:paraId="7244A508" w14:textId="77777777" w:rsidTr="00D93CB3">
        <w:trPr>
          <w:trHeight w:val="412"/>
        </w:trPr>
        <w:tc>
          <w:tcPr>
            <w:tcW w:w="1435" w:type="dxa"/>
          </w:tcPr>
          <w:p w14:paraId="3B6143AB" w14:textId="5B8A38F4" w:rsidR="005367D5" w:rsidRPr="00155419" w:rsidRDefault="005367D5" w:rsidP="0015541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5419">
              <w:rPr>
                <w:rFonts w:eastAsia="PMingLiU" w:cs="Calibri"/>
                <w:sz w:val="22"/>
                <w:szCs w:val="22"/>
              </w:rPr>
              <w:t> </w:t>
            </w:r>
          </w:p>
        </w:tc>
        <w:tc>
          <w:tcPr>
            <w:tcW w:w="2098" w:type="dxa"/>
          </w:tcPr>
          <w:p w14:paraId="1D6DD323" w14:textId="40C35AC3" w:rsidR="005367D5" w:rsidRPr="003B4F00" w:rsidRDefault="003B4F00" w:rsidP="003B4F0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sz w:val="22"/>
                <w:szCs w:val="22"/>
              </w:rPr>
            </w:pPr>
            <w:r w:rsidRPr="003B4F00">
              <w:rPr>
                <w:rFonts w:eastAsia="PMingLiU" w:cs="Calibri"/>
                <w:bCs/>
                <w:sz w:val="22"/>
                <w:szCs w:val="22"/>
              </w:rPr>
              <w:t>None.</w:t>
            </w:r>
            <w:r w:rsidR="005367D5" w:rsidRPr="003B4F00">
              <w:rPr>
                <w:rFonts w:eastAsia="PMingLiU" w:cs="Calibri"/>
                <w:bCs/>
                <w:sz w:val="22"/>
                <w:szCs w:val="22"/>
              </w:rPr>
              <w:t> </w:t>
            </w:r>
          </w:p>
        </w:tc>
        <w:tc>
          <w:tcPr>
            <w:tcW w:w="2250" w:type="dxa"/>
          </w:tcPr>
          <w:p w14:paraId="19499B4B" w14:textId="217DC834" w:rsidR="005367D5" w:rsidRPr="003B4F00" w:rsidRDefault="005367D5" w:rsidP="003B4F00">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sz w:val="22"/>
                <w:szCs w:val="22"/>
              </w:rPr>
            </w:pPr>
          </w:p>
        </w:tc>
        <w:tc>
          <w:tcPr>
            <w:tcW w:w="3960" w:type="dxa"/>
          </w:tcPr>
          <w:p w14:paraId="37D73ADA"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1592" w:type="dxa"/>
          </w:tcPr>
          <w:p w14:paraId="56F99649"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c>
          <w:tcPr>
            <w:tcW w:w="2250" w:type="dxa"/>
          </w:tcPr>
          <w:p w14:paraId="4007473C" w14:textId="77777777" w:rsidR="005367D5" w:rsidRPr="001C1E4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sidRPr="001C1E47">
              <w:rPr>
                <w:rFonts w:eastAsia="PMingLiU" w:cs="Calibri"/>
                <w:b/>
                <w:sz w:val="22"/>
                <w:szCs w:val="22"/>
              </w:rPr>
              <w:t> </w:t>
            </w:r>
          </w:p>
        </w:tc>
      </w:tr>
    </w:tbl>
    <w:p w14:paraId="7868D818" w14:textId="77777777" w:rsidR="003B4F00" w:rsidRDefault="003B4F00" w:rsidP="003B4F00">
      <w:pPr>
        <w:widowControl/>
        <w:autoSpaceDE/>
        <w:autoSpaceDN/>
        <w:adjustRightInd/>
        <w:rPr>
          <w:rFonts w:cs="Calibri"/>
          <w:iCs/>
          <w:color w:val="0070C0"/>
        </w:rPr>
      </w:pPr>
    </w:p>
    <w:p w14:paraId="7FF2E684" w14:textId="77777777" w:rsidR="003B4F00" w:rsidRDefault="003B4F00" w:rsidP="003B4F00">
      <w:pPr>
        <w:widowControl/>
        <w:autoSpaceDE/>
        <w:autoSpaceDN/>
        <w:adjustRightInd/>
        <w:rPr>
          <w:rFonts w:cs="Calibri"/>
          <w:iCs/>
          <w:color w:val="0070C0"/>
        </w:rPr>
      </w:pPr>
    </w:p>
    <w:p w14:paraId="3697B535" w14:textId="77777777" w:rsidR="003B4F00" w:rsidRDefault="003B4F00" w:rsidP="003B4F00">
      <w:pPr>
        <w:widowControl/>
        <w:autoSpaceDE/>
        <w:autoSpaceDN/>
        <w:adjustRightInd/>
        <w:rPr>
          <w:rFonts w:cs="Calibri"/>
          <w:iCs/>
          <w:color w:val="0070C0"/>
        </w:rPr>
      </w:pPr>
    </w:p>
    <w:p w14:paraId="70C0636A" w14:textId="77777777" w:rsidR="003B4F00" w:rsidRDefault="003B4F00" w:rsidP="003B4F00">
      <w:pPr>
        <w:widowControl/>
        <w:autoSpaceDE/>
        <w:autoSpaceDN/>
        <w:adjustRightInd/>
        <w:rPr>
          <w:rFonts w:cs="Calibri"/>
          <w:iCs/>
          <w:color w:val="0070C0"/>
        </w:rPr>
      </w:pPr>
    </w:p>
    <w:p w14:paraId="2893CCAE" w14:textId="77777777" w:rsidR="003B4F00" w:rsidRDefault="003B4F00" w:rsidP="003B4F00">
      <w:pPr>
        <w:widowControl/>
        <w:autoSpaceDE/>
        <w:autoSpaceDN/>
        <w:adjustRightInd/>
        <w:rPr>
          <w:rFonts w:cs="Calibri"/>
          <w:iCs/>
          <w:color w:val="0070C0"/>
        </w:rPr>
      </w:pPr>
    </w:p>
    <w:p w14:paraId="6AB5042A" w14:textId="77777777" w:rsidR="003B4F00" w:rsidRDefault="003B4F00" w:rsidP="003B4F00">
      <w:pPr>
        <w:widowControl/>
        <w:autoSpaceDE/>
        <w:autoSpaceDN/>
        <w:adjustRightInd/>
        <w:rPr>
          <w:rFonts w:cs="Calibri"/>
          <w:iCs/>
          <w:color w:val="0070C0"/>
        </w:rPr>
      </w:pPr>
    </w:p>
    <w:p w14:paraId="31E1B6E2" w14:textId="77777777" w:rsidR="003B4F00" w:rsidRDefault="003B4F00" w:rsidP="003B4F00">
      <w:pPr>
        <w:widowControl/>
        <w:autoSpaceDE/>
        <w:autoSpaceDN/>
        <w:adjustRightInd/>
        <w:rPr>
          <w:rFonts w:cs="Calibri"/>
          <w:iCs/>
          <w:color w:val="0070C0"/>
        </w:rPr>
      </w:pPr>
    </w:p>
    <w:p w14:paraId="7FCFC867" w14:textId="77777777" w:rsidR="003B4F00" w:rsidRDefault="003B4F00" w:rsidP="003B4F00">
      <w:pPr>
        <w:widowControl/>
        <w:autoSpaceDE/>
        <w:autoSpaceDN/>
        <w:adjustRightInd/>
        <w:rPr>
          <w:rFonts w:cs="Calibri"/>
          <w:iCs/>
          <w:color w:val="0070C0"/>
        </w:rPr>
      </w:pPr>
    </w:p>
    <w:p w14:paraId="262F1B8B" w14:textId="77777777" w:rsidR="003B4F00" w:rsidRDefault="003B4F00" w:rsidP="003B4F00">
      <w:pPr>
        <w:widowControl/>
        <w:autoSpaceDE/>
        <w:autoSpaceDN/>
        <w:adjustRightInd/>
        <w:rPr>
          <w:rFonts w:cs="Calibri"/>
          <w:iCs/>
          <w:color w:val="0070C0"/>
        </w:rPr>
      </w:pPr>
    </w:p>
    <w:p w14:paraId="5A163C8E" w14:textId="6000D187" w:rsidR="003B4F00" w:rsidRPr="008164E8" w:rsidRDefault="003B4F00" w:rsidP="003B4F00">
      <w:pPr>
        <w:widowControl/>
        <w:autoSpaceDE/>
        <w:autoSpaceDN/>
        <w:adjustRightInd/>
        <w:rPr>
          <w:rFonts w:cs="Calibri"/>
          <w:iCs/>
          <w:color w:val="0070C0"/>
        </w:rPr>
        <w:sectPr w:rsidR="003B4F00" w:rsidRPr="008164E8" w:rsidSect="00476C08">
          <w:headerReference w:type="default" r:id="rId19"/>
          <w:headerReference w:type="first" r:id="rId20"/>
          <w:footerReference w:type="first" r:id="rId21"/>
          <w:pgSz w:w="15840" w:h="12240" w:orient="landscape"/>
          <w:pgMar w:top="1440" w:right="1440" w:bottom="1440" w:left="1440" w:header="630" w:footer="720" w:gutter="0"/>
          <w:cols w:space="720"/>
          <w:titlePg/>
          <w:docGrid w:linePitch="360"/>
        </w:sectPr>
      </w:pPr>
    </w:p>
    <w:p w14:paraId="1B0B407C" w14:textId="437D56F6" w:rsidR="00690C0D" w:rsidRPr="00D93CB3" w:rsidRDefault="00690C0D" w:rsidP="000F63C1">
      <w:pPr>
        <w:pStyle w:val="Heading3"/>
        <w:numPr>
          <w:ilvl w:val="0"/>
          <w:numId w:val="0"/>
        </w:numPr>
        <w:rPr>
          <w:color w:val="0070C0"/>
        </w:rPr>
      </w:pPr>
      <w:bookmarkStart w:id="30" w:name="_Toc119418672"/>
      <w:r w:rsidRPr="008E4054">
        <w:lastRenderedPageBreak/>
        <w:t xml:space="preserve">Appendix D – </w:t>
      </w:r>
      <w:bookmarkStart w:id="31" w:name="_Hlk119349018"/>
      <w:r w:rsidRPr="008E4054">
        <w:t>FY 20</w:t>
      </w:r>
      <w:r w:rsidR="003B4F00">
        <w:t>24</w:t>
      </w:r>
      <w:r w:rsidRPr="008E4054">
        <w:t xml:space="preserve"> State Activity Mandated Measures (SAMM) Report</w:t>
      </w:r>
      <w:bookmarkEnd w:id="30"/>
      <w:bookmarkEnd w:id="31"/>
    </w:p>
    <w:p w14:paraId="19B594E3" w14:textId="5CCA1BC4" w:rsidR="00690C0D" w:rsidRPr="003D2098" w:rsidRDefault="00690C0D" w:rsidP="00476C08">
      <w:pPr>
        <w:pStyle w:val="Header"/>
      </w:pPr>
      <w:r w:rsidRPr="003D2098">
        <w:t>FY 20</w:t>
      </w:r>
      <w:r w:rsidR="003D2098" w:rsidRPr="003D2098">
        <w:t>24</w:t>
      </w:r>
      <w:r w:rsidR="00E0764D">
        <w:t xml:space="preserve"> </w:t>
      </w:r>
      <w:r w:rsidR="003D2098" w:rsidRPr="003D2098">
        <w:t xml:space="preserve">MEOSH </w:t>
      </w:r>
      <w:r w:rsidRPr="003D2098">
        <w:t>Follow-up FAME Report</w:t>
      </w:r>
    </w:p>
    <w:p w14:paraId="221DF49F" w14:textId="77777777" w:rsidR="000A134A" w:rsidRPr="001C1E47" w:rsidRDefault="000A134A" w:rsidP="007A71AC">
      <w:pPr>
        <w:widowControl/>
        <w:autoSpaceDE/>
        <w:autoSpaceDN/>
        <w:adjustRightInd/>
        <w:rPr>
          <w:rFonts w:cs="Calibri"/>
          <w:b/>
          <w:color w:val="1F497D"/>
          <w:sz w:val="28"/>
          <w:szCs w:val="28"/>
        </w:rPr>
      </w:pPr>
    </w:p>
    <w:tbl>
      <w:tblPr>
        <w:tblStyle w:val="GridTable4"/>
        <w:tblW w:w="10350" w:type="dxa"/>
        <w:tblInd w:w="-365" w:type="dxa"/>
        <w:tblLook w:val="06A0" w:firstRow="1" w:lastRow="0" w:firstColumn="1" w:lastColumn="0" w:noHBand="1" w:noVBand="1"/>
        <w:tblCaption w:val="FY 20XX SAMM Report"/>
        <w:tblDescription w:val="Appendix D"/>
      </w:tblPr>
      <w:tblGrid>
        <w:gridCol w:w="1034"/>
        <w:gridCol w:w="2547"/>
        <w:gridCol w:w="973"/>
        <w:gridCol w:w="1298"/>
        <w:gridCol w:w="4498"/>
      </w:tblGrid>
      <w:tr w:rsidR="00634539" w:rsidRPr="001C1E47" w14:paraId="4B607DC1" w14:textId="77777777" w:rsidTr="00F116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hemeColor="text1"/>
            </w:tcBorders>
            <w:shd w:val="clear" w:color="auto" w:fill="auto"/>
          </w:tcPr>
          <w:p w14:paraId="57458A1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val="0"/>
                <w:color w:val="000000" w:themeColor="text1"/>
              </w:rPr>
            </w:pPr>
            <w:bookmarkStart w:id="32" w:name="_Hlk179982501"/>
            <w:r w:rsidRPr="001C1E47">
              <w:rPr>
                <w:rFonts w:eastAsia="PMingLiU" w:cs="Calibri"/>
                <w:bCs w:val="0"/>
                <w:color w:val="000000" w:themeColor="text1"/>
              </w:rPr>
              <w:t>SAMM Number</w:t>
            </w:r>
          </w:p>
        </w:tc>
        <w:tc>
          <w:tcPr>
            <w:tcW w:w="2547" w:type="dxa"/>
            <w:tcBorders>
              <w:left w:val="single" w:sz="4" w:space="0" w:color="000000" w:themeColor="text1"/>
              <w:right w:val="single" w:sz="4" w:space="0" w:color="000000" w:themeColor="text1"/>
            </w:tcBorders>
            <w:shd w:val="clear" w:color="auto" w:fill="auto"/>
          </w:tcPr>
          <w:p w14:paraId="21CEF63D"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SAMM Name</w:t>
            </w:r>
          </w:p>
        </w:tc>
        <w:tc>
          <w:tcPr>
            <w:tcW w:w="973" w:type="dxa"/>
            <w:tcBorders>
              <w:left w:val="single" w:sz="4" w:space="0" w:color="000000" w:themeColor="text1"/>
              <w:right w:val="single" w:sz="4" w:space="0" w:color="000000" w:themeColor="text1"/>
            </w:tcBorders>
            <w:shd w:val="clear" w:color="auto" w:fill="auto"/>
          </w:tcPr>
          <w:p w14:paraId="1BC934E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State Plan Data</w:t>
            </w:r>
          </w:p>
        </w:tc>
        <w:tc>
          <w:tcPr>
            <w:tcW w:w="1298" w:type="dxa"/>
            <w:tcBorders>
              <w:left w:val="single" w:sz="4" w:space="0" w:color="000000" w:themeColor="text1"/>
              <w:right w:val="single" w:sz="4" w:space="0" w:color="000000" w:themeColor="text1"/>
            </w:tcBorders>
            <w:shd w:val="clear" w:color="auto" w:fill="auto"/>
          </w:tcPr>
          <w:p w14:paraId="10FEC12F"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Further Review Level</w:t>
            </w:r>
          </w:p>
        </w:tc>
        <w:tc>
          <w:tcPr>
            <w:tcW w:w="4498" w:type="dxa"/>
            <w:tcBorders>
              <w:left w:val="single" w:sz="4" w:space="0" w:color="000000" w:themeColor="text1"/>
            </w:tcBorders>
            <w:shd w:val="clear" w:color="auto" w:fill="auto"/>
          </w:tcPr>
          <w:p w14:paraId="1845DDF3"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Notes</w:t>
            </w:r>
          </w:p>
        </w:tc>
      </w:tr>
      <w:tr w:rsidR="00F11659" w:rsidRPr="001C1E47" w14:paraId="23E15083"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4FC54415"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1a</w:t>
            </w:r>
          </w:p>
        </w:tc>
        <w:tc>
          <w:tcPr>
            <w:tcW w:w="2547" w:type="dxa"/>
          </w:tcPr>
          <w:p w14:paraId="5DD1B3D7"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inspections (state formula)</w:t>
            </w:r>
          </w:p>
        </w:tc>
        <w:tc>
          <w:tcPr>
            <w:tcW w:w="973" w:type="dxa"/>
          </w:tcPr>
          <w:p w14:paraId="50ED339E" w14:textId="53DAFD85"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2</w:t>
            </w:r>
          </w:p>
        </w:tc>
        <w:tc>
          <w:tcPr>
            <w:tcW w:w="1298" w:type="dxa"/>
          </w:tcPr>
          <w:p w14:paraId="36E21F8C" w14:textId="133CBC66"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5</w:t>
            </w:r>
          </w:p>
        </w:tc>
        <w:tc>
          <w:tcPr>
            <w:tcW w:w="4498" w:type="dxa"/>
          </w:tcPr>
          <w:p w14:paraId="1BE10DF6" w14:textId="1C1449CF"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The further review level is negotiated by OSHA and the State Plan.</w:t>
            </w:r>
          </w:p>
        </w:tc>
      </w:tr>
      <w:tr w:rsidR="00F11659" w:rsidRPr="001C1E47" w14:paraId="6E87F5F9"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15DA89A2"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1b</w:t>
            </w:r>
          </w:p>
        </w:tc>
        <w:tc>
          <w:tcPr>
            <w:tcW w:w="2547" w:type="dxa"/>
          </w:tcPr>
          <w:p w14:paraId="7BDECFBC"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inspections (federal formula)</w:t>
            </w:r>
          </w:p>
        </w:tc>
        <w:tc>
          <w:tcPr>
            <w:tcW w:w="973" w:type="dxa"/>
          </w:tcPr>
          <w:p w14:paraId="2DD44EDE" w14:textId="516038E1"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1.86</w:t>
            </w:r>
          </w:p>
        </w:tc>
        <w:tc>
          <w:tcPr>
            <w:tcW w:w="1298" w:type="dxa"/>
          </w:tcPr>
          <w:p w14:paraId="44E25FF5" w14:textId="7372EFCB"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N/A</w:t>
            </w:r>
          </w:p>
        </w:tc>
        <w:tc>
          <w:tcPr>
            <w:tcW w:w="4498" w:type="dxa"/>
          </w:tcPr>
          <w:p w14:paraId="3B881485" w14:textId="1B6639B5"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This measure is for informational purposes only and is not a mandated measure.</w:t>
            </w:r>
          </w:p>
        </w:tc>
      </w:tr>
      <w:tr w:rsidR="00F11659" w:rsidRPr="001C1E47" w14:paraId="7254895F"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70F4527B"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2a</w:t>
            </w:r>
          </w:p>
        </w:tc>
        <w:tc>
          <w:tcPr>
            <w:tcW w:w="2547" w:type="dxa"/>
          </w:tcPr>
          <w:p w14:paraId="680D30CB"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investigations (state formula)</w:t>
            </w:r>
          </w:p>
        </w:tc>
        <w:tc>
          <w:tcPr>
            <w:tcW w:w="973" w:type="dxa"/>
          </w:tcPr>
          <w:p w14:paraId="5D15BC2D" w14:textId="3BC08B14"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2.75</w:t>
            </w:r>
          </w:p>
        </w:tc>
        <w:tc>
          <w:tcPr>
            <w:tcW w:w="1298" w:type="dxa"/>
          </w:tcPr>
          <w:p w14:paraId="25E101C9" w14:textId="64A44C30"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1</w:t>
            </w:r>
          </w:p>
        </w:tc>
        <w:tc>
          <w:tcPr>
            <w:tcW w:w="4498" w:type="dxa"/>
          </w:tcPr>
          <w:p w14:paraId="440E4407" w14:textId="0E0BCA0C"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The further review level is negotiated by OSHA and the State Plan.</w:t>
            </w:r>
          </w:p>
        </w:tc>
      </w:tr>
      <w:tr w:rsidR="00F11659" w:rsidRPr="001C1E47" w14:paraId="43AA3020"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3026F0A2"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2b</w:t>
            </w:r>
          </w:p>
        </w:tc>
        <w:tc>
          <w:tcPr>
            <w:tcW w:w="2547" w:type="dxa"/>
          </w:tcPr>
          <w:p w14:paraId="60EA38B6"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investigations (federal formula)</w:t>
            </w:r>
          </w:p>
        </w:tc>
        <w:tc>
          <w:tcPr>
            <w:tcW w:w="973" w:type="dxa"/>
          </w:tcPr>
          <w:p w14:paraId="148E915C" w14:textId="7552E474"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2.50</w:t>
            </w:r>
          </w:p>
        </w:tc>
        <w:tc>
          <w:tcPr>
            <w:tcW w:w="1298" w:type="dxa"/>
          </w:tcPr>
          <w:p w14:paraId="3C6B37D6" w14:textId="08133BE4"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N/A</w:t>
            </w:r>
          </w:p>
        </w:tc>
        <w:tc>
          <w:tcPr>
            <w:tcW w:w="4498" w:type="dxa"/>
          </w:tcPr>
          <w:p w14:paraId="7849D62B" w14:textId="64ED5625"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This measure is for informational purposes only and is not a mandated measure.</w:t>
            </w:r>
          </w:p>
        </w:tc>
      </w:tr>
      <w:tr w:rsidR="00F11659" w:rsidRPr="001C1E47" w14:paraId="463E07C8"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730502E1"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3</w:t>
            </w:r>
          </w:p>
        </w:tc>
        <w:tc>
          <w:tcPr>
            <w:tcW w:w="2547" w:type="dxa"/>
          </w:tcPr>
          <w:p w14:paraId="224C67FA"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Percent of complaints and referrals responded to within one workday (imminent danger)</w:t>
            </w:r>
          </w:p>
        </w:tc>
        <w:tc>
          <w:tcPr>
            <w:tcW w:w="973" w:type="dxa"/>
          </w:tcPr>
          <w:p w14:paraId="683DAD92" w14:textId="000EABC0"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N/A</w:t>
            </w:r>
          </w:p>
        </w:tc>
        <w:tc>
          <w:tcPr>
            <w:tcW w:w="1298" w:type="dxa"/>
          </w:tcPr>
          <w:p w14:paraId="2138AC62" w14:textId="4DDFA43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100%</w:t>
            </w:r>
          </w:p>
        </w:tc>
        <w:tc>
          <w:tcPr>
            <w:tcW w:w="4498" w:type="dxa"/>
          </w:tcPr>
          <w:p w14:paraId="0B0D1F01" w14:textId="77777777" w:rsidR="00F11659" w:rsidRPr="0045498C"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5498C">
              <w:rPr>
                <w:rFonts w:asciiTheme="minorHAnsi" w:hAnsiTheme="minorHAnsi" w:cstheme="minorHAnsi"/>
              </w:rPr>
              <w:t>The further review level is fixed for all State Plans.</w:t>
            </w:r>
          </w:p>
          <w:p w14:paraId="554F7500" w14:textId="77777777" w:rsidR="0045498C" w:rsidRPr="0045498C" w:rsidRDefault="0045498C"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1639E620" w14:textId="5687BF43" w:rsidR="0045498C" w:rsidRPr="0045498C" w:rsidRDefault="0045498C"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5498C">
              <w:rPr>
                <w:rFonts w:asciiTheme="minorHAnsi" w:eastAsia="Calibri" w:hAnsiTheme="minorHAnsi" w:cstheme="minorHAnsi"/>
              </w:rPr>
              <w:t>N/A – The State Plan did not receive any imminent danger complaints or referrals in FY 202</w:t>
            </w:r>
            <w:r w:rsidRPr="0045498C">
              <w:rPr>
                <w:rFonts w:asciiTheme="minorHAnsi" w:eastAsia="Calibri" w:hAnsiTheme="minorHAnsi" w:cstheme="minorHAnsi"/>
              </w:rPr>
              <w:t>4</w:t>
            </w:r>
            <w:r w:rsidRPr="0045498C">
              <w:rPr>
                <w:rFonts w:asciiTheme="minorHAnsi" w:eastAsia="Calibri" w:hAnsiTheme="minorHAnsi" w:cstheme="minorHAnsi"/>
              </w:rPr>
              <w:t>.</w:t>
            </w:r>
          </w:p>
        </w:tc>
      </w:tr>
      <w:tr w:rsidR="00F11659" w:rsidRPr="001C1E47" w14:paraId="448E8EB5"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54BD594C"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4</w:t>
            </w:r>
          </w:p>
        </w:tc>
        <w:tc>
          <w:tcPr>
            <w:tcW w:w="2547" w:type="dxa"/>
          </w:tcPr>
          <w:p w14:paraId="7F17AA0C"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Number of denials where entry not obtained</w:t>
            </w:r>
          </w:p>
        </w:tc>
        <w:tc>
          <w:tcPr>
            <w:tcW w:w="973" w:type="dxa"/>
          </w:tcPr>
          <w:p w14:paraId="49E38EB6" w14:textId="2F0E208F"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0</w:t>
            </w:r>
          </w:p>
        </w:tc>
        <w:tc>
          <w:tcPr>
            <w:tcW w:w="1298" w:type="dxa"/>
          </w:tcPr>
          <w:p w14:paraId="39E6BBCD" w14:textId="4C03CDA3"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0</w:t>
            </w:r>
          </w:p>
        </w:tc>
        <w:tc>
          <w:tcPr>
            <w:tcW w:w="4498" w:type="dxa"/>
          </w:tcPr>
          <w:p w14:paraId="63BF7F96" w14:textId="48F4CF30"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The further review level is fixed for all State Plans.</w:t>
            </w:r>
          </w:p>
        </w:tc>
      </w:tr>
      <w:tr w:rsidR="00F11659" w:rsidRPr="001C1E47" w14:paraId="391899CE" w14:textId="77777777" w:rsidTr="00F11659">
        <w:trPr>
          <w:trHeight w:val="854"/>
        </w:trPr>
        <w:tc>
          <w:tcPr>
            <w:cnfStyle w:val="001000000000" w:firstRow="0" w:lastRow="0" w:firstColumn="1" w:lastColumn="0" w:oddVBand="0" w:evenVBand="0" w:oddHBand="0" w:evenHBand="0" w:firstRowFirstColumn="0" w:firstRowLastColumn="0" w:lastRowFirstColumn="0" w:lastRowLastColumn="0"/>
            <w:tcW w:w="1034" w:type="dxa"/>
          </w:tcPr>
          <w:p w14:paraId="2C05A134"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5a</w:t>
            </w:r>
          </w:p>
        </w:tc>
        <w:tc>
          <w:tcPr>
            <w:tcW w:w="2547" w:type="dxa"/>
          </w:tcPr>
          <w:p w14:paraId="6F060D7F"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violations per inspection with violations by violation type (SWRU)</w:t>
            </w:r>
          </w:p>
        </w:tc>
        <w:tc>
          <w:tcPr>
            <w:tcW w:w="973" w:type="dxa"/>
          </w:tcPr>
          <w:p w14:paraId="5640B786" w14:textId="72BD50A2"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2.30</w:t>
            </w:r>
          </w:p>
        </w:tc>
        <w:tc>
          <w:tcPr>
            <w:tcW w:w="1298" w:type="dxa"/>
          </w:tcPr>
          <w:p w14:paraId="63CB3BC7" w14:textId="77777777" w:rsidR="00F11659" w:rsidRPr="002C29E1" w:rsidRDefault="00F11659" w:rsidP="00F116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29E1">
              <w:rPr>
                <w:rFonts w:asciiTheme="minorHAnsi" w:hAnsiTheme="minorHAnsi" w:cstheme="minorHAnsi"/>
              </w:rPr>
              <w:t>+/- 20% of 1.74</w:t>
            </w:r>
          </w:p>
          <w:p w14:paraId="5B24EFBC"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498" w:type="dxa"/>
          </w:tcPr>
          <w:p w14:paraId="330DF263" w14:textId="06C134E9"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 xml:space="preserve">The further review level is based on a three-year national average.  The range of acceptable data not requiring further review is from 1.39 to 2.08 for SWRU. </w:t>
            </w:r>
          </w:p>
        </w:tc>
      </w:tr>
      <w:tr w:rsidR="00F11659" w:rsidRPr="001C1E47" w14:paraId="0C0C34AD"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7FD14581"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5b</w:t>
            </w:r>
          </w:p>
        </w:tc>
        <w:tc>
          <w:tcPr>
            <w:tcW w:w="2547" w:type="dxa"/>
          </w:tcPr>
          <w:p w14:paraId="1A64659E"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number of violations per inspection with violations by violation type (other)</w:t>
            </w:r>
          </w:p>
        </w:tc>
        <w:tc>
          <w:tcPr>
            <w:tcW w:w="973" w:type="dxa"/>
          </w:tcPr>
          <w:p w14:paraId="189B2CB4" w14:textId="3D178C89"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2.23</w:t>
            </w:r>
          </w:p>
        </w:tc>
        <w:tc>
          <w:tcPr>
            <w:tcW w:w="1298" w:type="dxa"/>
          </w:tcPr>
          <w:p w14:paraId="4B773EF5" w14:textId="77777777" w:rsidR="00F11659" w:rsidRPr="002C29E1" w:rsidRDefault="00F11659" w:rsidP="00F116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29E1">
              <w:rPr>
                <w:rFonts w:asciiTheme="minorHAnsi" w:hAnsiTheme="minorHAnsi" w:cstheme="minorHAnsi"/>
              </w:rPr>
              <w:t>+/- 20% of 0.94</w:t>
            </w:r>
          </w:p>
          <w:p w14:paraId="10600A9C" w14:textId="1928A9B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498" w:type="dxa"/>
          </w:tcPr>
          <w:p w14:paraId="4F83BD91" w14:textId="38B71904"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The further review level is based on a three-year national average.  The range of acceptable data not requiring further review is from 0.75 to 1.12 for OTS.</w:t>
            </w:r>
          </w:p>
        </w:tc>
      </w:tr>
      <w:tr w:rsidR="00F11659" w:rsidRPr="001C1E47" w14:paraId="73051CF9"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4B4D91E3"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6</w:t>
            </w:r>
          </w:p>
        </w:tc>
        <w:tc>
          <w:tcPr>
            <w:tcW w:w="2547" w:type="dxa"/>
          </w:tcPr>
          <w:p w14:paraId="79E27E6A"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Percent of total inspections in state and local government workplaces</w:t>
            </w:r>
          </w:p>
        </w:tc>
        <w:tc>
          <w:tcPr>
            <w:tcW w:w="973" w:type="dxa"/>
          </w:tcPr>
          <w:p w14:paraId="01189742" w14:textId="63478A63"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100%</w:t>
            </w:r>
          </w:p>
        </w:tc>
        <w:tc>
          <w:tcPr>
            <w:tcW w:w="1298" w:type="dxa"/>
          </w:tcPr>
          <w:p w14:paraId="7678C0FD" w14:textId="4A94F34C"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100%</w:t>
            </w:r>
          </w:p>
        </w:tc>
        <w:tc>
          <w:tcPr>
            <w:tcW w:w="4498" w:type="dxa"/>
          </w:tcPr>
          <w:p w14:paraId="11909732" w14:textId="4F4683B3"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Since this is a State and Local Government State Plan, all inspections are in state and local government workplaces.</w:t>
            </w:r>
          </w:p>
        </w:tc>
      </w:tr>
      <w:tr w:rsidR="00F11659" w:rsidRPr="001C1E47" w14:paraId="47E35DEE"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2635650F"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7a</w:t>
            </w:r>
          </w:p>
        </w:tc>
        <w:tc>
          <w:tcPr>
            <w:tcW w:w="2547" w:type="dxa"/>
          </w:tcPr>
          <w:p w14:paraId="6972B9CD" w14:textId="3BED009A"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Planned v. actual inspections (safety)</w:t>
            </w:r>
          </w:p>
        </w:tc>
        <w:tc>
          <w:tcPr>
            <w:tcW w:w="973" w:type="dxa"/>
          </w:tcPr>
          <w:p w14:paraId="714EE701" w14:textId="5F3742BE"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77</w:t>
            </w:r>
          </w:p>
        </w:tc>
        <w:tc>
          <w:tcPr>
            <w:tcW w:w="1298" w:type="dxa"/>
          </w:tcPr>
          <w:p w14:paraId="66084F42" w14:textId="77777777" w:rsidR="00F11659" w:rsidRPr="002C29E1" w:rsidRDefault="00F11659" w:rsidP="00F116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29E1">
              <w:rPr>
                <w:rFonts w:asciiTheme="minorHAnsi" w:hAnsiTheme="minorHAnsi" w:cstheme="minorHAnsi"/>
              </w:rPr>
              <w:t xml:space="preserve">+/- 5% of </w:t>
            </w:r>
          </w:p>
          <w:p w14:paraId="70DE1282" w14:textId="67D587D1"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Grant 70</w:t>
            </w:r>
          </w:p>
        </w:tc>
        <w:tc>
          <w:tcPr>
            <w:tcW w:w="4498" w:type="dxa"/>
          </w:tcPr>
          <w:p w14:paraId="127905E2" w14:textId="05C84BE6"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The further review level is based on a number negotiated by OSHA and the State Plan through the grant application.  The range of acceptable data not requiring further review is from 67 to 74 for safety.</w:t>
            </w:r>
          </w:p>
        </w:tc>
      </w:tr>
      <w:tr w:rsidR="00F11659" w:rsidRPr="001C1E47" w14:paraId="41D7E5AF"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78976174"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1C1E47">
              <w:rPr>
                <w:rFonts w:eastAsia="PMingLiU" w:cs="Calibri"/>
              </w:rPr>
              <w:t>7b</w:t>
            </w:r>
          </w:p>
        </w:tc>
        <w:tc>
          <w:tcPr>
            <w:tcW w:w="2547" w:type="dxa"/>
          </w:tcPr>
          <w:p w14:paraId="628291DB" w14:textId="4C38D916"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Planned v. actual inspections (health)</w:t>
            </w:r>
          </w:p>
        </w:tc>
        <w:tc>
          <w:tcPr>
            <w:tcW w:w="973" w:type="dxa"/>
          </w:tcPr>
          <w:p w14:paraId="46225BFE" w14:textId="70146A6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36</w:t>
            </w:r>
          </w:p>
        </w:tc>
        <w:tc>
          <w:tcPr>
            <w:tcW w:w="1298" w:type="dxa"/>
          </w:tcPr>
          <w:p w14:paraId="5A42E5EE" w14:textId="77777777" w:rsidR="00F11659" w:rsidRPr="002C29E1" w:rsidRDefault="00F11659" w:rsidP="00F116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29E1">
              <w:rPr>
                <w:rFonts w:asciiTheme="minorHAnsi" w:hAnsiTheme="minorHAnsi" w:cstheme="minorHAnsi"/>
              </w:rPr>
              <w:t xml:space="preserve">+/- 5% of </w:t>
            </w:r>
          </w:p>
          <w:p w14:paraId="615D1DB6" w14:textId="537BC6AF"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Grant 25</w:t>
            </w:r>
          </w:p>
        </w:tc>
        <w:tc>
          <w:tcPr>
            <w:tcW w:w="4498" w:type="dxa"/>
          </w:tcPr>
          <w:p w14:paraId="4C49AF53" w14:textId="4E81FEA4"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The further review level is based on a number negotiated by OSHA and the State Plan through the grant application.  The range of acceptable data not requiring further review is from 24 to 26 for health.</w:t>
            </w:r>
          </w:p>
        </w:tc>
      </w:tr>
      <w:tr w:rsidR="00F11659" w:rsidRPr="001C1E47" w14:paraId="19A930B8"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12933EF2"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8</w:t>
            </w:r>
          </w:p>
        </w:tc>
        <w:tc>
          <w:tcPr>
            <w:tcW w:w="2547" w:type="dxa"/>
          </w:tcPr>
          <w:p w14:paraId="35E2919F"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current serious penalty in private sector - total (1 to greater than 250 workers)</w:t>
            </w:r>
          </w:p>
        </w:tc>
        <w:tc>
          <w:tcPr>
            <w:tcW w:w="973" w:type="dxa"/>
          </w:tcPr>
          <w:p w14:paraId="4FF95415" w14:textId="6C12B5F6"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N/A</w:t>
            </w:r>
          </w:p>
        </w:tc>
        <w:tc>
          <w:tcPr>
            <w:tcW w:w="1298" w:type="dxa"/>
          </w:tcPr>
          <w:p w14:paraId="24DB9D26" w14:textId="77777777" w:rsidR="00F11659" w:rsidRPr="002C29E1" w:rsidRDefault="00F11659" w:rsidP="00F116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29E1">
              <w:rPr>
                <w:rFonts w:asciiTheme="minorHAnsi" w:hAnsiTheme="minorHAnsi" w:cstheme="minorHAnsi"/>
              </w:rPr>
              <w:t xml:space="preserve">+/- 25% of </w:t>
            </w:r>
          </w:p>
          <w:p w14:paraId="18287B2C" w14:textId="77777777" w:rsidR="00F11659" w:rsidRPr="002C29E1" w:rsidRDefault="00F11659" w:rsidP="00F11659">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2C29E1">
              <w:rPr>
                <w:rFonts w:asciiTheme="minorHAnsi" w:eastAsia="PMingLiU" w:hAnsiTheme="minorHAnsi" w:cstheme="minorHAnsi"/>
              </w:rPr>
              <w:t>$3,793.81</w:t>
            </w:r>
          </w:p>
          <w:p w14:paraId="7AD30EF7"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498" w:type="dxa"/>
          </w:tcPr>
          <w:p w14:paraId="6409FB95" w14:textId="77777777" w:rsidR="00F11659" w:rsidRPr="002C29E1" w:rsidRDefault="00F11659" w:rsidP="00F116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29E1">
              <w:rPr>
                <w:rFonts w:asciiTheme="minorHAnsi" w:hAnsiTheme="minorHAnsi" w:cstheme="minorHAnsi"/>
              </w:rPr>
              <w:t>N/A – This is a State and Local Government State Plan.</w:t>
            </w:r>
          </w:p>
          <w:p w14:paraId="6E057099" w14:textId="77777777" w:rsidR="00F11659" w:rsidRPr="002C29E1" w:rsidRDefault="00F11659" w:rsidP="00F116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DF20B53" w14:textId="61BD85E1" w:rsidR="00F11659" w:rsidRPr="001C1E47" w:rsidRDefault="00F11659" w:rsidP="00F11659">
            <w:pPr>
              <w:ind w:right="1331"/>
              <w:cnfStyle w:val="000000000000" w:firstRow="0" w:lastRow="0" w:firstColumn="0" w:lastColumn="0" w:oddVBand="0" w:evenVBand="0" w:oddHBand="0" w:evenHBand="0" w:firstRowFirstColumn="0" w:firstRowLastColumn="0" w:lastRowFirstColumn="0" w:lastRowLastColumn="0"/>
              <w:rPr>
                <w:rFonts w:cs="Calibri"/>
              </w:rPr>
            </w:pPr>
            <w:r w:rsidRPr="002C29E1">
              <w:rPr>
                <w:rFonts w:asciiTheme="minorHAnsi" w:hAnsiTheme="minorHAnsi" w:cstheme="minorHAnsi"/>
              </w:rPr>
              <w:t>The further review level is based on a three-year national average.</w:t>
            </w:r>
          </w:p>
        </w:tc>
      </w:tr>
      <w:tr w:rsidR="00F11659" w:rsidRPr="001C1E47" w14:paraId="4CF9D609"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0ABEB3DA"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47" w:type="dxa"/>
          </w:tcPr>
          <w:p w14:paraId="51065DBA" w14:textId="77777777" w:rsidR="00F11659" w:rsidRPr="001C1E47" w:rsidRDefault="00F11659" w:rsidP="00F11659">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a</w:t>
            </w:r>
            <w:r w:rsidRPr="001C1E47">
              <w:rPr>
                <w:rFonts w:cs="Calibri"/>
              </w:rPr>
              <w:t>.  Average current serious penalty in private sector</w:t>
            </w:r>
          </w:p>
          <w:p w14:paraId="7C4696DD"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(1-25 workers)</w:t>
            </w:r>
          </w:p>
        </w:tc>
        <w:tc>
          <w:tcPr>
            <w:tcW w:w="973" w:type="dxa"/>
          </w:tcPr>
          <w:p w14:paraId="3B168483" w14:textId="3EC602F2"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N/A</w:t>
            </w:r>
          </w:p>
        </w:tc>
        <w:tc>
          <w:tcPr>
            <w:tcW w:w="1298" w:type="dxa"/>
          </w:tcPr>
          <w:p w14:paraId="4D6BE191" w14:textId="77777777" w:rsidR="00F11659" w:rsidRPr="002C29E1" w:rsidRDefault="00F11659" w:rsidP="00F116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29E1">
              <w:rPr>
                <w:rFonts w:asciiTheme="minorHAnsi" w:hAnsiTheme="minorHAnsi" w:cstheme="minorHAnsi"/>
              </w:rPr>
              <w:t xml:space="preserve">+/- 25% of </w:t>
            </w:r>
          </w:p>
          <w:p w14:paraId="3EB967D8" w14:textId="77777777" w:rsidR="00F11659" w:rsidRPr="002C29E1" w:rsidRDefault="00F11659" w:rsidP="00F116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29E1">
              <w:rPr>
                <w:rFonts w:asciiTheme="minorHAnsi" w:hAnsiTheme="minorHAnsi" w:cstheme="minorHAnsi"/>
              </w:rPr>
              <w:t>$2,498.51</w:t>
            </w:r>
          </w:p>
          <w:p w14:paraId="4DC91B0C"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498" w:type="dxa"/>
          </w:tcPr>
          <w:p w14:paraId="69D1A015" w14:textId="77777777" w:rsidR="00F11659" w:rsidRPr="002C29E1"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2C29E1">
              <w:rPr>
                <w:rFonts w:asciiTheme="minorHAnsi" w:eastAsia="PMingLiU" w:hAnsiTheme="minorHAnsi" w:cstheme="minorHAnsi"/>
              </w:rPr>
              <w:t>N/A – This is a State and Local Government State Plan.</w:t>
            </w:r>
          </w:p>
          <w:p w14:paraId="29F744EF" w14:textId="77777777" w:rsidR="00F11659" w:rsidRPr="002C29E1"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371F75E0" w14:textId="0E1C4F9B"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The further review level is based on a three-year national average.</w:t>
            </w:r>
          </w:p>
        </w:tc>
      </w:tr>
      <w:tr w:rsidR="00F11659" w:rsidRPr="001C1E47" w14:paraId="2F293093"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2794F1EF"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47" w:type="dxa"/>
          </w:tcPr>
          <w:p w14:paraId="18122F6D" w14:textId="77777777" w:rsidR="00F11659" w:rsidRPr="001C1E47" w:rsidRDefault="00F11659" w:rsidP="00F11659">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b</w:t>
            </w:r>
            <w:r w:rsidRPr="001C1E47">
              <w:rPr>
                <w:rFonts w:cs="Calibri"/>
              </w:rPr>
              <w:t xml:space="preserve">. Average current serious penalty in private sector </w:t>
            </w:r>
          </w:p>
          <w:p w14:paraId="0CB214A9"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(26-100 workers</w:t>
            </w:r>
            <w:r w:rsidRPr="001C1E47">
              <w:rPr>
                <w:rFonts w:cs="Calibri"/>
                <w:b/>
              </w:rPr>
              <w:t>)</w:t>
            </w:r>
          </w:p>
        </w:tc>
        <w:tc>
          <w:tcPr>
            <w:tcW w:w="973" w:type="dxa"/>
          </w:tcPr>
          <w:p w14:paraId="26CF4361" w14:textId="6F26AB6C"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N/A</w:t>
            </w:r>
          </w:p>
        </w:tc>
        <w:tc>
          <w:tcPr>
            <w:tcW w:w="1298" w:type="dxa"/>
          </w:tcPr>
          <w:p w14:paraId="398B3E54" w14:textId="77777777" w:rsidR="00F11659" w:rsidRPr="002C29E1" w:rsidRDefault="00F11659" w:rsidP="00F116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29E1">
              <w:rPr>
                <w:rFonts w:asciiTheme="minorHAnsi" w:hAnsiTheme="minorHAnsi" w:cstheme="minorHAnsi"/>
              </w:rPr>
              <w:t xml:space="preserve">+/- 25% of </w:t>
            </w:r>
          </w:p>
          <w:p w14:paraId="2DE2EC2A" w14:textId="77777777" w:rsidR="00F11659" w:rsidRPr="002C29E1" w:rsidRDefault="00F11659" w:rsidP="00F116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29E1">
              <w:rPr>
                <w:rFonts w:asciiTheme="minorHAnsi" w:hAnsiTheme="minorHAnsi" w:cstheme="minorHAnsi"/>
              </w:rPr>
              <w:t>$4,322.61</w:t>
            </w:r>
          </w:p>
          <w:p w14:paraId="6AB595C0"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498" w:type="dxa"/>
          </w:tcPr>
          <w:p w14:paraId="758AE451" w14:textId="77777777" w:rsidR="00F11659" w:rsidRPr="002C29E1"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2C29E1">
              <w:rPr>
                <w:rFonts w:asciiTheme="minorHAnsi" w:eastAsia="PMingLiU" w:hAnsiTheme="minorHAnsi" w:cstheme="minorHAnsi"/>
              </w:rPr>
              <w:t>N/A – This is a State and Local Government State Plan.</w:t>
            </w:r>
          </w:p>
          <w:p w14:paraId="6C65E831" w14:textId="77777777" w:rsidR="00F11659" w:rsidRPr="002C29E1"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533EE6CD" w14:textId="1C8987E1"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The further review level is based on a three-year national average.</w:t>
            </w:r>
          </w:p>
        </w:tc>
      </w:tr>
      <w:tr w:rsidR="00F11659" w:rsidRPr="001C1E47" w14:paraId="786F3F1A"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5A3932AB"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47" w:type="dxa"/>
          </w:tcPr>
          <w:p w14:paraId="5F59BDF5" w14:textId="77777777" w:rsidR="00F11659" w:rsidRPr="001C1E47" w:rsidRDefault="00F11659" w:rsidP="00F11659">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c</w:t>
            </w:r>
            <w:r w:rsidRPr="001C1E47">
              <w:rPr>
                <w:rFonts w:cs="Calibri"/>
              </w:rPr>
              <w:t>. Average current serious penalty in private sector</w:t>
            </w:r>
          </w:p>
          <w:p w14:paraId="10D9592B"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(101-250 workers)</w:t>
            </w:r>
          </w:p>
        </w:tc>
        <w:tc>
          <w:tcPr>
            <w:tcW w:w="973" w:type="dxa"/>
          </w:tcPr>
          <w:p w14:paraId="7D3E6F14" w14:textId="632E81C0"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N/A</w:t>
            </w:r>
          </w:p>
        </w:tc>
        <w:tc>
          <w:tcPr>
            <w:tcW w:w="1298" w:type="dxa"/>
          </w:tcPr>
          <w:p w14:paraId="0A3499BD" w14:textId="77777777" w:rsidR="00F11659" w:rsidRPr="002C29E1" w:rsidRDefault="00F11659" w:rsidP="00F116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29E1">
              <w:rPr>
                <w:rFonts w:asciiTheme="minorHAnsi" w:hAnsiTheme="minorHAnsi" w:cstheme="minorHAnsi"/>
              </w:rPr>
              <w:t xml:space="preserve">+/- 25% of </w:t>
            </w:r>
          </w:p>
          <w:p w14:paraId="1EFAAC39" w14:textId="77777777" w:rsidR="00F11659" w:rsidRPr="002C29E1" w:rsidRDefault="00F11659" w:rsidP="00F116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29E1">
              <w:rPr>
                <w:rFonts w:asciiTheme="minorHAnsi" w:hAnsiTheme="minorHAnsi" w:cstheme="minorHAnsi"/>
              </w:rPr>
              <w:t>$6,114.84</w:t>
            </w:r>
          </w:p>
          <w:p w14:paraId="11ADC1E7" w14:textId="77777777" w:rsidR="00F11659" w:rsidRPr="002C29E1" w:rsidRDefault="00F11659" w:rsidP="00F116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194F828"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498" w:type="dxa"/>
          </w:tcPr>
          <w:p w14:paraId="51F4816D" w14:textId="77777777" w:rsidR="00F11659" w:rsidRPr="002C29E1"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2C29E1">
              <w:rPr>
                <w:rFonts w:asciiTheme="minorHAnsi" w:eastAsia="PMingLiU" w:hAnsiTheme="minorHAnsi" w:cstheme="minorHAnsi"/>
              </w:rPr>
              <w:t>N/A – This is a State and Local Government State Plan.</w:t>
            </w:r>
          </w:p>
          <w:p w14:paraId="2C160984" w14:textId="77777777" w:rsidR="00F11659" w:rsidRPr="002C29E1"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4B00CAC2" w14:textId="6477DB6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The further review level is based on a three-year national average.</w:t>
            </w:r>
          </w:p>
        </w:tc>
      </w:tr>
      <w:tr w:rsidR="00F11659" w:rsidRPr="001C1E47" w14:paraId="44B346AD"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5ED4D0D0"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47" w:type="dxa"/>
          </w:tcPr>
          <w:p w14:paraId="255BABE2" w14:textId="77777777" w:rsidR="00F11659" w:rsidRPr="001C1E47" w:rsidRDefault="00F11659" w:rsidP="00F11659">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d</w:t>
            </w:r>
            <w:r w:rsidRPr="001C1E47">
              <w:rPr>
                <w:rFonts w:cs="Calibri"/>
              </w:rPr>
              <w:t>. Average current serious penalty in private sector</w:t>
            </w:r>
          </w:p>
          <w:p w14:paraId="48DDBB4B"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(greater than 250 workers)</w:t>
            </w:r>
          </w:p>
        </w:tc>
        <w:tc>
          <w:tcPr>
            <w:tcW w:w="973" w:type="dxa"/>
          </w:tcPr>
          <w:p w14:paraId="7D66FCF1" w14:textId="6528DF13"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N/A</w:t>
            </w:r>
          </w:p>
        </w:tc>
        <w:tc>
          <w:tcPr>
            <w:tcW w:w="1298" w:type="dxa"/>
          </w:tcPr>
          <w:p w14:paraId="6C02C1E1" w14:textId="77777777" w:rsidR="00F11659" w:rsidRPr="002C29E1" w:rsidRDefault="00F11659" w:rsidP="00F116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29E1">
              <w:rPr>
                <w:rFonts w:asciiTheme="minorHAnsi" w:hAnsiTheme="minorHAnsi" w:cstheme="minorHAnsi"/>
              </w:rPr>
              <w:t xml:space="preserve">+/- 25% of </w:t>
            </w:r>
          </w:p>
          <w:p w14:paraId="40D4B6BF" w14:textId="77777777" w:rsidR="00F11659" w:rsidRPr="002C29E1" w:rsidRDefault="00F11659" w:rsidP="00F116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29E1">
              <w:rPr>
                <w:rFonts w:asciiTheme="minorHAnsi" w:hAnsiTheme="minorHAnsi" w:cstheme="minorHAnsi"/>
              </w:rPr>
              <w:t>$7,533.58</w:t>
            </w:r>
          </w:p>
          <w:p w14:paraId="3FB5515E"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498" w:type="dxa"/>
          </w:tcPr>
          <w:p w14:paraId="3B738757" w14:textId="77777777" w:rsidR="00F11659" w:rsidRPr="002C29E1"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2C29E1">
              <w:rPr>
                <w:rFonts w:asciiTheme="minorHAnsi" w:eastAsia="PMingLiU" w:hAnsiTheme="minorHAnsi" w:cstheme="minorHAnsi"/>
              </w:rPr>
              <w:t>N/A – This is a State and Local Government State Plan.</w:t>
            </w:r>
          </w:p>
          <w:p w14:paraId="5A1BF928" w14:textId="77777777" w:rsidR="00F11659" w:rsidRPr="002C29E1"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29FF5D83" w14:textId="7E326A9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The further review level is based on a three-year national average.</w:t>
            </w:r>
          </w:p>
        </w:tc>
      </w:tr>
      <w:tr w:rsidR="00F11659" w:rsidRPr="001C1E47" w14:paraId="6F99001F"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2CAB3DC1"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9a</w:t>
            </w:r>
          </w:p>
        </w:tc>
        <w:tc>
          <w:tcPr>
            <w:tcW w:w="2547" w:type="dxa"/>
          </w:tcPr>
          <w:p w14:paraId="406CE5F6"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(safety)</w:t>
            </w:r>
          </w:p>
        </w:tc>
        <w:tc>
          <w:tcPr>
            <w:tcW w:w="973" w:type="dxa"/>
          </w:tcPr>
          <w:p w14:paraId="2CBEE7D5" w14:textId="6F3014BE"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15.15%</w:t>
            </w:r>
          </w:p>
        </w:tc>
        <w:tc>
          <w:tcPr>
            <w:tcW w:w="1298" w:type="dxa"/>
          </w:tcPr>
          <w:p w14:paraId="2298C0D3" w14:textId="77777777" w:rsidR="00F11659" w:rsidRPr="002C29E1" w:rsidRDefault="00F11659" w:rsidP="00F116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29E1">
              <w:rPr>
                <w:rFonts w:asciiTheme="minorHAnsi" w:hAnsiTheme="minorHAnsi" w:cstheme="minorHAnsi"/>
              </w:rPr>
              <w:t>+/- 20% of</w:t>
            </w:r>
          </w:p>
          <w:p w14:paraId="0A52EE0A" w14:textId="592A259C"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32.83%</w:t>
            </w:r>
          </w:p>
        </w:tc>
        <w:tc>
          <w:tcPr>
            <w:tcW w:w="4498" w:type="dxa"/>
          </w:tcPr>
          <w:p w14:paraId="2A829BA0" w14:textId="37887B73"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The further review level is based on a three-year national average.  The range of acceptable data not requiring further review is from 26.27% to 39.40% for safety.</w:t>
            </w:r>
          </w:p>
        </w:tc>
      </w:tr>
      <w:tr w:rsidR="00F11659" w:rsidRPr="001C1E47" w14:paraId="3EB76E55"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5BA68B8A"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9b</w:t>
            </w:r>
          </w:p>
        </w:tc>
        <w:tc>
          <w:tcPr>
            <w:tcW w:w="2547" w:type="dxa"/>
          </w:tcPr>
          <w:p w14:paraId="1F4404BA"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(health)</w:t>
            </w:r>
          </w:p>
        </w:tc>
        <w:tc>
          <w:tcPr>
            <w:tcW w:w="973" w:type="dxa"/>
          </w:tcPr>
          <w:p w14:paraId="0F761403" w14:textId="1261B15C"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8.33%</w:t>
            </w:r>
          </w:p>
        </w:tc>
        <w:tc>
          <w:tcPr>
            <w:tcW w:w="1298" w:type="dxa"/>
          </w:tcPr>
          <w:p w14:paraId="48DDD2F7" w14:textId="77777777" w:rsidR="00F11659" w:rsidRPr="002C29E1" w:rsidRDefault="00F11659" w:rsidP="00F116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29E1">
              <w:rPr>
                <w:rFonts w:asciiTheme="minorHAnsi" w:hAnsiTheme="minorHAnsi" w:cstheme="minorHAnsi"/>
              </w:rPr>
              <w:t>+/- 20% of</w:t>
            </w:r>
          </w:p>
          <w:p w14:paraId="203D8062" w14:textId="00F31E95"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44.18%</w:t>
            </w:r>
          </w:p>
        </w:tc>
        <w:tc>
          <w:tcPr>
            <w:tcW w:w="4498" w:type="dxa"/>
          </w:tcPr>
          <w:p w14:paraId="7272F1E9" w14:textId="09E8ED3C"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The further review level is based on a three-year national average.  The range of acceptable data not requiring further review is from 35.34% to 53.01% for health.</w:t>
            </w:r>
          </w:p>
        </w:tc>
      </w:tr>
      <w:tr w:rsidR="00F11659" w:rsidRPr="001C1E47" w14:paraId="6BD622B6"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1E1081EE"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10</w:t>
            </w:r>
          </w:p>
        </w:tc>
        <w:tc>
          <w:tcPr>
            <w:tcW w:w="2547" w:type="dxa"/>
          </w:tcPr>
          <w:p w14:paraId="7A555323"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work-related fatalities responded to in one workday</w:t>
            </w:r>
          </w:p>
        </w:tc>
        <w:tc>
          <w:tcPr>
            <w:tcW w:w="973" w:type="dxa"/>
          </w:tcPr>
          <w:p w14:paraId="36635117" w14:textId="47E1C5A1"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100%</w:t>
            </w:r>
          </w:p>
        </w:tc>
        <w:tc>
          <w:tcPr>
            <w:tcW w:w="1298" w:type="dxa"/>
          </w:tcPr>
          <w:p w14:paraId="1B2A9E13" w14:textId="3B67849F"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100%</w:t>
            </w:r>
          </w:p>
        </w:tc>
        <w:tc>
          <w:tcPr>
            <w:tcW w:w="4498" w:type="dxa"/>
          </w:tcPr>
          <w:p w14:paraId="4CFEF3A7" w14:textId="0D57A2BA"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The further review level is fixed for all State Plans.</w:t>
            </w:r>
          </w:p>
        </w:tc>
      </w:tr>
      <w:tr w:rsidR="00F11659" w:rsidRPr="001C1E47" w14:paraId="2893D3CE"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10FE802E"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11a</w:t>
            </w:r>
          </w:p>
        </w:tc>
        <w:tc>
          <w:tcPr>
            <w:tcW w:w="2547" w:type="dxa"/>
          </w:tcPr>
          <w:p w14:paraId="0E881318"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(safety)</w:t>
            </w:r>
          </w:p>
        </w:tc>
        <w:tc>
          <w:tcPr>
            <w:tcW w:w="973" w:type="dxa"/>
          </w:tcPr>
          <w:p w14:paraId="155143E8" w14:textId="760A80AD"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34.68</w:t>
            </w:r>
          </w:p>
        </w:tc>
        <w:tc>
          <w:tcPr>
            <w:tcW w:w="1298" w:type="dxa"/>
          </w:tcPr>
          <w:p w14:paraId="0BF75527" w14:textId="77777777" w:rsidR="00F11659" w:rsidRPr="002C29E1" w:rsidRDefault="00F11659" w:rsidP="00F116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29E1">
              <w:rPr>
                <w:rFonts w:asciiTheme="minorHAnsi" w:hAnsiTheme="minorHAnsi" w:cstheme="minorHAnsi"/>
              </w:rPr>
              <w:t xml:space="preserve">+/- 20% of </w:t>
            </w:r>
          </w:p>
          <w:p w14:paraId="4105E6C0" w14:textId="2A8A66A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56.02</w:t>
            </w:r>
          </w:p>
        </w:tc>
        <w:tc>
          <w:tcPr>
            <w:tcW w:w="4498" w:type="dxa"/>
          </w:tcPr>
          <w:p w14:paraId="1A7228CC" w14:textId="1A90D1F6"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608"/>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The further review level is based on a three-year national average.  The range of acceptable data not requiring further review is from 44.82 to 67.23 for safety.</w:t>
            </w:r>
          </w:p>
        </w:tc>
      </w:tr>
      <w:tr w:rsidR="00F11659" w:rsidRPr="001C1E47" w14:paraId="71994532"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4A315A6E"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11b</w:t>
            </w:r>
          </w:p>
        </w:tc>
        <w:tc>
          <w:tcPr>
            <w:tcW w:w="2547" w:type="dxa"/>
          </w:tcPr>
          <w:p w14:paraId="62670A92"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(health)</w:t>
            </w:r>
          </w:p>
        </w:tc>
        <w:tc>
          <w:tcPr>
            <w:tcW w:w="973" w:type="dxa"/>
          </w:tcPr>
          <w:p w14:paraId="260D705D" w14:textId="40D3942C"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24.26</w:t>
            </w:r>
          </w:p>
        </w:tc>
        <w:tc>
          <w:tcPr>
            <w:tcW w:w="1298" w:type="dxa"/>
          </w:tcPr>
          <w:p w14:paraId="0FE8329B" w14:textId="77777777" w:rsidR="00F11659" w:rsidRPr="002C29E1" w:rsidRDefault="00F11659" w:rsidP="00F116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29E1">
              <w:rPr>
                <w:rFonts w:asciiTheme="minorHAnsi" w:hAnsiTheme="minorHAnsi" w:cstheme="minorHAnsi"/>
              </w:rPr>
              <w:t xml:space="preserve">+/- 20% of </w:t>
            </w:r>
          </w:p>
          <w:p w14:paraId="4447221B" w14:textId="59EA16E2"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67.21</w:t>
            </w:r>
          </w:p>
        </w:tc>
        <w:tc>
          <w:tcPr>
            <w:tcW w:w="4498" w:type="dxa"/>
          </w:tcPr>
          <w:p w14:paraId="77F448C9" w14:textId="047CCD3F"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The further review level is based on a three-year national average.  The range of acceptable data not requiring further review is from 53.77 to 80.65 for health.</w:t>
            </w:r>
          </w:p>
        </w:tc>
      </w:tr>
      <w:tr w:rsidR="00F11659" w:rsidRPr="001C1E47" w14:paraId="13BCA211"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20008ADF"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12</w:t>
            </w:r>
          </w:p>
        </w:tc>
        <w:tc>
          <w:tcPr>
            <w:tcW w:w="2547" w:type="dxa"/>
          </w:tcPr>
          <w:p w14:paraId="4FDC62A7"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penalty retained</w:t>
            </w:r>
          </w:p>
        </w:tc>
        <w:tc>
          <w:tcPr>
            <w:tcW w:w="973" w:type="dxa"/>
          </w:tcPr>
          <w:p w14:paraId="54C1921C" w14:textId="42DAA801"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N/A</w:t>
            </w:r>
          </w:p>
        </w:tc>
        <w:tc>
          <w:tcPr>
            <w:tcW w:w="1298" w:type="dxa"/>
          </w:tcPr>
          <w:p w14:paraId="596BF817" w14:textId="77777777" w:rsidR="00F11659" w:rsidRPr="002C29E1" w:rsidRDefault="00F11659" w:rsidP="00F116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29E1">
              <w:rPr>
                <w:rFonts w:asciiTheme="minorHAnsi" w:hAnsiTheme="minorHAnsi" w:cstheme="minorHAnsi"/>
              </w:rPr>
              <w:t>+/- 15% of</w:t>
            </w:r>
          </w:p>
          <w:p w14:paraId="5AD20280" w14:textId="1E19805F"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70.81%</w:t>
            </w:r>
          </w:p>
        </w:tc>
        <w:tc>
          <w:tcPr>
            <w:tcW w:w="4498" w:type="dxa"/>
          </w:tcPr>
          <w:p w14:paraId="535E7335" w14:textId="77777777" w:rsidR="00F11659" w:rsidRPr="002C29E1"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2C29E1">
              <w:rPr>
                <w:rFonts w:asciiTheme="minorHAnsi" w:eastAsia="PMingLiU" w:hAnsiTheme="minorHAnsi" w:cstheme="minorHAnsi"/>
              </w:rPr>
              <w:t>NA – This is a State and Local Government State Plan and is not held to this SAMM.</w:t>
            </w:r>
          </w:p>
          <w:p w14:paraId="6976A905" w14:textId="77777777" w:rsidR="00F11659" w:rsidRPr="002C29E1"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45B6E003" w14:textId="083F0CD2"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 xml:space="preserve">The further review level is based on a three-year national average.  </w:t>
            </w:r>
          </w:p>
        </w:tc>
      </w:tr>
      <w:tr w:rsidR="00F11659" w:rsidRPr="001C1E47" w14:paraId="2EAC34D6"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46A22AE3"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13</w:t>
            </w:r>
          </w:p>
        </w:tc>
        <w:tc>
          <w:tcPr>
            <w:tcW w:w="2547" w:type="dxa"/>
          </w:tcPr>
          <w:p w14:paraId="56540F98"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initial inspections with worker walk-around representation or worker interview</w:t>
            </w:r>
          </w:p>
        </w:tc>
        <w:tc>
          <w:tcPr>
            <w:tcW w:w="973" w:type="dxa"/>
          </w:tcPr>
          <w:p w14:paraId="71E71ED8" w14:textId="75DB8C42"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100%</w:t>
            </w:r>
          </w:p>
        </w:tc>
        <w:tc>
          <w:tcPr>
            <w:tcW w:w="1298" w:type="dxa"/>
          </w:tcPr>
          <w:p w14:paraId="4A97427F" w14:textId="02A0B41F"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100%</w:t>
            </w:r>
          </w:p>
        </w:tc>
        <w:tc>
          <w:tcPr>
            <w:tcW w:w="4498" w:type="dxa"/>
          </w:tcPr>
          <w:p w14:paraId="27DEF00F" w14:textId="6A2AAB5A"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The further review level is fixed for all State Plans.</w:t>
            </w:r>
          </w:p>
        </w:tc>
      </w:tr>
      <w:tr w:rsidR="00F11659" w:rsidRPr="001C1E47" w14:paraId="0083664F"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1F73B0DD"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14</w:t>
            </w:r>
          </w:p>
        </w:tc>
        <w:tc>
          <w:tcPr>
            <w:tcW w:w="2547" w:type="dxa"/>
          </w:tcPr>
          <w:p w14:paraId="3454CDD3"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11(c) investigations completed within 90 days</w:t>
            </w:r>
          </w:p>
        </w:tc>
        <w:tc>
          <w:tcPr>
            <w:tcW w:w="973" w:type="dxa"/>
          </w:tcPr>
          <w:p w14:paraId="3468F2B1" w14:textId="638A8EA5"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N/A</w:t>
            </w:r>
          </w:p>
        </w:tc>
        <w:tc>
          <w:tcPr>
            <w:tcW w:w="1298" w:type="dxa"/>
          </w:tcPr>
          <w:p w14:paraId="39333E60" w14:textId="09CB9E74"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N/A</w:t>
            </w:r>
          </w:p>
        </w:tc>
        <w:tc>
          <w:tcPr>
            <w:tcW w:w="4498" w:type="dxa"/>
          </w:tcPr>
          <w:p w14:paraId="7DECCD0D" w14:textId="3E875C8D"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45E65">
              <w:rPr>
                <w:rFonts w:eastAsia="PMingLiU" w:cstheme="minorHAnsi"/>
              </w:rPr>
              <w:t>This measure is not being reported for FY 2024 due to the transition to the new SAMM measures starting in FY 2025.</w:t>
            </w:r>
          </w:p>
        </w:tc>
      </w:tr>
      <w:tr w:rsidR="00F11659" w:rsidRPr="001C1E47" w14:paraId="570F3912"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4BF89E78"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15</w:t>
            </w:r>
          </w:p>
        </w:tc>
        <w:tc>
          <w:tcPr>
            <w:tcW w:w="2547" w:type="dxa"/>
          </w:tcPr>
          <w:p w14:paraId="1BE43D29"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11(c) complaints that are meritorious</w:t>
            </w:r>
          </w:p>
        </w:tc>
        <w:tc>
          <w:tcPr>
            <w:tcW w:w="973" w:type="dxa"/>
          </w:tcPr>
          <w:p w14:paraId="1E0B0B7D" w14:textId="414B96D5"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t>N/A</w:t>
            </w:r>
          </w:p>
        </w:tc>
        <w:tc>
          <w:tcPr>
            <w:tcW w:w="1298" w:type="dxa"/>
          </w:tcPr>
          <w:p w14:paraId="147E9AB5" w14:textId="0BE64C70"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N/A</w:t>
            </w:r>
          </w:p>
        </w:tc>
        <w:tc>
          <w:tcPr>
            <w:tcW w:w="4498" w:type="dxa"/>
          </w:tcPr>
          <w:p w14:paraId="5801C5D4" w14:textId="140F2596"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45E65">
              <w:rPr>
                <w:rFonts w:eastAsia="PMingLiU" w:cstheme="minorHAnsi"/>
              </w:rPr>
              <w:t>This measure is not being reported for FY 2024 due to the transition to the new SAMM measures starting in FY 2025.</w:t>
            </w:r>
          </w:p>
        </w:tc>
      </w:tr>
      <w:tr w:rsidR="00F11659" w:rsidRPr="001C1E47" w14:paraId="06EFF7B6"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69BEAF8E" w14:textId="77777777" w:rsidR="0045498C" w:rsidRDefault="0045498C"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bCs w:val="0"/>
              </w:rPr>
            </w:pPr>
          </w:p>
          <w:p w14:paraId="7E0D4652" w14:textId="60F9C9C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16</w:t>
            </w:r>
          </w:p>
        </w:tc>
        <w:tc>
          <w:tcPr>
            <w:tcW w:w="2547" w:type="dxa"/>
          </w:tcPr>
          <w:p w14:paraId="6BEB0ADD" w14:textId="77777777" w:rsidR="0045498C" w:rsidRDefault="0045498C"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p>
          <w:p w14:paraId="5E4FAF60" w14:textId="5361D9BD"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lastRenderedPageBreak/>
              <w:t>Average number of calendar days to complete an 11(c) investigation</w:t>
            </w:r>
          </w:p>
        </w:tc>
        <w:tc>
          <w:tcPr>
            <w:tcW w:w="973" w:type="dxa"/>
          </w:tcPr>
          <w:p w14:paraId="0855EEC9" w14:textId="77777777" w:rsidR="0045498C" w:rsidRDefault="0045498C"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3207CBD2" w14:textId="330CAD02"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lastRenderedPageBreak/>
              <w:t>N/A</w:t>
            </w:r>
          </w:p>
        </w:tc>
        <w:tc>
          <w:tcPr>
            <w:tcW w:w="1298" w:type="dxa"/>
            <w:shd w:val="clear" w:color="auto" w:fill="auto"/>
          </w:tcPr>
          <w:p w14:paraId="639A9B36" w14:textId="77777777" w:rsidR="0045498C" w:rsidRDefault="0045498C"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022F7E0" w14:textId="63B64C51"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hAnsiTheme="minorHAnsi" w:cstheme="minorHAnsi"/>
              </w:rPr>
              <w:lastRenderedPageBreak/>
              <w:t>N/A</w:t>
            </w:r>
          </w:p>
        </w:tc>
        <w:tc>
          <w:tcPr>
            <w:tcW w:w="4498" w:type="dxa"/>
          </w:tcPr>
          <w:p w14:paraId="0E40D86D" w14:textId="77777777" w:rsidR="0045498C" w:rsidRDefault="0045498C"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theme="minorHAnsi"/>
              </w:rPr>
            </w:pPr>
          </w:p>
          <w:p w14:paraId="088C3C3F" w14:textId="3D415403"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C45E65">
              <w:rPr>
                <w:rFonts w:eastAsia="PMingLiU" w:cstheme="minorHAnsi"/>
              </w:rPr>
              <w:lastRenderedPageBreak/>
              <w:t>This measure is not being reported for FY 2024 due to the transition to the new SAMM measures starting in FY 2025.</w:t>
            </w:r>
          </w:p>
        </w:tc>
      </w:tr>
      <w:tr w:rsidR="00F11659" w:rsidRPr="001C1E47" w14:paraId="464BCA80" w14:textId="77777777" w:rsidTr="00F11659">
        <w:tc>
          <w:tcPr>
            <w:cnfStyle w:val="001000000000" w:firstRow="0" w:lastRow="0" w:firstColumn="1" w:lastColumn="0" w:oddVBand="0" w:evenVBand="0" w:oddHBand="0" w:evenHBand="0" w:firstRowFirstColumn="0" w:firstRowLastColumn="0" w:lastRowFirstColumn="0" w:lastRowLastColumn="0"/>
            <w:tcW w:w="1034" w:type="dxa"/>
          </w:tcPr>
          <w:p w14:paraId="3EFEA4C9"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17</w:t>
            </w:r>
          </w:p>
        </w:tc>
        <w:tc>
          <w:tcPr>
            <w:tcW w:w="2547" w:type="dxa"/>
          </w:tcPr>
          <w:p w14:paraId="4A04782E" w14:textId="77777777"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enforcement presence</w:t>
            </w:r>
          </w:p>
        </w:tc>
        <w:tc>
          <w:tcPr>
            <w:tcW w:w="973" w:type="dxa"/>
          </w:tcPr>
          <w:p w14:paraId="2883494A" w14:textId="6F4B7548"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2C29E1">
              <w:rPr>
                <w:rFonts w:asciiTheme="minorHAnsi" w:eastAsia="PMingLiU" w:hAnsiTheme="minorHAnsi" w:cstheme="minorHAnsi"/>
              </w:rPr>
              <w:t>N/A</w:t>
            </w:r>
          </w:p>
        </w:tc>
        <w:tc>
          <w:tcPr>
            <w:tcW w:w="1298" w:type="dxa"/>
          </w:tcPr>
          <w:p w14:paraId="315D63EF" w14:textId="3CDF357B"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hAnsiTheme="minorHAnsi" w:cstheme="minorHAnsi"/>
              </w:rPr>
              <w:t>N/A</w:t>
            </w:r>
          </w:p>
        </w:tc>
        <w:tc>
          <w:tcPr>
            <w:tcW w:w="4498" w:type="dxa"/>
          </w:tcPr>
          <w:p w14:paraId="5A137FEE" w14:textId="77777777" w:rsidR="00F11659" w:rsidRPr="002C29E1"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2C29E1">
              <w:rPr>
                <w:rFonts w:asciiTheme="minorHAnsi" w:eastAsia="PMingLiU" w:hAnsiTheme="minorHAnsi" w:cstheme="minorHAnsi"/>
              </w:rPr>
              <w:t>NA – This is a State and Local Government State Plan and is not held to this SAMM.</w:t>
            </w:r>
          </w:p>
          <w:p w14:paraId="66CFA076" w14:textId="04FDFAC1" w:rsidR="00F11659" w:rsidRPr="001C1E47" w:rsidRDefault="00F11659" w:rsidP="00F1165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r>
      <w:bookmarkEnd w:id="32"/>
    </w:tbl>
    <w:p w14:paraId="723E33DA" w14:textId="77777777" w:rsidR="005128CD" w:rsidRPr="001C1E47" w:rsidRDefault="005128CD" w:rsidP="007A71AC">
      <w:pPr>
        <w:widowControl/>
        <w:autoSpaceDE/>
        <w:autoSpaceDN/>
        <w:adjustRightInd/>
        <w:rPr>
          <w:rFonts w:cs="Calibri"/>
          <w:b/>
          <w:color w:val="1F497D"/>
          <w:sz w:val="28"/>
          <w:szCs w:val="28"/>
        </w:rPr>
      </w:pPr>
    </w:p>
    <w:p w14:paraId="575825F5" w14:textId="77777777" w:rsidR="005128CD" w:rsidRPr="001C1E47" w:rsidRDefault="005128CD" w:rsidP="007A71AC">
      <w:pPr>
        <w:widowControl/>
        <w:autoSpaceDE/>
        <w:autoSpaceDN/>
        <w:adjustRightInd/>
        <w:rPr>
          <w:rFonts w:cs="Calibri"/>
          <w:b/>
          <w:color w:val="1F497D"/>
          <w:sz w:val="28"/>
          <w:szCs w:val="28"/>
        </w:rPr>
      </w:pPr>
    </w:p>
    <w:p w14:paraId="325D26EC" w14:textId="77777777" w:rsidR="00E950BC" w:rsidRPr="001C1E47" w:rsidRDefault="00E950BC" w:rsidP="00634539">
      <w:pPr>
        <w:widowControl/>
        <w:autoSpaceDE/>
        <w:autoSpaceDN/>
        <w:adjustRightInd/>
        <w:rPr>
          <w:rFonts w:cs="Calibri"/>
          <w:i/>
        </w:rPr>
      </w:pPr>
    </w:p>
    <w:p w14:paraId="3291466A" w14:textId="77777777" w:rsidR="005F128A" w:rsidRPr="001C1E47" w:rsidRDefault="005F128A" w:rsidP="00F40413">
      <w:pPr>
        <w:widowControl/>
        <w:autoSpaceDE/>
        <w:autoSpaceDN/>
        <w:adjustRightInd/>
        <w:ind w:left="1080"/>
        <w:rPr>
          <w:rFonts w:cs="Calibri"/>
        </w:rPr>
      </w:pPr>
    </w:p>
    <w:p w14:paraId="0A470C61" w14:textId="77777777" w:rsidR="005128CD" w:rsidRPr="001C1E47" w:rsidRDefault="005128CD" w:rsidP="00634539">
      <w:pPr>
        <w:widowControl/>
        <w:autoSpaceDE/>
        <w:autoSpaceDN/>
        <w:adjustRightInd/>
        <w:rPr>
          <w:rFonts w:cs="Calibri"/>
        </w:rPr>
        <w:sectPr w:rsidR="005128CD" w:rsidRPr="001C1E47" w:rsidSect="00476C08">
          <w:headerReference w:type="default" r:id="rId22"/>
          <w:footerReference w:type="default" r:id="rId23"/>
          <w:pgSz w:w="12240" w:h="15840" w:code="1"/>
          <w:pgMar w:top="1440" w:right="1440" w:bottom="1440" w:left="1440" w:header="720" w:footer="720" w:gutter="0"/>
          <w:cols w:space="720"/>
          <w:noEndnote/>
          <w:docGrid w:linePitch="326"/>
        </w:sectPr>
      </w:pPr>
    </w:p>
    <w:p w14:paraId="52265BF8" w14:textId="77777777" w:rsidR="005F128A" w:rsidRPr="001C1E47" w:rsidRDefault="005F128A" w:rsidP="00634539">
      <w:pPr>
        <w:widowControl/>
        <w:autoSpaceDE/>
        <w:autoSpaceDN/>
        <w:adjustRightInd/>
        <w:rPr>
          <w:rFonts w:cs="Calibri"/>
        </w:rPr>
      </w:pPr>
    </w:p>
    <w:p w14:paraId="24A311E3" w14:textId="77777777" w:rsidR="005F128A" w:rsidRPr="001C1E47" w:rsidRDefault="005F128A" w:rsidP="00F40413">
      <w:pPr>
        <w:widowControl/>
        <w:autoSpaceDE/>
        <w:autoSpaceDN/>
        <w:adjustRightInd/>
        <w:ind w:left="1080"/>
        <w:rPr>
          <w:rFonts w:cs="Calibri"/>
        </w:rPr>
      </w:pPr>
    </w:p>
    <w:p w14:paraId="1EF1EE4F" w14:textId="77777777" w:rsidR="005F128A" w:rsidRPr="001C1E47" w:rsidRDefault="005F128A" w:rsidP="00F40413">
      <w:pPr>
        <w:widowControl/>
        <w:autoSpaceDE/>
        <w:autoSpaceDN/>
        <w:adjustRightInd/>
        <w:ind w:left="1080"/>
        <w:rPr>
          <w:rFonts w:cs="Calibri"/>
        </w:rPr>
      </w:pPr>
    </w:p>
    <w:p w14:paraId="6573BAF6" w14:textId="3FAD77B0" w:rsidR="00634539" w:rsidRPr="001C1E47" w:rsidRDefault="00634539" w:rsidP="00634539">
      <w:pPr>
        <w:tabs>
          <w:tab w:val="left" w:pos="3405"/>
        </w:tabs>
        <w:rPr>
          <w:rFonts w:cs="Calibri"/>
        </w:rPr>
      </w:pPr>
    </w:p>
    <w:sectPr w:rsidR="00634539" w:rsidRPr="001C1E47" w:rsidSect="005128CD">
      <w:headerReference w:type="default" r:id="rId24"/>
      <w:footerReference w:type="default" r:id="rId25"/>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79D44" w14:textId="77777777" w:rsidR="00D33161" w:rsidRDefault="00D33161" w:rsidP="00C872A0">
      <w:r>
        <w:separator/>
      </w:r>
    </w:p>
  </w:endnote>
  <w:endnote w:type="continuationSeparator" w:id="0">
    <w:p w14:paraId="6756735F" w14:textId="77777777" w:rsidR="00D33161" w:rsidRDefault="00D33161"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072240"/>
      <w:docPartObj>
        <w:docPartGallery w:val="Page Numbers (Bottom of Page)"/>
        <w:docPartUnique/>
      </w:docPartObj>
    </w:sdtPr>
    <w:sdtEndPr>
      <w:rPr>
        <w:noProof/>
      </w:rPr>
    </w:sdtEndPr>
    <w:sdtContent>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9E6FE" w14:textId="77777777" w:rsidR="00780E29" w:rsidRDefault="00780E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75891"/>
      <w:docPartObj>
        <w:docPartGallery w:val="Page Numbers (Bottom of Page)"/>
        <w:docPartUnique/>
      </w:docPartObj>
    </w:sdtPr>
    <w:sdtEndPr>
      <w:rPr>
        <w:noProof/>
      </w:rPr>
    </w:sdtEndPr>
    <w:sdtContent>
      <w:p w14:paraId="2EB48E40" w14:textId="55C41B5C"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780E29" w:rsidRPr="00E20610" w:rsidRDefault="00780E29" w:rsidP="00E2061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5C036" w14:textId="77777777" w:rsidR="00D33161" w:rsidRDefault="00D33161" w:rsidP="00C872A0">
      <w:r>
        <w:separator/>
      </w:r>
    </w:p>
  </w:footnote>
  <w:footnote w:type="continuationSeparator" w:id="0">
    <w:p w14:paraId="4A4CE446" w14:textId="77777777" w:rsidR="00D33161" w:rsidRDefault="00D33161" w:rsidP="00C872A0">
      <w:r>
        <w:continuationSeparator/>
      </w:r>
    </w:p>
  </w:footnote>
  <w:footnote w:id="1">
    <w:p w14:paraId="1E6F9005" w14:textId="4CF60956" w:rsidR="00047D8A" w:rsidRDefault="00047D8A" w:rsidP="00047D8A">
      <w:pPr>
        <w:pStyle w:val="FootnoteText"/>
      </w:pPr>
      <w:r w:rsidRPr="000D4428">
        <w:rPr>
          <w:rStyle w:val="FootnoteReference"/>
          <w:b/>
          <w:bCs/>
          <w:sz w:val="28"/>
          <w:szCs w:val="28"/>
          <w:vertAlign w:val="superscript"/>
        </w:rPr>
        <w:footnoteRef/>
      </w:r>
      <w:r w:rsidRPr="000D4428">
        <w:rPr>
          <w:b/>
          <w:bCs/>
          <w:sz w:val="28"/>
          <w:szCs w:val="28"/>
          <w:vertAlign w:val="superscript"/>
        </w:rPr>
        <w:t xml:space="preserve"> </w:t>
      </w:r>
      <w:r w:rsidRPr="007F794B">
        <w:t>Source:</w:t>
      </w:r>
      <w:r>
        <w:t xml:space="preserve"> Preliminary 202</w:t>
      </w:r>
      <w:r w:rsidR="00256C88">
        <w:t xml:space="preserve">4 </w:t>
      </w:r>
      <w:r>
        <w:t xml:space="preserve">data from the </w:t>
      </w:r>
      <w:hyperlink r:id="rId1" w:history="1">
        <w:r w:rsidRPr="007F794B">
          <w:rPr>
            <w:rStyle w:val="Hyperlink"/>
          </w:rPr>
          <w:t>Bureau of Labor Statistics' Quarterly Census of Employment and Wages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59F0" w14:textId="574F2C4F" w:rsidR="00780E29" w:rsidRPr="00B6741C" w:rsidRDefault="00780E29"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A15F" w14:textId="0461E266" w:rsidR="00780E29" w:rsidRPr="00B6741C" w:rsidRDefault="00780E29"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CA39" w14:textId="77777777" w:rsidR="00780E29" w:rsidRPr="00283FF9" w:rsidRDefault="00780E29" w:rsidP="00476C08">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B8D7" w14:textId="77777777"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92CC" w14:textId="0A117B51" w:rsidR="00780E29" w:rsidRPr="006F2309" w:rsidRDefault="00780E29" w:rsidP="006F2309">
    <w:pPr>
      <w:pStyle w:val="Header"/>
    </w:pPr>
    <w:r w:rsidRPr="006F2309">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A0A7" w14:textId="11A2137F" w:rsidR="00780E29" w:rsidRPr="00D2585B" w:rsidRDefault="00780E29" w:rsidP="00D258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0"/>
  </w:num>
  <w:num w:numId="5" w16cid:durableId="437339714">
    <w:abstractNumId w:val="28"/>
  </w:num>
  <w:num w:numId="6" w16cid:durableId="1373268660">
    <w:abstractNumId w:val="25"/>
  </w:num>
  <w:num w:numId="7" w16cid:durableId="1614284284">
    <w:abstractNumId w:val="26"/>
  </w:num>
  <w:num w:numId="8" w16cid:durableId="1901401974">
    <w:abstractNumId w:val="29"/>
  </w:num>
  <w:num w:numId="9" w16cid:durableId="340623116">
    <w:abstractNumId w:val="27"/>
  </w:num>
  <w:num w:numId="10" w16cid:durableId="1713532647">
    <w:abstractNumId w:val="31"/>
  </w:num>
  <w:num w:numId="11" w16cid:durableId="247546233">
    <w:abstractNumId w:val="23"/>
  </w:num>
  <w:num w:numId="12" w16cid:durableId="158769152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06D3"/>
    <w:rsid w:val="000011DF"/>
    <w:rsid w:val="0000201A"/>
    <w:rsid w:val="00002805"/>
    <w:rsid w:val="00002B73"/>
    <w:rsid w:val="000036AB"/>
    <w:rsid w:val="00004200"/>
    <w:rsid w:val="00004F3A"/>
    <w:rsid w:val="00006873"/>
    <w:rsid w:val="00007781"/>
    <w:rsid w:val="000116C0"/>
    <w:rsid w:val="00014C7A"/>
    <w:rsid w:val="00016214"/>
    <w:rsid w:val="00016803"/>
    <w:rsid w:val="0001706D"/>
    <w:rsid w:val="00017349"/>
    <w:rsid w:val="00021274"/>
    <w:rsid w:val="000217D1"/>
    <w:rsid w:val="00021FE0"/>
    <w:rsid w:val="00022BEE"/>
    <w:rsid w:val="00023E67"/>
    <w:rsid w:val="000248F0"/>
    <w:rsid w:val="0002572C"/>
    <w:rsid w:val="00025F57"/>
    <w:rsid w:val="00026D63"/>
    <w:rsid w:val="00027093"/>
    <w:rsid w:val="00031CC5"/>
    <w:rsid w:val="0003442F"/>
    <w:rsid w:val="00034A4E"/>
    <w:rsid w:val="00035083"/>
    <w:rsid w:val="0003567C"/>
    <w:rsid w:val="0003584E"/>
    <w:rsid w:val="00036865"/>
    <w:rsid w:val="00036BF8"/>
    <w:rsid w:val="00036EB4"/>
    <w:rsid w:val="00036F0D"/>
    <w:rsid w:val="00037F48"/>
    <w:rsid w:val="000404ED"/>
    <w:rsid w:val="00042327"/>
    <w:rsid w:val="00043515"/>
    <w:rsid w:val="00044436"/>
    <w:rsid w:val="000447C9"/>
    <w:rsid w:val="000449F8"/>
    <w:rsid w:val="00045479"/>
    <w:rsid w:val="00045BD6"/>
    <w:rsid w:val="00045C51"/>
    <w:rsid w:val="00046151"/>
    <w:rsid w:val="000468C6"/>
    <w:rsid w:val="00046BEE"/>
    <w:rsid w:val="00046E13"/>
    <w:rsid w:val="000470EE"/>
    <w:rsid w:val="00047B15"/>
    <w:rsid w:val="00047D8A"/>
    <w:rsid w:val="0005007B"/>
    <w:rsid w:val="00050FEB"/>
    <w:rsid w:val="000517FA"/>
    <w:rsid w:val="00052B36"/>
    <w:rsid w:val="00053A2C"/>
    <w:rsid w:val="00054416"/>
    <w:rsid w:val="000548F3"/>
    <w:rsid w:val="00054900"/>
    <w:rsid w:val="00055243"/>
    <w:rsid w:val="00055B40"/>
    <w:rsid w:val="00055F2C"/>
    <w:rsid w:val="00057840"/>
    <w:rsid w:val="00060D39"/>
    <w:rsid w:val="00061875"/>
    <w:rsid w:val="000625FB"/>
    <w:rsid w:val="0006398D"/>
    <w:rsid w:val="000657F6"/>
    <w:rsid w:val="00065AB2"/>
    <w:rsid w:val="0006611A"/>
    <w:rsid w:val="00066A7B"/>
    <w:rsid w:val="00066C52"/>
    <w:rsid w:val="000701E4"/>
    <w:rsid w:val="0007073F"/>
    <w:rsid w:val="0007157F"/>
    <w:rsid w:val="00071E71"/>
    <w:rsid w:val="000724F1"/>
    <w:rsid w:val="0007306B"/>
    <w:rsid w:val="000743D1"/>
    <w:rsid w:val="00074876"/>
    <w:rsid w:val="000760CB"/>
    <w:rsid w:val="00076601"/>
    <w:rsid w:val="000767C0"/>
    <w:rsid w:val="00077410"/>
    <w:rsid w:val="00083A76"/>
    <w:rsid w:val="00085230"/>
    <w:rsid w:val="00086F2F"/>
    <w:rsid w:val="0008759E"/>
    <w:rsid w:val="00087EE9"/>
    <w:rsid w:val="00090155"/>
    <w:rsid w:val="000902ED"/>
    <w:rsid w:val="0009134A"/>
    <w:rsid w:val="00091ABD"/>
    <w:rsid w:val="00091AE2"/>
    <w:rsid w:val="00091B54"/>
    <w:rsid w:val="000923E0"/>
    <w:rsid w:val="00092555"/>
    <w:rsid w:val="000929B5"/>
    <w:rsid w:val="00092A1C"/>
    <w:rsid w:val="00092F1B"/>
    <w:rsid w:val="00093239"/>
    <w:rsid w:val="0009535D"/>
    <w:rsid w:val="0009583F"/>
    <w:rsid w:val="000969E2"/>
    <w:rsid w:val="000A1308"/>
    <w:rsid w:val="000A134A"/>
    <w:rsid w:val="000A1CE9"/>
    <w:rsid w:val="000A2DE7"/>
    <w:rsid w:val="000A3878"/>
    <w:rsid w:val="000A40EC"/>
    <w:rsid w:val="000A55DB"/>
    <w:rsid w:val="000A658C"/>
    <w:rsid w:val="000A7279"/>
    <w:rsid w:val="000A7A05"/>
    <w:rsid w:val="000B07D7"/>
    <w:rsid w:val="000B1A5B"/>
    <w:rsid w:val="000B1ECC"/>
    <w:rsid w:val="000B22E4"/>
    <w:rsid w:val="000B3A37"/>
    <w:rsid w:val="000B440B"/>
    <w:rsid w:val="000B4852"/>
    <w:rsid w:val="000B6A8A"/>
    <w:rsid w:val="000C04C6"/>
    <w:rsid w:val="000C0E15"/>
    <w:rsid w:val="000C0E53"/>
    <w:rsid w:val="000C12C6"/>
    <w:rsid w:val="000C1882"/>
    <w:rsid w:val="000C1ED8"/>
    <w:rsid w:val="000C28B6"/>
    <w:rsid w:val="000C295F"/>
    <w:rsid w:val="000C2E74"/>
    <w:rsid w:val="000C368E"/>
    <w:rsid w:val="000C38BD"/>
    <w:rsid w:val="000C4141"/>
    <w:rsid w:val="000C43DE"/>
    <w:rsid w:val="000C46E4"/>
    <w:rsid w:val="000C5C82"/>
    <w:rsid w:val="000C7C9A"/>
    <w:rsid w:val="000D343F"/>
    <w:rsid w:val="000D4560"/>
    <w:rsid w:val="000D4A64"/>
    <w:rsid w:val="000D750A"/>
    <w:rsid w:val="000D7AAD"/>
    <w:rsid w:val="000E0408"/>
    <w:rsid w:val="000E07E7"/>
    <w:rsid w:val="000E0DD1"/>
    <w:rsid w:val="000E1AA2"/>
    <w:rsid w:val="000E20A2"/>
    <w:rsid w:val="000E2136"/>
    <w:rsid w:val="000E46F3"/>
    <w:rsid w:val="000E4978"/>
    <w:rsid w:val="000E5C64"/>
    <w:rsid w:val="000E6466"/>
    <w:rsid w:val="000E7F42"/>
    <w:rsid w:val="000F1A9C"/>
    <w:rsid w:val="000F1D68"/>
    <w:rsid w:val="000F1E49"/>
    <w:rsid w:val="000F46ED"/>
    <w:rsid w:val="000F4DA3"/>
    <w:rsid w:val="000F5631"/>
    <w:rsid w:val="000F5A36"/>
    <w:rsid w:val="000F63C1"/>
    <w:rsid w:val="000F6A5C"/>
    <w:rsid w:val="000F6D29"/>
    <w:rsid w:val="000F7ECC"/>
    <w:rsid w:val="001001FD"/>
    <w:rsid w:val="001039FA"/>
    <w:rsid w:val="00104119"/>
    <w:rsid w:val="001056A7"/>
    <w:rsid w:val="0011011A"/>
    <w:rsid w:val="00110CB0"/>
    <w:rsid w:val="0011134F"/>
    <w:rsid w:val="001113A1"/>
    <w:rsid w:val="00112C81"/>
    <w:rsid w:val="0011326F"/>
    <w:rsid w:val="0011522A"/>
    <w:rsid w:val="00115B48"/>
    <w:rsid w:val="00115DF5"/>
    <w:rsid w:val="00116055"/>
    <w:rsid w:val="001170E4"/>
    <w:rsid w:val="00117115"/>
    <w:rsid w:val="001174A0"/>
    <w:rsid w:val="001206B1"/>
    <w:rsid w:val="0012164B"/>
    <w:rsid w:val="00122228"/>
    <w:rsid w:val="0012279E"/>
    <w:rsid w:val="00122839"/>
    <w:rsid w:val="00122BD3"/>
    <w:rsid w:val="00123AC4"/>
    <w:rsid w:val="00125065"/>
    <w:rsid w:val="00125345"/>
    <w:rsid w:val="00125C8A"/>
    <w:rsid w:val="00126880"/>
    <w:rsid w:val="00132862"/>
    <w:rsid w:val="00132F71"/>
    <w:rsid w:val="001330E6"/>
    <w:rsid w:val="001341FE"/>
    <w:rsid w:val="00134F5C"/>
    <w:rsid w:val="00134F5D"/>
    <w:rsid w:val="001358F0"/>
    <w:rsid w:val="00136DA3"/>
    <w:rsid w:val="001376D1"/>
    <w:rsid w:val="00137B2F"/>
    <w:rsid w:val="00140C21"/>
    <w:rsid w:val="00141699"/>
    <w:rsid w:val="00141758"/>
    <w:rsid w:val="0014199D"/>
    <w:rsid w:val="00142198"/>
    <w:rsid w:val="00143ACD"/>
    <w:rsid w:val="0014420A"/>
    <w:rsid w:val="00144A53"/>
    <w:rsid w:val="00145A45"/>
    <w:rsid w:val="00145BC1"/>
    <w:rsid w:val="001469F6"/>
    <w:rsid w:val="001471B8"/>
    <w:rsid w:val="00147B01"/>
    <w:rsid w:val="00147F8B"/>
    <w:rsid w:val="00150F03"/>
    <w:rsid w:val="001515BB"/>
    <w:rsid w:val="00151CFD"/>
    <w:rsid w:val="00152207"/>
    <w:rsid w:val="00155419"/>
    <w:rsid w:val="00155591"/>
    <w:rsid w:val="00156B46"/>
    <w:rsid w:val="00156CD6"/>
    <w:rsid w:val="00156E0C"/>
    <w:rsid w:val="00157520"/>
    <w:rsid w:val="00161740"/>
    <w:rsid w:val="0016336D"/>
    <w:rsid w:val="00163E90"/>
    <w:rsid w:val="001662C4"/>
    <w:rsid w:val="00166382"/>
    <w:rsid w:val="00172085"/>
    <w:rsid w:val="00173853"/>
    <w:rsid w:val="0017552C"/>
    <w:rsid w:val="00176DF8"/>
    <w:rsid w:val="00177A1E"/>
    <w:rsid w:val="00177D70"/>
    <w:rsid w:val="00181B51"/>
    <w:rsid w:val="00182B5C"/>
    <w:rsid w:val="00182CE0"/>
    <w:rsid w:val="001843E2"/>
    <w:rsid w:val="00184E43"/>
    <w:rsid w:val="00185C7D"/>
    <w:rsid w:val="001861B8"/>
    <w:rsid w:val="00187065"/>
    <w:rsid w:val="00187182"/>
    <w:rsid w:val="001902FE"/>
    <w:rsid w:val="001927A4"/>
    <w:rsid w:val="00192881"/>
    <w:rsid w:val="00192C14"/>
    <w:rsid w:val="00193E53"/>
    <w:rsid w:val="001941DE"/>
    <w:rsid w:val="00195153"/>
    <w:rsid w:val="001958C8"/>
    <w:rsid w:val="00197387"/>
    <w:rsid w:val="001A2967"/>
    <w:rsid w:val="001A335E"/>
    <w:rsid w:val="001A3671"/>
    <w:rsid w:val="001A6664"/>
    <w:rsid w:val="001A6B79"/>
    <w:rsid w:val="001A7BB9"/>
    <w:rsid w:val="001A7F60"/>
    <w:rsid w:val="001B0219"/>
    <w:rsid w:val="001B02D7"/>
    <w:rsid w:val="001B0632"/>
    <w:rsid w:val="001B0AF1"/>
    <w:rsid w:val="001B160F"/>
    <w:rsid w:val="001B284A"/>
    <w:rsid w:val="001B346B"/>
    <w:rsid w:val="001B6DA7"/>
    <w:rsid w:val="001B77A2"/>
    <w:rsid w:val="001C0BD7"/>
    <w:rsid w:val="001C154D"/>
    <w:rsid w:val="001C1E47"/>
    <w:rsid w:val="001C2B11"/>
    <w:rsid w:val="001C3276"/>
    <w:rsid w:val="001C44E8"/>
    <w:rsid w:val="001C560E"/>
    <w:rsid w:val="001C58C2"/>
    <w:rsid w:val="001C620B"/>
    <w:rsid w:val="001C6EAC"/>
    <w:rsid w:val="001D1819"/>
    <w:rsid w:val="001D1A16"/>
    <w:rsid w:val="001D6530"/>
    <w:rsid w:val="001D681F"/>
    <w:rsid w:val="001D6D59"/>
    <w:rsid w:val="001D7428"/>
    <w:rsid w:val="001D7613"/>
    <w:rsid w:val="001E0EFF"/>
    <w:rsid w:val="001E1B35"/>
    <w:rsid w:val="001E1C5D"/>
    <w:rsid w:val="001E1FD1"/>
    <w:rsid w:val="001E2D62"/>
    <w:rsid w:val="001E2FBB"/>
    <w:rsid w:val="001E4F8A"/>
    <w:rsid w:val="001E5018"/>
    <w:rsid w:val="001E5ABD"/>
    <w:rsid w:val="001E5C43"/>
    <w:rsid w:val="001E5FE4"/>
    <w:rsid w:val="001E71BA"/>
    <w:rsid w:val="001F019D"/>
    <w:rsid w:val="001F0B51"/>
    <w:rsid w:val="001F1D8A"/>
    <w:rsid w:val="001F359C"/>
    <w:rsid w:val="001F3750"/>
    <w:rsid w:val="001F40E1"/>
    <w:rsid w:val="001F58B8"/>
    <w:rsid w:val="00200D27"/>
    <w:rsid w:val="002011AC"/>
    <w:rsid w:val="00201EB9"/>
    <w:rsid w:val="0020253E"/>
    <w:rsid w:val="00202BD7"/>
    <w:rsid w:val="0020345F"/>
    <w:rsid w:val="002048CC"/>
    <w:rsid w:val="0020506D"/>
    <w:rsid w:val="002051CE"/>
    <w:rsid w:val="00205391"/>
    <w:rsid w:val="00205A99"/>
    <w:rsid w:val="00205B95"/>
    <w:rsid w:val="0020733F"/>
    <w:rsid w:val="00207B94"/>
    <w:rsid w:val="00210157"/>
    <w:rsid w:val="00210E15"/>
    <w:rsid w:val="00211626"/>
    <w:rsid w:val="0021277A"/>
    <w:rsid w:val="00212BC7"/>
    <w:rsid w:val="00212C0E"/>
    <w:rsid w:val="0021380C"/>
    <w:rsid w:val="00213B90"/>
    <w:rsid w:val="00213FCA"/>
    <w:rsid w:val="00216621"/>
    <w:rsid w:val="00216B0E"/>
    <w:rsid w:val="00217433"/>
    <w:rsid w:val="00217437"/>
    <w:rsid w:val="0022017B"/>
    <w:rsid w:val="00222350"/>
    <w:rsid w:val="002231D3"/>
    <w:rsid w:val="002235F3"/>
    <w:rsid w:val="002247E7"/>
    <w:rsid w:val="0022537C"/>
    <w:rsid w:val="0022685E"/>
    <w:rsid w:val="00227868"/>
    <w:rsid w:val="00230915"/>
    <w:rsid w:val="00230D53"/>
    <w:rsid w:val="0023172B"/>
    <w:rsid w:val="0023191B"/>
    <w:rsid w:val="002337B2"/>
    <w:rsid w:val="00233C64"/>
    <w:rsid w:val="002404BA"/>
    <w:rsid w:val="002427F7"/>
    <w:rsid w:val="00243015"/>
    <w:rsid w:val="0024338F"/>
    <w:rsid w:val="002511A8"/>
    <w:rsid w:val="002511E9"/>
    <w:rsid w:val="002512E8"/>
    <w:rsid w:val="00251FA2"/>
    <w:rsid w:val="002523FB"/>
    <w:rsid w:val="002529E8"/>
    <w:rsid w:val="00253249"/>
    <w:rsid w:val="002536CB"/>
    <w:rsid w:val="0025526A"/>
    <w:rsid w:val="00255EA4"/>
    <w:rsid w:val="00256C88"/>
    <w:rsid w:val="00260A89"/>
    <w:rsid w:val="00260C9F"/>
    <w:rsid w:val="00261A11"/>
    <w:rsid w:val="00262A51"/>
    <w:rsid w:val="00262DDC"/>
    <w:rsid w:val="002648FC"/>
    <w:rsid w:val="00265778"/>
    <w:rsid w:val="002658D0"/>
    <w:rsid w:val="00265FE3"/>
    <w:rsid w:val="00266B3B"/>
    <w:rsid w:val="002671AC"/>
    <w:rsid w:val="002679E5"/>
    <w:rsid w:val="00270695"/>
    <w:rsid w:val="002707B8"/>
    <w:rsid w:val="0027084D"/>
    <w:rsid w:val="002725BC"/>
    <w:rsid w:val="002731DE"/>
    <w:rsid w:val="002735F9"/>
    <w:rsid w:val="00273CD1"/>
    <w:rsid w:val="00274463"/>
    <w:rsid w:val="0027502F"/>
    <w:rsid w:val="00277C24"/>
    <w:rsid w:val="0028166F"/>
    <w:rsid w:val="00281733"/>
    <w:rsid w:val="0028174D"/>
    <w:rsid w:val="00281A30"/>
    <w:rsid w:val="002823D9"/>
    <w:rsid w:val="002831C6"/>
    <w:rsid w:val="00283FF9"/>
    <w:rsid w:val="00287A60"/>
    <w:rsid w:val="00290B29"/>
    <w:rsid w:val="00292313"/>
    <w:rsid w:val="00292FFA"/>
    <w:rsid w:val="00294168"/>
    <w:rsid w:val="00294245"/>
    <w:rsid w:val="002948AE"/>
    <w:rsid w:val="00294FD0"/>
    <w:rsid w:val="002954DC"/>
    <w:rsid w:val="0029647F"/>
    <w:rsid w:val="002966F6"/>
    <w:rsid w:val="00296A49"/>
    <w:rsid w:val="00296B1E"/>
    <w:rsid w:val="00297ABC"/>
    <w:rsid w:val="002A2421"/>
    <w:rsid w:val="002A39F7"/>
    <w:rsid w:val="002A40A1"/>
    <w:rsid w:val="002A4594"/>
    <w:rsid w:val="002A4934"/>
    <w:rsid w:val="002A50A7"/>
    <w:rsid w:val="002A65C4"/>
    <w:rsid w:val="002A6CAA"/>
    <w:rsid w:val="002A6EA8"/>
    <w:rsid w:val="002B020A"/>
    <w:rsid w:val="002B228C"/>
    <w:rsid w:val="002B334F"/>
    <w:rsid w:val="002B3E37"/>
    <w:rsid w:val="002B4100"/>
    <w:rsid w:val="002B4250"/>
    <w:rsid w:val="002B429D"/>
    <w:rsid w:val="002B43F3"/>
    <w:rsid w:val="002B4830"/>
    <w:rsid w:val="002B4F49"/>
    <w:rsid w:val="002B63FA"/>
    <w:rsid w:val="002B7D36"/>
    <w:rsid w:val="002C1E78"/>
    <w:rsid w:val="002C21A1"/>
    <w:rsid w:val="002C4BAD"/>
    <w:rsid w:val="002C4E8C"/>
    <w:rsid w:val="002C65D1"/>
    <w:rsid w:val="002D0261"/>
    <w:rsid w:val="002D1D1E"/>
    <w:rsid w:val="002D473A"/>
    <w:rsid w:val="002D4F37"/>
    <w:rsid w:val="002D54B7"/>
    <w:rsid w:val="002D61CE"/>
    <w:rsid w:val="002D6E03"/>
    <w:rsid w:val="002E030B"/>
    <w:rsid w:val="002E211F"/>
    <w:rsid w:val="002E3874"/>
    <w:rsid w:val="002E397D"/>
    <w:rsid w:val="002E43B7"/>
    <w:rsid w:val="002E4405"/>
    <w:rsid w:val="002E4FDC"/>
    <w:rsid w:val="002E50F9"/>
    <w:rsid w:val="002E516E"/>
    <w:rsid w:val="002E5F0C"/>
    <w:rsid w:val="002E6386"/>
    <w:rsid w:val="002E6550"/>
    <w:rsid w:val="002E6E73"/>
    <w:rsid w:val="002E6F08"/>
    <w:rsid w:val="002E799C"/>
    <w:rsid w:val="002F140C"/>
    <w:rsid w:val="002F313C"/>
    <w:rsid w:val="002F405F"/>
    <w:rsid w:val="002F4FA0"/>
    <w:rsid w:val="002F5F07"/>
    <w:rsid w:val="002F78C9"/>
    <w:rsid w:val="002F7F47"/>
    <w:rsid w:val="0030105C"/>
    <w:rsid w:val="00304846"/>
    <w:rsid w:val="00304930"/>
    <w:rsid w:val="0030523E"/>
    <w:rsid w:val="00306137"/>
    <w:rsid w:val="00307316"/>
    <w:rsid w:val="00312D97"/>
    <w:rsid w:val="00312FDE"/>
    <w:rsid w:val="0031493F"/>
    <w:rsid w:val="00315E58"/>
    <w:rsid w:val="00320A32"/>
    <w:rsid w:val="00322518"/>
    <w:rsid w:val="00322C51"/>
    <w:rsid w:val="003235C8"/>
    <w:rsid w:val="003249A0"/>
    <w:rsid w:val="003249AC"/>
    <w:rsid w:val="0032597C"/>
    <w:rsid w:val="003274D0"/>
    <w:rsid w:val="00327926"/>
    <w:rsid w:val="00327E12"/>
    <w:rsid w:val="003306BF"/>
    <w:rsid w:val="00331F49"/>
    <w:rsid w:val="00334155"/>
    <w:rsid w:val="0033567A"/>
    <w:rsid w:val="00336613"/>
    <w:rsid w:val="00336FF6"/>
    <w:rsid w:val="0033715B"/>
    <w:rsid w:val="003400CE"/>
    <w:rsid w:val="00340ED2"/>
    <w:rsid w:val="00341DD1"/>
    <w:rsid w:val="00343604"/>
    <w:rsid w:val="00344186"/>
    <w:rsid w:val="0034497F"/>
    <w:rsid w:val="00344D3F"/>
    <w:rsid w:val="0034504D"/>
    <w:rsid w:val="00345174"/>
    <w:rsid w:val="0034562A"/>
    <w:rsid w:val="003478A8"/>
    <w:rsid w:val="00351ABE"/>
    <w:rsid w:val="00351DAD"/>
    <w:rsid w:val="0035483B"/>
    <w:rsid w:val="0035620E"/>
    <w:rsid w:val="00356561"/>
    <w:rsid w:val="0035765D"/>
    <w:rsid w:val="00360482"/>
    <w:rsid w:val="00360CDE"/>
    <w:rsid w:val="003625AF"/>
    <w:rsid w:val="00363176"/>
    <w:rsid w:val="00363AF6"/>
    <w:rsid w:val="0036420B"/>
    <w:rsid w:val="00365175"/>
    <w:rsid w:val="00366FCA"/>
    <w:rsid w:val="003675BA"/>
    <w:rsid w:val="00371330"/>
    <w:rsid w:val="00373067"/>
    <w:rsid w:val="00373624"/>
    <w:rsid w:val="00374643"/>
    <w:rsid w:val="00374E61"/>
    <w:rsid w:val="0037554E"/>
    <w:rsid w:val="003759CE"/>
    <w:rsid w:val="00375AFE"/>
    <w:rsid w:val="003800C7"/>
    <w:rsid w:val="00380246"/>
    <w:rsid w:val="0038038C"/>
    <w:rsid w:val="00380DBE"/>
    <w:rsid w:val="003810F0"/>
    <w:rsid w:val="0038181B"/>
    <w:rsid w:val="003822A8"/>
    <w:rsid w:val="00382632"/>
    <w:rsid w:val="00383151"/>
    <w:rsid w:val="00383223"/>
    <w:rsid w:val="00384D3F"/>
    <w:rsid w:val="003861AB"/>
    <w:rsid w:val="0038622A"/>
    <w:rsid w:val="00386A92"/>
    <w:rsid w:val="00387B03"/>
    <w:rsid w:val="00387C8A"/>
    <w:rsid w:val="0039036E"/>
    <w:rsid w:val="00391D6F"/>
    <w:rsid w:val="00392C0A"/>
    <w:rsid w:val="0039497C"/>
    <w:rsid w:val="00395A18"/>
    <w:rsid w:val="0039632A"/>
    <w:rsid w:val="00396CFB"/>
    <w:rsid w:val="003A15AE"/>
    <w:rsid w:val="003A1E5E"/>
    <w:rsid w:val="003A1F58"/>
    <w:rsid w:val="003A20DA"/>
    <w:rsid w:val="003A2119"/>
    <w:rsid w:val="003A4F3E"/>
    <w:rsid w:val="003A53CD"/>
    <w:rsid w:val="003A6DB0"/>
    <w:rsid w:val="003A79DB"/>
    <w:rsid w:val="003B022E"/>
    <w:rsid w:val="003B2977"/>
    <w:rsid w:val="003B2E71"/>
    <w:rsid w:val="003B3314"/>
    <w:rsid w:val="003B3D85"/>
    <w:rsid w:val="003B3DD0"/>
    <w:rsid w:val="003B4F00"/>
    <w:rsid w:val="003B572B"/>
    <w:rsid w:val="003B5B99"/>
    <w:rsid w:val="003B7931"/>
    <w:rsid w:val="003C24E4"/>
    <w:rsid w:val="003C25AC"/>
    <w:rsid w:val="003C45C1"/>
    <w:rsid w:val="003C553A"/>
    <w:rsid w:val="003C5C8B"/>
    <w:rsid w:val="003C664A"/>
    <w:rsid w:val="003C6ED7"/>
    <w:rsid w:val="003C70C3"/>
    <w:rsid w:val="003D0C21"/>
    <w:rsid w:val="003D2098"/>
    <w:rsid w:val="003D248B"/>
    <w:rsid w:val="003D2F9B"/>
    <w:rsid w:val="003D4ED4"/>
    <w:rsid w:val="003D53B8"/>
    <w:rsid w:val="003D5D7B"/>
    <w:rsid w:val="003D6D33"/>
    <w:rsid w:val="003D750D"/>
    <w:rsid w:val="003E01A1"/>
    <w:rsid w:val="003E1251"/>
    <w:rsid w:val="003E2170"/>
    <w:rsid w:val="003E375A"/>
    <w:rsid w:val="003E4294"/>
    <w:rsid w:val="003E4B5E"/>
    <w:rsid w:val="003E6165"/>
    <w:rsid w:val="003E6A8F"/>
    <w:rsid w:val="003E6E8B"/>
    <w:rsid w:val="003E7A6E"/>
    <w:rsid w:val="003E7AEA"/>
    <w:rsid w:val="003F0994"/>
    <w:rsid w:val="003F0FB1"/>
    <w:rsid w:val="003F2C9D"/>
    <w:rsid w:val="003F2E2D"/>
    <w:rsid w:val="003F46FA"/>
    <w:rsid w:val="003F6C61"/>
    <w:rsid w:val="003F6DCA"/>
    <w:rsid w:val="003F7844"/>
    <w:rsid w:val="003F78C1"/>
    <w:rsid w:val="003F7A1E"/>
    <w:rsid w:val="004007AC"/>
    <w:rsid w:val="00401516"/>
    <w:rsid w:val="00401AD3"/>
    <w:rsid w:val="00401DF0"/>
    <w:rsid w:val="0040227E"/>
    <w:rsid w:val="00403973"/>
    <w:rsid w:val="00403ADC"/>
    <w:rsid w:val="0040424A"/>
    <w:rsid w:val="004103CD"/>
    <w:rsid w:val="00410A18"/>
    <w:rsid w:val="00410CBE"/>
    <w:rsid w:val="004119E8"/>
    <w:rsid w:val="00411E44"/>
    <w:rsid w:val="004134D7"/>
    <w:rsid w:val="004138A5"/>
    <w:rsid w:val="00414885"/>
    <w:rsid w:val="004148C0"/>
    <w:rsid w:val="00414F98"/>
    <w:rsid w:val="0041560D"/>
    <w:rsid w:val="00416112"/>
    <w:rsid w:val="00422070"/>
    <w:rsid w:val="0042395F"/>
    <w:rsid w:val="0042484F"/>
    <w:rsid w:val="0042568D"/>
    <w:rsid w:val="00425EE1"/>
    <w:rsid w:val="00426918"/>
    <w:rsid w:val="0042694A"/>
    <w:rsid w:val="00430741"/>
    <w:rsid w:val="00431115"/>
    <w:rsid w:val="00431F6C"/>
    <w:rsid w:val="00435253"/>
    <w:rsid w:val="004359BB"/>
    <w:rsid w:val="004371EA"/>
    <w:rsid w:val="00440DF1"/>
    <w:rsid w:val="004419F6"/>
    <w:rsid w:val="00443054"/>
    <w:rsid w:val="00443D46"/>
    <w:rsid w:val="00446455"/>
    <w:rsid w:val="0045049B"/>
    <w:rsid w:val="00451D3D"/>
    <w:rsid w:val="00451DA6"/>
    <w:rsid w:val="004526C0"/>
    <w:rsid w:val="00454277"/>
    <w:rsid w:val="0045498C"/>
    <w:rsid w:val="00454FE1"/>
    <w:rsid w:val="004567BE"/>
    <w:rsid w:val="00456A58"/>
    <w:rsid w:val="00456AB3"/>
    <w:rsid w:val="00456C45"/>
    <w:rsid w:val="00457149"/>
    <w:rsid w:val="0046047E"/>
    <w:rsid w:val="00461399"/>
    <w:rsid w:val="00464590"/>
    <w:rsid w:val="00464C75"/>
    <w:rsid w:val="00465602"/>
    <w:rsid w:val="004658D1"/>
    <w:rsid w:val="00466B8D"/>
    <w:rsid w:val="00470070"/>
    <w:rsid w:val="00470794"/>
    <w:rsid w:val="00471DCC"/>
    <w:rsid w:val="004729E0"/>
    <w:rsid w:val="00473850"/>
    <w:rsid w:val="00473A4D"/>
    <w:rsid w:val="00473DD7"/>
    <w:rsid w:val="00473E98"/>
    <w:rsid w:val="004740E8"/>
    <w:rsid w:val="00474125"/>
    <w:rsid w:val="004745DA"/>
    <w:rsid w:val="00474896"/>
    <w:rsid w:val="00475E79"/>
    <w:rsid w:val="00476C08"/>
    <w:rsid w:val="0047789A"/>
    <w:rsid w:val="00480BEA"/>
    <w:rsid w:val="004811CE"/>
    <w:rsid w:val="00483334"/>
    <w:rsid w:val="004834B7"/>
    <w:rsid w:val="00483779"/>
    <w:rsid w:val="0048380E"/>
    <w:rsid w:val="00486665"/>
    <w:rsid w:val="0048668C"/>
    <w:rsid w:val="00486971"/>
    <w:rsid w:val="00486BE3"/>
    <w:rsid w:val="00487D91"/>
    <w:rsid w:val="00490395"/>
    <w:rsid w:val="0049137F"/>
    <w:rsid w:val="00491ECF"/>
    <w:rsid w:val="00492379"/>
    <w:rsid w:val="004923EB"/>
    <w:rsid w:val="0049240B"/>
    <w:rsid w:val="0049342D"/>
    <w:rsid w:val="0049420B"/>
    <w:rsid w:val="0049474F"/>
    <w:rsid w:val="004954D4"/>
    <w:rsid w:val="00496760"/>
    <w:rsid w:val="004970F4"/>
    <w:rsid w:val="00497316"/>
    <w:rsid w:val="00497C0D"/>
    <w:rsid w:val="00497CF7"/>
    <w:rsid w:val="00497F87"/>
    <w:rsid w:val="004A17E0"/>
    <w:rsid w:val="004A57F6"/>
    <w:rsid w:val="004A5A2F"/>
    <w:rsid w:val="004A613F"/>
    <w:rsid w:val="004B0D97"/>
    <w:rsid w:val="004B106A"/>
    <w:rsid w:val="004B31ED"/>
    <w:rsid w:val="004B394F"/>
    <w:rsid w:val="004B3D81"/>
    <w:rsid w:val="004B6656"/>
    <w:rsid w:val="004B6DCE"/>
    <w:rsid w:val="004C0564"/>
    <w:rsid w:val="004C1432"/>
    <w:rsid w:val="004C3ECD"/>
    <w:rsid w:val="004C4576"/>
    <w:rsid w:val="004C5E86"/>
    <w:rsid w:val="004C641B"/>
    <w:rsid w:val="004C7081"/>
    <w:rsid w:val="004C7EFC"/>
    <w:rsid w:val="004D0505"/>
    <w:rsid w:val="004D05C8"/>
    <w:rsid w:val="004D0B18"/>
    <w:rsid w:val="004D0DD0"/>
    <w:rsid w:val="004D194A"/>
    <w:rsid w:val="004D1F48"/>
    <w:rsid w:val="004D2808"/>
    <w:rsid w:val="004D4A2C"/>
    <w:rsid w:val="004D7611"/>
    <w:rsid w:val="004E11D8"/>
    <w:rsid w:val="004E22AA"/>
    <w:rsid w:val="004E3225"/>
    <w:rsid w:val="004E40FD"/>
    <w:rsid w:val="004E4C79"/>
    <w:rsid w:val="004E505A"/>
    <w:rsid w:val="004E577B"/>
    <w:rsid w:val="004E58BC"/>
    <w:rsid w:val="004E6043"/>
    <w:rsid w:val="004E72DE"/>
    <w:rsid w:val="004E7417"/>
    <w:rsid w:val="004E7689"/>
    <w:rsid w:val="004F4B9A"/>
    <w:rsid w:val="004F4D6A"/>
    <w:rsid w:val="004F5900"/>
    <w:rsid w:val="004F5FF4"/>
    <w:rsid w:val="004F706D"/>
    <w:rsid w:val="004F7483"/>
    <w:rsid w:val="004F7758"/>
    <w:rsid w:val="0050077F"/>
    <w:rsid w:val="00500DEF"/>
    <w:rsid w:val="00501725"/>
    <w:rsid w:val="00501CB0"/>
    <w:rsid w:val="00502D50"/>
    <w:rsid w:val="00510256"/>
    <w:rsid w:val="0051107A"/>
    <w:rsid w:val="00511BBB"/>
    <w:rsid w:val="00512339"/>
    <w:rsid w:val="005128CD"/>
    <w:rsid w:val="005129C3"/>
    <w:rsid w:val="005133E4"/>
    <w:rsid w:val="00513906"/>
    <w:rsid w:val="00513BF3"/>
    <w:rsid w:val="0051489E"/>
    <w:rsid w:val="00514AFF"/>
    <w:rsid w:val="00516517"/>
    <w:rsid w:val="005175EF"/>
    <w:rsid w:val="0051789D"/>
    <w:rsid w:val="005179A1"/>
    <w:rsid w:val="00520B5C"/>
    <w:rsid w:val="00521191"/>
    <w:rsid w:val="005218C3"/>
    <w:rsid w:val="00521951"/>
    <w:rsid w:val="00522159"/>
    <w:rsid w:val="0052483D"/>
    <w:rsid w:val="00525623"/>
    <w:rsid w:val="0052604A"/>
    <w:rsid w:val="00527C92"/>
    <w:rsid w:val="00531978"/>
    <w:rsid w:val="005353EA"/>
    <w:rsid w:val="005367D5"/>
    <w:rsid w:val="00536FF5"/>
    <w:rsid w:val="00537E35"/>
    <w:rsid w:val="00540A1E"/>
    <w:rsid w:val="00540D4C"/>
    <w:rsid w:val="00541BE6"/>
    <w:rsid w:val="00542FFC"/>
    <w:rsid w:val="00543D20"/>
    <w:rsid w:val="00543F37"/>
    <w:rsid w:val="00545AD4"/>
    <w:rsid w:val="005461C0"/>
    <w:rsid w:val="00547B1C"/>
    <w:rsid w:val="005504BC"/>
    <w:rsid w:val="00551791"/>
    <w:rsid w:val="00552EB3"/>
    <w:rsid w:val="00553566"/>
    <w:rsid w:val="00553AA5"/>
    <w:rsid w:val="00554025"/>
    <w:rsid w:val="005543E0"/>
    <w:rsid w:val="00555259"/>
    <w:rsid w:val="005556B2"/>
    <w:rsid w:val="00560125"/>
    <w:rsid w:val="00561459"/>
    <w:rsid w:val="00561B12"/>
    <w:rsid w:val="0056204C"/>
    <w:rsid w:val="00562433"/>
    <w:rsid w:val="00562F0E"/>
    <w:rsid w:val="005647C8"/>
    <w:rsid w:val="00565D72"/>
    <w:rsid w:val="00565F80"/>
    <w:rsid w:val="005660FD"/>
    <w:rsid w:val="005672B5"/>
    <w:rsid w:val="005700FC"/>
    <w:rsid w:val="00571660"/>
    <w:rsid w:val="0057283B"/>
    <w:rsid w:val="00575B51"/>
    <w:rsid w:val="00576178"/>
    <w:rsid w:val="0057789C"/>
    <w:rsid w:val="005819C5"/>
    <w:rsid w:val="005824E9"/>
    <w:rsid w:val="005837BD"/>
    <w:rsid w:val="0058464C"/>
    <w:rsid w:val="00584756"/>
    <w:rsid w:val="005860FD"/>
    <w:rsid w:val="00587EE4"/>
    <w:rsid w:val="00590091"/>
    <w:rsid w:val="0059044C"/>
    <w:rsid w:val="0059072C"/>
    <w:rsid w:val="005915D6"/>
    <w:rsid w:val="00591A40"/>
    <w:rsid w:val="00591F96"/>
    <w:rsid w:val="00594F37"/>
    <w:rsid w:val="00597288"/>
    <w:rsid w:val="00597441"/>
    <w:rsid w:val="005974B2"/>
    <w:rsid w:val="005A0888"/>
    <w:rsid w:val="005A1AFE"/>
    <w:rsid w:val="005A2F63"/>
    <w:rsid w:val="005A2F6F"/>
    <w:rsid w:val="005A573D"/>
    <w:rsid w:val="005A59F4"/>
    <w:rsid w:val="005A5B9A"/>
    <w:rsid w:val="005A5C27"/>
    <w:rsid w:val="005A5DAC"/>
    <w:rsid w:val="005A5EEE"/>
    <w:rsid w:val="005A6B9B"/>
    <w:rsid w:val="005A7708"/>
    <w:rsid w:val="005B0F17"/>
    <w:rsid w:val="005B368D"/>
    <w:rsid w:val="005B3E85"/>
    <w:rsid w:val="005B50B8"/>
    <w:rsid w:val="005B5A14"/>
    <w:rsid w:val="005B5B2D"/>
    <w:rsid w:val="005B5BFC"/>
    <w:rsid w:val="005B7C09"/>
    <w:rsid w:val="005C138B"/>
    <w:rsid w:val="005C1BFC"/>
    <w:rsid w:val="005C3F96"/>
    <w:rsid w:val="005C489D"/>
    <w:rsid w:val="005C59CE"/>
    <w:rsid w:val="005C5F99"/>
    <w:rsid w:val="005C6529"/>
    <w:rsid w:val="005C794D"/>
    <w:rsid w:val="005D027D"/>
    <w:rsid w:val="005D1B1B"/>
    <w:rsid w:val="005D1F76"/>
    <w:rsid w:val="005D1FFE"/>
    <w:rsid w:val="005D25EC"/>
    <w:rsid w:val="005D2ABC"/>
    <w:rsid w:val="005D2D13"/>
    <w:rsid w:val="005D423F"/>
    <w:rsid w:val="005D5383"/>
    <w:rsid w:val="005D54CA"/>
    <w:rsid w:val="005D5717"/>
    <w:rsid w:val="005D5CD7"/>
    <w:rsid w:val="005D6827"/>
    <w:rsid w:val="005D7D4E"/>
    <w:rsid w:val="005D7FB3"/>
    <w:rsid w:val="005E038B"/>
    <w:rsid w:val="005E1543"/>
    <w:rsid w:val="005E18EB"/>
    <w:rsid w:val="005E1D1F"/>
    <w:rsid w:val="005E20BF"/>
    <w:rsid w:val="005E212F"/>
    <w:rsid w:val="005E2179"/>
    <w:rsid w:val="005E2647"/>
    <w:rsid w:val="005E28CB"/>
    <w:rsid w:val="005E3EFB"/>
    <w:rsid w:val="005E56E6"/>
    <w:rsid w:val="005E61ED"/>
    <w:rsid w:val="005E7FC7"/>
    <w:rsid w:val="005F128A"/>
    <w:rsid w:val="005F1373"/>
    <w:rsid w:val="005F4085"/>
    <w:rsid w:val="005F70AA"/>
    <w:rsid w:val="005F77E4"/>
    <w:rsid w:val="00600B02"/>
    <w:rsid w:val="00600D22"/>
    <w:rsid w:val="00601444"/>
    <w:rsid w:val="0060172E"/>
    <w:rsid w:val="006025A4"/>
    <w:rsid w:val="00602EF3"/>
    <w:rsid w:val="006036FD"/>
    <w:rsid w:val="006049B0"/>
    <w:rsid w:val="006100C1"/>
    <w:rsid w:val="006109F6"/>
    <w:rsid w:val="0061177B"/>
    <w:rsid w:val="006124DB"/>
    <w:rsid w:val="0061276B"/>
    <w:rsid w:val="0061362E"/>
    <w:rsid w:val="00615341"/>
    <w:rsid w:val="00616003"/>
    <w:rsid w:val="006160BF"/>
    <w:rsid w:val="0061616D"/>
    <w:rsid w:val="006163AE"/>
    <w:rsid w:val="00616ADA"/>
    <w:rsid w:val="006175A7"/>
    <w:rsid w:val="006220FA"/>
    <w:rsid w:val="006239C7"/>
    <w:rsid w:val="00623BE6"/>
    <w:rsid w:val="0062454B"/>
    <w:rsid w:val="006252C6"/>
    <w:rsid w:val="0062576C"/>
    <w:rsid w:val="00626033"/>
    <w:rsid w:val="00630505"/>
    <w:rsid w:val="00630922"/>
    <w:rsid w:val="00630E11"/>
    <w:rsid w:val="00631143"/>
    <w:rsid w:val="00631459"/>
    <w:rsid w:val="00631C17"/>
    <w:rsid w:val="0063248E"/>
    <w:rsid w:val="006324CB"/>
    <w:rsid w:val="00632CF0"/>
    <w:rsid w:val="00632E7D"/>
    <w:rsid w:val="006331B0"/>
    <w:rsid w:val="00633C61"/>
    <w:rsid w:val="0063415D"/>
    <w:rsid w:val="006343FD"/>
    <w:rsid w:val="00634539"/>
    <w:rsid w:val="006345B2"/>
    <w:rsid w:val="006360DB"/>
    <w:rsid w:val="00636B85"/>
    <w:rsid w:val="006375CA"/>
    <w:rsid w:val="00643DC9"/>
    <w:rsid w:val="006460B8"/>
    <w:rsid w:val="0064646B"/>
    <w:rsid w:val="006479EF"/>
    <w:rsid w:val="006514A3"/>
    <w:rsid w:val="006529AA"/>
    <w:rsid w:val="00654707"/>
    <w:rsid w:val="0065591D"/>
    <w:rsid w:val="0066010E"/>
    <w:rsid w:val="00660D00"/>
    <w:rsid w:val="00660DEC"/>
    <w:rsid w:val="0066100E"/>
    <w:rsid w:val="0066438B"/>
    <w:rsid w:val="00664D23"/>
    <w:rsid w:val="0066658E"/>
    <w:rsid w:val="006668D8"/>
    <w:rsid w:val="00666D5A"/>
    <w:rsid w:val="006672E3"/>
    <w:rsid w:val="00667656"/>
    <w:rsid w:val="00670051"/>
    <w:rsid w:val="00670523"/>
    <w:rsid w:val="00670587"/>
    <w:rsid w:val="00672D7A"/>
    <w:rsid w:val="00672E10"/>
    <w:rsid w:val="0067373D"/>
    <w:rsid w:val="0067419C"/>
    <w:rsid w:val="00675794"/>
    <w:rsid w:val="006765F9"/>
    <w:rsid w:val="00680333"/>
    <w:rsid w:val="00680E08"/>
    <w:rsid w:val="00681DA9"/>
    <w:rsid w:val="00683C7D"/>
    <w:rsid w:val="006856D8"/>
    <w:rsid w:val="00686D1E"/>
    <w:rsid w:val="00686E4E"/>
    <w:rsid w:val="00687F36"/>
    <w:rsid w:val="00690C0D"/>
    <w:rsid w:val="006915C5"/>
    <w:rsid w:val="00692151"/>
    <w:rsid w:val="00692678"/>
    <w:rsid w:val="00692B5D"/>
    <w:rsid w:val="00693E90"/>
    <w:rsid w:val="00694365"/>
    <w:rsid w:val="0069437A"/>
    <w:rsid w:val="00695011"/>
    <w:rsid w:val="00696E76"/>
    <w:rsid w:val="00697198"/>
    <w:rsid w:val="00697AE2"/>
    <w:rsid w:val="006A01D7"/>
    <w:rsid w:val="006A424B"/>
    <w:rsid w:val="006A6904"/>
    <w:rsid w:val="006A6EF2"/>
    <w:rsid w:val="006A7B6C"/>
    <w:rsid w:val="006B01BB"/>
    <w:rsid w:val="006B07DF"/>
    <w:rsid w:val="006B16CD"/>
    <w:rsid w:val="006B22CB"/>
    <w:rsid w:val="006B2C36"/>
    <w:rsid w:val="006B4C20"/>
    <w:rsid w:val="006B5FC7"/>
    <w:rsid w:val="006B664F"/>
    <w:rsid w:val="006B72DC"/>
    <w:rsid w:val="006C0489"/>
    <w:rsid w:val="006C0DF1"/>
    <w:rsid w:val="006C19FF"/>
    <w:rsid w:val="006C4152"/>
    <w:rsid w:val="006C4B0D"/>
    <w:rsid w:val="006C5C95"/>
    <w:rsid w:val="006C68B2"/>
    <w:rsid w:val="006C70ED"/>
    <w:rsid w:val="006D045D"/>
    <w:rsid w:val="006D05F8"/>
    <w:rsid w:val="006D219A"/>
    <w:rsid w:val="006D2FCF"/>
    <w:rsid w:val="006D3126"/>
    <w:rsid w:val="006D3407"/>
    <w:rsid w:val="006D34ED"/>
    <w:rsid w:val="006D44D3"/>
    <w:rsid w:val="006D49F8"/>
    <w:rsid w:val="006D526E"/>
    <w:rsid w:val="006D52C6"/>
    <w:rsid w:val="006D64A8"/>
    <w:rsid w:val="006D68FE"/>
    <w:rsid w:val="006D6F0C"/>
    <w:rsid w:val="006E02C8"/>
    <w:rsid w:val="006E0832"/>
    <w:rsid w:val="006E11C5"/>
    <w:rsid w:val="006E2139"/>
    <w:rsid w:val="006E2E96"/>
    <w:rsid w:val="006E31DC"/>
    <w:rsid w:val="006E3730"/>
    <w:rsid w:val="006E4ADC"/>
    <w:rsid w:val="006E5B1C"/>
    <w:rsid w:val="006E6CC3"/>
    <w:rsid w:val="006F01DD"/>
    <w:rsid w:val="006F10FB"/>
    <w:rsid w:val="006F1799"/>
    <w:rsid w:val="006F1912"/>
    <w:rsid w:val="006F22ED"/>
    <w:rsid w:val="006F2309"/>
    <w:rsid w:val="006F3F20"/>
    <w:rsid w:val="006F480A"/>
    <w:rsid w:val="006F4D78"/>
    <w:rsid w:val="006F511E"/>
    <w:rsid w:val="006F5904"/>
    <w:rsid w:val="006F5CBA"/>
    <w:rsid w:val="006F5D72"/>
    <w:rsid w:val="006F73AE"/>
    <w:rsid w:val="00700807"/>
    <w:rsid w:val="00702538"/>
    <w:rsid w:val="007025D9"/>
    <w:rsid w:val="0070369D"/>
    <w:rsid w:val="00704431"/>
    <w:rsid w:val="007052B7"/>
    <w:rsid w:val="00705A09"/>
    <w:rsid w:val="00706EF7"/>
    <w:rsid w:val="00710360"/>
    <w:rsid w:val="00714CC3"/>
    <w:rsid w:val="00716505"/>
    <w:rsid w:val="0072002A"/>
    <w:rsid w:val="0072015A"/>
    <w:rsid w:val="00720230"/>
    <w:rsid w:val="00720865"/>
    <w:rsid w:val="00723121"/>
    <w:rsid w:val="007232E0"/>
    <w:rsid w:val="007249B2"/>
    <w:rsid w:val="00724A9A"/>
    <w:rsid w:val="00725BBB"/>
    <w:rsid w:val="007270F4"/>
    <w:rsid w:val="00731276"/>
    <w:rsid w:val="007324F0"/>
    <w:rsid w:val="00733729"/>
    <w:rsid w:val="00733D36"/>
    <w:rsid w:val="007340FB"/>
    <w:rsid w:val="00737B21"/>
    <w:rsid w:val="007408CB"/>
    <w:rsid w:val="00740F2A"/>
    <w:rsid w:val="007430DD"/>
    <w:rsid w:val="0074312B"/>
    <w:rsid w:val="007443F6"/>
    <w:rsid w:val="007453B6"/>
    <w:rsid w:val="007458FA"/>
    <w:rsid w:val="00746476"/>
    <w:rsid w:val="007467DE"/>
    <w:rsid w:val="00747710"/>
    <w:rsid w:val="00747E84"/>
    <w:rsid w:val="00750ADF"/>
    <w:rsid w:val="00753357"/>
    <w:rsid w:val="00755256"/>
    <w:rsid w:val="007552CC"/>
    <w:rsid w:val="00755907"/>
    <w:rsid w:val="007562DA"/>
    <w:rsid w:val="0075756B"/>
    <w:rsid w:val="00757C70"/>
    <w:rsid w:val="0076059A"/>
    <w:rsid w:val="007627D2"/>
    <w:rsid w:val="00762C7C"/>
    <w:rsid w:val="00762FBE"/>
    <w:rsid w:val="007634A9"/>
    <w:rsid w:val="0076356B"/>
    <w:rsid w:val="007651EA"/>
    <w:rsid w:val="007664E4"/>
    <w:rsid w:val="00766A7A"/>
    <w:rsid w:val="00771BAB"/>
    <w:rsid w:val="00771C54"/>
    <w:rsid w:val="007740BD"/>
    <w:rsid w:val="007747BE"/>
    <w:rsid w:val="00775886"/>
    <w:rsid w:val="007768DF"/>
    <w:rsid w:val="007768FB"/>
    <w:rsid w:val="00776F76"/>
    <w:rsid w:val="00776F99"/>
    <w:rsid w:val="00777C67"/>
    <w:rsid w:val="007802AD"/>
    <w:rsid w:val="0078047F"/>
    <w:rsid w:val="00780E29"/>
    <w:rsid w:val="00781203"/>
    <w:rsid w:val="00781312"/>
    <w:rsid w:val="00781F73"/>
    <w:rsid w:val="00782FF3"/>
    <w:rsid w:val="00783189"/>
    <w:rsid w:val="007845E1"/>
    <w:rsid w:val="00784ACA"/>
    <w:rsid w:val="00784C55"/>
    <w:rsid w:val="00785927"/>
    <w:rsid w:val="00785982"/>
    <w:rsid w:val="00785B2E"/>
    <w:rsid w:val="00787686"/>
    <w:rsid w:val="00787E50"/>
    <w:rsid w:val="007900DC"/>
    <w:rsid w:val="0079063F"/>
    <w:rsid w:val="00793D9F"/>
    <w:rsid w:val="00795EF2"/>
    <w:rsid w:val="007968B8"/>
    <w:rsid w:val="00796B1B"/>
    <w:rsid w:val="007A0B2C"/>
    <w:rsid w:val="007A0FEC"/>
    <w:rsid w:val="007A12C9"/>
    <w:rsid w:val="007A17BB"/>
    <w:rsid w:val="007A272C"/>
    <w:rsid w:val="007A2B3E"/>
    <w:rsid w:val="007A2EE6"/>
    <w:rsid w:val="007A584C"/>
    <w:rsid w:val="007A6EEF"/>
    <w:rsid w:val="007A71AC"/>
    <w:rsid w:val="007A7AF1"/>
    <w:rsid w:val="007B0F99"/>
    <w:rsid w:val="007B18D0"/>
    <w:rsid w:val="007B1F3E"/>
    <w:rsid w:val="007B21AB"/>
    <w:rsid w:val="007B2E9D"/>
    <w:rsid w:val="007B5E8E"/>
    <w:rsid w:val="007B6843"/>
    <w:rsid w:val="007C0A36"/>
    <w:rsid w:val="007C0B6B"/>
    <w:rsid w:val="007C0D75"/>
    <w:rsid w:val="007C126B"/>
    <w:rsid w:val="007C13B8"/>
    <w:rsid w:val="007C2617"/>
    <w:rsid w:val="007C2FE3"/>
    <w:rsid w:val="007C3072"/>
    <w:rsid w:val="007C38C6"/>
    <w:rsid w:val="007C4D6B"/>
    <w:rsid w:val="007C4FEE"/>
    <w:rsid w:val="007C68B5"/>
    <w:rsid w:val="007C79A2"/>
    <w:rsid w:val="007D1457"/>
    <w:rsid w:val="007D1D5D"/>
    <w:rsid w:val="007D2511"/>
    <w:rsid w:val="007D354A"/>
    <w:rsid w:val="007D41D8"/>
    <w:rsid w:val="007D4C70"/>
    <w:rsid w:val="007D4FDA"/>
    <w:rsid w:val="007D5AD8"/>
    <w:rsid w:val="007D604E"/>
    <w:rsid w:val="007D6269"/>
    <w:rsid w:val="007D62F3"/>
    <w:rsid w:val="007D6425"/>
    <w:rsid w:val="007D7696"/>
    <w:rsid w:val="007E01D5"/>
    <w:rsid w:val="007E120E"/>
    <w:rsid w:val="007E22C2"/>
    <w:rsid w:val="007E48CF"/>
    <w:rsid w:val="007E7196"/>
    <w:rsid w:val="007F00FF"/>
    <w:rsid w:val="007F035B"/>
    <w:rsid w:val="007F1946"/>
    <w:rsid w:val="007F2D88"/>
    <w:rsid w:val="007F31B2"/>
    <w:rsid w:val="007F34B6"/>
    <w:rsid w:val="007F352D"/>
    <w:rsid w:val="007F446E"/>
    <w:rsid w:val="007F497E"/>
    <w:rsid w:val="007F549E"/>
    <w:rsid w:val="007F607A"/>
    <w:rsid w:val="007F6FB1"/>
    <w:rsid w:val="007F71DF"/>
    <w:rsid w:val="0080076A"/>
    <w:rsid w:val="00801EB3"/>
    <w:rsid w:val="00803052"/>
    <w:rsid w:val="008033C2"/>
    <w:rsid w:val="0080342B"/>
    <w:rsid w:val="00803AF3"/>
    <w:rsid w:val="00803DB8"/>
    <w:rsid w:val="00804AA4"/>
    <w:rsid w:val="00805FBE"/>
    <w:rsid w:val="00806A19"/>
    <w:rsid w:val="00806A3A"/>
    <w:rsid w:val="00810570"/>
    <w:rsid w:val="00812232"/>
    <w:rsid w:val="00812AA1"/>
    <w:rsid w:val="008131FA"/>
    <w:rsid w:val="008133C0"/>
    <w:rsid w:val="00814A3A"/>
    <w:rsid w:val="0081596E"/>
    <w:rsid w:val="00815A3E"/>
    <w:rsid w:val="008164E8"/>
    <w:rsid w:val="008177EE"/>
    <w:rsid w:val="00820BED"/>
    <w:rsid w:val="00821692"/>
    <w:rsid w:val="00821B54"/>
    <w:rsid w:val="00822091"/>
    <w:rsid w:val="00822306"/>
    <w:rsid w:val="0082265C"/>
    <w:rsid w:val="00822725"/>
    <w:rsid w:val="00822A6D"/>
    <w:rsid w:val="00823311"/>
    <w:rsid w:val="00823C69"/>
    <w:rsid w:val="008246E3"/>
    <w:rsid w:val="008259CF"/>
    <w:rsid w:val="00825E35"/>
    <w:rsid w:val="0082711E"/>
    <w:rsid w:val="00827686"/>
    <w:rsid w:val="00827EC4"/>
    <w:rsid w:val="00830CC4"/>
    <w:rsid w:val="0083168B"/>
    <w:rsid w:val="00831D33"/>
    <w:rsid w:val="00832197"/>
    <w:rsid w:val="00832D88"/>
    <w:rsid w:val="00832F6E"/>
    <w:rsid w:val="0083338D"/>
    <w:rsid w:val="00833722"/>
    <w:rsid w:val="00833FB6"/>
    <w:rsid w:val="00834BC3"/>
    <w:rsid w:val="0083502A"/>
    <w:rsid w:val="00842FE7"/>
    <w:rsid w:val="00844277"/>
    <w:rsid w:val="00844434"/>
    <w:rsid w:val="00844F3B"/>
    <w:rsid w:val="008455EF"/>
    <w:rsid w:val="00845891"/>
    <w:rsid w:val="0084695A"/>
    <w:rsid w:val="00850E16"/>
    <w:rsid w:val="00852018"/>
    <w:rsid w:val="00852226"/>
    <w:rsid w:val="008543E8"/>
    <w:rsid w:val="00856121"/>
    <w:rsid w:val="00860AF0"/>
    <w:rsid w:val="008618B2"/>
    <w:rsid w:val="008626CE"/>
    <w:rsid w:val="00862760"/>
    <w:rsid w:val="00867A25"/>
    <w:rsid w:val="008700BA"/>
    <w:rsid w:val="00873666"/>
    <w:rsid w:val="0087426E"/>
    <w:rsid w:val="00874736"/>
    <w:rsid w:val="008748B4"/>
    <w:rsid w:val="008751F6"/>
    <w:rsid w:val="00875CD5"/>
    <w:rsid w:val="00876854"/>
    <w:rsid w:val="00876986"/>
    <w:rsid w:val="008769F5"/>
    <w:rsid w:val="00876FCD"/>
    <w:rsid w:val="008804BC"/>
    <w:rsid w:val="00880D1A"/>
    <w:rsid w:val="00880D91"/>
    <w:rsid w:val="00881D81"/>
    <w:rsid w:val="00881E2C"/>
    <w:rsid w:val="00882F2B"/>
    <w:rsid w:val="00883566"/>
    <w:rsid w:val="008849FF"/>
    <w:rsid w:val="00884ED9"/>
    <w:rsid w:val="008859AC"/>
    <w:rsid w:val="008869C8"/>
    <w:rsid w:val="00886AC3"/>
    <w:rsid w:val="00892D3A"/>
    <w:rsid w:val="0089380D"/>
    <w:rsid w:val="00896574"/>
    <w:rsid w:val="008979C1"/>
    <w:rsid w:val="008A0025"/>
    <w:rsid w:val="008A2094"/>
    <w:rsid w:val="008A2249"/>
    <w:rsid w:val="008A337D"/>
    <w:rsid w:val="008A338C"/>
    <w:rsid w:val="008A37BA"/>
    <w:rsid w:val="008A4178"/>
    <w:rsid w:val="008A4E18"/>
    <w:rsid w:val="008A571F"/>
    <w:rsid w:val="008A64F4"/>
    <w:rsid w:val="008A674D"/>
    <w:rsid w:val="008A7269"/>
    <w:rsid w:val="008A78EC"/>
    <w:rsid w:val="008A7991"/>
    <w:rsid w:val="008A7C07"/>
    <w:rsid w:val="008B0E67"/>
    <w:rsid w:val="008B11C9"/>
    <w:rsid w:val="008B155F"/>
    <w:rsid w:val="008B1863"/>
    <w:rsid w:val="008B1BC6"/>
    <w:rsid w:val="008B50C1"/>
    <w:rsid w:val="008B6B71"/>
    <w:rsid w:val="008C0158"/>
    <w:rsid w:val="008C174F"/>
    <w:rsid w:val="008C3F3A"/>
    <w:rsid w:val="008C4902"/>
    <w:rsid w:val="008C5042"/>
    <w:rsid w:val="008C544B"/>
    <w:rsid w:val="008C5974"/>
    <w:rsid w:val="008D1581"/>
    <w:rsid w:val="008D1BAD"/>
    <w:rsid w:val="008D1C55"/>
    <w:rsid w:val="008D33E2"/>
    <w:rsid w:val="008D4019"/>
    <w:rsid w:val="008D51F3"/>
    <w:rsid w:val="008E051D"/>
    <w:rsid w:val="008E0F34"/>
    <w:rsid w:val="008E1E03"/>
    <w:rsid w:val="008E2B3B"/>
    <w:rsid w:val="008E4054"/>
    <w:rsid w:val="008E4A0D"/>
    <w:rsid w:val="008E6CDB"/>
    <w:rsid w:val="008E7142"/>
    <w:rsid w:val="008F093F"/>
    <w:rsid w:val="008F1B64"/>
    <w:rsid w:val="008F2199"/>
    <w:rsid w:val="008F2A12"/>
    <w:rsid w:val="008F431C"/>
    <w:rsid w:val="008F43B7"/>
    <w:rsid w:val="008F4901"/>
    <w:rsid w:val="008F5289"/>
    <w:rsid w:val="008F5430"/>
    <w:rsid w:val="008F6AD8"/>
    <w:rsid w:val="008F79E8"/>
    <w:rsid w:val="0090108A"/>
    <w:rsid w:val="00901219"/>
    <w:rsid w:val="00901BA6"/>
    <w:rsid w:val="009042CC"/>
    <w:rsid w:val="00904571"/>
    <w:rsid w:val="00906134"/>
    <w:rsid w:val="009068D1"/>
    <w:rsid w:val="00907160"/>
    <w:rsid w:val="009076A8"/>
    <w:rsid w:val="00907EF2"/>
    <w:rsid w:val="00910D95"/>
    <w:rsid w:val="009127A4"/>
    <w:rsid w:val="00912AE9"/>
    <w:rsid w:val="00913D5F"/>
    <w:rsid w:val="00914A3B"/>
    <w:rsid w:val="009159B2"/>
    <w:rsid w:val="0091695C"/>
    <w:rsid w:val="00916A3B"/>
    <w:rsid w:val="009179D3"/>
    <w:rsid w:val="00917B96"/>
    <w:rsid w:val="00920BBD"/>
    <w:rsid w:val="00921D13"/>
    <w:rsid w:val="00925876"/>
    <w:rsid w:val="0092646E"/>
    <w:rsid w:val="009310B5"/>
    <w:rsid w:val="00931611"/>
    <w:rsid w:val="009329AE"/>
    <w:rsid w:val="00933C53"/>
    <w:rsid w:val="00934C83"/>
    <w:rsid w:val="009369AE"/>
    <w:rsid w:val="0094439D"/>
    <w:rsid w:val="00944AFA"/>
    <w:rsid w:val="00945650"/>
    <w:rsid w:val="00945FE2"/>
    <w:rsid w:val="0094621D"/>
    <w:rsid w:val="00950727"/>
    <w:rsid w:val="009508E4"/>
    <w:rsid w:val="00951FDB"/>
    <w:rsid w:val="009522DA"/>
    <w:rsid w:val="00953E02"/>
    <w:rsid w:val="00954323"/>
    <w:rsid w:val="00954BC2"/>
    <w:rsid w:val="009567B8"/>
    <w:rsid w:val="00957E7E"/>
    <w:rsid w:val="00960D34"/>
    <w:rsid w:val="009611D2"/>
    <w:rsid w:val="0096202E"/>
    <w:rsid w:val="009621A0"/>
    <w:rsid w:val="00962BC2"/>
    <w:rsid w:val="00963D5E"/>
    <w:rsid w:val="00964224"/>
    <w:rsid w:val="009659EB"/>
    <w:rsid w:val="0096696A"/>
    <w:rsid w:val="00967201"/>
    <w:rsid w:val="00967C74"/>
    <w:rsid w:val="00971FDA"/>
    <w:rsid w:val="009722A8"/>
    <w:rsid w:val="00972548"/>
    <w:rsid w:val="009728FF"/>
    <w:rsid w:val="00972DA2"/>
    <w:rsid w:val="00974888"/>
    <w:rsid w:val="00974B47"/>
    <w:rsid w:val="00974D53"/>
    <w:rsid w:val="00974D5D"/>
    <w:rsid w:val="009760C4"/>
    <w:rsid w:val="00976E27"/>
    <w:rsid w:val="009772A5"/>
    <w:rsid w:val="00977550"/>
    <w:rsid w:val="00980B5D"/>
    <w:rsid w:val="00981173"/>
    <w:rsid w:val="00981A75"/>
    <w:rsid w:val="00981F83"/>
    <w:rsid w:val="009841A8"/>
    <w:rsid w:val="009868BE"/>
    <w:rsid w:val="00986B64"/>
    <w:rsid w:val="00986EFA"/>
    <w:rsid w:val="009876A4"/>
    <w:rsid w:val="009917E9"/>
    <w:rsid w:val="00992416"/>
    <w:rsid w:val="00993789"/>
    <w:rsid w:val="00994B4C"/>
    <w:rsid w:val="00994F61"/>
    <w:rsid w:val="00995D2D"/>
    <w:rsid w:val="00996057"/>
    <w:rsid w:val="00996394"/>
    <w:rsid w:val="00996C89"/>
    <w:rsid w:val="00996CB7"/>
    <w:rsid w:val="00997609"/>
    <w:rsid w:val="00997784"/>
    <w:rsid w:val="009979B9"/>
    <w:rsid w:val="009A03C7"/>
    <w:rsid w:val="009A0703"/>
    <w:rsid w:val="009A1399"/>
    <w:rsid w:val="009A22FD"/>
    <w:rsid w:val="009A2ED6"/>
    <w:rsid w:val="009A31E7"/>
    <w:rsid w:val="009A546A"/>
    <w:rsid w:val="009A621C"/>
    <w:rsid w:val="009A6677"/>
    <w:rsid w:val="009A6C66"/>
    <w:rsid w:val="009A6EF9"/>
    <w:rsid w:val="009A7BBC"/>
    <w:rsid w:val="009B2A11"/>
    <w:rsid w:val="009B4ABB"/>
    <w:rsid w:val="009B5581"/>
    <w:rsid w:val="009B5940"/>
    <w:rsid w:val="009B5D4B"/>
    <w:rsid w:val="009B63ED"/>
    <w:rsid w:val="009B710D"/>
    <w:rsid w:val="009C3862"/>
    <w:rsid w:val="009C4171"/>
    <w:rsid w:val="009C475C"/>
    <w:rsid w:val="009C5878"/>
    <w:rsid w:val="009C60A5"/>
    <w:rsid w:val="009C757C"/>
    <w:rsid w:val="009C75C9"/>
    <w:rsid w:val="009D1492"/>
    <w:rsid w:val="009D169E"/>
    <w:rsid w:val="009D17E7"/>
    <w:rsid w:val="009D2602"/>
    <w:rsid w:val="009D3234"/>
    <w:rsid w:val="009D346D"/>
    <w:rsid w:val="009D41B7"/>
    <w:rsid w:val="009D4681"/>
    <w:rsid w:val="009D5CA7"/>
    <w:rsid w:val="009D65CD"/>
    <w:rsid w:val="009D6E2E"/>
    <w:rsid w:val="009D7298"/>
    <w:rsid w:val="009E03C7"/>
    <w:rsid w:val="009E12B5"/>
    <w:rsid w:val="009E3C1C"/>
    <w:rsid w:val="009E3F6F"/>
    <w:rsid w:val="009E6ACB"/>
    <w:rsid w:val="009F1043"/>
    <w:rsid w:val="009F2D78"/>
    <w:rsid w:val="009F36CA"/>
    <w:rsid w:val="009F4FE2"/>
    <w:rsid w:val="009F58F9"/>
    <w:rsid w:val="009F5BFE"/>
    <w:rsid w:val="009F6167"/>
    <w:rsid w:val="009F752A"/>
    <w:rsid w:val="00A003BE"/>
    <w:rsid w:val="00A00EE1"/>
    <w:rsid w:val="00A022AB"/>
    <w:rsid w:val="00A02B33"/>
    <w:rsid w:val="00A03435"/>
    <w:rsid w:val="00A03567"/>
    <w:rsid w:val="00A0385F"/>
    <w:rsid w:val="00A06C2D"/>
    <w:rsid w:val="00A0770B"/>
    <w:rsid w:val="00A079D0"/>
    <w:rsid w:val="00A11132"/>
    <w:rsid w:val="00A11756"/>
    <w:rsid w:val="00A11969"/>
    <w:rsid w:val="00A12DE8"/>
    <w:rsid w:val="00A153D4"/>
    <w:rsid w:val="00A157B9"/>
    <w:rsid w:val="00A158FB"/>
    <w:rsid w:val="00A1712E"/>
    <w:rsid w:val="00A17F2D"/>
    <w:rsid w:val="00A20667"/>
    <w:rsid w:val="00A22348"/>
    <w:rsid w:val="00A243D6"/>
    <w:rsid w:val="00A24C62"/>
    <w:rsid w:val="00A252F0"/>
    <w:rsid w:val="00A254EC"/>
    <w:rsid w:val="00A25F51"/>
    <w:rsid w:val="00A26182"/>
    <w:rsid w:val="00A30382"/>
    <w:rsid w:val="00A30CEC"/>
    <w:rsid w:val="00A3188E"/>
    <w:rsid w:val="00A32604"/>
    <w:rsid w:val="00A32EF3"/>
    <w:rsid w:val="00A33959"/>
    <w:rsid w:val="00A34B5B"/>
    <w:rsid w:val="00A35312"/>
    <w:rsid w:val="00A354C8"/>
    <w:rsid w:val="00A407E6"/>
    <w:rsid w:val="00A40E00"/>
    <w:rsid w:val="00A417AE"/>
    <w:rsid w:val="00A420C5"/>
    <w:rsid w:val="00A43345"/>
    <w:rsid w:val="00A447E6"/>
    <w:rsid w:val="00A463E3"/>
    <w:rsid w:val="00A4790E"/>
    <w:rsid w:val="00A50AD6"/>
    <w:rsid w:val="00A50D0F"/>
    <w:rsid w:val="00A50E2B"/>
    <w:rsid w:val="00A51495"/>
    <w:rsid w:val="00A54097"/>
    <w:rsid w:val="00A54DAA"/>
    <w:rsid w:val="00A57661"/>
    <w:rsid w:val="00A60E34"/>
    <w:rsid w:val="00A62074"/>
    <w:rsid w:val="00A62606"/>
    <w:rsid w:val="00A62EA7"/>
    <w:rsid w:val="00A6459E"/>
    <w:rsid w:val="00A64686"/>
    <w:rsid w:val="00A64CAE"/>
    <w:rsid w:val="00A6578C"/>
    <w:rsid w:val="00A6605D"/>
    <w:rsid w:val="00A71A0A"/>
    <w:rsid w:val="00A72227"/>
    <w:rsid w:val="00A72CC1"/>
    <w:rsid w:val="00A73E12"/>
    <w:rsid w:val="00A748F2"/>
    <w:rsid w:val="00A74939"/>
    <w:rsid w:val="00A76556"/>
    <w:rsid w:val="00A76AED"/>
    <w:rsid w:val="00A77B52"/>
    <w:rsid w:val="00A77BE7"/>
    <w:rsid w:val="00A80044"/>
    <w:rsid w:val="00A81845"/>
    <w:rsid w:val="00A8271D"/>
    <w:rsid w:val="00A82B34"/>
    <w:rsid w:val="00A83611"/>
    <w:rsid w:val="00A84B21"/>
    <w:rsid w:val="00A8580C"/>
    <w:rsid w:val="00A85A45"/>
    <w:rsid w:val="00A85F3E"/>
    <w:rsid w:val="00A86A92"/>
    <w:rsid w:val="00A86CEB"/>
    <w:rsid w:val="00A90AA5"/>
    <w:rsid w:val="00A912BA"/>
    <w:rsid w:val="00A924F3"/>
    <w:rsid w:val="00A92AF0"/>
    <w:rsid w:val="00A94369"/>
    <w:rsid w:val="00A97923"/>
    <w:rsid w:val="00AA0E31"/>
    <w:rsid w:val="00AA150D"/>
    <w:rsid w:val="00AA1803"/>
    <w:rsid w:val="00AA20EA"/>
    <w:rsid w:val="00AA446F"/>
    <w:rsid w:val="00AA59A6"/>
    <w:rsid w:val="00AA739B"/>
    <w:rsid w:val="00AB0D80"/>
    <w:rsid w:val="00AB16D9"/>
    <w:rsid w:val="00AB1C49"/>
    <w:rsid w:val="00AB1FC8"/>
    <w:rsid w:val="00AB284D"/>
    <w:rsid w:val="00AB2F02"/>
    <w:rsid w:val="00AB304E"/>
    <w:rsid w:val="00AB6C17"/>
    <w:rsid w:val="00AC0A9D"/>
    <w:rsid w:val="00AC0C9E"/>
    <w:rsid w:val="00AC20C0"/>
    <w:rsid w:val="00AC2876"/>
    <w:rsid w:val="00AC3349"/>
    <w:rsid w:val="00AC33C8"/>
    <w:rsid w:val="00AC449A"/>
    <w:rsid w:val="00AC4C13"/>
    <w:rsid w:val="00AC4C74"/>
    <w:rsid w:val="00AC4CD2"/>
    <w:rsid w:val="00AC5D5B"/>
    <w:rsid w:val="00AC791E"/>
    <w:rsid w:val="00AC7BE1"/>
    <w:rsid w:val="00AD059B"/>
    <w:rsid w:val="00AD102A"/>
    <w:rsid w:val="00AD1502"/>
    <w:rsid w:val="00AD1796"/>
    <w:rsid w:val="00AD1974"/>
    <w:rsid w:val="00AD2353"/>
    <w:rsid w:val="00AD239A"/>
    <w:rsid w:val="00AD26D4"/>
    <w:rsid w:val="00AD3102"/>
    <w:rsid w:val="00AD3EDC"/>
    <w:rsid w:val="00AD4BF1"/>
    <w:rsid w:val="00AD505E"/>
    <w:rsid w:val="00AD5CCC"/>
    <w:rsid w:val="00AD66A6"/>
    <w:rsid w:val="00AD6CC5"/>
    <w:rsid w:val="00AD713A"/>
    <w:rsid w:val="00AD7E0B"/>
    <w:rsid w:val="00AE0E58"/>
    <w:rsid w:val="00AE10CE"/>
    <w:rsid w:val="00AE594A"/>
    <w:rsid w:val="00AF0189"/>
    <w:rsid w:val="00AF061D"/>
    <w:rsid w:val="00AF0886"/>
    <w:rsid w:val="00AF12CE"/>
    <w:rsid w:val="00AF3FE0"/>
    <w:rsid w:val="00AF45EB"/>
    <w:rsid w:val="00AF4794"/>
    <w:rsid w:val="00AF695E"/>
    <w:rsid w:val="00AF7191"/>
    <w:rsid w:val="00AF7C74"/>
    <w:rsid w:val="00B001EB"/>
    <w:rsid w:val="00B004D7"/>
    <w:rsid w:val="00B00586"/>
    <w:rsid w:val="00B00972"/>
    <w:rsid w:val="00B0098B"/>
    <w:rsid w:val="00B0271B"/>
    <w:rsid w:val="00B041BF"/>
    <w:rsid w:val="00B06B70"/>
    <w:rsid w:val="00B133A1"/>
    <w:rsid w:val="00B150AA"/>
    <w:rsid w:val="00B16A33"/>
    <w:rsid w:val="00B17AC0"/>
    <w:rsid w:val="00B17B7B"/>
    <w:rsid w:val="00B17D41"/>
    <w:rsid w:val="00B21333"/>
    <w:rsid w:val="00B24AD9"/>
    <w:rsid w:val="00B25959"/>
    <w:rsid w:val="00B267CA"/>
    <w:rsid w:val="00B32A7C"/>
    <w:rsid w:val="00B3572E"/>
    <w:rsid w:val="00B40734"/>
    <w:rsid w:val="00B40C90"/>
    <w:rsid w:val="00B41FAA"/>
    <w:rsid w:val="00B44EFF"/>
    <w:rsid w:val="00B46F12"/>
    <w:rsid w:val="00B5134D"/>
    <w:rsid w:val="00B516F5"/>
    <w:rsid w:val="00B5413B"/>
    <w:rsid w:val="00B54341"/>
    <w:rsid w:val="00B559F2"/>
    <w:rsid w:val="00B57130"/>
    <w:rsid w:val="00B57816"/>
    <w:rsid w:val="00B57D82"/>
    <w:rsid w:val="00B6087C"/>
    <w:rsid w:val="00B60E4E"/>
    <w:rsid w:val="00B61973"/>
    <w:rsid w:val="00B61ED6"/>
    <w:rsid w:val="00B62E41"/>
    <w:rsid w:val="00B6403E"/>
    <w:rsid w:val="00B65E5A"/>
    <w:rsid w:val="00B66248"/>
    <w:rsid w:val="00B66C2A"/>
    <w:rsid w:val="00B6741C"/>
    <w:rsid w:val="00B708DB"/>
    <w:rsid w:val="00B70AD6"/>
    <w:rsid w:val="00B710C6"/>
    <w:rsid w:val="00B71940"/>
    <w:rsid w:val="00B72D36"/>
    <w:rsid w:val="00B73342"/>
    <w:rsid w:val="00B735E5"/>
    <w:rsid w:val="00B736B7"/>
    <w:rsid w:val="00B73E66"/>
    <w:rsid w:val="00B743E8"/>
    <w:rsid w:val="00B75FEC"/>
    <w:rsid w:val="00B76239"/>
    <w:rsid w:val="00B775F5"/>
    <w:rsid w:val="00B808E4"/>
    <w:rsid w:val="00B810C9"/>
    <w:rsid w:val="00B811C9"/>
    <w:rsid w:val="00B81A7D"/>
    <w:rsid w:val="00B823A3"/>
    <w:rsid w:val="00B83729"/>
    <w:rsid w:val="00B839FB"/>
    <w:rsid w:val="00B83DFF"/>
    <w:rsid w:val="00B84A9F"/>
    <w:rsid w:val="00B85C12"/>
    <w:rsid w:val="00B8620B"/>
    <w:rsid w:val="00B8711D"/>
    <w:rsid w:val="00B87939"/>
    <w:rsid w:val="00B909F2"/>
    <w:rsid w:val="00B928DE"/>
    <w:rsid w:val="00B92912"/>
    <w:rsid w:val="00B92BEA"/>
    <w:rsid w:val="00B95605"/>
    <w:rsid w:val="00B968AA"/>
    <w:rsid w:val="00B96B6A"/>
    <w:rsid w:val="00BA0943"/>
    <w:rsid w:val="00BA0C81"/>
    <w:rsid w:val="00BA1F04"/>
    <w:rsid w:val="00BA21E1"/>
    <w:rsid w:val="00BA23ED"/>
    <w:rsid w:val="00BA423F"/>
    <w:rsid w:val="00BA64E8"/>
    <w:rsid w:val="00BA6512"/>
    <w:rsid w:val="00BA75BB"/>
    <w:rsid w:val="00BA7A68"/>
    <w:rsid w:val="00BA7CD8"/>
    <w:rsid w:val="00BB0343"/>
    <w:rsid w:val="00BB09F8"/>
    <w:rsid w:val="00BB0DDB"/>
    <w:rsid w:val="00BB235B"/>
    <w:rsid w:val="00BB27EB"/>
    <w:rsid w:val="00BB344E"/>
    <w:rsid w:val="00BB3CBD"/>
    <w:rsid w:val="00BB458D"/>
    <w:rsid w:val="00BB5CDE"/>
    <w:rsid w:val="00BB6000"/>
    <w:rsid w:val="00BB600D"/>
    <w:rsid w:val="00BB72F4"/>
    <w:rsid w:val="00BB7D5B"/>
    <w:rsid w:val="00BC0BB3"/>
    <w:rsid w:val="00BC0E8D"/>
    <w:rsid w:val="00BC10BC"/>
    <w:rsid w:val="00BC17C3"/>
    <w:rsid w:val="00BC23FB"/>
    <w:rsid w:val="00BC2458"/>
    <w:rsid w:val="00BC2F16"/>
    <w:rsid w:val="00BC6254"/>
    <w:rsid w:val="00BC7CB3"/>
    <w:rsid w:val="00BD0358"/>
    <w:rsid w:val="00BD05FC"/>
    <w:rsid w:val="00BD1E54"/>
    <w:rsid w:val="00BD2B8D"/>
    <w:rsid w:val="00BD3834"/>
    <w:rsid w:val="00BD5923"/>
    <w:rsid w:val="00BD6750"/>
    <w:rsid w:val="00BD7018"/>
    <w:rsid w:val="00BD7142"/>
    <w:rsid w:val="00BD7A6B"/>
    <w:rsid w:val="00BD7D58"/>
    <w:rsid w:val="00BD7DD0"/>
    <w:rsid w:val="00BE0432"/>
    <w:rsid w:val="00BE0493"/>
    <w:rsid w:val="00BF4442"/>
    <w:rsid w:val="00BF487A"/>
    <w:rsid w:val="00BF5642"/>
    <w:rsid w:val="00BF640F"/>
    <w:rsid w:val="00BF7129"/>
    <w:rsid w:val="00C033E7"/>
    <w:rsid w:val="00C04166"/>
    <w:rsid w:val="00C07840"/>
    <w:rsid w:val="00C07DF4"/>
    <w:rsid w:val="00C10836"/>
    <w:rsid w:val="00C1178E"/>
    <w:rsid w:val="00C11FD0"/>
    <w:rsid w:val="00C122BA"/>
    <w:rsid w:val="00C12986"/>
    <w:rsid w:val="00C12D78"/>
    <w:rsid w:val="00C14885"/>
    <w:rsid w:val="00C15234"/>
    <w:rsid w:val="00C1558D"/>
    <w:rsid w:val="00C15A52"/>
    <w:rsid w:val="00C15E83"/>
    <w:rsid w:val="00C1632D"/>
    <w:rsid w:val="00C170C0"/>
    <w:rsid w:val="00C17DE9"/>
    <w:rsid w:val="00C204A6"/>
    <w:rsid w:val="00C2197D"/>
    <w:rsid w:val="00C22DAC"/>
    <w:rsid w:val="00C2352A"/>
    <w:rsid w:val="00C23BD1"/>
    <w:rsid w:val="00C251C0"/>
    <w:rsid w:val="00C300E4"/>
    <w:rsid w:val="00C303A9"/>
    <w:rsid w:val="00C303F0"/>
    <w:rsid w:val="00C306A7"/>
    <w:rsid w:val="00C30CD3"/>
    <w:rsid w:val="00C310C0"/>
    <w:rsid w:val="00C31569"/>
    <w:rsid w:val="00C31905"/>
    <w:rsid w:val="00C31AF7"/>
    <w:rsid w:val="00C33CFA"/>
    <w:rsid w:val="00C344E9"/>
    <w:rsid w:val="00C35F90"/>
    <w:rsid w:val="00C36BFD"/>
    <w:rsid w:val="00C37C60"/>
    <w:rsid w:val="00C42588"/>
    <w:rsid w:val="00C443EA"/>
    <w:rsid w:val="00C449C8"/>
    <w:rsid w:val="00C44DBE"/>
    <w:rsid w:val="00C451D8"/>
    <w:rsid w:val="00C4636A"/>
    <w:rsid w:val="00C4663F"/>
    <w:rsid w:val="00C51EEC"/>
    <w:rsid w:val="00C5303D"/>
    <w:rsid w:val="00C53328"/>
    <w:rsid w:val="00C53BC4"/>
    <w:rsid w:val="00C549B5"/>
    <w:rsid w:val="00C55A51"/>
    <w:rsid w:val="00C55A71"/>
    <w:rsid w:val="00C608B8"/>
    <w:rsid w:val="00C610FD"/>
    <w:rsid w:val="00C6221B"/>
    <w:rsid w:val="00C632AD"/>
    <w:rsid w:val="00C6348B"/>
    <w:rsid w:val="00C63620"/>
    <w:rsid w:val="00C66BC5"/>
    <w:rsid w:val="00C67434"/>
    <w:rsid w:val="00C70077"/>
    <w:rsid w:val="00C704AA"/>
    <w:rsid w:val="00C71652"/>
    <w:rsid w:val="00C7184D"/>
    <w:rsid w:val="00C72DC0"/>
    <w:rsid w:val="00C76AC4"/>
    <w:rsid w:val="00C779B2"/>
    <w:rsid w:val="00C77F54"/>
    <w:rsid w:val="00C80798"/>
    <w:rsid w:val="00C818BD"/>
    <w:rsid w:val="00C81B55"/>
    <w:rsid w:val="00C822E1"/>
    <w:rsid w:val="00C82687"/>
    <w:rsid w:val="00C82A5B"/>
    <w:rsid w:val="00C84DE1"/>
    <w:rsid w:val="00C8517B"/>
    <w:rsid w:val="00C85CAB"/>
    <w:rsid w:val="00C85F05"/>
    <w:rsid w:val="00C865A9"/>
    <w:rsid w:val="00C872A0"/>
    <w:rsid w:val="00C90EE5"/>
    <w:rsid w:val="00C93677"/>
    <w:rsid w:val="00C94FA3"/>
    <w:rsid w:val="00C9589E"/>
    <w:rsid w:val="00C95F1F"/>
    <w:rsid w:val="00C95FC8"/>
    <w:rsid w:val="00C97809"/>
    <w:rsid w:val="00C97DDC"/>
    <w:rsid w:val="00CA1905"/>
    <w:rsid w:val="00CA2E36"/>
    <w:rsid w:val="00CA396C"/>
    <w:rsid w:val="00CA3D17"/>
    <w:rsid w:val="00CA5380"/>
    <w:rsid w:val="00CB04A3"/>
    <w:rsid w:val="00CB0B25"/>
    <w:rsid w:val="00CB1B3B"/>
    <w:rsid w:val="00CB28CD"/>
    <w:rsid w:val="00CB5257"/>
    <w:rsid w:val="00CB52E3"/>
    <w:rsid w:val="00CB540B"/>
    <w:rsid w:val="00CC0103"/>
    <w:rsid w:val="00CC014E"/>
    <w:rsid w:val="00CC1054"/>
    <w:rsid w:val="00CC22A8"/>
    <w:rsid w:val="00CC4104"/>
    <w:rsid w:val="00CC665E"/>
    <w:rsid w:val="00CC6E87"/>
    <w:rsid w:val="00CC79E0"/>
    <w:rsid w:val="00CD059B"/>
    <w:rsid w:val="00CD1748"/>
    <w:rsid w:val="00CD251B"/>
    <w:rsid w:val="00CD25B8"/>
    <w:rsid w:val="00CD4C21"/>
    <w:rsid w:val="00CD5E06"/>
    <w:rsid w:val="00CD670F"/>
    <w:rsid w:val="00CE0290"/>
    <w:rsid w:val="00CE0628"/>
    <w:rsid w:val="00CE0BF0"/>
    <w:rsid w:val="00CE0EF4"/>
    <w:rsid w:val="00CE0FA9"/>
    <w:rsid w:val="00CE1258"/>
    <w:rsid w:val="00CE2BEB"/>
    <w:rsid w:val="00CE3842"/>
    <w:rsid w:val="00CE4800"/>
    <w:rsid w:val="00CE51EE"/>
    <w:rsid w:val="00CE5334"/>
    <w:rsid w:val="00CE57AA"/>
    <w:rsid w:val="00CE7F54"/>
    <w:rsid w:val="00CF0BB6"/>
    <w:rsid w:val="00CF2BA3"/>
    <w:rsid w:val="00CF3423"/>
    <w:rsid w:val="00CF4C38"/>
    <w:rsid w:val="00D00330"/>
    <w:rsid w:val="00D0089D"/>
    <w:rsid w:val="00D00FD6"/>
    <w:rsid w:val="00D012B0"/>
    <w:rsid w:val="00D0249F"/>
    <w:rsid w:val="00D027E6"/>
    <w:rsid w:val="00D02E83"/>
    <w:rsid w:val="00D03079"/>
    <w:rsid w:val="00D03616"/>
    <w:rsid w:val="00D03F7E"/>
    <w:rsid w:val="00D05841"/>
    <w:rsid w:val="00D05C27"/>
    <w:rsid w:val="00D05D30"/>
    <w:rsid w:val="00D05F8E"/>
    <w:rsid w:val="00D07BB7"/>
    <w:rsid w:val="00D10BDF"/>
    <w:rsid w:val="00D110CF"/>
    <w:rsid w:val="00D1186B"/>
    <w:rsid w:val="00D11C10"/>
    <w:rsid w:val="00D12DCB"/>
    <w:rsid w:val="00D132FA"/>
    <w:rsid w:val="00D144D9"/>
    <w:rsid w:val="00D1582D"/>
    <w:rsid w:val="00D15D33"/>
    <w:rsid w:val="00D1698C"/>
    <w:rsid w:val="00D1749C"/>
    <w:rsid w:val="00D202A1"/>
    <w:rsid w:val="00D20CE3"/>
    <w:rsid w:val="00D214C1"/>
    <w:rsid w:val="00D228CE"/>
    <w:rsid w:val="00D23477"/>
    <w:rsid w:val="00D23754"/>
    <w:rsid w:val="00D24728"/>
    <w:rsid w:val="00D25027"/>
    <w:rsid w:val="00D254BA"/>
    <w:rsid w:val="00D256CC"/>
    <w:rsid w:val="00D2585B"/>
    <w:rsid w:val="00D305E7"/>
    <w:rsid w:val="00D31519"/>
    <w:rsid w:val="00D31C44"/>
    <w:rsid w:val="00D31E7C"/>
    <w:rsid w:val="00D32C28"/>
    <w:rsid w:val="00D33161"/>
    <w:rsid w:val="00D3428F"/>
    <w:rsid w:val="00D3493F"/>
    <w:rsid w:val="00D34D18"/>
    <w:rsid w:val="00D35071"/>
    <w:rsid w:val="00D37B8F"/>
    <w:rsid w:val="00D37D8A"/>
    <w:rsid w:val="00D40574"/>
    <w:rsid w:val="00D41A52"/>
    <w:rsid w:val="00D41B13"/>
    <w:rsid w:val="00D44789"/>
    <w:rsid w:val="00D46800"/>
    <w:rsid w:val="00D46C7E"/>
    <w:rsid w:val="00D46D6E"/>
    <w:rsid w:val="00D4786B"/>
    <w:rsid w:val="00D50B41"/>
    <w:rsid w:val="00D50E0E"/>
    <w:rsid w:val="00D51662"/>
    <w:rsid w:val="00D519B7"/>
    <w:rsid w:val="00D51D7E"/>
    <w:rsid w:val="00D54C49"/>
    <w:rsid w:val="00D55598"/>
    <w:rsid w:val="00D557BF"/>
    <w:rsid w:val="00D56517"/>
    <w:rsid w:val="00D571B4"/>
    <w:rsid w:val="00D60C9C"/>
    <w:rsid w:val="00D6289E"/>
    <w:rsid w:val="00D6337A"/>
    <w:rsid w:val="00D63C8B"/>
    <w:rsid w:val="00D63CFD"/>
    <w:rsid w:val="00D641D6"/>
    <w:rsid w:val="00D65888"/>
    <w:rsid w:val="00D66301"/>
    <w:rsid w:val="00D66BF2"/>
    <w:rsid w:val="00D701DD"/>
    <w:rsid w:val="00D70B1F"/>
    <w:rsid w:val="00D717AD"/>
    <w:rsid w:val="00D72659"/>
    <w:rsid w:val="00D72C6E"/>
    <w:rsid w:val="00D72DDD"/>
    <w:rsid w:val="00D7419B"/>
    <w:rsid w:val="00D742B5"/>
    <w:rsid w:val="00D7654E"/>
    <w:rsid w:val="00D80209"/>
    <w:rsid w:val="00D8047B"/>
    <w:rsid w:val="00D81445"/>
    <w:rsid w:val="00D82509"/>
    <w:rsid w:val="00D825EA"/>
    <w:rsid w:val="00D82A17"/>
    <w:rsid w:val="00D83995"/>
    <w:rsid w:val="00D83CC0"/>
    <w:rsid w:val="00D83D8F"/>
    <w:rsid w:val="00D84607"/>
    <w:rsid w:val="00D84901"/>
    <w:rsid w:val="00D86250"/>
    <w:rsid w:val="00D8651C"/>
    <w:rsid w:val="00D86879"/>
    <w:rsid w:val="00D87EFC"/>
    <w:rsid w:val="00D91654"/>
    <w:rsid w:val="00D922ED"/>
    <w:rsid w:val="00D93CB3"/>
    <w:rsid w:val="00D95665"/>
    <w:rsid w:val="00D96D6A"/>
    <w:rsid w:val="00D96F97"/>
    <w:rsid w:val="00D97421"/>
    <w:rsid w:val="00D97481"/>
    <w:rsid w:val="00D97C66"/>
    <w:rsid w:val="00DA0603"/>
    <w:rsid w:val="00DA10A4"/>
    <w:rsid w:val="00DA1B90"/>
    <w:rsid w:val="00DA42B5"/>
    <w:rsid w:val="00DA5B20"/>
    <w:rsid w:val="00DA70B4"/>
    <w:rsid w:val="00DA78F5"/>
    <w:rsid w:val="00DB0CC6"/>
    <w:rsid w:val="00DB22F0"/>
    <w:rsid w:val="00DB278E"/>
    <w:rsid w:val="00DB32BF"/>
    <w:rsid w:val="00DB3ABE"/>
    <w:rsid w:val="00DB5B03"/>
    <w:rsid w:val="00DB6078"/>
    <w:rsid w:val="00DB63A4"/>
    <w:rsid w:val="00DB7242"/>
    <w:rsid w:val="00DB76D9"/>
    <w:rsid w:val="00DB7A60"/>
    <w:rsid w:val="00DB7F62"/>
    <w:rsid w:val="00DC0E99"/>
    <w:rsid w:val="00DC162F"/>
    <w:rsid w:val="00DC2E09"/>
    <w:rsid w:val="00DC330A"/>
    <w:rsid w:val="00DC4A62"/>
    <w:rsid w:val="00DC6559"/>
    <w:rsid w:val="00DC6563"/>
    <w:rsid w:val="00DC6A5E"/>
    <w:rsid w:val="00DC7221"/>
    <w:rsid w:val="00DD0F62"/>
    <w:rsid w:val="00DD20B7"/>
    <w:rsid w:val="00DD233A"/>
    <w:rsid w:val="00DD254F"/>
    <w:rsid w:val="00DD2820"/>
    <w:rsid w:val="00DD2851"/>
    <w:rsid w:val="00DD4057"/>
    <w:rsid w:val="00DD54CA"/>
    <w:rsid w:val="00DD57EB"/>
    <w:rsid w:val="00DD5DE3"/>
    <w:rsid w:val="00DD5F50"/>
    <w:rsid w:val="00DD7206"/>
    <w:rsid w:val="00DD7D54"/>
    <w:rsid w:val="00DE04F8"/>
    <w:rsid w:val="00DE069B"/>
    <w:rsid w:val="00DE096C"/>
    <w:rsid w:val="00DE1FFC"/>
    <w:rsid w:val="00DE2D03"/>
    <w:rsid w:val="00DE368D"/>
    <w:rsid w:val="00DE38DF"/>
    <w:rsid w:val="00DE3B47"/>
    <w:rsid w:val="00DE3D20"/>
    <w:rsid w:val="00DE4028"/>
    <w:rsid w:val="00DE43D9"/>
    <w:rsid w:val="00DE6CFB"/>
    <w:rsid w:val="00DE7017"/>
    <w:rsid w:val="00DE76B9"/>
    <w:rsid w:val="00DE788A"/>
    <w:rsid w:val="00DF0540"/>
    <w:rsid w:val="00DF1356"/>
    <w:rsid w:val="00DF505B"/>
    <w:rsid w:val="00DF631B"/>
    <w:rsid w:val="00DF78FB"/>
    <w:rsid w:val="00E005BB"/>
    <w:rsid w:val="00E006CC"/>
    <w:rsid w:val="00E00849"/>
    <w:rsid w:val="00E019D5"/>
    <w:rsid w:val="00E02095"/>
    <w:rsid w:val="00E05350"/>
    <w:rsid w:val="00E05851"/>
    <w:rsid w:val="00E05AD0"/>
    <w:rsid w:val="00E06EA8"/>
    <w:rsid w:val="00E0764D"/>
    <w:rsid w:val="00E1172F"/>
    <w:rsid w:val="00E11F9C"/>
    <w:rsid w:val="00E125C6"/>
    <w:rsid w:val="00E146AD"/>
    <w:rsid w:val="00E14F90"/>
    <w:rsid w:val="00E162B6"/>
    <w:rsid w:val="00E1739F"/>
    <w:rsid w:val="00E1762B"/>
    <w:rsid w:val="00E179DC"/>
    <w:rsid w:val="00E20610"/>
    <w:rsid w:val="00E24AAC"/>
    <w:rsid w:val="00E258BC"/>
    <w:rsid w:val="00E25EE0"/>
    <w:rsid w:val="00E25FA3"/>
    <w:rsid w:val="00E30C19"/>
    <w:rsid w:val="00E3116D"/>
    <w:rsid w:val="00E31B09"/>
    <w:rsid w:val="00E31DB4"/>
    <w:rsid w:val="00E35E8A"/>
    <w:rsid w:val="00E368C9"/>
    <w:rsid w:val="00E37663"/>
    <w:rsid w:val="00E3787C"/>
    <w:rsid w:val="00E37E61"/>
    <w:rsid w:val="00E43E68"/>
    <w:rsid w:val="00E44556"/>
    <w:rsid w:val="00E44D46"/>
    <w:rsid w:val="00E454E2"/>
    <w:rsid w:val="00E458FF"/>
    <w:rsid w:val="00E46472"/>
    <w:rsid w:val="00E46890"/>
    <w:rsid w:val="00E46E66"/>
    <w:rsid w:val="00E4787F"/>
    <w:rsid w:val="00E501DE"/>
    <w:rsid w:val="00E50592"/>
    <w:rsid w:val="00E50A96"/>
    <w:rsid w:val="00E50ECC"/>
    <w:rsid w:val="00E523AE"/>
    <w:rsid w:val="00E52E82"/>
    <w:rsid w:val="00E52F76"/>
    <w:rsid w:val="00E537FF"/>
    <w:rsid w:val="00E556FA"/>
    <w:rsid w:val="00E557C1"/>
    <w:rsid w:val="00E565FB"/>
    <w:rsid w:val="00E56885"/>
    <w:rsid w:val="00E56AC9"/>
    <w:rsid w:val="00E577BF"/>
    <w:rsid w:val="00E60DC6"/>
    <w:rsid w:val="00E61319"/>
    <w:rsid w:val="00E6361D"/>
    <w:rsid w:val="00E65DDE"/>
    <w:rsid w:val="00E669C4"/>
    <w:rsid w:val="00E66EAD"/>
    <w:rsid w:val="00E6740C"/>
    <w:rsid w:val="00E7030A"/>
    <w:rsid w:val="00E70DF0"/>
    <w:rsid w:val="00E70E21"/>
    <w:rsid w:val="00E70FCB"/>
    <w:rsid w:val="00E71027"/>
    <w:rsid w:val="00E71691"/>
    <w:rsid w:val="00E71D99"/>
    <w:rsid w:val="00E71FB7"/>
    <w:rsid w:val="00E72466"/>
    <w:rsid w:val="00E725B6"/>
    <w:rsid w:val="00E72ED0"/>
    <w:rsid w:val="00E759AB"/>
    <w:rsid w:val="00E75ACD"/>
    <w:rsid w:val="00E76ADF"/>
    <w:rsid w:val="00E81AA1"/>
    <w:rsid w:val="00E821BF"/>
    <w:rsid w:val="00E835E9"/>
    <w:rsid w:val="00E840AA"/>
    <w:rsid w:val="00E85252"/>
    <w:rsid w:val="00E85665"/>
    <w:rsid w:val="00E858C0"/>
    <w:rsid w:val="00E8692D"/>
    <w:rsid w:val="00E87299"/>
    <w:rsid w:val="00E909DF"/>
    <w:rsid w:val="00E90EE0"/>
    <w:rsid w:val="00E92647"/>
    <w:rsid w:val="00E93840"/>
    <w:rsid w:val="00E940B0"/>
    <w:rsid w:val="00E950BC"/>
    <w:rsid w:val="00E95510"/>
    <w:rsid w:val="00E95FC7"/>
    <w:rsid w:val="00EA120A"/>
    <w:rsid w:val="00EA1480"/>
    <w:rsid w:val="00EA2ABA"/>
    <w:rsid w:val="00EA2E7A"/>
    <w:rsid w:val="00EA3BAC"/>
    <w:rsid w:val="00EA4B05"/>
    <w:rsid w:val="00EA5046"/>
    <w:rsid w:val="00EA546C"/>
    <w:rsid w:val="00EA5653"/>
    <w:rsid w:val="00EA5B26"/>
    <w:rsid w:val="00EA5B42"/>
    <w:rsid w:val="00EA70FF"/>
    <w:rsid w:val="00EA7911"/>
    <w:rsid w:val="00EA7C36"/>
    <w:rsid w:val="00EB1EB7"/>
    <w:rsid w:val="00EB264B"/>
    <w:rsid w:val="00EB30C9"/>
    <w:rsid w:val="00EB31F4"/>
    <w:rsid w:val="00EB37BB"/>
    <w:rsid w:val="00EB4370"/>
    <w:rsid w:val="00EB5A71"/>
    <w:rsid w:val="00EB6D36"/>
    <w:rsid w:val="00EC26B0"/>
    <w:rsid w:val="00EC3897"/>
    <w:rsid w:val="00EC3E42"/>
    <w:rsid w:val="00EC3E4C"/>
    <w:rsid w:val="00EC4745"/>
    <w:rsid w:val="00EC4FED"/>
    <w:rsid w:val="00EC5A36"/>
    <w:rsid w:val="00EC6B24"/>
    <w:rsid w:val="00EC7073"/>
    <w:rsid w:val="00EC7600"/>
    <w:rsid w:val="00ED3388"/>
    <w:rsid w:val="00ED38AA"/>
    <w:rsid w:val="00ED440C"/>
    <w:rsid w:val="00EE15CE"/>
    <w:rsid w:val="00EE1C69"/>
    <w:rsid w:val="00EE2BC4"/>
    <w:rsid w:val="00EE3379"/>
    <w:rsid w:val="00EE52D6"/>
    <w:rsid w:val="00EE6C9E"/>
    <w:rsid w:val="00EE77F7"/>
    <w:rsid w:val="00EE7DB4"/>
    <w:rsid w:val="00EF0435"/>
    <w:rsid w:val="00EF11AE"/>
    <w:rsid w:val="00EF1969"/>
    <w:rsid w:val="00EF2589"/>
    <w:rsid w:val="00EF25EC"/>
    <w:rsid w:val="00EF34B9"/>
    <w:rsid w:val="00EF383F"/>
    <w:rsid w:val="00EF4D92"/>
    <w:rsid w:val="00EF5378"/>
    <w:rsid w:val="00EF573C"/>
    <w:rsid w:val="00EF5E5E"/>
    <w:rsid w:val="00EF6541"/>
    <w:rsid w:val="00EF6550"/>
    <w:rsid w:val="00F02169"/>
    <w:rsid w:val="00F02B7B"/>
    <w:rsid w:val="00F04175"/>
    <w:rsid w:val="00F05149"/>
    <w:rsid w:val="00F0678A"/>
    <w:rsid w:val="00F074BF"/>
    <w:rsid w:val="00F077A8"/>
    <w:rsid w:val="00F07B5E"/>
    <w:rsid w:val="00F102CD"/>
    <w:rsid w:val="00F1048B"/>
    <w:rsid w:val="00F108A4"/>
    <w:rsid w:val="00F10951"/>
    <w:rsid w:val="00F10B61"/>
    <w:rsid w:val="00F11659"/>
    <w:rsid w:val="00F132A8"/>
    <w:rsid w:val="00F1394D"/>
    <w:rsid w:val="00F142FD"/>
    <w:rsid w:val="00F15947"/>
    <w:rsid w:val="00F177C2"/>
    <w:rsid w:val="00F201B9"/>
    <w:rsid w:val="00F218B7"/>
    <w:rsid w:val="00F21A48"/>
    <w:rsid w:val="00F24E6F"/>
    <w:rsid w:val="00F250C0"/>
    <w:rsid w:val="00F25BBC"/>
    <w:rsid w:val="00F26294"/>
    <w:rsid w:val="00F31BDD"/>
    <w:rsid w:val="00F31C29"/>
    <w:rsid w:val="00F33550"/>
    <w:rsid w:val="00F338E7"/>
    <w:rsid w:val="00F33973"/>
    <w:rsid w:val="00F35F68"/>
    <w:rsid w:val="00F3765A"/>
    <w:rsid w:val="00F40413"/>
    <w:rsid w:val="00F40E31"/>
    <w:rsid w:val="00F42E3D"/>
    <w:rsid w:val="00F43B23"/>
    <w:rsid w:val="00F45090"/>
    <w:rsid w:val="00F5030C"/>
    <w:rsid w:val="00F52C95"/>
    <w:rsid w:val="00F5367B"/>
    <w:rsid w:val="00F5387B"/>
    <w:rsid w:val="00F5467E"/>
    <w:rsid w:val="00F54BA5"/>
    <w:rsid w:val="00F54BE0"/>
    <w:rsid w:val="00F54FF0"/>
    <w:rsid w:val="00F57330"/>
    <w:rsid w:val="00F57CFE"/>
    <w:rsid w:val="00F60A49"/>
    <w:rsid w:val="00F60F45"/>
    <w:rsid w:val="00F63864"/>
    <w:rsid w:val="00F6407E"/>
    <w:rsid w:val="00F66D2D"/>
    <w:rsid w:val="00F71596"/>
    <w:rsid w:val="00F7399D"/>
    <w:rsid w:val="00F73E5E"/>
    <w:rsid w:val="00F74C40"/>
    <w:rsid w:val="00F75964"/>
    <w:rsid w:val="00F76033"/>
    <w:rsid w:val="00F7618B"/>
    <w:rsid w:val="00F7699A"/>
    <w:rsid w:val="00F77F0F"/>
    <w:rsid w:val="00F8252F"/>
    <w:rsid w:val="00F8391F"/>
    <w:rsid w:val="00F83B13"/>
    <w:rsid w:val="00F84339"/>
    <w:rsid w:val="00F846A9"/>
    <w:rsid w:val="00F8554C"/>
    <w:rsid w:val="00F856E9"/>
    <w:rsid w:val="00F85F2D"/>
    <w:rsid w:val="00F862D0"/>
    <w:rsid w:val="00F86355"/>
    <w:rsid w:val="00F869A4"/>
    <w:rsid w:val="00F86D4B"/>
    <w:rsid w:val="00F90909"/>
    <w:rsid w:val="00F93B5C"/>
    <w:rsid w:val="00F94116"/>
    <w:rsid w:val="00F95126"/>
    <w:rsid w:val="00F95B7B"/>
    <w:rsid w:val="00F95D6A"/>
    <w:rsid w:val="00F962F3"/>
    <w:rsid w:val="00F96371"/>
    <w:rsid w:val="00F96718"/>
    <w:rsid w:val="00FA04AD"/>
    <w:rsid w:val="00FA19CC"/>
    <w:rsid w:val="00FA1DC6"/>
    <w:rsid w:val="00FA2035"/>
    <w:rsid w:val="00FA296B"/>
    <w:rsid w:val="00FA2C37"/>
    <w:rsid w:val="00FA41CF"/>
    <w:rsid w:val="00FA467D"/>
    <w:rsid w:val="00FA69A5"/>
    <w:rsid w:val="00FA6B86"/>
    <w:rsid w:val="00FA759D"/>
    <w:rsid w:val="00FB2C32"/>
    <w:rsid w:val="00FB37FF"/>
    <w:rsid w:val="00FB5436"/>
    <w:rsid w:val="00FB57A6"/>
    <w:rsid w:val="00FB5905"/>
    <w:rsid w:val="00FB6BBE"/>
    <w:rsid w:val="00FC0D89"/>
    <w:rsid w:val="00FC0FA3"/>
    <w:rsid w:val="00FC1E77"/>
    <w:rsid w:val="00FC41C1"/>
    <w:rsid w:val="00FC4360"/>
    <w:rsid w:val="00FC6328"/>
    <w:rsid w:val="00FC6FB3"/>
    <w:rsid w:val="00FD0B7B"/>
    <w:rsid w:val="00FD1787"/>
    <w:rsid w:val="00FD20F9"/>
    <w:rsid w:val="00FD2772"/>
    <w:rsid w:val="00FD31FF"/>
    <w:rsid w:val="00FD73DB"/>
    <w:rsid w:val="00FE00B5"/>
    <w:rsid w:val="00FE027F"/>
    <w:rsid w:val="00FE2EE5"/>
    <w:rsid w:val="00FE32C0"/>
    <w:rsid w:val="00FE6819"/>
    <w:rsid w:val="00FE6F63"/>
    <w:rsid w:val="00FE71B9"/>
    <w:rsid w:val="00FE76F1"/>
    <w:rsid w:val="00FF01BC"/>
    <w:rsid w:val="00FF15AD"/>
    <w:rsid w:val="00FF1BB7"/>
    <w:rsid w:val="00FF2778"/>
    <w:rsid w:val="00FF2B47"/>
    <w:rsid w:val="00FF2BC5"/>
    <w:rsid w:val="00FF3188"/>
    <w:rsid w:val="00FF4AE2"/>
    <w:rsid w:val="00FF50FC"/>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92907F9-3C28-471A-9C73-7A757ADC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1C1E47"/>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1362E"/>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1E47"/>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1362E"/>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character" w:customStyle="1" w:styleId="cf01">
    <w:name w:val="cf01"/>
    <w:basedOn w:val="DefaultParagraphFont"/>
    <w:rsid w:val="00996C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47829">
      <w:bodyDiv w:val="1"/>
      <w:marLeft w:val="0"/>
      <w:marRight w:val="0"/>
      <w:marTop w:val="0"/>
      <w:marBottom w:val="0"/>
      <w:divBdr>
        <w:top w:val="none" w:sz="0" w:space="0" w:color="auto"/>
        <w:left w:val="none" w:sz="0" w:space="0" w:color="auto"/>
        <w:bottom w:val="none" w:sz="0" w:space="0" w:color="auto"/>
        <w:right w:val="none" w:sz="0" w:space="0" w:color="auto"/>
      </w:divBdr>
    </w:div>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588880366">
      <w:bodyDiv w:val="1"/>
      <w:marLeft w:val="0"/>
      <w:marRight w:val="0"/>
      <w:marTop w:val="0"/>
      <w:marBottom w:val="0"/>
      <w:divBdr>
        <w:top w:val="none" w:sz="0" w:space="0" w:color="auto"/>
        <w:left w:val="none" w:sz="0" w:space="0" w:color="auto"/>
        <w:bottom w:val="none" w:sz="0" w:space="0" w:color="auto"/>
        <w:right w:val="none" w:sz="0" w:space="0" w:color="auto"/>
      </w:divBdr>
    </w:div>
    <w:div w:id="1771780016">
      <w:bodyDiv w:val="1"/>
      <w:marLeft w:val="0"/>
      <w:marRight w:val="0"/>
      <w:marTop w:val="0"/>
      <w:marBottom w:val="0"/>
      <w:divBdr>
        <w:top w:val="none" w:sz="0" w:space="0" w:color="auto"/>
        <w:left w:val="none" w:sz="0" w:space="0" w:color="auto"/>
        <w:bottom w:val="none" w:sz="0" w:space="0" w:color="auto"/>
        <w:right w:val="none" w:sz="0" w:space="0" w:color="auto"/>
      </w:divBdr>
    </w:div>
    <w:div w:id="213733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ata.bls.gov/PDQWeb/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2221</Words>
  <Characters>12590</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dgibbs</dc:creator>
  <cp:lastModifiedBy>Eccles, Tanesha - OSHA</cp:lastModifiedBy>
  <cp:revision>2</cp:revision>
  <cp:lastPrinted>2017-07-11T15:59:00Z</cp:lastPrinted>
  <dcterms:created xsi:type="dcterms:W3CDTF">2025-05-30T14:29:00Z</dcterms:created>
  <dcterms:modified xsi:type="dcterms:W3CDTF">2025-05-30T14:29:00Z</dcterms:modified>
</cp:coreProperties>
</file>