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FD7AB" w14:textId="1EA03029" w:rsidR="000A134A" w:rsidRPr="00430D4A" w:rsidRDefault="002511E9" w:rsidP="00CE121A">
      <w:pPr>
        <w:pStyle w:val="Heading1"/>
        <w:jc w:val="center"/>
      </w:pPr>
      <w:bookmarkStart w:id="0" w:name="_Toc118900169"/>
      <w:bookmarkStart w:id="1" w:name="_Toc118905008"/>
      <w:r w:rsidRPr="00430D4A">
        <w:rPr>
          <w:iCs/>
        </w:rPr>
        <w:t>FY 2</w:t>
      </w:r>
      <w:r w:rsidR="00BD0358" w:rsidRPr="00430D4A">
        <w:rPr>
          <w:iCs/>
        </w:rPr>
        <w:t>0</w:t>
      </w:r>
      <w:r w:rsidR="00F47F5E" w:rsidRPr="00430D4A">
        <w:rPr>
          <w:iCs/>
        </w:rPr>
        <w:t>24</w:t>
      </w:r>
      <w:r w:rsidR="001C1E47" w:rsidRPr="00430D4A">
        <w:rPr>
          <w:iCs/>
        </w:rPr>
        <w:t xml:space="preserve"> </w:t>
      </w:r>
      <w:r w:rsidR="000A134A" w:rsidRPr="00430D4A">
        <w:rPr>
          <w:iCs/>
        </w:rPr>
        <w:t xml:space="preserve">Follow-up </w:t>
      </w:r>
      <w:r w:rsidR="00626033" w:rsidRPr="00430D4A">
        <w:t>Federal Annual Monitoring</w:t>
      </w:r>
      <w:r w:rsidR="000A134A" w:rsidRPr="00430D4A">
        <w:t xml:space="preserve"> Evaluation (FAME) Report</w:t>
      </w:r>
      <w:bookmarkEnd w:id="0"/>
      <w:bookmarkEnd w:id="1"/>
    </w:p>
    <w:p w14:paraId="5D01BB79" w14:textId="77777777" w:rsidR="000A134A" w:rsidRPr="00430D4A" w:rsidRDefault="000A134A" w:rsidP="00CE121A">
      <w:pPr>
        <w:widowControl/>
        <w:autoSpaceDE/>
        <w:autoSpaceDN/>
        <w:adjustRightInd/>
        <w:jc w:val="center"/>
        <w:rPr>
          <w:rFonts w:cs="Calibri"/>
          <w:bCs/>
          <w:iCs/>
        </w:rPr>
      </w:pPr>
    </w:p>
    <w:p w14:paraId="3BB79FB7" w14:textId="77777777" w:rsidR="00F837D9" w:rsidRPr="00F837D9" w:rsidRDefault="00F837D9" w:rsidP="00CE121A">
      <w:pPr>
        <w:widowControl/>
        <w:autoSpaceDE/>
        <w:autoSpaceDN/>
        <w:adjustRightInd/>
        <w:jc w:val="center"/>
        <w:rPr>
          <w:rFonts w:cs="Calibri"/>
          <w:b/>
        </w:rPr>
      </w:pPr>
    </w:p>
    <w:p w14:paraId="0E770FEB" w14:textId="68D8C0B1" w:rsidR="00F837D9" w:rsidRPr="00F837D9" w:rsidRDefault="00F837D9" w:rsidP="00CE121A">
      <w:pPr>
        <w:widowControl/>
        <w:autoSpaceDE/>
        <w:autoSpaceDN/>
        <w:adjustRightInd/>
        <w:jc w:val="center"/>
        <w:rPr>
          <w:rFonts w:cs="Calibri"/>
          <w:b/>
        </w:rPr>
      </w:pPr>
      <w:r w:rsidRPr="00F837D9">
        <w:rPr>
          <w:rFonts w:cs="Calibri"/>
          <w:b/>
          <w:bCs/>
        </w:rPr>
        <w:t>State of Illinois</w:t>
      </w:r>
    </w:p>
    <w:p w14:paraId="08AA5515" w14:textId="5E6532CC" w:rsidR="00F837D9" w:rsidRPr="00F837D9" w:rsidRDefault="00F837D9" w:rsidP="00CE121A">
      <w:pPr>
        <w:widowControl/>
        <w:autoSpaceDE/>
        <w:autoSpaceDN/>
        <w:adjustRightInd/>
        <w:jc w:val="center"/>
        <w:rPr>
          <w:rFonts w:cs="Calibri"/>
          <w:b/>
        </w:rPr>
      </w:pPr>
      <w:r w:rsidRPr="00F837D9">
        <w:rPr>
          <w:rFonts w:cs="Calibri"/>
          <w:b/>
          <w:bCs/>
        </w:rPr>
        <w:t>Illinois Department of Labor</w:t>
      </w:r>
    </w:p>
    <w:p w14:paraId="2A3E5133" w14:textId="098ECEA3" w:rsidR="000A134A" w:rsidRPr="00430D4A" w:rsidRDefault="00F837D9" w:rsidP="00CE121A">
      <w:pPr>
        <w:widowControl/>
        <w:autoSpaceDE/>
        <w:autoSpaceDN/>
        <w:adjustRightInd/>
        <w:jc w:val="center"/>
        <w:rPr>
          <w:rFonts w:cs="Calibri"/>
          <w:b/>
          <w:bCs/>
        </w:rPr>
      </w:pPr>
      <w:r w:rsidRPr="00430D4A">
        <w:rPr>
          <w:rFonts w:cs="Calibri"/>
          <w:b/>
          <w:bCs/>
        </w:rPr>
        <w:t>Division of Occupational Safety and Health (IL OSHA)</w:t>
      </w:r>
    </w:p>
    <w:p w14:paraId="270724FC" w14:textId="77777777" w:rsidR="00430D4A" w:rsidRPr="00430D4A" w:rsidRDefault="00430D4A" w:rsidP="00CE121A">
      <w:pPr>
        <w:widowControl/>
        <w:autoSpaceDE/>
        <w:autoSpaceDN/>
        <w:adjustRightInd/>
        <w:jc w:val="center"/>
        <w:rPr>
          <w:rFonts w:cs="Calibri"/>
          <w:bCs/>
        </w:rPr>
      </w:pPr>
    </w:p>
    <w:p w14:paraId="33BDDAA9" w14:textId="77777777" w:rsidR="000A134A" w:rsidRPr="00430D4A" w:rsidRDefault="000A134A" w:rsidP="00CE121A">
      <w:pPr>
        <w:widowControl/>
        <w:autoSpaceDE/>
        <w:autoSpaceDN/>
        <w:adjustRightInd/>
        <w:jc w:val="center"/>
        <w:rPr>
          <w:rFonts w:cs="Calibri"/>
          <w:bCs/>
        </w:rPr>
      </w:pPr>
    </w:p>
    <w:p w14:paraId="0E828210" w14:textId="208CF3D4" w:rsidR="000A134A" w:rsidRPr="00430D4A" w:rsidRDefault="00F068B3" w:rsidP="00CE121A">
      <w:pPr>
        <w:widowControl/>
        <w:autoSpaceDE/>
        <w:autoSpaceDN/>
        <w:adjustRightInd/>
        <w:jc w:val="center"/>
        <w:rPr>
          <w:rFonts w:cs="Calibri"/>
          <w:bCs/>
        </w:rPr>
      </w:pPr>
      <w:r w:rsidRPr="00430D4A">
        <w:rPr>
          <w:rFonts w:cs="Calibri"/>
          <w:bCs/>
          <w:noProof/>
        </w:rPr>
        <w:drawing>
          <wp:inline distT="0" distB="0" distL="0" distR="0" wp14:anchorId="35B7C0E3" wp14:editId="120A772A">
            <wp:extent cx="2327564" cy="2214792"/>
            <wp:effectExtent l="0" t="0" r="0" b="0"/>
            <wp:docPr id="54333234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332346"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543" cy="2232851"/>
                    </a:xfrm>
                    <a:prstGeom prst="rect">
                      <a:avLst/>
                    </a:prstGeom>
                    <a:noFill/>
                    <a:ln>
                      <a:noFill/>
                    </a:ln>
                  </pic:spPr>
                </pic:pic>
              </a:graphicData>
            </a:graphic>
          </wp:inline>
        </w:drawing>
      </w:r>
    </w:p>
    <w:p w14:paraId="3FC46738" w14:textId="77777777" w:rsidR="000A134A" w:rsidRPr="00430D4A" w:rsidRDefault="000A134A" w:rsidP="00CE121A">
      <w:pPr>
        <w:widowControl/>
        <w:autoSpaceDE/>
        <w:autoSpaceDN/>
        <w:adjustRightInd/>
        <w:jc w:val="center"/>
        <w:rPr>
          <w:rFonts w:cs="Calibri"/>
          <w:b/>
        </w:rPr>
      </w:pPr>
    </w:p>
    <w:p w14:paraId="6CB8AD27" w14:textId="76D6807C" w:rsidR="000A134A" w:rsidRPr="00430D4A" w:rsidRDefault="000A134A" w:rsidP="00CE121A">
      <w:pPr>
        <w:widowControl/>
        <w:tabs>
          <w:tab w:val="left" w:pos="720"/>
          <w:tab w:val="left" w:pos="1440"/>
          <w:tab w:val="left" w:pos="2160"/>
        </w:tabs>
        <w:autoSpaceDE/>
        <w:autoSpaceDN/>
        <w:adjustRightInd/>
        <w:jc w:val="center"/>
        <w:rPr>
          <w:rFonts w:eastAsia="Batang" w:cs="Calibri"/>
          <w:b/>
          <w:sz w:val="28"/>
          <w:szCs w:val="28"/>
        </w:rPr>
      </w:pPr>
      <w:r w:rsidRPr="00430D4A">
        <w:rPr>
          <w:rFonts w:eastAsia="Batang" w:cs="Calibri"/>
          <w:b/>
          <w:sz w:val="28"/>
          <w:szCs w:val="28"/>
        </w:rPr>
        <w:t>Ev</w:t>
      </w:r>
      <w:r w:rsidR="00882F2B" w:rsidRPr="00430D4A">
        <w:rPr>
          <w:rFonts w:eastAsia="Batang" w:cs="Calibri"/>
          <w:b/>
          <w:sz w:val="28"/>
          <w:szCs w:val="28"/>
        </w:rPr>
        <w:t>aluation Period: October 1, 20</w:t>
      </w:r>
      <w:r w:rsidR="00F068B3" w:rsidRPr="00430D4A">
        <w:rPr>
          <w:rFonts w:eastAsia="Batang" w:cs="Calibri"/>
          <w:b/>
          <w:sz w:val="28"/>
          <w:szCs w:val="28"/>
        </w:rPr>
        <w:t>23</w:t>
      </w:r>
      <w:r w:rsidRPr="00430D4A">
        <w:rPr>
          <w:rFonts w:eastAsia="Batang" w:cs="Calibri"/>
          <w:b/>
          <w:sz w:val="28"/>
          <w:szCs w:val="28"/>
        </w:rPr>
        <w:t xml:space="preserve"> –</w:t>
      </w:r>
      <w:r w:rsidR="00882F2B" w:rsidRPr="00430D4A">
        <w:rPr>
          <w:rFonts w:eastAsia="Batang" w:cs="Calibri"/>
          <w:b/>
          <w:sz w:val="28"/>
          <w:szCs w:val="28"/>
        </w:rPr>
        <w:t xml:space="preserve"> September 30, 20</w:t>
      </w:r>
      <w:r w:rsidR="001743E2" w:rsidRPr="00430D4A">
        <w:rPr>
          <w:rFonts w:eastAsia="Batang" w:cs="Calibri"/>
          <w:b/>
          <w:sz w:val="28"/>
          <w:szCs w:val="28"/>
        </w:rPr>
        <w:t>24</w:t>
      </w:r>
    </w:p>
    <w:p w14:paraId="03D79AE5" w14:textId="77777777" w:rsidR="000A134A" w:rsidRPr="00430D4A" w:rsidRDefault="000A134A" w:rsidP="00CE121A">
      <w:pPr>
        <w:widowControl/>
        <w:autoSpaceDE/>
        <w:autoSpaceDN/>
        <w:adjustRightInd/>
        <w:jc w:val="center"/>
        <w:rPr>
          <w:rFonts w:cs="Calibri"/>
        </w:rPr>
      </w:pPr>
    </w:p>
    <w:p w14:paraId="221B5785" w14:textId="77777777" w:rsidR="000A134A" w:rsidRPr="00430D4A" w:rsidRDefault="000A134A" w:rsidP="00CE121A">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rFonts w:cs="Calibri"/>
          <w:b/>
        </w:rPr>
      </w:pPr>
    </w:p>
    <w:p w14:paraId="0DF94F44" w14:textId="35D70B64" w:rsidR="000A134A" w:rsidRPr="00430D4A" w:rsidRDefault="000A134A" w:rsidP="00CE121A">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rFonts w:eastAsia="Batang" w:cs="Calibri"/>
          <w:b/>
        </w:rPr>
      </w:pPr>
      <w:r w:rsidRPr="00430D4A">
        <w:rPr>
          <w:rFonts w:eastAsia="Batang" w:cs="Calibri"/>
          <w:b/>
        </w:rPr>
        <w:t xml:space="preserve">Initial Approval Date:  </w:t>
      </w:r>
      <w:r w:rsidR="00121CF0" w:rsidRPr="00430D4A">
        <w:rPr>
          <w:rFonts w:eastAsia="Batang" w:cs="Calibri"/>
          <w:b/>
        </w:rPr>
        <w:t>September 1, 2009</w:t>
      </w:r>
    </w:p>
    <w:p w14:paraId="3062998A" w14:textId="2D79A23E" w:rsidR="000A134A" w:rsidRPr="00430D4A" w:rsidRDefault="000A134A" w:rsidP="00CE121A">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rFonts w:eastAsia="Batang" w:cs="Calibri"/>
          <w:b/>
        </w:rPr>
      </w:pPr>
      <w:r w:rsidRPr="00430D4A">
        <w:rPr>
          <w:rFonts w:eastAsia="Batang" w:cs="Calibri"/>
          <w:b/>
        </w:rPr>
        <w:t xml:space="preserve">Program Certification Date: </w:t>
      </w:r>
      <w:r w:rsidR="00121CF0" w:rsidRPr="00430D4A">
        <w:rPr>
          <w:rFonts w:eastAsia="Batang" w:cs="Calibri"/>
          <w:b/>
        </w:rPr>
        <w:t>Pending</w:t>
      </w:r>
    </w:p>
    <w:p w14:paraId="51A91D4F" w14:textId="3212EE62" w:rsidR="000A134A" w:rsidRPr="00430D4A" w:rsidRDefault="000A134A" w:rsidP="00CE121A">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rFonts w:cs="Calibri"/>
          <w:b/>
        </w:rPr>
      </w:pPr>
      <w:r w:rsidRPr="00430D4A">
        <w:rPr>
          <w:rFonts w:eastAsia="Batang" w:cs="Calibri"/>
          <w:b/>
        </w:rPr>
        <w:t xml:space="preserve">Final Approval Date: </w:t>
      </w:r>
      <w:r w:rsidR="00605198" w:rsidRPr="00430D4A">
        <w:rPr>
          <w:rFonts w:eastAsia="Batang" w:cs="Calibri"/>
          <w:b/>
        </w:rPr>
        <w:t>None</w:t>
      </w:r>
    </w:p>
    <w:p w14:paraId="5FD63D8C" w14:textId="77777777" w:rsidR="000A134A" w:rsidRPr="00430D4A" w:rsidRDefault="000A134A" w:rsidP="00CE121A">
      <w:pPr>
        <w:widowControl/>
        <w:autoSpaceDE/>
        <w:autoSpaceDN/>
        <w:adjustRightInd/>
        <w:jc w:val="center"/>
        <w:rPr>
          <w:rFonts w:cs="Calibri"/>
          <w:b/>
          <w:bCs/>
        </w:rPr>
      </w:pPr>
    </w:p>
    <w:p w14:paraId="2417F7DF" w14:textId="77777777" w:rsidR="00430D4A" w:rsidRPr="00430D4A" w:rsidRDefault="00430D4A" w:rsidP="00CE121A">
      <w:pPr>
        <w:widowControl/>
        <w:autoSpaceDE/>
        <w:autoSpaceDN/>
        <w:adjustRightInd/>
        <w:jc w:val="center"/>
        <w:rPr>
          <w:rFonts w:cs="Calibri"/>
          <w:bCs/>
          <w:iCs/>
        </w:rPr>
      </w:pPr>
    </w:p>
    <w:p w14:paraId="336BF8F1" w14:textId="77777777" w:rsidR="000A134A" w:rsidRPr="00430D4A" w:rsidRDefault="000A134A" w:rsidP="00CE121A">
      <w:pPr>
        <w:widowControl/>
        <w:autoSpaceDE/>
        <w:autoSpaceDN/>
        <w:adjustRightInd/>
        <w:jc w:val="center"/>
        <w:rPr>
          <w:rFonts w:cs="Calibri"/>
          <w:b/>
        </w:rPr>
      </w:pPr>
      <w:r w:rsidRPr="00430D4A">
        <w:rPr>
          <w:rFonts w:cs="Calibri"/>
          <w:b/>
        </w:rPr>
        <w:t>Prepared by:</w:t>
      </w:r>
    </w:p>
    <w:p w14:paraId="503A1070" w14:textId="6B5A968C" w:rsidR="000A134A" w:rsidRPr="00430D4A" w:rsidRDefault="000A134A" w:rsidP="00CE121A">
      <w:pPr>
        <w:widowControl/>
        <w:autoSpaceDE/>
        <w:autoSpaceDN/>
        <w:adjustRightInd/>
        <w:jc w:val="center"/>
        <w:rPr>
          <w:rFonts w:cs="Calibri"/>
          <w:b/>
        </w:rPr>
      </w:pPr>
      <w:r w:rsidRPr="00430D4A">
        <w:rPr>
          <w:rFonts w:cs="Calibri"/>
          <w:b/>
        </w:rPr>
        <w:t>U. S. Department of Labor</w:t>
      </w:r>
    </w:p>
    <w:p w14:paraId="5E957F30" w14:textId="77777777" w:rsidR="000A134A" w:rsidRPr="00430D4A" w:rsidRDefault="000A134A" w:rsidP="00CE121A">
      <w:pPr>
        <w:widowControl/>
        <w:autoSpaceDE/>
        <w:autoSpaceDN/>
        <w:adjustRightInd/>
        <w:jc w:val="center"/>
        <w:rPr>
          <w:rFonts w:cs="Calibri"/>
          <w:b/>
        </w:rPr>
      </w:pPr>
      <w:r w:rsidRPr="00430D4A">
        <w:rPr>
          <w:rFonts w:cs="Calibri"/>
          <w:b/>
        </w:rPr>
        <w:t>Occupational Safety and Health Administration</w:t>
      </w:r>
    </w:p>
    <w:p w14:paraId="283D40DC" w14:textId="37CAAA54" w:rsidR="000A134A" w:rsidRPr="00430D4A" w:rsidRDefault="003A24D5" w:rsidP="00CE121A">
      <w:pPr>
        <w:widowControl/>
        <w:autoSpaceDE/>
        <w:autoSpaceDN/>
        <w:adjustRightInd/>
        <w:jc w:val="center"/>
        <w:rPr>
          <w:rFonts w:cs="Calibri"/>
          <w:b/>
        </w:rPr>
      </w:pPr>
      <w:r w:rsidRPr="00430D4A">
        <w:rPr>
          <w:rFonts w:cs="Calibri"/>
          <w:b/>
        </w:rPr>
        <w:t xml:space="preserve">Chicago </w:t>
      </w:r>
      <w:r w:rsidR="000A134A" w:rsidRPr="00430D4A">
        <w:rPr>
          <w:rFonts w:cs="Calibri"/>
          <w:b/>
        </w:rPr>
        <w:t>Region</w:t>
      </w:r>
    </w:p>
    <w:p w14:paraId="50EE0B64" w14:textId="24F5DE0E" w:rsidR="000A134A" w:rsidRPr="00430D4A" w:rsidRDefault="003A24D5" w:rsidP="00CE121A">
      <w:pPr>
        <w:widowControl/>
        <w:autoSpaceDE/>
        <w:autoSpaceDN/>
        <w:adjustRightInd/>
        <w:jc w:val="center"/>
        <w:rPr>
          <w:rFonts w:cs="Calibri"/>
          <w:b/>
        </w:rPr>
      </w:pPr>
      <w:r w:rsidRPr="00430D4A">
        <w:rPr>
          <w:rFonts w:cs="Calibri"/>
          <w:b/>
        </w:rPr>
        <w:t>Chicago, Illinois</w:t>
      </w:r>
    </w:p>
    <w:p w14:paraId="15F94D47" w14:textId="77777777" w:rsidR="000A134A" w:rsidRPr="00430D4A" w:rsidRDefault="000A134A" w:rsidP="00CE121A">
      <w:pPr>
        <w:widowControl/>
        <w:autoSpaceDE/>
        <w:autoSpaceDN/>
        <w:adjustRightInd/>
        <w:jc w:val="center"/>
        <w:rPr>
          <w:rFonts w:cs="Calibri"/>
          <w:b/>
        </w:rPr>
      </w:pPr>
    </w:p>
    <w:p w14:paraId="2A4EC189" w14:textId="77777777" w:rsidR="000A134A" w:rsidRPr="001C1E47" w:rsidRDefault="000A134A" w:rsidP="00CE121A">
      <w:pPr>
        <w:widowControl/>
        <w:autoSpaceDE/>
        <w:autoSpaceDN/>
        <w:adjustRightInd/>
        <w:jc w:val="center"/>
        <w:rPr>
          <w:rFonts w:cs="Calibri"/>
          <w:b/>
        </w:rPr>
      </w:pPr>
    </w:p>
    <w:p w14:paraId="2A63637C" w14:textId="77777777" w:rsidR="000A134A" w:rsidRPr="001C1E47" w:rsidRDefault="000A134A" w:rsidP="00CE121A">
      <w:pPr>
        <w:widowControl/>
        <w:autoSpaceDE/>
        <w:autoSpaceDN/>
        <w:adjustRightInd/>
        <w:jc w:val="center"/>
        <w:rPr>
          <w:rFonts w:cs="Calibri"/>
          <w:b/>
        </w:rPr>
      </w:pPr>
    </w:p>
    <w:p w14:paraId="26D1C94C" w14:textId="5CE5CF11" w:rsidR="00F43B23" w:rsidRDefault="000A134A" w:rsidP="00CE121A">
      <w:pPr>
        <w:widowControl/>
        <w:autoSpaceDE/>
        <w:autoSpaceDN/>
        <w:adjustRightInd/>
        <w:jc w:val="center"/>
        <w:rPr>
          <w:rFonts w:cs="Calibri"/>
          <w:b/>
          <w:sz w:val="40"/>
          <w:szCs w:val="40"/>
        </w:rPr>
      </w:pPr>
      <w:r w:rsidRPr="001C1E47">
        <w:rPr>
          <w:rFonts w:cs="Calibri"/>
          <w:noProof/>
        </w:rPr>
        <w:drawing>
          <wp:inline distT="0" distB="0" distL="0" distR="0" wp14:anchorId="1D849888" wp14:editId="02DC62B1">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r w:rsidR="00F43B23">
        <w:rPr>
          <w:rFonts w:cs="Calibri"/>
          <w:b/>
          <w:sz w:val="40"/>
          <w:szCs w:val="40"/>
        </w:rPr>
        <w:br w:type="page"/>
      </w:r>
    </w:p>
    <w:p w14:paraId="253E64F1" w14:textId="2FAB4601" w:rsidR="002A6CAA" w:rsidRPr="00F43B23" w:rsidRDefault="00F43B23">
      <w:pPr>
        <w:widowControl/>
        <w:autoSpaceDE/>
        <w:autoSpaceDN/>
        <w:adjustRightInd/>
        <w:rPr>
          <w:rFonts w:cs="Calibri"/>
          <w:b/>
          <w:sz w:val="28"/>
          <w:szCs w:val="28"/>
        </w:rPr>
      </w:pPr>
      <w:r w:rsidRPr="00F43B23">
        <w:rPr>
          <w:rFonts w:cs="Calibri"/>
          <w:b/>
          <w:sz w:val="28"/>
          <w:szCs w:val="28"/>
        </w:rPr>
        <w:lastRenderedPageBreak/>
        <w:t>Table of Contents</w:t>
      </w:r>
    </w:p>
    <w:p w14:paraId="161B9969" w14:textId="1B3A25A1" w:rsidR="000F63C1" w:rsidRDefault="000F63C1">
      <w:pPr>
        <w:pStyle w:val="TOC2"/>
        <w:tabs>
          <w:tab w:val="left" w:pos="480"/>
          <w:tab w:val="right" w:leader="dot" w:pos="9530"/>
        </w:tabs>
        <w:rPr>
          <w:rFonts w:eastAsiaTheme="minorEastAsia" w:cstheme="minorBidi"/>
          <w:b/>
          <w:bCs w:val="0"/>
          <w:noProof/>
          <w:sz w:val="22"/>
          <w:szCs w:val="22"/>
        </w:rPr>
      </w:pPr>
      <w:r>
        <w:fldChar w:fldCharType="begin"/>
      </w:r>
      <w:r>
        <w:instrText xml:space="preserve"> TOC \o "2-3" \h \z \u \t "Level 1,1" </w:instrText>
      </w:r>
      <w:r>
        <w:fldChar w:fldCharType="separate"/>
      </w:r>
      <w:hyperlink w:anchor="_Toc119418663" w:history="1">
        <w:r w:rsidRPr="00B5463F">
          <w:rPr>
            <w:rStyle w:val="Hyperlink"/>
            <w:noProof/>
          </w:rPr>
          <w:t>I.</w:t>
        </w:r>
        <w:r>
          <w:rPr>
            <w:rFonts w:eastAsiaTheme="minorEastAsia" w:cstheme="minorBidi"/>
            <w:b/>
            <w:bCs w:val="0"/>
            <w:noProof/>
            <w:sz w:val="22"/>
            <w:szCs w:val="22"/>
          </w:rPr>
          <w:tab/>
        </w:r>
        <w:r w:rsidRPr="00B5463F">
          <w:rPr>
            <w:rStyle w:val="Hyperlink"/>
            <w:noProof/>
          </w:rPr>
          <w:t>Executive Summary</w:t>
        </w:r>
        <w:r w:rsidRPr="00DD4613">
          <w:rPr>
            <w:noProof/>
            <w:webHidden/>
            <w:sz w:val="24"/>
            <w:szCs w:val="18"/>
          </w:rPr>
          <w:tab/>
        </w:r>
        <w:r w:rsidRPr="00DD4613">
          <w:rPr>
            <w:noProof/>
            <w:webHidden/>
            <w:sz w:val="24"/>
            <w:szCs w:val="18"/>
          </w:rPr>
          <w:fldChar w:fldCharType="begin"/>
        </w:r>
        <w:r w:rsidRPr="00DD4613">
          <w:rPr>
            <w:noProof/>
            <w:webHidden/>
            <w:sz w:val="24"/>
            <w:szCs w:val="18"/>
          </w:rPr>
          <w:instrText xml:space="preserve"> PAGEREF _Toc119418663 \h </w:instrText>
        </w:r>
        <w:r w:rsidRPr="00DD4613">
          <w:rPr>
            <w:noProof/>
            <w:webHidden/>
            <w:sz w:val="24"/>
            <w:szCs w:val="18"/>
          </w:rPr>
        </w:r>
        <w:r w:rsidRPr="00DD4613">
          <w:rPr>
            <w:noProof/>
            <w:webHidden/>
            <w:sz w:val="24"/>
            <w:szCs w:val="18"/>
          </w:rPr>
          <w:fldChar w:fldCharType="separate"/>
        </w:r>
        <w:r w:rsidR="00E30829">
          <w:rPr>
            <w:noProof/>
            <w:webHidden/>
            <w:sz w:val="24"/>
            <w:szCs w:val="18"/>
          </w:rPr>
          <w:t>3</w:t>
        </w:r>
        <w:r w:rsidRPr="00DD4613">
          <w:rPr>
            <w:noProof/>
            <w:webHidden/>
            <w:sz w:val="24"/>
            <w:szCs w:val="18"/>
          </w:rPr>
          <w:fldChar w:fldCharType="end"/>
        </w:r>
      </w:hyperlink>
    </w:p>
    <w:p w14:paraId="3BD91ACD" w14:textId="570F95D9" w:rsidR="000F63C1" w:rsidRDefault="000F63C1">
      <w:pPr>
        <w:pStyle w:val="TOC2"/>
        <w:tabs>
          <w:tab w:val="left" w:pos="480"/>
          <w:tab w:val="right" w:leader="dot" w:pos="9530"/>
        </w:tabs>
      </w:pPr>
      <w:hyperlink w:anchor="_Toc119418664" w:history="1">
        <w:r w:rsidRPr="00B5463F">
          <w:rPr>
            <w:rStyle w:val="Hyperlink"/>
            <w:noProof/>
          </w:rPr>
          <w:t>II.</w:t>
        </w:r>
        <w:r>
          <w:rPr>
            <w:rFonts w:eastAsiaTheme="minorEastAsia" w:cstheme="minorBidi"/>
            <w:b/>
            <w:bCs w:val="0"/>
            <w:noProof/>
            <w:sz w:val="22"/>
            <w:szCs w:val="22"/>
          </w:rPr>
          <w:tab/>
        </w:r>
        <w:r w:rsidRPr="00B5463F">
          <w:rPr>
            <w:rStyle w:val="Hyperlink"/>
            <w:noProof/>
          </w:rPr>
          <w:t>State Plan Background</w:t>
        </w:r>
        <w:r w:rsidRPr="00DD4613">
          <w:rPr>
            <w:noProof/>
            <w:webHidden/>
            <w:sz w:val="24"/>
            <w:szCs w:val="18"/>
          </w:rPr>
          <w:tab/>
        </w:r>
        <w:r w:rsidRPr="00DD4613">
          <w:rPr>
            <w:noProof/>
            <w:webHidden/>
            <w:sz w:val="24"/>
            <w:szCs w:val="18"/>
          </w:rPr>
          <w:fldChar w:fldCharType="begin"/>
        </w:r>
        <w:r w:rsidRPr="00DD4613">
          <w:rPr>
            <w:noProof/>
            <w:webHidden/>
            <w:sz w:val="24"/>
            <w:szCs w:val="18"/>
          </w:rPr>
          <w:instrText xml:space="preserve"> PAGEREF _Toc119418664 \h </w:instrText>
        </w:r>
        <w:r w:rsidRPr="00DD4613">
          <w:rPr>
            <w:noProof/>
            <w:webHidden/>
            <w:sz w:val="24"/>
            <w:szCs w:val="18"/>
          </w:rPr>
        </w:r>
        <w:r w:rsidRPr="00DD4613">
          <w:rPr>
            <w:noProof/>
            <w:webHidden/>
            <w:sz w:val="24"/>
            <w:szCs w:val="18"/>
          </w:rPr>
          <w:fldChar w:fldCharType="separate"/>
        </w:r>
        <w:r w:rsidR="00E30829">
          <w:rPr>
            <w:noProof/>
            <w:webHidden/>
            <w:sz w:val="24"/>
            <w:szCs w:val="18"/>
          </w:rPr>
          <w:t>4</w:t>
        </w:r>
        <w:r w:rsidRPr="00DD4613">
          <w:rPr>
            <w:noProof/>
            <w:webHidden/>
            <w:sz w:val="24"/>
            <w:szCs w:val="18"/>
          </w:rPr>
          <w:fldChar w:fldCharType="end"/>
        </w:r>
      </w:hyperlink>
    </w:p>
    <w:p w14:paraId="239FFD31" w14:textId="077E4343" w:rsidR="005D2799" w:rsidRDefault="0025287C" w:rsidP="005D2799">
      <w:pPr>
        <w:pStyle w:val="TOC3"/>
        <w:tabs>
          <w:tab w:val="left" w:pos="720"/>
          <w:tab w:val="right" w:leader="dot" w:pos="9530"/>
        </w:tabs>
        <w:rPr>
          <w:rFonts w:eastAsiaTheme="minorEastAsia" w:cstheme="minorBidi"/>
          <w:noProof/>
          <w:sz w:val="22"/>
          <w:szCs w:val="22"/>
        </w:rPr>
      </w:pPr>
      <w:hyperlink w:anchor="_Toc119418666" w:history="1">
        <w:r w:rsidRPr="00B5463F">
          <w:rPr>
            <w:rStyle w:val="Hyperlink"/>
            <w:rFonts w:ascii="Calibri" w:hAnsi="Calibri"/>
            <w:noProof/>
          </w:rPr>
          <w:t>A.</w:t>
        </w:r>
        <w:r>
          <w:rPr>
            <w:rFonts w:eastAsiaTheme="minorEastAsia" w:cstheme="minorBidi"/>
            <w:noProof/>
            <w:sz w:val="22"/>
            <w:szCs w:val="22"/>
          </w:rPr>
          <w:tab/>
        </w:r>
        <w:r>
          <w:rPr>
            <w:rStyle w:val="Hyperlink"/>
            <w:noProof/>
          </w:rPr>
          <w:t>New Issues</w:t>
        </w:r>
        <w:r>
          <w:rPr>
            <w:noProof/>
            <w:webHidden/>
          </w:rPr>
          <w:tab/>
          <w:t>4</w:t>
        </w:r>
      </w:hyperlink>
    </w:p>
    <w:p w14:paraId="12E60A29" w14:textId="061522E5" w:rsidR="000F63C1" w:rsidRDefault="000F63C1">
      <w:pPr>
        <w:pStyle w:val="TOC2"/>
        <w:tabs>
          <w:tab w:val="left" w:pos="480"/>
          <w:tab w:val="right" w:leader="dot" w:pos="9530"/>
        </w:tabs>
        <w:rPr>
          <w:rFonts w:eastAsiaTheme="minorEastAsia" w:cstheme="minorBidi"/>
          <w:b/>
          <w:bCs w:val="0"/>
          <w:noProof/>
          <w:sz w:val="22"/>
          <w:szCs w:val="22"/>
        </w:rPr>
      </w:pPr>
      <w:hyperlink w:anchor="_Toc119418665" w:history="1">
        <w:r w:rsidRPr="00B5463F">
          <w:rPr>
            <w:rStyle w:val="Hyperlink"/>
            <w:noProof/>
          </w:rPr>
          <w:t>III.</w:t>
        </w:r>
        <w:r>
          <w:rPr>
            <w:rFonts w:eastAsiaTheme="minorEastAsia" w:cstheme="minorBidi"/>
            <w:b/>
            <w:bCs w:val="0"/>
            <w:noProof/>
            <w:sz w:val="22"/>
            <w:szCs w:val="22"/>
          </w:rPr>
          <w:tab/>
        </w:r>
        <w:r w:rsidRPr="00B5463F">
          <w:rPr>
            <w:rStyle w:val="Hyperlink"/>
            <w:noProof/>
          </w:rPr>
          <w:t>Assessment of State Plan Progress and Performance</w:t>
        </w:r>
        <w:r w:rsidRPr="00DD4613">
          <w:rPr>
            <w:noProof/>
            <w:webHidden/>
            <w:sz w:val="24"/>
            <w:szCs w:val="18"/>
          </w:rPr>
          <w:tab/>
        </w:r>
        <w:r w:rsidR="000F6251" w:rsidRPr="00DD4613">
          <w:rPr>
            <w:noProof/>
            <w:webHidden/>
            <w:sz w:val="24"/>
            <w:szCs w:val="18"/>
          </w:rPr>
          <w:t>5</w:t>
        </w:r>
      </w:hyperlink>
    </w:p>
    <w:p w14:paraId="1E2078A6" w14:textId="3500323C" w:rsidR="000F63C1" w:rsidRDefault="000F63C1">
      <w:pPr>
        <w:pStyle w:val="TOC3"/>
        <w:tabs>
          <w:tab w:val="left" w:pos="720"/>
          <w:tab w:val="right" w:leader="dot" w:pos="9530"/>
        </w:tabs>
        <w:rPr>
          <w:rFonts w:eastAsiaTheme="minorEastAsia" w:cstheme="minorBidi"/>
          <w:noProof/>
          <w:sz w:val="22"/>
          <w:szCs w:val="22"/>
        </w:rPr>
      </w:pPr>
      <w:hyperlink w:anchor="_Toc119418666" w:history="1">
        <w:r w:rsidRPr="00B5463F">
          <w:rPr>
            <w:rStyle w:val="Hyperlink"/>
            <w:rFonts w:ascii="Calibri" w:hAnsi="Calibri"/>
            <w:noProof/>
          </w:rPr>
          <w:t>A.</w:t>
        </w:r>
        <w:r>
          <w:rPr>
            <w:rFonts w:eastAsiaTheme="minorEastAsia" w:cstheme="minorBidi"/>
            <w:noProof/>
            <w:sz w:val="22"/>
            <w:szCs w:val="22"/>
          </w:rPr>
          <w:tab/>
        </w:r>
        <w:r w:rsidRPr="00B5463F">
          <w:rPr>
            <w:rStyle w:val="Hyperlink"/>
            <w:noProof/>
          </w:rPr>
          <w:t>Data and Methodology</w:t>
        </w:r>
        <w:r>
          <w:rPr>
            <w:noProof/>
            <w:webHidden/>
          </w:rPr>
          <w:tab/>
        </w:r>
        <w:r w:rsidR="000F6251">
          <w:rPr>
            <w:noProof/>
            <w:webHidden/>
          </w:rPr>
          <w:t>5</w:t>
        </w:r>
      </w:hyperlink>
    </w:p>
    <w:p w14:paraId="5EC14328" w14:textId="78F7F3DB" w:rsidR="000F63C1" w:rsidRDefault="000F63C1">
      <w:pPr>
        <w:pStyle w:val="TOC3"/>
        <w:tabs>
          <w:tab w:val="left" w:pos="720"/>
          <w:tab w:val="right" w:leader="dot" w:pos="9530"/>
        </w:tabs>
        <w:rPr>
          <w:rFonts w:eastAsiaTheme="minorEastAsia" w:cstheme="minorBidi"/>
          <w:noProof/>
          <w:sz w:val="22"/>
          <w:szCs w:val="22"/>
        </w:rPr>
      </w:pPr>
      <w:hyperlink w:anchor="_Toc119418667" w:history="1">
        <w:r w:rsidRPr="00B5463F">
          <w:rPr>
            <w:rStyle w:val="Hyperlink"/>
            <w:rFonts w:ascii="Calibri" w:hAnsi="Calibri"/>
            <w:noProof/>
          </w:rPr>
          <w:t>B.</w:t>
        </w:r>
        <w:r>
          <w:rPr>
            <w:rFonts w:eastAsiaTheme="minorEastAsia" w:cstheme="minorBidi"/>
            <w:noProof/>
            <w:sz w:val="22"/>
            <w:szCs w:val="22"/>
          </w:rPr>
          <w:tab/>
        </w:r>
        <w:r w:rsidRPr="00B5463F">
          <w:rPr>
            <w:rStyle w:val="Hyperlink"/>
            <w:noProof/>
          </w:rPr>
          <w:t>Findings and Observations</w:t>
        </w:r>
        <w:r>
          <w:rPr>
            <w:noProof/>
            <w:webHidden/>
          </w:rPr>
          <w:tab/>
        </w:r>
        <w:r>
          <w:rPr>
            <w:noProof/>
            <w:webHidden/>
          </w:rPr>
          <w:fldChar w:fldCharType="begin"/>
        </w:r>
        <w:r>
          <w:rPr>
            <w:noProof/>
            <w:webHidden/>
          </w:rPr>
          <w:instrText xml:space="preserve"> PAGEREF _Toc119418667 \h </w:instrText>
        </w:r>
        <w:r>
          <w:rPr>
            <w:noProof/>
            <w:webHidden/>
          </w:rPr>
        </w:r>
        <w:r>
          <w:rPr>
            <w:noProof/>
            <w:webHidden/>
          </w:rPr>
          <w:fldChar w:fldCharType="separate"/>
        </w:r>
        <w:r w:rsidR="00E30829">
          <w:rPr>
            <w:noProof/>
            <w:webHidden/>
          </w:rPr>
          <w:t>6</w:t>
        </w:r>
        <w:r>
          <w:rPr>
            <w:noProof/>
            <w:webHidden/>
          </w:rPr>
          <w:fldChar w:fldCharType="end"/>
        </w:r>
      </w:hyperlink>
    </w:p>
    <w:p w14:paraId="373A40FB" w14:textId="3C720588" w:rsidR="000F63C1" w:rsidRDefault="000F63C1">
      <w:pPr>
        <w:pStyle w:val="TOC3"/>
        <w:tabs>
          <w:tab w:val="left" w:pos="720"/>
          <w:tab w:val="right" w:leader="dot" w:pos="9530"/>
        </w:tabs>
        <w:rPr>
          <w:rFonts w:eastAsiaTheme="minorEastAsia" w:cstheme="minorBidi"/>
          <w:noProof/>
          <w:sz w:val="22"/>
          <w:szCs w:val="22"/>
        </w:rPr>
      </w:pPr>
      <w:hyperlink w:anchor="_Toc119418668" w:history="1">
        <w:r w:rsidRPr="00B5463F">
          <w:rPr>
            <w:rStyle w:val="Hyperlink"/>
            <w:rFonts w:ascii="Calibri" w:hAnsi="Calibri"/>
            <w:noProof/>
          </w:rPr>
          <w:t>C.</w:t>
        </w:r>
        <w:r>
          <w:rPr>
            <w:rFonts w:eastAsiaTheme="minorEastAsia" w:cstheme="minorBidi"/>
            <w:noProof/>
            <w:sz w:val="22"/>
            <w:szCs w:val="22"/>
          </w:rPr>
          <w:tab/>
        </w:r>
        <w:r w:rsidRPr="00B5463F">
          <w:rPr>
            <w:rStyle w:val="Hyperlink"/>
            <w:noProof/>
          </w:rPr>
          <w:t>State Activity Mandated Measures (SAMM) Highlights</w:t>
        </w:r>
        <w:r>
          <w:rPr>
            <w:noProof/>
            <w:webHidden/>
          </w:rPr>
          <w:tab/>
        </w:r>
        <w:r w:rsidR="000F6251">
          <w:rPr>
            <w:noProof/>
            <w:webHidden/>
          </w:rPr>
          <w:t>7</w:t>
        </w:r>
      </w:hyperlink>
    </w:p>
    <w:p w14:paraId="50DBA2CB" w14:textId="7063551A" w:rsidR="000F63C1" w:rsidRDefault="000F63C1">
      <w:pPr>
        <w:pStyle w:val="TOC3"/>
        <w:tabs>
          <w:tab w:val="right" w:leader="dot" w:pos="9530"/>
        </w:tabs>
        <w:rPr>
          <w:rFonts w:eastAsiaTheme="minorEastAsia" w:cstheme="minorBidi"/>
          <w:noProof/>
          <w:sz w:val="22"/>
          <w:szCs w:val="22"/>
        </w:rPr>
      </w:pPr>
      <w:hyperlink w:anchor="_Toc119418669" w:history="1">
        <w:r w:rsidRPr="00B5463F">
          <w:rPr>
            <w:rStyle w:val="Hyperlink"/>
            <w:noProof/>
          </w:rPr>
          <w:t>Appendix A – New and Continued Findings and Recommendations</w:t>
        </w:r>
        <w:r>
          <w:rPr>
            <w:noProof/>
            <w:webHidden/>
          </w:rPr>
          <w:tab/>
        </w:r>
        <w:r w:rsidR="000F6251">
          <w:rPr>
            <w:noProof/>
            <w:webHidden/>
          </w:rPr>
          <w:t>10</w:t>
        </w:r>
      </w:hyperlink>
    </w:p>
    <w:p w14:paraId="150115C6" w14:textId="3AFC7BAF" w:rsidR="000F63C1" w:rsidRDefault="000F63C1">
      <w:pPr>
        <w:pStyle w:val="TOC3"/>
        <w:tabs>
          <w:tab w:val="right" w:leader="dot" w:pos="9530"/>
        </w:tabs>
        <w:rPr>
          <w:rFonts w:eastAsiaTheme="minorEastAsia" w:cstheme="minorBidi"/>
          <w:noProof/>
          <w:sz w:val="22"/>
          <w:szCs w:val="22"/>
        </w:rPr>
      </w:pPr>
      <w:hyperlink w:anchor="_Toc119418670" w:history="1">
        <w:r w:rsidRPr="00B5463F">
          <w:rPr>
            <w:rStyle w:val="Hyperlink"/>
            <w:noProof/>
          </w:rPr>
          <w:t>Appendix B – Observations Subject to Continued Monitoring</w:t>
        </w:r>
        <w:r>
          <w:rPr>
            <w:noProof/>
            <w:webHidden/>
          </w:rPr>
          <w:tab/>
        </w:r>
        <w:r w:rsidR="000F6251">
          <w:rPr>
            <w:noProof/>
            <w:webHidden/>
          </w:rPr>
          <w:t>11</w:t>
        </w:r>
      </w:hyperlink>
    </w:p>
    <w:p w14:paraId="65AD001B" w14:textId="410FBE8C" w:rsidR="000F63C1" w:rsidRDefault="000F63C1">
      <w:pPr>
        <w:pStyle w:val="TOC3"/>
        <w:tabs>
          <w:tab w:val="right" w:leader="dot" w:pos="9530"/>
        </w:tabs>
        <w:rPr>
          <w:rFonts w:eastAsiaTheme="minorEastAsia" w:cstheme="minorBidi"/>
          <w:noProof/>
          <w:sz w:val="22"/>
          <w:szCs w:val="22"/>
        </w:rPr>
      </w:pPr>
      <w:hyperlink w:anchor="_Toc119418671" w:history="1">
        <w:r w:rsidRPr="00B5463F">
          <w:rPr>
            <w:rStyle w:val="Hyperlink"/>
            <w:noProof/>
          </w:rPr>
          <w:t>Appendix C - Status of FY 20XX Findings and Recommendations</w:t>
        </w:r>
        <w:r>
          <w:rPr>
            <w:noProof/>
            <w:webHidden/>
          </w:rPr>
          <w:tab/>
        </w:r>
        <w:r w:rsidR="000F6251">
          <w:rPr>
            <w:noProof/>
            <w:webHidden/>
          </w:rPr>
          <w:t>12</w:t>
        </w:r>
      </w:hyperlink>
    </w:p>
    <w:p w14:paraId="38E9E7F9" w14:textId="5D144E22" w:rsidR="000F63C1" w:rsidRDefault="000F63C1">
      <w:pPr>
        <w:pStyle w:val="TOC3"/>
        <w:tabs>
          <w:tab w:val="right" w:leader="dot" w:pos="9530"/>
        </w:tabs>
        <w:rPr>
          <w:rFonts w:eastAsiaTheme="minorEastAsia" w:cstheme="minorBidi"/>
          <w:noProof/>
          <w:sz w:val="22"/>
          <w:szCs w:val="22"/>
        </w:rPr>
      </w:pPr>
      <w:hyperlink w:anchor="_Toc119418672" w:history="1">
        <w:r w:rsidRPr="00B5463F">
          <w:rPr>
            <w:rStyle w:val="Hyperlink"/>
            <w:noProof/>
          </w:rPr>
          <w:t xml:space="preserve">Appendix D – </w:t>
        </w:r>
        <w:r w:rsidRPr="00CD2031">
          <w:rPr>
            <w:rStyle w:val="Hyperlink"/>
            <w:noProof/>
            <w:color w:val="auto"/>
          </w:rPr>
          <w:t>FY 20</w:t>
        </w:r>
        <w:r w:rsidR="000F6251" w:rsidRPr="00CD2031">
          <w:rPr>
            <w:rStyle w:val="Hyperlink"/>
            <w:noProof/>
            <w:color w:val="auto"/>
          </w:rPr>
          <w:t>24</w:t>
        </w:r>
        <w:r w:rsidRPr="00CD2031">
          <w:rPr>
            <w:rStyle w:val="Hyperlink"/>
            <w:noProof/>
            <w:color w:val="auto"/>
          </w:rPr>
          <w:t xml:space="preserve"> St</w:t>
        </w:r>
        <w:r w:rsidRPr="00B5463F">
          <w:rPr>
            <w:rStyle w:val="Hyperlink"/>
            <w:noProof/>
          </w:rPr>
          <w:t>ate Activity Mandated Measures (SAMM) Report</w:t>
        </w:r>
        <w:r>
          <w:rPr>
            <w:noProof/>
            <w:webHidden/>
          </w:rPr>
          <w:tab/>
        </w:r>
        <w:r w:rsidR="000F6251">
          <w:rPr>
            <w:noProof/>
            <w:webHidden/>
          </w:rPr>
          <w:t>13</w:t>
        </w:r>
      </w:hyperlink>
    </w:p>
    <w:p w14:paraId="2A952C03" w14:textId="0074FEF9" w:rsidR="00B823A3" w:rsidRDefault="000F63C1" w:rsidP="000F63C1">
      <w:r>
        <w:fldChar w:fldCharType="end"/>
      </w:r>
      <w:r w:rsidR="00B823A3">
        <w:br w:type="page"/>
      </w:r>
    </w:p>
    <w:p w14:paraId="57C8B837" w14:textId="77777777" w:rsidR="000A134A" w:rsidRPr="001C1E47" w:rsidRDefault="000A134A" w:rsidP="00476C08">
      <w:pPr>
        <w:pStyle w:val="Heading2"/>
      </w:pPr>
      <w:bookmarkStart w:id="2" w:name="_Toc338764303"/>
      <w:bookmarkStart w:id="3" w:name="_Toc118900170"/>
      <w:bookmarkStart w:id="4" w:name="_Toc118905009"/>
      <w:bookmarkStart w:id="5" w:name="_Toc119418663"/>
      <w:r w:rsidRPr="001C1E47">
        <w:lastRenderedPageBreak/>
        <w:t>Executive Summary</w:t>
      </w:r>
      <w:bookmarkEnd w:id="2"/>
      <w:bookmarkEnd w:id="3"/>
      <w:bookmarkEnd w:id="4"/>
      <w:bookmarkEnd w:id="5"/>
    </w:p>
    <w:p w14:paraId="4A4FF058" w14:textId="77777777" w:rsidR="000A134A" w:rsidRPr="001C1E47" w:rsidRDefault="000A134A" w:rsidP="00783189">
      <w:pPr>
        <w:widowControl/>
        <w:autoSpaceDE/>
        <w:autoSpaceDN/>
        <w:adjustRightInd/>
        <w:rPr>
          <w:rFonts w:cs="Calibri"/>
          <w:b/>
        </w:rPr>
      </w:pPr>
    </w:p>
    <w:p w14:paraId="35EE6218" w14:textId="53139128" w:rsidR="0087426E" w:rsidRPr="00F77AD9" w:rsidRDefault="00050FEB" w:rsidP="00783189">
      <w:pPr>
        <w:rPr>
          <w:rFonts w:cs="Calibri"/>
          <w:iCs/>
        </w:rPr>
      </w:pPr>
      <w:r w:rsidRPr="001C1E47">
        <w:rPr>
          <w:rFonts w:cs="Calibri"/>
        </w:rPr>
        <w:t xml:space="preserve">The </w:t>
      </w:r>
      <w:r w:rsidR="00F85F2D" w:rsidRPr="001C1E47">
        <w:rPr>
          <w:rFonts w:cs="Calibri"/>
        </w:rPr>
        <w:t xml:space="preserve">primary </w:t>
      </w:r>
      <w:r w:rsidRPr="001C1E47">
        <w:rPr>
          <w:rFonts w:cs="Calibri"/>
        </w:rPr>
        <w:t>purpose of this report is to assess the</w:t>
      </w:r>
      <w:r w:rsidR="00CA037B">
        <w:rPr>
          <w:rFonts w:cs="Calibri"/>
        </w:rPr>
        <w:t xml:space="preserve"> Illinois</w:t>
      </w:r>
      <w:r w:rsidRPr="001C1E47">
        <w:rPr>
          <w:rFonts w:cs="Calibri"/>
        </w:rPr>
        <w:t xml:space="preserve"> State Plan’s </w:t>
      </w:r>
      <w:r w:rsidR="00F85F2D" w:rsidRPr="001C1E47">
        <w:rPr>
          <w:rFonts w:cs="Calibri"/>
        </w:rPr>
        <w:t>progress in</w:t>
      </w:r>
      <w:r w:rsidRPr="001C1E47">
        <w:rPr>
          <w:rFonts w:cs="Calibri"/>
        </w:rPr>
        <w:t xml:space="preserve"> Fiscal Year (FY) 20</w:t>
      </w:r>
      <w:r w:rsidR="00607B14">
        <w:rPr>
          <w:rFonts w:cs="Calibri"/>
        </w:rPr>
        <w:t>24</w:t>
      </w:r>
      <w:r w:rsidRPr="001C1E47">
        <w:rPr>
          <w:rFonts w:cs="Calibri"/>
        </w:rPr>
        <w:t xml:space="preserve">, in resolving </w:t>
      </w:r>
      <w:r w:rsidR="00607B14">
        <w:rPr>
          <w:rFonts w:cs="Calibri"/>
        </w:rPr>
        <w:t xml:space="preserve">any </w:t>
      </w:r>
      <w:r w:rsidRPr="001C1E47">
        <w:rPr>
          <w:rFonts w:cs="Calibri"/>
        </w:rPr>
        <w:t xml:space="preserve">outstanding findings from </w:t>
      </w:r>
      <w:r w:rsidR="005837BD" w:rsidRPr="001C1E47">
        <w:rPr>
          <w:rFonts w:cs="Calibri"/>
        </w:rPr>
        <w:t xml:space="preserve">the </w:t>
      </w:r>
      <w:r w:rsidRPr="001C1E47">
        <w:rPr>
          <w:rFonts w:cs="Calibri"/>
        </w:rPr>
        <w:t>previous FY 20</w:t>
      </w:r>
      <w:r w:rsidR="00607B14" w:rsidRPr="00AA6846">
        <w:rPr>
          <w:rFonts w:cs="Calibri"/>
        </w:rPr>
        <w:t>23</w:t>
      </w:r>
      <w:r w:rsidRPr="00210157">
        <w:rPr>
          <w:rFonts w:cs="Calibri"/>
          <w:color w:val="0070C0"/>
        </w:rPr>
        <w:t xml:space="preserve"> </w:t>
      </w:r>
      <w:r w:rsidRPr="001C1E47">
        <w:rPr>
          <w:rFonts w:cs="Calibri"/>
        </w:rPr>
        <w:t>Comprehensive F</w:t>
      </w:r>
      <w:r w:rsidR="00626033" w:rsidRPr="001C1E47">
        <w:rPr>
          <w:rFonts w:cs="Calibri"/>
        </w:rPr>
        <w:t>ederal Annual Monitoring Evaluation (F</w:t>
      </w:r>
      <w:r w:rsidRPr="001C1E47">
        <w:rPr>
          <w:rFonts w:cs="Calibri"/>
        </w:rPr>
        <w:t>AME</w:t>
      </w:r>
      <w:r w:rsidR="00626033" w:rsidRPr="001C1E47">
        <w:rPr>
          <w:rFonts w:cs="Calibri"/>
        </w:rPr>
        <w:t>)</w:t>
      </w:r>
      <w:r w:rsidRPr="001C1E47">
        <w:rPr>
          <w:rFonts w:cs="Calibri"/>
        </w:rPr>
        <w:t xml:space="preserve"> Report.  </w:t>
      </w:r>
      <w:r w:rsidR="009E1AAB">
        <w:rPr>
          <w:rFonts w:cs="Calibri"/>
        </w:rPr>
        <w:t xml:space="preserve">While the </w:t>
      </w:r>
      <w:r w:rsidR="00D64631">
        <w:rPr>
          <w:rFonts w:cs="Calibri"/>
        </w:rPr>
        <w:t xml:space="preserve">Illinois </w:t>
      </w:r>
      <w:r w:rsidR="009E1AAB">
        <w:rPr>
          <w:rFonts w:cs="Calibri"/>
        </w:rPr>
        <w:t xml:space="preserve">State Plan had no outstanding </w:t>
      </w:r>
      <w:r w:rsidR="009E1AAB" w:rsidRPr="00F77AD9">
        <w:rPr>
          <w:rFonts w:cs="Calibri"/>
        </w:rPr>
        <w:t>findings or recommendations</w:t>
      </w:r>
      <w:r w:rsidR="000C23AB" w:rsidRPr="00F77AD9">
        <w:rPr>
          <w:rFonts w:cs="Calibri"/>
        </w:rPr>
        <w:t xml:space="preserve">, the </w:t>
      </w:r>
      <w:r w:rsidR="000F1E3E" w:rsidRPr="00F77AD9">
        <w:rPr>
          <w:rFonts w:cs="Calibri"/>
          <w:iCs/>
        </w:rPr>
        <w:t xml:space="preserve">State Plan </w:t>
      </w:r>
      <w:r w:rsidR="000C23AB" w:rsidRPr="00F77AD9">
        <w:rPr>
          <w:rFonts w:cs="Calibri"/>
          <w:iCs/>
        </w:rPr>
        <w:t xml:space="preserve">worked on continuous operational improvement and </w:t>
      </w:r>
      <w:r w:rsidR="000F1E3E" w:rsidRPr="00F77AD9">
        <w:rPr>
          <w:rFonts w:cs="Calibri"/>
          <w:iCs/>
        </w:rPr>
        <w:t xml:space="preserve">was responsive to </w:t>
      </w:r>
      <w:r w:rsidR="00F2354F" w:rsidRPr="00F77AD9">
        <w:rPr>
          <w:rFonts w:cs="Calibri"/>
          <w:iCs/>
        </w:rPr>
        <w:t xml:space="preserve">addressing </w:t>
      </w:r>
      <w:r w:rsidR="000F1E3E" w:rsidRPr="00F77AD9">
        <w:rPr>
          <w:rFonts w:cs="Calibri"/>
          <w:iCs/>
        </w:rPr>
        <w:t xml:space="preserve">the </w:t>
      </w:r>
      <w:r w:rsidR="00754358" w:rsidRPr="00F77AD9">
        <w:rPr>
          <w:rFonts w:cs="Calibri"/>
          <w:iCs/>
        </w:rPr>
        <w:t>FY 2023 observations</w:t>
      </w:r>
      <w:r w:rsidR="000F1E3E" w:rsidRPr="00F77AD9">
        <w:rPr>
          <w:rFonts w:cs="Calibri"/>
          <w:iCs/>
        </w:rPr>
        <w:t>.</w:t>
      </w:r>
    </w:p>
    <w:p w14:paraId="15361015" w14:textId="77777777" w:rsidR="0087426E" w:rsidRPr="00F77AD9" w:rsidRDefault="0087426E" w:rsidP="00783189">
      <w:pPr>
        <w:widowControl/>
        <w:autoSpaceDE/>
        <w:autoSpaceDN/>
        <w:adjustRightInd/>
        <w:rPr>
          <w:rFonts w:cs="Calibri"/>
          <w:iCs/>
        </w:rPr>
      </w:pPr>
    </w:p>
    <w:p w14:paraId="768F8BFF" w14:textId="5A266E43" w:rsidR="00B60029" w:rsidRPr="00F77AD9" w:rsidRDefault="004A3DA5" w:rsidP="004A3DA5">
      <w:pPr>
        <w:widowControl/>
        <w:autoSpaceDE/>
        <w:autoSpaceDN/>
        <w:adjustRightInd/>
        <w:rPr>
          <w:rFonts w:cs="Calibri"/>
          <w:iCs/>
        </w:rPr>
      </w:pPr>
      <w:r w:rsidRPr="004A3DA5">
        <w:rPr>
          <w:rFonts w:cs="Calibri"/>
          <w:iCs/>
        </w:rPr>
        <w:t xml:space="preserve">The State Plan made progress in addressing the previous </w:t>
      </w:r>
      <w:r w:rsidR="003A4DB5" w:rsidRPr="00F77AD9">
        <w:rPr>
          <w:rFonts w:cs="Calibri"/>
          <w:iCs/>
        </w:rPr>
        <w:t>three observations from the FY 2023 Comprehensive FAME Report</w:t>
      </w:r>
      <w:r w:rsidR="00B44FB7" w:rsidRPr="00F77AD9">
        <w:rPr>
          <w:rFonts w:cs="Calibri"/>
          <w:iCs/>
        </w:rPr>
        <w:t xml:space="preserve"> and no new concerns were identified</w:t>
      </w:r>
      <w:r w:rsidRPr="004A3DA5">
        <w:rPr>
          <w:rFonts w:cs="Calibri"/>
          <w:iCs/>
        </w:rPr>
        <w:t>.  The State Plan’s efforts to address the observations included</w:t>
      </w:r>
      <w:r w:rsidR="008E1C2C">
        <w:rPr>
          <w:rFonts w:cs="Calibri"/>
          <w:iCs/>
        </w:rPr>
        <w:t xml:space="preserve"> hiring</w:t>
      </w:r>
      <w:r w:rsidRPr="004A3DA5">
        <w:rPr>
          <w:rFonts w:cs="Calibri"/>
          <w:iCs/>
        </w:rPr>
        <w:t xml:space="preserve"> </w:t>
      </w:r>
      <w:r w:rsidR="00987BC2" w:rsidRPr="00F77AD9">
        <w:rPr>
          <w:rFonts w:cs="Calibri"/>
          <w:iCs/>
        </w:rPr>
        <w:t>dedicated whistleblower investigative staff</w:t>
      </w:r>
      <w:r w:rsidR="00887C5C" w:rsidRPr="00F77AD9">
        <w:rPr>
          <w:rFonts w:cs="Calibri"/>
          <w:iCs/>
        </w:rPr>
        <w:t xml:space="preserve">, </w:t>
      </w:r>
      <w:r w:rsidRPr="004A3DA5">
        <w:rPr>
          <w:rFonts w:cs="Calibri"/>
          <w:iCs/>
        </w:rPr>
        <w:t xml:space="preserve">improving the review and oversight of the inspection files by the enforcement managers and conducting </w:t>
      </w:r>
      <w:r w:rsidR="00B44FB7" w:rsidRPr="00F77AD9">
        <w:rPr>
          <w:rFonts w:cs="Calibri"/>
          <w:iCs/>
        </w:rPr>
        <w:t>multiple</w:t>
      </w:r>
      <w:r w:rsidRPr="004A3DA5">
        <w:rPr>
          <w:rFonts w:cs="Calibri"/>
          <w:iCs/>
        </w:rPr>
        <w:t xml:space="preserve"> training session</w:t>
      </w:r>
      <w:r w:rsidR="00E30829">
        <w:rPr>
          <w:rFonts w:cs="Calibri"/>
          <w:iCs/>
        </w:rPr>
        <w:t>s</w:t>
      </w:r>
      <w:r w:rsidRPr="004A3DA5">
        <w:rPr>
          <w:rFonts w:cs="Calibri"/>
          <w:iCs/>
        </w:rPr>
        <w:t xml:space="preserve"> with the staff </w:t>
      </w:r>
      <w:r w:rsidR="00B44FB7" w:rsidRPr="00F77AD9">
        <w:rPr>
          <w:rFonts w:cs="Calibri"/>
          <w:iCs/>
        </w:rPr>
        <w:t>during the year</w:t>
      </w:r>
      <w:r w:rsidRPr="004A3DA5">
        <w:rPr>
          <w:rFonts w:cs="Calibri"/>
          <w:iCs/>
        </w:rPr>
        <w:t xml:space="preserve">.  </w:t>
      </w:r>
      <w:r w:rsidR="00B24AFC" w:rsidRPr="00F77AD9">
        <w:rPr>
          <w:rFonts w:cs="Calibri"/>
          <w:iCs/>
        </w:rPr>
        <w:t>O</w:t>
      </w:r>
      <w:r w:rsidR="00887C5C" w:rsidRPr="00F77AD9">
        <w:rPr>
          <w:rFonts w:cs="Calibri"/>
          <w:iCs/>
        </w:rPr>
        <w:t>f t</w:t>
      </w:r>
      <w:r w:rsidRPr="004A3DA5">
        <w:rPr>
          <w:rFonts w:cs="Calibri"/>
          <w:iCs/>
        </w:rPr>
        <w:t xml:space="preserve">he </w:t>
      </w:r>
      <w:r w:rsidR="00887C5C" w:rsidRPr="00F77AD9">
        <w:rPr>
          <w:rFonts w:cs="Calibri"/>
          <w:iCs/>
        </w:rPr>
        <w:t>three</w:t>
      </w:r>
      <w:r w:rsidRPr="004A3DA5">
        <w:rPr>
          <w:rFonts w:cs="Calibri"/>
          <w:iCs/>
        </w:rPr>
        <w:t xml:space="preserve"> previous observations</w:t>
      </w:r>
      <w:r w:rsidR="00B24AFC" w:rsidRPr="00F77AD9">
        <w:rPr>
          <w:rFonts w:cs="Calibri"/>
          <w:iCs/>
        </w:rPr>
        <w:t>, one is closed</w:t>
      </w:r>
      <w:r w:rsidR="005F3D18" w:rsidRPr="00F77AD9">
        <w:rPr>
          <w:rFonts w:cs="Calibri"/>
          <w:iCs/>
        </w:rPr>
        <w:t>, with the remaining two being</w:t>
      </w:r>
      <w:r w:rsidRPr="004A3DA5">
        <w:rPr>
          <w:rFonts w:cs="Calibri"/>
          <w:iCs/>
        </w:rPr>
        <w:t xml:space="preserve"> continued </w:t>
      </w:r>
      <w:r w:rsidR="005F3D18" w:rsidRPr="00F77AD9">
        <w:rPr>
          <w:rFonts w:cs="Calibri"/>
          <w:iCs/>
        </w:rPr>
        <w:t>through FY 2025</w:t>
      </w:r>
      <w:r w:rsidR="0017726D" w:rsidRPr="00F77AD9">
        <w:rPr>
          <w:rFonts w:cs="Calibri"/>
          <w:iCs/>
        </w:rPr>
        <w:t>.  One observation will</w:t>
      </w:r>
      <w:r w:rsidRPr="004A3DA5">
        <w:rPr>
          <w:rFonts w:cs="Calibri"/>
          <w:iCs/>
        </w:rPr>
        <w:t xml:space="preserve"> </w:t>
      </w:r>
      <w:r w:rsidR="003762A2" w:rsidRPr="00F77AD9">
        <w:rPr>
          <w:rFonts w:cs="Calibri"/>
          <w:iCs/>
        </w:rPr>
        <w:t>be assessed through</w:t>
      </w:r>
      <w:r w:rsidRPr="004A3DA5">
        <w:rPr>
          <w:rFonts w:cs="Calibri"/>
          <w:iCs/>
        </w:rPr>
        <w:t xml:space="preserve"> a case file review during the next FAME audit.  </w:t>
      </w:r>
    </w:p>
    <w:p w14:paraId="5C66A78B" w14:textId="77777777" w:rsidR="00B60029" w:rsidRPr="00F77AD9" w:rsidRDefault="00B60029" w:rsidP="004A3DA5">
      <w:pPr>
        <w:widowControl/>
        <w:autoSpaceDE/>
        <w:autoSpaceDN/>
        <w:adjustRightInd/>
        <w:rPr>
          <w:rFonts w:cs="Calibri"/>
          <w:iCs/>
        </w:rPr>
      </w:pPr>
    </w:p>
    <w:p w14:paraId="7C06EC47" w14:textId="4032AFC2" w:rsidR="004A3DA5" w:rsidRPr="004A3DA5" w:rsidRDefault="00223712" w:rsidP="004A3DA5">
      <w:pPr>
        <w:widowControl/>
        <w:autoSpaceDE/>
        <w:autoSpaceDN/>
        <w:adjustRightInd/>
        <w:rPr>
          <w:rFonts w:cs="Calibri"/>
          <w:iCs/>
        </w:rPr>
      </w:pPr>
      <w:r w:rsidRPr="00F77AD9">
        <w:rPr>
          <w:rFonts w:cs="Calibri"/>
          <w:iCs/>
        </w:rPr>
        <w:t>Despite</w:t>
      </w:r>
      <w:r w:rsidR="00342386" w:rsidRPr="00F77AD9">
        <w:rPr>
          <w:rFonts w:cs="Calibri"/>
          <w:iCs/>
        </w:rPr>
        <w:t xml:space="preserve"> an</w:t>
      </w:r>
      <w:r w:rsidRPr="00F77AD9">
        <w:rPr>
          <w:rFonts w:cs="Calibri"/>
          <w:iCs/>
        </w:rPr>
        <w:t xml:space="preserve"> </w:t>
      </w:r>
      <w:r w:rsidR="00342386" w:rsidRPr="00F77AD9">
        <w:rPr>
          <w:rFonts w:cs="Calibri"/>
          <w:iCs/>
        </w:rPr>
        <w:t xml:space="preserve">FY 2024 grant funding reduction and </w:t>
      </w:r>
      <w:r w:rsidR="00BF2769" w:rsidRPr="00F77AD9">
        <w:rPr>
          <w:rFonts w:cs="Calibri"/>
          <w:iCs/>
        </w:rPr>
        <w:t>distribution instability, t</w:t>
      </w:r>
      <w:r w:rsidR="004A3DA5" w:rsidRPr="004A3DA5">
        <w:rPr>
          <w:rFonts w:cs="Calibri"/>
          <w:iCs/>
        </w:rPr>
        <w:t xml:space="preserve">he State Plan </w:t>
      </w:r>
      <w:r w:rsidR="00051FF5" w:rsidRPr="00F77AD9">
        <w:rPr>
          <w:rFonts w:cs="Calibri"/>
          <w:iCs/>
        </w:rPr>
        <w:t>conducted more of their</w:t>
      </w:r>
      <w:r w:rsidR="004A3DA5" w:rsidRPr="004A3DA5">
        <w:rPr>
          <w:rFonts w:cs="Calibri"/>
          <w:iCs/>
        </w:rPr>
        <w:t xml:space="preserve"> planned safety inspections</w:t>
      </w:r>
      <w:r w:rsidR="00C8523D" w:rsidRPr="00F77AD9">
        <w:rPr>
          <w:rFonts w:cs="Calibri"/>
          <w:iCs/>
        </w:rPr>
        <w:t xml:space="preserve"> than in FY 2023</w:t>
      </w:r>
      <w:r w:rsidR="00CC4860" w:rsidRPr="00F77AD9">
        <w:rPr>
          <w:rFonts w:cs="Calibri"/>
          <w:iCs/>
        </w:rPr>
        <w:t xml:space="preserve">.  </w:t>
      </w:r>
      <w:r w:rsidR="00C8523D" w:rsidRPr="00F77AD9">
        <w:rPr>
          <w:rFonts w:cs="Calibri"/>
          <w:iCs/>
        </w:rPr>
        <w:t>Despite the 19%</w:t>
      </w:r>
      <w:r w:rsidR="005C13C0" w:rsidRPr="00F77AD9">
        <w:rPr>
          <w:rFonts w:cs="Calibri"/>
          <w:iCs/>
        </w:rPr>
        <w:t xml:space="preserve"> year-over-year</w:t>
      </w:r>
      <w:r w:rsidR="00C8523D" w:rsidRPr="00F77AD9">
        <w:rPr>
          <w:rFonts w:cs="Calibri"/>
          <w:iCs/>
        </w:rPr>
        <w:t xml:space="preserve"> improvement</w:t>
      </w:r>
      <w:r w:rsidR="00EA63AD" w:rsidRPr="00F77AD9">
        <w:rPr>
          <w:rFonts w:cs="Calibri"/>
          <w:iCs/>
        </w:rPr>
        <w:t>,</w:t>
      </w:r>
      <w:r w:rsidR="004A3DA5" w:rsidRPr="004A3DA5">
        <w:rPr>
          <w:rFonts w:cs="Calibri"/>
          <w:iCs/>
        </w:rPr>
        <w:t xml:space="preserve"> </w:t>
      </w:r>
      <w:r w:rsidR="00051FF5" w:rsidRPr="00F77AD9">
        <w:rPr>
          <w:rFonts w:cs="Calibri"/>
          <w:iCs/>
        </w:rPr>
        <w:t>the</w:t>
      </w:r>
      <w:r w:rsidR="00C8523D" w:rsidRPr="00F77AD9">
        <w:rPr>
          <w:rFonts w:cs="Calibri"/>
          <w:iCs/>
        </w:rPr>
        <w:t xml:space="preserve">y </w:t>
      </w:r>
      <w:r w:rsidR="0035126D" w:rsidRPr="00F77AD9">
        <w:rPr>
          <w:rFonts w:cs="Calibri"/>
          <w:iCs/>
        </w:rPr>
        <w:t>fell</w:t>
      </w:r>
      <w:r w:rsidR="005C13C0" w:rsidRPr="00F77AD9">
        <w:rPr>
          <w:rFonts w:cs="Calibri"/>
          <w:iCs/>
        </w:rPr>
        <w:t xml:space="preserve"> short on achieving </w:t>
      </w:r>
      <w:r w:rsidR="0035126D" w:rsidRPr="00F77AD9">
        <w:rPr>
          <w:rFonts w:cs="Calibri"/>
          <w:iCs/>
        </w:rPr>
        <w:t>their plan</w:t>
      </w:r>
      <w:r w:rsidR="00AA6846">
        <w:rPr>
          <w:rFonts w:cs="Calibri"/>
          <w:iCs/>
        </w:rPr>
        <w:t>n</w:t>
      </w:r>
      <w:r w:rsidR="0035126D" w:rsidRPr="00F77AD9">
        <w:rPr>
          <w:rFonts w:cs="Calibri"/>
          <w:iCs/>
        </w:rPr>
        <w:t xml:space="preserve">ed safety inspection goal.  </w:t>
      </w:r>
      <w:r w:rsidR="004A3DA5" w:rsidRPr="004A3DA5">
        <w:rPr>
          <w:rFonts w:cs="Calibri"/>
          <w:iCs/>
        </w:rPr>
        <w:t xml:space="preserve">This </w:t>
      </w:r>
      <w:r w:rsidR="0035126D" w:rsidRPr="00F77AD9">
        <w:rPr>
          <w:rFonts w:cs="Calibri"/>
          <w:iCs/>
        </w:rPr>
        <w:t>concern will continue to</w:t>
      </w:r>
      <w:r w:rsidR="004A3DA5" w:rsidRPr="004A3DA5">
        <w:rPr>
          <w:rFonts w:cs="Calibri"/>
          <w:iCs/>
        </w:rPr>
        <w:t xml:space="preserve"> be monitored through a</w:t>
      </w:r>
      <w:r w:rsidR="00EA63AD" w:rsidRPr="00F77AD9">
        <w:rPr>
          <w:rFonts w:cs="Calibri"/>
          <w:iCs/>
        </w:rPr>
        <w:t>n</w:t>
      </w:r>
      <w:r w:rsidR="004A3DA5" w:rsidRPr="004A3DA5">
        <w:rPr>
          <w:rFonts w:cs="Calibri"/>
          <w:iCs/>
        </w:rPr>
        <w:t xml:space="preserve"> observation.  A detailed explanation of the observations, and the status of the State Plan’s response, is found in Section III.B Findings and Observations.</w:t>
      </w:r>
    </w:p>
    <w:p w14:paraId="30A35F79" w14:textId="77777777" w:rsidR="004A3DA5" w:rsidRPr="004A3DA5" w:rsidRDefault="004A3DA5" w:rsidP="004A3DA5">
      <w:pPr>
        <w:widowControl/>
        <w:autoSpaceDE/>
        <w:autoSpaceDN/>
        <w:adjustRightInd/>
        <w:rPr>
          <w:rFonts w:cs="Calibri"/>
          <w:iCs/>
        </w:rPr>
      </w:pPr>
    </w:p>
    <w:p w14:paraId="06926C38" w14:textId="1D8F93AB" w:rsidR="004A3DA5" w:rsidRPr="004A3DA5" w:rsidRDefault="004A3DA5" w:rsidP="004A3DA5">
      <w:pPr>
        <w:widowControl/>
        <w:autoSpaceDE/>
        <w:autoSpaceDN/>
        <w:adjustRightInd/>
        <w:rPr>
          <w:rFonts w:cs="Calibri"/>
          <w:iCs/>
        </w:rPr>
      </w:pPr>
      <w:r w:rsidRPr="004A3DA5">
        <w:rPr>
          <w:rFonts w:cs="Calibri"/>
          <w:iCs/>
        </w:rPr>
        <w:t>The Illinois Strategic Management Plan for FY 2021 to FY 2026 established three strategic goals: 1) Improve workplace safety and health in Illinois state and local government workplaces; 2) Promote a safety and health culture in</w:t>
      </w:r>
      <w:r w:rsidR="00292C43" w:rsidRPr="00F77AD9">
        <w:rPr>
          <w:rFonts w:cs="Calibri"/>
          <w:iCs/>
        </w:rPr>
        <w:t xml:space="preserve"> the</w:t>
      </w:r>
      <w:r w:rsidRPr="004A3DA5">
        <w:rPr>
          <w:rFonts w:cs="Calibri"/>
          <w:iCs/>
        </w:rPr>
        <w:t xml:space="preserve"> Illinois state and local government workforce; and 3) Strengthen public confidence through excellence in development and delivery of Illinois OSHA programs and services.  The FY 202</w:t>
      </w:r>
      <w:r w:rsidR="00F2582A" w:rsidRPr="00F77AD9">
        <w:rPr>
          <w:rFonts w:cs="Calibri"/>
          <w:iCs/>
        </w:rPr>
        <w:t>4</w:t>
      </w:r>
      <w:r w:rsidRPr="004A3DA5">
        <w:rPr>
          <w:rFonts w:cs="Calibri"/>
          <w:iCs/>
        </w:rPr>
        <w:t xml:space="preserve"> Performance Plan provided the framework for accomplishing the goals of the strategic plan by establishing specific performance goals for FY 202</w:t>
      </w:r>
      <w:r w:rsidR="00F2582A" w:rsidRPr="00F77AD9">
        <w:rPr>
          <w:rFonts w:cs="Calibri"/>
          <w:iCs/>
        </w:rPr>
        <w:t>4</w:t>
      </w:r>
      <w:r w:rsidRPr="004A3DA5">
        <w:rPr>
          <w:rFonts w:cs="Calibri"/>
          <w:iCs/>
        </w:rPr>
        <w:t>.</w:t>
      </w:r>
    </w:p>
    <w:p w14:paraId="3A4E49DB" w14:textId="77777777" w:rsidR="004A3DA5" w:rsidRPr="004A3DA5" w:rsidRDefault="004A3DA5" w:rsidP="004A3DA5">
      <w:pPr>
        <w:widowControl/>
        <w:autoSpaceDE/>
        <w:autoSpaceDN/>
        <w:adjustRightInd/>
        <w:rPr>
          <w:rFonts w:cs="Calibri"/>
          <w:iCs/>
        </w:rPr>
      </w:pPr>
    </w:p>
    <w:p w14:paraId="68742229" w14:textId="552B98C8" w:rsidR="004A3DA5" w:rsidRPr="004A3DA5" w:rsidRDefault="004A3DA5" w:rsidP="004A3DA5">
      <w:pPr>
        <w:widowControl/>
        <w:autoSpaceDE/>
        <w:autoSpaceDN/>
        <w:adjustRightInd/>
        <w:rPr>
          <w:rFonts w:cs="Calibri"/>
          <w:iCs/>
        </w:rPr>
      </w:pPr>
      <w:r w:rsidRPr="004A3DA5">
        <w:rPr>
          <w:rFonts w:cs="Calibri"/>
          <w:iCs/>
        </w:rPr>
        <w:t>In the FY 202</w:t>
      </w:r>
      <w:r w:rsidR="00F2582A" w:rsidRPr="00F77AD9">
        <w:rPr>
          <w:rFonts w:cs="Calibri"/>
          <w:iCs/>
        </w:rPr>
        <w:t>4</w:t>
      </w:r>
      <w:r w:rsidRPr="004A3DA5">
        <w:rPr>
          <w:rFonts w:cs="Calibri"/>
          <w:iCs/>
        </w:rPr>
        <w:t xml:space="preserve"> State OSHA Annual Report (SOAR), Illinois OSHA provided information that outlines their accomplishments toward meeting their Five-Year Strategic Management Plan.  The information has been reviewed and analyzed to assess their progress in meeting performance plan goals.</w:t>
      </w:r>
      <w:r w:rsidR="001E4C26">
        <w:rPr>
          <w:rFonts w:cs="Calibri"/>
          <w:iCs/>
        </w:rPr>
        <w:t xml:space="preserve"> </w:t>
      </w:r>
      <w:r w:rsidRPr="004A3DA5">
        <w:rPr>
          <w:rFonts w:cs="Calibri"/>
          <w:iCs/>
        </w:rPr>
        <w:t xml:space="preserve"> Through effective resource utilization, targeted high-hazard inspections, outreach activities, and an overall commitment to performance goal achievements, all six annual performance goals, planned number of health inspections and consultation visit goals have been met or exceeded.  </w:t>
      </w:r>
    </w:p>
    <w:p w14:paraId="4A4F634C" w14:textId="77777777" w:rsidR="004A3DA5" w:rsidRPr="004A3DA5" w:rsidRDefault="004A3DA5" w:rsidP="004A3DA5">
      <w:pPr>
        <w:widowControl/>
        <w:autoSpaceDE/>
        <w:autoSpaceDN/>
        <w:adjustRightInd/>
        <w:rPr>
          <w:rFonts w:cs="Calibri"/>
          <w:iCs/>
        </w:rPr>
      </w:pPr>
    </w:p>
    <w:p w14:paraId="142DDDF7" w14:textId="65321B87" w:rsidR="004A3DA5" w:rsidRPr="00F77AD9" w:rsidRDefault="004A3DA5" w:rsidP="004A3DA5">
      <w:pPr>
        <w:widowControl/>
        <w:autoSpaceDE/>
        <w:autoSpaceDN/>
        <w:adjustRightInd/>
        <w:rPr>
          <w:rFonts w:cs="Calibri"/>
          <w:iCs/>
        </w:rPr>
      </w:pPr>
      <w:r w:rsidRPr="00F77AD9">
        <w:rPr>
          <w:rFonts w:cs="Calibri"/>
          <w:iCs/>
        </w:rPr>
        <w:t>Quarterly monitoring meetings were held during FY 202</w:t>
      </w:r>
      <w:r w:rsidR="00064D25" w:rsidRPr="00F77AD9">
        <w:rPr>
          <w:rFonts w:cs="Calibri"/>
          <w:iCs/>
        </w:rPr>
        <w:t>4</w:t>
      </w:r>
      <w:r w:rsidRPr="00F77AD9">
        <w:rPr>
          <w:rFonts w:cs="Calibri"/>
          <w:iCs/>
        </w:rPr>
        <w:t>, at which time the State Activity Mandated Measures (SAMM) report and the State Indicators Report (SIR) were reviewed and discussed with Illinois State Plan staff.  The FY 202</w:t>
      </w:r>
      <w:r w:rsidR="00F77AD9" w:rsidRPr="00F77AD9">
        <w:rPr>
          <w:rFonts w:cs="Calibri"/>
          <w:iCs/>
        </w:rPr>
        <w:t>4</w:t>
      </w:r>
      <w:r w:rsidRPr="00F77AD9">
        <w:rPr>
          <w:rFonts w:cs="Calibri"/>
          <w:iCs/>
        </w:rPr>
        <w:t xml:space="preserve"> SAMM is Appendix D of this report.</w:t>
      </w:r>
    </w:p>
    <w:p w14:paraId="6A7D671B" w14:textId="073148D5" w:rsidR="00783189" w:rsidRPr="001C1E47" w:rsidRDefault="00783189" w:rsidP="00783189">
      <w:pPr>
        <w:widowControl/>
        <w:autoSpaceDE/>
        <w:autoSpaceDN/>
        <w:adjustRightInd/>
        <w:rPr>
          <w:rFonts w:cs="Calibri"/>
        </w:rPr>
      </w:pPr>
    </w:p>
    <w:p w14:paraId="67E95E6F" w14:textId="6755D6C3" w:rsidR="000A134A" w:rsidRPr="001C1E47" w:rsidRDefault="001E71BA" w:rsidP="00476C08">
      <w:pPr>
        <w:pStyle w:val="Heading2"/>
      </w:pPr>
      <w:bookmarkStart w:id="6" w:name="_Toc118900171"/>
      <w:bookmarkStart w:id="7" w:name="_Toc118905010"/>
      <w:bookmarkStart w:id="8" w:name="_Toc119418664"/>
      <w:r w:rsidRPr="001C1E47">
        <w:lastRenderedPageBreak/>
        <w:t>State Plan Background</w:t>
      </w:r>
      <w:bookmarkEnd w:id="6"/>
      <w:bookmarkEnd w:id="7"/>
      <w:bookmarkEnd w:id="8"/>
    </w:p>
    <w:p w14:paraId="7ED8AA2D" w14:textId="77777777" w:rsidR="000A134A" w:rsidRPr="001C1E47" w:rsidRDefault="000A134A" w:rsidP="00783189">
      <w:pPr>
        <w:widowControl/>
        <w:autoSpaceDE/>
        <w:autoSpaceDN/>
        <w:adjustRightInd/>
        <w:rPr>
          <w:rFonts w:cs="Calibri"/>
          <w:i/>
        </w:rPr>
      </w:pPr>
    </w:p>
    <w:p w14:paraId="1F636043" w14:textId="4AFA3B40" w:rsidR="00EE424F" w:rsidRPr="005909A9" w:rsidRDefault="00EE424F" w:rsidP="00EE424F">
      <w:pPr>
        <w:widowControl/>
        <w:autoSpaceDE/>
        <w:autoSpaceDN/>
        <w:adjustRightInd/>
        <w:contextualSpacing/>
        <w:rPr>
          <w:rFonts w:cs="Calibri"/>
          <w:iCs/>
        </w:rPr>
      </w:pPr>
      <w:r w:rsidRPr="005909A9">
        <w:rPr>
          <w:rFonts w:cs="Calibri"/>
          <w:iCs/>
        </w:rPr>
        <w:t xml:space="preserve">IL OSHA operates a state and local government only OSHA State Plan.  The Illinois State Plan was approved as a Developmental Plan on September 1, 2009.  During FY 2024, the period of this report, Mr. Erik Kambarian was IL OSHA’s Division Chief, administering the Illinois State Plan under Mrs. Jane Flanagan, Director of the Illinois Department of Labor.  </w:t>
      </w:r>
      <w:r w:rsidR="00A04448" w:rsidRPr="005909A9">
        <w:rPr>
          <w:rFonts w:cs="Calibri"/>
          <w:iCs/>
        </w:rPr>
        <w:t xml:space="preserve">The State Plan covers over 8,500 units of state and local government with an estimated 742,351 state and local government employees in Illinois.  </w:t>
      </w:r>
      <w:r w:rsidRPr="005909A9">
        <w:rPr>
          <w:rFonts w:cs="Calibri"/>
          <w:iCs/>
        </w:rPr>
        <w:t>IL OSHA protects state and local government employees by enforcing safety and health standards, providing consultation services, investigating both occupational safety and health as well as whistleblower complaints, adopting OSHA standards, and providing outreach services.</w:t>
      </w:r>
      <w:r w:rsidR="004F5C15" w:rsidRPr="005909A9">
        <w:rPr>
          <w:rFonts w:cs="Calibri"/>
          <w:iCs/>
        </w:rPr>
        <w:t xml:space="preserve">  </w:t>
      </w:r>
    </w:p>
    <w:p w14:paraId="42709AE5" w14:textId="77777777" w:rsidR="00EE424F" w:rsidRPr="005909A9" w:rsidRDefault="00EE424F" w:rsidP="00EE424F">
      <w:pPr>
        <w:widowControl/>
        <w:autoSpaceDE/>
        <w:autoSpaceDN/>
        <w:adjustRightInd/>
        <w:contextualSpacing/>
        <w:rPr>
          <w:rFonts w:cs="Calibri"/>
          <w:iCs/>
        </w:rPr>
      </w:pPr>
    </w:p>
    <w:p w14:paraId="74F311A3" w14:textId="37B107F6" w:rsidR="00EE424F" w:rsidRPr="005909A9" w:rsidRDefault="00EE424F" w:rsidP="00EE424F">
      <w:pPr>
        <w:widowControl/>
        <w:autoSpaceDE/>
        <w:autoSpaceDN/>
        <w:adjustRightInd/>
        <w:contextualSpacing/>
        <w:rPr>
          <w:rFonts w:cs="Calibri"/>
          <w:iCs/>
        </w:rPr>
      </w:pPr>
      <w:r w:rsidRPr="005909A9">
        <w:rPr>
          <w:rFonts w:cs="Calibri"/>
          <w:iCs/>
        </w:rPr>
        <w:t>Since approval as a Developmental Plan on September 1, 2009, IL OSHA has requested multiple extensions to complete its developmental steps.  In FY 2023</w:t>
      </w:r>
      <w:r w:rsidR="005C1C74">
        <w:rPr>
          <w:rFonts w:cs="Calibri"/>
          <w:iCs/>
        </w:rPr>
        <w:t>,</w:t>
      </w:r>
      <w:r w:rsidRPr="005909A9">
        <w:rPr>
          <w:rFonts w:cs="Calibri"/>
          <w:iCs/>
        </w:rPr>
        <w:t xml:space="preserve"> IL OSHA worked diligently to move successfully forward in their developmental steps</w:t>
      </w:r>
      <w:r w:rsidR="00A470EB" w:rsidRPr="005909A9">
        <w:rPr>
          <w:rFonts w:cs="Calibri"/>
          <w:iCs/>
        </w:rPr>
        <w:t xml:space="preserve"> </w:t>
      </w:r>
      <w:r w:rsidR="00540728" w:rsidRPr="005909A9">
        <w:rPr>
          <w:rFonts w:cs="Calibri"/>
          <w:iCs/>
        </w:rPr>
        <w:t xml:space="preserve">by </w:t>
      </w:r>
      <w:r w:rsidRPr="005909A9">
        <w:rPr>
          <w:rFonts w:cs="Calibri"/>
          <w:iCs/>
        </w:rPr>
        <w:t>fill</w:t>
      </w:r>
      <w:r w:rsidR="00540728" w:rsidRPr="005909A9">
        <w:rPr>
          <w:rFonts w:cs="Calibri"/>
          <w:iCs/>
        </w:rPr>
        <w:t>ing</w:t>
      </w:r>
      <w:r w:rsidRPr="005909A9">
        <w:rPr>
          <w:rFonts w:cs="Calibri"/>
          <w:iCs/>
        </w:rPr>
        <w:t xml:space="preserve"> vacancies to move the program out of the developmental stage.  </w:t>
      </w:r>
      <w:r w:rsidR="00F243A3" w:rsidRPr="005909A9">
        <w:rPr>
          <w:rFonts w:cs="Calibri"/>
          <w:iCs/>
        </w:rPr>
        <w:t xml:space="preserve">IL OSHA </w:t>
      </w:r>
      <w:r w:rsidR="00BA3089" w:rsidRPr="005909A9">
        <w:rPr>
          <w:rFonts w:cs="Calibri"/>
          <w:iCs/>
        </w:rPr>
        <w:t xml:space="preserve">submitted their application for certification on February 28, </w:t>
      </w:r>
      <w:r w:rsidR="00A04448" w:rsidRPr="005909A9">
        <w:rPr>
          <w:rFonts w:cs="Calibri"/>
          <w:iCs/>
        </w:rPr>
        <w:t>2024,</w:t>
      </w:r>
      <w:r w:rsidR="00BA3089" w:rsidRPr="005909A9">
        <w:rPr>
          <w:rFonts w:cs="Calibri"/>
          <w:iCs/>
        </w:rPr>
        <w:t xml:space="preserve"> and it is currently </w:t>
      </w:r>
      <w:r w:rsidR="001F2E6C" w:rsidRPr="005909A9">
        <w:rPr>
          <w:rFonts w:cs="Calibri"/>
          <w:iCs/>
        </w:rPr>
        <w:t>under</w:t>
      </w:r>
      <w:r w:rsidR="00BA3089" w:rsidRPr="005909A9">
        <w:rPr>
          <w:rFonts w:cs="Calibri"/>
          <w:iCs/>
        </w:rPr>
        <w:t xml:space="preserve"> final </w:t>
      </w:r>
      <w:r w:rsidR="001F2E6C" w:rsidRPr="005909A9">
        <w:rPr>
          <w:rFonts w:cs="Calibri"/>
          <w:iCs/>
        </w:rPr>
        <w:t xml:space="preserve">review by </w:t>
      </w:r>
      <w:r w:rsidR="00C00E59" w:rsidRPr="005909A9">
        <w:rPr>
          <w:rFonts w:cs="Calibri"/>
          <w:iCs/>
        </w:rPr>
        <w:t>OSHA</w:t>
      </w:r>
      <w:r w:rsidR="001F2E6C" w:rsidRPr="005909A9">
        <w:rPr>
          <w:rFonts w:cs="Calibri"/>
          <w:iCs/>
        </w:rPr>
        <w:t>.</w:t>
      </w:r>
      <w:r w:rsidRPr="005909A9">
        <w:rPr>
          <w:rFonts w:cs="Calibri"/>
          <w:iCs/>
        </w:rPr>
        <w:t xml:space="preserve"> </w:t>
      </w:r>
    </w:p>
    <w:p w14:paraId="2BF8A13D" w14:textId="77777777" w:rsidR="00EE424F" w:rsidRPr="005909A9" w:rsidRDefault="00EE424F" w:rsidP="00EE424F">
      <w:pPr>
        <w:widowControl/>
        <w:autoSpaceDE/>
        <w:autoSpaceDN/>
        <w:adjustRightInd/>
        <w:contextualSpacing/>
        <w:rPr>
          <w:rFonts w:cs="Calibri"/>
          <w:iCs/>
        </w:rPr>
      </w:pPr>
    </w:p>
    <w:p w14:paraId="7C4E60EC" w14:textId="2E743E83" w:rsidR="00EE424F" w:rsidRPr="005909A9" w:rsidRDefault="00EE424F" w:rsidP="00EE424F">
      <w:pPr>
        <w:widowControl/>
        <w:autoSpaceDE/>
        <w:autoSpaceDN/>
        <w:adjustRightInd/>
        <w:contextualSpacing/>
        <w:rPr>
          <w:rFonts w:cs="Calibri"/>
          <w:iCs/>
        </w:rPr>
      </w:pPr>
      <w:r w:rsidRPr="005909A9">
        <w:rPr>
          <w:rFonts w:cs="Calibri"/>
          <w:iCs/>
        </w:rPr>
        <w:t xml:space="preserve">The </w:t>
      </w:r>
      <w:r w:rsidR="00F60064" w:rsidRPr="005909A9">
        <w:rPr>
          <w:rFonts w:cs="Calibri"/>
          <w:iCs/>
        </w:rPr>
        <w:t>State Plan</w:t>
      </w:r>
      <w:r w:rsidRPr="005909A9">
        <w:rPr>
          <w:rFonts w:cs="Calibri"/>
          <w:iCs/>
        </w:rPr>
        <w:t xml:space="preserve"> FY 202</w:t>
      </w:r>
      <w:r w:rsidR="00C42885" w:rsidRPr="005909A9">
        <w:rPr>
          <w:rFonts w:cs="Calibri"/>
          <w:iCs/>
        </w:rPr>
        <w:t>4</w:t>
      </w:r>
      <w:r w:rsidRPr="005909A9">
        <w:rPr>
          <w:rFonts w:cs="Calibri"/>
          <w:iCs/>
        </w:rPr>
        <w:t xml:space="preserve"> grant included full-time equivalent (FTE) staffing of 19.</w:t>
      </w:r>
      <w:r w:rsidR="00613808" w:rsidRPr="005909A9">
        <w:rPr>
          <w:rFonts w:cs="Calibri"/>
          <w:iCs/>
        </w:rPr>
        <w:t>7</w:t>
      </w:r>
      <w:r w:rsidRPr="005909A9">
        <w:rPr>
          <w:rFonts w:cs="Calibri"/>
          <w:iCs/>
        </w:rPr>
        <w:t xml:space="preserve">5 positions.  The State Plan’s expected staffing level includes a division chief, </w:t>
      </w:r>
      <w:r w:rsidR="00E80D39" w:rsidRPr="005909A9">
        <w:rPr>
          <w:rFonts w:cs="Calibri"/>
          <w:iCs/>
        </w:rPr>
        <w:t xml:space="preserve">assistant division chief, </w:t>
      </w:r>
      <w:r w:rsidRPr="005909A9">
        <w:rPr>
          <w:rFonts w:cs="Calibri"/>
          <w:iCs/>
        </w:rPr>
        <w:t xml:space="preserve">two regional enforcement managers, one administrative assistant, one office associate, 11 safety inspectors, three industrial hygienists, two consultation supervisors, four consultants, and a marketing and outreach coordinator.  The division chief, </w:t>
      </w:r>
      <w:r w:rsidR="00BA6B61" w:rsidRPr="005909A9">
        <w:rPr>
          <w:rFonts w:cs="Calibri"/>
          <w:iCs/>
        </w:rPr>
        <w:t xml:space="preserve">assistant division chief, </w:t>
      </w:r>
      <w:r w:rsidRPr="005909A9">
        <w:rPr>
          <w:rFonts w:cs="Calibri"/>
          <w:iCs/>
        </w:rPr>
        <w:t>consultation staff, administrative staff, and the marketing and outreach coordinator split their time between the 23(g) state and local government enforcement program and the 21(d) private sector consultation program.</w:t>
      </w:r>
    </w:p>
    <w:p w14:paraId="65E92DAD" w14:textId="77777777" w:rsidR="00EE424F" w:rsidRPr="005909A9" w:rsidRDefault="00EE424F" w:rsidP="00EE424F">
      <w:pPr>
        <w:widowControl/>
        <w:autoSpaceDE/>
        <w:autoSpaceDN/>
        <w:adjustRightInd/>
        <w:contextualSpacing/>
        <w:rPr>
          <w:rFonts w:cs="Calibri"/>
          <w:iCs/>
        </w:rPr>
      </w:pPr>
    </w:p>
    <w:p w14:paraId="07E4A0DB" w14:textId="456462A3" w:rsidR="00783189" w:rsidRPr="005909A9" w:rsidRDefault="00EE424F" w:rsidP="00EE424F">
      <w:pPr>
        <w:widowControl/>
        <w:autoSpaceDE/>
        <w:autoSpaceDN/>
        <w:adjustRightInd/>
        <w:contextualSpacing/>
        <w:rPr>
          <w:rFonts w:cs="Calibri"/>
          <w:iCs/>
        </w:rPr>
      </w:pPr>
      <w:r w:rsidRPr="005909A9">
        <w:rPr>
          <w:rFonts w:cs="Calibri"/>
          <w:iCs/>
        </w:rPr>
        <w:t>The FY 202</w:t>
      </w:r>
      <w:r w:rsidR="00BA6B61" w:rsidRPr="005909A9">
        <w:rPr>
          <w:rFonts w:cs="Calibri"/>
          <w:iCs/>
        </w:rPr>
        <w:t>4</w:t>
      </w:r>
      <w:r w:rsidRPr="005909A9">
        <w:rPr>
          <w:rFonts w:cs="Calibri"/>
          <w:iCs/>
        </w:rPr>
        <w:t xml:space="preserve"> grant </w:t>
      </w:r>
      <w:r w:rsidR="00BA6B61" w:rsidRPr="005909A9">
        <w:rPr>
          <w:rFonts w:cs="Calibri"/>
          <w:iCs/>
        </w:rPr>
        <w:t xml:space="preserve">originally </w:t>
      </w:r>
      <w:r w:rsidRPr="005909A9">
        <w:rPr>
          <w:rFonts w:cs="Calibri"/>
          <w:iCs/>
        </w:rPr>
        <w:t>included funding totaling $2,</w:t>
      </w:r>
      <w:r w:rsidR="00BA6B61" w:rsidRPr="005909A9">
        <w:rPr>
          <w:rFonts w:cs="Calibri"/>
          <w:iCs/>
        </w:rPr>
        <w:t>756</w:t>
      </w:r>
      <w:r w:rsidRPr="005909A9">
        <w:rPr>
          <w:rFonts w:cs="Calibri"/>
          <w:iCs/>
        </w:rPr>
        <w:t>,</w:t>
      </w:r>
      <w:r w:rsidR="00BA6B61" w:rsidRPr="005909A9">
        <w:rPr>
          <w:rFonts w:cs="Calibri"/>
          <w:iCs/>
        </w:rPr>
        <w:t>0</w:t>
      </w:r>
      <w:r w:rsidRPr="005909A9">
        <w:rPr>
          <w:rFonts w:cs="Calibri"/>
          <w:iCs/>
        </w:rPr>
        <w:t xml:space="preserve">00.  </w:t>
      </w:r>
      <w:r w:rsidR="002E3336" w:rsidRPr="005909A9">
        <w:rPr>
          <w:rFonts w:cs="Calibri"/>
          <w:iCs/>
        </w:rPr>
        <w:t>However, in June of 2024, OSHA amended</w:t>
      </w:r>
      <w:r w:rsidR="00EE3615" w:rsidRPr="005909A9">
        <w:rPr>
          <w:rFonts w:cs="Calibri"/>
          <w:iCs/>
        </w:rPr>
        <w:t xml:space="preserve"> the FY 2024 grant amount, reducing the funding </w:t>
      </w:r>
      <w:r w:rsidR="004D0517" w:rsidRPr="005909A9">
        <w:rPr>
          <w:rFonts w:cs="Calibri"/>
          <w:iCs/>
        </w:rPr>
        <w:t>amount by $</w:t>
      </w:r>
      <w:r w:rsidR="00ED2133" w:rsidRPr="005909A9">
        <w:rPr>
          <w:rFonts w:cs="Calibri"/>
          <w:iCs/>
        </w:rPr>
        <w:t>50,000</w:t>
      </w:r>
      <w:r w:rsidR="00EE3615" w:rsidRPr="005909A9">
        <w:rPr>
          <w:rFonts w:cs="Calibri"/>
          <w:iCs/>
        </w:rPr>
        <w:t xml:space="preserve"> </w:t>
      </w:r>
      <w:r w:rsidR="00ED2133" w:rsidRPr="005909A9">
        <w:rPr>
          <w:rFonts w:cs="Calibri"/>
          <w:iCs/>
        </w:rPr>
        <w:t>(</w:t>
      </w:r>
      <w:r w:rsidR="00583C9B" w:rsidRPr="005909A9">
        <w:rPr>
          <w:rFonts w:cs="Calibri"/>
          <w:iCs/>
        </w:rPr>
        <w:t>3.61%</w:t>
      </w:r>
      <w:r w:rsidR="00ED2133" w:rsidRPr="005909A9">
        <w:rPr>
          <w:rFonts w:cs="Calibri"/>
          <w:iCs/>
        </w:rPr>
        <w:t>)</w:t>
      </w:r>
      <w:r w:rsidR="004D0517" w:rsidRPr="005909A9">
        <w:rPr>
          <w:rFonts w:cs="Calibri"/>
          <w:iCs/>
        </w:rPr>
        <w:t xml:space="preserve"> </w:t>
      </w:r>
      <w:r w:rsidR="00EE3615" w:rsidRPr="005909A9">
        <w:rPr>
          <w:rFonts w:cs="Calibri"/>
          <w:iCs/>
        </w:rPr>
        <w:t xml:space="preserve">to </w:t>
      </w:r>
      <w:r w:rsidR="006E5E23" w:rsidRPr="005909A9">
        <w:rPr>
          <w:rFonts w:cs="Calibri"/>
          <w:iCs/>
        </w:rPr>
        <w:t xml:space="preserve">an adjusted funding total of $2,706,000.  </w:t>
      </w:r>
      <w:r w:rsidRPr="005909A9">
        <w:rPr>
          <w:rFonts w:cs="Calibri"/>
          <w:iCs/>
        </w:rPr>
        <w:t>IL OSHA did not deobligate or request any additional funding during FY 202</w:t>
      </w:r>
      <w:r w:rsidR="00DD12E7" w:rsidRPr="005909A9">
        <w:rPr>
          <w:rFonts w:cs="Calibri"/>
          <w:iCs/>
        </w:rPr>
        <w:t>4</w:t>
      </w:r>
      <w:r w:rsidRPr="005909A9">
        <w:rPr>
          <w:rFonts w:cs="Calibri"/>
          <w:iCs/>
        </w:rPr>
        <w:t>.</w:t>
      </w:r>
    </w:p>
    <w:p w14:paraId="3D8E0E71" w14:textId="77777777" w:rsidR="00EE424F" w:rsidRPr="001C1E47" w:rsidRDefault="00EE424F" w:rsidP="00EE424F">
      <w:pPr>
        <w:widowControl/>
        <w:autoSpaceDE/>
        <w:autoSpaceDN/>
        <w:adjustRightInd/>
        <w:contextualSpacing/>
        <w:rPr>
          <w:rFonts w:cs="Calibri"/>
          <w:b/>
        </w:rPr>
      </w:pPr>
    </w:p>
    <w:p w14:paraId="68FBAFD2" w14:textId="77777777" w:rsidR="00781312" w:rsidRPr="004E15A7" w:rsidRDefault="00781312" w:rsidP="00C453C1">
      <w:pPr>
        <w:pStyle w:val="Heading3"/>
      </w:pPr>
      <w:r w:rsidRPr="004E15A7">
        <w:t>New Issues</w:t>
      </w:r>
    </w:p>
    <w:p w14:paraId="1A950952" w14:textId="77777777" w:rsidR="00781312" w:rsidRPr="001C1E47" w:rsidRDefault="00781312" w:rsidP="00783189">
      <w:pPr>
        <w:ind w:left="720"/>
        <w:contextualSpacing/>
        <w:rPr>
          <w:rFonts w:cs="Calibri"/>
          <w:sz w:val="28"/>
          <w:szCs w:val="28"/>
        </w:rPr>
      </w:pPr>
    </w:p>
    <w:p w14:paraId="52EE6685" w14:textId="75B97ED8" w:rsidR="00D5748F" w:rsidRPr="00522D4B" w:rsidRDefault="004412A1" w:rsidP="00783189">
      <w:pPr>
        <w:contextualSpacing/>
        <w:rPr>
          <w:rFonts w:cs="Calibri"/>
          <w:iCs/>
        </w:rPr>
      </w:pPr>
      <w:r w:rsidRPr="00522D4B">
        <w:rPr>
          <w:rFonts w:cs="Calibri"/>
          <w:iCs/>
        </w:rPr>
        <w:t xml:space="preserve">In FY 2024, there was one </w:t>
      </w:r>
      <w:r w:rsidR="001C3682" w:rsidRPr="00522D4B">
        <w:rPr>
          <w:rFonts w:cs="Calibri"/>
          <w:iCs/>
        </w:rPr>
        <w:t>Complaint About State Program Administration (CASPA)</w:t>
      </w:r>
      <w:r w:rsidR="003D4C4D" w:rsidRPr="00522D4B">
        <w:rPr>
          <w:rFonts w:cs="Calibri"/>
          <w:iCs/>
        </w:rPr>
        <w:t>,</w:t>
      </w:r>
      <w:r w:rsidR="00F4634A" w:rsidRPr="00522D4B">
        <w:rPr>
          <w:rFonts w:cs="Calibri"/>
          <w:iCs/>
        </w:rPr>
        <w:t xml:space="preserve"> CASPA 2024-13</w:t>
      </w:r>
      <w:r w:rsidR="00FF67F3" w:rsidRPr="00522D4B">
        <w:rPr>
          <w:rFonts w:cs="Calibri"/>
          <w:iCs/>
        </w:rPr>
        <w:t>,</w:t>
      </w:r>
      <w:r w:rsidR="001C3682" w:rsidRPr="00522D4B">
        <w:rPr>
          <w:rFonts w:cs="Calibri"/>
          <w:iCs/>
        </w:rPr>
        <w:t xml:space="preserve"> filed with OSHA during the first quarter of the year.  </w:t>
      </w:r>
      <w:r w:rsidR="006845E4" w:rsidRPr="00522D4B">
        <w:rPr>
          <w:rFonts w:cs="Calibri"/>
          <w:iCs/>
        </w:rPr>
        <w:t xml:space="preserve">The CASPA alleged that the State Plan </w:t>
      </w:r>
      <w:r w:rsidR="00CE73F3" w:rsidRPr="00522D4B">
        <w:rPr>
          <w:rFonts w:cs="Calibri"/>
          <w:iCs/>
        </w:rPr>
        <w:t xml:space="preserve">did not follow established polices concerning the proper review and consideration of the supplied evidence and documentation attributable to the dispute of an employer’s response to a complaint.  </w:t>
      </w:r>
    </w:p>
    <w:p w14:paraId="0BEB30EC" w14:textId="77777777" w:rsidR="00D5748F" w:rsidRPr="00522D4B" w:rsidRDefault="00D5748F" w:rsidP="00783189">
      <w:pPr>
        <w:contextualSpacing/>
        <w:rPr>
          <w:rFonts w:cs="Calibri"/>
          <w:iCs/>
        </w:rPr>
      </w:pPr>
    </w:p>
    <w:p w14:paraId="6D2B7679" w14:textId="7DAC7BAC" w:rsidR="005C61E6" w:rsidRPr="00522D4B" w:rsidRDefault="0066183A" w:rsidP="00783189">
      <w:pPr>
        <w:contextualSpacing/>
        <w:rPr>
          <w:rFonts w:cs="Calibri"/>
          <w:iCs/>
        </w:rPr>
      </w:pPr>
      <w:r w:rsidRPr="00522D4B">
        <w:rPr>
          <w:rFonts w:cs="Calibri"/>
          <w:iCs/>
        </w:rPr>
        <w:t>The State Plan responded open</w:t>
      </w:r>
      <w:r w:rsidR="00BA0136" w:rsidRPr="00522D4B">
        <w:rPr>
          <w:rFonts w:cs="Calibri"/>
          <w:iCs/>
        </w:rPr>
        <w:t xml:space="preserve">ly and cooperatively with all stages of the investigation and provided </w:t>
      </w:r>
      <w:r w:rsidR="00F4634A" w:rsidRPr="00522D4B">
        <w:rPr>
          <w:rFonts w:cs="Calibri"/>
          <w:iCs/>
        </w:rPr>
        <w:t>all</w:t>
      </w:r>
      <w:r w:rsidR="00BA0136" w:rsidRPr="00522D4B">
        <w:rPr>
          <w:rFonts w:cs="Calibri"/>
          <w:iCs/>
        </w:rPr>
        <w:t xml:space="preserve"> the requested documentation in a timely manner.  </w:t>
      </w:r>
      <w:r w:rsidR="00512D9F" w:rsidRPr="00522D4B">
        <w:rPr>
          <w:rFonts w:cs="Calibri"/>
          <w:iCs/>
        </w:rPr>
        <w:t>Staff were made available for private interviews upon request</w:t>
      </w:r>
      <w:r w:rsidR="00F4634A" w:rsidRPr="00522D4B">
        <w:rPr>
          <w:rFonts w:cs="Calibri"/>
          <w:iCs/>
        </w:rPr>
        <w:t xml:space="preserve"> and as needed.</w:t>
      </w:r>
      <w:r w:rsidR="001C3682" w:rsidRPr="00522D4B">
        <w:rPr>
          <w:rFonts w:cs="Calibri"/>
          <w:iCs/>
        </w:rPr>
        <w:t xml:space="preserve"> </w:t>
      </w:r>
      <w:r w:rsidR="0005422F" w:rsidRPr="00522D4B">
        <w:rPr>
          <w:rFonts w:cs="Calibri"/>
          <w:iCs/>
        </w:rPr>
        <w:t xml:space="preserve"> </w:t>
      </w:r>
      <w:r w:rsidR="00D47197" w:rsidRPr="00522D4B">
        <w:rPr>
          <w:rFonts w:cs="Calibri"/>
          <w:iCs/>
        </w:rPr>
        <w:t xml:space="preserve">It was determined that the State Plan </w:t>
      </w:r>
      <w:r w:rsidR="0098495A" w:rsidRPr="00522D4B">
        <w:rPr>
          <w:rFonts w:cs="Calibri"/>
          <w:iCs/>
        </w:rPr>
        <w:t xml:space="preserve">had </w:t>
      </w:r>
      <w:r w:rsidR="0098495A" w:rsidRPr="00522D4B">
        <w:rPr>
          <w:rFonts w:cs="Calibri"/>
          <w:iCs/>
        </w:rPr>
        <w:lastRenderedPageBreak/>
        <w:t>followed its policies and procedures</w:t>
      </w:r>
      <w:r w:rsidR="000D36B1" w:rsidRPr="00522D4B">
        <w:rPr>
          <w:rFonts w:cs="Calibri"/>
          <w:iCs/>
        </w:rPr>
        <w:t xml:space="preserve"> as</w:t>
      </w:r>
      <w:r w:rsidR="0098495A" w:rsidRPr="00522D4B">
        <w:rPr>
          <w:rFonts w:cs="Calibri"/>
          <w:iCs/>
        </w:rPr>
        <w:t xml:space="preserve"> </w:t>
      </w:r>
      <w:r w:rsidR="002C1D5C" w:rsidRPr="00522D4B">
        <w:rPr>
          <w:rFonts w:cs="Calibri"/>
          <w:iCs/>
        </w:rPr>
        <w:t xml:space="preserve">established under the </w:t>
      </w:r>
      <w:r w:rsidR="00037112" w:rsidRPr="00522D4B">
        <w:rPr>
          <w:rFonts w:cs="Calibri"/>
          <w:iCs/>
        </w:rPr>
        <w:t xml:space="preserve">IDOL-Division of Occupational Safety and Health Field Operations Manual (IL-FOM) Chapter 9, which addresses the procedures specific to complaints, referrals, and whistleblower processing.  The CASPA investigation </w:t>
      </w:r>
      <w:r w:rsidR="00C3467C" w:rsidRPr="00522D4B">
        <w:rPr>
          <w:rFonts w:cs="Calibri"/>
          <w:iCs/>
        </w:rPr>
        <w:t xml:space="preserve">revealed </w:t>
      </w:r>
      <w:r w:rsidR="00037112" w:rsidRPr="00522D4B">
        <w:rPr>
          <w:rFonts w:cs="Calibri"/>
          <w:iCs/>
        </w:rPr>
        <w:t xml:space="preserve">that the </w:t>
      </w:r>
      <w:r w:rsidR="00AD57EB" w:rsidRPr="00522D4B">
        <w:rPr>
          <w:rFonts w:cs="Calibri"/>
          <w:iCs/>
        </w:rPr>
        <w:t xml:space="preserve">complainant had not exhausted </w:t>
      </w:r>
      <w:r w:rsidR="0058577C" w:rsidRPr="00522D4B">
        <w:rPr>
          <w:rFonts w:cs="Calibri"/>
          <w:iCs/>
        </w:rPr>
        <w:t>all</w:t>
      </w:r>
      <w:r w:rsidR="00AD57EB" w:rsidRPr="00522D4B">
        <w:rPr>
          <w:rFonts w:cs="Calibri"/>
          <w:iCs/>
        </w:rPr>
        <w:t xml:space="preserve"> the administrative remedies provided for by state procedures and regulations</w:t>
      </w:r>
      <w:r w:rsidR="006D3E19" w:rsidRPr="00522D4B">
        <w:rPr>
          <w:rFonts w:cs="Calibri"/>
          <w:iCs/>
        </w:rPr>
        <w:t xml:space="preserve"> and the CASPA was closed.</w:t>
      </w:r>
      <w:r w:rsidR="009479F4" w:rsidRPr="00522D4B">
        <w:rPr>
          <w:rFonts w:cs="Calibri"/>
          <w:iCs/>
        </w:rPr>
        <w:t xml:space="preserve"> </w:t>
      </w:r>
    </w:p>
    <w:p w14:paraId="6C586EE1" w14:textId="77777777" w:rsidR="005C61E6" w:rsidRPr="00522D4B" w:rsidRDefault="005C61E6" w:rsidP="00783189">
      <w:pPr>
        <w:contextualSpacing/>
        <w:rPr>
          <w:rFonts w:cs="Calibri"/>
          <w:iCs/>
        </w:rPr>
      </w:pPr>
    </w:p>
    <w:p w14:paraId="194D7296" w14:textId="20F8BEBC" w:rsidR="00C3498E" w:rsidRDefault="00F81EC7" w:rsidP="00783189">
      <w:pPr>
        <w:contextualSpacing/>
        <w:rPr>
          <w:rFonts w:cs="Calibri"/>
          <w:iCs/>
        </w:rPr>
      </w:pPr>
      <w:r>
        <w:rPr>
          <w:rFonts w:cs="Calibri"/>
          <w:iCs/>
        </w:rPr>
        <w:t>On</w:t>
      </w:r>
      <w:r w:rsidR="00142EFE" w:rsidRPr="00142EFE">
        <w:rPr>
          <w:rFonts w:cs="Calibri"/>
          <w:iCs/>
        </w:rPr>
        <w:t xml:space="preserve"> February 28, 2024, IL OSHA submitted its certification application to OSHA</w:t>
      </w:r>
      <w:r w:rsidR="00142EFE">
        <w:rPr>
          <w:rFonts w:cs="Calibri"/>
          <w:iCs/>
        </w:rPr>
        <w:t xml:space="preserve"> for review and consideration.  </w:t>
      </w:r>
      <w:r w:rsidR="0085240D">
        <w:rPr>
          <w:rFonts w:cs="Calibri"/>
          <w:iCs/>
        </w:rPr>
        <w:t xml:space="preserve">The application has gone through several levels of review and is currently under final review </w:t>
      </w:r>
      <w:r w:rsidR="00FB2D9E">
        <w:rPr>
          <w:rFonts w:cs="Calibri"/>
          <w:iCs/>
        </w:rPr>
        <w:t>at the national office level</w:t>
      </w:r>
      <w:r w:rsidR="00BB5CB4">
        <w:rPr>
          <w:rFonts w:cs="Calibri"/>
          <w:iCs/>
        </w:rPr>
        <w:t>.</w:t>
      </w:r>
    </w:p>
    <w:p w14:paraId="4AA53F7D" w14:textId="77777777" w:rsidR="00C3498E" w:rsidRDefault="00C3498E" w:rsidP="00783189">
      <w:pPr>
        <w:contextualSpacing/>
        <w:rPr>
          <w:rFonts w:cs="Calibri"/>
          <w:iCs/>
        </w:rPr>
      </w:pPr>
    </w:p>
    <w:p w14:paraId="4123B6A5" w14:textId="1E7A0D11" w:rsidR="002C6D34" w:rsidRPr="00522D4B" w:rsidRDefault="00BE2BA0" w:rsidP="00783189">
      <w:pPr>
        <w:contextualSpacing/>
        <w:rPr>
          <w:rFonts w:cs="Calibri"/>
          <w:iCs/>
        </w:rPr>
      </w:pPr>
      <w:r w:rsidRPr="00522D4B">
        <w:rPr>
          <w:rFonts w:cs="Calibri"/>
          <w:iCs/>
        </w:rPr>
        <w:t>In April of FY</w:t>
      </w:r>
      <w:r w:rsidR="00E30829">
        <w:rPr>
          <w:rFonts w:cs="Calibri"/>
          <w:iCs/>
        </w:rPr>
        <w:t xml:space="preserve"> </w:t>
      </w:r>
      <w:r w:rsidRPr="00522D4B">
        <w:rPr>
          <w:rFonts w:cs="Calibri"/>
          <w:iCs/>
        </w:rPr>
        <w:t xml:space="preserve">2024, the State Plan adjusted their </w:t>
      </w:r>
      <w:r w:rsidR="00594C5C" w:rsidRPr="00522D4B">
        <w:rPr>
          <w:rFonts w:cs="Calibri"/>
          <w:iCs/>
        </w:rPr>
        <w:t xml:space="preserve">regulatory definition of a “catastrophe” to align with </w:t>
      </w:r>
      <w:proofErr w:type="gramStart"/>
      <w:r w:rsidR="00080D26" w:rsidRPr="00522D4B">
        <w:rPr>
          <w:rFonts w:cs="Calibri"/>
          <w:iCs/>
        </w:rPr>
        <w:t>OSHA</w:t>
      </w:r>
      <w:r w:rsidR="00621A27">
        <w:rPr>
          <w:rFonts w:cs="Calibri"/>
          <w:iCs/>
        </w:rPr>
        <w:t>’</w:t>
      </w:r>
      <w:r w:rsidR="00080D26" w:rsidRPr="00522D4B">
        <w:rPr>
          <w:rFonts w:cs="Calibri"/>
          <w:iCs/>
        </w:rPr>
        <w:t>s</w:t>
      </w:r>
      <w:proofErr w:type="gramEnd"/>
      <w:r w:rsidR="00B01022" w:rsidRPr="00522D4B">
        <w:rPr>
          <w:rFonts w:cs="Calibri"/>
          <w:iCs/>
        </w:rPr>
        <w:t xml:space="preserve"> to enhance harmonization and clarification</w:t>
      </w:r>
      <w:r w:rsidR="004E52AF" w:rsidRPr="00522D4B">
        <w:rPr>
          <w:rFonts w:cs="Calibri"/>
          <w:iCs/>
        </w:rPr>
        <w:t xml:space="preserve"> in their </w:t>
      </w:r>
      <w:r w:rsidR="005A28D8" w:rsidRPr="00522D4B">
        <w:rPr>
          <w:rFonts w:cs="Calibri"/>
          <w:iCs/>
        </w:rPr>
        <w:t xml:space="preserve">strategic goals and </w:t>
      </w:r>
      <w:r w:rsidR="00C16E2A" w:rsidRPr="00522D4B">
        <w:rPr>
          <w:rFonts w:cs="Calibri"/>
          <w:iCs/>
        </w:rPr>
        <w:t xml:space="preserve">allow for better monitoring and tracking in the </w:t>
      </w:r>
      <w:r w:rsidR="00AC1AAD" w:rsidRPr="00522D4B">
        <w:rPr>
          <w:rFonts w:cs="Calibri"/>
          <w:iCs/>
        </w:rPr>
        <w:t>OSHA Information System (OIS).</w:t>
      </w:r>
      <w:r w:rsidR="00020D37" w:rsidRPr="00522D4B">
        <w:rPr>
          <w:rFonts w:cs="Calibri"/>
          <w:iCs/>
        </w:rPr>
        <w:t xml:space="preserve">  While </w:t>
      </w:r>
      <w:r w:rsidR="00621A27">
        <w:rPr>
          <w:rFonts w:cs="Calibri"/>
          <w:iCs/>
        </w:rPr>
        <w:t xml:space="preserve">this change was </w:t>
      </w:r>
      <w:r w:rsidR="00020D37" w:rsidRPr="00522D4B">
        <w:rPr>
          <w:rFonts w:cs="Calibri"/>
          <w:iCs/>
        </w:rPr>
        <w:t>implemented in April</w:t>
      </w:r>
      <w:r w:rsidR="00552B68" w:rsidRPr="00522D4B">
        <w:rPr>
          <w:rFonts w:cs="Calibri"/>
          <w:iCs/>
        </w:rPr>
        <w:t xml:space="preserve"> of 2024</w:t>
      </w:r>
      <w:r w:rsidR="00020D37" w:rsidRPr="00522D4B">
        <w:rPr>
          <w:rFonts w:cs="Calibri"/>
          <w:iCs/>
        </w:rPr>
        <w:t xml:space="preserve">, the State Plan </w:t>
      </w:r>
      <w:r w:rsidR="00621A27">
        <w:rPr>
          <w:rFonts w:cs="Calibri"/>
          <w:iCs/>
        </w:rPr>
        <w:t>applied it</w:t>
      </w:r>
      <w:r w:rsidR="00C41B2F" w:rsidRPr="00522D4B">
        <w:rPr>
          <w:rFonts w:cs="Calibri"/>
          <w:iCs/>
        </w:rPr>
        <w:t xml:space="preserve"> retroactive</w:t>
      </w:r>
      <w:r w:rsidR="00621A27">
        <w:rPr>
          <w:rFonts w:cs="Calibri"/>
          <w:iCs/>
        </w:rPr>
        <w:t>ly</w:t>
      </w:r>
      <w:r w:rsidR="00C41B2F" w:rsidRPr="00522D4B">
        <w:rPr>
          <w:rFonts w:cs="Calibri"/>
          <w:iCs/>
        </w:rPr>
        <w:t xml:space="preserve"> for </w:t>
      </w:r>
      <w:r w:rsidR="002109DA" w:rsidRPr="00522D4B">
        <w:rPr>
          <w:rFonts w:cs="Calibri"/>
          <w:iCs/>
        </w:rPr>
        <w:t>the whole</w:t>
      </w:r>
      <w:r w:rsidR="00C41B2F" w:rsidRPr="00522D4B">
        <w:rPr>
          <w:rFonts w:cs="Calibri"/>
          <w:iCs/>
        </w:rPr>
        <w:t xml:space="preserve"> FY</w:t>
      </w:r>
      <w:r w:rsidR="00E30829">
        <w:rPr>
          <w:rFonts w:cs="Calibri"/>
          <w:iCs/>
        </w:rPr>
        <w:t xml:space="preserve"> </w:t>
      </w:r>
      <w:r w:rsidR="00C41B2F" w:rsidRPr="00522D4B">
        <w:rPr>
          <w:rFonts w:cs="Calibri"/>
          <w:iCs/>
        </w:rPr>
        <w:t>2024</w:t>
      </w:r>
      <w:r w:rsidR="002109DA" w:rsidRPr="00522D4B">
        <w:rPr>
          <w:rFonts w:cs="Calibri"/>
          <w:iCs/>
        </w:rPr>
        <w:t xml:space="preserve"> year.</w:t>
      </w:r>
    </w:p>
    <w:p w14:paraId="59E561FD" w14:textId="77777777" w:rsidR="002C6D34" w:rsidRPr="00522D4B" w:rsidRDefault="002C6D34" w:rsidP="00783189">
      <w:pPr>
        <w:contextualSpacing/>
        <w:rPr>
          <w:rFonts w:cs="Calibri"/>
          <w:iCs/>
        </w:rPr>
      </w:pPr>
    </w:p>
    <w:p w14:paraId="4101AB06" w14:textId="5F0E1002" w:rsidR="0061435D" w:rsidRPr="00522D4B" w:rsidRDefault="0061435D" w:rsidP="00783189">
      <w:pPr>
        <w:contextualSpacing/>
        <w:rPr>
          <w:rFonts w:cs="Calibri"/>
          <w:iCs/>
        </w:rPr>
      </w:pPr>
      <w:r w:rsidRPr="00522D4B">
        <w:rPr>
          <w:rFonts w:cs="Calibri"/>
          <w:iCs/>
        </w:rPr>
        <w:t xml:space="preserve">In June of </w:t>
      </w:r>
      <w:r w:rsidR="00155307" w:rsidRPr="00522D4B">
        <w:rPr>
          <w:rFonts w:cs="Calibri"/>
          <w:iCs/>
        </w:rPr>
        <w:t>FY</w:t>
      </w:r>
      <w:r w:rsidR="00E30829">
        <w:rPr>
          <w:rFonts w:cs="Calibri"/>
          <w:iCs/>
        </w:rPr>
        <w:t xml:space="preserve"> </w:t>
      </w:r>
      <w:r w:rsidRPr="00522D4B">
        <w:rPr>
          <w:rFonts w:cs="Calibri"/>
          <w:iCs/>
        </w:rPr>
        <w:t>2024, OSHA amended the FY 2024 grant amount, reducing the funding amount by $50,000 (3.61%) to an adjusted funding total of $2,706,000.</w:t>
      </w:r>
      <w:r w:rsidR="00155307" w:rsidRPr="00522D4B">
        <w:rPr>
          <w:rFonts w:cs="Calibri"/>
          <w:iCs/>
        </w:rPr>
        <w:t xml:space="preserve">  </w:t>
      </w:r>
      <w:r w:rsidR="00FC0A75" w:rsidRPr="00522D4B">
        <w:rPr>
          <w:rFonts w:cs="Calibri"/>
          <w:iCs/>
        </w:rPr>
        <w:t>As a result, the State Plan initiated a hiring freeze and restricted overtime spending.</w:t>
      </w:r>
      <w:r w:rsidR="002B52EA" w:rsidRPr="00522D4B">
        <w:rPr>
          <w:rFonts w:cs="Calibri"/>
          <w:iCs/>
        </w:rPr>
        <w:t xml:space="preserve">  </w:t>
      </w:r>
      <w:r w:rsidR="005248A9" w:rsidRPr="00522D4B">
        <w:rPr>
          <w:rFonts w:cs="Calibri"/>
          <w:iCs/>
        </w:rPr>
        <w:t>The State Plan maintained the original state fund match amount of $1,378,000</w:t>
      </w:r>
      <w:r w:rsidR="0072199B" w:rsidRPr="00522D4B">
        <w:rPr>
          <w:rFonts w:cs="Calibri"/>
          <w:iCs/>
        </w:rPr>
        <w:t xml:space="preserve">, which was then </w:t>
      </w:r>
      <w:r w:rsidR="005248A9" w:rsidRPr="00522D4B">
        <w:rPr>
          <w:rFonts w:cs="Calibri"/>
          <w:iCs/>
        </w:rPr>
        <w:t xml:space="preserve">considered as an overmatch </w:t>
      </w:r>
      <w:r w:rsidR="0072199B" w:rsidRPr="00522D4B">
        <w:rPr>
          <w:rFonts w:cs="Calibri"/>
          <w:iCs/>
        </w:rPr>
        <w:t>of the grant funding</w:t>
      </w:r>
      <w:r w:rsidR="008B5281" w:rsidRPr="00522D4B">
        <w:rPr>
          <w:rFonts w:cs="Calibri"/>
          <w:iCs/>
        </w:rPr>
        <w:t xml:space="preserve"> and was </w:t>
      </w:r>
      <w:r w:rsidR="005248A9" w:rsidRPr="00522D4B">
        <w:rPr>
          <w:rFonts w:cs="Calibri"/>
          <w:iCs/>
        </w:rPr>
        <w:t>used to support operations.</w:t>
      </w:r>
    </w:p>
    <w:p w14:paraId="4D45CF2E" w14:textId="77777777" w:rsidR="00780E29" w:rsidRPr="00AB16D9" w:rsidRDefault="00780E29" w:rsidP="00783189">
      <w:pPr>
        <w:widowControl/>
        <w:autoSpaceDE/>
        <w:autoSpaceDN/>
        <w:adjustRightInd/>
        <w:rPr>
          <w:rFonts w:cs="Calibri"/>
          <w:iCs/>
        </w:rPr>
      </w:pPr>
    </w:p>
    <w:p w14:paraId="0A29FCDE" w14:textId="40051B71" w:rsidR="00054900" w:rsidRPr="00476C08" w:rsidRDefault="00054900" w:rsidP="00476C08">
      <w:pPr>
        <w:pStyle w:val="Heading2"/>
      </w:pPr>
      <w:bookmarkStart w:id="9" w:name="_Toc118900172"/>
      <w:bookmarkStart w:id="10" w:name="_Toc118905011"/>
      <w:bookmarkStart w:id="11" w:name="_Toc119418665"/>
      <w:r w:rsidRPr="00476C08">
        <w:t xml:space="preserve">Assessment of State Plan </w:t>
      </w:r>
      <w:r w:rsidR="001E2FBB" w:rsidRPr="00476C08">
        <w:t xml:space="preserve">Progress and </w:t>
      </w:r>
      <w:r w:rsidRPr="00476C08">
        <w:t>Performance</w:t>
      </w:r>
      <w:bookmarkEnd w:id="9"/>
      <w:bookmarkEnd w:id="10"/>
      <w:bookmarkEnd w:id="11"/>
    </w:p>
    <w:p w14:paraId="07D68C5F" w14:textId="77777777" w:rsidR="00054900" w:rsidRPr="001C1E47" w:rsidRDefault="00054900" w:rsidP="00783189">
      <w:pPr>
        <w:widowControl/>
        <w:autoSpaceDE/>
        <w:autoSpaceDN/>
        <w:adjustRightInd/>
        <w:rPr>
          <w:rFonts w:cs="Calibri"/>
        </w:rPr>
      </w:pPr>
    </w:p>
    <w:p w14:paraId="4CD3C312" w14:textId="77777777" w:rsidR="000A134A" w:rsidRPr="00C53328" w:rsidRDefault="000A134A" w:rsidP="00C453C1">
      <w:pPr>
        <w:pStyle w:val="Heading3"/>
        <w:numPr>
          <w:ilvl w:val="0"/>
          <w:numId w:val="14"/>
        </w:numPr>
      </w:pPr>
      <w:bookmarkStart w:id="12" w:name="_Toc118900173"/>
      <w:bookmarkStart w:id="13" w:name="_Toc118905012"/>
      <w:bookmarkStart w:id="14" w:name="_Toc119418666"/>
      <w:r w:rsidRPr="00C53328">
        <w:t>Data and Methodology</w:t>
      </w:r>
      <w:bookmarkEnd w:id="12"/>
      <w:bookmarkEnd w:id="13"/>
      <w:bookmarkEnd w:id="14"/>
    </w:p>
    <w:p w14:paraId="2FBB490D" w14:textId="77777777" w:rsidR="000A134A" w:rsidRPr="001C1E47" w:rsidRDefault="000A134A" w:rsidP="00522D4B">
      <w:pPr>
        <w:widowControl/>
        <w:autoSpaceDE/>
        <w:autoSpaceDN/>
        <w:adjustRightInd/>
        <w:rPr>
          <w:rFonts w:cs="Calibri"/>
          <w:bCs/>
          <w:i/>
        </w:rPr>
      </w:pPr>
    </w:p>
    <w:p w14:paraId="3EEE3A69" w14:textId="77777777" w:rsidR="005504BC" w:rsidRPr="001C1E47" w:rsidRDefault="000A134A" w:rsidP="00783189">
      <w:pPr>
        <w:widowControl/>
        <w:autoSpaceDE/>
        <w:autoSpaceDN/>
        <w:adjustRightInd/>
        <w:rPr>
          <w:rFonts w:cs="Calibri"/>
          <w:bCs/>
        </w:rPr>
      </w:pPr>
      <w:r w:rsidRPr="001C1E47">
        <w:rPr>
          <w:rFonts w:cs="Calibri"/>
          <w:bCs/>
        </w:rPr>
        <w:t>OSHA has established a two-year cycle for the FAME process.  This is the follow-up year</w:t>
      </w:r>
      <w:r w:rsidR="005E3EFB" w:rsidRPr="001C1E47">
        <w:rPr>
          <w:rFonts w:cs="Calibri"/>
          <w:bCs/>
        </w:rPr>
        <w:t>,</w:t>
      </w:r>
      <w:r w:rsidRPr="001C1E47">
        <w:rPr>
          <w:rFonts w:cs="Calibri"/>
          <w:bCs/>
        </w:rPr>
        <w:t xml:space="preserve"> and as such</w:t>
      </w:r>
      <w:r w:rsidR="005E3EFB" w:rsidRPr="001C1E47">
        <w:rPr>
          <w:rFonts w:cs="Calibri"/>
          <w:bCs/>
        </w:rPr>
        <w:t>,</w:t>
      </w:r>
      <w:r w:rsidRPr="001C1E47">
        <w:rPr>
          <w:rFonts w:cs="Calibri"/>
          <w:bCs/>
        </w:rPr>
        <w:t xml:space="preserve"> OSHA did not perform </w:t>
      </w:r>
      <w:r w:rsidR="00957E7E" w:rsidRPr="001C1E47">
        <w:rPr>
          <w:rFonts w:cs="Calibri"/>
          <w:bCs/>
        </w:rPr>
        <w:t>an on</w:t>
      </w:r>
      <w:r w:rsidR="00DC6559" w:rsidRPr="001C1E47">
        <w:rPr>
          <w:rFonts w:cs="Calibri"/>
          <w:bCs/>
        </w:rPr>
        <w:t>-</w:t>
      </w:r>
      <w:r w:rsidR="00957E7E" w:rsidRPr="001C1E47">
        <w:rPr>
          <w:rFonts w:cs="Calibri"/>
          <w:bCs/>
        </w:rPr>
        <w:t>site</w:t>
      </w:r>
      <w:r w:rsidRPr="001C1E47">
        <w:rPr>
          <w:rFonts w:cs="Calibri"/>
          <w:bCs/>
        </w:rPr>
        <w:t xml:space="preserve"> case file review associated with a comprehensive FAME.  This strategy allows the State Plan to focus on correcting deficiencies identified in the most recent comprehensive FAME</w:t>
      </w:r>
      <w:r w:rsidR="003A4F3E" w:rsidRPr="001C1E47">
        <w:rPr>
          <w:rFonts w:cs="Calibri"/>
          <w:bCs/>
        </w:rPr>
        <w:t>.</w:t>
      </w:r>
      <w:r w:rsidR="00733729" w:rsidRPr="001C1E47">
        <w:rPr>
          <w:rFonts w:cs="Calibri"/>
          <w:bCs/>
        </w:rPr>
        <w:t xml:space="preserve">  </w:t>
      </w:r>
      <w:r w:rsidR="005504BC" w:rsidRPr="001C1E47">
        <w:rPr>
          <w:rFonts w:cs="Calibri"/>
          <w:bCs/>
        </w:rPr>
        <w:t>The analyses and conclusions described in this report are based on information obtained from a variety of monitoring sources, including:</w:t>
      </w:r>
    </w:p>
    <w:p w14:paraId="54439AF2" w14:textId="77777777" w:rsidR="005504BC" w:rsidRPr="001C1E47" w:rsidRDefault="005504BC" w:rsidP="007A71AC">
      <w:pPr>
        <w:widowControl/>
        <w:autoSpaceDE/>
        <w:autoSpaceDN/>
        <w:adjustRightInd/>
        <w:rPr>
          <w:rFonts w:cs="Calibri"/>
          <w:bCs/>
        </w:rPr>
      </w:pPr>
    </w:p>
    <w:p w14:paraId="409C16B9" w14:textId="216A14C1" w:rsidR="005504BC" w:rsidRPr="001C1E47" w:rsidRDefault="005504BC" w:rsidP="008626CE">
      <w:pPr>
        <w:pStyle w:val="ListParagraph"/>
        <w:numPr>
          <w:ilvl w:val="0"/>
          <w:numId w:val="7"/>
        </w:numPr>
        <w:spacing w:after="0" w:line="240" w:lineRule="auto"/>
        <w:rPr>
          <w:bCs/>
        </w:rPr>
      </w:pPr>
      <w:r w:rsidRPr="001C1E47">
        <w:rPr>
          <w:bCs/>
          <w:sz w:val="24"/>
          <w:szCs w:val="24"/>
        </w:rPr>
        <w:t xml:space="preserve">State Activity Mandated Measures </w:t>
      </w:r>
      <w:r w:rsidR="00E7030A" w:rsidRPr="001C1E47">
        <w:rPr>
          <w:bCs/>
          <w:sz w:val="24"/>
          <w:szCs w:val="24"/>
        </w:rPr>
        <w:t xml:space="preserve">(SAMM) </w:t>
      </w:r>
      <w:r w:rsidRPr="001C1E47">
        <w:rPr>
          <w:bCs/>
          <w:sz w:val="24"/>
          <w:szCs w:val="24"/>
        </w:rPr>
        <w:t xml:space="preserve">Report </w:t>
      </w:r>
      <w:r w:rsidR="006D0721">
        <w:rPr>
          <w:bCs/>
          <w:sz w:val="24"/>
          <w:szCs w:val="24"/>
        </w:rPr>
        <w:t>(Appendix D)</w:t>
      </w:r>
    </w:p>
    <w:p w14:paraId="3F2084C2" w14:textId="3332D2C7"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Information Report </w:t>
      </w:r>
      <w:r w:rsidR="00185C7D" w:rsidRPr="001C1E47">
        <w:rPr>
          <w:bCs/>
          <w:sz w:val="24"/>
          <w:szCs w:val="24"/>
        </w:rPr>
        <w:t>(SIR</w:t>
      </w:r>
      <w:r w:rsidR="00C41F38">
        <w:rPr>
          <w:bCs/>
          <w:sz w:val="24"/>
          <w:szCs w:val="24"/>
        </w:rPr>
        <w:t xml:space="preserve">, dated </w:t>
      </w:r>
      <w:r w:rsidR="00704103">
        <w:rPr>
          <w:bCs/>
          <w:sz w:val="24"/>
          <w:szCs w:val="24"/>
        </w:rPr>
        <w:t>11/12/2024</w:t>
      </w:r>
      <w:r w:rsidR="00185C7D" w:rsidRPr="001C1E47">
        <w:rPr>
          <w:bCs/>
          <w:sz w:val="24"/>
          <w:szCs w:val="24"/>
        </w:rPr>
        <w:t>)</w:t>
      </w:r>
    </w:p>
    <w:p w14:paraId="5D91E03D" w14:textId="362DA613" w:rsidR="00FF4AE2" w:rsidRPr="001C1E47" w:rsidRDefault="00FF4AE2" w:rsidP="008626CE">
      <w:pPr>
        <w:pStyle w:val="ListParagraph"/>
        <w:numPr>
          <w:ilvl w:val="0"/>
          <w:numId w:val="7"/>
        </w:numPr>
        <w:spacing w:after="0" w:line="240" w:lineRule="auto"/>
        <w:rPr>
          <w:bCs/>
        </w:rPr>
      </w:pPr>
      <w:r w:rsidRPr="001C1E47">
        <w:rPr>
          <w:bCs/>
          <w:sz w:val="24"/>
          <w:szCs w:val="24"/>
        </w:rPr>
        <w:t xml:space="preserve">Mandated Activities Report for Consultation </w:t>
      </w:r>
      <w:r w:rsidR="00185C7D" w:rsidRPr="001C1E47">
        <w:rPr>
          <w:bCs/>
          <w:sz w:val="24"/>
          <w:szCs w:val="24"/>
        </w:rPr>
        <w:t>(MARC</w:t>
      </w:r>
      <w:r w:rsidR="00704103">
        <w:rPr>
          <w:bCs/>
          <w:sz w:val="24"/>
          <w:szCs w:val="24"/>
        </w:rPr>
        <w:t xml:space="preserve">, dated </w:t>
      </w:r>
      <w:r w:rsidR="00566B72">
        <w:rPr>
          <w:bCs/>
          <w:sz w:val="24"/>
          <w:szCs w:val="24"/>
        </w:rPr>
        <w:t>11/13/2024</w:t>
      </w:r>
      <w:r w:rsidR="00185C7D" w:rsidRPr="001C1E47">
        <w:rPr>
          <w:bCs/>
          <w:sz w:val="24"/>
          <w:szCs w:val="24"/>
        </w:rPr>
        <w:t>)</w:t>
      </w:r>
    </w:p>
    <w:p w14:paraId="4054753A" w14:textId="27FD50A2"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OSHA Annual Report </w:t>
      </w:r>
      <w:r w:rsidR="0061362E">
        <w:rPr>
          <w:bCs/>
          <w:sz w:val="24"/>
          <w:szCs w:val="24"/>
        </w:rPr>
        <w:t>(SOAR)</w:t>
      </w:r>
    </w:p>
    <w:p w14:paraId="03220F96" w14:textId="3137FC53" w:rsidR="00FF4AE2" w:rsidRPr="001C1E47" w:rsidRDefault="00FF4AE2" w:rsidP="008626CE">
      <w:pPr>
        <w:pStyle w:val="ListParagraph"/>
        <w:numPr>
          <w:ilvl w:val="0"/>
          <w:numId w:val="7"/>
        </w:numPr>
        <w:spacing w:after="0" w:line="240" w:lineRule="auto"/>
        <w:rPr>
          <w:bCs/>
        </w:rPr>
      </w:pPr>
      <w:r w:rsidRPr="001C1E47">
        <w:rPr>
          <w:bCs/>
          <w:sz w:val="24"/>
          <w:szCs w:val="24"/>
        </w:rPr>
        <w:t>State Plan Annual Performance Plan</w:t>
      </w:r>
      <w:r w:rsidR="0061362E">
        <w:rPr>
          <w:bCs/>
          <w:sz w:val="24"/>
          <w:szCs w:val="24"/>
        </w:rPr>
        <w:t xml:space="preserve"> (APP)</w:t>
      </w:r>
    </w:p>
    <w:p w14:paraId="4CBC94FB" w14:textId="77777777"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Plan Grant </w:t>
      </w:r>
      <w:r w:rsidR="00DC6559" w:rsidRPr="001C1E47">
        <w:rPr>
          <w:bCs/>
          <w:sz w:val="24"/>
          <w:szCs w:val="24"/>
        </w:rPr>
        <w:t>A</w:t>
      </w:r>
      <w:r w:rsidRPr="001C1E47">
        <w:rPr>
          <w:bCs/>
          <w:sz w:val="24"/>
          <w:szCs w:val="24"/>
        </w:rPr>
        <w:t xml:space="preserve">pplication </w:t>
      </w:r>
    </w:p>
    <w:p w14:paraId="79AC3075" w14:textId="77777777" w:rsidR="00FF4AE2" w:rsidRPr="00682ECB" w:rsidRDefault="00FF4AE2" w:rsidP="008626CE">
      <w:pPr>
        <w:pStyle w:val="ListParagraph"/>
        <w:numPr>
          <w:ilvl w:val="0"/>
          <w:numId w:val="7"/>
        </w:numPr>
        <w:spacing w:after="0" w:line="240" w:lineRule="auto"/>
        <w:rPr>
          <w:bCs/>
        </w:rPr>
      </w:pPr>
      <w:r w:rsidRPr="001C1E47">
        <w:rPr>
          <w:bCs/>
          <w:sz w:val="24"/>
          <w:szCs w:val="24"/>
        </w:rPr>
        <w:t>Quarterly monitoring meetings between OSHA and the State Plan</w:t>
      </w:r>
    </w:p>
    <w:p w14:paraId="3C8E1C07" w14:textId="1A244983" w:rsidR="00682ECB" w:rsidRPr="00270C5F" w:rsidRDefault="00270C5F" w:rsidP="008626CE">
      <w:pPr>
        <w:pStyle w:val="ListParagraph"/>
        <w:numPr>
          <w:ilvl w:val="0"/>
          <w:numId w:val="7"/>
        </w:numPr>
        <w:spacing w:after="0" w:line="240" w:lineRule="auto"/>
        <w:rPr>
          <w:bCs/>
        </w:rPr>
      </w:pPr>
      <w:r>
        <w:rPr>
          <w:bCs/>
          <w:sz w:val="24"/>
          <w:szCs w:val="24"/>
        </w:rPr>
        <w:t>Whistleblower Length of Investigation Legacy and OIS Report (Dated 3/6/2025)</w:t>
      </w:r>
    </w:p>
    <w:p w14:paraId="0E213E0F" w14:textId="7DFF2005" w:rsidR="00270C5F" w:rsidRPr="001C1E47" w:rsidRDefault="00270C5F" w:rsidP="008626CE">
      <w:pPr>
        <w:pStyle w:val="ListParagraph"/>
        <w:numPr>
          <w:ilvl w:val="0"/>
          <w:numId w:val="7"/>
        </w:numPr>
        <w:spacing w:after="0" w:line="240" w:lineRule="auto"/>
        <w:rPr>
          <w:bCs/>
        </w:rPr>
      </w:pPr>
      <w:r>
        <w:rPr>
          <w:bCs/>
          <w:sz w:val="24"/>
          <w:szCs w:val="24"/>
        </w:rPr>
        <w:t xml:space="preserve">Whistleblower </w:t>
      </w:r>
      <w:r w:rsidR="00442818">
        <w:rPr>
          <w:bCs/>
          <w:sz w:val="24"/>
          <w:szCs w:val="24"/>
        </w:rPr>
        <w:t>Pending Intake and Investigation Legacy and OIS Report (Dated 3/6/2025)</w:t>
      </w:r>
    </w:p>
    <w:p w14:paraId="7EA0158E" w14:textId="77777777" w:rsidR="001E2FBB" w:rsidRPr="001C1E47" w:rsidRDefault="001E2FBB" w:rsidP="00783189">
      <w:pPr>
        <w:widowControl/>
        <w:autoSpaceDE/>
        <w:autoSpaceDN/>
        <w:adjustRightInd/>
        <w:rPr>
          <w:rFonts w:cs="Calibri"/>
          <w:bCs/>
          <w:i/>
        </w:rPr>
      </w:pPr>
    </w:p>
    <w:p w14:paraId="5E67DDEC" w14:textId="77777777" w:rsidR="000A134A" w:rsidRPr="001C1E47" w:rsidRDefault="000A134A" w:rsidP="00C453C1">
      <w:pPr>
        <w:pStyle w:val="Heading3"/>
      </w:pPr>
      <w:bookmarkStart w:id="15" w:name="_Toc118900174"/>
      <w:bookmarkStart w:id="16" w:name="_Toc118905013"/>
      <w:bookmarkStart w:id="17" w:name="_Toc119418667"/>
      <w:r w:rsidRPr="001C1E47">
        <w:lastRenderedPageBreak/>
        <w:t>Findings and Observations</w:t>
      </w:r>
      <w:bookmarkEnd w:id="15"/>
      <w:bookmarkEnd w:id="16"/>
      <w:bookmarkEnd w:id="17"/>
    </w:p>
    <w:p w14:paraId="51B991F5" w14:textId="77777777" w:rsidR="000A134A" w:rsidRPr="001C1E47" w:rsidRDefault="000A134A" w:rsidP="00783189">
      <w:pPr>
        <w:widowControl/>
        <w:autoSpaceDE/>
        <w:autoSpaceDN/>
        <w:adjustRightInd/>
        <w:rPr>
          <w:rFonts w:cs="Calibri"/>
        </w:rPr>
      </w:pPr>
    </w:p>
    <w:p w14:paraId="2789CCA0" w14:textId="77777777" w:rsidR="00E71FB7" w:rsidRPr="00080D26" w:rsidRDefault="00E71FB7" w:rsidP="00E44D46">
      <w:pPr>
        <w:pStyle w:val="Heading4"/>
        <w:rPr>
          <w:b w:val="0"/>
          <w:highlight w:val="yellow"/>
        </w:rPr>
      </w:pPr>
      <w:bookmarkStart w:id="18" w:name="_Toc118900175"/>
      <w:bookmarkStart w:id="19" w:name="_Toc118905014"/>
      <w:r w:rsidRPr="00080D26">
        <w:t>Findings</w:t>
      </w:r>
      <w:r w:rsidR="00443054" w:rsidRPr="00080D26">
        <w:t xml:space="preserve"> (Status of Previous and New Items)</w:t>
      </w:r>
      <w:bookmarkEnd w:id="18"/>
      <w:bookmarkEnd w:id="19"/>
    </w:p>
    <w:p w14:paraId="6C7BE9F8" w14:textId="77777777" w:rsidR="00E71FB7" w:rsidRPr="00080D26" w:rsidRDefault="00E71FB7" w:rsidP="00783189">
      <w:pPr>
        <w:widowControl/>
        <w:autoSpaceDE/>
        <w:autoSpaceDN/>
        <w:adjustRightInd/>
        <w:rPr>
          <w:rFonts w:cs="Calibri"/>
          <w:highlight w:val="yellow"/>
          <w:u w:val="single"/>
        </w:rPr>
      </w:pPr>
    </w:p>
    <w:p w14:paraId="68CBB2BF" w14:textId="31F060A0" w:rsidR="004E505A" w:rsidRPr="00080D26" w:rsidRDefault="00456C45" w:rsidP="00783189">
      <w:pPr>
        <w:widowControl/>
        <w:autoSpaceDE/>
        <w:autoSpaceDN/>
        <w:adjustRightInd/>
        <w:rPr>
          <w:rFonts w:cs="Calibri"/>
        </w:rPr>
      </w:pPr>
      <w:r w:rsidRPr="00080D26">
        <w:rPr>
          <w:rFonts w:cs="Calibri"/>
        </w:rPr>
        <w:t>The State Plan</w:t>
      </w:r>
      <w:r w:rsidR="00CF0314">
        <w:rPr>
          <w:rFonts w:cs="Calibri"/>
        </w:rPr>
        <w:t xml:space="preserve"> had no previous </w:t>
      </w:r>
      <w:r w:rsidR="00491148">
        <w:rPr>
          <w:rFonts w:cs="Calibri"/>
        </w:rPr>
        <w:t>findings or recommendations but</w:t>
      </w:r>
      <w:r w:rsidR="005D5383" w:rsidRPr="00080D26">
        <w:rPr>
          <w:rFonts w:cs="Calibri"/>
        </w:rPr>
        <w:t xml:space="preserve"> </w:t>
      </w:r>
      <w:r w:rsidR="0022759C" w:rsidRPr="00080D26">
        <w:rPr>
          <w:rFonts w:cs="Calibri"/>
        </w:rPr>
        <w:t>worked</w:t>
      </w:r>
      <w:r w:rsidR="00443054" w:rsidRPr="00080D26">
        <w:rPr>
          <w:rFonts w:cs="Calibri"/>
        </w:rPr>
        <w:t xml:space="preserve"> to address</w:t>
      </w:r>
      <w:r w:rsidRPr="00080D26">
        <w:rPr>
          <w:rFonts w:cs="Calibri"/>
        </w:rPr>
        <w:t xml:space="preserve"> the previous </w:t>
      </w:r>
      <w:r w:rsidR="00246DBE" w:rsidRPr="00080D26">
        <w:rPr>
          <w:rFonts w:cs="Calibri"/>
        </w:rPr>
        <w:t>three</w:t>
      </w:r>
      <w:r w:rsidRPr="00080D26">
        <w:rPr>
          <w:rFonts w:cs="Calibri"/>
        </w:rPr>
        <w:t xml:space="preserve"> observations from the FY </w:t>
      </w:r>
      <w:r w:rsidR="00512339" w:rsidRPr="00080D26">
        <w:rPr>
          <w:rFonts w:cs="Calibri"/>
        </w:rPr>
        <w:t>20</w:t>
      </w:r>
      <w:r w:rsidR="00246DBE" w:rsidRPr="00080D26">
        <w:rPr>
          <w:rFonts w:cs="Calibri"/>
        </w:rPr>
        <w:t>23</w:t>
      </w:r>
      <w:r w:rsidR="000003C7" w:rsidRPr="00080D26">
        <w:rPr>
          <w:rFonts w:cs="Calibri"/>
        </w:rPr>
        <w:t xml:space="preserve"> </w:t>
      </w:r>
      <w:r w:rsidRPr="00080D26">
        <w:rPr>
          <w:rFonts w:cs="Calibri"/>
        </w:rPr>
        <w:t>Comprehensive FAME R</w:t>
      </w:r>
      <w:r w:rsidR="004E505A" w:rsidRPr="00080D26">
        <w:rPr>
          <w:rFonts w:cs="Calibri"/>
        </w:rPr>
        <w:t xml:space="preserve">eport.  This follow-up FAME report contains </w:t>
      </w:r>
      <w:r w:rsidR="00E440D3" w:rsidRPr="00080D26">
        <w:rPr>
          <w:rFonts w:cs="Calibri"/>
        </w:rPr>
        <w:t>no</w:t>
      </w:r>
      <w:r w:rsidR="005D5383" w:rsidRPr="00080D26">
        <w:rPr>
          <w:rFonts w:cs="Calibri"/>
        </w:rPr>
        <w:t xml:space="preserve"> findings</w:t>
      </w:r>
      <w:r w:rsidR="00862A51" w:rsidRPr="00080D26">
        <w:rPr>
          <w:rFonts w:cs="Calibri"/>
        </w:rPr>
        <w:t>, no new observations</w:t>
      </w:r>
      <w:r w:rsidR="00FC23E7" w:rsidRPr="00080D26">
        <w:rPr>
          <w:rFonts w:cs="Calibri"/>
        </w:rPr>
        <w:t>,</w:t>
      </w:r>
      <w:r w:rsidR="00CE2E9A" w:rsidRPr="00080D26">
        <w:rPr>
          <w:rFonts w:cs="Calibri"/>
        </w:rPr>
        <w:t xml:space="preserve"> </w:t>
      </w:r>
      <w:r w:rsidR="004E505A" w:rsidRPr="00080D26">
        <w:rPr>
          <w:rFonts w:cs="Calibri"/>
        </w:rPr>
        <w:t xml:space="preserve">and </w:t>
      </w:r>
      <w:r w:rsidR="00314843" w:rsidRPr="00080D26">
        <w:rPr>
          <w:rFonts w:cs="Calibri"/>
        </w:rPr>
        <w:t>two</w:t>
      </w:r>
      <w:r w:rsidR="00F81255" w:rsidRPr="00080D26">
        <w:rPr>
          <w:rFonts w:cs="Calibri"/>
        </w:rPr>
        <w:t xml:space="preserve"> </w:t>
      </w:r>
      <w:r w:rsidR="00FC23E7" w:rsidRPr="00080D26">
        <w:rPr>
          <w:rFonts w:cs="Calibri"/>
        </w:rPr>
        <w:t xml:space="preserve">continued </w:t>
      </w:r>
      <w:r w:rsidR="004E505A" w:rsidRPr="00080D26">
        <w:rPr>
          <w:rFonts w:cs="Calibri"/>
        </w:rPr>
        <w:t>observations</w:t>
      </w:r>
      <w:r w:rsidR="005D5383" w:rsidRPr="00080D26">
        <w:rPr>
          <w:rFonts w:cs="Calibri"/>
        </w:rPr>
        <w:t xml:space="preserve">.  </w:t>
      </w:r>
      <w:r w:rsidR="007247ED" w:rsidRPr="00080D26">
        <w:rPr>
          <w:rFonts w:cs="Calibri"/>
        </w:rPr>
        <w:t xml:space="preserve">The State Plan </w:t>
      </w:r>
      <w:r w:rsidR="006F79DB" w:rsidRPr="00080D26">
        <w:rPr>
          <w:rFonts w:cs="Calibri"/>
        </w:rPr>
        <w:t>made</w:t>
      </w:r>
      <w:r w:rsidR="004C4D0B" w:rsidRPr="00080D26">
        <w:rPr>
          <w:rFonts w:cs="Calibri"/>
        </w:rPr>
        <w:t xml:space="preserve"> </w:t>
      </w:r>
      <w:r w:rsidR="003D7B58" w:rsidRPr="00080D26">
        <w:rPr>
          <w:rFonts w:cs="Calibri"/>
        </w:rPr>
        <w:t xml:space="preserve">continuous </w:t>
      </w:r>
      <w:r w:rsidR="00A710E0" w:rsidRPr="00080D26">
        <w:rPr>
          <w:rFonts w:cs="Calibri"/>
        </w:rPr>
        <w:t xml:space="preserve">progress on </w:t>
      </w:r>
      <w:r w:rsidR="00CB3D75" w:rsidRPr="00080D26">
        <w:rPr>
          <w:rFonts w:cs="Calibri"/>
        </w:rPr>
        <w:t>addressing the</w:t>
      </w:r>
      <w:r w:rsidR="00E96F4C" w:rsidRPr="00080D26">
        <w:rPr>
          <w:rFonts w:cs="Calibri"/>
        </w:rPr>
        <w:t xml:space="preserve"> </w:t>
      </w:r>
      <w:r w:rsidR="005221F2" w:rsidRPr="00080D26">
        <w:rPr>
          <w:rFonts w:cs="Calibri"/>
        </w:rPr>
        <w:t xml:space="preserve">three </w:t>
      </w:r>
      <w:r w:rsidR="00E96F4C" w:rsidRPr="00080D26">
        <w:rPr>
          <w:rFonts w:cs="Calibri"/>
        </w:rPr>
        <w:t xml:space="preserve">observations </w:t>
      </w:r>
      <w:r w:rsidR="00CB3D75" w:rsidRPr="00080D26">
        <w:rPr>
          <w:rFonts w:cs="Calibri"/>
        </w:rPr>
        <w:t>from FY 2023 and f</w:t>
      </w:r>
      <w:r w:rsidR="00B46AEE" w:rsidRPr="00080D26">
        <w:rPr>
          <w:rFonts w:cs="Calibri"/>
        </w:rPr>
        <w:t xml:space="preserve">ollowing the State Plan corrective actions, </w:t>
      </w:r>
      <w:r w:rsidR="000A476F" w:rsidRPr="00080D26">
        <w:rPr>
          <w:rFonts w:cs="Calibri"/>
        </w:rPr>
        <w:t>one</w:t>
      </w:r>
      <w:r w:rsidR="00B46AEE" w:rsidRPr="00080D26">
        <w:rPr>
          <w:rFonts w:cs="Calibri"/>
        </w:rPr>
        <w:t xml:space="preserve"> of the </w:t>
      </w:r>
      <w:r w:rsidR="000A476F" w:rsidRPr="00080D26">
        <w:rPr>
          <w:rFonts w:cs="Calibri"/>
        </w:rPr>
        <w:t xml:space="preserve">observations was closed, </w:t>
      </w:r>
      <w:r w:rsidR="008E20CD" w:rsidRPr="00080D26">
        <w:rPr>
          <w:rFonts w:cs="Calibri"/>
        </w:rPr>
        <w:t xml:space="preserve">and two observations </w:t>
      </w:r>
      <w:r w:rsidR="00B46AEE" w:rsidRPr="00080D26">
        <w:rPr>
          <w:rFonts w:cs="Calibri"/>
        </w:rPr>
        <w:t>are continued from last year’s FAME</w:t>
      </w:r>
      <w:r w:rsidR="00B8078F" w:rsidRPr="00080D26">
        <w:rPr>
          <w:rFonts w:cs="Calibri"/>
        </w:rPr>
        <w:t xml:space="preserve">.  </w:t>
      </w:r>
      <w:r w:rsidR="004E505A" w:rsidRPr="00080D26">
        <w:rPr>
          <w:rFonts w:cs="Calibri"/>
        </w:rPr>
        <w:t xml:space="preserve">Appendix A </w:t>
      </w:r>
      <w:r w:rsidR="009939B8" w:rsidRPr="00080D26">
        <w:rPr>
          <w:rFonts w:cs="Calibri"/>
        </w:rPr>
        <w:t>reflects no</w:t>
      </w:r>
      <w:r w:rsidR="004E505A" w:rsidRPr="00080D26">
        <w:rPr>
          <w:rFonts w:cs="Calibri"/>
        </w:rPr>
        <w:t xml:space="preserve"> new </w:t>
      </w:r>
      <w:r w:rsidR="001B58AA" w:rsidRPr="00080D26">
        <w:rPr>
          <w:rFonts w:cs="Calibri"/>
        </w:rPr>
        <w:t xml:space="preserve">or continued </w:t>
      </w:r>
      <w:r w:rsidR="004E505A" w:rsidRPr="00080D26">
        <w:rPr>
          <w:rFonts w:cs="Calibri"/>
        </w:rPr>
        <w:t>findings and recommendations.  Appendix B describes observations subject to continued monitoring</w:t>
      </w:r>
      <w:r w:rsidR="001E4F8A" w:rsidRPr="00080D26">
        <w:rPr>
          <w:rFonts w:cs="Calibri"/>
        </w:rPr>
        <w:t xml:space="preserve"> and the related federal monitoring plan</w:t>
      </w:r>
      <w:r w:rsidR="004E505A" w:rsidRPr="00080D26">
        <w:rPr>
          <w:rFonts w:cs="Calibri"/>
        </w:rPr>
        <w:t xml:space="preserve">.  Appendix C </w:t>
      </w:r>
      <w:r w:rsidR="001C0C29" w:rsidRPr="00080D26">
        <w:rPr>
          <w:rFonts w:cs="Calibri"/>
        </w:rPr>
        <w:t>reflects that there were no</w:t>
      </w:r>
      <w:r w:rsidR="004E505A" w:rsidRPr="00080D26">
        <w:rPr>
          <w:rFonts w:cs="Calibri"/>
        </w:rPr>
        <w:t xml:space="preserve"> FY 20</w:t>
      </w:r>
      <w:r w:rsidR="00B66C2A" w:rsidRPr="00080D26">
        <w:rPr>
          <w:rFonts w:cs="Calibri"/>
        </w:rPr>
        <w:t>2</w:t>
      </w:r>
      <w:r w:rsidR="00E35E8A" w:rsidRPr="00080D26">
        <w:rPr>
          <w:rFonts w:cs="Calibri"/>
        </w:rPr>
        <w:t>3</w:t>
      </w:r>
      <w:r w:rsidR="004E505A" w:rsidRPr="00080D26">
        <w:rPr>
          <w:rFonts w:cs="Calibri"/>
        </w:rPr>
        <w:t xml:space="preserve"> </w:t>
      </w:r>
      <w:r w:rsidR="00B66C2A" w:rsidRPr="00080D26">
        <w:rPr>
          <w:rFonts w:cs="Calibri"/>
        </w:rPr>
        <w:t>finding</w:t>
      </w:r>
      <w:r w:rsidR="00D27C74" w:rsidRPr="00080D26">
        <w:rPr>
          <w:rFonts w:cs="Calibri"/>
        </w:rPr>
        <w:t>s</w:t>
      </w:r>
      <w:r w:rsidR="00B66C2A" w:rsidRPr="00080D26">
        <w:rPr>
          <w:rFonts w:cs="Calibri"/>
        </w:rPr>
        <w:t xml:space="preserve"> </w:t>
      </w:r>
      <w:r w:rsidR="006275EF" w:rsidRPr="00080D26">
        <w:rPr>
          <w:rFonts w:cs="Calibri"/>
        </w:rPr>
        <w:t>or</w:t>
      </w:r>
      <w:r w:rsidR="00B66C2A" w:rsidRPr="00080D26">
        <w:rPr>
          <w:rFonts w:cs="Calibri"/>
        </w:rPr>
        <w:t xml:space="preserve"> </w:t>
      </w:r>
      <w:r w:rsidR="004E505A" w:rsidRPr="00080D26">
        <w:rPr>
          <w:rFonts w:cs="Calibri"/>
        </w:rPr>
        <w:t>recommendation</w:t>
      </w:r>
      <w:r w:rsidR="006275EF" w:rsidRPr="00080D26">
        <w:rPr>
          <w:rFonts w:cs="Calibri"/>
        </w:rPr>
        <w:t>s</w:t>
      </w:r>
      <w:r w:rsidR="000C1D85" w:rsidRPr="00080D26">
        <w:rPr>
          <w:rFonts w:cs="Calibri"/>
        </w:rPr>
        <w:t xml:space="preserve"> for the State Plan to address in FY 2024</w:t>
      </w:r>
      <w:r w:rsidR="004E505A" w:rsidRPr="00080D26">
        <w:rPr>
          <w:rFonts w:cs="Calibri"/>
        </w:rPr>
        <w:t>.</w:t>
      </w:r>
    </w:p>
    <w:p w14:paraId="699539B4" w14:textId="77777777" w:rsidR="004E505A" w:rsidRPr="00080D26" w:rsidRDefault="004E505A" w:rsidP="00783189">
      <w:pPr>
        <w:widowControl/>
        <w:autoSpaceDE/>
        <w:autoSpaceDN/>
        <w:adjustRightInd/>
        <w:rPr>
          <w:rFonts w:cs="Calibri"/>
          <w:highlight w:val="yellow"/>
        </w:rPr>
      </w:pPr>
    </w:p>
    <w:p w14:paraId="49B482D8" w14:textId="77777777" w:rsidR="00443054" w:rsidRPr="00080D26" w:rsidRDefault="00443054" w:rsidP="00E44D46">
      <w:pPr>
        <w:pStyle w:val="Heading4"/>
        <w:rPr>
          <w:b w:val="0"/>
        </w:rPr>
      </w:pPr>
      <w:bookmarkStart w:id="20" w:name="_Toc118900176"/>
      <w:bookmarkStart w:id="21" w:name="_Toc118905015"/>
      <w:r w:rsidRPr="00080D26">
        <w:t>Observations</w:t>
      </w:r>
      <w:bookmarkEnd w:id="20"/>
      <w:bookmarkEnd w:id="21"/>
    </w:p>
    <w:p w14:paraId="2D0C820B" w14:textId="77777777" w:rsidR="005C1BFC" w:rsidRPr="00080D26" w:rsidRDefault="005C1BFC" w:rsidP="00783189">
      <w:pPr>
        <w:widowControl/>
        <w:autoSpaceDE/>
        <w:autoSpaceDN/>
        <w:adjustRightInd/>
        <w:rPr>
          <w:rFonts w:cs="Calibri"/>
          <w:bCs/>
          <w:highlight w:val="yellow"/>
          <w:u w:val="single"/>
        </w:rPr>
      </w:pPr>
    </w:p>
    <w:p w14:paraId="53E5B736" w14:textId="0BCB0360" w:rsidR="00D97421" w:rsidRPr="00080D26" w:rsidRDefault="00D97421" w:rsidP="00783189">
      <w:pPr>
        <w:widowControl/>
        <w:autoSpaceDE/>
        <w:autoSpaceDN/>
        <w:adjustRightInd/>
        <w:rPr>
          <w:rFonts w:cs="Calibri"/>
          <w:b/>
          <w:bCs/>
        </w:rPr>
      </w:pPr>
      <w:r w:rsidRPr="00080D26">
        <w:rPr>
          <w:rFonts w:cs="Calibri"/>
          <w:b/>
          <w:bCs/>
        </w:rPr>
        <w:t xml:space="preserve">Closed </w:t>
      </w:r>
      <w:r w:rsidR="0061362E" w:rsidRPr="00080D26">
        <w:rPr>
          <w:rFonts w:cs="Calibri"/>
          <w:b/>
          <w:bCs/>
        </w:rPr>
        <w:t>FY 202</w:t>
      </w:r>
      <w:r w:rsidR="00E961E0" w:rsidRPr="00080D26">
        <w:rPr>
          <w:rFonts w:cs="Calibri"/>
          <w:b/>
          <w:bCs/>
        </w:rPr>
        <w:t>3</w:t>
      </w:r>
      <w:r w:rsidR="0061362E" w:rsidRPr="00080D26">
        <w:rPr>
          <w:rFonts w:cs="Calibri"/>
          <w:b/>
          <w:bCs/>
        </w:rPr>
        <w:t xml:space="preserve"> </w:t>
      </w:r>
      <w:r w:rsidRPr="00080D26">
        <w:rPr>
          <w:rFonts w:cs="Calibri"/>
          <w:b/>
          <w:bCs/>
        </w:rPr>
        <w:t>Observation</w:t>
      </w:r>
    </w:p>
    <w:p w14:paraId="2EB27CF1" w14:textId="77777777" w:rsidR="00D97421" w:rsidRPr="00080D26" w:rsidRDefault="00D97421" w:rsidP="00783189">
      <w:pPr>
        <w:widowControl/>
        <w:autoSpaceDE/>
        <w:autoSpaceDN/>
        <w:adjustRightInd/>
        <w:rPr>
          <w:rFonts w:cs="Calibri"/>
          <w:bCs/>
          <w:iCs/>
          <w:u w:val="single"/>
        </w:rPr>
      </w:pPr>
    </w:p>
    <w:p w14:paraId="50E61ACD" w14:textId="745075FC" w:rsidR="0090108A" w:rsidRPr="00080D26" w:rsidRDefault="0090108A" w:rsidP="00783189">
      <w:pPr>
        <w:widowControl/>
        <w:autoSpaceDE/>
        <w:autoSpaceDN/>
        <w:adjustRightInd/>
        <w:rPr>
          <w:rFonts w:cs="Calibri"/>
          <w:bCs/>
        </w:rPr>
      </w:pPr>
      <w:r w:rsidRPr="00080D26">
        <w:rPr>
          <w:rFonts w:cs="Calibri"/>
          <w:b/>
          <w:bCs/>
        </w:rPr>
        <w:t>Observation FY 20</w:t>
      </w:r>
      <w:r w:rsidR="001352FE" w:rsidRPr="00080D26">
        <w:rPr>
          <w:rFonts w:cs="Calibri"/>
          <w:b/>
          <w:bCs/>
        </w:rPr>
        <w:t>23</w:t>
      </w:r>
      <w:r w:rsidRPr="00080D26">
        <w:rPr>
          <w:rFonts w:cs="Calibri"/>
          <w:b/>
          <w:bCs/>
        </w:rPr>
        <w:t>-OB-03:</w:t>
      </w:r>
      <w:r w:rsidRPr="00080D26">
        <w:rPr>
          <w:rFonts w:cs="Calibri"/>
          <w:bCs/>
        </w:rPr>
        <w:t xml:space="preserve"> </w:t>
      </w:r>
      <w:r w:rsidR="006A5D2E" w:rsidRPr="00080D26">
        <w:rPr>
          <w:rFonts w:cs="Calibri"/>
          <w:bCs/>
        </w:rPr>
        <w:t>The Illinois State Plan currently has three pending docketed whistleblower cases and one pending whistleblower intake with 1,526 average days pending.</w:t>
      </w:r>
    </w:p>
    <w:p w14:paraId="269F01EA" w14:textId="77777777" w:rsidR="0090108A" w:rsidRPr="00080D26" w:rsidRDefault="0090108A" w:rsidP="00783189">
      <w:pPr>
        <w:widowControl/>
        <w:autoSpaceDE/>
        <w:autoSpaceDN/>
        <w:adjustRightInd/>
        <w:rPr>
          <w:rFonts w:cs="Calibri"/>
          <w:bCs/>
        </w:rPr>
      </w:pPr>
    </w:p>
    <w:p w14:paraId="3D1946E0" w14:textId="58AE9C41" w:rsidR="0090108A" w:rsidRPr="00080D26" w:rsidRDefault="0090108A" w:rsidP="00783189">
      <w:pPr>
        <w:widowControl/>
        <w:autoSpaceDE/>
        <w:autoSpaceDN/>
        <w:adjustRightInd/>
        <w:rPr>
          <w:rFonts w:cs="Calibri"/>
          <w:bCs/>
        </w:rPr>
      </w:pPr>
      <w:r w:rsidRPr="00080D26">
        <w:rPr>
          <w:rFonts w:cs="Calibri"/>
          <w:b/>
          <w:bCs/>
        </w:rPr>
        <w:t>Status:</w:t>
      </w:r>
      <w:r w:rsidRPr="00080D26">
        <w:rPr>
          <w:rFonts w:cs="Calibri"/>
          <w:bCs/>
        </w:rPr>
        <w:t xml:space="preserve"> </w:t>
      </w:r>
      <w:r w:rsidR="00EA4B05" w:rsidRPr="00080D26">
        <w:rPr>
          <w:rFonts w:cs="Calibri"/>
          <w:bCs/>
        </w:rPr>
        <w:t>In FY 20</w:t>
      </w:r>
      <w:r w:rsidR="006A5D2E" w:rsidRPr="00080D26">
        <w:rPr>
          <w:rFonts w:cs="Calibri"/>
          <w:bCs/>
        </w:rPr>
        <w:t>24</w:t>
      </w:r>
      <w:r w:rsidR="00EA4B05" w:rsidRPr="00080D26">
        <w:rPr>
          <w:rFonts w:cs="Calibri"/>
          <w:bCs/>
        </w:rPr>
        <w:t xml:space="preserve">, the State Plan successfully </w:t>
      </w:r>
      <w:r w:rsidR="006A5D2E" w:rsidRPr="00080D26">
        <w:rPr>
          <w:rFonts w:cs="Calibri"/>
          <w:bCs/>
        </w:rPr>
        <w:t xml:space="preserve">addressed and </w:t>
      </w:r>
      <w:r w:rsidR="001D07D2" w:rsidRPr="00080D26">
        <w:rPr>
          <w:rFonts w:cs="Calibri"/>
          <w:bCs/>
        </w:rPr>
        <w:t xml:space="preserve">closed the </w:t>
      </w:r>
      <w:r w:rsidR="004202C9" w:rsidRPr="00080D26">
        <w:rPr>
          <w:rFonts w:cs="Calibri"/>
          <w:bCs/>
        </w:rPr>
        <w:t xml:space="preserve">outstanding </w:t>
      </w:r>
      <w:r w:rsidR="001D07D2" w:rsidRPr="00080D26">
        <w:rPr>
          <w:rFonts w:cs="Calibri"/>
          <w:bCs/>
        </w:rPr>
        <w:t>docketed whistleblower cases and pending whistleblower intake</w:t>
      </w:r>
      <w:r w:rsidR="004202C9" w:rsidRPr="00080D26">
        <w:rPr>
          <w:rFonts w:cs="Calibri"/>
          <w:bCs/>
        </w:rPr>
        <w:t xml:space="preserve">.  </w:t>
      </w:r>
      <w:r w:rsidR="00C75594">
        <w:rPr>
          <w:rFonts w:cs="Calibri"/>
          <w:bCs/>
        </w:rPr>
        <w:t xml:space="preserve">They focused on their oldest cases, closing the </w:t>
      </w:r>
      <w:r w:rsidR="00A54980">
        <w:rPr>
          <w:rFonts w:cs="Calibri"/>
          <w:bCs/>
        </w:rPr>
        <w:t>oldest</w:t>
      </w:r>
      <w:r w:rsidR="00C75594">
        <w:rPr>
          <w:rFonts w:cs="Calibri"/>
          <w:bCs/>
        </w:rPr>
        <w:t xml:space="preserve"> four cases and</w:t>
      </w:r>
      <w:r w:rsidR="00A54980">
        <w:rPr>
          <w:rFonts w:cs="Calibri"/>
          <w:bCs/>
        </w:rPr>
        <w:t xml:space="preserve"> an additional four old cases.</w:t>
      </w:r>
      <w:r w:rsidR="00C75594">
        <w:rPr>
          <w:rFonts w:cs="Calibri"/>
          <w:bCs/>
        </w:rPr>
        <w:t xml:space="preserve"> </w:t>
      </w:r>
      <w:r w:rsidR="001D6D4A">
        <w:rPr>
          <w:rFonts w:cs="Calibri"/>
          <w:bCs/>
        </w:rPr>
        <w:t xml:space="preserve"> </w:t>
      </w:r>
      <w:r w:rsidR="0028717F" w:rsidRPr="00080D26">
        <w:rPr>
          <w:rFonts w:cs="Calibri"/>
          <w:bCs/>
        </w:rPr>
        <w:t>At the close of</w:t>
      </w:r>
      <w:r w:rsidR="000C5BBC" w:rsidRPr="00080D26">
        <w:rPr>
          <w:rFonts w:cs="Calibri"/>
          <w:bCs/>
        </w:rPr>
        <w:t xml:space="preserve"> FY 2024</w:t>
      </w:r>
      <w:r w:rsidR="00CF5930">
        <w:rPr>
          <w:rFonts w:cs="Calibri"/>
          <w:bCs/>
        </w:rPr>
        <w:t>,</w:t>
      </w:r>
      <w:r w:rsidR="000C5BBC" w:rsidRPr="00080D26">
        <w:rPr>
          <w:rFonts w:cs="Calibri"/>
          <w:bCs/>
        </w:rPr>
        <w:t xml:space="preserve"> the State Plan</w:t>
      </w:r>
      <w:r w:rsidR="0028717F" w:rsidRPr="00080D26">
        <w:rPr>
          <w:rFonts w:cs="Calibri"/>
          <w:bCs/>
        </w:rPr>
        <w:t xml:space="preserve">’s </w:t>
      </w:r>
      <w:r w:rsidR="00011F3D" w:rsidRPr="00080D26">
        <w:rPr>
          <w:rFonts w:cs="Calibri"/>
          <w:bCs/>
        </w:rPr>
        <w:t xml:space="preserve">average days pending is </w:t>
      </w:r>
      <w:r w:rsidR="00497DC1">
        <w:rPr>
          <w:rFonts w:cs="Calibri"/>
          <w:bCs/>
        </w:rPr>
        <w:t>comparable to OSHA</w:t>
      </w:r>
      <w:r w:rsidR="0082271F">
        <w:rPr>
          <w:rFonts w:cs="Calibri"/>
          <w:bCs/>
        </w:rPr>
        <w:t>’s average days pending</w:t>
      </w:r>
      <w:r w:rsidR="00EA4B05" w:rsidRPr="00080D26">
        <w:rPr>
          <w:rFonts w:cs="Calibri"/>
          <w:bCs/>
        </w:rPr>
        <w:t xml:space="preserve">. </w:t>
      </w:r>
      <w:r w:rsidR="001D6D4A">
        <w:rPr>
          <w:rFonts w:cs="Calibri"/>
          <w:bCs/>
        </w:rPr>
        <w:t xml:space="preserve"> </w:t>
      </w:r>
      <w:r w:rsidR="0082271F">
        <w:rPr>
          <w:rFonts w:cs="Calibri"/>
          <w:bCs/>
        </w:rPr>
        <w:t xml:space="preserve">At the end of FY 2024, the State Plan’s oldest three cases </w:t>
      </w:r>
      <w:r w:rsidR="00E74602">
        <w:rPr>
          <w:rFonts w:cs="Calibri"/>
          <w:bCs/>
        </w:rPr>
        <w:t xml:space="preserve">had an average of 658 days pending.  </w:t>
      </w:r>
      <w:r w:rsidR="00EA4B05" w:rsidRPr="00080D26">
        <w:rPr>
          <w:rFonts w:cs="Calibri"/>
          <w:bCs/>
        </w:rPr>
        <w:t>This observation is closed.</w:t>
      </w:r>
    </w:p>
    <w:p w14:paraId="0DC0C330" w14:textId="77777777" w:rsidR="00EA4B05" w:rsidRPr="00080D26" w:rsidRDefault="00EA4B05" w:rsidP="00783189">
      <w:pPr>
        <w:widowControl/>
        <w:autoSpaceDE/>
        <w:autoSpaceDN/>
        <w:adjustRightInd/>
        <w:rPr>
          <w:rFonts w:cs="Calibri"/>
          <w:bCs/>
        </w:rPr>
      </w:pPr>
    </w:p>
    <w:p w14:paraId="370CCAAD" w14:textId="256416CA" w:rsidR="00602EF3" w:rsidRPr="00080D26" w:rsidRDefault="004E505A" w:rsidP="00783189">
      <w:pPr>
        <w:widowControl/>
        <w:autoSpaceDE/>
        <w:autoSpaceDN/>
        <w:adjustRightInd/>
        <w:rPr>
          <w:rFonts w:cs="Calibri"/>
          <w:b/>
        </w:rPr>
      </w:pPr>
      <w:r w:rsidRPr="00080D26">
        <w:rPr>
          <w:rFonts w:cs="Calibri"/>
          <w:b/>
        </w:rPr>
        <w:t xml:space="preserve">Continued </w:t>
      </w:r>
      <w:r w:rsidR="00054416" w:rsidRPr="00080D26">
        <w:rPr>
          <w:rFonts w:cs="Calibri"/>
          <w:b/>
        </w:rPr>
        <w:t xml:space="preserve">FY </w:t>
      </w:r>
      <w:r w:rsidR="007C0A36" w:rsidRPr="00080D26">
        <w:rPr>
          <w:rFonts w:cs="Calibri"/>
          <w:b/>
        </w:rPr>
        <w:t>20</w:t>
      </w:r>
      <w:r w:rsidR="00011F3D" w:rsidRPr="00080D26">
        <w:rPr>
          <w:rFonts w:cs="Calibri"/>
          <w:b/>
        </w:rPr>
        <w:t>23</w:t>
      </w:r>
      <w:r w:rsidR="007C0A36" w:rsidRPr="00080D26">
        <w:rPr>
          <w:rFonts w:cs="Calibri"/>
          <w:b/>
        </w:rPr>
        <w:t xml:space="preserve"> </w:t>
      </w:r>
      <w:r w:rsidR="00443054" w:rsidRPr="00080D26">
        <w:rPr>
          <w:rFonts w:cs="Calibri"/>
          <w:b/>
        </w:rPr>
        <w:t>Observation</w:t>
      </w:r>
      <w:r w:rsidR="0061362E" w:rsidRPr="00080D26">
        <w:rPr>
          <w:rFonts w:cs="Calibri"/>
          <w:b/>
        </w:rPr>
        <w:t>s</w:t>
      </w:r>
    </w:p>
    <w:p w14:paraId="00C81835" w14:textId="77777777" w:rsidR="00602EF3" w:rsidRPr="00080D26" w:rsidRDefault="00602EF3" w:rsidP="00783189">
      <w:pPr>
        <w:widowControl/>
        <w:autoSpaceDE/>
        <w:autoSpaceDN/>
        <w:adjustRightInd/>
        <w:rPr>
          <w:rFonts w:cs="Calibri"/>
          <w:b/>
          <w:bCs/>
          <w:highlight w:val="yellow"/>
        </w:rPr>
      </w:pPr>
    </w:p>
    <w:p w14:paraId="2D5AA5EF" w14:textId="6E3CCA6C" w:rsidR="00602EF3" w:rsidRPr="00080D26" w:rsidRDefault="00602EF3" w:rsidP="00783189">
      <w:pPr>
        <w:widowControl/>
        <w:tabs>
          <w:tab w:val="left" w:pos="1890"/>
          <w:tab w:val="left" w:pos="2430"/>
        </w:tabs>
        <w:autoSpaceDE/>
        <w:autoSpaceDN/>
        <w:adjustRightInd/>
        <w:contextualSpacing/>
        <w:rPr>
          <w:rFonts w:cs="Calibri"/>
          <w:b/>
        </w:rPr>
      </w:pPr>
      <w:r w:rsidRPr="00080D26">
        <w:rPr>
          <w:rFonts w:cs="Calibri"/>
          <w:b/>
        </w:rPr>
        <w:t>Observation</w:t>
      </w:r>
      <w:r w:rsidR="007C0A36" w:rsidRPr="00080D26">
        <w:rPr>
          <w:rFonts w:cs="Calibri"/>
          <w:b/>
        </w:rPr>
        <w:t xml:space="preserve"> FY 20</w:t>
      </w:r>
      <w:r w:rsidR="005D384D" w:rsidRPr="00080D26">
        <w:rPr>
          <w:rFonts w:cs="Calibri"/>
          <w:b/>
        </w:rPr>
        <w:t>24</w:t>
      </w:r>
      <w:r w:rsidR="00961A7C" w:rsidRPr="00080D26">
        <w:rPr>
          <w:rFonts w:cs="Calibri"/>
          <w:b/>
        </w:rPr>
        <w:t>-OB</w:t>
      </w:r>
      <w:r w:rsidR="004E505A" w:rsidRPr="00080D26">
        <w:rPr>
          <w:rFonts w:cs="Calibri"/>
          <w:b/>
        </w:rPr>
        <w:t>-01</w:t>
      </w:r>
      <w:r w:rsidR="00B81DBF" w:rsidRPr="00080D26">
        <w:rPr>
          <w:rFonts w:cs="Calibri"/>
          <w:b/>
        </w:rPr>
        <w:t xml:space="preserve"> (FY 2023-OB-01)</w:t>
      </w:r>
      <w:r w:rsidR="004E505A" w:rsidRPr="00080D26">
        <w:rPr>
          <w:rFonts w:cs="Calibri"/>
          <w:b/>
        </w:rPr>
        <w:t>:</w:t>
      </w:r>
      <w:r w:rsidRPr="00080D26">
        <w:rPr>
          <w:rFonts w:cs="Calibri"/>
          <w:b/>
        </w:rPr>
        <w:t xml:space="preserve"> </w:t>
      </w:r>
      <w:r w:rsidR="00F175A7" w:rsidRPr="00080D26">
        <w:rPr>
          <w:rFonts w:cs="Calibri"/>
        </w:rPr>
        <w:t>The Illinois State Plan’s number of planned vs actual inspections (safety) (SAMM 7a) is below the further review level</w:t>
      </w:r>
      <w:r w:rsidR="00293966">
        <w:rPr>
          <w:rFonts w:cs="Calibri"/>
        </w:rPr>
        <w:t xml:space="preserve"> (FRL)</w:t>
      </w:r>
      <w:r w:rsidR="00F175A7" w:rsidRPr="00080D26">
        <w:rPr>
          <w:rFonts w:cs="Calibri"/>
        </w:rPr>
        <w:t xml:space="preserve"> of 380 safety inspections.  The Illinois State Plan conducted 283 safety inspections (71%) of the 400 planned safety inspections.</w:t>
      </w:r>
      <w:r w:rsidRPr="00080D26">
        <w:rPr>
          <w:rFonts w:cs="Calibri"/>
        </w:rPr>
        <w:t xml:space="preserve">  </w:t>
      </w:r>
    </w:p>
    <w:p w14:paraId="099C7D52" w14:textId="77777777" w:rsidR="00602EF3" w:rsidRPr="00080D26" w:rsidRDefault="00602EF3" w:rsidP="00783189">
      <w:pPr>
        <w:widowControl/>
        <w:tabs>
          <w:tab w:val="left" w:pos="1890"/>
          <w:tab w:val="left" w:pos="2430"/>
        </w:tabs>
        <w:autoSpaceDE/>
        <w:autoSpaceDN/>
        <w:adjustRightInd/>
        <w:contextualSpacing/>
        <w:rPr>
          <w:rFonts w:cs="Calibri"/>
          <w:b/>
          <w:highlight w:val="yellow"/>
          <w:u w:val="single"/>
        </w:rPr>
      </w:pPr>
    </w:p>
    <w:p w14:paraId="53806ECE" w14:textId="18A3016F" w:rsidR="00602EF3" w:rsidRPr="00080D26" w:rsidRDefault="00602EF3" w:rsidP="00783189">
      <w:pPr>
        <w:widowControl/>
        <w:tabs>
          <w:tab w:val="left" w:pos="1890"/>
          <w:tab w:val="left" w:pos="2430"/>
        </w:tabs>
        <w:autoSpaceDE/>
        <w:autoSpaceDN/>
        <w:adjustRightInd/>
        <w:contextualSpacing/>
        <w:rPr>
          <w:rFonts w:cs="Calibri"/>
          <w:b/>
        </w:rPr>
      </w:pPr>
      <w:r w:rsidRPr="00080D26">
        <w:rPr>
          <w:rFonts w:cs="Calibri"/>
          <w:b/>
        </w:rPr>
        <w:t>Stat</w:t>
      </w:r>
      <w:r w:rsidR="004E505A" w:rsidRPr="00080D26">
        <w:rPr>
          <w:rFonts w:cs="Calibri"/>
          <w:b/>
        </w:rPr>
        <w:t>us:</w:t>
      </w:r>
      <w:r w:rsidR="004E505A" w:rsidRPr="005649C1">
        <w:rPr>
          <w:rFonts w:cs="Calibri"/>
          <w:bCs/>
        </w:rPr>
        <w:t xml:space="preserve">  </w:t>
      </w:r>
      <w:r w:rsidR="005649C1" w:rsidRPr="005649C1">
        <w:rPr>
          <w:rFonts w:cs="Calibri"/>
          <w:bCs/>
        </w:rPr>
        <w:t xml:space="preserve">The </w:t>
      </w:r>
      <w:r w:rsidR="00DD4CC4" w:rsidRPr="00DD4CC4">
        <w:rPr>
          <w:rFonts w:cs="Calibri"/>
          <w:bCs/>
        </w:rPr>
        <w:t xml:space="preserve">SAMM 7a </w:t>
      </w:r>
      <w:r w:rsidR="005649C1" w:rsidRPr="005649C1">
        <w:rPr>
          <w:rFonts w:cs="Calibri"/>
          <w:bCs/>
        </w:rPr>
        <w:t>FRL for planned inspections compared to actual inspections is +/- 5% of the 400 safety inspections negotiated by OSHA and the State Plan through the grant application.</w:t>
      </w:r>
      <w:r w:rsidR="005649C1" w:rsidRPr="005649C1">
        <w:rPr>
          <w:rFonts w:cs="Calibri"/>
          <w:b/>
        </w:rPr>
        <w:t xml:space="preserve">  </w:t>
      </w:r>
      <w:r w:rsidR="0073504C" w:rsidRPr="0073504C">
        <w:rPr>
          <w:rFonts w:cs="Calibri"/>
          <w:bCs/>
        </w:rPr>
        <w:t>The range of acceptable data not requiring further review is from 380 to 420 for safety.</w:t>
      </w:r>
      <w:r w:rsidR="0073504C">
        <w:rPr>
          <w:rFonts w:cs="Calibri"/>
          <w:b/>
        </w:rPr>
        <w:t xml:space="preserve">  </w:t>
      </w:r>
      <w:r w:rsidR="008F4629" w:rsidRPr="00080D26">
        <w:rPr>
          <w:rFonts w:cs="Calibri"/>
        </w:rPr>
        <w:t xml:space="preserve">The State Plan </w:t>
      </w:r>
      <w:r w:rsidR="00B35FBC" w:rsidRPr="00080D26">
        <w:rPr>
          <w:rFonts w:cs="Calibri"/>
        </w:rPr>
        <w:t xml:space="preserve">began FY 2024 with a </w:t>
      </w:r>
      <w:r w:rsidR="008F4629" w:rsidRPr="00080D26">
        <w:rPr>
          <w:rFonts w:cs="Calibri"/>
        </w:rPr>
        <w:t xml:space="preserve">focus </w:t>
      </w:r>
      <w:r w:rsidR="0035339C" w:rsidRPr="00080D26">
        <w:rPr>
          <w:rFonts w:cs="Calibri"/>
        </w:rPr>
        <w:t>on hiring</w:t>
      </w:r>
      <w:r w:rsidR="008F4629" w:rsidRPr="00080D26">
        <w:rPr>
          <w:rFonts w:cs="Calibri"/>
        </w:rPr>
        <w:t xml:space="preserve"> and filling field staff positions quickly </w:t>
      </w:r>
      <w:r w:rsidR="00A169E8" w:rsidRPr="00080D26">
        <w:rPr>
          <w:rFonts w:cs="Calibri"/>
        </w:rPr>
        <w:t>to</w:t>
      </w:r>
      <w:r w:rsidR="0035339C" w:rsidRPr="00080D26">
        <w:rPr>
          <w:rFonts w:cs="Calibri"/>
        </w:rPr>
        <w:t xml:space="preserve"> ensure their inspection goals </w:t>
      </w:r>
      <w:r w:rsidR="009911D9" w:rsidRPr="00080D26">
        <w:rPr>
          <w:rFonts w:cs="Calibri"/>
        </w:rPr>
        <w:t>were</w:t>
      </w:r>
      <w:r w:rsidR="0035339C" w:rsidRPr="00080D26">
        <w:rPr>
          <w:rFonts w:cs="Calibri"/>
        </w:rPr>
        <w:t xml:space="preserve"> being met.  </w:t>
      </w:r>
      <w:r w:rsidR="002235BD" w:rsidRPr="00080D26">
        <w:rPr>
          <w:rFonts w:cs="Calibri"/>
        </w:rPr>
        <w:t xml:space="preserve">During the first half of the year, OSHA grant funding </w:t>
      </w:r>
      <w:r w:rsidR="00E61B95" w:rsidRPr="00080D26">
        <w:rPr>
          <w:rFonts w:cs="Calibri"/>
        </w:rPr>
        <w:t>experienced disruptions and i</w:t>
      </w:r>
      <w:r w:rsidR="00CB30DF" w:rsidRPr="00080D26">
        <w:rPr>
          <w:rFonts w:cs="Calibri"/>
        </w:rPr>
        <w:t>n June of FY</w:t>
      </w:r>
      <w:r w:rsidR="004968CC" w:rsidRPr="00080D26">
        <w:rPr>
          <w:rFonts w:cs="Calibri"/>
        </w:rPr>
        <w:t xml:space="preserve"> </w:t>
      </w:r>
      <w:r w:rsidR="00CB30DF" w:rsidRPr="00080D26">
        <w:rPr>
          <w:rFonts w:cs="Calibri"/>
        </w:rPr>
        <w:t xml:space="preserve">2024, OSHA </w:t>
      </w:r>
      <w:r w:rsidR="009911D9" w:rsidRPr="00080D26">
        <w:rPr>
          <w:rFonts w:cs="Calibri"/>
        </w:rPr>
        <w:t xml:space="preserve">permanently </w:t>
      </w:r>
      <w:r w:rsidR="00E61B95" w:rsidRPr="00080D26">
        <w:rPr>
          <w:rFonts w:cs="Calibri"/>
        </w:rPr>
        <w:t xml:space="preserve">reduced the </w:t>
      </w:r>
      <w:r w:rsidR="009911D9" w:rsidRPr="00080D26">
        <w:rPr>
          <w:rFonts w:cs="Calibri"/>
        </w:rPr>
        <w:t xml:space="preserve">Illinois </w:t>
      </w:r>
      <w:r w:rsidR="00B74E82" w:rsidRPr="00080D26">
        <w:rPr>
          <w:rFonts w:cs="Calibri"/>
        </w:rPr>
        <w:t xml:space="preserve">State Plan </w:t>
      </w:r>
      <w:r w:rsidR="00E61B95" w:rsidRPr="00080D26">
        <w:rPr>
          <w:rFonts w:cs="Calibri"/>
        </w:rPr>
        <w:t>funding amount by $50,000 (3.61%)</w:t>
      </w:r>
      <w:r w:rsidR="007130CA" w:rsidRPr="00080D26">
        <w:rPr>
          <w:rFonts w:cs="Calibri"/>
        </w:rPr>
        <w:t>.  In response to the funding</w:t>
      </w:r>
      <w:r w:rsidR="00E61B95" w:rsidRPr="00080D26">
        <w:rPr>
          <w:rFonts w:cs="Calibri"/>
        </w:rPr>
        <w:t xml:space="preserve"> </w:t>
      </w:r>
      <w:r w:rsidR="00A57405" w:rsidRPr="00080D26">
        <w:rPr>
          <w:rFonts w:cs="Calibri"/>
        </w:rPr>
        <w:t>challenges</w:t>
      </w:r>
      <w:r w:rsidR="00B74E82" w:rsidRPr="00080D26">
        <w:rPr>
          <w:rFonts w:cs="Calibri"/>
        </w:rPr>
        <w:t>,</w:t>
      </w:r>
      <w:r w:rsidR="00CB30DF" w:rsidRPr="00080D26">
        <w:rPr>
          <w:rFonts w:cs="Calibri"/>
        </w:rPr>
        <w:t xml:space="preserve"> the State Plan initiated a hiring freeze and restricted overtime spending</w:t>
      </w:r>
      <w:r w:rsidR="00E67836" w:rsidRPr="00080D26">
        <w:rPr>
          <w:rFonts w:cs="Calibri"/>
        </w:rPr>
        <w:t xml:space="preserve">, impacting the available resources to conduct </w:t>
      </w:r>
      <w:r w:rsidR="00A169E8" w:rsidRPr="00080D26">
        <w:rPr>
          <w:rFonts w:cs="Calibri"/>
        </w:rPr>
        <w:t>safety inspections due to vacancies going unfilled.</w:t>
      </w:r>
      <w:r w:rsidRPr="00080D26">
        <w:rPr>
          <w:rFonts w:cs="Calibri"/>
        </w:rPr>
        <w:t xml:space="preserve">  </w:t>
      </w:r>
      <w:r w:rsidR="00781E26" w:rsidRPr="00080D26">
        <w:rPr>
          <w:rFonts w:cs="Calibri"/>
        </w:rPr>
        <w:t xml:space="preserve">Despite these difficulties, the State </w:t>
      </w:r>
      <w:r w:rsidR="00781E26" w:rsidRPr="00080D26">
        <w:rPr>
          <w:rFonts w:cs="Calibri"/>
        </w:rPr>
        <w:lastRenderedPageBreak/>
        <w:t xml:space="preserve">Plan </w:t>
      </w:r>
      <w:r w:rsidR="0036417D" w:rsidRPr="00080D26">
        <w:rPr>
          <w:rFonts w:cs="Calibri"/>
        </w:rPr>
        <w:t>experienced a</w:t>
      </w:r>
      <w:r w:rsidR="00E622DC" w:rsidRPr="00080D26">
        <w:rPr>
          <w:rFonts w:cs="Calibri"/>
        </w:rPr>
        <w:t xml:space="preserve"> 19%</w:t>
      </w:r>
      <w:r w:rsidR="0036417D" w:rsidRPr="00080D26">
        <w:rPr>
          <w:rFonts w:cs="Calibri"/>
        </w:rPr>
        <w:t xml:space="preserve"> improvement </w:t>
      </w:r>
      <w:r w:rsidR="001D1CD3" w:rsidRPr="00080D26">
        <w:rPr>
          <w:rFonts w:cs="Calibri"/>
        </w:rPr>
        <w:t>related to</w:t>
      </w:r>
      <w:r w:rsidR="00E622DC" w:rsidRPr="00080D26">
        <w:rPr>
          <w:rFonts w:cs="Calibri"/>
        </w:rPr>
        <w:t xml:space="preserve"> the </w:t>
      </w:r>
      <w:r w:rsidR="0036417D" w:rsidRPr="00080D26">
        <w:rPr>
          <w:rFonts w:cs="Calibri"/>
        </w:rPr>
        <w:t>SAMM 7a</w:t>
      </w:r>
      <w:r w:rsidR="0039504F" w:rsidRPr="00080D26">
        <w:rPr>
          <w:rFonts w:cs="Calibri"/>
        </w:rPr>
        <w:t xml:space="preserve"> goal, going from </w:t>
      </w:r>
      <w:r w:rsidR="00C50475" w:rsidRPr="00080D26">
        <w:rPr>
          <w:rFonts w:cs="Calibri"/>
        </w:rPr>
        <w:t>206 safety inspections in FY 2023 to completing 283 safety inspections in FY 2024.</w:t>
      </w:r>
      <w:r w:rsidR="0036417D" w:rsidRPr="00080D26">
        <w:rPr>
          <w:rFonts w:cs="Calibri"/>
        </w:rPr>
        <w:t xml:space="preserve"> </w:t>
      </w:r>
      <w:r w:rsidR="004968CC" w:rsidRPr="00080D26">
        <w:rPr>
          <w:rFonts w:cs="Calibri"/>
        </w:rPr>
        <w:t xml:space="preserve"> </w:t>
      </w:r>
      <w:r w:rsidR="00D97421" w:rsidRPr="00080D26">
        <w:rPr>
          <w:rFonts w:cs="Calibri"/>
        </w:rPr>
        <w:t>T</w:t>
      </w:r>
      <w:r w:rsidRPr="00080D26">
        <w:rPr>
          <w:rFonts w:cs="Calibri"/>
        </w:rPr>
        <w:t>his observation will be continued.</w:t>
      </w:r>
    </w:p>
    <w:p w14:paraId="6D3C33CC" w14:textId="77777777" w:rsidR="00783189" w:rsidRPr="001C1E47" w:rsidRDefault="00783189" w:rsidP="00783189">
      <w:pPr>
        <w:widowControl/>
        <w:autoSpaceDE/>
        <w:autoSpaceDN/>
        <w:adjustRightInd/>
        <w:rPr>
          <w:rFonts w:cs="Calibri"/>
          <w:bCs/>
          <w:i/>
        </w:rPr>
      </w:pPr>
    </w:p>
    <w:p w14:paraId="7BD1095F" w14:textId="1751F471" w:rsidR="00EA4B05" w:rsidRPr="00080D26" w:rsidRDefault="00EA4B05" w:rsidP="00783189">
      <w:pPr>
        <w:widowControl/>
        <w:tabs>
          <w:tab w:val="left" w:pos="1890"/>
          <w:tab w:val="left" w:pos="2430"/>
        </w:tabs>
        <w:autoSpaceDE/>
        <w:autoSpaceDN/>
        <w:adjustRightInd/>
        <w:contextualSpacing/>
        <w:rPr>
          <w:rFonts w:cs="Calibri"/>
          <w:b/>
        </w:rPr>
      </w:pPr>
      <w:r w:rsidRPr="00080D26">
        <w:rPr>
          <w:rFonts w:cs="Calibri"/>
          <w:b/>
        </w:rPr>
        <w:t>Observation FY 20</w:t>
      </w:r>
      <w:r w:rsidR="00963772" w:rsidRPr="00080D26">
        <w:rPr>
          <w:rFonts w:cs="Calibri"/>
          <w:b/>
        </w:rPr>
        <w:t>24-OB</w:t>
      </w:r>
      <w:r w:rsidRPr="00080D26">
        <w:rPr>
          <w:rFonts w:cs="Calibri"/>
          <w:b/>
        </w:rPr>
        <w:t>-0</w:t>
      </w:r>
      <w:r w:rsidR="00963772" w:rsidRPr="00080D26">
        <w:rPr>
          <w:rFonts w:cs="Calibri"/>
          <w:b/>
        </w:rPr>
        <w:t>2 (FY 2023-OB-02)</w:t>
      </w:r>
      <w:r w:rsidRPr="00080D26">
        <w:rPr>
          <w:rFonts w:cs="Calibri"/>
          <w:b/>
        </w:rPr>
        <w:t xml:space="preserve">: </w:t>
      </w:r>
      <w:r w:rsidR="00CB2BF4" w:rsidRPr="00080D26">
        <w:rPr>
          <w:rFonts w:cs="Calibri"/>
        </w:rPr>
        <w:t>Fifteen of the 50 (30%) files reviewed, employee interviews were not thoroughly documented as required by Chapter 3-7. C.2 of the Illinois FOM.</w:t>
      </w:r>
      <w:r w:rsidRPr="00080D26">
        <w:rPr>
          <w:rFonts w:cs="Calibri"/>
        </w:rPr>
        <w:t xml:space="preserve">  </w:t>
      </w:r>
    </w:p>
    <w:p w14:paraId="1D6189A9" w14:textId="77777777" w:rsidR="00EA4B05" w:rsidRPr="00080D26" w:rsidRDefault="00EA4B05" w:rsidP="00783189">
      <w:pPr>
        <w:widowControl/>
        <w:tabs>
          <w:tab w:val="left" w:pos="1890"/>
          <w:tab w:val="left" w:pos="2430"/>
        </w:tabs>
        <w:autoSpaceDE/>
        <w:autoSpaceDN/>
        <w:adjustRightInd/>
        <w:contextualSpacing/>
        <w:rPr>
          <w:rFonts w:cs="Calibri"/>
          <w:b/>
          <w:highlight w:val="yellow"/>
          <w:u w:val="single"/>
        </w:rPr>
      </w:pPr>
    </w:p>
    <w:p w14:paraId="41EACD85" w14:textId="3B7AE42F" w:rsidR="00EA4B05" w:rsidRPr="00080D26" w:rsidRDefault="00EA4B05" w:rsidP="00783189">
      <w:pPr>
        <w:widowControl/>
        <w:autoSpaceDE/>
        <w:autoSpaceDN/>
        <w:adjustRightInd/>
        <w:rPr>
          <w:rFonts w:cs="Calibri"/>
          <w:b/>
        </w:rPr>
      </w:pPr>
      <w:r w:rsidRPr="00080D26">
        <w:rPr>
          <w:rFonts w:cs="Calibri"/>
          <w:b/>
        </w:rPr>
        <w:t xml:space="preserve">Status: </w:t>
      </w:r>
      <w:r w:rsidRPr="00080D26">
        <w:rPr>
          <w:rFonts w:cs="Calibri"/>
        </w:rPr>
        <w:t xml:space="preserve">A case file review is necessary to gather the facts needed to evaluate performance in relation to this observation. </w:t>
      </w:r>
      <w:r w:rsidR="001D6D4A">
        <w:rPr>
          <w:rFonts w:cs="Calibri"/>
        </w:rPr>
        <w:t xml:space="preserve"> </w:t>
      </w:r>
      <w:r w:rsidRPr="00080D26">
        <w:rPr>
          <w:rFonts w:cs="Calibri"/>
        </w:rPr>
        <w:t>This observation will be a focus of next year’s on</w:t>
      </w:r>
      <w:r w:rsidR="00976E27" w:rsidRPr="00080D26">
        <w:rPr>
          <w:rFonts w:cs="Calibri"/>
        </w:rPr>
        <w:t>-</w:t>
      </w:r>
      <w:r w:rsidRPr="00080D26">
        <w:rPr>
          <w:rFonts w:cs="Calibri"/>
        </w:rPr>
        <w:t>site case file review during the FY 20</w:t>
      </w:r>
      <w:r w:rsidR="005F643F" w:rsidRPr="00080D26">
        <w:rPr>
          <w:rFonts w:cs="Calibri"/>
        </w:rPr>
        <w:t>25</w:t>
      </w:r>
      <w:r w:rsidRPr="00080D26">
        <w:rPr>
          <w:rFonts w:cs="Calibri"/>
        </w:rPr>
        <w:t xml:space="preserve"> </w:t>
      </w:r>
      <w:r w:rsidR="00D41B13" w:rsidRPr="00080D26">
        <w:rPr>
          <w:rFonts w:cs="Calibri"/>
        </w:rPr>
        <w:t>c</w:t>
      </w:r>
      <w:r w:rsidRPr="00080D26">
        <w:rPr>
          <w:rFonts w:cs="Calibri"/>
        </w:rPr>
        <w:t>omprehensive FAME</w:t>
      </w:r>
      <w:r w:rsidR="00EF5378" w:rsidRPr="00080D26">
        <w:rPr>
          <w:rFonts w:cs="Calibri"/>
        </w:rPr>
        <w:t>.</w:t>
      </w:r>
      <w:r w:rsidRPr="00080D26">
        <w:rPr>
          <w:rFonts w:cs="Calibri"/>
          <w:b/>
        </w:rPr>
        <w:t xml:space="preserve"> </w:t>
      </w:r>
      <w:r w:rsidR="001D6D4A">
        <w:rPr>
          <w:rFonts w:cs="Calibri"/>
          <w:b/>
        </w:rPr>
        <w:t xml:space="preserve"> </w:t>
      </w:r>
      <w:r w:rsidRPr="00080D26">
        <w:rPr>
          <w:rFonts w:cs="Calibri"/>
        </w:rPr>
        <w:t>This observation will be continued.</w:t>
      </w:r>
    </w:p>
    <w:p w14:paraId="67DB38D6" w14:textId="77777777" w:rsidR="00EA4B05" w:rsidRPr="001C1E47" w:rsidRDefault="00EA4B05" w:rsidP="00783189">
      <w:pPr>
        <w:widowControl/>
        <w:autoSpaceDE/>
        <w:autoSpaceDN/>
        <w:adjustRightInd/>
        <w:rPr>
          <w:rFonts w:cs="Calibri"/>
          <w:b/>
          <w:highlight w:val="yellow"/>
          <w:u w:val="single"/>
        </w:rPr>
      </w:pPr>
    </w:p>
    <w:p w14:paraId="3B828F9D" w14:textId="6C45BA5D" w:rsidR="00F132A8" w:rsidRPr="0061362E" w:rsidRDefault="00F132A8" w:rsidP="00C453C1">
      <w:pPr>
        <w:pStyle w:val="Heading3"/>
      </w:pPr>
      <w:bookmarkStart w:id="22" w:name="_Toc118900177"/>
      <w:bookmarkStart w:id="23" w:name="_Toc118905016"/>
      <w:bookmarkStart w:id="24" w:name="_Toc119418668"/>
      <w:r w:rsidRPr="0061362E">
        <w:t>State Activity Mandated Measures (SAMM)</w:t>
      </w:r>
      <w:r w:rsidR="00A243D6" w:rsidRPr="0061362E">
        <w:t xml:space="preserve"> Highlights</w:t>
      </w:r>
      <w:bookmarkEnd w:id="22"/>
      <w:bookmarkEnd w:id="23"/>
      <w:bookmarkEnd w:id="24"/>
    </w:p>
    <w:p w14:paraId="1ACC4DE2" w14:textId="77777777" w:rsidR="00F132A8" w:rsidRPr="001C1E47" w:rsidRDefault="00F132A8" w:rsidP="00783189">
      <w:pPr>
        <w:widowControl/>
        <w:autoSpaceDE/>
        <w:autoSpaceDN/>
        <w:adjustRightInd/>
        <w:ind w:left="720"/>
        <w:contextualSpacing/>
        <w:rPr>
          <w:rFonts w:cs="Calibri"/>
          <w:sz w:val="28"/>
          <w:szCs w:val="28"/>
        </w:rPr>
      </w:pPr>
    </w:p>
    <w:p w14:paraId="502774D6" w14:textId="5302CCF3" w:rsidR="002966F6" w:rsidRDefault="00EC7600" w:rsidP="002966F6">
      <w:pPr>
        <w:widowControl/>
        <w:autoSpaceDE/>
        <w:adjustRightInd/>
        <w:rPr>
          <w:rFonts w:cs="Calibri"/>
        </w:rPr>
      </w:pPr>
      <w:r w:rsidRPr="001C1E47">
        <w:rPr>
          <w:rFonts w:cs="Calibri"/>
        </w:rPr>
        <w:t xml:space="preserve">Each SAMM has an agreed upon </w:t>
      </w:r>
      <w:r w:rsidR="00D7654E" w:rsidRPr="001C1E47">
        <w:rPr>
          <w:rFonts w:cs="Calibri"/>
        </w:rPr>
        <w:t>FRL</w:t>
      </w:r>
      <w:r w:rsidRPr="001C1E47">
        <w:rPr>
          <w:rFonts w:cs="Calibri"/>
        </w:rPr>
        <w:t xml:space="preserve"> which can be either a single number, or </w:t>
      </w:r>
      <w:r w:rsidR="00D7654E" w:rsidRPr="001C1E47">
        <w:rPr>
          <w:rFonts w:cs="Calibri"/>
        </w:rPr>
        <w:t xml:space="preserve">a </w:t>
      </w:r>
      <w:r w:rsidRPr="001C1E47">
        <w:rPr>
          <w:rFonts w:cs="Calibri"/>
        </w:rPr>
        <w:t xml:space="preserve">range of numbers above and below the national average.  State Plan SAMM data that falls outside the FRL triggers a closer look at the underlying performance of the mandatory activity.  </w:t>
      </w:r>
      <w:r w:rsidR="005D1F76" w:rsidRPr="001C1E47">
        <w:rPr>
          <w:rFonts w:cs="Calibri"/>
        </w:rPr>
        <w:t>Appendix D presents the State Plan’s FY 20</w:t>
      </w:r>
      <w:r w:rsidR="00D57F90">
        <w:rPr>
          <w:rFonts w:cs="Calibri"/>
        </w:rPr>
        <w:t>24</w:t>
      </w:r>
      <w:r w:rsidR="005D1F76" w:rsidRPr="001C1E47">
        <w:rPr>
          <w:rFonts w:cs="Calibri"/>
        </w:rPr>
        <w:t xml:space="preserve"> State Activity Mandated Measures (SAMM) Report and includes the FRLs for each measure. </w:t>
      </w:r>
    </w:p>
    <w:p w14:paraId="44A3AB01" w14:textId="77777777" w:rsidR="002966F6" w:rsidRDefault="002966F6" w:rsidP="00783189">
      <w:pPr>
        <w:widowControl/>
        <w:autoSpaceDE/>
        <w:adjustRightInd/>
        <w:rPr>
          <w:rFonts w:cs="Calibri"/>
        </w:rPr>
      </w:pPr>
    </w:p>
    <w:p w14:paraId="75AF2501" w14:textId="36FA8A98" w:rsidR="00EC7600" w:rsidRPr="001C1E47" w:rsidRDefault="00EC7600" w:rsidP="00783189">
      <w:pPr>
        <w:widowControl/>
        <w:autoSpaceDE/>
        <w:adjustRightInd/>
        <w:rPr>
          <w:rFonts w:cs="Calibri"/>
        </w:rPr>
      </w:pPr>
      <w:r w:rsidRPr="001C1E47">
        <w:rPr>
          <w:rFonts w:cs="Calibri"/>
        </w:rPr>
        <w:t>The State Plan was outside the FRL on the following SAMMs:</w:t>
      </w:r>
    </w:p>
    <w:p w14:paraId="5B2B946B" w14:textId="77777777" w:rsidR="00A02B33" w:rsidRDefault="00A02B33" w:rsidP="00783189">
      <w:pPr>
        <w:widowControl/>
        <w:autoSpaceDE/>
        <w:adjustRightInd/>
        <w:rPr>
          <w:rFonts w:cs="Calibri"/>
          <w:b/>
          <w:u w:val="single"/>
        </w:rPr>
      </w:pPr>
    </w:p>
    <w:p w14:paraId="1E4D6C84" w14:textId="06A2B3FF" w:rsidR="00C44E2D" w:rsidRPr="00C44E2D" w:rsidRDefault="00C44E2D" w:rsidP="00C44E2D">
      <w:pPr>
        <w:widowControl/>
        <w:autoSpaceDE/>
        <w:adjustRightInd/>
        <w:rPr>
          <w:rFonts w:cs="Calibri"/>
          <w:b/>
        </w:rPr>
      </w:pPr>
      <w:r w:rsidRPr="00C44E2D">
        <w:rPr>
          <w:rFonts w:cs="Calibri"/>
          <w:b/>
        </w:rPr>
        <w:t>SAMM 5</w:t>
      </w:r>
      <w:r w:rsidR="00A74B6E">
        <w:rPr>
          <w:rFonts w:cs="Calibri"/>
          <w:b/>
        </w:rPr>
        <w:t>a</w:t>
      </w:r>
      <w:r w:rsidRPr="00C44E2D">
        <w:rPr>
          <w:rFonts w:cs="Calibri"/>
          <w:b/>
        </w:rPr>
        <w:t xml:space="preserve"> – Average number of violations per inspection with violations by violation type</w:t>
      </w:r>
    </w:p>
    <w:p w14:paraId="1B48CB36" w14:textId="77777777" w:rsidR="00C44E2D" w:rsidRPr="00C44E2D" w:rsidRDefault="00C44E2D" w:rsidP="00C44E2D">
      <w:pPr>
        <w:widowControl/>
        <w:autoSpaceDE/>
        <w:adjustRightInd/>
        <w:rPr>
          <w:rFonts w:cs="Calibri"/>
          <w:bCs/>
        </w:rPr>
      </w:pPr>
    </w:p>
    <w:p w14:paraId="52A8A67D" w14:textId="700540FF" w:rsidR="00C44E2D" w:rsidRPr="00C44E2D" w:rsidRDefault="00C44E2D" w:rsidP="00C44E2D">
      <w:pPr>
        <w:widowControl/>
        <w:autoSpaceDE/>
        <w:adjustRightInd/>
        <w:rPr>
          <w:rFonts w:cs="Calibri"/>
          <w:bCs/>
        </w:rPr>
      </w:pPr>
      <w:r w:rsidRPr="00C44E2D">
        <w:rPr>
          <w:rFonts w:cs="Calibri"/>
          <w:bCs/>
          <w:u w:val="single"/>
        </w:rPr>
        <w:t>Discussion of State Plan Data and FRL:</w:t>
      </w:r>
      <w:r w:rsidRPr="00C44E2D">
        <w:rPr>
          <w:rFonts w:cs="Calibri"/>
          <w:bCs/>
        </w:rPr>
        <w:t xml:space="preserve">  The FRL for the average number of serious, willful, repeat and unclassified (SWRU) violations per inspection with violations is +/- 20% of the three-year national average of 1.7</w:t>
      </w:r>
      <w:r w:rsidR="00FB0945">
        <w:rPr>
          <w:rFonts w:cs="Calibri"/>
          <w:bCs/>
        </w:rPr>
        <w:t>4</w:t>
      </w:r>
      <w:r w:rsidRPr="00C44E2D">
        <w:rPr>
          <w:rFonts w:cs="Calibri"/>
          <w:bCs/>
        </w:rPr>
        <w:t>, which equals a range of 1.</w:t>
      </w:r>
      <w:r w:rsidR="00FB0945">
        <w:rPr>
          <w:rFonts w:cs="Calibri"/>
          <w:bCs/>
        </w:rPr>
        <w:t>39</w:t>
      </w:r>
      <w:r w:rsidRPr="00C44E2D">
        <w:rPr>
          <w:rFonts w:cs="Calibri"/>
          <w:bCs/>
        </w:rPr>
        <w:t xml:space="preserve"> to 2.</w:t>
      </w:r>
      <w:r w:rsidR="00FB0945">
        <w:rPr>
          <w:rFonts w:cs="Calibri"/>
          <w:bCs/>
        </w:rPr>
        <w:t>08</w:t>
      </w:r>
      <w:r w:rsidRPr="00C44E2D">
        <w:rPr>
          <w:rFonts w:cs="Calibri"/>
          <w:bCs/>
        </w:rPr>
        <w:t xml:space="preserve">.  The Illinois State Plan’s average for SWRU violations is </w:t>
      </w:r>
      <w:r w:rsidR="00FB0945">
        <w:rPr>
          <w:rFonts w:cs="Calibri"/>
          <w:bCs/>
        </w:rPr>
        <w:t>2.76</w:t>
      </w:r>
      <w:r w:rsidRPr="00C44E2D">
        <w:rPr>
          <w:rFonts w:cs="Calibri"/>
          <w:bCs/>
        </w:rPr>
        <w:t>, higher than the FRL.  Although</w:t>
      </w:r>
      <w:r w:rsidR="00FB0945">
        <w:rPr>
          <w:rFonts w:cs="Calibri"/>
          <w:bCs/>
        </w:rPr>
        <w:t xml:space="preserve"> slightly</w:t>
      </w:r>
      <w:r w:rsidRPr="00C44E2D">
        <w:rPr>
          <w:rFonts w:cs="Calibri"/>
          <w:bCs/>
        </w:rPr>
        <w:t xml:space="preserve"> higher than the FRL for SWRU violations, this metric is not a cause for concern</w:t>
      </w:r>
      <w:r w:rsidR="00A81097">
        <w:rPr>
          <w:rFonts w:cs="Calibri"/>
          <w:bCs/>
        </w:rPr>
        <w:t xml:space="preserve"> and is a positive outcome</w:t>
      </w:r>
      <w:r w:rsidRPr="00C44E2D">
        <w:rPr>
          <w:rFonts w:cs="Calibri"/>
          <w:bCs/>
        </w:rPr>
        <w:t>.</w:t>
      </w:r>
    </w:p>
    <w:p w14:paraId="2B07FB61" w14:textId="77777777" w:rsidR="00C44E2D" w:rsidRPr="00C44E2D" w:rsidRDefault="00C44E2D" w:rsidP="00C44E2D">
      <w:pPr>
        <w:widowControl/>
        <w:autoSpaceDE/>
        <w:adjustRightInd/>
        <w:rPr>
          <w:rFonts w:cs="Calibri"/>
          <w:bCs/>
        </w:rPr>
      </w:pPr>
    </w:p>
    <w:p w14:paraId="344263F8" w14:textId="2ADFEF8A" w:rsidR="00C44E2D" w:rsidRPr="00C44E2D" w:rsidRDefault="00C44E2D" w:rsidP="00C44E2D">
      <w:pPr>
        <w:widowControl/>
        <w:autoSpaceDE/>
        <w:adjustRightInd/>
        <w:rPr>
          <w:rFonts w:cs="Calibri"/>
          <w:bCs/>
        </w:rPr>
      </w:pPr>
      <w:r w:rsidRPr="00C44E2D">
        <w:rPr>
          <w:rFonts w:cs="Calibri"/>
          <w:bCs/>
          <w:u w:val="single"/>
        </w:rPr>
        <w:t>Explanation:</w:t>
      </w:r>
      <w:r w:rsidRPr="00C44E2D">
        <w:rPr>
          <w:rFonts w:cs="Calibri"/>
          <w:bCs/>
        </w:rPr>
        <w:t xml:space="preserve">  The Illinois State Plan’s average number of SWRU are evaluated during quarterly monitoring meetings and discussed when warranted.  As a State and Local Government State Plan, Illinois OSHA does not conduct inspections on a wide variety of establishments represented by the three-year national average.  Illinois OSHA prioritizes and focuses their inspection resources on high-hazard establishments for which they have jurisdictional coverage such as, but not limited to highway, street, and bridge construction; fire protection; water supply and irrigation systems; and sewage treatment facilities.  </w:t>
      </w:r>
    </w:p>
    <w:p w14:paraId="4E107682" w14:textId="77777777" w:rsidR="00C44E2D" w:rsidRDefault="00C44E2D" w:rsidP="00783189">
      <w:pPr>
        <w:widowControl/>
        <w:autoSpaceDE/>
        <w:adjustRightInd/>
        <w:rPr>
          <w:rFonts w:cs="Calibri"/>
          <w:b/>
          <w:u w:val="single"/>
        </w:rPr>
      </w:pPr>
    </w:p>
    <w:p w14:paraId="1C877F66" w14:textId="6057E4C6" w:rsidR="00F55B4F" w:rsidRPr="00F55B4F" w:rsidRDefault="00F55B4F" w:rsidP="00F55B4F">
      <w:pPr>
        <w:widowControl/>
        <w:autoSpaceDE/>
        <w:adjustRightInd/>
        <w:rPr>
          <w:rFonts w:cs="Calibri"/>
          <w:b/>
        </w:rPr>
      </w:pPr>
      <w:r w:rsidRPr="00F55B4F">
        <w:rPr>
          <w:rFonts w:cs="Calibri"/>
          <w:b/>
        </w:rPr>
        <w:t>SAMM 7b – Planned v. actual inspections (health)</w:t>
      </w:r>
    </w:p>
    <w:p w14:paraId="152F21DB" w14:textId="77777777" w:rsidR="00F55B4F" w:rsidRPr="00F55B4F" w:rsidRDefault="00F55B4F" w:rsidP="00F55B4F">
      <w:pPr>
        <w:widowControl/>
        <w:autoSpaceDE/>
        <w:adjustRightInd/>
        <w:rPr>
          <w:rFonts w:cs="Calibri"/>
          <w:bCs/>
        </w:rPr>
      </w:pPr>
    </w:p>
    <w:p w14:paraId="4C329212" w14:textId="123906F8" w:rsidR="00F55B4F" w:rsidRPr="00F55B4F" w:rsidRDefault="00F55B4F" w:rsidP="00F55B4F">
      <w:pPr>
        <w:widowControl/>
        <w:autoSpaceDE/>
        <w:adjustRightInd/>
        <w:rPr>
          <w:rFonts w:cs="Calibri"/>
          <w:bCs/>
        </w:rPr>
      </w:pPr>
      <w:r w:rsidRPr="00F55B4F">
        <w:rPr>
          <w:rFonts w:cs="Calibri"/>
          <w:bCs/>
          <w:u w:val="single"/>
        </w:rPr>
        <w:t xml:space="preserve">Discussion of State Plan Data and FRL: </w:t>
      </w:r>
      <w:r w:rsidRPr="00F55B4F">
        <w:rPr>
          <w:rFonts w:cs="Calibri"/>
          <w:bCs/>
        </w:rPr>
        <w:t xml:space="preserve"> The FRL for planned</w:t>
      </w:r>
      <w:r w:rsidR="00D36E3B">
        <w:rPr>
          <w:rFonts w:cs="Calibri"/>
          <w:bCs/>
        </w:rPr>
        <w:t xml:space="preserve"> health</w:t>
      </w:r>
      <w:r w:rsidRPr="00F55B4F">
        <w:rPr>
          <w:rFonts w:cs="Calibri"/>
          <w:bCs/>
        </w:rPr>
        <w:t xml:space="preserve"> inspections compared to actual inspections is +/- 5% of the </w:t>
      </w:r>
      <w:r w:rsidR="00367030" w:rsidRPr="00F55B4F">
        <w:rPr>
          <w:rFonts w:cs="Calibri"/>
          <w:bCs/>
        </w:rPr>
        <w:t xml:space="preserve">100 health inspections </w:t>
      </w:r>
      <w:r w:rsidRPr="00F55B4F">
        <w:rPr>
          <w:rFonts w:cs="Calibri"/>
          <w:bCs/>
        </w:rPr>
        <w:t xml:space="preserve">negotiated by OSHA and the State Plan through the grant application.  The Illinois State Plan conducted </w:t>
      </w:r>
      <w:r w:rsidR="00D36E3B">
        <w:rPr>
          <w:rFonts w:cs="Calibri"/>
          <w:bCs/>
        </w:rPr>
        <w:t>128</w:t>
      </w:r>
      <w:r w:rsidRPr="00F55B4F">
        <w:rPr>
          <w:rFonts w:cs="Calibri"/>
          <w:bCs/>
        </w:rPr>
        <w:t xml:space="preserve"> health inspections, which is above the acceptable range of 95 to 105 health inspections.  </w:t>
      </w:r>
      <w:r w:rsidR="00557D32" w:rsidRPr="00557D32">
        <w:rPr>
          <w:rFonts w:cs="Calibri"/>
          <w:bCs/>
        </w:rPr>
        <w:t xml:space="preserve">Although slightly higher than the FRL </w:t>
      </w:r>
      <w:r w:rsidR="00557D32" w:rsidRPr="00557D32">
        <w:rPr>
          <w:rFonts w:cs="Calibri"/>
          <w:bCs/>
        </w:rPr>
        <w:lastRenderedPageBreak/>
        <w:t xml:space="preserve">for </w:t>
      </w:r>
      <w:r w:rsidR="00542DC7">
        <w:rPr>
          <w:rFonts w:cs="Calibri"/>
          <w:bCs/>
        </w:rPr>
        <w:t>the planned health inspection goal</w:t>
      </w:r>
      <w:r w:rsidR="00557D32" w:rsidRPr="00557D32">
        <w:rPr>
          <w:rFonts w:cs="Calibri"/>
          <w:bCs/>
        </w:rPr>
        <w:t>, this metric is not a cause for concern</w:t>
      </w:r>
      <w:r w:rsidR="00E96166">
        <w:rPr>
          <w:rFonts w:cs="Calibri"/>
          <w:bCs/>
        </w:rPr>
        <w:t xml:space="preserve"> </w:t>
      </w:r>
      <w:r w:rsidR="00E96166" w:rsidRPr="00E96166">
        <w:rPr>
          <w:rFonts w:cs="Calibri"/>
          <w:bCs/>
        </w:rPr>
        <w:t>and is a positive outcome when coupled with the high average number of SWRU violations.</w:t>
      </w:r>
    </w:p>
    <w:p w14:paraId="4B1A8944" w14:textId="7CC4DB48" w:rsidR="00F55B4F" w:rsidRPr="00F55B4F" w:rsidRDefault="00F55B4F" w:rsidP="00F55B4F">
      <w:pPr>
        <w:widowControl/>
        <w:autoSpaceDE/>
        <w:adjustRightInd/>
        <w:rPr>
          <w:rFonts w:cs="Calibri"/>
          <w:bCs/>
        </w:rPr>
      </w:pPr>
    </w:p>
    <w:p w14:paraId="0759606C" w14:textId="7F92FA02" w:rsidR="00F55B4F" w:rsidRPr="00F55B4F" w:rsidRDefault="00F55B4F" w:rsidP="00F55B4F">
      <w:pPr>
        <w:widowControl/>
        <w:autoSpaceDE/>
        <w:adjustRightInd/>
        <w:rPr>
          <w:rFonts w:cs="Calibri"/>
          <w:bCs/>
        </w:rPr>
      </w:pPr>
      <w:r w:rsidRPr="00F55B4F">
        <w:rPr>
          <w:rFonts w:cs="Calibri"/>
          <w:bCs/>
          <w:u w:val="single"/>
        </w:rPr>
        <w:t>Explanation:</w:t>
      </w:r>
      <w:r w:rsidRPr="00F55B4F">
        <w:rPr>
          <w:rFonts w:cs="Calibri"/>
          <w:bCs/>
        </w:rPr>
        <w:t xml:space="preserve"> The Illinois State Plan’s number of planned vs actual </w:t>
      </w:r>
      <w:r w:rsidR="007671B0">
        <w:rPr>
          <w:rFonts w:cs="Calibri"/>
          <w:bCs/>
        </w:rPr>
        <w:t>health</w:t>
      </w:r>
      <w:r w:rsidRPr="00F55B4F">
        <w:rPr>
          <w:rFonts w:cs="Calibri"/>
          <w:bCs/>
        </w:rPr>
        <w:t xml:space="preserve"> inspections (SAMM 7</w:t>
      </w:r>
      <w:r w:rsidR="00A95465">
        <w:rPr>
          <w:rFonts w:cs="Calibri"/>
          <w:bCs/>
        </w:rPr>
        <w:t>b</w:t>
      </w:r>
      <w:r w:rsidRPr="00F55B4F">
        <w:rPr>
          <w:rFonts w:cs="Calibri"/>
          <w:bCs/>
        </w:rPr>
        <w:t xml:space="preserve">) is </w:t>
      </w:r>
      <w:r w:rsidR="00A95465">
        <w:rPr>
          <w:rFonts w:cs="Calibri"/>
          <w:bCs/>
        </w:rPr>
        <w:t>above</w:t>
      </w:r>
      <w:r w:rsidRPr="00F55B4F">
        <w:rPr>
          <w:rFonts w:cs="Calibri"/>
          <w:bCs/>
        </w:rPr>
        <w:t xml:space="preserve"> the </w:t>
      </w:r>
      <w:r w:rsidR="00A95465">
        <w:rPr>
          <w:rFonts w:cs="Calibri"/>
          <w:bCs/>
        </w:rPr>
        <w:t>FRL</w:t>
      </w:r>
      <w:r w:rsidRPr="00F55B4F">
        <w:rPr>
          <w:rFonts w:cs="Calibri"/>
          <w:bCs/>
        </w:rPr>
        <w:t xml:space="preserve"> primarily due to a </w:t>
      </w:r>
      <w:r w:rsidR="0097334D">
        <w:rPr>
          <w:rFonts w:cs="Calibri"/>
          <w:bCs/>
        </w:rPr>
        <w:t>focused effort on health hazards related to</w:t>
      </w:r>
      <w:r w:rsidR="00092BC3">
        <w:rPr>
          <w:rFonts w:cs="Calibri"/>
          <w:bCs/>
        </w:rPr>
        <w:t xml:space="preserve"> covered</w:t>
      </w:r>
      <w:r w:rsidR="0097334D">
        <w:rPr>
          <w:rFonts w:cs="Calibri"/>
          <w:bCs/>
        </w:rPr>
        <w:t xml:space="preserve"> </w:t>
      </w:r>
      <w:r w:rsidR="00D16B59">
        <w:rPr>
          <w:rFonts w:cs="Calibri"/>
          <w:bCs/>
        </w:rPr>
        <w:t xml:space="preserve">fire protection </w:t>
      </w:r>
      <w:r w:rsidR="00A00E72">
        <w:rPr>
          <w:rFonts w:cs="Calibri"/>
          <w:bCs/>
        </w:rPr>
        <w:t>entities</w:t>
      </w:r>
      <w:r w:rsidR="00664856">
        <w:rPr>
          <w:rFonts w:cs="Calibri"/>
          <w:bCs/>
        </w:rPr>
        <w:t xml:space="preserve"> and the availability of experienced health inspectors </w:t>
      </w:r>
      <w:r w:rsidR="00CD109F">
        <w:rPr>
          <w:rFonts w:cs="Calibri"/>
          <w:bCs/>
        </w:rPr>
        <w:t>throughout the year</w:t>
      </w:r>
      <w:r w:rsidR="00A00E72">
        <w:rPr>
          <w:rFonts w:cs="Calibri"/>
          <w:bCs/>
        </w:rPr>
        <w:t xml:space="preserve">.  </w:t>
      </w:r>
      <w:r w:rsidRPr="00F55B4F">
        <w:rPr>
          <w:rFonts w:cs="Calibri"/>
          <w:bCs/>
        </w:rPr>
        <w:t>The State Plan establishes inspection goals for each inspector based on their experience and training</w:t>
      </w:r>
      <w:r w:rsidR="00092BC3">
        <w:rPr>
          <w:rFonts w:cs="Calibri"/>
          <w:bCs/>
        </w:rPr>
        <w:t xml:space="preserve"> and t</w:t>
      </w:r>
      <w:r w:rsidRPr="00F55B4F">
        <w:rPr>
          <w:rFonts w:cs="Calibri"/>
          <w:bCs/>
        </w:rPr>
        <w:t xml:space="preserve">hese inspection goals are monitored on a weekly basis to ensure annual goals are achieved for the staff positions that are filled.  This is reflected in the State Plan’s success with achieving and exceeding their planned health inspections during </w:t>
      </w:r>
      <w:r w:rsidR="006A0B47">
        <w:rPr>
          <w:rFonts w:cs="Calibri"/>
          <w:bCs/>
        </w:rPr>
        <w:t>the FY 2024 year</w:t>
      </w:r>
      <w:r w:rsidRPr="00F55B4F">
        <w:rPr>
          <w:rFonts w:cs="Calibri"/>
          <w:bCs/>
        </w:rPr>
        <w:t xml:space="preserve">.  The Illinois State Plan </w:t>
      </w:r>
      <w:r w:rsidR="00970CD3">
        <w:rPr>
          <w:rFonts w:cs="Calibri"/>
          <w:bCs/>
        </w:rPr>
        <w:t>experienced limited turnover in their health inspectors</w:t>
      </w:r>
      <w:r w:rsidR="00C02FA7">
        <w:rPr>
          <w:rFonts w:cs="Calibri"/>
          <w:bCs/>
        </w:rPr>
        <w:t xml:space="preserve"> resulting in a higher availability of health staff to</w:t>
      </w:r>
      <w:r w:rsidR="00664856">
        <w:rPr>
          <w:rFonts w:cs="Calibri"/>
          <w:bCs/>
        </w:rPr>
        <w:t xml:space="preserve"> conduct additional inspections beyond the established health goal</w:t>
      </w:r>
      <w:r w:rsidRPr="00F55B4F">
        <w:rPr>
          <w:rFonts w:cs="Calibri"/>
          <w:bCs/>
        </w:rPr>
        <w:t>.</w:t>
      </w:r>
    </w:p>
    <w:p w14:paraId="333FAF76" w14:textId="77777777" w:rsidR="00F55B4F" w:rsidRPr="001C1E47" w:rsidRDefault="00F55B4F" w:rsidP="00783189">
      <w:pPr>
        <w:widowControl/>
        <w:autoSpaceDE/>
        <w:adjustRightInd/>
        <w:rPr>
          <w:rFonts w:cs="Calibri"/>
          <w:b/>
          <w:u w:val="single"/>
        </w:rPr>
      </w:pPr>
    </w:p>
    <w:p w14:paraId="31E9ACDB" w14:textId="53F91D3C" w:rsidR="00EC7600" w:rsidRPr="00337AF3" w:rsidRDefault="00EC7600" w:rsidP="00783189">
      <w:pPr>
        <w:widowControl/>
        <w:autoSpaceDE/>
        <w:adjustRightInd/>
        <w:rPr>
          <w:rFonts w:cs="Calibri"/>
          <w:b/>
        </w:rPr>
      </w:pPr>
      <w:r w:rsidRPr="00337AF3">
        <w:rPr>
          <w:rFonts w:cs="Calibri"/>
          <w:b/>
        </w:rPr>
        <w:t>SAMM 9</w:t>
      </w:r>
      <w:r w:rsidR="005E55B9" w:rsidRPr="00337AF3">
        <w:rPr>
          <w:rFonts w:cs="Calibri"/>
          <w:b/>
        </w:rPr>
        <w:t>a</w:t>
      </w:r>
      <w:r w:rsidRPr="00337AF3">
        <w:rPr>
          <w:rFonts w:cs="Calibri"/>
          <w:b/>
        </w:rPr>
        <w:t xml:space="preserve"> – Percent </w:t>
      </w:r>
      <w:r w:rsidR="00476C08" w:rsidRPr="00337AF3">
        <w:rPr>
          <w:rFonts w:cs="Calibri"/>
          <w:b/>
        </w:rPr>
        <w:t>I</w:t>
      </w:r>
      <w:r w:rsidRPr="00337AF3">
        <w:rPr>
          <w:rFonts w:cs="Calibri"/>
          <w:b/>
        </w:rPr>
        <w:t>n</w:t>
      </w:r>
      <w:r w:rsidR="00C70077" w:rsidRPr="00337AF3">
        <w:rPr>
          <w:rFonts w:cs="Calibri"/>
          <w:b/>
        </w:rPr>
        <w:t>-</w:t>
      </w:r>
      <w:r w:rsidR="00E7030A" w:rsidRPr="00337AF3">
        <w:rPr>
          <w:rFonts w:cs="Calibri"/>
          <w:b/>
        </w:rPr>
        <w:t>C</w:t>
      </w:r>
      <w:r w:rsidRPr="00337AF3">
        <w:rPr>
          <w:rFonts w:cs="Calibri"/>
          <w:b/>
        </w:rPr>
        <w:t>ompliance</w:t>
      </w:r>
    </w:p>
    <w:p w14:paraId="6C991B2F" w14:textId="77777777" w:rsidR="00EC7600" w:rsidRPr="001C1E47" w:rsidRDefault="00EC7600" w:rsidP="00783189">
      <w:pPr>
        <w:widowControl/>
        <w:autoSpaceDE/>
        <w:adjustRightInd/>
        <w:rPr>
          <w:rFonts w:cs="Calibri"/>
        </w:rPr>
      </w:pPr>
    </w:p>
    <w:p w14:paraId="48B4BACE" w14:textId="0B687CF0" w:rsidR="00EC7600" w:rsidRPr="001E1CB1" w:rsidRDefault="005D1F76" w:rsidP="00783189">
      <w:pPr>
        <w:widowControl/>
        <w:autoSpaceDE/>
        <w:adjustRightInd/>
        <w:rPr>
          <w:rFonts w:cs="Calibri"/>
        </w:rPr>
      </w:pPr>
      <w:r w:rsidRPr="001E1CB1">
        <w:rPr>
          <w:rFonts w:cs="Calibri"/>
          <w:u w:val="single"/>
        </w:rPr>
        <w:t xml:space="preserve">Discussion of </w:t>
      </w:r>
      <w:r w:rsidR="003F2E2D" w:rsidRPr="001E1CB1">
        <w:rPr>
          <w:rFonts w:cs="Calibri"/>
          <w:u w:val="single"/>
        </w:rPr>
        <w:t>State</w:t>
      </w:r>
      <w:r w:rsidR="00391D6F" w:rsidRPr="001E1CB1">
        <w:rPr>
          <w:rFonts w:cs="Calibri"/>
          <w:u w:val="single"/>
        </w:rPr>
        <w:t xml:space="preserve"> Plan </w:t>
      </w:r>
      <w:r w:rsidR="00476C08" w:rsidRPr="001E1CB1">
        <w:rPr>
          <w:rFonts w:cs="Calibri"/>
          <w:u w:val="single"/>
        </w:rPr>
        <w:t>D</w:t>
      </w:r>
      <w:r w:rsidR="00EC7600" w:rsidRPr="001E1CB1">
        <w:rPr>
          <w:rFonts w:cs="Calibri"/>
          <w:u w:val="single"/>
        </w:rPr>
        <w:t>ata and FRL</w:t>
      </w:r>
      <w:r w:rsidRPr="001E1CB1">
        <w:rPr>
          <w:rFonts w:cs="Calibri"/>
          <w:u w:val="single"/>
        </w:rPr>
        <w:t>:</w:t>
      </w:r>
      <w:r w:rsidR="00EC7600" w:rsidRPr="001E1CB1">
        <w:rPr>
          <w:rFonts w:cs="Calibri"/>
        </w:rPr>
        <w:t xml:space="preserve"> The FRL for percent in</w:t>
      </w:r>
      <w:r w:rsidR="00C70077" w:rsidRPr="001E1CB1">
        <w:rPr>
          <w:rFonts w:cs="Calibri"/>
        </w:rPr>
        <w:t>-</w:t>
      </w:r>
      <w:r w:rsidR="00EC7600" w:rsidRPr="001E1CB1">
        <w:rPr>
          <w:rFonts w:cs="Calibri"/>
        </w:rPr>
        <w:t>compliance for safety inspections is +/- 20% of the one</w:t>
      </w:r>
      <w:r w:rsidR="0021380C" w:rsidRPr="001E1CB1">
        <w:rPr>
          <w:rFonts w:cs="Calibri"/>
        </w:rPr>
        <w:t>-</w:t>
      </w:r>
      <w:r w:rsidR="003F2E2D" w:rsidRPr="001E1CB1">
        <w:rPr>
          <w:rFonts w:cs="Calibri"/>
        </w:rPr>
        <w:t xml:space="preserve">year national average of </w:t>
      </w:r>
      <w:r w:rsidR="00D349AC" w:rsidRPr="001E1CB1">
        <w:rPr>
          <w:rFonts w:cs="Calibri"/>
        </w:rPr>
        <w:t>32.83</w:t>
      </w:r>
      <w:r w:rsidR="003F2E2D" w:rsidRPr="001E1CB1">
        <w:rPr>
          <w:rFonts w:cs="Calibri"/>
        </w:rPr>
        <w:t>%</w:t>
      </w:r>
      <w:r w:rsidR="00EC7600" w:rsidRPr="001E1CB1">
        <w:rPr>
          <w:rFonts w:cs="Calibri"/>
        </w:rPr>
        <w:t xml:space="preserve"> which equals a rang</w:t>
      </w:r>
      <w:r w:rsidR="00A02B33" w:rsidRPr="001E1CB1">
        <w:rPr>
          <w:rFonts w:cs="Calibri"/>
        </w:rPr>
        <w:t xml:space="preserve">e of </w:t>
      </w:r>
      <w:r w:rsidR="00D349AC" w:rsidRPr="001E1CB1">
        <w:rPr>
          <w:rFonts w:cs="Calibri"/>
        </w:rPr>
        <w:t>26.27</w:t>
      </w:r>
      <w:r w:rsidR="00A02B33" w:rsidRPr="001E1CB1">
        <w:rPr>
          <w:rFonts w:cs="Calibri"/>
        </w:rPr>
        <w:t xml:space="preserve">% to </w:t>
      </w:r>
      <w:r w:rsidR="00D349AC" w:rsidRPr="001E1CB1">
        <w:rPr>
          <w:rFonts w:cs="Calibri"/>
        </w:rPr>
        <w:t>39</w:t>
      </w:r>
      <w:r w:rsidR="00D26CF4">
        <w:rPr>
          <w:rFonts w:cs="Calibri"/>
        </w:rPr>
        <w:t>.</w:t>
      </w:r>
      <w:r w:rsidR="00D349AC" w:rsidRPr="001E1CB1">
        <w:rPr>
          <w:rFonts w:cs="Calibri"/>
        </w:rPr>
        <w:t>40</w:t>
      </w:r>
      <w:r w:rsidR="00A02B33" w:rsidRPr="001E1CB1">
        <w:rPr>
          <w:rFonts w:cs="Calibri"/>
        </w:rPr>
        <w:t xml:space="preserve">%.  The </w:t>
      </w:r>
      <w:r w:rsidR="00D349AC" w:rsidRPr="001E1CB1">
        <w:rPr>
          <w:rFonts w:cs="Calibri"/>
        </w:rPr>
        <w:t xml:space="preserve">Illinois </w:t>
      </w:r>
      <w:r w:rsidR="00EC7600" w:rsidRPr="001E1CB1">
        <w:rPr>
          <w:rFonts w:cs="Calibri"/>
        </w:rPr>
        <w:t>State Plan’s percent in</w:t>
      </w:r>
      <w:r w:rsidR="003F2E2D" w:rsidRPr="001E1CB1">
        <w:rPr>
          <w:rFonts w:cs="Calibri"/>
        </w:rPr>
        <w:t xml:space="preserve">-compliance for safety is </w:t>
      </w:r>
      <w:r w:rsidR="00C752E9" w:rsidRPr="001E1CB1">
        <w:rPr>
          <w:rFonts w:cs="Calibri"/>
        </w:rPr>
        <w:t>14.46</w:t>
      </w:r>
      <w:r w:rsidR="003F2E2D" w:rsidRPr="001E1CB1">
        <w:rPr>
          <w:rFonts w:cs="Calibri"/>
        </w:rPr>
        <w:t>%</w:t>
      </w:r>
      <w:r w:rsidR="00EC7600" w:rsidRPr="001E1CB1">
        <w:rPr>
          <w:rFonts w:cs="Calibri"/>
        </w:rPr>
        <w:t xml:space="preserve"> </w:t>
      </w:r>
      <w:r w:rsidR="008359C9" w:rsidRPr="001E1CB1">
        <w:rPr>
          <w:rFonts w:cs="Calibri"/>
        </w:rPr>
        <w:t>which is lower than the FRL but not a cause for concern</w:t>
      </w:r>
      <w:r w:rsidR="00980778">
        <w:rPr>
          <w:rFonts w:cs="Calibri"/>
        </w:rPr>
        <w:t xml:space="preserve"> </w:t>
      </w:r>
      <w:r w:rsidR="00980778" w:rsidRPr="00980778">
        <w:rPr>
          <w:rFonts w:cs="Calibri"/>
        </w:rPr>
        <w:t>and is a positive outcome</w:t>
      </w:r>
      <w:r w:rsidR="008359C9" w:rsidRPr="001E1CB1">
        <w:rPr>
          <w:rFonts w:cs="Calibri"/>
        </w:rPr>
        <w:t xml:space="preserve">. </w:t>
      </w:r>
      <w:r w:rsidR="00EC7600" w:rsidRPr="001E1CB1">
        <w:rPr>
          <w:rFonts w:cs="Calibri"/>
        </w:rPr>
        <w:t xml:space="preserve"> </w:t>
      </w:r>
    </w:p>
    <w:p w14:paraId="586F5DDB" w14:textId="77777777" w:rsidR="00EC7600" w:rsidRPr="001C1E47" w:rsidRDefault="00EC7600" w:rsidP="00783189">
      <w:pPr>
        <w:widowControl/>
        <w:autoSpaceDE/>
        <w:adjustRightInd/>
        <w:rPr>
          <w:rFonts w:cs="Calibri"/>
        </w:rPr>
      </w:pPr>
    </w:p>
    <w:p w14:paraId="43707F6A" w14:textId="3FE920DA" w:rsidR="00F86D4B" w:rsidRDefault="00EC7600" w:rsidP="00783189">
      <w:pPr>
        <w:widowControl/>
        <w:autoSpaceDE/>
        <w:autoSpaceDN/>
        <w:adjustRightInd/>
        <w:rPr>
          <w:rFonts w:cs="Calibri"/>
        </w:rPr>
      </w:pPr>
      <w:r w:rsidRPr="00337AF3">
        <w:rPr>
          <w:rFonts w:cs="Calibri"/>
          <w:u w:val="single"/>
        </w:rPr>
        <w:t>Explanation</w:t>
      </w:r>
      <w:r w:rsidR="005D1F76" w:rsidRPr="00337AF3">
        <w:rPr>
          <w:rFonts w:cs="Calibri"/>
          <w:u w:val="single"/>
        </w:rPr>
        <w:t>:</w:t>
      </w:r>
      <w:r w:rsidRPr="00337AF3">
        <w:rPr>
          <w:rFonts w:cs="Calibri"/>
        </w:rPr>
        <w:t xml:space="preserve"> </w:t>
      </w:r>
      <w:r w:rsidR="00337AF3" w:rsidRPr="00337AF3">
        <w:rPr>
          <w:rFonts w:cs="Calibri"/>
        </w:rPr>
        <w:t>The percent in compliance for safety inspections being below the FRL is not a concern with the Illinois State Plan.  As a state and local government only plan, Illinois OSHA does not conduct inspections on the wide variety of establishments represented by the FRL three-year national average. Illinois OSHA prioritizes and focuses their inspection resources on high-hazard establishments for which they have jurisdictional coverage which results in their lower in-compliance rate.</w:t>
      </w:r>
    </w:p>
    <w:p w14:paraId="3CF25C0F" w14:textId="77777777" w:rsidR="00AA7FDC" w:rsidRDefault="00AA7FDC" w:rsidP="00783189">
      <w:pPr>
        <w:widowControl/>
        <w:autoSpaceDE/>
        <w:autoSpaceDN/>
        <w:adjustRightInd/>
        <w:rPr>
          <w:rFonts w:cs="Calibri"/>
        </w:rPr>
      </w:pPr>
    </w:p>
    <w:p w14:paraId="703D5D39" w14:textId="0246C690" w:rsidR="00AA7FDC" w:rsidRPr="00AA7FDC" w:rsidRDefault="00AA7FDC" w:rsidP="00AA7FDC">
      <w:pPr>
        <w:widowControl/>
        <w:autoSpaceDE/>
        <w:autoSpaceDN/>
        <w:adjustRightInd/>
        <w:rPr>
          <w:rFonts w:cs="Calibri"/>
          <w:b/>
        </w:rPr>
      </w:pPr>
      <w:r w:rsidRPr="00AA7FDC">
        <w:rPr>
          <w:rFonts w:cs="Calibri"/>
          <w:b/>
        </w:rPr>
        <w:t>SAMM 11</w:t>
      </w:r>
      <w:r>
        <w:rPr>
          <w:rFonts w:cs="Calibri"/>
          <w:b/>
        </w:rPr>
        <w:t>a</w:t>
      </w:r>
      <w:r w:rsidRPr="00AA7FDC">
        <w:rPr>
          <w:rFonts w:cs="Calibri"/>
          <w:b/>
        </w:rPr>
        <w:t xml:space="preserve"> – Average lapse time</w:t>
      </w:r>
      <w:r>
        <w:rPr>
          <w:rFonts w:cs="Calibri"/>
          <w:b/>
        </w:rPr>
        <w:t xml:space="preserve"> (safety)</w:t>
      </w:r>
    </w:p>
    <w:p w14:paraId="7D2E45F8" w14:textId="77777777" w:rsidR="00AA7FDC" w:rsidRPr="00AA7FDC" w:rsidRDefault="00AA7FDC" w:rsidP="00AA7FDC">
      <w:pPr>
        <w:widowControl/>
        <w:autoSpaceDE/>
        <w:autoSpaceDN/>
        <w:adjustRightInd/>
        <w:rPr>
          <w:rFonts w:cs="Calibri"/>
        </w:rPr>
      </w:pPr>
    </w:p>
    <w:p w14:paraId="733F3B71" w14:textId="4A5C52BA" w:rsidR="00AA7FDC" w:rsidRPr="00AA7FDC" w:rsidRDefault="00AA7FDC" w:rsidP="00AA7FDC">
      <w:pPr>
        <w:widowControl/>
        <w:autoSpaceDE/>
        <w:autoSpaceDN/>
        <w:adjustRightInd/>
        <w:rPr>
          <w:rFonts w:cs="Calibri"/>
        </w:rPr>
      </w:pPr>
      <w:r w:rsidRPr="00AA7FDC">
        <w:rPr>
          <w:rFonts w:cs="Calibri"/>
          <w:u w:val="single"/>
        </w:rPr>
        <w:t>Discussion of State Plan Data and FRL:</w:t>
      </w:r>
      <w:r w:rsidRPr="00AA7FDC">
        <w:rPr>
          <w:rFonts w:cs="Calibri"/>
        </w:rPr>
        <w:t xml:space="preserve">  The FRL for average lapse time for safety inspections is +/- 20% of the three-year national average of </w:t>
      </w:r>
      <w:r w:rsidR="008C4E9B">
        <w:rPr>
          <w:rFonts w:cs="Calibri"/>
        </w:rPr>
        <w:t>56.02</w:t>
      </w:r>
      <w:r w:rsidRPr="00AA7FDC">
        <w:rPr>
          <w:rFonts w:cs="Calibri"/>
        </w:rPr>
        <w:t xml:space="preserve"> days</w:t>
      </w:r>
      <w:r w:rsidR="00C40C51">
        <w:rPr>
          <w:rFonts w:cs="Calibri"/>
        </w:rPr>
        <w:t>,</w:t>
      </w:r>
      <w:r w:rsidRPr="00AA7FDC">
        <w:rPr>
          <w:rFonts w:cs="Calibri"/>
        </w:rPr>
        <w:t xml:space="preserve"> which equals a range of </w:t>
      </w:r>
      <w:r w:rsidR="008C4E9B">
        <w:rPr>
          <w:rFonts w:cs="Calibri"/>
        </w:rPr>
        <w:t>44.82</w:t>
      </w:r>
      <w:r w:rsidRPr="00AA7FDC">
        <w:rPr>
          <w:rFonts w:cs="Calibri"/>
        </w:rPr>
        <w:t xml:space="preserve"> to </w:t>
      </w:r>
      <w:r w:rsidR="008C4E9B">
        <w:rPr>
          <w:rFonts w:cs="Calibri"/>
        </w:rPr>
        <w:t>67.23</w:t>
      </w:r>
      <w:r w:rsidRPr="00AA7FDC">
        <w:rPr>
          <w:rFonts w:cs="Calibri"/>
        </w:rPr>
        <w:t xml:space="preserve"> days.  The Illinois State Plan’s lapse time for safety is </w:t>
      </w:r>
      <w:r w:rsidR="008C4E9B">
        <w:rPr>
          <w:rFonts w:cs="Calibri"/>
        </w:rPr>
        <w:t>40.98</w:t>
      </w:r>
      <w:r w:rsidRPr="00AA7FDC">
        <w:rPr>
          <w:rFonts w:cs="Calibri"/>
        </w:rPr>
        <w:t xml:space="preserve"> days, which is </w:t>
      </w:r>
      <w:r w:rsidR="008C4E9B">
        <w:rPr>
          <w:rFonts w:cs="Calibri"/>
        </w:rPr>
        <w:t>slightly</w:t>
      </w:r>
      <w:r w:rsidRPr="00AA7FDC">
        <w:rPr>
          <w:rFonts w:cs="Calibri"/>
        </w:rPr>
        <w:t xml:space="preserve"> below the FRL</w:t>
      </w:r>
      <w:r w:rsidR="0006162B">
        <w:rPr>
          <w:rFonts w:cs="Calibri"/>
        </w:rPr>
        <w:t xml:space="preserve"> but not a cause for concern</w:t>
      </w:r>
      <w:r w:rsidRPr="00AA7FDC">
        <w:rPr>
          <w:rFonts w:cs="Calibri"/>
        </w:rPr>
        <w:t xml:space="preserve">.    </w:t>
      </w:r>
    </w:p>
    <w:p w14:paraId="5BD86419" w14:textId="77777777" w:rsidR="00AA7FDC" w:rsidRPr="00AA7FDC" w:rsidRDefault="00AA7FDC" w:rsidP="00AA7FDC">
      <w:pPr>
        <w:widowControl/>
        <w:autoSpaceDE/>
        <w:autoSpaceDN/>
        <w:adjustRightInd/>
        <w:rPr>
          <w:rFonts w:cs="Calibri"/>
        </w:rPr>
      </w:pPr>
    </w:p>
    <w:p w14:paraId="1784EB47" w14:textId="7255F207" w:rsidR="00AA7FDC" w:rsidRDefault="00AA7FDC" w:rsidP="00AA7FDC">
      <w:pPr>
        <w:widowControl/>
        <w:autoSpaceDE/>
        <w:autoSpaceDN/>
        <w:adjustRightInd/>
        <w:rPr>
          <w:rFonts w:cs="Calibri"/>
        </w:rPr>
      </w:pPr>
      <w:r w:rsidRPr="00AA7FDC">
        <w:rPr>
          <w:rFonts w:cs="Calibri"/>
          <w:u w:val="single"/>
        </w:rPr>
        <w:t>Explanation:</w:t>
      </w:r>
      <w:r w:rsidRPr="00AA7FDC">
        <w:rPr>
          <w:rFonts w:cs="Calibri"/>
        </w:rPr>
        <w:t xml:space="preserve">  </w:t>
      </w:r>
      <w:r w:rsidR="00F16597" w:rsidRPr="00F16597">
        <w:rPr>
          <w:rFonts w:cs="Calibri"/>
        </w:rPr>
        <w:t>As a state and local government only plan, Illinois OSHA does not conduct inspections on the wide variety of establishments represented by the FRL three-year national average.</w:t>
      </w:r>
      <w:r w:rsidR="00F16597">
        <w:rPr>
          <w:rFonts w:cs="Calibri"/>
        </w:rPr>
        <w:t xml:space="preserve">  </w:t>
      </w:r>
      <w:r w:rsidR="007E4950">
        <w:rPr>
          <w:rFonts w:cs="Calibri"/>
        </w:rPr>
        <w:t xml:space="preserve">The focused nature of </w:t>
      </w:r>
      <w:r w:rsidR="00856B99">
        <w:rPr>
          <w:rFonts w:cs="Calibri"/>
        </w:rPr>
        <w:t xml:space="preserve">inspections results in </w:t>
      </w:r>
      <w:r w:rsidR="00C439B5">
        <w:rPr>
          <w:rFonts w:cs="Calibri"/>
        </w:rPr>
        <w:t xml:space="preserve">staff being very experienced </w:t>
      </w:r>
      <w:r w:rsidR="00610967">
        <w:rPr>
          <w:rFonts w:cs="Calibri"/>
        </w:rPr>
        <w:t>in identif</w:t>
      </w:r>
      <w:r w:rsidR="00AC57D3">
        <w:rPr>
          <w:rFonts w:cs="Calibri"/>
        </w:rPr>
        <w:t>ying</w:t>
      </w:r>
      <w:r w:rsidR="00610967">
        <w:rPr>
          <w:rFonts w:cs="Calibri"/>
        </w:rPr>
        <w:t xml:space="preserve"> and addressing hazards</w:t>
      </w:r>
      <w:r w:rsidR="004F37AB">
        <w:rPr>
          <w:rFonts w:cs="Calibri"/>
        </w:rPr>
        <w:t xml:space="preserve"> by</w:t>
      </w:r>
      <w:r w:rsidR="00610967">
        <w:rPr>
          <w:rFonts w:cs="Calibri"/>
        </w:rPr>
        <w:t xml:space="preserve"> </w:t>
      </w:r>
      <w:r w:rsidRPr="00AA7FDC">
        <w:rPr>
          <w:rFonts w:cs="Calibri"/>
        </w:rPr>
        <w:t>completing case files and issuing citations in a timely manner</w:t>
      </w:r>
      <w:r w:rsidR="004F37AB">
        <w:rPr>
          <w:rFonts w:cs="Calibri"/>
        </w:rPr>
        <w:t>.</w:t>
      </w:r>
      <w:r w:rsidRPr="00AA7FDC">
        <w:rPr>
          <w:rFonts w:cs="Calibri"/>
        </w:rPr>
        <w:t xml:space="preserve"> </w:t>
      </w:r>
      <w:r w:rsidR="004F37AB">
        <w:rPr>
          <w:rFonts w:cs="Calibri"/>
        </w:rPr>
        <w:t xml:space="preserve"> </w:t>
      </w:r>
      <w:r w:rsidRPr="00AA7FDC">
        <w:rPr>
          <w:rFonts w:cs="Calibri"/>
        </w:rPr>
        <w:t>The State Plan’s inspection lapse time has historically been below the three-year national average and is consistent with year-over-year trending.</w:t>
      </w:r>
    </w:p>
    <w:p w14:paraId="0E501267" w14:textId="77777777" w:rsidR="00AA7FDC" w:rsidRDefault="00AA7FDC" w:rsidP="00AA7FDC">
      <w:pPr>
        <w:widowControl/>
        <w:autoSpaceDE/>
        <w:autoSpaceDN/>
        <w:adjustRightInd/>
        <w:rPr>
          <w:rFonts w:cs="Calibri"/>
        </w:rPr>
      </w:pPr>
    </w:p>
    <w:p w14:paraId="40B13915" w14:textId="58C6EDDB" w:rsidR="00AA7FDC" w:rsidRPr="00AA7FDC" w:rsidRDefault="00AA7FDC" w:rsidP="00AA7FDC">
      <w:pPr>
        <w:widowControl/>
        <w:autoSpaceDE/>
        <w:autoSpaceDN/>
        <w:adjustRightInd/>
        <w:rPr>
          <w:rFonts w:cs="Calibri"/>
          <w:b/>
        </w:rPr>
      </w:pPr>
      <w:r w:rsidRPr="00AA7FDC">
        <w:rPr>
          <w:rFonts w:cs="Calibri"/>
          <w:b/>
        </w:rPr>
        <w:t>SAMM 11</w:t>
      </w:r>
      <w:r>
        <w:rPr>
          <w:rFonts w:cs="Calibri"/>
          <w:b/>
        </w:rPr>
        <w:t>b</w:t>
      </w:r>
      <w:r w:rsidRPr="00AA7FDC">
        <w:rPr>
          <w:rFonts w:cs="Calibri"/>
          <w:b/>
        </w:rPr>
        <w:t xml:space="preserve"> – Average lapse time</w:t>
      </w:r>
      <w:r>
        <w:rPr>
          <w:rFonts w:cs="Calibri"/>
          <w:b/>
        </w:rPr>
        <w:t xml:space="preserve"> (health)</w:t>
      </w:r>
    </w:p>
    <w:p w14:paraId="69E79EF6" w14:textId="77777777" w:rsidR="00AA7FDC" w:rsidRPr="00AA7FDC" w:rsidRDefault="00AA7FDC" w:rsidP="00AA7FDC">
      <w:pPr>
        <w:widowControl/>
        <w:autoSpaceDE/>
        <w:autoSpaceDN/>
        <w:adjustRightInd/>
        <w:rPr>
          <w:rFonts w:cs="Calibri"/>
        </w:rPr>
      </w:pPr>
    </w:p>
    <w:p w14:paraId="75CA3661" w14:textId="0E23649A" w:rsidR="00AA7FDC" w:rsidRPr="00AA7FDC" w:rsidRDefault="00AA7FDC" w:rsidP="00AA7FDC">
      <w:pPr>
        <w:widowControl/>
        <w:autoSpaceDE/>
        <w:autoSpaceDN/>
        <w:adjustRightInd/>
        <w:rPr>
          <w:rFonts w:cs="Calibri"/>
        </w:rPr>
      </w:pPr>
      <w:r w:rsidRPr="00AA7FDC">
        <w:rPr>
          <w:rFonts w:cs="Calibri"/>
          <w:u w:val="single"/>
        </w:rPr>
        <w:lastRenderedPageBreak/>
        <w:t>Discussion of State Plan Data and FRL:</w:t>
      </w:r>
      <w:r w:rsidRPr="00AA7FDC">
        <w:rPr>
          <w:rFonts w:cs="Calibri"/>
        </w:rPr>
        <w:t xml:space="preserve">  The FRL for </w:t>
      </w:r>
      <w:r w:rsidR="00C40C51">
        <w:rPr>
          <w:rFonts w:cs="Calibri"/>
        </w:rPr>
        <w:t xml:space="preserve">the </w:t>
      </w:r>
      <w:r w:rsidRPr="00AA7FDC">
        <w:rPr>
          <w:rFonts w:cs="Calibri"/>
        </w:rPr>
        <w:t xml:space="preserve">average lapse time for health inspections is +/- 20% of the three-year national average of </w:t>
      </w:r>
      <w:r w:rsidR="00C40C51">
        <w:rPr>
          <w:rFonts w:cs="Calibri"/>
        </w:rPr>
        <w:t>67.21 days</w:t>
      </w:r>
      <w:r w:rsidRPr="00AA7FDC">
        <w:rPr>
          <w:rFonts w:cs="Calibri"/>
        </w:rPr>
        <w:t xml:space="preserve">, which equals a range of </w:t>
      </w:r>
      <w:r w:rsidR="00555D06">
        <w:rPr>
          <w:rFonts w:cs="Calibri"/>
        </w:rPr>
        <w:t>53.77</w:t>
      </w:r>
      <w:r w:rsidRPr="00AA7FDC">
        <w:rPr>
          <w:rFonts w:cs="Calibri"/>
        </w:rPr>
        <w:t xml:space="preserve"> to </w:t>
      </w:r>
      <w:r w:rsidR="00555D06">
        <w:rPr>
          <w:rFonts w:cs="Calibri"/>
        </w:rPr>
        <w:t>80.65</w:t>
      </w:r>
      <w:r w:rsidRPr="00AA7FDC">
        <w:rPr>
          <w:rFonts w:cs="Calibri"/>
        </w:rPr>
        <w:t xml:space="preserve"> days.  The Illinois State Plan’s lapse time for health is </w:t>
      </w:r>
      <w:r w:rsidR="009F08BC">
        <w:rPr>
          <w:rFonts w:cs="Calibri"/>
        </w:rPr>
        <w:t>44.19</w:t>
      </w:r>
      <w:r w:rsidRPr="00AA7FDC">
        <w:rPr>
          <w:rFonts w:cs="Calibri"/>
        </w:rPr>
        <w:t xml:space="preserve"> days which is below the FRL</w:t>
      </w:r>
      <w:r w:rsidR="00607C15">
        <w:rPr>
          <w:rFonts w:cs="Calibri"/>
        </w:rPr>
        <w:t xml:space="preserve"> but not a cause for concern</w:t>
      </w:r>
      <w:r w:rsidRPr="00AA7FDC">
        <w:rPr>
          <w:rFonts w:cs="Calibri"/>
        </w:rPr>
        <w:t xml:space="preserve">.  </w:t>
      </w:r>
    </w:p>
    <w:p w14:paraId="69952078" w14:textId="77777777" w:rsidR="00AA7FDC" w:rsidRPr="00AA7FDC" w:rsidRDefault="00AA7FDC" w:rsidP="00AA7FDC">
      <w:pPr>
        <w:widowControl/>
        <w:autoSpaceDE/>
        <w:autoSpaceDN/>
        <w:adjustRightInd/>
        <w:rPr>
          <w:rFonts w:cs="Calibri"/>
        </w:rPr>
      </w:pPr>
    </w:p>
    <w:p w14:paraId="6C6A3E88" w14:textId="6DBA125A" w:rsidR="00AA7FDC" w:rsidRPr="00AA7FDC" w:rsidRDefault="00AA7FDC" w:rsidP="00AA7FDC">
      <w:pPr>
        <w:widowControl/>
        <w:autoSpaceDE/>
        <w:autoSpaceDN/>
        <w:adjustRightInd/>
        <w:rPr>
          <w:rFonts w:cs="Calibri"/>
        </w:rPr>
      </w:pPr>
      <w:r w:rsidRPr="00AA7FDC">
        <w:rPr>
          <w:rFonts w:cs="Calibri"/>
          <w:u w:val="single"/>
        </w:rPr>
        <w:t>Explanation:</w:t>
      </w:r>
      <w:r w:rsidRPr="00AA7FDC">
        <w:rPr>
          <w:rFonts w:cs="Calibri"/>
        </w:rPr>
        <w:t xml:space="preserve">  </w:t>
      </w:r>
      <w:r w:rsidR="00607C15" w:rsidRPr="00607C15">
        <w:rPr>
          <w:rFonts w:cs="Calibri"/>
        </w:rPr>
        <w:t>As a state and local government only plan, Illinois OSHA does not conduct inspections on the wide variety of establishments represented by the FRL three-year national average.  The focused nature of inspections results in staff being very experienced in identifying and addressing hazards by completing case files and issuing citations in a timely manner.  The State Plan’s inspection lapse time has historically been below the three-year national average and is consistent with year-over-year trending.</w:t>
      </w:r>
    </w:p>
    <w:p w14:paraId="02258CE0" w14:textId="77777777" w:rsidR="00AA7FDC" w:rsidRDefault="00AA7FDC" w:rsidP="00783189">
      <w:pPr>
        <w:widowControl/>
        <w:autoSpaceDE/>
        <w:autoSpaceDN/>
        <w:adjustRightInd/>
        <w:rPr>
          <w:rFonts w:cs="Calibri"/>
        </w:rPr>
      </w:pPr>
    </w:p>
    <w:p w14:paraId="35CE32A7" w14:textId="77777777" w:rsidR="00AA7FDC" w:rsidRPr="00337AF3" w:rsidRDefault="00AA7FDC" w:rsidP="00783189">
      <w:pPr>
        <w:widowControl/>
        <w:autoSpaceDE/>
        <w:autoSpaceDN/>
        <w:adjustRightInd/>
        <w:rPr>
          <w:rFonts w:cs="Calibri"/>
          <w:i/>
        </w:rPr>
      </w:pPr>
    </w:p>
    <w:p w14:paraId="5D809FC9" w14:textId="77777777" w:rsidR="001379BB" w:rsidRDefault="001379BB" w:rsidP="00AA7FDC">
      <w:pPr>
        <w:widowControl/>
        <w:autoSpaceDE/>
        <w:autoSpaceDN/>
        <w:adjustRightInd/>
        <w:rPr>
          <w:rFonts w:cs="Calibri"/>
        </w:rPr>
      </w:pPr>
    </w:p>
    <w:p w14:paraId="4DD4CBB7" w14:textId="77777777" w:rsidR="00AA7FDC" w:rsidRPr="001C1E47" w:rsidRDefault="00AA7FDC" w:rsidP="00AA7FDC">
      <w:pPr>
        <w:widowControl/>
        <w:autoSpaceDE/>
        <w:autoSpaceDN/>
        <w:adjustRightInd/>
        <w:rPr>
          <w:rFonts w:cs="Calibri"/>
        </w:rPr>
        <w:sectPr w:rsidR="00AA7FDC" w:rsidRPr="001C1E47" w:rsidSect="00783189">
          <w:headerReference w:type="even" r:id="rId10"/>
          <w:headerReference w:type="default" r:id="rId11"/>
          <w:footerReference w:type="even" r:id="rId12"/>
          <w:footerReference w:type="default" r:id="rId13"/>
          <w:headerReference w:type="first" r:id="rId14"/>
          <w:footerReference w:type="first" r:id="rId15"/>
          <w:pgSz w:w="12240" w:h="15840"/>
          <w:pgMar w:top="1440" w:right="1260" w:bottom="1260" w:left="1440" w:header="720" w:footer="526" w:gutter="0"/>
          <w:pgNumType w:start="1"/>
          <w:cols w:space="720"/>
          <w:titlePg/>
          <w:docGrid w:linePitch="360"/>
        </w:sectPr>
      </w:pPr>
    </w:p>
    <w:p w14:paraId="516D3ECD" w14:textId="77777777" w:rsidR="00B6741C" w:rsidRPr="0002572C" w:rsidRDefault="00B6741C" w:rsidP="00C453C1">
      <w:pPr>
        <w:pStyle w:val="Heading3"/>
        <w:numPr>
          <w:ilvl w:val="0"/>
          <w:numId w:val="0"/>
        </w:numPr>
      </w:pPr>
      <w:bookmarkStart w:id="25" w:name="_Toc118905017"/>
      <w:bookmarkStart w:id="26" w:name="_Toc119418669"/>
      <w:r w:rsidRPr="0002572C">
        <w:lastRenderedPageBreak/>
        <w:t>Appendix A – New and Continued Findings and Recommendations</w:t>
      </w:r>
      <w:bookmarkEnd w:id="25"/>
      <w:bookmarkEnd w:id="26"/>
    </w:p>
    <w:p w14:paraId="670F195C" w14:textId="29A41DD2" w:rsidR="00B6741C" w:rsidRPr="00FB7D2C" w:rsidRDefault="00B6741C" w:rsidP="00B6741C">
      <w:r w:rsidRPr="00FB7D2C">
        <w:t>FY 20</w:t>
      </w:r>
      <w:r w:rsidR="00904798" w:rsidRPr="00FB7D2C">
        <w:t>24</w:t>
      </w:r>
      <w:r w:rsidR="008C3C1E" w:rsidRPr="00FB7D2C">
        <w:t xml:space="preserve"> Illinois OSHA</w:t>
      </w:r>
      <w:r w:rsidRPr="00FB7D2C">
        <w:t xml:space="preserve"> Follow-up FAME Report</w:t>
      </w:r>
    </w:p>
    <w:p w14:paraId="77980CE2" w14:textId="77777777" w:rsidR="000A134A" w:rsidRDefault="000A134A" w:rsidP="007A71AC">
      <w:pPr>
        <w:widowControl/>
        <w:tabs>
          <w:tab w:val="left" w:pos="3630"/>
        </w:tabs>
        <w:autoSpaceDE/>
        <w:autoSpaceDN/>
        <w:adjustRightInd/>
        <w:rPr>
          <w:rFonts w:cs="Calibri"/>
        </w:rPr>
      </w:pPr>
    </w:p>
    <w:p w14:paraId="5B2CB25C" w14:textId="77777777" w:rsidR="00FB7D2C" w:rsidRPr="001C1E47" w:rsidRDefault="00FB7D2C"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00185C7D">
        <w:trPr>
          <w:trHeight w:val="350"/>
        </w:trPr>
        <w:tc>
          <w:tcPr>
            <w:tcW w:w="1440" w:type="dxa"/>
          </w:tcPr>
          <w:p w14:paraId="1F333F67" w14:textId="5834A098" w:rsidR="000A134A" w:rsidRPr="001C1E47" w:rsidRDefault="000A134A"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DF6C53">
              <w:rPr>
                <w:rFonts w:cs="Calibri"/>
                <w:b/>
              </w:rPr>
              <w:t>24</w:t>
            </w:r>
            <w:r w:rsidRPr="001C1E47">
              <w:rPr>
                <w:rFonts w:cs="Calibri"/>
                <w:b/>
              </w:rPr>
              <w:t>-</w:t>
            </w:r>
            <w:r w:rsidR="00BB0343" w:rsidRPr="001C1E47">
              <w:rPr>
                <w:rFonts w:cs="Calibri"/>
                <w:b/>
              </w:rPr>
              <w:t>#</w:t>
            </w:r>
          </w:p>
        </w:tc>
        <w:tc>
          <w:tcPr>
            <w:tcW w:w="4721" w:type="dxa"/>
          </w:tcPr>
          <w:p w14:paraId="0C140B4B" w14:textId="77777777" w:rsidR="000A134A" w:rsidRPr="001C1E47" w:rsidRDefault="000A134A" w:rsidP="007A71AC">
            <w:pPr>
              <w:widowControl/>
              <w:autoSpaceDE/>
              <w:autoSpaceDN/>
              <w:adjustRightInd/>
              <w:jc w:val="center"/>
              <w:rPr>
                <w:rFonts w:cs="Calibri"/>
                <w:b/>
              </w:rPr>
            </w:pPr>
            <w:r w:rsidRPr="001C1E47">
              <w:rPr>
                <w:rFonts w:cs="Calibri"/>
                <w:b/>
              </w:rPr>
              <w:t>Finding</w:t>
            </w:r>
          </w:p>
        </w:tc>
        <w:tc>
          <w:tcPr>
            <w:tcW w:w="4819" w:type="dxa"/>
          </w:tcPr>
          <w:p w14:paraId="7801EA8C" w14:textId="77777777" w:rsidR="000A134A" w:rsidRPr="001C1E47" w:rsidRDefault="000A134A" w:rsidP="007A71AC">
            <w:pPr>
              <w:widowControl/>
              <w:autoSpaceDE/>
              <w:autoSpaceDN/>
              <w:adjustRightInd/>
              <w:jc w:val="center"/>
              <w:rPr>
                <w:rFonts w:cs="Calibri"/>
                <w:b/>
              </w:rPr>
            </w:pPr>
            <w:r w:rsidRPr="001C1E47">
              <w:rPr>
                <w:rFonts w:cs="Calibri"/>
                <w:b/>
              </w:rPr>
              <w:t>Recommendation</w:t>
            </w:r>
          </w:p>
        </w:tc>
        <w:tc>
          <w:tcPr>
            <w:tcW w:w="1890" w:type="dxa"/>
          </w:tcPr>
          <w:p w14:paraId="7C9006CD" w14:textId="60F461BD" w:rsidR="00BB0343"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A52CE1">
              <w:rPr>
                <w:rFonts w:cs="Calibri"/>
                <w:b/>
              </w:rPr>
              <w:t>23</w:t>
            </w:r>
            <w:r w:rsidRPr="001C1E47">
              <w:rPr>
                <w:rFonts w:cs="Calibri"/>
                <w:b/>
              </w:rPr>
              <w:t xml:space="preserve">-# or </w:t>
            </w:r>
          </w:p>
          <w:p w14:paraId="3C61CFBF" w14:textId="5A66945D" w:rsidR="000A134A"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A52CE1">
              <w:rPr>
                <w:rFonts w:cs="Calibri"/>
                <w:b/>
              </w:rPr>
              <w:t>23</w:t>
            </w:r>
            <w:r w:rsidRPr="001C1E47">
              <w:rPr>
                <w:rFonts w:cs="Calibri"/>
                <w:b/>
              </w:rPr>
              <w:t>-OB-#</w:t>
            </w:r>
          </w:p>
        </w:tc>
      </w:tr>
      <w:tr w:rsidR="000A134A" w:rsidRPr="001C1E47" w14:paraId="5368CE16" w14:textId="77777777" w:rsidTr="00185C7D">
        <w:tc>
          <w:tcPr>
            <w:tcW w:w="1440" w:type="dxa"/>
          </w:tcPr>
          <w:p w14:paraId="31EBB109" w14:textId="77777777" w:rsidR="000A134A" w:rsidRPr="001C1E47" w:rsidRDefault="000A134A" w:rsidP="007A71AC">
            <w:pPr>
              <w:widowControl/>
              <w:autoSpaceDE/>
              <w:autoSpaceDN/>
              <w:adjustRightInd/>
              <w:rPr>
                <w:rFonts w:cs="Calibri"/>
              </w:rPr>
            </w:pPr>
            <w:r w:rsidRPr="001C1E47">
              <w:rPr>
                <w:rFonts w:cs="Calibri"/>
              </w:rPr>
              <w:t xml:space="preserve"> </w:t>
            </w:r>
          </w:p>
          <w:p w14:paraId="39F370D3" w14:textId="77777777" w:rsidR="000A134A" w:rsidRPr="001C1E47" w:rsidRDefault="000A134A" w:rsidP="007A71AC">
            <w:pPr>
              <w:widowControl/>
              <w:autoSpaceDE/>
              <w:autoSpaceDN/>
              <w:adjustRightInd/>
              <w:rPr>
                <w:rFonts w:cs="Calibri"/>
              </w:rPr>
            </w:pPr>
          </w:p>
        </w:tc>
        <w:tc>
          <w:tcPr>
            <w:tcW w:w="4721" w:type="dxa"/>
          </w:tcPr>
          <w:p w14:paraId="4B3C1E3A" w14:textId="7005DBB0" w:rsidR="000A134A" w:rsidRPr="001C1E47" w:rsidRDefault="000A134A" w:rsidP="007A71AC">
            <w:pPr>
              <w:widowControl/>
              <w:autoSpaceDE/>
              <w:autoSpaceDN/>
              <w:adjustRightInd/>
              <w:rPr>
                <w:rFonts w:cs="Calibri"/>
              </w:rPr>
            </w:pPr>
            <w:r w:rsidRPr="001C1E47">
              <w:rPr>
                <w:rFonts w:cs="Calibri"/>
              </w:rPr>
              <w:t xml:space="preserve">   </w:t>
            </w:r>
            <w:r w:rsidR="00437F1E">
              <w:rPr>
                <w:rFonts w:cs="Calibri"/>
              </w:rPr>
              <w:t>None</w:t>
            </w:r>
          </w:p>
        </w:tc>
        <w:tc>
          <w:tcPr>
            <w:tcW w:w="4819" w:type="dxa"/>
          </w:tcPr>
          <w:p w14:paraId="5C606D29" w14:textId="77777777" w:rsidR="000A134A" w:rsidRPr="001C1E47" w:rsidRDefault="000A134A" w:rsidP="007A71AC">
            <w:pPr>
              <w:widowControl/>
              <w:autoSpaceDE/>
              <w:autoSpaceDN/>
              <w:adjustRightInd/>
              <w:rPr>
                <w:rFonts w:cs="Calibri"/>
              </w:rPr>
            </w:pPr>
            <w:r w:rsidRPr="001C1E47">
              <w:rPr>
                <w:rFonts w:cs="Calibri"/>
              </w:rPr>
              <w:t xml:space="preserve"> </w:t>
            </w:r>
          </w:p>
          <w:p w14:paraId="7A48B2C8" w14:textId="77777777" w:rsidR="000A134A" w:rsidRPr="001C1E47" w:rsidRDefault="000A134A" w:rsidP="007A71AC">
            <w:pPr>
              <w:widowControl/>
              <w:autoSpaceDE/>
              <w:autoSpaceDN/>
              <w:adjustRightInd/>
              <w:rPr>
                <w:rFonts w:cs="Calibri"/>
              </w:rPr>
            </w:pPr>
          </w:p>
        </w:tc>
        <w:tc>
          <w:tcPr>
            <w:tcW w:w="1890" w:type="dxa"/>
          </w:tcPr>
          <w:p w14:paraId="51FF8A48" w14:textId="77777777" w:rsidR="000A134A" w:rsidRPr="001C1E47" w:rsidRDefault="000A134A" w:rsidP="007A71AC">
            <w:pPr>
              <w:widowControl/>
              <w:autoSpaceDE/>
              <w:autoSpaceDN/>
              <w:adjustRightInd/>
              <w:rPr>
                <w:rFonts w:cs="Calibri"/>
              </w:rPr>
            </w:pPr>
            <w:r w:rsidRPr="001C1E47">
              <w:rPr>
                <w:rFonts w:cs="Calibri"/>
              </w:rPr>
              <w:t xml:space="preserve"> </w:t>
            </w:r>
          </w:p>
        </w:tc>
      </w:tr>
    </w:tbl>
    <w:p w14:paraId="3C1E0E19" w14:textId="77777777" w:rsidR="000A134A" w:rsidRPr="001C1E47" w:rsidRDefault="000A134A" w:rsidP="007A71AC">
      <w:pPr>
        <w:widowControl/>
        <w:autoSpaceDE/>
        <w:autoSpaceDN/>
        <w:adjustRightInd/>
        <w:rPr>
          <w:rFonts w:cs="Calibri"/>
        </w:rPr>
      </w:pPr>
    </w:p>
    <w:p w14:paraId="7C19C4AE" w14:textId="77777777" w:rsidR="00D86879" w:rsidRPr="001C1E47" w:rsidRDefault="00D86879" w:rsidP="007A71AC">
      <w:pPr>
        <w:widowControl/>
        <w:autoSpaceDE/>
        <w:autoSpaceDN/>
        <w:adjustRightInd/>
        <w:rPr>
          <w:rFonts w:cs="Calibri"/>
          <w:i/>
        </w:rPr>
      </w:pPr>
    </w:p>
    <w:p w14:paraId="039B49D1" w14:textId="77777777" w:rsidR="00D86879" w:rsidRPr="001C1E47" w:rsidRDefault="00D86879" w:rsidP="007A71AC">
      <w:pPr>
        <w:widowControl/>
        <w:autoSpaceDE/>
        <w:autoSpaceDN/>
        <w:adjustRightInd/>
        <w:rPr>
          <w:rFonts w:cs="Calibri"/>
          <w:i/>
        </w:rPr>
      </w:pPr>
    </w:p>
    <w:p w14:paraId="776B7B1D" w14:textId="77777777" w:rsidR="00D86879" w:rsidRPr="001C1E47" w:rsidRDefault="00D86879" w:rsidP="007A71AC">
      <w:pPr>
        <w:widowControl/>
        <w:autoSpaceDE/>
        <w:autoSpaceDN/>
        <w:adjustRightInd/>
        <w:rPr>
          <w:rFonts w:cs="Calibri"/>
          <w:i/>
        </w:rPr>
      </w:pPr>
    </w:p>
    <w:p w14:paraId="715EFD78" w14:textId="77777777" w:rsidR="00D86879" w:rsidRPr="001C1E47" w:rsidRDefault="00D86879" w:rsidP="007A71AC">
      <w:pPr>
        <w:widowControl/>
        <w:autoSpaceDE/>
        <w:autoSpaceDN/>
        <w:adjustRightInd/>
        <w:rPr>
          <w:rFonts w:cs="Calibri"/>
          <w:i/>
        </w:rPr>
      </w:pPr>
    </w:p>
    <w:p w14:paraId="5C702E08" w14:textId="77777777" w:rsidR="00350189" w:rsidRDefault="00350189">
      <w:pPr>
        <w:widowControl/>
        <w:autoSpaceDE/>
        <w:autoSpaceDN/>
        <w:adjustRightInd/>
        <w:rPr>
          <w:rFonts w:asciiTheme="minorHAnsi" w:hAnsiTheme="minorHAnsi" w:cstheme="minorHAnsi"/>
          <w:b/>
          <w:bCs/>
          <w:sz w:val="28"/>
          <w:szCs w:val="28"/>
        </w:rPr>
      </w:pPr>
      <w:bookmarkStart w:id="27" w:name="_Toc118905018"/>
      <w:bookmarkStart w:id="28" w:name="_Toc119418670"/>
      <w:r>
        <w:br w:type="page"/>
      </w:r>
    </w:p>
    <w:p w14:paraId="72DA695E" w14:textId="1D6590C9" w:rsidR="00B6741C" w:rsidRPr="0002572C" w:rsidRDefault="00B6741C" w:rsidP="00C453C1">
      <w:pPr>
        <w:pStyle w:val="Heading3"/>
        <w:numPr>
          <w:ilvl w:val="0"/>
          <w:numId w:val="0"/>
        </w:numPr>
      </w:pPr>
      <w:r w:rsidRPr="0002572C">
        <w:lastRenderedPageBreak/>
        <w:t>Appendix B – Observations Subject to Continued Monitoring</w:t>
      </w:r>
      <w:bookmarkEnd w:id="27"/>
      <w:bookmarkEnd w:id="28"/>
    </w:p>
    <w:p w14:paraId="2093D22B" w14:textId="0D82C292" w:rsidR="00D86879" w:rsidRDefault="00B6741C" w:rsidP="00FB7D2C">
      <w:r w:rsidRPr="00FB7D2C">
        <w:t>FY 20</w:t>
      </w:r>
      <w:r w:rsidR="00350189" w:rsidRPr="00FB7D2C">
        <w:t>24</w:t>
      </w:r>
      <w:r w:rsidRPr="00FB7D2C">
        <w:t xml:space="preserve"> </w:t>
      </w:r>
      <w:r w:rsidR="00350189" w:rsidRPr="00FB7D2C">
        <w:t xml:space="preserve">Illinois OSHA </w:t>
      </w:r>
      <w:r w:rsidRPr="00FB7D2C">
        <w:t>Follow-up FAME Report</w:t>
      </w:r>
    </w:p>
    <w:p w14:paraId="7CEE3FB7" w14:textId="77777777" w:rsidR="00FB7D2C" w:rsidRDefault="00FB7D2C" w:rsidP="00FB7D2C"/>
    <w:p w14:paraId="74290D10" w14:textId="77777777" w:rsidR="00FB7D2C" w:rsidRPr="00FB7D2C" w:rsidRDefault="00FB7D2C" w:rsidP="00FB7D2C"/>
    <w:p w14:paraId="61F273E4" w14:textId="4BA1F7A9" w:rsidR="00492379" w:rsidRPr="001C1E47" w:rsidRDefault="00492379" w:rsidP="007A71AC">
      <w:pPr>
        <w:widowControl/>
        <w:autoSpaceDE/>
        <w:autoSpaceDN/>
        <w:adjustRightInd/>
        <w:rPr>
          <w:rFonts w:cs="Calibri"/>
          <w:i/>
        </w:rPr>
        <w:sectPr w:rsidR="00492379" w:rsidRPr="001C1E47" w:rsidSect="00DD7206">
          <w:headerReference w:type="default" r:id="rId16"/>
          <w:footerReference w:type="default" r:id="rId17"/>
          <w:headerReference w:type="first" r:id="rId18"/>
          <w:footerReference w:type="first" r:id="rId19"/>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1885"/>
        <w:gridCol w:w="2070"/>
        <w:gridCol w:w="4049"/>
        <w:gridCol w:w="2630"/>
        <w:gridCol w:w="2316"/>
      </w:tblGrid>
      <w:tr w:rsidR="00FB7D2C" w:rsidRPr="00FB7D2C" w14:paraId="266E8016" w14:textId="4E26EFF8" w:rsidTr="006E2382">
        <w:trPr>
          <w:cantSplit/>
          <w:tblHeader/>
        </w:trPr>
        <w:tc>
          <w:tcPr>
            <w:tcW w:w="1885" w:type="dxa"/>
          </w:tcPr>
          <w:p w14:paraId="5950BEA4" w14:textId="77777777" w:rsidR="00B6741C" w:rsidRPr="00FB7D2C" w:rsidRDefault="00B6741C" w:rsidP="00B6741C">
            <w:pPr>
              <w:widowControl/>
              <w:autoSpaceDE/>
              <w:autoSpaceDN/>
              <w:adjustRightInd/>
              <w:rPr>
                <w:rFonts w:cs="Calibri"/>
                <w:b/>
              </w:rPr>
            </w:pPr>
            <w:r w:rsidRPr="00FB7D2C">
              <w:rPr>
                <w:rFonts w:cs="Calibri"/>
                <w:b/>
              </w:rPr>
              <w:t>Observation #</w:t>
            </w:r>
          </w:p>
          <w:p w14:paraId="09AE72D2" w14:textId="5D8334B7" w:rsidR="00B6741C" w:rsidRPr="00FB7D2C" w:rsidRDefault="00B6741C" w:rsidP="00B6741C">
            <w:pPr>
              <w:widowControl/>
              <w:autoSpaceDE/>
              <w:autoSpaceDN/>
              <w:adjustRightInd/>
              <w:rPr>
                <w:rFonts w:cs="Calibri"/>
                <w:b/>
              </w:rPr>
            </w:pPr>
            <w:r w:rsidRPr="00FB7D2C">
              <w:rPr>
                <w:rFonts w:cs="Calibri"/>
                <w:b/>
              </w:rPr>
              <w:t>FY 20</w:t>
            </w:r>
            <w:r w:rsidR="00634A58" w:rsidRPr="00FB7D2C">
              <w:rPr>
                <w:rFonts w:cs="Calibri"/>
                <w:b/>
              </w:rPr>
              <w:t>24</w:t>
            </w:r>
            <w:r w:rsidRPr="00FB7D2C">
              <w:rPr>
                <w:rFonts w:cs="Calibri"/>
                <w:b/>
              </w:rPr>
              <w:t>-OB-#</w:t>
            </w:r>
          </w:p>
          <w:p w14:paraId="07702D17" w14:textId="77777777" w:rsidR="00B6741C" w:rsidRPr="00FB7D2C" w:rsidRDefault="00B6741C" w:rsidP="00B6741C">
            <w:pPr>
              <w:widowControl/>
              <w:autoSpaceDE/>
              <w:autoSpaceDN/>
              <w:adjustRightInd/>
              <w:rPr>
                <w:rFonts w:cs="Calibri"/>
                <w:i/>
              </w:rPr>
            </w:pPr>
          </w:p>
        </w:tc>
        <w:tc>
          <w:tcPr>
            <w:tcW w:w="2070" w:type="dxa"/>
          </w:tcPr>
          <w:p w14:paraId="5B8F9311" w14:textId="77777777" w:rsidR="00B6741C" w:rsidRPr="00FB7D2C" w:rsidRDefault="00B6741C" w:rsidP="00B6741C">
            <w:pPr>
              <w:widowControl/>
              <w:autoSpaceDE/>
              <w:autoSpaceDN/>
              <w:adjustRightInd/>
              <w:rPr>
                <w:rFonts w:cs="Calibri"/>
                <w:b/>
              </w:rPr>
            </w:pPr>
            <w:r w:rsidRPr="00FB7D2C">
              <w:rPr>
                <w:rFonts w:cs="Calibri"/>
                <w:b/>
              </w:rPr>
              <w:t>Observation#</w:t>
            </w:r>
          </w:p>
          <w:p w14:paraId="757E85A6" w14:textId="4E26563B" w:rsidR="00B6741C" w:rsidRPr="00FB7D2C" w:rsidRDefault="00B6741C" w:rsidP="00B6741C">
            <w:pPr>
              <w:widowControl/>
              <w:autoSpaceDE/>
              <w:autoSpaceDN/>
              <w:adjustRightInd/>
              <w:rPr>
                <w:rFonts w:cs="Calibri"/>
                <w:i/>
              </w:rPr>
            </w:pPr>
            <w:r w:rsidRPr="00FB7D2C">
              <w:rPr>
                <w:rFonts w:cs="Calibri"/>
                <w:b/>
              </w:rPr>
              <w:t>FY 20</w:t>
            </w:r>
            <w:r w:rsidR="00634A58" w:rsidRPr="00FB7D2C">
              <w:rPr>
                <w:rFonts w:cs="Calibri"/>
                <w:b/>
              </w:rPr>
              <w:t>23</w:t>
            </w:r>
            <w:r w:rsidRPr="00FB7D2C">
              <w:rPr>
                <w:rFonts w:cs="Calibri"/>
                <w:b/>
              </w:rPr>
              <w:t xml:space="preserve">-OB-# </w:t>
            </w:r>
            <w:r w:rsidRPr="00FB7D2C">
              <w:rPr>
                <w:rFonts w:cs="Calibri"/>
                <w:b/>
                <w:i/>
              </w:rPr>
              <w:t>or</w:t>
            </w:r>
            <w:r w:rsidRPr="00FB7D2C">
              <w:rPr>
                <w:rFonts w:cs="Calibri"/>
                <w:b/>
              </w:rPr>
              <w:t xml:space="preserve"> FY 20</w:t>
            </w:r>
            <w:r w:rsidR="00634A58" w:rsidRPr="00FB7D2C">
              <w:rPr>
                <w:rFonts w:cs="Calibri"/>
                <w:b/>
              </w:rPr>
              <w:t>23</w:t>
            </w:r>
            <w:r w:rsidRPr="00FB7D2C">
              <w:rPr>
                <w:rFonts w:cs="Calibri"/>
                <w:b/>
              </w:rPr>
              <w:t>-#</w:t>
            </w:r>
          </w:p>
        </w:tc>
        <w:tc>
          <w:tcPr>
            <w:tcW w:w="4049" w:type="dxa"/>
          </w:tcPr>
          <w:p w14:paraId="11DA1749" w14:textId="7AE042CC" w:rsidR="00B6741C" w:rsidRPr="00FB7D2C" w:rsidRDefault="00B6741C" w:rsidP="00B6741C">
            <w:pPr>
              <w:widowControl/>
              <w:autoSpaceDE/>
              <w:autoSpaceDN/>
              <w:adjustRightInd/>
              <w:rPr>
                <w:rFonts w:cs="Calibri"/>
                <w:i/>
              </w:rPr>
            </w:pPr>
            <w:r w:rsidRPr="00FB7D2C">
              <w:rPr>
                <w:rFonts w:cs="Calibri"/>
                <w:b/>
              </w:rPr>
              <w:t>Observation</w:t>
            </w:r>
          </w:p>
        </w:tc>
        <w:tc>
          <w:tcPr>
            <w:tcW w:w="2630" w:type="dxa"/>
          </w:tcPr>
          <w:p w14:paraId="76BC073C" w14:textId="70BBC1B0" w:rsidR="00B6741C" w:rsidRPr="00FB7D2C" w:rsidRDefault="00B6741C" w:rsidP="00B6741C">
            <w:pPr>
              <w:widowControl/>
              <w:autoSpaceDE/>
              <w:autoSpaceDN/>
              <w:adjustRightInd/>
              <w:rPr>
                <w:rFonts w:cs="Calibri"/>
                <w:i/>
              </w:rPr>
            </w:pPr>
            <w:r w:rsidRPr="00FB7D2C">
              <w:rPr>
                <w:rFonts w:cs="Calibri"/>
                <w:b/>
              </w:rPr>
              <w:t>Federal Monitoring Plan</w:t>
            </w:r>
          </w:p>
        </w:tc>
        <w:tc>
          <w:tcPr>
            <w:tcW w:w="2316" w:type="dxa"/>
          </w:tcPr>
          <w:p w14:paraId="46D0EE63" w14:textId="4A2BA825" w:rsidR="00B6741C" w:rsidRPr="00FB7D2C" w:rsidRDefault="00B6741C" w:rsidP="00B6741C">
            <w:pPr>
              <w:widowControl/>
              <w:autoSpaceDE/>
              <w:autoSpaceDN/>
              <w:adjustRightInd/>
              <w:rPr>
                <w:rFonts w:cs="Calibri"/>
                <w:b/>
              </w:rPr>
            </w:pPr>
            <w:r w:rsidRPr="00FB7D2C">
              <w:rPr>
                <w:rFonts w:cs="Calibri"/>
                <w:b/>
              </w:rPr>
              <w:t>Current Status</w:t>
            </w:r>
          </w:p>
        </w:tc>
      </w:tr>
      <w:tr w:rsidR="00FB7D2C" w:rsidRPr="00FB7D2C" w14:paraId="715083EB" w14:textId="58561804" w:rsidTr="006E2382">
        <w:trPr>
          <w:cantSplit/>
        </w:trPr>
        <w:tc>
          <w:tcPr>
            <w:tcW w:w="1885" w:type="dxa"/>
          </w:tcPr>
          <w:p w14:paraId="514C1621" w14:textId="0F99617D" w:rsidR="00701048" w:rsidRPr="00FB7D2C" w:rsidRDefault="00701048" w:rsidP="00701048">
            <w:pPr>
              <w:widowControl/>
              <w:autoSpaceDE/>
              <w:autoSpaceDN/>
              <w:adjustRightInd/>
              <w:rPr>
                <w:rFonts w:cs="Calibri"/>
                <w:iCs/>
              </w:rPr>
            </w:pPr>
            <w:r w:rsidRPr="00FB7D2C">
              <w:rPr>
                <w:rFonts w:cs="Calibri"/>
                <w:iCs/>
              </w:rPr>
              <w:t>FY 20</w:t>
            </w:r>
            <w:r w:rsidR="00634A58" w:rsidRPr="00FB7D2C">
              <w:rPr>
                <w:rFonts w:cs="Calibri"/>
                <w:iCs/>
              </w:rPr>
              <w:t>24</w:t>
            </w:r>
            <w:r w:rsidRPr="00FB7D2C">
              <w:rPr>
                <w:rFonts w:cs="Calibri"/>
                <w:iCs/>
              </w:rPr>
              <w:t>-OB-01</w:t>
            </w:r>
          </w:p>
          <w:p w14:paraId="7834860F" w14:textId="77777777" w:rsidR="00701048" w:rsidRPr="00FB7D2C" w:rsidRDefault="00701048" w:rsidP="00701048">
            <w:pPr>
              <w:widowControl/>
              <w:autoSpaceDE/>
              <w:autoSpaceDN/>
              <w:adjustRightInd/>
              <w:rPr>
                <w:rFonts w:cs="Calibri"/>
                <w:iCs/>
              </w:rPr>
            </w:pPr>
          </w:p>
        </w:tc>
        <w:tc>
          <w:tcPr>
            <w:tcW w:w="2070" w:type="dxa"/>
          </w:tcPr>
          <w:p w14:paraId="219CE147" w14:textId="77777777" w:rsidR="00701048" w:rsidRPr="00FB7D2C" w:rsidRDefault="00701048" w:rsidP="00701048">
            <w:pPr>
              <w:rPr>
                <w:rFonts w:cs="Calibri"/>
                <w:iCs/>
              </w:rPr>
            </w:pPr>
            <w:r w:rsidRPr="00FB7D2C">
              <w:rPr>
                <w:rFonts w:cs="Calibri"/>
                <w:iCs/>
              </w:rPr>
              <w:t>FY 2023-OB-01</w:t>
            </w:r>
          </w:p>
          <w:p w14:paraId="1207E4E3" w14:textId="77777777" w:rsidR="00701048" w:rsidRPr="00FB7D2C" w:rsidRDefault="00701048" w:rsidP="00701048">
            <w:pPr>
              <w:widowControl/>
              <w:autoSpaceDE/>
              <w:autoSpaceDN/>
              <w:adjustRightInd/>
              <w:rPr>
                <w:rFonts w:cs="Calibri"/>
                <w:iCs/>
              </w:rPr>
            </w:pPr>
          </w:p>
        </w:tc>
        <w:tc>
          <w:tcPr>
            <w:tcW w:w="4049" w:type="dxa"/>
          </w:tcPr>
          <w:p w14:paraId="53E4A09F" w14:textId="1A101518" w:rsidR="00701048" w:rsidRPr="00FB7D2C" w:rsidRDefault="00701048" w:rsidP="00701048">
            <w:pPr>
              <w:widowControl/>
              <w:autoSpaceDE/>
              <w:autoSpaceDN/>
              <w:adjustRightInd/>
              <w:rPr>
                <w:rFonts w:cs="Calibri"/>
                <w:iCs/>
              </w:rPr>
            </w:pPr>
            <w:r w:rsidRPr="00FB7D2C">
              <w:t>The Illinois State Plan’s number of planned vs actual inspections (safety) (SAMM 7a) is below the further review level of 380 safety inspections.  The Illinois State Plan conducted 2</w:t>
            </w:r>
            <w:r w:rsidR="000D0C65" w:rsidRPr="00FB7D2C">
              <w:t>83</w:t>
            </w:r>
            <w:r w:rsidRPr="00FB7D2C">
              <w:t xml:space="preserve"> safety inspections (</w:t>
            </w:r>
            <w:r w:rsidR="004118E9" w:rsidRPr="00FB7D2C">
              <w:t>71</w:t>
            </w:r>
            <w:r w:rsidRPr="00FB7D2C">
              <w:t>%) of the 400 planned safety inspections.</w:t>
            </w:r>
          </w:p>
        </w:tc>
        <w:tc>
          <w:tcPr>
            <w:tcW w:w="2630" w:type="dxa"/>
          </w:tcPr>
          <w:p w14:paraId="04F2CA88" w14:textId="2A7679A1" w:rsidR="00701048" w:rsidRPr="00FB7D2C" w:rsidRDefault="00701048" w:rsidP="00701048">
            <w:pPr>
              <w:widowControl/>
              <w:autoSpaceDE/>
              <w:autoSpaceDN/>
              <w:adjustRightInd/>
              <w:rPr>
                <w:rFonts w:cs="Calibri"/>
                <w:iCs/>
              </w:rPr>
            </w:pPr>
            <w:r w:rsidRPr="00FB7D2C">
              <w:t>OSHA will discuss and evaluate Illinois OSHA’s inspection strategies and progress during quarterly monitoring meetings.</w:t>
            </w:r>
          </w:p>
        </w:tc>
        <w:tc>
          <w:tcPr>
            <w:tcW w:w="2316" w:type="dxa"/>
          </w:tcPr>
          <w:p w14:paraId="79E4394D" w14:textId="69407FCD" w:rsidR="00701048" w:rsidRPr="00FB7D2C" w:rsidRDefault="00701048" w:rsidP="00701048">
            <w:pPr>
              <w:widowControl/>
              <w:autoSpaceDE/>
              <w:autoSpaceDN/>
              <w:adjustRightInd/>
              <w:rPr>
                <w:rFonts w:cs="Calibri"/>
                <w:iCs/>
              </w:rPr>
            </w:pPr>
            <w:r w:rsidRPr="00FB7D2C">
              <w:rPr>
                <w:rFonts w:cs="Calibri"/>
                <w:iCs/>
              </w:rPr>
              <w:t>Continued</w:t>
            </w:r>
          </w:p>
        </w:tc>
      </w:tr>
      <w:tr w:rsidR="00FB7D2C" w:rsidRPr="00FB7D2C" w14:paraId="414575F4" w14:textId="437735BC" w:rsidTr="006E2382">
        <w:trPr>
          <w:cantSplit/>
        </w:trPr>
        <w:tc>
          <w:tcPr>
            <w:tcW w:w="1885" w:type="dxa"/>
          </w:tcPr>
          <w:p w14:paraId="6EF9BE70" w14:textId="488BBD28" w:rsidR="00A22CBF" w:rsidRPr="00FB7D2C" w:rsidRDefault="00A22CBF" w:rsidP="00A22CBF">
            <w:pPr>
              <w:widowControl/>
              <w:autoSpaceDE/>
              <w:autoSpaceDN/>
              <w:adjustRightInd/>
              <w:rPr>
                <w:rFonts w:cs="Calibri"/>
                <w:iCs/>
              </w:rPr>
            </w:pPr>
            <w:r w:rsidRPr="00FB7D2C">
              <w:rPr>
                <w:rFonts w:cs="Calibri"/>
                <w:iCs/>
              </w:rPr>
              <w:t>FY 20</w:t>
            </w:r>
            <w:r w:rsidR="00634A58" w:rsidRPr="00FB7D2C">
              <w:rPr>
                <w:rFonts w:cs="Calibri"/>
                <w:iCs/>
              </w:rPr>
              <w:t>24</w:t>
            </w:r>
            <w:r w:rsidRPr="00FB7D2C">
              <w:rPr>
                <w:rFonts w:cs="Calibri"/>
                <w:iCs/>
              </w:rPr>
              <w:t>-OB-03</w:t>
            </w:r>
          </w:p>
          <w:p w14:paraId="38E1B745" w14:textId="77777777" w:rsidR="00A22CBF" w:rsidRPr="00FB7D2C" w:rsidRDefault="00A22CBF" w:rsidP="00A22CBF">
            <w:pPr>
              <w:widowControl/>
              <w:autoSpaceDE/>
              <w:autoSpaceDN/>
              <w:adjustRightInd/>
              <w:rPr>
                <w:rFonts w:cs="Calibri"/>
                <w:iCs/>
              </w:rPr>
            </w:pPr>
          </w:p>
        </w:tc>
        <w:tc>
          <w:tcPr>
            <w:tcW w:w="2070" w:type="dxa"/>
          </w:tcPr>
          <w:p w14:paraId="0A5281E9" w14:textId="77777777" w:rsidR="00A22CBF" w:rsidRPr="00FB7D2C" w:rsidRDefault="00A22CBF" w:rsidP="00A22CBF">
            <w:pPr>
              <w:widowControl/>
              <w:autoSpaceDE/>
              <w:autoSpaceDN/>
              <w:adjustRightInd/>
              <w:rPr>
                <w:rFonts w:cs="Calibri"/>
                <w:iCs/>
              </w:rPr>
            </w:pPr>
            <w:r w:rsidRPr="00FB7D2C">
              <w:rPr>
                <w:rFonts w:cs="Calibri"/>
                <w:iCs/>
              </w:rPr>
              <w:t>FY 2023-OB-02</w:t>
            </w:r>
          </w:p>
          <w:p w14:paraId="1A4E7DD2" w14:textId="77777777" w:rsidR="00A22CBF" w:rsidRPr="00FB7D2C" w:rsidRDefault="00A22CBF" w:rsidP="00A22CBF">
            <w:pPr>
              <w:widowControl/>
              <w:autoSpaceDE/>
              <w:autoSpaceDN/>
              <w:adjustRightInd/>
              <w:rPr>
                <w:rFonts w:cs="Calibri"/>
                <w:iCs/>
              </w:rPr>
            </w:pPr>
          </w:p>
          <w:p w14:paraId="4640B74B" w14:textId="4472FCA1" w:rsidR="00A22CBF" w:rsidRPr="00FB7D2C" w:rsidRDefault="00A22CBF" w:rsidP="00A22CBF">
            <w:pPr>
              <w:widowControl/>
              <w:autoSpaceDE/>
              <w:autoSpaceDN/>
              <w:adjustRightInd/>
              <w:rPr>
                <w:rFonts w:cs="Calibri"/>
                <w:iCs/>
              </w:rPr>
            </w:pPr>
          </w:p>
        </w:tc>
        <w:tc>
          <w:tcPr>
            <w:tcW w:w="4049" w:type="dxa"/>
          </w:tcPr>
          <w:p w14:paraId="3BC4A14C" w14:textId="26FAD7EB" w:rsidR="00A22CBF" w:rsidRPr="00FB7D2C" w:rsidRDefault="00621A27" w:rsidP="00A22CBF">
            <w:pPr>
              <w:widowControl/>
              <w:autoSpaceDE/>
              <w:autoSpaceDN/>
              <w:adjustRightInd/>
              <w:rPr>
                <w:rFonts w:cs="Calibri"/>
                <w:iCs/>
              </w:rPr>
            </w:pPr>
            <w:r>
              <w:t xml:space="preserve">In FY 2024, 15 </w:t>
            </w:r>
            <w:r w:rsidR="00A22CBF" w:rsidRPr="00FB7D2C">
              <w:t>of the 50 (30%) files reviewed, employee interviews were not thoroughly documented as required by Chapter 3-7. C.2 of the Illinois FOM.</w:t>
            </w:r>
          </w:p>
        </w:tc>
        <w:tc>
          <w:tcPr>
            <w:tcW w:w="2630" w:type="dxa"/>
          </w:tcPr>
          <w:p w14:paraId="016CAD6A" w14:textId="3D5CFFEC" w:rsidR="00A22CBF" w:rsidRPr="00FB7D2C" w:rsidRDefault="00A22CBF" w:rsidP="00A22CBF">
            <w:pPr>
              <w:widowControl/>
              <w:autoSpaceDE/>
              <w:autoSpaceDN/>
              <w:adjustRightInd/>
              <w:rPr>
                <w:rFonts w:cs="Calibri"/>
                <w:iCs/>
              </w:rPr>
            </w:pPr>
            <w:r w:rsidRPr="00FB7D2C">
              <w:t>In FY 202</w:t>
            </w:r>
            <w:r w:rsidR="0051260B" w:rsidRPr="00FB7D2C">
              <w:t>5</w:t>
            </w:r>
            <w:r w:rsidRPr="00FB7D2C">
              <w:t>, a limited number of case files will be selected randomly and reviewed to determine if this item was addressed.</w:t>
            </w:r>
          </w:p>
        </w:tc>
        <w:tc>
          <w:tcPr>
            <w:tcW w:w="2316" w:type="dxa"/>
          </w:tcPr>
          <w:p w14:paraId="4F554364" w14:textId="4787711E" w:rsidR="00A22CBF" w:rsidRPr="00FB7D2C" w:rsidRDefault="00634A58" w:rsidP="00A22CBF">
            <w:pPr>
              <w:widowControl/>
              <w:autoSpaceDE/>
              <w:autoSpaceDN/>
              <w:adjustRightInd/>
              <w:rPr>
                <w:rFonts w:cs="Calibri"/>
                <w:iCs/>
              </w:rPr>
            </w:pPr>
            <w:r w:rsidRPr="00FB7D2C">
              <w:rPr>
                <w:rFonts w:cs="Calibri"/>
                <w:iCs/>
              </w:rPr>
              <w:t>Continued</w:t>
            </w:r>
          </w:p>
        </w:tc>
      </w:tr>
      <w:tr w:rsidR="00FB7D2C" w:rsidRPr="00FB7D2C" w14:paraId="2CC646DF" w14:textId="77777777" w:rsidTr="006E2382">
        <w:trPr>
          <w:cantSplit/>
        </w:trPr>
        <w:tc>
          <w:tcPr>
            <w:tcW w:w="1885" w:type="dxa"/>
          </w:tcPr>
          <w:p w14:paraId="3599565A" w14:textId="79926087" w:rsidR="00970ABB" w:rsidRPr="00FB7D2C" w:rsidRDefault="00970ABB" w:rsidP="00970ABB">
            <w:pPr>
              <w:widowControl/>
              <w:autoSpaceDE/>
              <w:autoSpaceDN/>
              <w:adjustRightInd/>
              <w:rPr>
                <w:rFonts w:cs="Calibri"/>
                <w:iCs/>
              </w:rPr>
            </w:pPr>
          </w:p>
        </w:tc>
        <w:tc>
          <w:tcPr>
            <w:tcW w:w="2070" w:type="dxa"/>
          </w:tcPr>
          <w:p w14:paraId="569280E7" w14:textId="68194BF1" w:rsidR="00970ABB" w:rsidRPr="00FB7D2C" w:rsidRDefault="00970ABB" w:rsidP="00970ABB">
            <w:pPr>
              <w:widowControl/>
              <w:autoSpaceDE/>
              <w:autoSpaceDN/>
              <w:adjustRightInd/>
              <w:rPr>
                <w:rFonts w:cs="Calibri"/>
                <w:iCs/>
              </w:rPr>
            </w:pPr>
            <w:r w:rsidRPr="00FB7D2C">
              <w:rPr>
                <w:rFonts w:cs="Calibri"/>
                <w:iCs/>
              </w:rPr>
              <w:t>FY 2023-OB-03</w:t>
            </w:r>
          </w:p>
        </w:tc>
        <w:tc>
          <w:tcPr>
            <w:tcW w:w="4049" w:type="dxa"/>
          </w:tcPr>
          <w:p w14:paraId="4D67FF53" w14:textId="33B03382" w:rsidR="00970ABB" w:rsidRPr="00FB7D2C" w:rsidRDefault="00970ABB" w:rsidP="00970ABB">
            <w:pPr>
              <w:widowControl/>
              <w:autoSpaceDE/>
              <w:autoSpaceDN/>
              <w:adjustRightInd/>
              <w:rPr>
                <w:rFonts w:cs="Calibri"/>
                <w:iCs/>
              </w:rPr>
            </w:pPr>
            <w:r w:rsidRPr="00FB7D2C">
              <w:t>The Illinois State Plan currently has three pending docketed whistleblower cases and one pending whistleblower intake with 1,526 average days pending.</w:t>
            </w:r>
          </w:p>
        </w:tc>
        <w:tc>
          <w:tcPr>
            <w:tcW w:w="2630" w:type="dxa"/>
          </w:tcPr>
          <w:p w14:paraId="29BAF217" w14:textId="7F8E10FA" w:rsidR="00970ABB" w:rsidRPr="00FB7D2C" w:rsidRDefault="00970ABB" w:rsidP="00970ABB">
            <w:pPr>
              <w:widowControl/>
              <w:autoSpaceDE/>
              <w:autoSpaceDN/>
              <w:adjustRightInd/>
              <w:rPr>
                <w:rFonts w:cs="Calibri"/>
                <w:iCs/>
              </w:rPr>
            </w:pPr>
          </w:p>
        </w:tc>
        <w:tc>
          <w:tcPr>
            <w:tcW w:w="2316" w:type="dxa"/>
          </w:tcPr>
          <w:p w14:paraId="03E61528" w14:textId="7B45B3BA" w:rsidR="00970ABB" w:rsidRPr="00FB7D2C" w:rsidRDefault="00E7270B" w:rsidP="00970ABB">
            <w:pPr>
              <w:widowControl/>
              <w:autoSpaceDE/>
              <w:autoSpaceDN/>
              <w:adjustRightInd/>
              <w:rPr>
                <w:rFonts w:cs="Calibri"/>
                <w:iCs/>
              </w:rPr>
            </w:pPr>
            <w:r>
              <w:rPr>
                <w:rFonts w:cs="Calibri"/>
                <w:iCs/>
              </w:rPr>
              <w:t>Closed</w:t>
            </w:r>
          </w:p>
        </w:tc>
      </w:tr>
    </w:tbl>
    <w:p w14:paraId="2352A70A" w14:textId="7478DFBA" w:rsidR="00E759AB" w:rsidRPr="001C1E47" w:rsidRDefault="00E759AB" w:rsidP="007A71AC">
      <w:pPr>
        <w:widowControl/>
        <w:autoSpaceDE/>
        <w:autoSpaceDN/>
        <w:adjustRightInd/>
        <w:rPr>
          <w:rFonts w:cs="Calibri"/>
          <w:i/>
          <w:sz w:val="22"/>
          <w:szCs w:val="22"/>
        </w:rPr>
      </w:pPr>
    </w:p>
    <w:p w14:paraId="3912394D" w14:textId="77777777" w:rsidR="000A134A" w:rsidRDefault="000A134A" w:rsidP="007A71AC">
      <w:pPr>
        <w:widowControl/>
        <w:autoSpaceDE/>
        <w:autoSpaceDN/>
        <w:adjustRightInd/>
        <w:rPr>
          <w:rFonts w:cs="Calibri"/>
          <w:i/>
          <w:sz w:val="22"/>
          <w:szCs w:val="22"/>
        </w:rPr>
      </w:pPr>
    </w:p>
    <w:p w14:paraId="183EDE01" w14:textId="1675A6FA" w:rsidR="00892D3A" w:rsidRDefault="00892D3A" w:rsidP="00996CB7">
      <w:pPr>
        <w:tabs>
          <w:tab w:val="left" w:pos="6980"/>
        </w:tabs>
        <w:rPr>
          <w:rFonts w:cs="Calibri"/>
          <w:i/>
          <w:sz w:val="22"/>
          <w:szCs w:val="22"/>
        </w:rPr>
      </w:pPr>
      <w:r>
        <w:rPr>
          <w:rFonts w:cs="Calibri"/>
          <w:i/>
          <w:sz w:val="22"/>
          <w:szCs w:val="22"/>
        </w:rPr>
        <w:tab/>
      </w:r>
    </w:p>
    <w:p w14:paraId="5966FA9F" w14:textId="448AA8AC" w:rsidR="0065591D" w:rsidRPr="00996CB7" w:rsidRDefault="00892D3A" w:rsidP="00996CB7">
      <w:pPr>
        <w:tabs>
          <w:tab w:val="left" w:pos="6980"/>
        </w:tabs>
        <w:rPr>
          <w:rFonts w:cs="Calibri"/>
          <w:sz w:val="22"/>
          <w:szCs w:val="22"/>
        </w:rPr>
        <w:sectPr w:rsidR="0065591D" w:rsidRPr="00996CB7" w:rsidSect="00476C08">
          <w:headerReference w:type="first" r:id="rId20"/>
          <w:footerReference w:type="first" r:id="rId21"/>
          <w:type w:val="continuous"/>
          <w:pgSz w:w="15840" w:h="12240" w:orient="landscape"/>
          <w:pgMar w:top="1440" w:right="1440" w:bottom="1440" w:left="1440" w:header="720" w:footer="720" w:gutter="0"/>
          <w:cols w:space="720"/>
          <w:titlePg/>
          <w:docGrid w:linePitch="360"/>
        </w:sectPr>
      </w:pPr>
      <w:r>
        <w:rPr>
          <w:rFonts w:cs="Calibri"/>
          <w:sz w:val="22"/>
          <w:szCs w:val="22"/>
        </w:rPr>
        <w:tab/>
      </w:r>
    </w:p>
    <w:p w14:paraId="01176981" w14:textId="516487C4" w:rsidR="00747710" w:rsidRDefault="00747710" w:rsidP="00C453C1">
      <w:pPr>
        <w:pStyle w:val="Heading3"/>
        <w:numPr>
          <w:ilvl w:val="0"/>
          <w:numId w:val="0"/>
        </w:numPr>
      </w:pPr>
      <w:bookmarkStart w:id="29" w:name="_Toc118905019"/>
      <w:bookmarkStart w:id="30" w:name="_Toc119418671"/>
      <w:r w:rsidRPr="00747710">
        <w:lastRenderedPageBreak/>
        <w:t>Appendix C - Status of FY 20</w:t>
      </w:r>
      <w:r w:rsidR="00CE1221">
        <w:t>23</w:t>
      </w:r>
      <w:r w:rsidRPr="00747710">
        <w:t xml:space="preserve"> Findings and Recommendations</w:t>
      </w:r>
      <w:bookmarkEnd w:id="29"/>
      <w:bookmarkEnd w:id="30"/>
    </w:p>
    <w:p w14:paraId="3D850E81" w14:textId="11A1A139" w:rsidR="00747710" w:rsidRDefault="00747710" w:rsidP="005367D5">
      <w:r w:rsidRPr="00FE778F">
        <w:t>FY 20</w:t>
      </w:r>
      <w:r w:rsidR="00CE1221" w:rsidRPr="00FE778F">
        <w:t>24</w:t>
      </w:r>
      <w:r w:rsidRPr="00FE778F">
        <w:t xml:space="preserve"> </w:t>
      </w:r>
      <w:r w:rsidR="00CE1221" w:rsidRPr="00FE778F">
        <w:t>Illinois OSHA</w:t>
      </w:r>
      <w:r w:rsidRPr="00FE778F">
        <w:t xml:space="preserve"> Follow-up FAME Report</w:t>
      </w:r>
    </w:p>
    <w:p w14:paraId="7EC031CC" w14:textId="77777777" w:rsidR="00DA10D5" w:rsidRPr="00FE778F" w:rsidRDefault="00DA10D5" w:rsidP="005367D5"/>
    <w:p w14:paraId="45E6B5CB" w14:textId="3ED906A9" w:rsidR="005367D5" w:rsidRDefault="005367D5" w:rsidP="007A71AC">
      <w:pPr>
        <w:widowControl/>
        <w:autoSpaceDE/>
        <w:autoSpaceDN/>
        <w:adjustRightInd/>
        <w:rPr>
          <w:rFonts w:cs="Calibri"/>
          <w:iCs/>
        </w:rPr>
      </w:pPr>
    </w:p>
    <w:tbl>
      <w:tblPr>
        <w:tblStyle w:val="TableGridLight"/>
        <w:tblpPr w:leftFromText="187" w:rightFromText="187" w:vertAnchor="text" w:horzAnchor="page" w:tblpX="1196" w:tblpY="1"/>
        <w:tblW w:w="13135" w:type="dxa"/>
        <w:tblLayout w:type="fixed"/>
        <w:tblLook w:val="00A0" w:firstRow="1" w:lastRow="0" w:firstColumn="1" w:lastColumn="0" w:noHBand="0" w:noVBand="0"/>
      </w:tblPr>
      <w:tblGrid>
        <w:gridCol w:w="1435"/>
        <w:gridCol w:w="1890"/>
        <w:gridCol w:w="2160"/>
        <w:gridCol w:w="3240"/>
        <w:gridCol w:w="1710"/>
        <w:gridCol w:w="2700"/>
      </w:tblGrid>
      <w:tr w:rsidR="00FE778F" w:rsidRPr="00FE778F" w14:paraId="04152CB8" w14:textId="77777777" w:rsidTr="005C56D9">
        <w:trPr>
          <w:trHeight w:val="412"/>
        </w:trPr>
        <w:tc>
          <w:tcPr>
            <w:tcW w:w="1435" w:type="dxa"/>
          </w:tcPr>
          <w:p w14:paraId="0FAB4AA2" w14:textId="22CFC29C" w:rsidR="005367D5" w:rsidRPr="00FE778F" w:rsidRDefault="005367D5" w:rsidP="005C56D9">
            <w:pPr>
              <w:rPr>
                <w:rFonts w:cs="Calibri"/>
                <w:b/>
              </w:rPr>
            </w:pPr>
            <w:r w:rsidRPr="00FE778F">
              <w:rPr>
                <w:rFonts w:cs="Calibri"/>
                <w:b/>
              </w:rPr>
              <w:t>FY 20</w:t>
            </w:r>
            <w:r w:rsidR="00383997" w:rsidRPr="00FE778F">
              <w:rPr>
                <w:rFonts w:cs="Calibri"/>
                <w:b/>
              </w:rPr>
              <w:t>23</w:t>
            </w:r>
            <w:r w:rsidRPr="00FE778F">
              <w:rPr>
                <w:rFonts w:cs="Calibri"/>
                <w:b/>
              </w:rPr>
              <w:t>-#</w:t>
            </w:r>
          </w:p>
        </w:tc>
        <w:tc>
          <w:tcPr>
            <w:tcW w:w="1890" w:type="dxa"/>
          </w:tcPr>
          <w:p w14:paraId="395AE41F" w14:textId="77777777" w:rsidR="005367D5" w:rsidRPr="00FE778F" w:rsidRDefault="005367D5" w:rsidP="005C56D9">
            <w:pPr>
              <w:rPr>
                <w:rFonts w:cs="Calibri"/>
                <w:b/>
              </w:rPr>
            </w:pPr>
            <w:r w:rsidRPr="00FE778F">
              <w:rPr>
                <w:rFonts w:cs="Calibri"/>
                <w:b/>
              </w:rPr>
              <w:t>Finding</w:t>
            </w:r>
          </w:p>
        </w:tc>
        <w:tc>
          <w:tcPr>
            <w:tcW w:w="2160" w:type="dxa"/>
          </w:tcPr>
          <w:p w14:paraId="6EEE46BC" w14:textId="77777777" w:rsidR="005367D5" w:rsidRPr="00FE778F" w:rsidRDefault="005367D5" w:rsidP="005C56D9">
            <w:pPr>
              <w:rPr>
                <w:rFonts w:cs="Calibri"/>
                <w:b/>
              </w:rPr>
            </w:pPr>
            <w:r w:rsidRPr="00FE778F">
              <w:rPr>
                <w:rFonts w:cs="Calibri"/>
                <w:b/>
              </w:rPr>
              <w:t>Recommendation</w:t>
            </w:r>
          </w:p>
        </w:tc>
        <w:tc>
          <w:tcPr>
            <w:tcW w:w="3240" w:type="dxa"/>
          </w:tcPr>
          <w:p w14:paraId="461C9375" w14:textId="77777777" w:rsidR="005367D5" w:rsidRPr="00FE778F" w:rsidRDefault="005367D5" w:rsidP="005C56D9">
            <w:pPr>
              <w:rPr>
                <w:rFonts w:cs="Calibri"/>
                <w:b/>
              </w:rPr>
            </w:pPr>
            <w:r w:rsidRPr="00FE778F">
              <w:rPr>
                <w:rFonts w:cs="Calibri"/>
                <w:b/>
              </w:rPr>
              <w:t>State Plan Corrective Action</w:t>
            </w:r>
          </w:p>
        </w:tc>
        <w:tc>
          <w:tcPr>
            <w:tcW w:w="1710" w:type="dxa"/>
          </w:tcPr>
          <w:p w14:paraId="5151BE67" w14:textId="77777777" w:rsidR="005367D5" w:rsidRPr="00FE778F" w:rsidRDefault="005367D5" w:rsidP="005C56D9">
            <w:pPr>
              <w:rPr>
                <w:rFonts w:cs="Calibri"/>
                <w:b/>
              </w:rPr>
            </w:pPr>
            <w:r w:rsidRPr="00FE778F">
              <w:rPr>
                <w:rFonts w:cs="Calibri"/>
                <w:b/>
              </w:rPr>
              <w:t>Completion Date</w:t>
            </w:r>
          </w:p>
        </w:tc>
        <w:tc>
          <w:tcPr>
            <w:tcW w:w="2700" w:type="dxa"/>
          </w:tcPr>
          <w:p w14:paraId="48025986" w14:textId="77777777" w:rsidR="005367D5" w:rsidRPr="00FE778F" w:rsidRDefault="005367D5" w:rsidP="005C56D9">
            <w:pPr>
              <w:rPr>
                <w:rFonts w:cs="Calibri"/>
                <w:b/>
              </w:rPr>
            </w:pPr>
            <w:r w:rsidRPr="00FE778F">
              <w:rPr>
                <w:rFonts w:cs="Calibri"/>
                <w:b/>
              </w:rPr>
              <w:t xml:space="preserve">Current Status </w:t>
            </w:r>
          </w:p>
          <w:p w14:paraId="1D3136EF" w14:textId="77777777" w:rsidR="005367D5" w:rsidRPr="00FE778F" w:rsidRDefault="005367D5" w:rsidP="005C56D9">
            <w:pPr>
              <w:rPr>
                <w:rFonts w:cs="Calibri"/>
                <w:b/>
              </w:rPr>
            </w:pPr>
            <w:r w:rsidRPr="00FE778F">
              <w:rPr>
                <w:rFonts w:cs="Calibri"/>
                <w:b/>
              </w:rPr>
              <w:t>and Date</w:t>
            </w:r>
          </w:p>
        </w:tc>
      </w:tr>
      <w:tr w:rsidR="00FE778F" w:rsidRPr="00FE778F" w14:paraId="7244A508" w14:textId="77777777" w:rsidTr="005C56D9">
        <w:trPr>
          <w:trHeight w:val="412"/>
        </w:trPr>
        <w:tc>
          <w:tcPr>
            <w:tcW w:w="1435" w:type="dxa"/>
          </w:tcPr>
          <w:p w14:paraId="3B6143AB" w14:textId="77777777" w:rsidR="005367D5" w:rsidRPr="00FE778F" w:rsidRDefault="005367D5" w:rsidP="005C56D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bCs/>
              </w:rPr>
            </w:pPr>
            <w:r w:rsidRPr="00FE778F">
              <w:rPr>
                <w:rFonts w:eastAsia="PMingLiU" w:cs="Calibri"/>
                <w:b/>
                <w:bCs/>
              </w:rPr>
              <w:t> </w:t>
            </w:r>
          </w:p>
        </w:tc>
        <w:tc>
          <w:tcPr>
            <w:tcW w:w="1890" w:type="dxa"/>
          </w:tcPr>
          <w:p w14:paraId="1D6DD323" w14:textId="55380C47" w:rsidR="005367D5" w:rsidRPr="00FE778F" w:rsidRDefault="005367D5" w:rsidP="005C56D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sidRPr="00FE778F">
              <w:rPr>
                <w:rFonts w:eastAsia="PMingLiU" w:cs="Calibri"/>
                <w:bCs/>
              </w:rPr>
              <w:t> </w:t>
            </w:r>
            <w:r w:rsidR="00383997" w:rsidRPr="00FE778F">
              <w:rPr>
                <w:rFonts w:eastAsia="PMingLiU" w:cs="Calibri"/>
                <w:bCs/>
              </w:rPr>
              <w:t>None</w:t>
            </w:r>
          </w:p>
        </w:tc>
        <w:tc>
          <w:tcPr>
            <w:tcW w:w="2160" w:type="dxa"/>
          </w:tcPr>
          <w:p w14:paraId="19499B4B" w14:textId="77777777" w:rsidR="005367D5" w:rsidRPr="00FE778F" w:rsidRDefault="005367D5" w:rsidP="005C56D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r w:rsidRPr="00FE778F">
              <w:rPr>
                <w:rFonts w:eastAsia="PMingLiU" w:cs="Calibri"/>
                <w:b/>
              </w:rPr>
              <w:t> </w:t>
            </w:r>
          </w:p>
        </w:tc>
        <w:tc>
          <w:tcPr>
            <w:tcW w:w="3240" w:type="dxa"/>
          </w:tcPr>
          <w:p w14:paraId="37D73ADA" w14:textId="77777777" w:rsidR="005367D5" w:rsidRPr="00FE778F" w:rsidRDefault="005367D5" w:rsidP="005C56D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r w:rsidRPr="00FE778F">
              <w:rPr>
                <w:rFonts w:eastAsia="PMingLiU" w:cs="Calibri"/>
                <w:b/>
              </w:rPr>
              <w:t> </w:t>
            </w:r>
          </w:p>
        </w:tc>
        <w:tc>
          <w:tcPr>
            <w:tcW w:w="1710" w:type="dxa"/>
          </w:tcPr>
          <w:p w14:paraId="56F99649" w14:textId="77777777" w:rsidR="005367D5" w:rsidRPr="00FE778F" w:rsidRDefault="005367D5" w:rsidP="005C56D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r w:rsidRPr="00FE778F">
              <w:rPr>
                <w:rFonts w:eastAsia="PMingLiU" w:cs="Calibri"/>
                <w:b/>
              </w:rPr>
              <w:t> </w:t>
            </w:r>
          </w:p>
        </w:tc>
        <w:tc>
          <w:tcPr>
            <w:tcW w:w="2700" w:type="dxa"/>
          </w:tcPr>
          <w:p w14:paraId="4007473C" w14:textId="77777777" w:rsidR="005367D5" w:rsidRPr="00FE778F" w:rsidRDefault="005367D5" w:rsidP="005C56D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r w:rsidRPr="00FE778F">
              <w:rPr>
                <w:rFonts w:eastAsia="PMingLiU" w:cs="Calibri"/>
                <w:b/>
              </w:rPr>
              <w:t> </w:t>
            </w:r>
          </w:p>
        </w:tc>
      </w:tr>
    </w:tbl>
    <w:p w14:paraId="5A163C8E" w14:textId="589DD26F" w:rsidR="000A134A" w:rsidRPr="008164E8" w:rsidRDefault="000A134A" w:rsidP="008164E8">
      <w:pPr>
        <w:widowControl/>
        <w:tabs>
          <w:tab w:val="left" w:pos="630"/>
        </w:tabs>
        <w:autoSpaceDE/>
        <w:autoSpaceDN/>
        <w:adjustRightInd/>
        <w:ind w:left="720" w:hanging="360"/>
        <w:rPr>
          <w:rFonts w:cs="Calibri"/>
          <w:iCs/>
          <w:color w:val="0070C0"/>
        </w:rPr>
        <w:sectPr w:rsidR="000A134A" w:rsidRPr="008164E8" w:rsidSect="00476C08">
          <w:headerReference w:type="default" r:id="rId22"/>
          <w:headerReference w:type="first" r:id="rId23"/>
          <w:footerReference w:type="first" r:id="rId24"/>
          <w:pgSz w:w="15840" w:h="12240" w:orient="landscape"/>
          <w:pgMar w:top="1440" w:right="1440" w:bottom="1440" w:left="1440" w:header="630" w:footer="720" w:gutter="0"/>
          <w:cols w:space="720"/>
          <w:titlePg/>
          <w:docGrid w:linePitch="360"/>
        </w:sectPr>
      </w:pPr>
    </w:p>
    <w:p w14:paraId="1B0B407C" w14:textId="5EEA165A" w:rsidR="00690C0D" w:rsidRPr="00D93CB3" w:rsidRDefault="00690C0D" w:rsidP="00C453C1">
      <w:pPr>
        <w:pStyle w:val="Heading3"/>
        <w:numPr>
          <w:ilvl w:val="0"/>
          <w:numId w:val="0"/>
        </w:numPr>
        <w:rPr>
          <w:color w:val="0070C0"/>
        </w:rPr>
      </w:pPr>
      <w:bookmarkStart w:id="31" w:name="_Toc119418672"/>
      <w:r w:rsidRPr="008E4054">
        <w:lastRenderedPageBreak/>
        <w:t xml:space="preserve">Appendix D – </w:t>
      </w:r>
      <w:bookmarkStart w:id="32" w:name="_Hlk119349018"/>
      <w:r w:rsidRPr="008E4054">
        <w:t>FY 20</w:t>
      </w:r>
      <w:r w:rsidR="00652607">
        <w:t>24</w:t>
      </w:r>
      <w:r w:rsidRPr="008E4054">
        <w:t xml:space="preserve"> State Activity Mandated Measures (SAMM) Report</w:t>
      </w:r>
      <w:bookmarkEnd w:id="31"/>
      <w:bookmarkEnd w:id="32"/>
    </w:p>
    <w:p w14:paraId="19B594E3" w14:textId="3DC9CCFD" w:rsidR="00690C0D" w:rsidRPr="00BC34A4" w:rsidRDefault="00690C0D" w:rsidP="00476C08">
      <w:pPr>
        <w:pStyle w:val="Header"/>
      </w:pPr>
      <w:r w:rsidRPr="00BC34A4">
        <w:t>FY 20</w:t>
      </w:r>
      <w:r w:rsidR="00652607" w:rsidRPr="00BC34A4">
        <w:t>24</w:t>
      </w:r>
      <w:r w:rsidRPr="00BC34A4">
        <w:t xml:space="preserve"> </w:t>
      </w:r>
      <w:r w:rsidR="00652607" w:rsidRPr="00BC34A4">
        <w:t xml:space="preserve">Illinois OSHA </w:t>
      </w:r>
      <w:r w:rsidRPr="00BC34A4">
        <w:t>Follow-up FAME Report</w:t>
      </w:r>
    </w:p>
    <w:p w14:paraId="221DF49F" w14:textId="77777777" w:rsidR="000A134A" w:rsidRPr="001C1E47" w:rsidRDefault="000A134A" w:rsidP="007A71AC">
      <w:pPr>
        <w:widowControl/>
        <w:autoSpaceDE/>
        <w:autoSpaceDN/>
        <w:adjustRightInd/>
        <w:rPr>
          <w:rFonts w:cs="Calibri"/>
          <w:b/>
          <w:color w:val="1F497D"/>
          <w:sz w:val="28"/>
          <w:szCs w:val="28"/>
        </w:rPr>
      </w:pPr>
    </w:p>
    <w:tbl>
      <w:tblPr>
        <w:tblStyle w:val="GridTable4"/>
        <w:tblW w:w="10350" w:type="dxa"/>
        <w:tblInd w:w="-365" w:type="dxa"/>
        <w:tblLook w:val="06A0" w:firstRow="1" w:lastRow="0" w:firstColumn="1" w:lastColumn="0" w:noHBand="1" w:noVBand="1"/>
        <w:tblCaption w:val="FY 20XX SAMM Report"/>
        <w:tblDescription w:val="Appendix D"/>
      </w:tblPr>
      <w:tblGrid>
        <w:gridCol w:w="1034"/>
        <w:gridCol w:w="2206"/>
        <w:gridCol w:w="1289"/>
        <w:gridCol w:w="1307"/>
        <w:gridCol w:w="4514"/>
      </w:tblGrid>
      <w:tr w:rsidR="00634539" w:rsidRPr="00D62446" w14:paraId="4B607DC1" w14:textId="77777777" w:rsidTr="00747ED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hemeColor="text1"/>
            </w:tcBorders>
            <w:shd w:val="clear" w:color="auto" w:fill="auto"/>
          </w:tcPr>
          <w:p w14:paraId="57458A14" w14:textId="77777777" w:rsidR="00634539" w:rsidRPr="00D62446" w:rsidRDefault="00634539" w:rsidP="0053543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val="0"/>
                <w:color w:val="000000" w:themeColor="text1"/>
                <w:sz w:val="22"/>
                <w:szCs w:val="22"/>
              </w:rPr>
            </w:pPr>
            <w:bookmarkStart w:id="33" w:name="_Hlk179982501"/>
            <w:r w:rsidRPr="00D62446">
              <w:rPr>
                <w:rFonts w:asciiTheme="minorHAnsi" w:eastAsia="PMingLiU" w:hAnsiTheme="minorHAnsi" w:cstheme="minorHAnsi"/>
                <w:bCs w:val="0"/>
                <w:color w:val="000000" w:themeColor="text1"/>
                <w:sz w:val="22"/>
                <w:szCs w:val="22"/>
              </w:rPr>
              <w:t>SAMM Number</w:t>
            </w:r>
          </w:p>
        </w:tc>
        <w:tc>
          <w:tcPr>
            <w:tcW w:w="2206" w:type="dxa"/>
            <w:tcBorders>
              <w:left w:val="single" w:sz="4" w:space="0" w:color="000000" w:themeColor="text1"/>
              <w:right w:val="single" w:sz="4" w:space="0" w:color="000000" w:themeColor="text1"/>
            </w:tcBorders>
            <w:shd w:val="clear" w:color="auto" w:fill="auto"/>
          </w:tcPr>
          <w:p w14:paraId="21CEF63D" w14:textId="77777777" w:rsidR="00634539" w:rsidRPr="00D62446" w:rsidRDefault="00634539" w:rsidP="0053543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sz w:val="22"/>
                <w:szCs w:val="22"/>
              </w:rPr>
            </w:pPr>
            <w:r w:rsidRPr="00D62446">
              <w:rPr>
                <w:rFonts w:asciiTheme="minorHAnsi" w:eastAsia="PMingLiU" w:hAnsiTheme="minorHAnsi" w:cstheme="minorHAnsi"/>
                <w:bCs w:val="0"/>
                <w:color w:val="000000" w:themeColor="text1"/>
                <w:sz w:val="22"/>
                <w:szCs w:val="22"/>
              </w:rPr>
              <w:t>SAMM Name</w:t>
            </w:r>
          </w:p>
        </w:tc>
        <w:tc>
          <w:tcPr>
            <w:tcW w:w="1289" w:type="dxa"/>
            <w:tcBorders>
              <w:left w:val="single" w:sz="4" w:space="0" w:color="000000" w:themeColor="text1"/>
              <w:right w:val="single" w:sz="4" w:space="0" w:color="000000" w:themeColor="text1"/>
            </w:tcBorders>
            <w:shd w:val="clear" w:color="auto" w:fill="auto"/>
          </w:tcPr>
          <w:p w14:paraId="1BC934E4" w14:textId="77777777" w:rsidR="00634539" w:rsidRPr="00D62446" w:rsidRDefault="00634539" w:rsidP="0053543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sz w:val="22"/>
                <w:szCs w:val="22"/>
              </w:rPr>
            </w:pPr>
            <w:r w:rsidRPr="00D62446">
              <w:rPr>
                <w:rFonts w:asciiTheme="minorHAnsi" w:eastAsia="PMingLiU" w:hAnsiTheme="minorHAnsi" w:cstheme="minorHAnsi"/>
                <w:bCs w:val="0"/>
                <w:color w:val="000000" w:themeColor="text1"/>
                <w:sz w:val="22"/>
                <w:szCs w:val="22"/>
              </w:rPr>
              <w:t>State Plan Data</w:t>
            </w:r>
          </w:p>
        </w:tc>
        <w:tc>
          <w:tcPr>
            <w:tcW w:w="1307" w:type="dxa"/>
            <w:tcBorders>
              <w:left w:val="single" w:sz="4" w:space="0" w:color="000000" w:themeColor="text1"/>
              <w:right w:val="single" w:sz="4" w:space="0" w:color="000000" w:themeColor="text1"/>
            </w:tcBorders>
            <w:shd w:val="clear" w:color="auto" w:fill="auto"/>
          </w:tcPr>
          <w:p w14:paraId="10FEC12F" w14:textId="77777777" w:rsidR="00634539" w:rsidRPr="00D62446" w:rsidRDefault="00634539" w:rsidP="0053543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sz w:val="22"/>
                <w:szCs w:val="22"/>
              </w:rPr>
            </w:pPr>
            <w:r w:rsidRPr="00D62446">
              <w:rPr>
                <w:rFonts w:asciiTheme="minorHAnsi" w:eastAsia="PMingLiU" w:hAnsiTheme="minorHAnsi" w:cstheme="minorHAnsi"/>
                <w:bCs w:val="0"/>
                <w:color w:val="000000" w:themeColor="text1"/>
                <w:sz w:val="22"/>
                <w:szCs w:val="22"/>
              </w:rPr>
              <w:t>Further Review Level</w:t>
            </w:r>
          </w:p>
        </w:tc>
        <w:tc>
          <w:tcPr>
            <w:tcW w:w="4514" w:type="dxa"/>
            <w:tcBorders>
              <w:left w:val="single" w:sz="4" w:space="0" w:color="000000" w:themeColor="text1"/>
            </w:tcBorders>
            <w:shd w:val="clear" w:color="auto" w:fill="auto"/>
          </w:tcPr>
          <w:p w14:paraId="1845DDF3" w14:textId="77777777" w:rsidR="00634539" w:rsidRPr="00D62446" w:rsidRDefault="00634539" w:rsidP="0053543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sz w:val="22"/>
                <w:szCs w:val="22"/>
              </w:rPr>
            </w:pPr>
            <w:r w:rsidRPr="00D62446">
              <w:rPr>
                <w:rFonts w:asciiTheme="minorHAnsi" w:eastAsia="PMingLiU" w:hAnsiTheme="minorHAnsi" w:cstheme="minorHAnsi"/>
                <w:bCs w:val="0"/>
                <w:color w:val="000000" w:themeColor="text1"/>
                <w:sz w:val="22"/>
                <w:szCs w:val="22"/>
              </w:rPr>
              <w:t>Notes</w:t>
            </w:r>
          </w:p>
        </w:tc>
      </w:tr>
      <w:tr w:rsidR="005929C5" w:rsidRPr="00D62446" w14:paraId="23E15083"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4FC54415" w14:textId="72307EC9"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AA22C4">
              <w:rPr>
                <w:rFonts w:eastAsia="PMingLiU" w:cs="Calibri"/>
              </w:rPr>
              <w:t>1a</w:t>
            </w:r>
          </w:p>
        </w:tc>
        <w:tc>
          <w:tcPr>
            <w:tcW w:w="2206" w:type="dxa"/>
          </w:tcPr>
          <w:p w14:paraId="5DD1B3D7"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Average number of work days to initiate complaint inspections (state formula)</w:t>
            </w:r>
          </w:p>
        </w:tc>
        <w:tc>
          <w:tcPr>
            <w:tcW w:w="1289" w:type="dxa"/>
          </w:tcPr>
          <w:p w14:paraId="50ED339E" w14:textId="5FA0C395"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4.27</w:t>
            </w:r>
          </w:p>
        </w:tc>
        <w:tc>
          <w:tcPr>
            <w:tcW w:w="1307" w:type="dxa"/>
          </w:tcPr>
          <w:p w14:paraId="36E21F8C" w14:textId="650D21EB"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5 days for safety; 10 days for health</w:t>
            </w:r>
          </w:p>
        </w:tc>
        <w:tc>
          <w:tcPr>
            <w:tcW w:w="4514" w:type="dxa"/>
          </w:tcPr>
          <w:p w14:paraId="1BE10DF6" w14:textId="47666C26"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The further review level is negotiated by OSHA and the State Plan.</w:t>
            </w:r>
          </w:p>
        </w:tc>
      </w:tr>
      <w:tr w:rsidR="005929C5" w:rsidRPr="00D62446" w14:paraId="6E87F5F9"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15DA89A2" w14:textId="54C66C3B"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AA22C4">
              <w:rPr>
                <w:rFonts w:eastAsia="PMingLiU" w:cs="Calibri"/>
              </w:rPr>
              <w:t>1b</w:t>
            </w:r>
          </w:p>
        </w:tc>
        <w:tc>
          <w:tcPr>
            <w:tcW w:w="2206" w:type="dxa"/>
          </w:tcPr>
          <w:p w14:paraId="7BDECFBC"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Average number of work days to initiate complaint inspections (federal formula)</w:t>
            </w:r>
          </w:p>
        </w:tc>
        <w:tc>
          <w:tcPr>
            <w:tcW w:w="1289" w:type="dxa"/>
          </w:tcPr>
          <w:p w14:paraId="2DD44EDE" w14:textId="357C03EB"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3.32</w:t>
            </w:r>
          </w:p>
        </w:tc>
        <w:tc>
          <w:tcPr>
            <w:tcW w:w="1307" w:type="dxa"/>
          </w:tcPr>
          <w:p w14:paraId="44E25FF5" w14:textId="732F10A9"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N/A</w:t>
            </w:r>
          </w:p>
        </w:tc>
        <w:tc>
          <w:tcPr>
            <w:tcW w:w="4514" w:type="dxa"/>
          </w:tcPr>
          <w:p w14:paraId="3B881485" w14:textId="476A733A"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This measure is for informational purposes only and is not a mandated measure.</w:t>
            </w:r>
          </w:p>
        </w:tc>
      </w:tr>
      <w:tr w:rsidR="005929C5" w:rsidRPr="00D62446" w14:paraId="7254895F"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70F4527B" w14:textId="50011758"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AA22C4">
              <w:rPr>
                <w:rFonts w:eastAsia="PMingLiU" w:cs="Calibri"/>
              </w:rPr>
              <w:t>2a</w:t>
            </w:r>
          </w:p>
        </w:tc>
        <w:tc>
          <w:tcPr>
            <w:tcW w:w="2206" w:type="dxa"/>
          </w:tcPr>
          <w:p w14:paraId="680D30CB"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Average number of work days to initiate complaint investigations (state formula)</w:t>
            </w:r>
          </w:p>
        </w:tc>
        <w:tc>
          <w:tcPr>
            <w:tcW w:w="1289" w:type="dxa"/>
          </w:tcPr>
          <w:p w14:paraId="5D15BC2D" w14:textId="71AF3193"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1.49</w:t>
            </w:r>
          </w:p>
        </w:tc>
        <w:tc>
          <w:tcPr>
            <w:tcW w:w="1307" w:type="dxa"/>
          </w:tcPr>
          <w:p w14:paraId="25E101C9" w14:textId="18A44438"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3</w:t>
            </w:r>
          </w:p>
        </w:tc>
        <w:tc>
          <w:tcPr>
            <w:tcW w:w="4514" w:type="dxa"/>
          </w:tcPr>
          <w:p w14:paraId="440E4407" w14:textId="7055B2F9"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The further review level is negotiated by OSHA and the State Plan.</w:t>
            </w:r>
          </w:p>
        </w:tc>
      </w:tr>
      <w:tr w:rsidR="005929C5" w:rsidRPr="00D62446" w14:paraId="43AA3020"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3026F0A2" w14:textId="1B9EAA6A"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AA22C4">
              <w:rPr>
                <w:rFonts w:eastAsia="PMingLiU" w:cs="Calibri"/>
              </w:rPr>
              <w:t>2b</w:t>
            </w:r>
          </w:p>
        </w:tc>
        <w:tc>
          <w:tcPr>
            <w:tcW w:w="2206" w:type="dxa"/>
          </w:tcPr>
          <w:p w14:paraId="60EA38B6"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Average number of work days to initiate complaint investigations (federal formula)</w:t>
            </w:r>
          </w:p>
        </w:tc>
        <w:tc>
          <w:tcPr>
            <w:tcW w:w="1289" w:type="dxa"/>
          </w:tcPr>
          <w:p w14:paraId="148E915C" w14:textId="690DC11F"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0.09</w:t>
            </w:r>
          </w:p>
        </w:tc>
        <w:tc>
          <w:tcPr>
            <w:tcW w:w="1307" w:type="dxa"/>
          </w:tcPr>
          <w:p w14:paraId="3C6B37D6" w14:textId="386D893F"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N/A</w:t>
            </w:r>
          </w:p>
        </w:tc>
        <w:tc>
          <w:tcPr>
            <w:tcW w:w="4514" w:type="dxa"/>
          </w:tcPr>
          <w:p w14:paraId="7849D62B" w14:textId="2596B668"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This measure is for informational purposes only and is not a mandated measure.</w:t>
            </w:r>
          </w:p>
        </w:tc>
      </w:tr>
      <w:tr w:rsidR="005929C5" w:rsidRPr="00D62446" w14:paraId="463E07C8"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730502E1" w14:textId="5BED8E89"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AA22C4">
              <w:rPr>
                <w:rFonts w:eastAsia="PMingLiU" w:cs="Calibri"/>
              </w:rPr>
              <w:t>3</w:t>
            </w:r>
          </w:p>
        </w:tc>
        <w:tc>
          <w:tcPr>
            <w:tcW w:w="2206" w:type="dxa"/>
          </w:tcPr>
          <w:p w14:paraId="224C67FA"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Percent of complaints and referrals responded to within one workday (imminent danger)</w:t>
            </w:r>
          </w:p>
        </w:tc>
        <w:tc>
          <w:tcPr>
            <w:tcW w:w="1289" w:type="dxa"/>
          </w:tcPr>
          <w:p w14:paraId="683DAD92" w14:textId="2ECB3DDF"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N/A</w:t>
            </w:r>
          </w:p>
        </w:tc>
        <w:tc>
          <w:tcPr>
            <w:tcW w:w="1307" w:type="dxa"/>
          </w:tcPr>
          <w:p w14:paraId="2138AC62" w14:textId="3BBD5FEE"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100%</w:t>
            </w:r>
          </w:p>
        </w:tc>
        <w:tc>
          <w:tcPr>
            <w:tcW w:w="4514" w:type="dxa"/>
          </w:tcPr>
          <w:p w14:paraId="1639E620" w14:textId="3818C6B5"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The further review level is fixed for all State Plans.</w:t>
            </w:r>
            <w:r w:rsidR="00EB2F0D">
              <w:rPr>
                <w:rFonts w:asciiTheme="minorHAnsi" w:hAnsiTheme="minorHAnsi" w:cstheme="minorHAnsi"/>
                <w:sz w:val="22"/>
                <w:szCs w:val="22"/>
              </w:rPr>
              <w:t xml:space="preserve"> The Illinois State Plan did not receive any imminent danger complaints during FY 2024.</w:t>
            </w:r>
          </w:p>
        </w:tc>
      </w:tr>
      <w:tr w:rsidR="005929C5" w:rsidRPr="00D62446" w14:paraId="448E8EB5"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54BD594C" w14:textId="6F6BE628"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AA22C4">
              <w:rPr>
                <w:rFonts w:eastAsia="PMingLiU" w:cs="Calibri"/>
              </w:rPr>
              <w:t>4</w:t>
            </w:r>
          </w:p>
        </w:tc>
        <w:tc>
          <w:tcPr>
            <w:tcW w:w="2206" w:type="dxa"/>
          </w:tcPr>
          <w:p w14:paraId="7F17AA0C"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Number of denials where entry not obtained</w:t>
            </w:r>
          </w:p>
        </w:tc>
        <w:tc>
          <w:tcPr>
            <w:tcW w:w="1289" w:type="dxa"/>
          </w:tcPr>
          <w:p w14:paraId="49E38EB6" w14:textId="46116FCD"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0</w:t>
            </w:r>
          </w:p>
        </w:tc>
        <w:tc>
          <w:tcPr>
            <w:tcW w:w="1307" w:type="dxa"/>
          </w:tcPr>
          <w:p w14:paraId="39E6BBCD" w14:textId="03DF044F"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0</w:t>
            </w:r>
          </w:p>
        </w:tc>
        <w:tc>
          <w:tcPr>
            <w:tcW w:w="4514" w:type="dxa"/>
          </w:tcPr>
          <w:p w14:paraId="63BF7F96" w14:textId="46003991"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The further review level is fixed for all State Plans.</w:t>
            </w:r>
          </w:p>
        </w:tc>
      </w:tr>
      <w:tr w:rsidR="005929C5" w:rsidRPr="00D62446" w14:paraId="391899CE" w14:textId="77777777" w:rsidTr="00747EDA">
        <w:trPr>
          <w:cantSplit/>
          <w:trHeight w:val="854"/>
        </w:trPr>
        <w:tc>
          <w:tcPr>
            <w:cnfStyle w:val="001000000000" w:firstRow="0" w:lastRow="0" w:firstColumn="1" w:lastColumn="0" w:oddVBand="0" w:evenVBand="0" w:oddHBand="0" w:evenHBand="0" w:firstRowFirstColumn="0" w:firstRowLastColumn="0" w:lastRowFirstColumn="0" w:lastRowLastColumn="0"/>
            <w:tcW w:w="1034" w:type="dxa"/>
          </w:tcPr>
          <w:p w14:paraId="2C05A134" w14:textId="7E0FDF15"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AA22C4">
              <w:rPr>
                <w:rFonts w:eastAsia="PMingLiU" w:cs="Calibri"/>
              </w:rPr>
              <w:t>5a</w:t>
            </w:r>
          </w:p>
        </w:tc>
        <w:tc>
          <w:tcPr>
            <w:tcW w:w="2206" w:type="dxa"/>
          </w:tcPr>
          <w:p w14:paraId="6F060D7F"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Average number of violations per inspection with violations by violation type (SWRU)</w:t>
            </w:r>
          </w:p>
        </w:tc>
        <w:tc>
          <w:tcPr>
            <w:tcW w:w="1289" w:type="dxa"/>
          </w:tcPr>
          <w:p w14:paraId="5640B786" w14:textId="25FAD282"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2.76</w:t>
            </w:r>
          </w:p>
        </w:tc>
        <w:tc>
          <w:tcPr>
            <w:tcW w:w="1307" w:type="dxa"/>
          </w:tcPr>
          <w:p w14:paraId="11AD5728" w14:textId="77777777"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+/- 20% of 1.74</w:t>
            </w:r>
          </w:p>
          <w:p w14:paraId="5B24EFBC"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514" w:type="dxa"/>
          </w:tcPr>
          <w:p w14:paraId="330DF263" w14:textId="79B5019D"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 xml:space="preserve">The further review level is based on a three-year national average.  The range of acceptable data not requiring further review is from 1.39 to 2.08 for SWRU. </w:t>
            </w:r>
          </w:p>
        </w:tc>
      </w:tr>
      <w:tr w:rsidR="005929C5" w:rsidRPr="00D62446" w14:paraId="0C0C34AD"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7FD14581" w14:textId="6795F13A"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AA22C4">
              <w:rPr>
                <w:rFonts w:eastAsia="PMingLiU" w:cs="Calibri"/>
              </w:rPr>
              <w:t>5b</w:t>
            </w:r>
          </w:p>
        </w:tc>
        <w:tc>
          <w:tcPr>
            <w:tcW w:w="2206" w:type="dxa"/>
          </w:tcPr>
          <w:p w14:paraId="1A64659E"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Average number of violations per inspection with violations by violation type (other)</w:t>
            </w:r>
          </w:p>
        </w:tc>
        <w:tc>
          <w:tcPr>
            <w:tcW w:w="1289" w:type="dxa"/>
          </w:tcPr>
          <w:p w14:paraId="189B2CB4" w14:textId="226A8032"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1.05</w:t>
            </w:r>
          </w:p>
        </w:tc>
        <w:tc>
          <w:tcPr>
            <w:tcW w:w="1307" w:type="dxa"/>
          </w:tcPr>
          <w:p w14:paraId="503A8CC5" w14:textId="77777777"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+/- 20% of 0.94</w:t>
            </w:r>
          </w:p>
          <w:p w14:paraId="10600A9C" w14:textId="300BD015"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514" w:type="dxa"/>
          </w:tcPr>
          <w:p w14:paraId="4F83BD91" w14:textId="705BE60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The further review level is based on a three-year national average.  The range of acceptable data not requiring further review is from 0.75 to 1.12 for OTS.</w:t>
            </w:r>
          </w:p>
        </w:tc>
      </w:tr>
      <w:tr w:rsidR="005929C5" w:rsidRPr="00D62446" w14:paraId="73051CF9"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4B4D91E3" w14:textId="7D1D20AE"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AA22C4">
              <w:rPr>
                <w:rFonts w:eastAsia="PMingLiU" w:cs="Calibri"/>
              </w:rPr>
              <w:t>6</w:t>
            </w:r>
          </w:p>
        </w:tc>
        <w:tc>
          <w:tcPr>
            <w:tcW w:w="2206" w:type="dxa"/>
          </w:tcPr>
          <w:p w14:paraId="79E27E6A"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Percent of total inspections in state and local government workplaces</w:t>
            </w:r>
          </w:p>
        </w:tc>
        <w:tc>
          <w:tcPr>
            <w:tcW w:w="1289" w:type="dxa"/>
          </w:tcPr>
          <w:p w14:paraId="01189742" w14:textId="1C579345"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100%</w:t>
            </w:r>
          </w:p>
        </w:tc>
        <w:tc>
          <w:tcPr>
            <w:tcW w:w="1307" w:type="dxa"/>
          </w:tcPr>
          <w:p w14:paraId="7678C0FD" w14:textId="2C414E54"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100%</w:t>
            </w:r>
          </w:p>
        </w:tc>
        <w:tc>
          <w:tcPr>
            <w:tcW w:w="4514" w:type="dxa"/>
          </w:tcPr>
          <w:p w14:paraId="11909732" w14:textId="621C3F7F"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Since this is a State and Local Government State Plan, all inspections are in state and local government workplaces.</w:t>
            </w:r>
          </w:p>
        </w:tc>
      </w:tr>
      <w:tr w:rsidR="005929C5" w:rsidRPr="00D62446" w14:paraId="47E35DEE"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2635650F" w14:textId="62B86E94"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AA22C4">
              <w:rPr>
                <w:rFonts w:eastAsia="PMingLiU" w:cs="Calibri"/>
              </w:rPr>
              <w:lastRenderedPageBreak/>
              <w:t>7a</w:t>
            </w:r>
          </w:p>
        </w:tc>
        <w:tc>
          <w:tcPr>
            <w:tcW w:w="2206" w:type="dxa"/>
          </w:tcPr>
          <w:p w14:paraId="6972B9CD" w14:textId="3BED009A"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Planned v. actual inspections (safety)</w:t>
            </w:r>
          </w:p>
        </w:tc>
        <w:tc>
          <w:tcPr>
            <w:tcW w:w="1289" w:type="dxa"/>
          </w:tcPr>
          <w:p w14:paraId="714EE701" w14:textId="66B98B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283</w:t>
            </w:r>
          </w:p>
        </w:tc>
        <w:tc>
          <w:tcPr>
            <w:tcW w:w="1307" w:type="dxa"/>
          </w:tcPr>
          <w:p w14:paraId="169B0873" w14:textId="77777777"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 xml:space="preserve">+/- 5% of </w:t>
            </w:r>
          </w:p>
          <w:p w14:paraId="70DE1282" w14:textId="549FE44A"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Grant 400</w:t>
            </w:r>
          </w:p>
        </w:tc>
        <w:tc>
          <w:tcPr>
            <w:tcW w:w="4514" w:type="dxa"/>
          </w:tcPr>
          <w:p w14:paraId="127905E2" w14:textId="1B9A84E3"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The further review level is based on a number negotiated by OSHA and the State Plan through the grant application.  The range of acceptable data not requiring further review is from 380 to 420 for safety.</w:t>
            </w:r>
          </w:p>
        </w:tc>
      </w:tr>
      <w:tr w:rsidR="005929C5" w:rsidRPr="00D62446" w14:paraId="41D7E5AF"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78976174" w14:textId="6B9DAA6E"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AA22C4">
              <w:rPr>
                <w:rFonts w:eastAsia="PMingLiU" w:cs="Calibri"/>
              </w:rPr>
              <w:t>7b</w:t>
            </w:r>
          </w:p>
        </w:tc>
        <w:tc>
          <w:tcPr>
            <w:tcW w:w="2206" w:type="dxa"/>
          </w:tcPr>
          <w:p w14:paraId="628291DB" w14:textId="4C38D916"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Planned v. actual inspections (health)</w:t>
            </w:r>
          </w:p>
        </w:tc>
        <w:tc>
          <w:tcPr>
            <w:tcW w:w="1289" w:type="dxa"/>
          </w:tcPr>
          <w:p w14:paraId="46225BFE" w14:textId="7728466B"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128</w:t>
            </w:r>
          </w:p>
        </w:tc>
        <w:tc>
          <w:tcPr>
            <w:tcW w:w="1307" w:type="dxa"/>
          </w:tcPr>
          <w:p w14:paraId="286093F9" w14:textId="77777777"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 xml:space="preserve">+/- 5% of </w:t>
            </w:r>
          </w:p>
          <w:p w14:paraId="615D1DB6" w14:textId="1C1971E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Grant 100</w:t>
            </w:r>
          </w:p>
        </w:tc>
        <w:tc>
          <w:tcPr>
            <w:tcW w:w="4514" w:type="dxa"/>
          </w:tcPr>
          <w:p w14:paraId="4C49AF53" w14:textId="2CA16D5C"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The further review level is based on a number negotiated by OSHA and the State Plan through the grant application.  The range of acceptable data not requiring further review is from 95 to 105 for health.</w:t>
            </w:r>
          </w:p>
        </w:tc>
      </w:tr>
      <w:tr w:rsidR="005929C5" w:rsidRPr="00D62446" w14:paraId="19A930B8"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12933EF2" w14:textId="0E755A7E"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AA22C4">
              <w:rPr>
                <w:rFonts w:eastAsia="PMingLiU" w:cs="Calibri"/>
              </w:rPr>
              <w:t>8</w:t>
            </w:r>
          </w:p>
        </w:tc>
        <w:tc>
          <w:tcPr>
            <w:tcW w:w="2206" w:type="dxa"/>
          </w:tcPr>
          <w:p w14:paraId="35E2919F"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Average current serious penalty in private sector - total (1 to greater than 250 workers)</w:t>
            </w:r>
          </w:p>
        </w:tc>
        <w:tc>
          <w:tcPr>
            <w:tcW w:w="1289" w:type="dxa"/>
          </w:tcPr>
          <w:p w14:paraId="4FF95415" w14:textId="4736718C"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N/A</w:t>
            </w:r>
          </w:p>
        </w:tc>
        <w:tc>
          <w:tcPr>
            <w:tcW w:w="1307" w:type="dxa"/>
          </w:tcPr>
          <w:p w14:paraId="47ED2D20" w14:textId="77777777"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 xml:space="preserve">+/- 25% of </w:t>
            </w:r>
          </w:p>
          <w:p w14:paraId="70E90222" w14:textId="77777777"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$3,793.81</w:t>
            </w:r>
          </w:p>
          <w:p w14:paraId="7AD30EF7"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514" w:type="dxa"/>
          </w:tcPr>
          <w:p w14:paraId="49E57806" w14:textId="77777777"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N/A – This is a State and Local Government State Plan.</w:t>
            </w:r>
          </w:p>
          <w:p w14:paraId="033A65BC" w14:textId="77777777"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0DF20B53" w14:textId="725D91D2" w:rsidR="005929C5" w:rsidRPr="00D62446" w:rsidRDefault="005929C5" w:rsidP="005929C5">
            <w:pPr>
              <w:ind w:right="133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The further review level is based on a three-year national average.</w:t>
            </w:r>
          </w:p>
        </w:tc>
      </w:tr>
      <w:tr w:rsidR="005929C5" w:rsidRPr="00D62446" w14:paraId="4CF9D609"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0ABEB3DA" w14:textId="471D3F62"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AA22C4">
              <w:rPr>
                <w:rFonts w:eastAsia="PMingLiU" w:cs="Calibri"/>
              </w:rPr>
              <w:t>8a</w:t>
            </w:r>
          </w:p>
        </w:tc>
        <w:tc>
          <w:tcPr>
            <w:tcW w:w="2206" w:type="dxa"/>
          </w:tcPr>
          <w:p w14:paraId="51065DBA" w14:textId="219AC4C8"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Average current serious penalty in private sector</w:t>
            </w:r>
          </w:p>
          <w:p w14:paraId="7C4696DD"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 xml:space="preserve"> (1-25 workers)</w:t>
            </w:r>
          </w:p>
        </w:tc>
        <w:tc>
          <w:tcPr>
            <w:tcW w:w="1289" w:type="dxa"/>
          </w:tcPr>
          <w:p w14:paraId="3B168483" w14:textId="6662FE35"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N/A</w:t>
            </w:r>
          </w:p>
        </w:tc>
        <w:tc>
          <w:tcPr>
            <w:tcW w:w="1307" w:type="dxa"/>
          </w:tcPr>
          <w:p w14:paraId="0AB00BCC" w14:textId="77777777"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 xml:space="preserve">+/- 25% of </w:t>
            </w:r>
          </w:p>
          <w:p w14:paraId="1EC147E2" w14:textId="77777777"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$2,498.51</w:t>
            </w:r>
          </w:p>
          <w:p w14:paraId="4DC91B0C"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514" w:type="dxa"/>
          </w:tcPr>
          <w:p w14:paraId="393A57D6"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N/A – This is a State and Local Government State Plan.</w:t>
            </w:r>
          </w:p>
          <w:p w14:paraId="0E488B88"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p w14:paraId="371F75E0" w14:textId="101D8B45"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The further review level is based on a three-year national average.</w:t>
            </w:r>
          </w:p>
        </w:tc>
      </w:tr>
      <w:tr w:rsidR="005929C5" w:rsidRPr="00D62446" w14:paraId="2F293093"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2794F1EF" w14:textId="48156180"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AA22C4">
              <w:rPr>
                <w:rFonts w:eastAsia="PMingLiU" w:cs="Calibri"/>
              </w:rPr>
              <w:t>8b</w:t>
            </w:r>
          </w:p>
        </w:tc>
        <w:tc>
          <w:tcPr>
            <w:tcW w:w="2206" w:type="dxa"/>
          </w:tcPr>
          <w:p w14:paraId="18122F6D" w14:textId="4196B0C7"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 xml:space="preserve">Average current serious penalty in private sector </w:t>
            </w:r>
          </w:p>
          <w:p w14:paraId="0CB214A9"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(26-100 workers</w:t>
            </w:r>
            <w:r w:rsidRPr="00D62446">
              <w:rPr>
                <w:rFonts w:asciiTheme="minorHAnsi" w:hAnsiTheme="minorHAnsi" w:cstheme="minorHAnsi"/>
                <w:b/>
                <w:sz w:val="22"/>
                <w:szCs w:val="22"/>
              </w:rPr>
              <w:t>)</w:t>
            </w:r>
          </w:p>
        </w:tc>
        <w:tc>
          <w:tcPr>
            <w:tcW w:w="1289" w:type="dxa"/>
          </w:tcPr>
          <w:p w14:paraId="26CF4361" w14:textId="0380F193"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N/A</w:t>
            </w:r>
          </w:p>
        </w:tc>
        <w:tc>
          <w:tcPr>
            <w:tcW w:w="1307" w:type="dxa"/>
          </w:tcPr>
          <w:p w14:paraId="587485A5" w14:textId="77777777"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 xml:space="preserve">+/- 25% of </w:t>
            </w:r>
          </w:p>
          <w:p w14:paraId="0937F1E6" w14:textId="77777777"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$4,322.61</w:t>
            </w:r>
          </w:p>
          <w:p w14:paraId="6AB595C0"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514" w:type="dxa"/>
          </w:tcPr>
          <w:p w14:paraId="51F938C5"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N/A – This is a State and Local Government State Plan.</w:t>
            </w:r>
          </w:p>
          <w:p w14:paraId="6103C6FD"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p w14:paraId="533EE6CD" w14:textId="68F5C78D"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The further review level is based on a three-year national average.</w:t>
            </w:r>
          </w:p>
        </w:tc>
      </w:tr>
      <w:tr w:rsidR="005929C5" w:rsidRPr="00D62446" w14:paraId="786F3F1A"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5A3932AB" w14:textId="774A4F9A"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AA22C4">
              <w:rPr>
                <w:rFonts w:eastAsia="PMingLiU" w:cs="Calibri"/>
              </w:rPr>
              <w:t>8c</w:t>
            </w:r>
          </w:p>
        </w:tc>
        <w:tc>
          <w:tcPr>
            <w:tcW w:w="2206" w:type="dxa"/>
          </w:tcPr>
          <w:p w14:paraId="5F59BDF5" w14:textId="0209A9DC"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Average current serious penalty in private sector</w:t>
            </w:r>
          </w:p>
          <w:p w14:paraId="10D9592B"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(101-250 workers)</w:t>
            </w:r>
          </w:p>
        </w:tc>
        <w:tc>
          <w:tcPr>
            <w:tcW w:w="1289" w:type="dxa"/>
          </w:tcPr>
          <w:p w14:paraId="7D3E6F14" w14:textId="60784A10"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N/A</w:t>
            </w:r>
          </w:p>
        </w:tc>
        <w:tc>
          <w:tcPr>
            <w:tcW w:w="1307" w:type="dxa"/>
          </w:tcPr>
          <w:p w14:paraId="37F55ECA" w14:textId="77777777"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 xml:space="preserve">+/- 25% of </w:t>
            </w:r>
          </w:p>
          <w:p w14:paraId="5B423ACE" w14:textId="77777777"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$6,114.84</w:t>
            </w:r>
          </w:p>
          <w:p w14:paraId="16D6DF5C" w14:textId="77777777"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0194F828"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514" w:type="dxa"/>
          </w:tcPr>
          <w:p w14:paraId="54189187"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N/A – This is a State and Local Government State Plan.</w:t>
            </w:r>
          </w:p>
          <w:p w14:paraId="4D93D0F1"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p w14:paraId="4B00CAC2" w14:textId="3AC392C8"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The further review level is based on a three-year national average.</w:t>
            </w:r>
          </w:p>
        </w:tc>
      </w:tr>
      <w:tr w:rsidR="005929C5" w:rsidRPr="00D62446" w14:paraId="44B346AD"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5ED4D0D0" w14:textId="78DCBA8E"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AA22C4">
              <w:rPr>
                <w:rFonts w:eastAsia="PMingLiU" w:cs="Calibri"/>
              </w:rPr>
              <w:t>8d</w:t>
            </w:r>
          </w:p>
        </w:tc>
        <w:tc>
          <w:tcPr>
            <w:tcW w:w="2206" w:type="dxa"/>
          </w:tcPr>
          <w:p w14:paraId="255BABE2" w14:textId="6B732A66"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Average current serious penalty in private sector</w:t>
            </w:r>
          </w:p>
          <w:p w14:paraId="48DDBB4B"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(greater than 250 workers)</w:t>
            </w:r>
          </w:p>
        </w:tc>
        <w:tc>
          <w:tcPr>
            <w:tcW w:w="1289" w:type="dxa"/>
          </w:tcPr>
          <w:p w14:paraId="7D66FCF1" w14:textId="78627B36"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N/A</w:t>
            </w:r>
          </w:p>
        </w:tc>
        <w:tc>
          <w:tcPr>
            <w:tcW w:w="1307" w:type="dxa"/>
          </w:tcPr>
          <w:p w14:paraId="7BE2C557" w14:textId="77777777"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 xml:space="preserve">+/- 25% of </w:t>
            </w:r>
          </w:p>
          <w:p w14:paraId="45B98DC5" w14:textId="77777777"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$7,533.58</w:t>
            </w:r>
          </w:p>
          <w:p w14:paraId="3FB5515E"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514" w:type="dxa"/>
          </w:tcPr>
          <w:p w14:paraId="3371D34C"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N/A – This is a State and Local Government State Plan.</w:t>
            </w:r>
          </w:p>
          <w:p w14:paraId="30C3E041"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p w14:paraId="29FF5D83" w14:textId="657EE8B1"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The further review level is based on a three-year national average.</w:t>
            </w:r>
          </w:p>
        </w:tc>
      </w:tr>
      <w:tr w:rsidR="005929C5" w:rsidRPr="00D62446" w14:paraId="6F99001F"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2CAB3DC1" w14:textId="2F5B5A06"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AA22C4">
              <w:rPr>
                <w:rFonts w:eastAsia="PMingLiU" w:cs="Calibri"/>
              </w:rPr>
              <w:t>9a</w:t>
            </w:r>
          </w:p>
        </w:tc>
        <w:tc>
          <w:tcPr>
            <w:tcW w:w="2206" w:type="dxa"/>
          </w:tcPr>
          <w:p w14:paraId="406CE5F6"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Percent in compliance (safety)</w:t>
            </w:r>
          </w:p>
        </w:tc>
        <w:tc>
          <w:tcPr>
            <w:tcW w:w="1289" w:type="dxa"/>
          </w:tcPr>
          <w:p w14:paraId="2CBEE7D5" w14:textId="140ABBD4"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14.46%</w:t>
            </w:r>
          </w:p>
        </w:tc>
        <w:tc>
          <w:tcPr>
            <w:tcW w:w="1307" w:type="dxa"/>
          </w:tcPr>
          <w:p w14:paraId="4A91FE7E" w14:textId="77777777"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+/- 20% of</w:t>
            </w:r>
          </w:p>
          <w:p w14:paraId="0A52EE0A" w14:textId="5DDCF8EB"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32.83%</w:t>
            </w:r>
          </w:p>
        </w:tc>
        <w:tc>
          <w:tcPr>
            <w:tcW w:w="4514" w:type="dxa"/>
          </w:tcPr>
          <w:p w14:paraId="2A829BA0" w14:textId="7FC6BED3"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The further review level is based on a three-year national average.  The range of acceptable data not requiring further review is from 26.27% to 39.40%  for safety.</w:t>
            </w:r>
          </w:p>
        </w:tc>
      </w:tr>
      <w:tr w:rsidR="005929C5" w:rsidRPr="00D62446" w14:paraId="3EB76E55"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5BA68B8A" w14:textId="407892D3"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AA22C4">
              <w:rPr>
                <w:rFonts w:eastAsia="PMingLiU" w:cs="Calibri"/>
              </w:rPr>
              <w:t>9b</w:t>
            </w:r>
          </w:p>
        </w:tc>
        <w:tc>
          <w:tcPr>
            <w:tcW w:w="2206" w:type="dxa"/>
          </w:tcPr>
          <w:p w14:paraId="1F4404BA"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Percent in compliance (health)</w:t>
            </w:r>
          </w:p>
        </w:tc>
        <w:tc>
          <w:tcPr>
            <w:tcW w:w="1289" w:type="dxa"/>
          </w:tcPr>
          <w:p w14:paraId="0F761403" w14:textId="40BE6804"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36.28%</w:t>
            </w:r>
          </w:p>
        </w:tc>
        <w:tc>
          <w:tcPr>
            <w:tcW w:w="1307" w:type="dxa"/>
          </w:tcPr>
          <w:p w14:paraId="66A73F9B" w14:textId="77777777"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+/- 20% of</w:t>
            </w:r>
          </w:p>
          <w:p w14:paraId="203D8062" w14:textId="39401A4A"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44.18%</w:t>
            </w:r>
          </w:p>
        </w:tc>
        <w:tc>
          <w:tcPr>
            <w:tcW w:w="4514" w:type="dxa"/>
          </w:tcPr>
          <w:p w14:paraId="7272F1E9" w14:textId="2CDEA66F"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The further review level is based on a three-year national average.  The range of acceptable data not requiring further review is from 35.34% to 53.01% for health.</w:t>
            </w:r>
          </w:p>
        </w:tc>
      </w:tr>
      <w:tr w:rsidR="005929C5" w:rsidRPr="00D62446" w14:paraId="6BD622B6"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1E1081EE" w14:textId="23585B49"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AA22C4">
              <w:rPr>
                <w:rFonts w:eastAsia="PMingLiU" w:cs="Calibri"/>
              </w:rPr>
              <w:lastRenderedPageBreak/>
              <w:t>10</w:t>
            </w:r>
          </w:p>
        </w:tc>
        <w:tc>
          <w:tcPr>
            <w:tcW w:w="2206" w:type="dxa"/>
          </w:tcPr>
          <w:p w14:paraId="7A555323"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Percent of work-related fatalities responded to in one workday</w:t>
            </w:r>
          </w:p>
        </w:tc>
        <w:tc>
          <w:tcPr>
            <w:tcW w:w="1289" w:type="dxa"/>
          </w:tcPr>
          <w:p w14:paraId="36635117" w14:textId="6DF8820E"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100%</w:t>
            </w:r>
          </w:p>
        </w:tc>
        <w:tc>
          <w:tcPr>
            <w:tcW w:w="1307" w:type="dxa"/>
          </w:tcPr>
          <w:p w14:paraId="1B2A9E13" w14:textId="466DAE86"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100%</w:t>
            </w:r>
          </w:p>
        </w:tc>
        <w:tc>
          <w:tcPr>
            <w:tcW w:w="4514" w:type="dxa"/>
          </w:tcPr>
          <w:p w14:paraId="4CFEF3A7" w14:textId="6E41738B"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The further review level is fixed for all State Plans.</w:t>
            </w:r>
          </w:p>
        </w:tc>
      </w:tr>
      <w:tr w:rsidR="005929C5" w:rsidRPr="00D62446" w14:paraId="2893D3CE"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10FE802E" w14:textId="5852923C"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AA22C4">
              <w:rPr>
                <w:rFonts w:eastAsia="PMingLiU" w:cs="Calibri"/>
              </w:rPr>
              <w:t>11a</w:t>
            </w:r>
          </w:p>
        </w:tc>
        <w:tc>
          <w:tcPr>
            <w:tcW w:w="2206" w:type="dxa"/>
          </w:tcPr>
          <w:p w14:paraId="0E881318"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Average lapse time (safety)</w:t>
            </w:r>
          </w:p>
        </w:tc>
        <w:tc>
          <w:tcPr>
            <w:tcW w:w="1289" w:type="dxa"/>
          </w:tcPr>
          <w:p w14:paraId="155143E8" w14:textId="71A23D42"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40.98</w:t>
            </w:r>
          </w:p>
        </w:tc>
        <w:tc>
          <w:tcPr>
            <w:tcW w:w="1307" w:type="dxa"/>
          </w:tcPr>
          <w:p w14:paraId="279F288A" w14:textId="77777777"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 xml:space="preserve">+/- 20% of </w:t>
            </w:r>
          </w:p>
          <w:p w14:paraId="4105E6C0" w14:textId="1FE30FE6"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56.02</w:t>
            </w:r>
          </w:p>
        </w:tc>
        <w:tc>
          <w:tcPr>
            <w:tcW w:w="4514" w:type="dxa"/>
          </w:tcPr>
          <w:p w14:paraId="1A7228CC" w14:textId="5B67827C" w:rsidR="005929C5" w:rsidRPr="00D62446" w:rsidRDefault="005929C5" w:rsidP="000C67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7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The further review level is based on a three-year national average.  The range of acceptable data not requiring further review is from 44.82 to 67.23 for safety.</w:t>
            </w:r>
          </w:p>
        </w:tc>
      </w:tr>
      <w:tr w:rsidR="005929C5" w:rsidRPr="00D62446" w14:paraId="71994532"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4A315A6E" w14:textId="6E9CA4DD"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AA22C4">
              <w:rPr>
                <w:rFonts w:eastAsia="PMingLiU" w:cs="Calibri"/>
              </w:rPr>
              <w:t>11b</w:t>
            </w:r>
          </w:p>
        </w:tc>
        <w:tc>
          <w:tcPr>
            <w:tcW w:w="2206" w:type="dxa"/>
          </w:tcPr>
          <w:p w14:paraId="62670A92"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Average lapse time (health)</w:t>
            </w:r>
          </w:p>
        </w:tc>
        <w:tc>
          <w:tcPr>
            <w:tcW w:w="1289" w:type="dxa"/>
          </w:tcPr>
          <w:p w14:paraId="260D705D" w14:textId="7814F5A6"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44.19</w:t>
            </w:r>
          </w:p>
        </w:tc>
        <w:tc>
          <w:tcPr>
            <w:tcW w:w="1307" w:type="dxa"/>
          </w:tcPr>
          <w:p w14:paraId="5120B09D" w14:textId="77777777"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 xml:space="preserve">+/- 20% of </w:t>
            </w:r>
          </w:p>
          <w:p w14:paraId="4447221B" w14:textId="6E24579D"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67.21</w:t>
            </w:r>
          </w:p>
        </w:tc>
        <w:tc>
          <w:tcPr>
            <w:tcW w:w="4514" w:type="dxa"/>
          </w:tcPr>
          <w:p w14:paraId="77F448C9" w14:textId="1BEEA6E9"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The further review level is based on a three-year national average.  The range of acceptable data not requiring further review is from 53.77 to 80.65 for health.</w:t>
            </w:r>
          </w:p>
        </w:tc>
      </w:tr>
      <w:tr w:rsidR="005929C5" w:rsidRPr="00D62446" w14:paraId="13BCA211"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20008ADF" w14:textId="2CA1BFF4"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AA22C4">
              <w:rPr>
                <w:rFonts w:eastAsia="PMingLiU" w:cs="Calibri"/>
              </w:rPr>
              <w:t>12</w:t>
            </w:r>
          </w:p>
        </w:tc>
        <w:tc>
          <w:tcPr>
            <w:tcW w:w="2206" w:type="dxa"/>
          </w:tcPr>
          <w:p w14:paraId="4FDC62A7"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Percent penalty retained</w:t>
            </w:r>
          </w:p>
        </w:tc>
        <w:tc>
          <w:tcPr>
            <w:tcW w:w="1289" w:type="dxa"/>
          </w:tcPr>
          <w:p w14:paraId="54C1921C" w14:textId="220DDA45"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N/A</w:t>
            </w:r>
          </w:p>
        </w:tc>
        <w:tc>
          <w:tcPr>
            <w:tcW w:w="1307" w:type="dxa"/>
          </w:tcPr>
          <w:p w14:paraId="091043CA" w14:textId="77777777" w:rsidR="005929C5" w:rsidRPr="00D62446" w:rsidRDefault="005929C5" w:rsidP="005929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+/- 15% of</w:t>
            </w:r>
          </w:p>
          <w:p w14:paraId="5AD20280" w14:textId="50055241"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70.81%</w:t>
            </w:r>
          </w:p>
        </w:tc>
        <w:tc>
          <w:tcPr>
            <w:tcW w:w="4514" w:type="dxa"/>
          </w:tcPr>
          <w:p w14:paraId="3FE6E91C"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NA – This is a State and Local Government State Plan and is not held to this SAMM.</w:t>
            </w:r>
          </w:p>
          <w:p w14:paraId="1889B177"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p w14:paraId="45B6E003" w14:textId="7569D0FC"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 xml:space="preserve">The further review level is based on a three-year national average.  </w:t>
            </w:r>
          </w:p>
        </w:tc>
      </w:tr>
      <w:tr w:rsidR="005929C5" w:rsidRPr="00D62446" w14:paraId="2EAC34D6"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46A22AE3" w14:textId="44CB7C25"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AA22C4">
              <w:rPr>
                <w:rFonts w:eastAsia="PMingLiU" w:cs="Calibri"/>
              </w:rPr>
              <w:t>13</w:t>
            </w:r>
          </w:p>
        </w:tc>
        <w:tc>
          <w:tcPr>
            <w:tcW w:w="2206" w:type="dxa"/>
          </w:tcPr>
          <w:p w14:paraId="56540F98"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Percent of initial inspections with worker walk-around representation or worker interview</w:t>
            </w:r>
          </w:p>
        </w:tc>
        <w:tc>
          <w:tcPr>
            <w:tcW w:w="1289" w:type="dxa"/>
          </w:tcPr>
          <w:p w14:paraId="71E71ED8" w14:textId="7EDC237A"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100%</w:t>
            </w:r>
          </w:p>
        </w:tc>
        <w:tc>
          <w:tcPr>
            <w:tcW w:w="1307" w:type="dxa"/>
          </w:tcPr>
          <w:p w14:paraId="4A97427F" w14:textId="006AE9F4"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100%</w:t>
            </w:r>
          </w:p>
        </w:tc>
        <w:tc>
          <w:tcPr>
            <w:tcW w:w="4514" w:type="dxa"/>
          </w:tcPr>
          <w:p w14:paraId="27DEF00F" w14:textId="668BE3FB"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The further review level is fixed for all State Plans.</w:t>
            </w:r>
          </w:p>
        </w:tc>
      </w:tr>
      <w:tr w:rsidR="005929C5" w:rsidRPr="00D62446" w14:paraId="0083664F"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1F73B0DD" w14:textId="6D6B1075"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AA22C4">
              <w:rPr>
                <w:rFonts w:eastAsia="PMingLiU" w:cs="Calibri"/>
              </w:rPr>
              <w:t>14</w:t>
            </w:r>
          </w:p>
        </w:tc>
        <w:tc>
          <w:tcPr>
            <w:tcW w:w="2206" w:type="dxa"/>
          </w:tcPr>
          <w:p w14:paraId="3454CDD3"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Percent of 11(c) investigations completed within 90 days</w:t>
            </w:r>
          </w:p>
        </w:tc>
        <w:tc>
          <w:tcPr>
            <w:tcW w:w="1289" w:type="dxa"/>
          </w:tcPr>
          <w:p w14:paraId="3468F2B1" w14:textId="5A5B4168"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N/A</w:t>
            </w:r>
          </w:p>
        </w:tc>
        <w:tc>
          <w:tcPr>
            <w:tcW w:w="1307" w:type="dxa"/>
          </w:tcPr>
          <w:p w14:paraId="39333E60" w14:textId="55E11DD0"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N/A</w:t>
            </w:r>
          </w:p>
        </w:tc>
        <w:tc>
          <w:tcPr>
            <w:tcW w:w="4514" w:type="dxa"/>
          </w:tcPr>
          <w:p w14:paraId="7DECCD0D" w14:textId="7EDBA51F"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This measure is not being reported for FY 2024 due to the transition to the new SAMM measures starting in FY 2025.</w:t>
            </w:r>
          </w:p>
        </w:tc>
      </w:tr>
      <w:tr w:rsidR="005929C5" w:rsidRPr="00D62446" w14:paraId="570F3912"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4BF89E78" w14:textId="5D6F3631"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AA22C4">
              <w:rPr>
                <w:rFonts w:eastAsia="PMingLiU" w:cs="Calibri"/>
              </w:rPr>
              <w:t>15</w:t>
            </w:r>
          </w:p>
        </w:tc>
        <w:tc>
          <w:tcPr>
            <w:tcW w:w="2206" w:type="dxa"/>
          </w:tcPr>
          <w:p w14:paraId="1BE43D29"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Percent of 11(c) complaints that are meritorious</w:t>
            </w:r>
          </w:p>
        </w:tc>
        <w:tc>
          <w:tcPr>
            <w:tcW w:w="1289" w:type="dxa"/>
          </w:tcPr>
          <w:p w14:paraId="1E0B0B7D" w14:textId="6A68B904"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N/A</w:t>
            </w:r>
          </w:p>
        </w:tc>
        <w:tc>
          <w:tcPr>
            <w:tcW w:w="1307" w:type="dxa"/>
          </w:tcPr>
          <w:p w14:paraId="147E9AB5" w14:textId="480C4929"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N/A</w:t>
            </w:r>
          </w:p>
        </w:tc>
        <w:tc>
          <w:tcPr>
            <w:tcW w:w="4514" w:type="dxa"/>
          </w:tcPr>
          <w:p w14:paraId="5801C5D4" w14:textId="67813333"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This measure is not being reported for FY 2024 due to the transition to the new SAMM measures starting in FY 2025.</w:t>
            </w:r>
          </w:p>
        </w:tc>
      </w:tr>
      <w:tr w:rsidR="005929C5" w:rsidRPr="00D62446" w14:paraId="06EFF7B6"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7E0D4652" w14:textId="344F1CF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AA22C4">
              <w:rPr>
                <w:rFonts w:eastAsia="PMingLiU" w:cs="Calibri"/>
              </w:rPr>
              <w:t>16</w:t>
            </w:r>
          </w:p>
        </w:tc>
        <w:tc>
          <w:tcPr>
            <w:tcW w:w="2206" w:type="dxa"/>
          </w:tcPr>
          <w:p w14:paraId="5E4FAF60"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Average number of calendar days to complete an 11(c) investigation</w:t>
            </w:r>
          </w:p>
        </w:tc>
        <w:tc>
          <w:tcPr>
            <w:tcW w:w="1289" w:type="dxa"/>
          </w:tcPr>
          <w:p w14:paraId="3207CBD2" w14:textId="3E4208BE"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N/A</w:t>
            </w:r>
          </w:p>
        </w:tc>
        <w:tc>
          <w:tcPr>
            <w:tcW w:w="1307" w:type="dxa"/>
            <w:shd w:val="clear" w:color="auto" w:fill="auto"/>
          </w:tcPr>
          <w:p w14:paraId="7022F7E0" w14:textId="7BCF0C3D"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N/A</w:t>
            </w:r>
          </w:p>
        </w:tc>
        <w:tc>
          <w:tcPr>
            <w:tcW w:w="4514" w:type="dxa"/>
          </w:tcPr>
          <w:p w14:paraId="088C3C3F" w14:textId="1B8E833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This measure is not being reported for FY 2024 due to the transition to the new SAMM measures starting in FY 2025.</w:t>
            </w:r>
          </w:p>
        </w:tc>
      </w:tr>
      <w:tr w:rsidR="005929C5" w:rsidRPr="00D62446" w14:paraId="464BCA80" w14:textId="77777777" w:rsidTr="00747EDA">
        <w:trPr>
          <w:cantSplit/>
        </w:trPr>
        <w:tc>
          <w:tcPr>
            <w:cnfStyle w:val="001000000000" w:firstRow="0" w:lastRow="0" w:firstColumn="1" w:lastColumn="0" w:oddVBand="0" w:evenVBand="0" w:oddHBand="0" w:evenHBand="0" w:firstRowFirstColumn="0" w:firstRowLastColumn="0" w:lastRowFirstColumn="0" w:lastRowLastColumn="0"/>
            <w:tcW w:w="1034" w:type="dxa"/>
          </w:tcPr>
          <w:p w14:paraId="3EFEA4C9" w14:textId="3CF18496"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AA22C4">
              <w:rPr>
                <w:rFonts w:eastAsia="PMingLiU" w:cs="Calibri"/>
              </w:rPr>
              <w:t>17</w:t>
            </w:r>
          </w:p>
        </w:tc>
        <w:tc>
          <w:tcPr>
            <w:tcW w:w="2206" w:type="dxa"/>
          </w:tcPr>
          <w:p w14:paraId="4A04782E"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446">
              <w:rPr>
                <w:rFonts w:asciiTheme="minorHAnsi" w:hAnsiTheme="minorHAnsi" w:cstheme="minorHAnsi"/>
                <w:sz w:val="22"/>
                <w:szCs w:val="22"/>
              </w:rPr>
              <w:t>Percent of enforcement presence</w:t>
            </w:r>
          </w:p>
        </w:tc>
        <w:tc>
          <w:tcPr>
            <w:tcW w:w="1289" w:type="dxa"/>
          </w:tcPr>
          <w:p w14:paraId="2883494A" w14:textId="0BC0B2C0"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N/A</w:t>
            </w:r>
          </w:p>
        </w:tc>
        <w:tc>
          <w:tcPr>
            <w:tcW w:w="1307" w:type="dxa"/>
          </w:tcPr>
          <w:p w14:paraId="315D63EF" w14:textId="23414C02"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hAnsiTheme="minorHAnsi" w:cstheme="minorHAnsi"/>
                <w:sz w:val="22"/>
                <w:szCs w:val="22"/>
              </w:rPr>
              <w:t>N/A</w:t>
            </w:r>
          </w:p>
        </w:tc>
        <w:tc>
          <w:tcPr>
            <w:tcW w:w="4514" w:type="dxa"/>
          </w:tcPr>
          <w:p w14:paraId="750E7E79" w14:textId="77777777"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NA – This is a State and Local Government State Plan and is not held to this SAMM.</w:t>
            </w:r>
          </w:p>
          <w:p w14:paraId="66CFA076" w14:textId="4816D92C" w:rsidR="005929C5" w:rsidRPr="00D62446" w:rsidRDefault="005929C5" w:rsidP="005929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D62446">
              <w:rPr>
                <w:rFonts w:asciiTheme="minorHAnsi" w:eastAsia="PMingLiU" w:hAnsiTheme="minorHAnsi" w:cstheme="minorHAnsi"/>
                <w:sz w:val="22"/>
                <w:szCs w:val="22"/>
              </w:rPr>
              <w:t xml:space="preserve"> </w:t>
            </w:r>
          </w:p>
        </w:tc>
      </w:tr>
      <w:bookmarkEnd w:id="33"/>
    </w:tbl>
    <w:p w14:paraId="723E33DA" w14:textId="77777777" w:rsidR="005128CD" w:rsidRPr="001C1E47" w:rsidRDefault="005128CD" w:rsidP="007A71AC">
      <w:pPr>
        <w:widowControl/>
        <w:autoSpaceDE/>
        <w:autoSpaceDN/>
        <w:adjustRightInd/>
        <w:rPr>
          <w:rFonts w:cs="Calibri"/>
          <w:b/>
          <w:color w:val="1F497D"/>
          <w:sz w:val="28"/>
          <w:szCs w:val="28"/>
        </w:rPr>
      </w:pPr>
    </w:p>
    <w:p w14:paraId="70FCF008" w14:textId="4D9D1C23" w:rsidR="0016336D" w:rsidRPr="00C97F7E" w:rsidRDefault="005828E5" w:rsidP="00C97F7E">
      <w:pPr>
        <w:widowControl/>
        <w:autoSpaceDE/>
        <w:autoSpaceDN/>
        <w:adjustRightInd/>
        <w:rPr>
          <w:rFonts w:cs="Calibri"/>
          <w:b/>
          <w:color w:val="1F497D"/>
          <w:sz w:val="28"/>
          <w:szCs w:val="28"/>
        </w:rPr>
      </w:pPr>
      <w:r w:rsidRPr="00AA22C4">
        <w:t xml:space="preserve">NOTE:  The national averages in this report are three-year rolling averages.  Unless otherwise noted, the data contained in this Appendix D is pulled from the State Activity Mandated Measures (SAMM) Report in OIS and the State Plan </w:t>
      </w:r>
      <w:proofErr w:type="spellStart"/>
      <w:r w:rsidRPr="00AA22C4">
        <w:t>WebIMIS</w:t>
      </w:r>
      <w:proofErr w:type="spellEnd"/>
      <w:r w:rsidRPr="00AA22C4">
        <w:t xml:space="preserve"> report run on November 1</w:t>
      </w:r>
      <w:r>
        <w:t>2</w:t>
      </w:r>
      <w:r w:rsidRPr="00AA22C4">
        <w:t>, 202</w:t>
      </w:r>
      <w:r>
        <w:t>4</w:t>
      </w:r>
      <w:r w:rsidRPr="00AA22C4">
        <w:t>, as part of OSHA’s official end-of-year data run.</w:t>
      </w:r>
    </w:p>
    <w:p w14:paraId="3291466A" w14:textId="77777777" w:rsidR="005F128A" w:rsidRPr="001C1E47" w:rsidRDefault="005F128A" w:rsidP="00F40413">
      <w:pPr>
        <w:widowControl/>
        <w:autoSpaceDE/>
        <w:autoSpaceDN/>
        <w:adjustRightInd/>
        <w:ind w:left="1080"/>
        <w:rPr>
          <w:rFonts w:cs="Calibri"/>
        </w:rPr>
      </w:pPr>
    </w:p>
    <w:p w14:paraId="0A470C61" w14:textId="77777777" w:rsidR="005128CD" w:rsidRPr="001C1E47" w:rsidRDefault="005128CD" w:rsidP="00634539">
      <w:pPr>
        <w:widowControl/>
        <w:autoSpaceDE/>
        <w:autoSpaceDN/>
        <w:adjustRightInd/>
        <w:rPr>
          <w:rFonts w:cs="Calibri"/>
        </w:rPr>
        <w:sectPr w:rsidR="005128CD" w:rsidRPr="001C1E47" w:rsidSect="00476C08">
          <w:headerReference w:type="default" r:id="rId25"/>
          <w:footerReference w:type="default" r:id="rId26"/>
          <w:pgSz w:w="12240" w:h="15840" w:code="1"/>
          <w:pgMar w:top="1440" w:right="1440" w:bottom="1440" w:left="1440" w:header="720" w:footer="720" w:gutter="0"/>
          <w:cols w:space="720"/>
          <w:noEndnote/>
          <w:docGrid w:linePitch="326"/>
        </w:sectPr>
      </w:pPr>
    </w:p>
    <w:p w14:paraId="6573BAF6" w14:textId="3FAD77B0" w:rsidR="00634539" w:rsidRPr="001C1E47" w:rsidRDefault="00634539" w:rsidP="00634539">
      <w:pPr>
        <w:tabs>
          <w:tab w:val="left" w:pos="3405"/>
        </w:tabs>
        <w:rPr>
          <w:rFonts w:cs="Calibri"/>
        </w:rPr>
      </w:pPr>
    </w:p>
    <w:sectPr w:rsidR="00634539" w:rsidRPr="001C1E47" w:rsidSect="005128CD">
      <w:headerReference w:type="default" r:id="rId27"/>
      <w:footerReference w:type="default" r:id="rId28"/>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EF593" w14:textId="77777777" w:rsidR="00D0032B" w:rsidRDefault="00D0032B" w:rsidP="00C872A0">
      <w:r>
        <w:separator/>
      </w:r>
    </w:p>
  </w:endnote>
  <w:endnote w:type="continuationSeparator" w:id="0">
    <w:p w14:paraId="0DB3D5B3" w14:textId="77777777" w:rsidR="00D0032B" w:rsidRDefault="00D0032B"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07CD0" w14:textId="77777777" w:rsidR="007E5940" w:rsidRDefault="007E5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046971"/>
      <w:docPartObj>
        <w:docPartGallery w:val="Page Numbers (Bottom of Page)"/>
        <w:docPartUnique/>
      </w:docPartObj>
    </w:sdtPr>
    <w:sdtEndPr>
      <w:rPr>
        <w:noProof/>
      </w:rPr>
    </w:sdtEndPr>
    <w:sdtContent>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0D64" w14:textId="77777777" w:rsidR="00780E29" w:rsidRDefault="00780E29">
    <w:pPr>
      <w:pStyle w:val="Footer"/>
      <w:jc w:val="center"/>
    </w:pPr>
    <w:r>
      <w:t>B-1</w:t>
    </w:r>
  </w:p>
  <w:p w14:paraId="1056AAF8" w14:textId="77777777" w:rsidR="00780E29" w:rsidRDefault="00780E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072240"/>
      <w:docPartObj>
        <w:docPartGallery w:val="Page Numbers (Bottom of Page)"/>
        <w:docPartUnique/>
      </w:docPartObj>
    </w:sdtPr>
    <w:sdtEndPr>
      <w:rPr>
        <w:noProof/>
      </w:rPr>
    </w:sdtEndPr>
    <w:sdtContent>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9E6FE" w14:textId="77777777" w:rsidR="00780E29" w:rsidRDefault="00780E2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75891"/>
      <w:docPartObj>
        <w:docPartGallery w:val="Page Numbers (Bottom of Page)"/>
        <w:docPartUnique/>
      </w:docPartObj>
    </w:sdtPr>
    <w:sdtEndPr>
      <w:rPr>
        <w:noProof/>
      </w:rPr>
    </w:sdtEndPr>
    <w:sdtContent>
      <w:p w14:paraId="2EB48E40" w14:textId="55C41B5C"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3659E" w14:textId="1668AEAF" w:rsidR="00780E29" w:rsidRPr="00E20610" w:rsidRDefault="00780E29" w:rsidP="00E2061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FE6C3" w14:textId="77777777" w:rsidR="00D0032B" w:rsidRDefault="00D0032B" w:rsidP="00C872A0">
      <w:r>
        <w:separator/>
      </w:r>
    </w:p>
  </w:footnote>
  <w:footnote w:type="continuationSeparator" w:id="0">
    <w:p w14:paraId="1514D56C" w14:textId="77777777" w:rsidR="00D0032B" w:rsidRDefault="00D0032B"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9069A" w14:textId="77777777" w:rsidR="007E5940" w:rsidRDefault="007E594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E7B3" w14:textId="2FA7B352" w:rsidR="00780E29" w:rsidRPr="000767C0" w:rsidRDefault="00780E29" w:rsidP="009A2ED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9B549" w14:textId="01672A48" w:rsidR="007E5940" w:rsidRDefault="007E59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787D" w14:textId="53419A2F" w:rsidR="007E5940" w:rsidRDefault="007E59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59F0" w14:textId="574F2C4F" w:rsidR="00780E29" w:rsidRPr="00B6741C" w:rsidRDefault="00780E29" w:rsidP="00B674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A15F" w14:textId="0461E266" w:rsidR="00780E29" w:rsidRPr="00B6741C" w:rsidRDefault="00780E29" w:rsidP="00B674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CA39" w14:textId="77777777" w:rsidR="00780E29" w:rsidRPr="00283FF9" w:rsidRDefault="00780E29" w:rsidP="00476C08">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B8D7" w14:textId="77777777"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92CC" w14:textId="0A117B51" w:rsidR="00780E29" w:rsidRPr="006F2309" w:rsidRDefault="00780E29" w:rsidP="006F2309">
    <w:pPr>
      <w:pStyle w:val="Header"/>
    </w:pPr>
    <w:r w:rsidRPr="006F2309">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A0A7" w14:textId="11A2137F" w:rsidR="00780E29" w:rsidRPr="00D2585B" w:rsidRDefault="00780E29" w:rsidP="00D25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7036522A"/>
    <w:lvl w:ilvl="0" w:tplc="A30811B8">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0"/>
  </w:num>
  <w:num w:numId="5" w16cid:durableId="437339714">
    <w:abstractNumId w:val="28"/>
  </w:num>
  <w:num w:numId="6" w16cid:durableId="1373268660">
    <w:abstractNumId w:val="25"/>
  </w:num>
  <w:num w:numId="7" w16cid:durableId="1614284284">
    <w:abstractNumId w:val="26"/>
  </w:num>
  <w:num w:numId="8" w16cid:durableId="1901401974">
    <w:abstractNumId w:val="29"/>
  </w:num>
  <w:num w:numId="9" w16cid:durableId="340623116">
    <w:abstractNumId w:val="27"/>
  </w:num>
  <w:num w:numId="10" w16cid:durableId="1713532647">
    <w:abstractNumId w:val="31"/>
  </w:num>
  <w:num w:numId="11" w16cid:durableId="247546233">
    <w:abstractNumId w:val="23"/>
  </w:num>
  <w:num w:numId="12" w16cid:durableId="1587691524">
    <w:abstractNumId w:val="24"/>
  </w:num>
  <w:num w:numId="13" w16cid:durableId="1425178539">
    <w:abstractNumId w:val="27"/>
  </w:num>
  <w:num w:numId="14" w16cid:durableId="1311910325">
    <w:abstractNumId w:val="27"/>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14B6"/>
    <w:rsid w:val="0000201A"/>
    <w:rsid w:val="00002805"/>
    <w:rsid w:val="00002B73"/>
    <w:rsid w:val="000036AB"/>
    <w:rsid w:val="00004200"/>
    <w:rsid w:val="00007781"/>
    <w:rsid w:val="000116C0"/>
    <w:rsid w:val="00011F3D"/>
    <w:rsid w:val="00014C7A"/>
    <w:rsid w:val="00016214"/>
    <w:rsid w:val="00016803"/>
    <w:rsid w:val="0001706D"/>
    <w:rsid w:val="00017349"/>
    <w:rsid w:val="00020D37"/>
    <w:rsid w:val="00021274"/>
    <w:rsid w:val="000217D1"/>
    <w:rsid w:val="00021FE0"/>
    <w:rsid w:val="00022BEE"/>
    <w:rsid w:val="00023E67"/>
    <w:rsid w:val="000248F0"/>
    <w:rsid w:val="0002572C"/>
    <w:rsid w:val="00025F57"/>
    <w:rsid w:val="00026D63"/>
    <w:rsid w:val="00027093"/>
    <w:rsid w:val="0003442F"/>
    <w:rsid w:val="00034A4E"/>
    <w:rsid w:val="00035083"/>
    <w:rsid w:val="0003567C"/>
    <w:rsid w:val="00036865"/>
    <w:rsid w:val="00036BF8"/>
    <w:rsid w:val="00036EB4"/>
    <w:rsid w:val="00036F0D"/>
    <w:rsid w:val="00037112"/>
    <w:rsid w:val="00037D90"/>
    <w:rsid w:val="00037F48"/>
    <w:rsid w:val="000404ED"/>
    <w:rsid w:val="00042327"/>
    <w:rsid w:val="0004310A"/>
    <w:rsid w:val="00043515"/>
    <w:rsid w:val="00044436"/>
    <w:rsid w:val="000447C9"/>
    <w:rsid w:val="000449F8"/>
    <w:rsid w:val="00045479"/>
    <w:rsid w:val="00045BD6"/>
    <w:rsid w:val="00045C51"/>
    <w:rsid w:val="00046151"/>
    <w:rsid w:val="000468C6"/>
    <w:rsid w:val="00046BEE"/>
    <w:rsid w:val="00046E13"/>
    <w:rsid w:val="000470EE"/>
    <w:rsid w:val="0005007B"/>
    <w:rsid w:val="00050FEB"/>
    <w:rsid w:val="000517FA"/>
    <w:rsid w:val="00051FF5"/>
    <w:rsid w:val="00052B36"/>
    <w:rsid w:val="00053A2C"/>
    <w:rsid w:val="0005422F"/>
    <w:rsid w:val="00054416"/>
    <w:rsid w:val="00054900"/>
    <w:rsid w:val="00055243"/>
    <w:rsid w:val="00055B40"/>
    <w:rsid w:val="00055F2C"/>
    <w:rsid w:val="00057840"/>
    <w:rsid w:val="00060D39"/>
    <w:rsid w:val="0006162B"/>
    <w:rsid w:val="00061875"/>
    <w:rsid w:val="000625FB"/>
    <w:rsid w:val="0006398D"/>
    <w:rsid w:val="00064D25"/>
    <w:rsid w:val="00065AB2"/>
    <w:rsid w:val="0006611A"/>
    <w:rsid w:val="00066A7B"/>
    <w:rsid w:val="00066C52"/>
    <w:rsid w:val="000701E4"/>
    <w:rsid w:val="0007073F"/>
    <w:rsid w:val="0007157F"/>
    <w:rsid w:val="00071E71"/>
    <w:rsid w:val="000724F1"/>
    <w:rsid w:val="0007306B"/>
    <w:rsid w:val="000743D1"/>
    <w:rsid w:val="00074876"/>
    <w:rsid w:val="00075D50"/>
    <w:rsid w:val="000760CB"/>
    <w:rsid w:val="00076601"/>
    <w:rsid w:val="000767C0"/>
    <w:rsid w:val="00077410"/>
    <w:rsid w:val="00080D26"/>
    <w:rsid w:val="00083A76"/>
    <w:rsid w:val="00085230"/>
    <w:rsid w:val="00086F2F"/>
    <w:rsid w:val="0008759E"/>
    <w:rsid w:val="00087EE9"/>
    <w:rsid w:val="00090155"/>
    <w:rsid w:val="000902ED"/>
    <w:rsid w:val="0009134A"/>
    <w:rsid w:val="00091ABD"/>
    <w:rsid w:val="00091AE2"/>
    <w:rsid w:val="00091B54"/>
    <w:rsid w:val="000923E0"/>
    <w:rsid w:val="00092555"/>
    <w:rsid w:val="000927F1"/>
    <w:rsid w:val="000929B5"/>
    <w:rsid w:val="00092BC3"/>
    <w:rsid w:val="00092F1B"/>
    <w:rsid w:val="00093239"/>
    <w:rsid w:val="0009535D"/>
    <w:rsid w:val="0009583F"/>
    <w:rsid w:val="000969E2"/>
    <w:rsid w:val="000A134A"/>
    <w:rsid w:val="000A1CE9"/>
    <w:rsid w:val="000A2DE7"/>
    <w:rsid w:val="000A3878"/>
    <w:rsid w:val="000A40EC"/>
    <w:rsid w:val="000A476F"/>
    <w:rsid w:val="000A55DB"/>
    <w:rsid w:val="000A658C"/>
    <w:rsid w:val="000A7279"/>
    <w:rsid w:val="000A7A05"/>
    <w:rsid w:val="000B07D7"/>
    <w:rsid w:val="000B1A5B"/>
    <w:rsid w:val="000B1ECC"/>
    <w:rsid w:val="000B22E4"/>
    <w:rsid w:val="000B3A37"/>
    <w:rsid w:val="000B440B"/>
    <w:rsid w:val="000B4852"/>
    <w:rsid w:val="000B6A8A"/>
    <w:rsid w:val="000C04C6"/>
    <w:rsid w:val="000C0E15"/>
    <w:rsid w:val="000C0E53"/>
    <w:rsid w:val="000C12C6"/>
    <w:rsid w:val="000C1882"/>
    <w:rsid w:val="000C1D85"/>
    <w:rsid w:val="000C1ED8"/>
    <w:rsid w:val="000C23AB"/>
    <w:rsid w:val="000C295F"/>
    <w:rsid w:val="000C2E74"/>
    <w:rsid w:val="000C368E"/>
    <w:rsid w:val="000C38BD"/>
    <w:rsid w:val="000C4141"/>
    <w:rsid w:val="000C43DE"/>
    <w:rsid w:val="000C46E4"/>
    <w:rsid w:val="000C5BBC"/>
    <w:rsid w:val="000C5C82"/>
    <w:rsid w:val="000C677A"/>
    <w:rsid w:val="000C7C9A"/>
    <w:rsid w:val="000D0C65"/>
    <w:rsid w:val="000D343F"/>
    <w:rsid w:val="000D36B1"/>
    <w:rsid w:val="000D4560"/>
    <w:rsid w:val="000D4A64"/>
    <w:rsid w:val="000D5954"/>
    <w:rsid w:val="000D750A"/>
    <w:rsid w:val="000D7AAD"/>
    <w:rsid w:val="000E0408"/>
    <w:rsid w:val="000E07E7"/>
    <w:rsid w:val="000E0DD1"/>
    <w:rsid w:val="000E1AA2"/>
    <w:rsid w:val="000E20A2"/>
    <w:rsid w:val="000E46F3"/>
    <w:rsid w:val="000E5C64"/>
    <w:rsid w:val="000E6466"/>
    <w:rsid w:val="000E7F42"/>
    <w:rsid w:val="000F1D68"/>
    <w:rsid w:val="000F1E3E"/>
    <w:rsid w:val="000F1E49"/>
    <w:rsid w:val="000F46ED"/>
    <w:rsid w:val="000F4DA3"/>
    <w:rsid w:val="000F5631"/>
    <w:rsid w:val="000F5A36"/>
    <w:rsid w:val="000F6251"/>
    <w:rsid w:val="000F63C1"/>
    <w:rsid w:val="000F6A5C"/>
    <w:rsid w:val="000F7ECC"/>
    <w:rsid w:val="001039FA"/>
    <w:rsid w:val="001056A7"/>
    <w:rsid w:val="00105A5F"/>
    <w:rsid w:val="0011011A"/>
    <w:rsid w:val="00110CB0"/>
    <w:rsid w:val="001113A1"/>
    <w:rsid w:val="00112C81"/>
    <w:rsid w:val="0011326F"/>
    <w:rsid w:val="0011522A"/>
    <w:rsid w:val="00115B48"/>
    <w:rsid w:val="00115DF5"/>
    <w:rsid w:val="00116055"/>
    <w:rsid w:val="001170E4"/>
    <w:rsid w:val="00117115"/>
    <w:rsid w:val="001174A0"/>
    <w:rsid w:val="001206B1"/>
    <w:rsid w:val="0012164B"/>
    <w:rsid w:val="00121CF0"/>
    <w:rsid w:val="00122228"/>
    <w:rsid w:val="0012279E"/>
    <w:rsid w:val="00122839"/>
    <w:rsid w:val="00122BD3"/>
    <w:rsid w:val="00123AC4"/>
    <w:rsid w:val="00125065"/>
    <w:rsid w:val="00125345"/>
    <w:rsid w:val="00125C8A"/>
    <w:rsid w:val="00126880"/>
    <w:rsid w:val="00132862"/>
    <w:rsid w:val="00132F71"/>
    <w:rsid w:val="001330E6"/>
    <w:rsid w:val="001341FE"/>
    <w:rsid w:val="00134F5C"/>
    <w:rsid w:val="00134F5D"/>
    <w:rsid w:val="001352FE"/>
    <w:rsid w:val="001358F0"/>
    <w:rsid w:val="00136DA3"/>
    <w:rsid w:val="001376D1"/>
    <w:rsid w:val="001379BB"/>
    <w:rsid w:val="00140C21"/>
    <w:rsid w:val="00141758"/>
    <w:rsid w:val="0014199D"/>
    <w:rsid w:val="00141B8A"/>
    <w:rsid w:val="00142198"/>
    <w:rsid w:val="00142EFE"/>
    <w:rsid w:val="00143ACD"/>
    <w:rsid w:val="0014420A"/>
    <w:rsid w:val="00144A53"/>
    <w:rsid w:val="00145BC1"/>
    <w:rsid w:val="001469F6"/>
    <w:rsid w:val="001471B8"/>
    <w:rsid w:val="00147B01"/>
    <w:rsid w:val="00147F8B"/>
    <w:rsid w:val="00150F03"/>
    <w:rsid w:val="001515BB"/>
    <w:rsid w:val="00151CFD"/>
    <w:rsid w:val="00152207"/>
    <w:rsid w:val="00155307"/>
    <w:rsid w:val="00155591"/>
    <w:rsid w:val="00156CD6"/>
    <w:rsid w:val="00156E0C"/>
    <w:rsid w:val="00157520"/>
    <w:rsid w:val="00161740"/>
    <w:rsid w:val="0016336D"/>
    <w:rsid w:val="00163E90"/>
    <w:rsid w:val="00172085"/>
    <w:rsid w:val="00173853"/>
    <w:rsid w:val="001743E2"/>
    <w:rsid w:val="0017552C"/>
    <w:rsid w:val="00176DF8"/>
    <w:rsid w:val="0017726D"/>
    <w:rsid w:val="00177A1E"/>
    <w:rsid w:val="00177D70"/>
    <w:rsid w:val="001810E3"/>
    <w:rsid w:val="00182B5C"/>
    <w:rsid w:val="00182CE0"/>
    <w:rsid w:val="001843E2"/>
    <w:rsid w:val="00184E43"/>
    <w:rsid w:val="00185C7D"/>
    <w:rsid w:val="001861B8"/>
    <w:rsid w:val="00187065"/>
    <w:rsid w:val="00187182"/>
    <w:rsid w:val="001902FE"/>
    <w:rsid w:val="001927A4"/>
    <w:rsid w:val="00192881"/>
    <w:rsid w:val="00192C14"/>
    <w:rsid w:val="00193E53"/>
    <w:rsid w:val="001941DE"/>
    <w:rsid w:val="00195153"/>
    <w:rsid w:val="001958C8"/>
    <w:rsid w:val="001A2967"/>
    <w:rsid w:val="001A335E"/>
    <w:rsid w:val="001A3671"/>
    <w:rsid w:val="001A6B79"/>
    <w:rsid w:val="001A7BB9"/>
    <w:rsid w:val="001A7F60"/>
    <w:rsid w:val="001B0219"/>
    <w:rsid w:val="001B02D7"/>
    <w:rsid w:val="001B0632"/>
    <w:rsid w:val="001B0AF1"/>
    <w:rsid w:val="001B160F"/>
    <w:rsid w:val="001B284A"/>
    <w:rsid w:val="001B346B"/>
    <w:rsid w:val="001B58AA"/>
    <w:rsid w:val="001B6DA7"/>
    <w:rsid w:val="001B77A2"/>
    <w:rsid w:val="001C0A69"/>
    <w:rsid w:val="001C0C29"/>
    <w:rsid w:val="001C154D"/>
    <w:rsid w:val="001C1E47"/>
    <w:rsid w:val="001C2B11"/>
    <w:rsid w:val="001C3276"/>
    <w:rsid w:val="001C3682"/>
    <w:rsid w:val="001C44E8"/>
    <w:rsid w:val="001C560E"/>
    <w:rsid w:val="001C58C2"/>
    <w:rsid w:val="001C620B"/>
    <w:rsid w:val="001D07D2"/>
    <w:rsid w:val="001D1819"/>
    <w:rsid w:val="001D1A16"/>
    <w:rsid w:val="001D1CD3"/>
    <w:rsid w:val="001D6530"/>
    <w:rsid w:val="001D681F"/>
    <w:rsid w:val="001D6D4A"/>
    <w:rsid w:val="001D6D59"/>
    <w:rsid w:val="001D7428"/>
    <w:rsid w:val="001D7613"/>
    <w:rsid w:val="001E0EFF"/>
    <w:rsid w:val="001E1B35"/>
    <w:rsid w:val="001E1C5D"/>
    <w:rsid w:val="001E1CB1"/>
    <w:rsid w:val="001E1FD1"/>
    <w:rsid w:val="001E2D62"/>
    <w:rsid w:val="001E2FBB"/>
    <w:rsid w:val="001E4C26"/>
    <w:rsid w:val="001E4F8A"/>
    <w:rsid w:val="001E5ABD"/>
    <w:rsid w:val="001E5C43"/>
    <w:rsid w:val="001E5FE4"/>
    <w:rsid w:val="001E71BA"/>
    <w:rsid w:val="001F0B51"/>
    <w:rsid w:val="001F1D8A"/>
    <w:rsid w:val="001F2E6C"/>
    <w:rsid w:val="001F359C"/>
    <w:rsid w:val="001F3750"/>
    <w:rsid w:val="001F40E1"/>
    <w:rsid w:val="001F58B8"/>
    <w:rsid w:val="001F7C7C"/>
    <w:rsid w:val="00200D27"/>
    <w:rsid w:val="002011AC"/>
    <w:rsid w:val="00201EB9"/>
    <w:rsid w:val="00202BD7"/>
    <w:rsid w:val="0020300E"/>
    <w:rsid w:val="002048CC"/>
    <w:rsid w:val="0020506D"/>
    <w:rsid w:val="00205391"/>
    <w:rsid w:val="00205A99"/>
    <w:rsid w:val="00205B95"/>
    <w:rsid w:val="0020733F"/>
    <w:rsid w:val="00207B94"/>
    <w:rsid w:val="00210157"/>
    <w:rsid w:val="002109DA"/>
    <w:rsid w:val="00210E15"/>
    <w:rsid w:val="00211626"/>
    <w:rsid w:val="0021277A"/>
    <w:rsid w:val="00212BC7"/>
    <w:rsid w:val="0021380C"/>
    <w:rsid w:val="00213FCA"/>
    <w:rsid w:val="00216621"/>
    <w:rsid w:val="00216B0E"/>
    <w:rsid w:val="00217433"/>
    <w:rsid w:val="00217437"/>
    <w:rsid w:val="0022017B"/>
    <w:rsid w:val="00222350"/>
    <w:rsid w:val="002231D3"/>
    <w:rsid w:val="002235BD"/>
    <w:rsid w:val="002235F3"/>
    <w:rsid w:val="00223712"/>
    <w:rsid w:val="002247E7"/>
    <w:rsid w:val="0022537C"/>
    <w:rsid w:val="0022685E"/>
    <w:rsid w:val="0022759C"/>
    <w:rsid w:val="00227868"/>
    <w:rsid w:val="00230915"/>
    <w:rsid w:val="00230D53"/>
    <w:rsid w:val="0023191B"/>
    <w:rsid w:val="002337B2"/>
    <w:rsid w:val="00233C64"/>
    <w:rsid w:val="002404BA"/>
    <w:rsid w:val="002427F7"/>
    <w:rsid w:val="00243015"/>
    <w:rsid w:val="0024338F"/>
    <w:rsid w:val="00246DBE"/>
    <w:rsid w:val="002511A8"/>
    <w:rsid w:val="002511E9"/>
    <w:rsid w:val="002512E8"/>
    <w:rsid w:val="00251FA2"/>
    <w:rsid w:val="002523FB"/>
    <w:rsid w:val="0025287C"/>
    <w:rsid w:val="002529E8"/>
    <w:rsid w:val="00253249"/>
    <w:rsid w:val="002536CB"/>
    <w:rsid w:val="0025526A"/>
    <w:rsid w:val="00255EA4"/>
    <w:rsid w:val="00260A89"/>
    <w:rsid w:val="00260C9F"/>
    <w:rsid w:val="00261A11"/>
    <w:rsid w:val="00262A51"/>
    <w:rsid w:val="00262DDC"/>
    <w:rsid w:val="002648FC"/>
    <w:rsid w:val="00265778"/>
    <w:rsid w:val="002658D0"/>
    <w:rsid w:val="002679E5"/>
    <w:rsid w:val="00270695"/>
    <w:rsid w:val="002707B8"/>
    <w:rsid w:val="0027084D"/>
    <w:rsid w:val="00270C5F"/>
    <w:rsid w:val="002725BC"/>
    <w:rsid w:val="002731DE"/>
    <w:rsid w:val="002735F9"/>
    <w:rsid w:val="00273CD1"/>
    <w:rsid w:val="00274463"/>
    <w:rsid w:val="0027502F"/>
    <w:rsid w:val="00277C24"/>
    <w:rsid w:val="0028166F"/>
    <w:rsid w:val="00281733"/>
    <w:rsid w:val="0028174D"/>
    <w:rsid w:val="00281A30"/>
    <w:rsid w:val="002823D9"/>
    <w:rsid w:val="002831C6"/>
    <w:rsid w:val="00283DDB"/>
    <w:rsid w:val="00283FF9"/>
    <w:rsid w:val="0028717F"/>
    <w:rsid w:val="00290B29"/>
    <w:rsid w:val="002918D3"/>
    <w:rsid w:val="00292313"/>
    <w:rsid w:val="00292C43"/>
    <w:rsid w:val="00293966"/>
    <w:rsid w:val="00294168"/>
    <w:rsid w:val="00294245"/>
    <w:rsid w:val="002948AE"/>
    <w:rsid w:val="00294FD0"/>
    <w:rsid w:val="002954DC"/>
    <w:rsid w:val="0029647F"/>
    <w:rsid w:val="002966F6"/>
    <w:rsid w:val="00296B1E"/>
    <w:rsid w:val="00297ABC"/>
    <w:rsid w:val="002A2421"/>
    <w:rsid w:val="002A39F7"/>
    <w:rsid w:val="002A40A1"/>
    <w:rsid w:val="002A4594"/>
    <w:rsid w:val="002A4934"/>
    <w:rsid w:val="002A50A7"/>
    <w:rsid w:val="002A65C4"/>
    <w:rsid w:val="002A6CAA"/>
    <w:rsid w:val="002A6EA8"/>
    <w:rsid w:val="002B020A"/>
    <w:rsid w:val="002B228C"/>
    <w:rsid w:val="002B334F"/>
    <w:rsid w:val="002B3E37"/>
    <w:rsid w:val="002B4100"/>
    <w:rsid w:val="002B4250"/>
    <w:rsid w:val="002B429D"/>
    <w:rsid w:val="002B43F3"/>
    <w:rsid w:val="002B4830"/>
    <w:rsid w:val="002B4F49"/>
    <w:rsid w:val="002B52EA"/>
    <w:rsid w:val="002B63FA"/>
    <w:rsid w:val="002B7D36"/>
    <w:rsid w:val="002C1D5C"/>
    <w:rsid w:val="002C1E78"/>
    <w:rsid w:val="002C21A1"/>
    <w:rsid w:val="002C4E8C"/>
    <w:rsid w:val="002C65D1"/>
    <w:rsid w:val="002C6D34"/>
    <w:rsid w:val="002C7A41"/>
    <w:rsid w:val="002D0261"/>
    <w:rsid w:val="002D1D1E"/>
    <w:rsid w:val="002D473A"/>
    <w:rsid w:val="002D4F37"/>
    <w:rsid w:val="002D54B7"/>
    <w:rsid w:val="002D61CE"/>
    <w:rsid w:val="002D6D66"/>
    <w:rsid w:val="002D6E03"/>
    <w:rsid w:val="002E030B"/>
    <w:rsid w:val="002E211F"/>
    <w:rsid w:val="002E24EB"/>
    <w:rsid w:val="002E3336"/>
    <w:rsid w:val="002E397D"/>
    <w:rsid w:val="002E43B7"/>
    <w:rsid w:val="002E4405"/>
    <w:rsid w:val="002E4FDC"/>
    <w:rsid w:val="002E50F9"/>
    <w:rsid w:val="002E516E"/>
    <w:rsid w:val="002E5F0C"/>
    <w:rsid w:val="002E6386"/>
    <w:rsid w:val="002E6E73"/>
    <w:rsid w:val="002E799C"/>
    <w:rsid w:val="002F140C"/>
    <w:rsid w:val="002F313C"/>
    <w:rsid w:val="002F4FA0"/>
    <w:rsid w:val="002F5F07"/>
    <w:rsid w:val="002F78C9"/>
    <w:rsid w:val="002F7F47"/>
    <w:rsid w:val="0030105C"/>
    <w:rsid w:val="00304846"/>
    <w:rsid w:val="00304930"/>
    <w:rsid w:val="0030523E"/>
    <w:rsid w:val="00306137"/>
    <w:rsid w:val="00312D97"/>
    <w:rsid w:val="00312FDE"/>
    <w:rsid w:val="00314843"/>
    <w:rsid w:val="0031493F"/>
    <w:rsid w:val="00315E58"/>
    <w:rsid w:val="00320A32"/>
    <w:rsid w:val="00322518"/>
    <w:rsid w:val="00322C51"/>
    <w:rsid w:val="003235C8"/>
    <w:rsid w:val="003249AC"/>
    <w:rsid w:val="0032597C"/>
    <w:rsid w:val="00327926"/>
    <w:rsid w:val="00327E12"/>
    <w:rsid w:val="003306BF"/>
    <w:rsid w:val="00331F49"/>
    <w:rsid w:val="00334155"/>
    <w:rsid w:val="0033567A"/>
    <w:rsid w:val="00336613"/>
    <w:rsid w:val="00336FF6"/>
    <w:rsid w:val="0033715B"/>
    <w:rsid w:val="00337AF3"/>
    <w:rsid w:val="003400CE"/>
    <w:rsid w:val="00340ED2"/>
    <w:rsid w:val="00341DD1"/>
    <w:rsid w:val="00342386"/>
    <w:rsid w:val="00343604"/>
    <w:rsid w:val="00344186"/>
    <w:rsid w:val="00344D3F"/>
    <w:rsid w:val="0034504D"/>
    <w:rsid w:val="00345174"/>
    <w:rsid w:val="0034562A"/>
    <w:rsid w:val="003478A8"/>
    <w:rsid w:val="00350189"/>
    <w:rsid w:val="0035126D"/>
    <w:rsid w:val="00351ABE"/>
    <w:rsid w:val="00351DAD"/>
    <w:rsid w:val="0035339C"/>
    <w:rsid w:val="0035483B"/>
    <w:rsid w:val="0035620E"/>
    <w:rsid w:val="0035765D"/>
    <w:rsid w:val="00360CDE"/>
    <w:rsid w:val="003625AF"/>
    <w:rsid w:val="00363176"/>
    <w:rsid w:val="00363AF6"/>
    <w:rsid w:val="0036417D"/>
    <w:rsid w:val="0036420B"/>
    <w:rsid w:val="00366F9E"/>
    <w:rsid w:val="00366FCA"/>
    <w:rsid w:val="00367030"/>
    <w:rsid w:val="003675BA"/>
    <w:rsid w:val="00371330"/>
    <w:rsid w:val="00373067"/>
    <w:rsid w:val="00373624"/>
    <w:rsid w:val="00374643"/>
    <w:rsid w:val="00374E61"/>
    <w:rsid w:val="0037554E"/>
    <w:rsid w:val="003759CE"/>
    <w:rsid w:val="00375AFE"/>
    <w:rsid w:val="003762A2"/>
    <w:rsid w:val="00380246"/>
    <w:rsid w:val="0038038C"/>
    <w:rsid w:val="00380DBE"/>
    <w:rsid w:val="003810F0"/>
    <w:rsid w:val="003822A8"/>
    <w:rsid w:val="00382632"/>
    <w:rsid w:val="00383151"/>
    <w:rsid w:val="00383223"/>
    <w:rsid w:val="00383997"/>
    <w:rsid w:val="00384D3F"/>
    <w:rsid w:val="003861AB"/>
    <w:rsid w:val="0038622A"/>
    <w:rsid w:val="00386A92"/>
    <w:rsid w:val="00387B03"/>
    <w:rsid w:val="00387C8A"/>
    <w:rsid w:val="0039036E"/>
    <w:rsid w:val="00391D6F"/>
    <w:rsid w:val="00392C0A"/>
    <w:rsid w:val="0039497C"/>
    <w:rsid w:val="0039504F"/>
    <w:rsid w:val="00395A18"/>
    <w:rsid w:val="0039632A"/>
    <w:rsid w:val="00396CFB"/>
    <w:rsid w:val="003A15AE"/>
    <w:rsid w:val="003A1E5E"/>
    <w:rsid w:val="003A1F58"/>
    <w:rsid w:val="003A20DA"/>
    <w:rsid w:val="003A2119"/>
    <w:rsid w:val="003A24D5"/>
    <w:rsid w:val="003A4DB5"/>
    <w:rsid w:val="003A4F3E"/>
    <w:rsid w:val="003A53CD"/>
    <w:rsid w:val="003A6DB0"/>
    <w:rsid w:val="003A79DB"/>
    <w:rsid w:val="003B022E"/>
    <w:rsid w:val="003B2977"/>
    <w:rsid w:val="003B3314"/>
    <w:rsid w:val="003B3D85"/>
    <w:rsid w:val="003B3DD0"/>
    <w:rsid w:val="003B572B"/>
    <w:rsid w:val="003B5B99"/>
    <w:rsid w:val="003B5F12"/>
    <w:rsid w:val="003B7931"/>
    <w:rsid w:val="003C24E4"/>
    <w:rsid w:val="003C25AC"/>
    <w:rsid w:val="003C32BA"/>
    <w:rsid w:val="003C45C1"/>
    <w:rsid w:val="003C553A"/>
    <w:rsid w:val="003C5C8B"/>
    <w:rsid w:val="003C664A"/>
    <w:rsid w:val="003C70C3"/>
    <w:rsid w:val="003D0C21"/>
    <w:rsid w:val="003D248B"/>
    <w:rsid w:val="003D2F9B"/>
    <w:rsid w:val="003D4C4D"/>
    <w:rsid w:val="003D4ED4"/>
    <w:rsid w:val="003D53B8"/>
    <w:rsid w:val="003D5D7B"/>
    <w:rsid w:val="003D6D33"/>
    <w:rsid w:val="003D750D"/>
    <w:rsid w:val="003D7B58"/>
    <w:rsid w:val="003E01A1"/>
    <w:rsid w:val="003E1251"/>
    <w:rsid w:val="003E2170"/>
    <w:rsid w:val="003E375A"/>
    <w:rsid w:val="003E4294"/>
    <w:rsid w:val="003E4B5E"/>
    <w:rsid w:val="003E6165"/>
    <w:rsid w:val="003E6A8F"/>
    <w:rsid w:val="003E6E8B"/>
    <w:rsid w:val="003E7A6E"/>
    <w:rsid w:val="003E7AEA"/>
    <w:rsid w:val="003F0994"/>
    <w:rsid w:val="003F0FB1"/>
    <w:rsid w:val="003F2A05"/>
    <w:rsid w:val="003F2C9D"/>
    <w:rsid w:val="003F2E2D"/>
    <w:rsid w:val="003F2E40"/>
    <w:rsid w:val="003F46FA"/>
    <w:rsid w:val="003F4E1D"/>
    <w:rsid w:val="003F6C61"/>
    <w:rsid w:val="003F7844"/>
    <w:rsid w:val="003F78C1"/>
    <w:rsid w:val="003F7A1E"/>
    <w:rsid w:val="004007AC"/>
    <w:rsid w:val="00401AD3"/>
    <w:rsid w:val="00401DF0"/>
    <w:rsid w:val="0040227E"/>
    <w:rsid w:val="00403973"/>
    <w:rsid w:val="00403ADC"/>
    <w:rsid w:val="0040424A"/>
    <w:rsid w:val="004103CD"/>
    <w:rsid w:val="00410A18"/>
    <w:rsid w:val="00410CBE"/>
    <w:rsid w:val="004118E9"/>
    <w:rsid w:val="004119E8"/>
    <w:rsid w:val="00411E44"/>
    <w:rsid w:val="004134D7"/>
    <w:rsid w:val="004138A5"/>
    <w:rsid w:val="00414885"/>
    <w:rsid w:val="004148C0"/>
    <w:rsid w:val="00414F98"/>
    <w:rsid w:val="0041560D"/>
    <w:rsid w:val="00416112"/>
    <w:rsid w:val="004202C9"/>
    <w:rsid w:val="00422070"/>
    <w:rsid w:val="0042395F"/>
    <w:rsid w:val="0042568D"/>
    <w:rsid w:val="00425EE1"/>
    <w:rsid w:val="00426918"/>
    <w:rsid w:val="0042694A"/>
    <w:rsid w:val="00430741"/>
    <w:rsid w:val="00430D4A"/>
    <w:rsid w:val="00431115"/>
    <w:rsid w:val="00431F6C"/>
    <w:rsid w:val="00435253"/>
    <w:rsid w:val="004359BB"/>
    <w:rsid w:val="00435D04"/>
    <w:rsid w:val="00437F1E"/>
    <w:rsid w:val="00440DF1"/>
    <w:rsid w:val="004412A1"/>
    <w:rsid w:val="004419F6"/>
    <w:rsid w:val="00442818"/>
    <w:rsid w:val="00443054"/>
    <w:rsid w:val="00443D46"/>
    <w:rsid w:val="00446455"/>
    <w:rsid w:val="0045049B"/>
    <w:rsid w:val="00451D3D"/>
    <w:rsid w:val="00451DA6"/>
    <w:rsid w:val="00454277"/>
    <w:rsid w:val="00454FE1"/>
    <w:rsid w:val="00456A58"/>
    <w:rsid w:val="00456AB3"/>
    <w:rsid w:val="00456C45"/>
    <w:rsid w:val="00457149"/>
    <w:rsid w:val="0046047E"/>
    <w:rsid w:val="004606B9"/>
    <w:rsid w:val="00464590"/>
    <w:rsid w:val="00464C75"/>
    <w:rsid w:val="004658D1"/>
    <w:rsid w:val="00466B8D"/>
    <w:rsid w:val="00470794"/>
    <w:rsid w:val="00471DCC"/>
    <w:rsid w:val="004729E0"/>
    <w:rsid w:val="00473850"/>
    <w:rsid w:val="00473A4D"/>
    <w:rsid w:val="00473DD7"/>
    <w:rsid w:val="00473E98"/>
    <w:rsid w:val="004740E8"/>
    <w:rsid w:val="00474125"/>
    <w:rsid w:val="004745DA"/>
    <w:rsid w:val="00474896"/>
    <w:rsid w:val="00475E79"/>
    <w:rsid w:val="00476C08"/>
    <w:rsid w:val="0047789A"/>
    <w:rsid w:val="00480BEA"/>
    <w:rsid w:val="004811CE"/>
    <w:rsid w:val="00483334"/>
    <w:rsid w:val="004834B7"/>
    <w:rsid w:val="00483779"/>
    <w:rsid w:val="0048380E"/>
    <w:rsid w:val="00486665"/>
    <w:rsid w:val="0048668C"/>
    <w:rsid w:val="00486971"/>
    <w:rsid w:val="00486BE3"/>
    <w:rsid w:val="00487D91"/>
    <w:rsid w:val="00490395"/>
    <w:rsid w:val="00491148"/>
    <w:rsid w:val="0049137F"/>
    <w:rsid w:val="00491ECF"/>
    <w:rsid w:val="00492379"/>
    <w:rsid w:val="004923EB"/>
    <w:rsid w:val="0049240B"/>
    <w:rsid w:val="0049342D"/>
    <w:rsid w:val="0049420B"/>
    <w:rsid w:val="0049474F"/>
    <w:rsid w:val="004954D4"/>
    <w:rsid w:val="00496760"/>
    <w:rsid w:val="004968CC"/>
    <w:rsid w:val="00497316"/>
    <w:rsid w:val="00497C0D"/>
    <w:rsid w:val="00497CF7"/>
    <w:rsid w:val="00497DC1"/>
    <w:rsid w:val="004A17E0"/>
    <w:rsid w:val="004A3DA5"/>
    <w:rsid w:val="004A57F6"/>
    <w:rsid w:val="004A5A2F"/>
    <w:rsid w:val="004A613F"/>
    <w:rsid w:val="004B0D97"/>
    <w:rsid w:val="004B106A"/>
    <w:rsid w:val="004B31ED"/>
    <w:rsid w:val="004B394F"/>
    <w:rsid w:val="004B3D81"/>
    <w:rsid w:val="004C1432"/>
    <w:rsid w:val="004C3ECD"/>
    <w:rsid w:val="004C4576"/>
    <w:rsid w:val="004C4D0B"/>
    <w:rsid w:val="004C5E86"/>
    <w:rsid w:val="004C641B"/>
    <w:rsid w:val="004C7081"/>
    <w:rsid w:val="004C7EFC"/>
    <w:rsid w:val="004D0505"/>
    <w:rsid w:val="004D0517"/>
    <w:rsid w:val="004D05C8"/>
    <w:rsid w:val="004D0B18"/>
    <w:rsid w:val="004D0DD0"/>
    <w:rsid w:val="004D194A"/>
    <w:rsid w:val="004D2808"/>
    <w:rsid w:val="004D4A2C"/>
    <w:rsid w:val="004D58B4"/>
    <w:rsid w:val="004D7611"/>
    <w:rsid w:val="004E11D8"/>
    <w:rsid w:val="004E15A7"/>
    <w:rsid w:val="004E22AA"/>
    <w:rsid w:val="004E3225"/>
    <w:rsid w:val="004E40FD"/>
    <w:rsid w:val="004E4C79"/>
    <w:rsid w:val="004E505A"/>
    <w:rsid w:val="004E52AF"/>
    <w:rsid w:val="004E58BC"/>
    <w:rsid w:val="004E6043"/>
    <w:rsid w:val="004E6F39"/>
    <w:rsid w:val="004E72DE"/>
    <w:rsid w:val="004E7417"/>
    <w:rsid w:val="004E7689"/>
    <w:rsid w:val="004F37AB"/>
    <w:rsid w:val="004F4B9A"/>
    <w:rsid w:val="004F4D6A"/>
    <w:rsid w:val="004F5900"/>
    <w:rsid w:val="004F5C15"/>
    <w:rsid w:val="004F5FF4"/>
    <w:rsid w:val="004F706D"/>
    <w:rsid w:val="004F7483"/>
    <w:rsid w:val="004F7758"/>
    <w:rsid w:val="0050077F"/>
    <w:rsid w:val="00500DEF"/>
    <w:rsid w:val="00501CB0"/>
    <w:rsid w:val="00502D50"/>
    <w:rsid w:val="00510256"/>
    <w:rsid w:val="0051107A"/>
    <w:rsid w:val="00511BBB"/>
    <w:rsid w:val="00512339"/>
    <w:rsid w:val="0051260B"/>
    <w:rsid w:val="005128CD"/>
    <w:rsid w:val="005129C3"/>
    <w:rsid w:val="00512D9F"/>
    <w:rsid w:val="005133E4"/>
    <w:rsid w:val="00513906"/>
    <w:rsid w:val="00513BF3"/>
    <w:rsid w:val="0051489E"/>
    <w:rsid w:val="00514AFF"/>
    <w:rsid w:val="00516517"/>
    <w:rsid w:val="005175EF"/>
    <w:rsid w:val="005179A1"/>
    <w:rsid w:val="00521191"/>
    <w:rsid w:val="005218C3"/>
    <w:rsid w:val="00521951"/>
    <w:rsid w:val="00522159"/>
    <w:rsid w:val="005221F2"/>
    <w:rsid w:val="00522D4B"/>
    <w:rsid w:val="0052483D"/>
    <w:rsid w:val="005248A9"/>
    <w:rsid w:val="00525623"/>
    <w:rsid w:val="0052604A"/>
    <w:rsid w:val="00531978"/>
    <w:rsid w:val="005353EA"/>
    <w:rsid w:val="00535437"/>
    <w:rsid w:val="005367D5"/>
    <w:rsid w:val="00536FF5"/>
    <w:rsid w:val="00537014"/>
    <w:rsid w:val="00537E35"/>
    <w:rsid w:val="00540728"/>
    <w:rsid w:val="00540A1E"/>
    <w:rsid w:val="00540D4C"/>
    <w:rsid w:val="00541BE6"/>
    <w:rsid w:val="00542DC7"/>
    <w:rsid w:val="00542FFC"/>
    <w:rsid w:val="00543D20"/>
    <w:rsid w:val="00543F37"/>
    <w:rsid w:val="00545AD4"/>
    <w:rsid w:val="005461C0"/>
    <w:rsid w:val="00547B1C"/>
    <w:rsid w:val="005504BC"/>
    <w:rsid w:val="00551791"/>
    <w:rsid w:val="00552B68"/>
    <w:rsid w:val="00552EB3"/>
    <w:rsid w:val="00553AA5"/>
    <w:rsid w:val="00554025"/>
    <w:rsid w:val="005543E0"/>
    <w:rsid w:val="00555259"/>
    <w:rsid w:val="005556B2"/>
    <w:rsid w:val="00555D06"/>
    <w:rsid w:val="00557D32"/>
    <w:rsid w:val="00561459"/>
    <w:rsid w:val="00561B12"/>
    <w:rsid w:val="0056204C"/>
    <w:rsid w:val="00562433"/>
    <w:rsid w:val="00562F0E"/>
    <w:rsid w:val="005647C8"/>
    <w:rsid w:val="005649C1"/>
    <w:rsid w:val="00565D72"/>
    <w:rsid w:val="00565F80"/>
    <w:rsid w:val="005660FD"/>
    <w:rsid w:val="00566B72"/>
    <w:rsid w:val="00566C72"/>
    <w:rsid w:val="005672B5"/>
    <w:rsid w:val="005700FC"/>
    <w:rsid w:val="00570288"/>
    <w:rsid w:val="00571660"/>
    <w:rsid w:val="0057283B"/>
    <w:rsid w:val="00575B51"/>
    <w:rsid w:val="00576178"/>
    <w:rsid w:val="0057789C"/>
    <w:rsid w:val="005819C5"/>
    <w:rsid w:val="005824E9"/>
    <w:rsid w:val="005828E5"/>
    <w:rsid w:val="00583197"/>
    <w:rsid w:val="005837BD"/>
    <w:rsid w:val="00583C9B"/>
    <w:rsid w:val="0058464C"/>
    <w:rsid w:val="00584756"/>
    <w:rsid w:val="0058577C"/>
    <w:rsid w:val="005860FD"/>
    <w:rsid w:val="00587EE4"/>
    <w:rsid w:val="00590091"/>
    <w:rsid w:val="0059044C"/>
    <w:rsid w:val="0059072C"/>
    <w:rsid w:val="005909A9"/>
    <w:rsid w:val="00590A3D"/>
    <w:rsid w:val="005915D6"/>
    <w:rsid w:val="00591A40"/>
    <w:rsid w:val="00591F96"/>
    <w:rsid w:val="005929C5"/>
    <w:rsid w:val="00594C5C"/>
    <w:rsid w:val="00594F37"/>
    <w:rsid w:val="00597441"/>
    <w:rsid w:val="005A0888"/>
    <w:rsid w:val="005A1AFE"/>
    <w:rsid w:val="005A28D8"/>
    <w:rsid w:val="005A2F63"/>
    <w:rsid w:val="005A2F6F"/>
    <w:rsid w:val="005A573D"/>
    <w:rsid w:val="005A59F4"/>
    <w:rsid w:val="005A5B9A"/>
    <w:rsid w:val="005A5BD5"/>
    <w:rsid w:val="005A5C27"/>
    <w:rsid w:val="005A5EEE"/>
    <w:rsid w:val="005A6B9B"/>
    <w:rsid w:val="005A7708"/>
    <w:rsid w:val="005B0F17"/>
    <w:rsid w:val="005B368D"/>
    <w:rsid w:val="005B3E85"/>
    <w:rsid w:val="005B50B8"/>
    <w:rsid w:val="005B5B2D"/>
    <w:rsid w:val="005B5BFC"/>
    <w:rsid w:val="005B655B"/>
    <w:rsid w:val="005B7C09"/>
    <w:rsid w:val="005C138B"/>
    <w:rsid w:val="005C13C0"/>
    <w:rsid w:val="005C1BFC"/>
    <w:rsid w:val="005C1C74"/>
    <w:rsid w:val="005C3F96"/>
    <w:rsid w:val="005C489D"/>
    <w:rsid w:val="005C56D9"/>
    <w:rsid w:val="005C59CE"/>
    <w:rsid w:val="005C5F99"/>
    <w:rsid w:val="005C61E6"/>
    <w:rsid w:val="005C6529"/>
    <w:rsid w:val="005D027D"/>
    <w:rsid w:val="005D1B1B"/>
    <w:rsid w:val="005D1F76"/>
    <w:rsid w:val="005D1FFE"/>
    <w:rsid w:val="005D25EC"/>
    <w:rsid w:val="005D2799"/>
    <w:rsid w:val="005D2ABC"/>
    <w:rsid w:val="005D2D13"/>
    <w:rsid w:val="005D384D"/>
    <w:rsid w:val="005D5383"/>
    <w:rsid w:val="005D54CA"/>
    <w:rsid w:val="005D5717"/>
    <w:rsid w:val="005D5CD7"/>
    <w:rsid w:val="005D6827"/>
    <w:rsid w:val="005D7D4E"/>
    <w:rsid w:val="005D7FB3"/>
    <w:rsid w:val="005E038B"/>
    <w:rsid w:val="005E1543"/>
    <w:rsid w:val="005E18EB"/>
    <w:rsid w:val="005E1D1F"/>
    <w:rsid w:val="005E20BF"/>
    <w:rsid w:val="005E2179"/>
    <w:rsid w:val="005E2647"/>
    <w:rsid w:val="005E28CB"/>
    <w:rsid w:val="005E3EFB"/>
    <w:rsid w:val="005E55B9"/>
    <w:rsid w:val="005E56E6"/>
    <w:rsid w:val="005E61ED"/>
    <w:rsid w:val="005E673D"/>
    <w:rsid w:val="005F128A"/>
    <w:rsid w:val="005F1373"/>
    <w:rsid w:val="005F3D18"/>
    <w:rsid w:val="005F4085"/>
    <w:rsid w:val="005F5B18"/>
    <w:rsid w:val="005F643F"/>
    <w:rsid w:val="005F70AA"/>
    <w:rsid w:val="005F77E4"/>
    <w:rsid w:val="00600B02"/>
    <w:rsid w:val="00600D22"/>
    <w:rsid w:val="00601444"/>
    <w:rsid w:val="006025A4"/>
    <w:rsid w:val="00602EF3"/>
    <w:rsid w:val="006036FD"/>
    <w:rsid w:val="006049B0"/>
    <w:rsid w:val="00605198"/>
    <w:rsid w:val="00607B14"/>
    <w:rsid w:val="00607C15"/>
    <w:rsid w:val="00610967"/>
    <w:rsid w:val="006109F6"/>
    <w:rsid w:val="0061177B"/>
    <w:rsid w:val="006124DB"/>
    <w:rsid w:val="0061276B"/>
    <w:rsid w:val="0061362E"/>
    <w:rsid w:val="00613808"/>
    <w:rsid w:val="00613AD9"/>
    <w:rsid w:val="0061435D"/>
    <w:rsid w:val="00615341"/>
    <w:rsid w:val="006160BF"/>
    <w:rsid w:val="0061616D"/>
    <w:rsid w:val="006163AE"/>
    <w:rsid w:val="00616ADA"/>
    <w:rsid w:val="006175A7"/>
    <w:rsid w:val="00621A27"/>
    <w:rsid w:val="006220FA"/>
    <w:rsid w:val="006239C7"/>
    <w:rsid w:val="00623BE6"/>
    <w:rsid w:val="0062454B"/>
    <w:rsid w:val="006252C6"/>
    <w:rsid w:val="0062576C"/>
    <w:rsid w:val="00625D0C"/>
    <w:rsid w:val="00626033"/>
    <w:rsid w:val="0062691F"/>
    <w:rsid w:val="006275EF"/>
    <w:rsid w:val="00630505"/>
    <w:rsid w:val="00630922"/>
    <w:rsid w:val="00630E11"/>
    <w:rsid w:val="00631143"/>
    <w:rsid w:val="00631459"/>
    <w:rsid w:val="00631C17"/>
    <w:rsid w:val="0063248E"/>
    <w:rsid w:val="006324CB"/>
    <w:rsid w:val="00632CF0"/>
    <w:rsid w:val="00632E7D"/>
    <w:rsid w:val="006331B0"/>
    <w:rsid w:val="0063415D"/>
    <w:rsid w:val="00634539"/>
    <w:rsid w:val="006345B2"/>
    <w:rsid w:val="00634A58"/>
    <w:rsid w:val="006360DB"/>
    <w:rsid w:val="00636B85"/>
    <w:rsid w:val="006375CA"/>
    <w:rsid w:val="00643DC9"/>
    <w:rsid w:val="006460B8"/>
    <w:rsid w:val="0064646B"/>
    <w:rsid w:val="006479EF"/>
    <w:rsid w:val="006514A3"/>
    <w:rsid w:val="00652607"/>
    <w:rsid w:val="006529AA"/>
    <w:rsid w:val="00654707"/>
    <w:rsid w:val="0065591D"/>
    <w:rsid w:val="0066010E"/>
    <w:rsid w:val="00660D00"/>
    <w:rsid w:val="00660EC2"/>
    <w:rsid w:val="0066183A"/>
    <w:rsid w:val="00664856"/>
    <w:rsid w:val="00664D23"/>
    <w:rsid w:val="0066658E"/>
    <w:rsid w:val="006668D8"/>
    <w:rsid w:val="00666D5A"/>
    <w:rsid w:val="006672E3"/>
    <w:rsid w:val="00667656"/>
    <w:rsid w:val="00670051"/>
    <w:rsid w:val="0067043F"/>
    <w:rsid w:val="00670523"/>
    <w:rsid w:val="00670587"/>
    <w:rsid w:val="006728E0"/>
    <w:rsid w:val="00672D7A"/>
    <w:rsid w:val="00672E10"/>
    <w:rsid w:val="0067419C"/>
    <w:rsid w:val="00675794"/>
    <w:rsid w:val="006765F9"/>
    <w:rsid w:val="00680333"/>
    <w:rsid w:val="00680E08"/>
    <w:rsid w:val="00681DA9"/>
    <w:rsid w:val="00682ECB"/>
    <w:rsid w:val="00683C7D"/>
    <w:rsid w:val="0068453F"/>
    <w:rsid w:val="006845E4"/>
    <w:rsid w:val="006856D8"/>
    <w:rsid w:val="00686D1E"/>
    <w:rsid w:val="00686E4E"/>
    <w:rsid w:val="00687F36"/>
    <w:rsid w:val="00690C0D"/>
    <w:rsid w:val="006915C5"/>
    <w:rsid w:val="00692151"/>
    <w:rsid w:val="00692678"/>
    <w:rsid w:val="00692B5D"/>
    <w:rsid w:val="00693E90"/>
    <w:rsid w:val="00694365"/>
    <w:rsid w:val="0069437A"/>
    <w:rsid w:val="00695011"/>
    <w:rsid w:val="00696E76"/>
    <w:rsid w:val="00697198"/>
    <w:rsid w:val="00697AE2"/>
    <w:rsid w:val="006A01D7"/>
    <w:rsid w:val="006A066C"/>
    <w:rsid w:val="006A0B47"/>
    <w:rsid w:val="006A424B"/>
    <w:rsid w:val="006A5D2E"/>
    <w:rsid w:val="006A6EF2"/>
    <w:rsid w:val="006A7B6C"/>
    <w:rsid w:val="006B16CD"/>
    <w:rsid w:val="006B22CB"/>
    <w:rsid w:val="006B2C36"/>
    <w:rsid w:val="006B4C20"/>
    <w:rsid w:val="006B5FC7"/>
    <w:rsid w:val="006B664F"/>
    <w:rsid w:val="006B72DC"/>
    <w:rsid w:val="006C0489"/>
    <w:rsid w:val="006C0DF1"/>
    <w:rsid w:val="006C19FF"/>
    <w:rsid w:val="006C4152"/>
    <w:rsid w:val="006C4B0D"/>
    <w:rsid w:val="006C5C95"/>
    <w:rsid w:val="006C70ED"/>
    <w:rsid w:val="006D045D"/>
    <w:rsid w:val="006D05F8"/>
    <w:rsid w:val="006D0721"/>
    <w:rsid w:val="006D219A"/>
    <w:rsid w:val="006D2FCF"/>
    <w:rsid w:val="006D3126"/>
    <w:rsid w:val="006D3407"/>
    <w:rsid w:val="006D34ED"/>
    <w:rsid w:val="006D3E19"/>
    <w:rsid w:val="006D44D3"/>
    <w:rsid w:val="006D49F8"/>
    <w:rsid w:val="006D526E"/>
    <w:rsid w:val="006D52C6"/>
    <w:rsid w:val="006D64A8"/>
    <w:rsid w:val="006D68FE"/>
    <w:rsid w:val="006D6F0C"/>
    <w:rsid w:val="006E02C8"/>
    <w:rsid w:val="006E0832"/>
    <w:rsid w:val="006E11C5"/>
    <w:rsid w:val="006E2139"/>
    <w:rsid w:val="006E2382"/>
    <w:rsid w:val="006E2E96"/>
    <w:rsid w:val="006E31DC"/>
    <w:rsid w:val="006E3730"/>
    <w:rsid w:val="006E4ADC"/>
    <w:rsid w:val="006E5B1C"/>
    <w:rsid w:val="006E5E23"/>
    <w:rsid w:val="006E6CC3"/>
    <w:rsid w:val="006F01DD"/>
    <w:rsid w:val="006F10FB"/>
    <w:rsid w:val="006F1799"/>
    <w:rsid w:val="006F1912"/>
    <w:rsid w:val="006F22ED"/>
    <w:rsid w:val="006F2309"/>
    <w:rsid w:val="006F3F20"/>
    <w:rsid w:val="006F4D78"/>
    <w:rsid w:val="006F511E"/>
    <w:rsid w:val="006F5CBA"/>
    <w:rsid w:val="006F5D72"/>
    <w:rsid w:val="006F79DB"/>
    <w:rsid w:val="00700807"/>
    <w:rsid w:val="00701048"/>
    <w:rsid w:val="00702538"/>
    <w:rsid w:val="007025D9"/>
    <w:rsid w:val="0070369D"/>
    <w:rsid w:val="00704103"/>
    <w:rsid w:val="00704431"/>
    <w:rsid w:val="007052B7"/>
    <w:rsid w:val="00705A09"/>
    <w:rsid w:val="00710360"/>
    <w:rsid w:val="007130CA"/>
    <w:rsid w:val="00714CC3"/>
    <w:rsid w:val="00716505"/>
    <w:rsid w:val="0072002A"/>
    <w:rsid w:val="0072015A"/>
    <w:rsid w:val="00720230"/>
    <w:rsid w:val="00720865"/>
    <w:rsid w:val="0072199B"/>
    <w:rsid w:val="00723121"/>
    <w:rsid w:val="007232E0"/>
    <w:rsid w:val="007247ED"/>
    <w:rsid w:val="007249B2"/>
    <w:rsid w:val="00724A9A"/>
    <w:rsid w:val="00725BBB"/>
    <w:rsid w:val="007270F4"/>
    <w:rsid w:val="00731276"/>
    <w:rsid w:val="007324F0"/>
    <w:rsid w:val="00733729"/>
    <w:rsid w:val="00733D36"/>
    <w:rsid w:val="007340FB"/>
    <w:rsid w:val="0073504C"/>
    <w:rsid w:val="00737B21"/>
    <w:rsid w:val="007408CB"/>
    <w:rsid w:val="00740F2A"/>
    <w:rsid w:val="0074312B"/>
    <w:rsid w:val="007443F6"/>
    <w:rsid w:val="007453B6"/>
    <w:rsid w:val="007458FA"/>
    <w:rsid w:val="007467DE"/>
    <w:rsid w:val="00747378"/>
    <w:rsid w:val="00747710"/>
    <w:rsid w:val="00747E84"/>
    <w:rsid w:val="00747EDA"/>
    <w:rsid w:val="00750ADF"/>
    <w:rsid w:val="00753357"/>
    <w:rsid w:val="00754358"/>
    <w:rsid w:val="00755256"/>
    <w:rsid w:val="007552CC"/>
    <w:rsid w:val="00755907"/>
    <w:rsid w:val="007562DA"/>
    <w:rsid w:val="0075756B"/>
    <w:rsid w:val="00757C70"/>
    <w:rsid w:val="0076059A"/>
    <w:rsid w:val="007627D2"/>
    <w:rsid w:val="00762C7C"/>
    <w:rsid w:val="00762FBE"/>
    <w:rsid w:val="007634A9"/>
    <w:rsid w:val="0076356B"/>
    <w:rsid w:val="007651EA"/>
    <w:rsid w:val="007664E4"/>
    <w:rsid w:val="00766A7A"/>
    <w:rsid w:val="007671B0"/>
    <w:rsid w:val="00771BAB"/>
    <w:rsid w:val="00771C54"/>
    <w:rsid w:val="007740BD"/>
    <w:rsid w:val="007747BE"/>
    <w:rsid w:val="00775886"/>
    <w:rsid w:val="007768DF"/>
    <w:rsid w:val="007768FB"/>
    <w:rsid w:val="00776F99"/>
    <w:rsid w:val="00777C67"/>
    <w:rsid w:val="007802AD"/>
    <w:rsid w:val="0078047F"/>
    <w:rsid w:val="00780E29"/>
    <w:rsid w:val="00781203"/>
    <w:rsid w:val="00781312"/>
    <w:rsid w:val="00781E26"/>
    <w:rsid w:val="00781F73"/>
    <w:rsid w:val="00782FF3"/>
    <w:rsid w:val="00783189"/>
    <w:rsid w:val="007845E1"/>
    <w:rsid w:val="00784ACA"/>
    <w:rsid w:val="00784C55"/>
    <w:rsid w:val="00785927"/>
    <w:rsid w:val="00785982"/>
    <w:rsid w:val="00785B2E"/>
    <w:rsid w:val="00786E9B"/>
    <w:rsid w:val="00787686"/>
    <w:rsid w:val="00787E50"/>
    <w:rsid w:val="0079063F"/>
    <w:rsid w:val="00793D9F"/>
    <w:rsid w:val="00795EF2"/>
    <w:rsid w:val="007968B8"/>
    <w:rsid w:val="00796B1B"/>
    <w:rsid w:val="007A0B2C"/>
    <w:rsid w:val="007A0FEC"/>
    <w:rsid w:val="007A12C9"/>
    <w:rsid w:val="007A17BB"/>
    <w:rsid w:val="007A272C"/>
    <w:rsid w:val="007A2B3E"/>
    <w:rsid w:val="007A2EE6"/>
    <w:rsid w:val="007A584C"/>
    <w:rsid w:val="007A6EEF"/>
    <w:rsid w:val="007A71AC"/>
    <w:rsid w:val="007A7AF1"/>
    <w:rsid w:val="007B18D0"/>
    <w:rsid w:val="007B1F3E"/>
    <w:rsid w:val="007B21AB"/>
    <w:rsid w:val="007B2E9D"/>
    <w:rsid w:val="007B5E8E"/>
    <w:rsid w:val="007B6843"/>
    <w:rsid w:val="007C0A36"/>
    <w:rsid w:val="007C0B6B"/>
    <w:rsid w:val="007C0D75"/>
    <w:rsid w:val="007C126B"/>
    <w:rsid w:val="007C13B8"/>
    <w:rsid w:val="007C2617"/>
    <w:rsid w:val="007C2FE3"/>
    <w:rsid w:val="007C3072"/>
    <w:rsid w:val="007C38C6"/>
    <w:rsid w:val="007C4D6B"/>
    <w:rsid w:val="007C4FEE"/>
    <w:rsid w:val="007C68B5"/>
    <w:rsid w:val="007C79A2"/>
    <w:rsid w:val="007D1457"/>
    <w:rsid w:val="007D1D5D"/>
    <w:rsid w:val="007D2511"/>
    <w:rsid w:val="007D354A"/>
    <w:rsid w:val="007D41D8"/>
    <w:rsid w:val="007D4FDA"/>
    <w:rsid w:val="007D5AD8"/>
    <w:rsid w:val="007D6269"/>
    <w:rsid w:val="007D62F3"/>
    <w:rsid w:val="007D6425"/>
    <w:rsid w:val="007D7696"/>
    <w:rsid w:val="007E01D5"/>
    <w:rsid w:val="007E120E"/>
    <w:rsid w:val="007E1997"/>
    <w:rsid w:val="007E39F0"/>
    <w:rsid w:val="007E4423"/>
    <w:rsid w:val="007E44E4"/>
    <w:rsid w:val="007E48CF"/>
    <w:rsid w:val="007E4950"/>
    <w:rsid w:val="007E5940"/>
    <w:rsid w:val="007F00FF"/>
    <w:rsid w:val="007F035B"/>
    <w:rsid w:val="007F1946"/>
    <w:rsid w:val="007F2D88"/>
    <w:rsid w:val="007F31B2"/>
    <w:rsid w:val="007F34B6"/>
    <w:rsid w:val="007F352D"/>
    <w:rsid w:val="007F446E"/>
    <w:rsid w:val="007F497E"/>
    <w:rsid w:val="007F549E"/>
    <w:rsid w:val="007F607A"/>
    <w:rsid w:val="007F6FB1"/>
    <w:rsid w:val="007F71DF"/>
    <w:rsid w:val="0080076A"/>
    <w:rsid w:val="00800EC0"/>
    <w:rsid w:val="00801EB3"/>
    <w:rsid w:val="00803052"/>
    <w:rsid w:val="008033C2"/>
    <w:rsid w:val="0080342B"/>
    <w:rsid w:val="00803AF3"/>
    <w:rsid w:val="00803DB8"/>
    <w:rsid w:val="00804AA4"/>
    <w:rsid w:val="00805FBE"/>
    <w:rsid w:val="00806A19"/>
    <w:rsid w:val="00806A3A"/>
    <w:rsid w:val="00810570"/>
    <w:rsid w:val="00810B2F"/>
    <w:rsid w:val="00812232"/>
    <w:rsid w:val="00812AA1"/>
    <w:rsid w:val="008131FA"/>
    <w:rsid w:val="008133C0"/>
    <w:rsid w:val="00814A3A"/>
    <w:rsid w:val="00815A3E"/>
    <w:rsid w:val="008164E8"/>
    <w:rsid w:val="008177EE"/>
    <w:rsid w:val="00820BED"/>
    <w:rsid w:val="00821692"/>
    <w:rsid w:val="00821B54"/>
    <w:rsid w:val="00822091"/>
    <w:rsid w:val="0082271F"/>
    <w:rsid w:val="00822725"/>
    <w:rsid w:val="00822A6D"/>
    <w:rsid w:val="00823311"/>
    <w:rsid w:val="00823C69"/>
    <w:rsid w:val="008246E3"/>
    <w:rsid w:val="008259CF"/>
    <w:rsid w:val="00825E35"/>
    <w:rsid w:val="0082711E"/>
    <w:rsid w:val="00827686"/>
    <w:rsid w:val="00827EC4"/>
    <w:rsid w:val="00830CC4"/>
    <w:rsid w:val="0083168B"/>
    <w:rsid w:val="00831D33"/>
    <w:rsid w:val="00832D88"/>
    <w:rsid w:val="00832F6E"/>
    <w:rsid w:val="0083338D"/>
    <w:rsid w:val="00833722"/>
    <w:rsid w:val="00833FB6"/>
    <w:rsid w:val="00834BC3"/>
    <w:rsid w:val="008359C9"/>
    <w:rsid w:val="00842FE7"/>
    <w:rsid w:val="00844277"/>
    <w:rsid w:val="00844434"/>
    <w:rsid w:val="00844F3B"/>
    <w:rsid w:val="008455EF"/>
    <w:rsid w:val="00845891"/>
    <w:rsid w:val="0084695A"/>
    <w:rsid w:val="00850E16"/>
    <w:rsid w:val="00852018"/>
    <w:rsid w:val="00852226"/>
    <w:rsid w:val="0085240D"/>
    <w:rsid w:val="008543E8"/>
    <w:rsid w:val="00856121"/>
    <w:rsid w:val="00856B99"/>
    <w:rsid w:val="00860AF0"/>
    <w:rsid w:val="008618B2"/>
    <w:rsid w:val="008626CE"/>
    <w:rsid w:val="00862760"/>
    <w:rsid w:val="00862A51"/>
    <w:rsid w:val="00867A25"/>
    <w:rsid w:val="008700BA"/>
    <w:rsid w:val="00873666"/>
    <w:rsid w:val="0087426E"/>
    <w:rsid w:val="00874736"/>
    <w:rsid w:val="008748B4"/>
    <w:rsid w:val="008751F6"/>
    <w:rsid w:val="00875CD5"/>
    <w:rsid w:val="00876854"/>
    <w:rsid w:val="00876986"/>
    <w:rsid w:val="008769F5"/>
    <w:rsid w:val="008804BC"/>
    <w:rsid w:val="00880D1A"/>
    <w:rsid w:val="00880D91"/>
    <w:rsid w:val="00881D81"/>
    <w:rsid w:val="00881E2C"/>
    <w:rsid w:val="00882F2B"/>
    <w:rsid w:val="00883566"/>
    <w:rsid w:val="008849FF"/>
    <w:rsid w:val="00884ED9"/>
    <w:rsid w:val="008859AC"/>
    <w:rsid w:val="008869C8"/>
    <w:rsid w:val="00886AC3"/>
    <w:rsid w:val="00887C5C"/>
    <w:rsid w:val="008905C9"/>
    <w:rsid w:val="00892D3A"/>
    <w:rsid w:val="00896574"/>
    <w:rsid w:val="008979C1"/>
    <w:rsid w:val="008A0025"/>
    <w:rsid w:val="008A2094"/>
    <w:rsid w:val="008A2249"/>
    <w:rsid w:val="008A235D"/>
    <w:rsid w:val="008A337D"/>
    <w:rsid w:val="008A338C"/>
    <w:rsid w:val="008A37BA"/>
    <w:rsid w:val="008A4178"/>
    <w:rsid w:val="008A4E18"/>
    <w:rsid w:val="008A571F"/>
    <w:rsid w:val="008A64F4"/>
    <w:rsid w:val="008A674D"/>
    <w:rsid w:val="008A78EC"/>
    <w:rsid w:val="008A7991"/>
    <w:rsid w:val="008A7C07"/>
    <w:rsid w:val="008B0C9E"/>
    <w:rsid w:val="008B0E67"/>
    <w:rsid w:val="008B11C9"/>
    <w:rsid w:val="008B155F"/>
    <w:rsid w:val="008B1863"/>
    <w:rsid w:val="008B1BC6"/>
    <w:rsid w:val="008B5281"/>
    <w:rsid w:val="008B6B71"/>
    <w:rsid w:val="008C0158"/>
    <w:rsid w:val="008C174F"/>
    <w:rsid w:val="008C1CAD"/>
    <w:rsid w:val="008C3C1E"/>
    <w:rsid w:val="008C3F3A"/>
    <w:rsid w:val="008C4902"/>
    <w:rsid w:val="008C4E9B"/>
    <w:rsid w:val="008C5042"/>
    <w:rsid w:val="008C544B"/>
    <w:rsid w:val="008D0498"/>
    <w:rsid w:val="008D1581"/>
    <w:rsid w:val="008D1BAD"/>
    <w:rsid w:val="008D1C55"/>
    <w:rsid w:val="008D33E2"/>
    <w:rsid w:val="008D4019"/>
    <w:rsid w:val="008D51F3"/>
    <w:rsid w:val="008E051D"/>
    <w:rsid w:val="008E0F34"/>
    <w:rsid w:val="008E1C2C"/>
    <w:rsid w:val="008E1E03"/>
    <w:rsid w:val="008E20CD"/>
    <w:rsid w:val="008E2B3B"/>
    <w:rsid w:val="008E4054"/>
    <w:rsid w:val="008E4A0D"/>
    <w:rsid w:val="008E7142"/>
    <w:rsid w:val="008F093F"/>
    <w:rsid w:val="008F1B64"/>
    <w:rsid w:val="008F2A12"/>
    <w:rsid w:val="008F431C"/>
    <w:rsid w:val="008F43B7"/>
    <w:rsid w:val="008F4629"/>
    <w:rsid w:val="008F4901"/>
    <w:rsid w:val="008F5289"/>
    <w:rsid w:val="008F5430"/>
    <w:rsid w:val="008F6AD8"/>
    <w:rsid w:val="008F79E8"/>
    <w:rsid w:val="0090108A"/>
    <w:rsid w:val="00901219"/>
    <w:rsid w:val="00901BA6"/>
    <w:rsid w:val="009036F3"/>
    <w:rsid w:val="009042CC"/>
    <w:rsid w:val="00904571"/>
    <w:rsid w:val="00904798"/>
    <w:rsid w:val="00906134"/>
    <w:rsid w:val="00907160"/>
    <w:rsid w:val="009076A8"/>
    <w:rsid w:val="00907EF2"/>
    <w:rsid w:val="00910D95"/>
    <w:rsid w:val="009127A4"/>
    <w:rsid w:val="00912AE9"/>
    <w:rsid w:val="00913D5F"/>
    <w:rsid w:val="00914A3B"/>
    <w:rsid w:val="009159B2"/>
    <w:rsid w:val="0091695C"/>
    <w:rsid w:val="00916A3B"/>
    <w:rsid w:val="009179D3"/>
    <w:rsid w:val="00917B96"/>
    <w:rsid w:val="00920BBD"/>
    <w:rsid w:val="00921D13"/>
    <w:rsid w:val="0092226A"/>
    <w:rsid w:val="009248A5"/>
    <w:rsid w:val="00925876"/>
    <w:rsid w:val="0092646E"/>
    <w:rsid w:val="009310B5"/>
    <w:rsid w:val="00931611"/>
    <w:rsid w:val="009329AE"/>
    <w:rsid w:val="00933C53"/>
    <w:rsid w:val="00934C83"/>
    <w:rsid w:val="009369AE"/>
    <w:rsid w:val="0094439D"/>
    <w:rsid w:val="00944AFA"/>
    <w:rsid w:val="00945650"/>
    <w:rsid w:val="00945FE2"/>
    <w:rsid w:val="0094621D"/>
    <w:rsid w:val="009479F4"/>
    <w:rsid w:val="00950727"/>
    <w:rsid w:val="009508E4"/>
    <w:rsid w:val="00951FDB"/>
    <w:rsid w:val="009522DA"/>
    <w:rsid w:val="00953E02"/>
    <w:rsid w:val="00954323"/>
    <w:rsid w:val="00954BC2"/>
    <w:rsid w:val="009567B8"/>
    <w:rsid w:val="00956888"/>
    <w:rsid w:val="00957E7E"/>
    <w:rsid w:val="00960D34"/>
    <w:rsid w:val="009611D2"/>
    <w:rsid w:val="00961A7C"/>
    <w:rsid w:val="0096202E"/>
    <w:rsid w:val="009621A0"/>
    <w:rsid w:val="00962BC2"/>
    <w:rsid w:val="00963772"/>
    <w:rsid w:val="00963D5E"/>
    <w:rsid w:val="00964224"/>
    <w:rsid w:val="0096696A"/>
    <w:rsid w:val="00967201"/>
    <w:rsid w:val="00967C74"/>
    <w:rsid w:val="00970ABB"/>
    <w:rsid w:val="00970CD3"/>
    <w:rsid w:val="00971594"/>
    <w:rsid w:val="00971FDA"/>
    <w:rsid w:val="009722A8"/>
    <w:rsid w:val="00972548"/>
    <w:rsid w:val="009728FF"/>
    <w:rsid w:val="0097334D"/>
    <w:rsid w:val="00974888"/>
    <w:rsid w:val="00974B47"/>
    <w:rsid w:val="00974D53"/>
    <w:rsid w:val="00974D5D"/>
    <w:rsid w:val="009760C4"/>
    <w:rsid w:val="00976E27"/>
    <w:rsid w:val="009772A5"/>
    <w:rsid w:val="00977550"/>
    <w:rsid w:val="00980778"/>
    <w:rsid w:val="00980B5D"/>
    <w:rsid w:val="00981173"/>
    <w:rsid w:val="00981A75"/>
    <w:rsid w:val="00981F83"/>
    <w:rsid w:val="009841A8"/>
    <w:rsid w:val="0098495A"/>
    <w:rsid w:val="00984F85"/>
    <w:rsid w:val="009868BE"/>
    <w:rsid w:val="00986B64"/>
    <w:rsid w:val="00986EFA"/>
    <w:rsid w:val="00986F3D"/>
    <w:rsid w:val="009876A4"/>
    <w:rsid w:val="00987BC2"/>
    <w:rsid w:val="009911D9"/>
    <w:rsid w:val="009917E9"/>
    <w:rsid w:val="00992416"/>
    <w:rsid w:val="00993789"/>
    <w:rsid w:val="009939B8"/>
    <w:rsid w:val="00994AE5"/>
    <w:rsid w:val="00994B4C"/>
    <w:rsid w:val="00994F61"/>
    <w:rsid w:val="009957B5"/>
    <w:rsid w:val="00996057"/>
    <w:rsid w:val="00996394"/>
    <w:rsid w:val="00996C89"/>
    <w:rsid w:val="00996CB7"/>
    <w:rsid w:val="009979B9"/>
    <w:rsid w:val="009A03C7"/>
    <w:rsid w:val="009A0703"/>
    <w:rsid w:val="009A1399"/>
    <w:rsid w:val="009A22FD"/>
    <w:rsid w:val="009A2ED6"/>
    <w:rsid w:val="009A31E7"/>
    <w:rsid w:val="009A546A"/>
    <w:rsid w:val="009A621C"/>
    <w:rsid w:val="009A6677"/>
    <w:rsid w:val="009A6C66"/>
    <w:rsid w:val="009A6EF9"/>
    <w:rsid w:val="009A7BBC"/>
    <w:rsid w:val="009B2A11"/>
    <w:rsid w:val="009B5581"/>
    <w:rsid w:val="009B5940"/>
    <w:rsid w:val="009B63ED"/>
    <w:rsid w:val="009B710D"/>
    <w:rsid w:val="009C3862"/>
    <w:rsid w:val="009C4171"/>
    <w:rsid w:val="009C475C"/>
    <w:rsid w:val="009C5878"/>
    <w:rsid w:val="009C60A5"/>
    <w:rsid w:val="009C6EE1"/>
    <w:rsid w:val="009C7028"/>
    <w:rsid w:val="009C75C9"/>
    <w:rsid w:val="009D1492"/>
    <w:rsid w:val="009D169E"/>
    <w:rsid w:val="009D17E7"/>
    <w:rsid w:val="009D2602"/>
    <w:rsid w:val="009D3234"/>
    <w:rsid w:val="009D346D"/>
    <w:rsid w:val="009D3C51"/>
    <w:rsid w:val="009D41B7"/>
    <w:rsid w:val="009D5CA7"/>
    <w:rsid w:val="009D65CD"/>
    <w:rsid w:val="009D6E2E"/>
    <w:rsid w:val="009D7290"/>
    <w:rsid w:val="009D7298"/>
    <w:rsid w:val="009E03C7"/>
    <w:rsid w:val="009E12B5"/>
    <w:rsid w:val="009E1AAB"/>
    <w:rsid w:val="009E3C1C"/>
    <w:rsid w:val="009E3F6F"/>
    <w:rsid w:val="009E6ACB"/>
    <w:rsid w:val="009F08BC"/>
    <w:rsid w:val="009F1043"/>
    <w:rsid w:val="009F2D78"/>
    <w:rsid w:val="009F36CA"/>
    <w:rsid w:val="009F4FE2"/>
    <w:rsid w:val="009F58F9"/>
    <w:rsid w:val="009F6167"/>
    <w:rsid w:val="009F65CC"/>
    <w:rsid w:val="009F752A"/>
    <w:rsid w:val="00A003BE"/>
    <w:rsid w:val="00A00E72"/>
    <w:rsid w:val="00A00EE1"/>
    <w:rsid w:val="00A022AB"/>
    <w:rsid w:val="00A02B33"/>
    <w:rsid w:val="00A03435"/>
    <w:rsid w:val="00A03567"/>
    <w:rsid w:val="00A0385F"/>
    <w:rsid w:val="00A04448"/>
    <w:rsid w:val="00A06C2D"/>
    <w:rsid w:val="00A079D0"/>
    <w:rsid w:val="00A11132"/>
    <w:rsid w:val="00A11756"/>
    <w:rsid w:val="00A11969"/>
    <w:rsid w:val="00A12DE8"/>
    <w:rsid w:val="00A1481C"/>
    <w:rsid w:val="00A157B9"/>
    <w:rsid w:val="00A158FB"/>
    <w:rsid w:val="00A169E8"/>
    <w:rsid w:val="00A1712E"/>
    <w:rsid w:val="00A17F2D"/>
    <w:rsid w:val="00A20667"/>
    <w:rsid w:val="00A22348"/>
    <w:rsid w:val="00A22CBF"/>
    <w:rsid w:val="00A243D6"/>
    <w:rsid w:val="00A24C62"/>
    <w:rsid w:val="00A254EC"/>
    <w:rsid w:val="00A25F51"/>
    <w:rsid w:val="00A26182"/>
    <w:rsid w:val="00A30382"/>
    <w:rsid w:val="00A30CEC"/>
    <w:rsid w:val="00A3188E"/>
    <w:rsid w:val="00A32604"/>
    <w:rsid w:val="00A32EF3"/>
    <w:rsid w:val="00A33959"/>
    <w:rsid w:val="00A35312"/>
    <w:rsid w:val="00A354C8"/>
    <w:rsid w:val="00A407E6"/>
    <w:rsid w:val="00A40E00"/>
    <w:rsid w:val="00A417AE"/>
    <w:rsid w:val="00A43345"/>
    <w:rsid w:val="00A447E6"/>
    <w:rsid w:val="00A463E3"/>
    <w:rsid w:val="00A470EB"/>
    <w:rsid w:val="00A4743C"/>
    <w:rsid w:val="00A50AD6"/>
    <w:rsid w:val="00A50D0F"/>
    <w:rsid w:val="00A50E2B"/>
    <w:rsid w:val="00A51495"/>
    <w:rsid w:val="00A52CE1"/>
    <w:rsid w:val="00A54097"/>
    <w:rsid w:val="00A54980"/>
    <w:rsid w:val="00A54DAA"/>
    <w:rsid w:val="00A57405"/>
    <w:rsid w:val="00A57661"/>
    <w:rsid w:val="00A60E34"/>
    <w:rsid w:val="00A62074"/>
    <w:rsid w:val="00A62606"/>
    <w:rsid w:val="00A62EA7"/>
    <w:rsid w:val="00A6459E"/>
    <w:rsid w:val="00A64686"/>
    <w:rsid w:val="00A64CAE"/>
    <w:rsid w:val="00A6578C"/>
    <w:rsid w:val="00A6605D"/>
    <w:rsid w:val="00A710E0"/>
    <w:rsid w:val="00A71A0A"/>
    <w:rsid w:val="00A72227"/>
    <w:rsid w:val="00A72CC1"/>
    <w:rsid w:val="00A73E12"/>
    <w:rsid w:val="00A748F2"/>
    <w:rsid w:val="00A74939"/>
    <w:rsid w:val="00A74B6E"/>
    <w:rsid w:val="00A76AED"/>
    <w:rsid w:val="00A77B52"/>
    <w:rsid w:val="00A77BE7"/>
    <w:rsid w:val="00A80044"/>
    <w:rsid w:val="00A81097"/>
    <w:rsid w:val="00A81371"/>
    <w:rsid w:val="00A81845"/>
    <w:rsid w:val="00A81951"/>
    <w:rsid w:val="00A8271D"/>
    <w:rsid w:val="00A82B34"/>
    <w:rsid w:val="00A83611"/>
    <w:rsid w:val="00A84350"/>
    <w:rsid w:val="00A84B21"/>
    <w:rsid w:val="00A8580C"/>
    <w:rsid w:val="00A85A45"/>
    <w:rsid w:val="00A85F3E"/>
    <w:rsid w:val="00A86A92"/>
    <w:rsid w:val="00A86CEB"/>
    <w:rsid w:val="00A90AA5"/>
    <w:rsid w:val="00A912BA"/>
    <w:rsid w:val="00A924F3"/>
    <w:rsid w:val="00A92AF0"/>
    <w:rsid w:val="00A94369"/>
    <w:rsid w:val="00A95465"/>
    <w:rsid w:val="00A97923"/>
    <w:rsid w:val="00AA0E31"/>
    <w:rsid w:val="00AA150D"/>
    <w:rsid w:val="00AA1803"/>
    <w:rsid w:val="00AA20EA"/>
    <w:rsid w:val="00AA233D"/>
    <w:rsid w:val="00AA446F"/>
    <w:rsid w:val="00AA59A6"/>
    <w:rsid w:val="00AA5FF7"/>
    <w:rsid w:val="00AA6846"/>
    <w:rsid w:val="00AA739B"/>
    <w:rsid w:val="00AA7FDC"/>
    <w:rsid w:val="00AB0D80"/>
    <w:rsid w:val="00AB16D9"/>
    <w:rsid w:val="00AB1C49"/>
    <w:rsid w:val="00AB1FC8"/>
    <w:rsid w:val="00AB284D"/>
    <w:rsid w:val="00AB2F02"/>
    <w:rsid w:val="00AB304E"/>
    <w:rsid w:val="00AB6C17"/>
    <w:rsid w:val="00AC0A9D"/>
    <w:rsid w:val="00AC0C9E"/>
    <w:rsid w:val="00AC1AAD"/>
    <w:rsid w:val="00AC20C0"/>
    <w:rsid w:val="00AC2876"/>
    <w:rsid w:val="00AC3349"/>
    <w:rsid w:val="00AC33C8"/>
    <w:rsid w:val="00AC449A"/>
    <w:rsid w:val="00AC4C13"/>
    <w:rsid w:val="00AC4C74"/>
    <w:rsid w:val="00AC4CD2"/>
    <w:rsid w:val="00AC57D3"/>
    <w:rsid w:val="00AC5D5B"/>
    <w:rsid w:val="00AC7BE1"/>
    <w:rsid w:val="00AD059B"/>
    <w:rsid w:val="00AD102A"/>
    <w:rsid w:val="00AD1502"/>
    <w:rsid w:val="00AD1796"/>
    <w:rsid w:val="00AD1974"/>
    <w:rsid w:val="00AD2353"/>
    <w:rsid w:val="00AD239A"/>
    <w:rsid w:val="00AD26D4"/>
    <w:rsid w:val="00AD3102"/>
    <w:rsid w:val="00AD3EDC"/>
    <w:rsid w:val="00AD4BF1"/>
    <w:rsid w:val="00AD505E"/>
    <w:rsid w:val="00AD57EB"/>
    <w:rsid w:val="00AD5CCC"/>
    <w:rsid w:val="00AD6CC5"/>
    <w:rsid w:val="00AD713A"/>
    <w:rsid w:val="00AD7E0B"/>
    <w:rsid w:val="00AE0E58"/>
    <w:rsid w:val="00AE594A"/>
    <w:rsid w:val="00AF0189"/>
    <w:rsid w:val="00AF061D"/>
    <w:rsid w:val="00AF12CE"/>
    <w:rsid w:val="00AF3FE0"/>
    <w:rsid w:val="00AF45EB"/>
    <w:rsid w:val="00AF4794"/>
    <w:rsid w:val="00AF695E"/>
    <w:rsid w:val="00AF7191"/>
    <w:rsid w:val="00AF7C74"/>
    <w:rsid w:val="00B001EB"/>
    <w:rsid w:val="00B004D7"/>
    <w:rsid w:val="00B00586"/>
    <w:rsid w:val="00B00972"/>
    <w:rsid w:val="00B0098B"/>
    <w:rsid w:val="00B01022"/>
    <w:rsid w:val="00B0271B"/>
    <w:rsid w:val="00B041BF"/>
    <w:rsid w:val="00B06B70"/>
    <w:rsid w:val="00B076AA"/>
    <w:rsid w:val="00B14EC7"/>
    <w:rsid w:val="00B16A33"/>
    <w:rsid w:val="00B17AC0"/>
    <w:rsid w:val="00B17B7B"/>
    <w:rsid w:val="00B17D41"/>
    <w:rsid w:val="00B21333"/>
    <w:rsid w:val="00B24AD9"/>
    <w:rsid w:val="00B24AFC"/>
    <w:rsid w:val="00B25959"/>
    <w:rsid w:val="00B267CA"/>
    <w:rsid w:val="00B32A7C"/>
    <w:rsid w:val="00B3572E"/>
    <w:rsid w:val="00B35FBC"/>
    <w:rsid w:val="00B40734"/>
    <w:rsid w:val="00B40C90"/>
    <w:rsid w:val="00B41FAA"/>
    <w:rsid w:val="00B44EFF"/>
    <w:rsid w:val="00B44FB7"/>
    <w:rsid w:val="00B46AEE"/>
    <w:rsid w:val="00B46F12"/>
    <w:rsid w:val="00B5134D"/>
    <w:rsid w:val="00B516F5"/>
    <w:rsid w:val="00B5413B"/>
    <w:rsid w:val="00B54341"/>
    <w:rsid w:val="00B559F2"/>
    <w:rsid w:val="00B57130"/>
    <w:rsid w:val="00B57816"/>
    <w:rsid w:val="00B57D82"/>
    <w:rsid w:val="00B60029"/>
    <w:rsid w:val="00B6087C"/>
    <w:rsid w:val="00B60E4E"/>
    <w:rsid w:val="00B61973"/>
    <w:rsid w:val="00B61ED6"/>
    <w:rsid w:val="00B62E41"/>
    <w:rsid w:val="00B6403E"/>
    <w:rsid w:val="00B65E5A"/>
    <w:rsid w:val="00B66C2A"/>
    <w:rsid w:val="00B6741C"/>
    <w:rsid w:val="00B7062C"/>
    <w:rsid w:val="00B70AD6"/>
    <w:rsid w:val="00B710C6"/>
    <w:rsid w:val="00B71940"/>
    <w:rsid w:val="00B72D36"/>
    <w:rsid w:val="00B73342"/>
    <w:rsid w:val="00B735E5"/>
    <w:rsid w:val="00B743E8"/>
    <w:rsid w:val="00B74E82"/>
    <w:rsid w:val="00B75FEC"/>
    <w:rsid w:val="00B76239"/>
    <w:rsid w:val="00B775F5"/>
    <w:rsid w:val="00B8078F"/>
    <w:rsid w:val="00B80888"/>
    <w:rsid w:val="00B808E4"/>
    <w:rsid w:val="00B810C9"/>
    <w:rsid w:val="00B81A7D"/>
    <w:rsid w:val="00B81DBF"/>
    <w:rsid w:val="00B823A3"/>
    <w:rsid w:val="00B83423"/>
    <w:rsid w:val="00B83729"/>
    <w:rsid w:val="00B839FB"/>
    <w:rsid w:val="00B83DFF"/>
    <w:rsid w:val="00B84A9F"/>
    <w:rsid w:val="00B85C12"/>
    <w:rsid w:val="00B8620B"/>
    <w:rsid w:val="00B909F2"/>
    <w:rsid w:val="00B928DE"/>
    <w:rsid w:val="00B92912"/>
    <w:rsid w:val="00B92BEA"/>
    <w:rsid w:val="00B95605"/>
    <w:rsid w:val="00B968AA"/>
    <w:rsid w:val="00B96B6A"/>
    <w:rsid w:val="00BA0136"/>
    <w:rsid w:val="00BA0943"/>
    <w:rsid w:val="00BA0C81"/>
    <w:rsid w:val="00BA1F04"/>
    <w:rsid w:val="00BA21E1"/>
    <w:rsid w:val="00BA23ED"/>
    <w:rsid w:val="00BA3089"/>
    <w:rsid w:val="00BA423F"/>
    <w:rsid w:val="00BA64E8"/>
    <w:rsid w:val="00BA6512"/>
    <w:rsid w:val="00BA6B61"/>
    <w:rsid w:val="00BA75BB"/>
    <w:rsid w:val="00BA7CD8"/>
    <w:rsid w:val="00BB0343"/>
    <w:rsid w:val="00BB09F8"/>
    <w:rsid w:val="00BB0DDB"/>
    <w:rsid w:val="00BB235B"/>
    <w:rsid w:val="00BB27EB"/>
    <w:rsid w:val="00BB344E"/>
    <w:rsid w:val="00BB3CBD"/>
    <w:rsid w:val="00BB458D"/>
    <w:rsid w:val="00BB5CB4"/>
    <w:rsid w:val="00BB5CDE"/>
    <w:rsid w:val="00BB6000"/>
    <w:rsid w:val="00BB600D"/>
    <w:rsid w:val="00BB72F4"/>
    <w:rsid w:val="00BB7D5B"/>
    <w:rsid w:val="00BC0BB3"/>
    <w:rsid w:val="00BC0E8D"/>
    <w:rsid w:val="00BC10BC"/>
    <w:rsid w:val="00BC17C3"/>
    <w:rsid w:val="00BC23FB"/>
    <w:rsid w:val="00BC2458"/>
    <w:rsid w:val="00BC34A4"/>
    <w:rsid w:val="00BC6254"/>
    <w:rsid w:val="00BC7CB3"/>
    <w:rsid w:val="00BD0358"/>
    <w:rsid w:val="00BD05FC"/>
    <w:rsid w:val="00BD2B8D"/>
    <w:rsid w:val="00BD3834"/>
    <w:rsid w:val="00BD5923"/>
    <w:rsid w:val="00BD6750"/>
    <w:rsid w:val="00BD7018"/>
    <w:rsid w:val="00BD7A6B"/>
    <w:rsid w:val="00BD7D58"/>
    <w:rsid w:val="00BD7DD0"/>
    <w:rsid w:val="00BE0493"/>
    <w:rsid w:val="00BE2BA0"/>
    <w:rsid w:val="00BF2769"/>
    <w:rsid w:val="00BF4442"/>
    <w:rsid w:val="00BF487A"/>
    <w:rsid w:val="00BF5642"/>
    <w:rsid w:val="00BF640F"/>
    <w:rsid w:val="00BF7129"/>
    <w:rsid w:val="00C00E59"/>
    <w:rsid w:val="00C02FA7"/>
    <w:rsid w:val="00C033E7"/>
    <w:rsid w:val="00C04166"/>
    <w:rsid w:val="00C07DF4"/>
    <w:rsid w:val="00C10836"/>
    <w:rsid w:val="00C11FD0"/>
    <w:rsid w:val="00C122BA"/>
    <w:rsid w:val="00C12986"/>
    <w:rsid w:val="00C12D78"/>
    <w:rsid w:val="00C14885"/>
    <w:rsid w:val="00C15234"/>
    <w:rsid w:val="00C15A52"/>
    <w:rsid w:val="00C15E83"/>
    <w:rsid w:val="00C1632D"/>
    <w:rsid w:val="00C16725"/>
    <w:rsid w:val="00C16E2A"/>
    <w:rsid w:val="00C170C0"/>
    <w:rsid w:val="00C17DE9"/>
    <w:rsid w:val="00C204A6"/>
    <w:rsid w:val="00C2197D"/>
    <w:rsid w:val="00C22DAC"/>
    <w:rsid w:val="00C2352A"/>
    <w:rsid w:val="00C23BD1"/>
    <w:rsid w:val="00C300E4"/>
    <w:rsid w:val="00C303A9"/>
    <w:rsid w:val="00C303F0"/>
    <w:rsid w:val="00C306A7"/>
    <w:rsid w:val="00C30CD3"/>
    <w:rsid w:val="00C310C0"/>
    <w:rsid w:val="00C31569"/>
    <w:rsid w:val="00C31905"/>
    <w:rsid w:val="00C31AF7"/>
    <w:rsid w:val="00C33CFA"/>
    <w:rsid w:val="00C344E9"/>
    <w:rsid w:val="00C3467C"/>
    <w:rsid w:val="00C3498E"/>
    <w:rsid w:val="00C35F90"/>
    <w:rsid w:val="00C36BFD"/>
    <w:rsid w:val="00C37C60"/>
    <w:rsid w:val="00C40C51"/>
    <w:rsid w:val="00C41B2F"/>
    <w:rsid w:val="00C41F38"/>
    <w:rsid w:val="00C42588"/>
    <w:rsid w:val="00C42885"/>
    <w:rsid w:val="00C439B5"/>
    <w:rsid w:val="00C443EA"/>
    <w:rsid w:val="00C449C8"/>
    <w:rsid w:val="00C44E2D"/>
    <w:rsid w:val="00C451D8"/>
    <w:rsid w:val="00C453C1"/>
    <w:rsid w:val="00C460BC"/>
    <w:rsid w:val="00C4636A"/>
    <w:rsid w:val="00C464DF"/>
    <w:rsid w:val="00C4663F"/>
    <w:rsid w:val="00C50475"/>
    <w:rsid w:val="00C51EEC"/>
    <w:rsid w:val="00C5303D"/>
    <w:rsid w:val="00C53328"/>
    <w:rsid w:val="00C53BC4"/>
    <w:rsid w:val="00C55A51"/>
    <w:rsid w:val="00C55A71"/>
    <w:rsid w:val="00C608B8"/>
    <w:rsid w:val="00C610FD"/>
    <w:rsid w:val="00C632AD"/>
    <w:rsid w:val="00C6348B"/>
    <w:rsid w:val="00C63620"/>
    <w:rsid w:val="00C66BC5"/>
    <w:rsid w:val="00C67434"/>
    <w:rsid w:val="00C70077"/>
    <w:rsid w:val="00C704AA"/>
    <w:rsid w:val="00C71652"/>
    <w:rsid w:val="00C7184D"/>
    <w:rsid w:val="00C72DC0"/>
    <w:rsid w:val="00C752E9"/>
    <w:rsid w:val="00C75594"/>
    <w:rsid w:val="00C75828"/>
    <w:rsid w:val="00C76AC4"/>
    <w:rsid w:val="00C779B2"/>
    <w:rsid w:val="00C77F54"/>
    <w:rsid w:val="00C80798"/>
    <w:rsid w:val="00C818BD"/>
    <w:rsid w:val="00C81B55"/>
    <w:rsid w:val="00C822E1"/>
    <w:rsid w:val="00C82687"/>
    <w:rsid w:val="00C82A5B"/>
    <w:rsid w:val="00C84A81"/>
    <w:rsid w:val="00C84DE1"/>
    <w:rsid w:val="00C8517B"/>
    <w:rsid w:val="00C8523D"/>
    <w:rsid w:val="00C85CAB"/>
    <w:rsid w:val="00C85F05"/>
    <w:rsid w:val="00C865A9"/>
    <w:rsid w:val="00C872A0"/>
    <w:rsid w:val="00C90EE5"/>
    <w:rsid w:val="00C93677"/>
    <w:rsid w:val="00C94FA3"/>
    <w:rsid w:val="00C9589E"/>
    <w:rsid w:val="00C95E18"/>
    <w:rsid w:val="00C95F1F"/>
    <w:rsid w:val="00C95FC8"/>
    <w:rsid w:val="00C97809"/>
    <w:rsid w:val="00C97DDC"/>
    <w:rsid w:val="00C97F7E"/>
    <w:rsid w:val="00CA037B"/>
    <w:rsid w:val="00CA1905"/>
    <w:rsid w:val="00CA2E36"/>
    <w:rsid w:val="00CA396C"/>
    <w:rsid w:val="00CA3D17"/>
    <w:rsid w:val="00CA4360"/>
    <w:rsid w:val="00CA5380"/>
    <w:rsid w:val="00CB04A3"/>
    <w:rsid w:val="00CB0B25"/>
    <w:rsid w:val="00CB1B3B"/>
    <w:rsid w:val="00CB28CD"/>
    <w:rsid w:val="00CB2BF4"/>
    <w:rsid w:val="00CB30DF"/>
    <w:rsid w:val="00CB3D39"/>
    <w:rsid w:val="00CB3D75"/>
    <w:rsid w:val="00CB5257"/>
    <w:rsid w:val="00CB52E3"/>
    <w:rsid w:val="00CB540B"/>
    <w:rsid w:val="00CC014E"/>
    <w:rsid w:val="00CC1054"/>
    <w:rsid w:val="00CC22A8"/>
    <w:rsid w:val="00CC4104"/>
    <w:rsid w:val="00CC4860"/>
    <w:rsid w:val="00CC665E"/>
    <w:rsid w:val="00CC6E87"/>
    <w:rsid w:val="00CC79E0"/>
    <w:rsid w:val="00CD059B"/>
    <w:rsid w:val="00CD109F"/>
    <w:rsid w:val="00CD1748"/>
    <w:rsid w:val="00CD2031"/>
    <w:rsid w:val="00CD251B"/>
    <w:rsid w:val="00CD25B8"/>
    <w:rsid w:val="00CD2DFC"/>
    <w:rsid w:val="00CD4BE1"/>
    <w:rsid w:val="00CD5E06"/>
    <w:rsid w:val="00CD670F"/>
    <w:rsid w:val="00CE0290"/>
    <w:rsid w:val="00CE0BF0"/>
    <w:rsid w:val="00CE0EF4"/>
    <w:rsid w:val="00CE0FA9"/>
    <w:rsid w:val="00CE121A"/>
    <w:rsid w:val="00CE1221"/>
    <w:rsid w:val="00CE1258"/>
    <w:rsid w:val="00CE2BEB"/>
    <w:rsid w:val="00CE2E9A"/>
    <w:rsid w:val="00CE3842"/>
    <w:rsid w:val="00CE4800"/>
    <w:rsid w:val="00CE51EE"/>
    <w:rsid w:val="00CE57AA"/>
    <w:rsid w:val="00CE73F3"/>
    <w:rsid w:val="00CE7F54"/>
    <w:rsid w:val="00CF0314"/>
    <w:rsid w:val="00CF0BB6"/>
    <w:rsid w:val="00CF1487"/>
    <w:rsid w:val="00CF2BA3"/>
    <w:rsid w:val="00CF3423"/>
    <w:rsid w:val="00CF4C38"/>
    <w:rsid w:val="00CF5930"/>
    <w:rsid w:val="00D0032B"/>
    <w:rsid w:val="00D00330"/>
    <w:rsid w:val="00D0089D"/>
    <w:rsid w:val="00D00FD6"/>
    <w:rsid w:val="00D012B0"/>
    <w:rsid w:val="00D027E6"/>
    <w:rsid w:val="00D02E83"/>
    <w:rsid w:val="00D03079"/>
    <w:rsid w:val="00D03616"/>
    <w:rsid w:val="00D03F7E"/>
    <w:rsid w:val="00D05841"/>
    <w:rsid w:val="00D05C27"/>
    <w:rsid w:val="00D05D30"/>
    <w:rsid w:val="00D05F8E"/>
    <w:rsid w:val="00D07BB7"/>
    <w:rsid w:val="00D10BDF"/>
    <w:rsid w:val="00D110CF"/>
    <w:rsid w:val="00D1186B"/>
    <w:rsid w:val="00D11C10"/>
    <w:rsid w:val="00D12DCB"/>
    <w:rsid w:val="00D132FA"/>
    <w:rsid w:val="00D13810"/>
    <w:rsid w:val="00D144D9"/>
    <w:rsid w:val="00D1582D"/>
    <w:rsid w:val="00D15D33"/>
    <w:rsid w:val="00D16B59"/>
    <w:rsid w:val="00D1749C"/>
    <w:rsid w:val="00D202A1"/>
    <w:rsid w:val="00D20CE3"/>
    <w:rsid w:val="00D214C1"/>
    <w:rsid w:val="00D228CE"/>
    <w:rsid w:val="00D23477"/>
    <w:rsid w:val="00D23754"/>
    <w:rsid w:val="00D24728"/>
    <w:rsid w:val="00D25027"/>
    <w:rsid w:val="00D254BA"/>
    <w:rsid w:val="00D256CC"/>
    <w:rsid w:val="00D2585B"/>
    <w:rsid w:val="00D26CF4"/>
    <w:rsid w:val="00D27107"/>
    <w:rsid w:val="00D27C74"/>
    <w:rsid w:val="00D305E7"/>
    <w:rsid w:val="00D31519"/>
    <w:rsid w:val="00D31E7C"/>
    <w:rsid w:val="00D32C28"/>
    <w:rsid w:val="00D3428F"/>
    <w:rsid w:val="00D3493F"/>
    <w:rsid w:val="00D349AC"/>
    <w:rsid w:val="00D34D18"/>
    <w:rsid w:val="00D35071"/>
    <w:rsid w:val="00D36E3B"/>
    <w:rsid w:val="00D37B8F"/>
    <w:rsid w:val="00D37D8A"/>
    <w:rsid w:val="00D37DEF"/>
    <w:rsid w:val="00D40574"/>
    <w:rsid w:val="00D41A52"/>
    <w:rsid w:val="00D41B13"/>
    <w:rsid w:val="00D44789"/>
    <w:rsid w:val="00D46800"/>
    <w:rsid w:val="00D46C7E"/>
    <w:rsid w:val="00D46D6E"/>
    <w:rsid w:val="00D47197"/>
    <w:rsid w:val="00D4786B"/>
    <w:rsid w:val="00D50B41"/>
    <w:rsid w:val="00D50E0E"/>
    <w:rsid w:val="00D51662"/>
    <w:rsid w:val="00D519B7"/>
    <w:rsid w:val="00D51D7E"/>
    <w:rsid w:val="00D54C49"/>
    <w:rsid w:val="00D55598"/>
    <w:rsid w:val="00D557BF"/>
    <w:rsid w:val="00D56517"/>
    <w:rsid w:val="00D571B4"/>
    <w:rsid w:val="00D5748F"/>
    <w:rsid w:val="00D57F90"/>
    <w:rsid w:val="00D60C9C"/>
    <w:rsid w:val="00D62446"/>
    <w:rsid w:val="00D6289E"/>
    <w:rsid w:val="00D6337A"/>
    <w:rsid w:val="00D63C8B"/>
    <w:rsid w:val="00D63CFD"/>
    <w:rsid w:val="00D641D6"/>
    <w:rsid w:val="00D64631"/>
    <w:rsid w:val="00D64DBF"/>
    <w:rsid w:val="00D65888"/>
    <w:rsid w:val="00D66301"/>
    <w:rsid w:val="00D701DD"/>
    <w:rsid w:val="00D70B1F"/>
    <w:rsid w:val="00D717AD"/>
    <w:rsid w:val="00D72659"/>
    <w:rsid w:val="00D72C6E"/>
    <w:rsid w:val="00D72DDD"/>
    <w:rsid w:val="00D7419B"/>
    <w:rsid w:val="00D742B5"/>
    <w:rsid w:val="00D7654E"/>
    <w:rsid w:val="00D80209"/>
    <w:rsid w:val="00D8047B"/>
    <w:rsid w:val="00D81445"/>
    <w:rsid w:val="00D82509"/>
    <w:rsid w:val="00D825EA"/>
    <w:rsid w:val="00D82A17"/>
    <w:rsid w:val="00D83995"/>
    <w:rsid w:val="00D83CC0"/>
    <w:rsid w:val="00D83D8F"/>
    <w:rsid w:val="00D84607"/>
    <w:rsid w:val="00D84901"/>
    <w:rsid w:val="00D85B81"/>
    <w:rsid w:val="00D86250"/>
    <w:rsid w:val="00D8651C"/>
    <w:rsid w:val="00D86879"/>
    <w:rsid w:val="00D87EFC"/>
    <w:rsid w:val="00D91654"/>
    <w:rsid w:val="00D93CB3"/>
    <w:rsid w:val="00D95665"/>
    <w:rsid w:val="00D96D6A"/>
    <w:rsid w:val="00D96F97"/>
    <w:rsid w:val="00D97421"/>
    <w:rsid w:val="00D97481"/>
    <w:rsid w:val="00D97C66"/>
    <w:rsid w:val="00DA10A4"/>
    <w:rsid w:val="00DA10D5"/>
    <w:rsid w:val="00DA1B90"/>
    <w:rsid w:val="00DA42B5"/>
    <w:rsid w:val="00DA5B20"/>
    <w:rsid w:val="00DA6194"/>
    <w:rsid w:val="00DA70B4"/>
    <w:rsid w:val="00DA78F5"/>
    <w:rsid w:val="00DB0177"/>
    <w:rsid w:val="00DB0CC6"/>
    <w:rsid w:val="00DB278E"/>
    <w:rsid w:val="00DB32BF"/>
    <w:rsid w:val="00DB3722"/>
    <w:rsid w:val="00DB3ABE"/>
    <w:rsid w:val="00DB5B03"/>
    <w:rsid w:val="00DB6078"/>
    <w:rsid w:val="00DB63A4"/>
    <w:rsid w:val="00DB76D9"/>
    <w:rsid w:val="00DB7A60"/>
    <w:rsid w:val="00DC0E99"/>
    <w:rsid w:val="00DC162F"/>
    <w:rsid w:val="00DC2E09"/>
    <w:rsid w:val="00DC330A"/>
    <w:rsid w:val="00DC4A62"/>
    <w:rsid w:val="00DC5C8A"/>
    <w:rsid w:val="00DC6559"/>
    <w:rsid w:val="00DC6563"/>
    <w:rsid w:val="00DC6A5E"/>
    <w:rsid w:val="00DC7221"/>
    <w:rsid w:val="00DD0F62"/>
    <w:rsid w:val="00DD12E7"/>
    <w:rsid w:val="00DD20B7"/>
    <w:rsid w:val="00DD233A"/>
    <w:rsid w:val="00DD254F"/>
    <w:rsid w:val="00DD2820"/>
    <w:rsid w:val="00DD2851"/>
    <w:rsid w:val="00DD4613"/>
    <w:rsid w:val="00DD4CC4"/>
    <w:rsid w:val="00DD54CA"/>
    <w:rsid w:val="00DD57EB"/>
    <w:rsid w:val="00DD5DE3"/>
    <w:rsid w:val="00DD5F50"/>
    <w:rsid w:val="00DD7206"/>
    <w:rsid w:val="00DD7D54"/>
    <w:rsid w:val="00DE04F8"/>
    <w:rsid w:val="00DE069B"/>
    <w:rsid w:val="00DE096C"/>
    <w:rsid w:val="00DE1FFC"/>
    <w:rsid w:val="00DE2D03"/>
    <w:rsid w:val="00DE368D"/>
    <w:rsid w:val="00DE38DF"/>
    <w:rsid w:val="00DE3B47"/>
    <w:rsid w:val="00DE3D20"/>
    <w:rsid w:val="00DE4028"/>
    <w:rsid w:val="00DE43D9"/>
    <w:rsid w:val="00DE6CFB"/>
    <w:rsid w:val="00DE7017"/>
    <w:rsid w:val="00DE76B9"/>
    <w:rsid w:val="00DE788A"/>
    <w:rsid w:val="00DF0540"/>
    <w:rsid w:val="00DF1356"/>
    <w:rsid w:val="00DF505B"/>
    <w:rsid w:val="00DF631B"/>
    <w:rsid w:val="00DF6C53"/>
    <w:rsid w:val="00DF78FB"/>
    <w:rsid w:val="00E005BB"/>
    <w:rsid w:val="00E006CC"/>
    <w:rsid w:val="00E00849"/>
    <w:rsid w:val="00E019D5"/>
    <w:rsid w:val="00E02095"/>
    <w:rsid w:val="00E05350"/>
    <w:rsid w:val="00E05851"/>
    <w:rsid w:val="00E05AD0"/>
    <w:rsid w:val="00E11F9C"/>
    <w:rsid w:val="00E125C6"/>
    <w:rsid w:val="00E14F90"/>
    <w:rsid w:val="00E162B6"/>
    <w:rsid w:val="00E1739F"/>
    <w:rsid w:val="00E1762B"/>
    <w:rsid w:val="00E179DC"/>
    <w:rsid w:val="00E20610"/>
    <w:rsid w:val="00E24AAC"/>
    <w:rsid w:val="00E258BC"/>
    <w:rsid w:val="00E25EE0"/>
    <w:rsid w:val="00E25FA3"/>
    <w:rsid w:val="00E30829"/>
    <w:rsid w:val="00E30C19"/>
    <w:rsid w:val="00E3116D"/>
    <w:rsid w:val="00E35E8A"/>
    <w:rsid w:val="00E368C9"/>
    <w:rsid w:val="00E37663"/>
    <w:rsid w:val="00E3787C"/>
    <w:rsid w:val="00E37E61"/>
    <w:rsid w:val="00E43E68"/>
    <w:rsid w:val="00E440D3"/>
    <w:rsid w:val="00E44556"/>
    <w:rsid w:val="00E44D46"/>
    <w:rsid w:val="00E454E2"/>
    <w:rsid w:val="00E458FF"/>
    <w:rsid w:val="00E46472"/>
    <w:rsid w:val="00E46890"/>
    <w:rsid w:val="00E46E66"/>
    <w:rsid w:val="00E4787F"/>
    <w:rsid w:val="00E50592"/>
    <w:rsid w:val="00E50A96"/>
    <w:rsid w:val="00E50ECC"/>
    <w:rsid w:val="00E523AE"/>
    <w:rsid w:val="00E52E82"/>
    <w:rsid w:val="00E52F76"/>
    <w:rsid w:val="00E537FF"/>
    <w:rsid w:val="00E556FA"/>
    <w:rsid w:val="00E557C1"/>
    <w:rsid w:val="00E565FB"/>
    <w:rsid w:val="00E56885"/>
    <w:rsid w:val="00E56AC9"/>
    <w:rsid w:val="00E577BF"/>
    <w:rsid w:val="00E60DC6"/>
    <w:rsid w:val="00E61319"/>
    <w:rsid w:val="00E61B95"/>
    <w:rsid w:val="00E622DC"/>
    <w:rsid w:val="00E65DDE"/>
    <w:rsid w:val="00E66712"/>
    <w:rsid w:val="00E669C4"/>
    <w:rsid w:val="00E66EAD"/>
    <w:rsid w:val="00E6740C"/>
    <w:rsid w:val="00E67836"/>
    <w:rsid w:val="00E7030A"/>
    <w:rsid w:val="00E70DF0"/>
    <w:rsid w:val="00E70E21"/>
    <w:rsid w:val="00E70FCB"/>
    <w:rsid w:val="00E71027"/>
    <w:rsid w:val="00E71691"/>
    <w:rsid w:val="00E71D99"/>
    <w:rsid w:val="00E71FB7"/>
    <w:rsid w:val="00E72466"/>
    <w:rsid w:val="00E725B6"/>
    <w:rsid w:val="00E7270B"/>
    <w:rsid w:val="00E72ED0"/>
    <w:rsid w:val="00E74602"/>
    <w:rsid w:val="00E759AB"/>
    <w:rsid w:val="00E75ACD"/>
    <w:rsid w:val="00E76ADF"/>
    <w:rsid w:val="00E80D39"/>
    <w:rsid w:val="00E81AA1"/>
    <w:rsid w:val="00E821BF"/>
    <w:rsid w:val="00E835E9"/>
    <w:rsid w:val="00E840AA"/>
    <w:rsid w:val="00E85252"/>
    <w:rsid w:val="00E85665"/>
    <w:rsid w:val="00E858C0"/>
    <w:rsid w:val="00E8692D"/>
    <w:rsid w:val="00E87299"/>
    <w:rsid w:val="00E87BE5"/>
    <w:rsid w:val="00E909DF"/>
    <w:rsid w:val="00E90EE0"/>
    <w:rsid w:val="00E92647"/>
    <w:rsid w:val="00E940B0"/>
    <w:rsid w:val="00E950BC"/>
    <w:rsid w:val="00E95510"/>
    <w:rsid w:val="00E95FC7"/>
    <w:rsid w:val="00E96166"/>
    <w:rsid w:val="00E961E0"/>
    <w:rsid w:val="00E96F4C"/>
    <w:rsid w:val="00EA120A"/>
    <w:rsid w:val="00EA1480"/>
    <w:rsid w:val="00EA2ABA"/>
    <w:rsid w:val="00EA2E7A"/>
    <w:rsid w:val="00EA3BAC"/>
    <w:rsid w:val="00EA4B05"/>
    <w:rsid w:val="00EA5046"/>
    <w:rsid w:val="00EA546C"/>
    <w:rsid w:val="00EA5653"/>
    <w:rsid w:val="00EA5B26"/>
    <w:rsid w:val="00EA5B42"/>
    <w:rsid w:val="00EA63AD"/>
    <w:rsid w:val="00EA70FF"/>
    <w:rsid w:val="00EA7911"/>
    <w:rsid w:val="00EA7C36"/>
    <w:rsid w:val="00EB1EB7"/>
    <w:rsid w:val="00EB264B"/>
    <w:rsid w:val="00EB2F0D"/>
    <w:rsid w:val="00EB30C9"/>
    <w:rsid w:val="00EB31F4"/>
    <w:rsid w:val="00EB37BB"/>
    <w:rsid w:val="00EB4370"/>
    <w:rsid w:val="00EB5A71"/>
    <w:rsid w:val="00EB6D36"/>
    <w:rsid w:val="00EC26B0"/>
    <w:rsid w:val="00EC3897"/>
    <w:rsid w:val="00EC3E42"/>
    <w:rsid w:val="00EC3E4C"/>
    <w:rsid w:val="00EC4745"/>
    <w:rsid w:val="00EC4FED"/>
    <w:rsid w:val="00EC5A36"/>
    <w:rsid w:val="00EC6B24"/>
    <w:rsid w:val="00EC7073"/>
    <w:rsid w:val="00EC7600"/>
    <w:rsid w:val="00ED2133"/>
    <w:rsid w:val="00ED2C43"/>
    <w:rsid w:val="00ED3388"/>
    <w:rsid w:val="00ED440C"/>
    <w:rsid w:val="00ED7B75"/>
    <w:rsid w:val="00EE15CE"/>
    <w:rsid w:val="00EE1C69"/>
    <w:rsid w:val="00EE2BC4"/>
    <w:rsid w:val="00EE3379"/>
    <w:rsid w:val="00EE3615"/>
    <w:rsid w:val="00EE36CC"/>
    <w:rsid w:val="00EE424F"/>
    <w:rsid w:val="00EE52D6"/>
    <w:rsid w:val="00EE6C9E"/>
    <w:rsid w:val="00EE77F7"/>
    <w:rsid w:val="00EE7DB4"/>
    <w:rsid w:val="00EF0435"/>
    <w:rsid w:val="00EF11AE"/>
    <w:rsid w:val="00EF1969"/>
    <w:rsid w:val="00EF2589"/>
    <w:rsid w:val="00EF25EC"/>
    <w:rsid w:val="00EF34B9"/>
    <w:rsid w:val="00EF383F"/>
    <w:rsid w:val="00EF4D92"/>
    <w:rsid w:val="00EF5378"/>
    <w:rsid w:val="00EF573C"/>
    <w:rsid w:val="00EF6541"/>
    <w:rsid w:val="00EF6550"/>
    <w:rsid w:val="00F02B7B"/>
    <w:rsid w:val="00F04175"/>
    <w:rsid w:val="00F0678A"/>
    <w:rsid w:val="00F068B3"/>
    <w:rsid w:val="00F074BF"/>
    <w:rsid w:val="00F077A8"/>
    <w:rsid w:val="00F07B5E"/>
    <w:rsid w:val="00F102CD"/>
    <w:rsid w:val="00F1048B"/>
    <w:rsid w:val="00F10951"/>
    <w:rsid w:val="00F10B61"/>
    <w:rsid w:val="00F132A8"/>
    <w:rsid w:val="00F1394D"/>
    <w:rsid w:val="00F142FD"/>
    <w:rsid w:val="00F15947"/>
    <w:rsid w:val="00F16597"/>
    <w:rsid w:val="00F175A7"/>
    <w:rsid w:val="00F177C2"/>
    <w:rsid w:val="00F201B9"/>
    <w:rsid w:val="00F218B7"/>
    <w:rsid w:val="00F21A48"/>
    <w:rsid w:val="00F2354F"/>
    <w:rsid w:val="00F243A3"/>
    <w:rsid w:val="00F24E6F"/>
    <w:rsid w:val="00F250C0"/>
    <w:rsid w:val="00F2582A"/>
    <w:rsid w:val="00F25BBC"/>
    <w:rsid w:val="00F26294"/>
    <w:rsid w:val="00F31BDD"/>
    <w:rsid w:val="00F33550"/>
    <w:rsid w:val="00F338E7"/>
    <w:rsid w:val="00F33973"/>
    <w:rsid w:val="00F35F68"/>
    <w:rsid w:val="00F3765A"/>
    <w:rsid w:val="00F40413"/>
    <w:rsid w:val="00F4045C"/>
    <w:rsid w:val="00F40E31"/>
    <w:rsid w:val="00F42E3D"/>
    <w:rsid w:val="00F4335C"/>
    <w:rsid w:val="00F43B23"/>
    <w:rsid w:val="00F43D18"/>
    <w:rsid w:val="00F4634A"/>
    <w:rsid w:val="00F47F5E"/>
    <w:rsid w:val="00F5030C"/>
    <w:rsid w:val="00F52C95"/>
    <w:rsid w:val="00F5367B"/>
    <w:rsid w:val="00F5387B"/>
    <w:rsid w:val="00F5467E"/>
    <w:rsid w:val="00F54BA5"/>
    <w:rsid w:val="00F54BE0"/>
    <w:rsid w:val="00F54FF0"/>
    <w:rsid w:val="00F55B4F"/>
    <w:rsid w:val="00F57CFE"/>
    <w:rsid w:val="00F60064"/>
    <w:rsid w:val="00F60A49"/>
    <w:rsid w:val="00F60F45"/>
    <w:rsid w:val="00F63864"/>
    <w:rsid w:val="00F6407E"/>
    <w:rsid w:val="00F66D2D"/>
    <w:rsid w:val="00F71596"/>
    <w:rsid w:val="00F7399D"/>
    <w:rsid w:val="00F73E5E"/>
    <w:rsid w:val="00F74C40"/>
    <w:rsid w:val="00F76033"/>
    <w:rsid w:val="00F7618B"/>
    <w:rsid w:val="00F7699A"/>
    <w:rsid w:val="00F77AD9"/>
    <w:rsid w:val="00F81255"/>
    <w:rsid w:val="00F81EC7"/>
    <w:rsid w:val="00F8252F"/>
    <w:rsid w:val="00F837D9"/>
    <w:rsid w:val="00F8391F"/>
    <w:rsid w:val="00F83B13"/>
    <w:rsid w:val="00F84339"/>
    <w:rsid w:val="00F846A9"/>
    <w:rsid w:val="00F8554C"/>
    <w:rsid w:val="00F856E9"/>
    <w:rsid w:val="00F85F2D"/>
    <w:rsid w:val="00F862D0"/>
    <w:rsid w:val="00F86355"/>
    <w:rsid w:val="00F869A4"/>
    <w:rsid w:val="00F86D4B"/>
    <w:rsid w:val="00F90909"/>
    <w:rsid w:val="00F93B5C"/>
    <w:rsid w:val="00F94116"/>
    <w:rsid w:val="00F95126"/>
    <w:rsid w:val="00F95B7B"/>
    <w:rsid w:val="00F95D6A"/>
    <w:rsid w:val="00F962F3"/>
    <w:rsid w:val="00F96371"/>
    <w:rsid w:val="00F96718"/>
    <w:rsid w:val="00FA04AD"/>
    <w:rsid w:val="00FA19CC"/>
    <w:rsid w:val="00FA1DC6"/>
    <w:rsid w:val="00FA2035"/>
    <w:rsid w:val="00FA296B"/>
    <w:rsid w:val="00FA2C37"/>
    <w:rsid w:val="00FA41CF"/>
    <w:rsid w:val="00FA467D"/>
    <w:rsid w:val="00FA69A5"/>
    <w:rsid w:val="00FA6B86"/>
    <w:rsid w:val="00FA759D"/>
    <w:rsid w:val="00FB0945"/>
    <w:rsid w:val="00FB2C32"/>
    <w:rsid w:val="00FB2D9E"/>
    <w:rsid w:val="00FB37FF"/>
    <w:rsid w:val="00FB42DA"/>
    <w:rsid w:val="00FB5436"/>
    <w:rsid w:val="00FB57A6"/>
    <w:rsid w:val="00FB5905"/>
    <w:rsid w:val="00FB7D2C"/>
    <w:rsid w:val="00FC0A75"/>
    <w:rsid w:val="00FC0D89"/>
    <w:rsid w:val="00FC0FA3"/>
    <w:rsid w:val="00FC1E77"/>
    <w:rsid w:val="00FC23E7"/>
    <w:rsid w:val="00FC41C1"/>
    <w:rsid w:val="00FC4360"/>
    <w:rsid w:val="00FC6328"/>
    <w:rsid w:val="00FC6FB3"/>
    <w:rsid w:val="00FD0B7B"/>
    <w:rsid w:val="00FD1787"/>
    <w:rsid w:val="00FD20F9"/>
    <w:rsid w:val="00FD2772"/>
    <w:rsid w:val="00FD31FF"/>
    <w:rsid w:val="00FD344C"/>
    <w:rsid w:val="00FE00B5"/>
    <w:rsid w:val="00FE027F"/>
    <w:rsid w:val="00FE2EE5"/>
    <w:rsid w:val="00FE32C0"/>
    <w:rsid w:val="00FE6F63"/>
    <w:rsid w:val="00FE71B9"/>
    <w:rsid w:val="00FE76F1"/>
    <w:rsid w:val="00FE778F"/>
    <w:rsid w:val="00FF01BC"/>
    <w:rsid w:val="00FF0EA3"/>
    <w:rsid w:val="00FF15AD"/>
    <w:rsid w:val="00FF1BB7"/>
    <w:rsid w:val="00FF2778"/>
    <w:rsid w:val="00FF2851"/>
    <w:rsid w:val="00FF2BC5"/>
    <w:rsid w:val="00FF3188"/>
    <w:rsid w:val="00FF4AE2"/>
    <w:rsid w:val="00FF50FC"/>
    <w:rsid w:val="00FF67F3"/>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A92907F9-3C28-471A-9C73-7A757ADC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1C1E47"/>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C453C1"/>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1E47"/>
    <w:rPr>
      <w:b/>
      <w:b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C453C1"/>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character" w:customStyle="1" w:styleId="cf01">
    <w:name w:val="cf01"/>
    <w:basedOn w:val="DefaultParagraphFont"/>
    <w:rsid w:val="00996C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4050</Words>
  <Characters>22590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dgibbs</dc:creator>
  <cp:lastModifiedBy>Yang, Fan - OSHA</cp:lastModifiedBy>
  <cp:revision>7</cp:revision>
  <cp:lastPrinted>2025-03-28T16:03:00Z</cp:lastPrinted>
  <dcterms:created xsi:type="dcterms:W3CDTF">2025-06-10T15:41:00Z</dcterms:created>
  <dcterms:modified xsi:type="dcterms:W3CDTF">2025-06-10T18:13:00Z</dcterms:modified>
</cp:coreProperties>
</file>