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BBD2" w14:textId="3CDD4C22" w:rsidR="000A134A" w:rsidRPr="001C1E47" w:rsidRDefault="1DA31A2D" w:rsidP="1DD3D541">
      <w:pPr>
        <w:pStyle w:val="Heading1"/>
      </w:pPr>
      <w:bookmarkStart w:id="0" w:name="_Toc118900169"/>
      <w:bookmarkStart w:id="1" w:name="_Toc118905008"/>
      <w:r>
        <w:t>FY 20</w:t>
      </w:r>
      <w:r w:rsidR="7B09F708">
        <w:t>2</w:t>
      </w:r>
      <w:r w:rsidR="1E26FB99">
        <w:t>4</w:t>
      </w:r>
      <w:r w:rsidR="26884CC4">
        <w:t xml:space="preserve"> </w:t>
      </w:r>
      <w:r w:rsidR="4507A059">
        <w:t xml:space="preserve">Follow-up </w:t>
      </w:r>
      <w:r w:rsidR="209157AA">
        <w:t>Federal Annual Monitoring</w:t>
      </w:r>
      <w:r w:rsidR="4507A059">
        <w:t xml:space="preserve"> Evaluation (FAME) Report</w:t>
      </w:r>
      <w:bookmarkEnd w:id="0"/>
      <w:bookmarkEnd w:id="1"/>
    </w:p>
    <w:p w14:paraId="29241F5B" w14:textId="5902633D" w:rsidR="1DD3D541" w:rsidRDefault="1DD3D541" w:rsidP="1DD3D541"/>
    <w:p w14:paraId="575D7C20" w14:textId="4E1FA1A6" w:rsidR="1DD3D541" w:rsidRDefault="1DD3D541" w:rsidP="1DD3D541"/>
    <w:p w14:paraId="3C7A05FA" w14:textId="5D47BC97" w:rsidR="1DD3D541" w:rsidRDefault="1DD3D541" w:rsidP="1DD3D541"/>
    <w:p w14:paraId="2A3E5133" w14:textId="5594C030" w:rsidR="000A134A" w:rsidRDefault="34EA5E2F" w:rsidP="1DD3D541">
      <w:pPr>
        <w:rPr>
          <w:rFonts w:asciiTheme="minorHAnsi" w:hAnsiTheme="minorHAnsi" w:cstheme="minorBidi"/>
          <w:b/>
          <w:bCs/>
          <w:color w:val="000000" w:themeColor="text1"/>
          <w:sz w:val="28"/>
          <w:szCs w:val="28"/>
        </w:rPr>
      </w:pPr>
      <w:bookmarkStart w:id="2" w:name="_Toc128053005"/>
      <w:r w:rsidRPr="1DD3D541">
        <w:rPr>
          <w:rFonts w:asciiTheme="minorHAnsi" w:hAnsiTheme="minorHAnsi" w:cstheme="minorBidi"/>
          <w:b/>
          <w:bCs/>
          <w:color w:val="000000" w:themeColor="text1"/>
          <w:sz w:val="28"/>
          <w:szCs w:val="28"/>
        </w:rPr>
        <w:t>California Department of Industrial Relations</w:t>
      </w:r>
      <w:bookmarkEnd w:id="2"/>
    </w:p>
    <w:p w14:paraId="36F620BA" w14:textId="77777777" w:rsidR="0024516B" w:rsidRDefault="0024516B" w:rsidP="1DD3D541">
      <w:pPr>
        <w:rPr>
          <w:rFonts w:asciiTheme="minorHAnsi" w:hAnsiTheme="minorHAnsi" w:cstheme="minorBidi"/>
          <w:b/>
          <w:bCs/>
          <w:color w:val="000000" w:themeColor="text1"/>
          <w:sz w:val="28"/>
          <w:szCs w:val="28"/>
        </w:rPr>
      </w:pPr>
    </w:p>
    <w:p w14:paraId="3E4604F5" w14:textId="77777777" w:rsidR="0024516B" w:rsidRPr="001C1E47" w:rsidRDefault="0024516B" w:rsidP="1DD3D541">
      <w:pPr>
        <w:rPr>
          <w:rFonts w:asciiTheme="minorHAnsi" w:hAnsiTheme="minorHAnsi" w:cstheme="minorBidi"/>
          <w:b/>
          <w:bCs/>
          <w:color w:val="000000" w:themeColor="text1"/>
          <w:sz w:val="28"/>
          <w:szCs w:val="28"/>
        </w:rPr>
      </w:pPr>
    </w:p>
    <w:p w14:paraId="33BDDAA9" w14:textId="77777777" w:rsidR="000A134A" w:rsidRPr="001C1E47" w:rsidRDefault="000A134A" w:rsidP="00106C61"/>
    <w:p w14:paraId="303F001C" w14:textId="77777777" w:rsidR="00A66680" w:rsidRDefault="001E1FCD" w:rsidP="1DD3D541">
      <w:pPr>
        <w:widowControl/>
        <w:autoSpaceDE/>
        <w:autoSpaceDN/>
        <w:adjustRightInd/>
        <w:rPr>
          <w:rFonts w:cs="Calibri"/>
          <w:color w:val="0070C0"/>
        </w:rPr>
      </w:pPr>
      <w:r>
        <w:rPr>
          <w:rFonts w:cs="Calibri"/>
          <w:bCs/>
          <w:noProof/>
          <w:color w:val="0070C0"/>
        </w:rPr>
        <w:drawing>
          <wp:anchor distT="0" distB="0" distL="114300" distR="114300" simplePos="0" relativeHeight="251658240" behindDoc="0" locked="0" layoutInCell="1" allowOverlap="1" wp14:anchorId="367F7284" wp14:editId="4C185131">
            <wp:simplePos x="914400" y="2614930"/>
            <wp:positionH relativeFrom="column">
              <wp:align>left</wp:align>
            </wp:positionH>
            <wp:positionV relativeFrom="paragraph">
              <wp:align>top</wp:align>
            </wp:positionV>
            <wp:extent cx="1542415" cy="1548765"/>
            <wp:effectExtent l="0" t="0" r="635" b="0"/>
            <wp:wrapSquare wrapText="bothSides"/>
            <wp:docPr id="1" name="Picture 1" descr="The great 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Califor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1548765"/>
                    </a:xfrm>
                    <a:prstGeom prst="rect">
                      <a:avLst/>
                    </a:prstGeom>
                    <a:noFill/>
                  </pic:spPr>
                </pic:pic>
              </a:graphicData>
            </a:graphic>
          </wp:anchor>
        </w:drawing>
      </w:r>
    </w:p>
    <w:p w14:paraId="30D963FF" w14:textId="158D6B43" w:rsidR="0024516B" w:rsidRDefault="0024516B" w:rsidP="1E8FD191">
      <w:pPr>
        <w:widowControl/>
        <w:tabs>
          <w:tab w:val="left" w:pos="720"/>
          <w:tab w:val="left" w:pos="1440"/>
          <w:tab w:val="left" w:pos="2160"/>
        </w:tabs>
        <w:autoSpaceDE/>
        <w:autoSpaceDN/>
        <w:adjustRightInd/>
        <w:rPr>
          <w:rFonts w:eastAsia="Batang" w:cs="Calibri"/>
          <w:b/>
          <w:bCs/>
          <w:sz w:val="28"/>
          <w:szCs w:val="28"/>
        </w:rPr>
      </w:pPr>
    </w:p>
    <w:p w14:paraId="682EF5FF" w14:textId="77777777" w:rsidR="00B43280" w:rsidRDefault="00B43280" w:rsidP="1E8FD191">
      <w:pPr>
        <w:widowControl/>
        <w:tabs>
          <w:tab w:val="left" w:pos="720"/>
          <w:tab w:val="left" w:pos="1440"/>
          <w:tab w:val="left" w:pos="2160"/>
        </w:tabs>
        <w:autoSpaceDE/>
        <w:autoSpaceDN/>
        <w:adjustRightInd/>
        <w:rPr>
          <w:rFonts w:eastAsia="Batang" w:cs="Calibri"/>
          <w:b/>
          <w:bCs/>
          <w:sz w:val="28"/>
          <w:szCs w:val="28"/>
        </w:rPr>
      </w:pPr>
    </w:p>
    <w:p w14:paraId="59688654" w14:textId="77777777" w:rsidR="00B43280" w:rsidRDefault="00B43280" w:rsidP="1E8FD191">
      <w:pPr>
        <w:widowControl/>
        <w:tabs>
          <w:tab w:val="left" w:pos="720"/>
          <w:tab w:val="left" w:pos="1440"/>
          <w:tab w:val="left" w:pos="2160"/>
        </w:tabs>
        <w:autoSpaceDE/>
        <w:autoSpaceDN/>
        <w:adjustRightInd/>
        <w:rPr>
          <w:rFonts w:eastAsia="Batang" w:cs="Calibri"/>
          <w:b/>
          <w:bCs/>
          <w:sz w:val="28"/>
          <w:szCs w:val="28"/>
        </w:rPr>
      </w:pPr>
    </w:p>
    <w:p w14:paraId="1395481C" w14:textId="77777777" w:rsidR="00B43280" w:rsidRDefault="00B43280" w:rsidP="1E8FD191">
      <w:pPr>
        <w:widowControl/>
        <w:tabs>
          <w:tab w:val="left" w:pos="720"/>
          <w:tab w:val="left" w:pos="1440"/>
          <w:tab w:val="left" w:pos="2160"/>
        </w:tabs>
        <w:autoSpaceDE/>
        <w:autoSpaceDN/>
        <w:adjustRightInd/>
        <w:rPr>
          <w:rFonts w:eastAsia="Batang" w:cs="Calibri"/>
          <w:b/>
          <w:bCs/>
          <w:sz w:val="28"/>
          <w:szCs w:val="28"/>
        </w:rPr>
      </w:pPr>
    </w:p>
    <w:p w14:paraId="43A10893" w14:textId="77777777" w:rsidR="00B43280" w:rsidRDefault="00B43280" w:rsidP="1E8FD191">
      <w:pPr>
        <w:widowControl/>
        <w:tabs>
          <w:tab w:val="left" w:pos="720"/>
          <w:tab w:val="left" w:pos="1440"/>
          <w:tab w:val="left" w:pos="2160"/>
        </w:tabs>
        <w:autoSpaceDE/>
        <w:autoSpaceDN/>
        <w:adjustRightInd/>
        <w:rPr>
          <w:rFonts w:eastAsia="Batang" w:cs="Calibri"/>
          <w:b/>
          <w:bCs/>
          <w:sz w:val="28"/>
          <w:szCs w:val="28"/>
        </w:rPr>
      </w:pPr>
    </w:p>
    <w:p w14:paraId="1AE085C8" w14:textId="77777777" w:rsidR="00B43280" w:rsidRDefault="00B43280" w:rsidP="1E8FD191">
      <w:pPr>
        <w:widowControl/>
        <w:tabs>
          <w:tab w:val="left" w:pos="720"/>
          <w:tab w:val="left" w:pos="1440"/>
          <w:tab w:val="left" w:pos="2160"/>
        </w:tabs>
        <w:autoSpaceDE/>
        <w:autoSpaceDN/>
        <w:adjustRightInd/>
        <w:rPr>
          <w:rFonts w:eastAsia="Batang" w:cs="Calibri"/>
          <w:b/>
          <w:bCs/>
          <w:sz w:val="28"/>
          <w:szCs w:val="28"/>
        </w:rPr>
      </w:pPr>
    </w:p>
    <w:p w14:paraId="442583C6" w14:textId="77777777" w:rsidR="0024516B" w:rsidRDefault="0024516B" w:rsidP="001C1E47">
      <w:pPr>
        <w:widowControl/>
        <w:tabs>
          <w:tab w:val="left" w:pos="720"/>
          <w:tab w:val="left" w:pos="1440"/>
          <w:tab w:val="left" w:pos="2160"/>
        </w:tabs>
        <w:autoSpaceDE/>
        <w:autoSpaceDN/>
        <w:adjustRightInd/>
        <w:rPr>
          <w:rFonts w:eastAsia="Batang" w:cs="Calibri"/>
          <w:b/>
          <w:bCs/>
          <w:sz w:val="28"/>
          <w:szCs w:val="28"/>
        </w:rPr>
      </w:pPr>
    </w:p>
    <w:p w14:paraId="6CB8AD27" w14:textId="489C0FCB" w:rsidR="000A134A" w:rsidRDefault="000A134A" w:rsidP="001C1E47">
      <w:pPr>
        <w:widowControl/>
        <w:tabs>
          <w:tab w:val="left" w:pos="720"/>
          <w:tab w:val="left" w:pos="1440"/>
          <w:tab w:val="left" w:pos="2160"/>
        </w:tabs>
        <w:autoSpaceDE/>
        <w:autoSpaceDN/>
        <w:adjustRightInd/>
        <w:rPr>
          <w:rFonts w:eastAsia="Batang" w:cs="Calibri"/>
          <w:b/>
          <w:bCs/>
          <w:sz w:val="28"/>
          <w:szCs w:val="28"/>
        </w:rPr>
      </w:pPr>
      <w:r w:rsidRPr="55BAC008">
        <w:rPr>
          <w:rFonts w:eastAsia="Batang" w:cs="Calibri"/>
          <w:b/>
          <w:bCs/>
          <w:sz w:val="28"/>
          <w:szCs w:val="28"/>
        </w:rPr>
        <w:t>Ev</w:t>
      </w:r>
      <w:r w:rsidR="00882F2B" w:rsidRPr="55BAC008">
        <w:rPr>
          <w:rFonts w:eastAsia="Batang" w:cs="Calibri"/>
          <w:b/>
          <w:bCs/>
          <w:sz w:val="28"/>
          <w:szCs w:val="28"/>
        </w:rPr>
        <w:t>aluation Period: October 1, 20</w:t>
      </w:r>
      <w:r w:rsidR="00F54BE0" w:rsidRPr="55BAC008">
        <w:rPr>
          <w:rFonts w:eastAsia="Batang" w:cs="Calibri"/>
          <w:b/>
          <w:bCs/>
          <w:sz w:val="28"/>
          <w:szCs w:val="28"/>
        </w:rPr>
        <w:t>2</w:t>
      </w:r>
      <w:r w:rsidR="008A50B7" w:rsidRPr="55BAC008">
        <w:rPr>
          <w:rFonts w:eastAsia="Batang" w:cs="Calibri"/>
          <w:b/>
          <w:bCs/>
          <w:sz w:val="28"/>
          <w:szCs w:val="28"/>
        </w:rPr>
        <w:t>3</w:t>
      </w:r>
      <w:r w:rsidRPr="55BAC008">
        <w:rPr>
          <w:rFonts w:eastAsia="Batang" w:cs="Calibri"/>
          <w:b/>
          <w:bCs/>
          <w:sz w:val="28"/>
          <w:szCs w:val="28"/>
        </w:rPr>
        <w:t xml:space="preserve"> –</w:t>
      </w:r>
      <w:r w:rsidR="00882F2B" w:rsidRPr="55BAC008">
        <w:rPr>
          <w:rFonts w:eastAsia="Batang" w:cs="Calibri"/>
          <w:b/>
          <w:bCs/>
          <w:sz w:val="28"/>
          <w:szCs w:val="28"/>
        </w:rPr>
        <w:t xml:space="preserve"> September 30, 20</w:t>
      </w:r>
      <w:r w:rsidR="00F54BE0" w:rsidRPr="55BAC008">
        <w:rPr>
          <w:rFonts w:eastAsia="Batang" w:cs="Calibri"/>
          <w:b/>
          <w:bCs/>
          <w:sz w:val="28"/>
          <w:szCs w:val="28"/>
        </w:rPr>
        <w:t>2</w:t>
      </w:r>
      <w:r w:rsidR="008A50B7" w:rsidRPr="55BAC008">
        <w:rPr>
          <w:rFonts w:eastAsia="Batang" w:cs="Calibri"/>
          <w:b/>
          <w:bCs/>
          <w:sz w:val="28"/>
          <w:szCs w:val="28"/>
        </w:rPr>
        <w:t>4</w:t>
      </w:r>
    </w:p>
    <w:p w14:paraId="18A7C03B" w14:textId="6F835197" w:rsidR="00EC1424" w:rsidRPr="001C1E47" w:rsidRDefault="00EC1424" w:rsidP="1DD3D541">
      <w:pPr>
        <w:widowControl/>
        <w:tabs>
          <w:tab w:val="left" w:pos="720"/>
          <w:tab w:val="left" w:pos="1440"/>
          <w:tab w:val="left" w:pos="2160"/>
        </w:tabs>
        <w:autoSpaceDE/>
        <w:autoSpaceDN/>
        <w:adjustRightInd/>
        <w:rPr>
          <w:rFonts w:eastAsia="Batang" w:cs="Calibri"/>
          <w:b/>
          <w:bCs/>
          <w:sz w:val="28"/>
          <w:szCs w:val="28"/>
        </w:rPr>
      </w:pPr>
    </w:p>
    <w:p w14:paraId="53442414" w14:textId="77777777" w:rsidR="007010B7" w:rsidRDefault="007010B7"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p>
    <w:p w14:paraId="6C7945A4" w14:textId="2268B3F0" w:rsidR="007010B7" w:rsidRDefault="007010B7" w:rsidP="1E8FD191">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bCs/>
        </w:rPr>
      </w:pPr>
    </w:p>
    <w:p w14:paraId="0DF94F44" w14:textId="3EA8B2EB"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Initial Approval Date:</w:t>
      </w:r>
      <w:r w:rsidR="009E03D6">
        <w:rPr>
          <w:rFonts w:eastAsia="Batang" w:cs="Calibri"/>
          <w:b/>
        </w:rPr>
        <w:t xml:space="preserve">  May 1, 1973</w:t>
      </w:r>
    </w:p>
    <w:p w14:paraId="3062998A" w14:textId="19A1949E"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Program Certification Date:</w:t>
      </w:r>
      <w:r w:rsidR="009E03D6">
        <w:rPr>
          <w:rFonts w:eastAsia="Batang" w:cs="Calibri"/>
          <w:b/>
        </w:rPr>
        <w:t xml:space="preserve">  August 19, 1977</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324FFC">
      <w:pPr>
        <w:widowControl/>
        <w:autoSpaceDE/>
        <w:autoSpaceDN/>
        <w:adjustRightInd/>
        <w:rPr>
          <w:rFonts w:cs="Calibri"/>
          <w:b/>
        </w:rPr>
      </w:pPr>
    </w:p>
    <w:p w14:paraId="19E2F8B5" w14:textId="0E2E4813" w:rsidR="000A134A" w:rsidRPr="0061177B" w:rsidRDefault="000A134A" w:rsidP="1E8FD191">
      <w:pPr>
        <w:widowControl/>
        <w:tabs>
          <w:tab w:val="right" w:pos="9720"/>
        </w:tabs>
        <w:autoSpaceDE/>
        <w:autoSpaceDN/>
        <w:adjustRightInd/>
        <w:rPr>
          <w:rFonts w:cs="Calibri"/>
          <w:b/>
          <w:b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77777777" w:rsidR="000A134A" w:rsidRPr="001C1E47" w:rsidRDefault="000A134A" w:rsidP="00C53328">
      <w:pPr>
        <w:widowControl/>
        <w:autoSpaceDE/>
        <w:autoSpaceDN/>
        <w:adjustRightInd/>
        <w:rPr>
          <w:rFonts w:cs="Calibri"/>
          <w:b/>
        </w:rPr>
      </w:pPr>
      <w:r w:rsidRPr="001C1E47">
        <w:rPr>
          <w:rFonts w:cs="Calibri"/>
          <w:b/>
        </w:rPr>
        <w:t xml:space="preserve">U. S. Department of Labor </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62943E60" w:rsidR="000A134A" w:rsidRPr="001C1E47" w:rsidRDefault="00C30D01" w:rsidP="00C53328">
      <w:pPr>
        <w:widowControl/>
        <w:autoSpaceDE/>
        <w:autoSpaceDN/>
        <w:adjustRightInd/>
        <w:rPr>
          <w:rFonts w:cs="Calibri"/>
          <w:b/>
          <w:bCs/>
        </w:rPr>
      </w:pPr>
      <w:r w:rsidRPr="55BAC008">
        <w:rPr>
          <w:rFonts w:cs="Calibri"/>
          <w:b/>
          <w:bCs/>
        </w:rPr>
        <w:t xml:space="preserve">San Francisco Region </w:t>
      </w:r>
    </w:p>
    <w:p w14:paraId="50EE0B64" w14:textId="751EA21C" w:rsidR="000A134A" w:rsidRDefault="00F94041" w:rsidP="00C53328">
      <w:pPr>
        <w:widowControl/>
        <w:autoSpaceDE/>
        <w:autoSpaceDN/>
        <w:adjustRightInd/>
        <w:rPr>
          <w:rFonts w:cs="Calibri"/>
          <w:b/>
          <w:color w:val="000000" w:themeColor="text1"/>
        </w:rPr>
      </w:pPr>
      <w:r w:rsidRPr="00F94041">
        <w:rPr>
          <w:rFonts w:cs="Calibri"/>
          <w:b/>
          <w:color w:val="000000" w:themeColor="text1"/>
        </w:rPr>
        <w:t>San Francisco, CA</w:t>
      </w:r>
    </w:p>
    <w:p w14:paraId="6A3367EB" w14:textId="77777777" w:rsidR="00A64F5A" w:rsidRDefault="00A64F5A" w:rsidP="00C53328">
      <w:pPr>
        <w:widowControl/>
        <w:autoSpaceDE/>
        <w:autoSpaceDN/>
        <w:adjustRightInd/>
        <w:rPr>
          <w:rFonts w:cs="Calibri"/>
          <w:b/>
          <w:color w:val="000000" w:themeColor="text1"/>
        </w:rPr>
      </w:pPr>
    </w:p>
    <w:p w14:paraId="4DCE05E6" w14:textId="77777777" w:rsidR="00A64F5A" w:rsidRDefault="00A64F5A" w:rsidP="00C53328">
      <w:pPr>
        <w:widowControl/>
        <w:autoSpaceDE/>
        <w:autoSpaceDN/>
        <w:adjustRightInd/>
        <w:rPr>
          <w:rFonts w:cs="Calibri"/>
          <w:b/>
          <w:color w:val="000000" w:themeColor="text1"/>
        </w:rPr>
      </w:pPr>
    </w:p>
    <w:p w14:paraId="6DF320C8" w14:textId="77777777" w:rsidR="00A64F5A" w:rsidRDefault="00A64F5A" w:rsidP="00C53328">
      <w:pPr>
        <w:widowControl/>
        <w:autoSpaceDE/>
        <w:autoSpaceDN/>
        <w:adjustRightInd/>
        <w:rPr>
          <w:rFonts w:cs="Calibri"/>
          <w:b/>
          <w:color w:val="000000" w:themeColor="text1"/>
        </w:rPr>
      </w:pPr>
    </w:p>
    <w:p w14:paraId="1A54BC90" w14:textId="77777777" w:rsidR="007E3425" w:rsidRPr="00C53328" w:rsidRDefault="007E3425" w:rsidP="00C53328">
      <w:pPr>
        <w:widowControl/>
        <w:autoSpaceDE/>
        <w:autoSpaceDN/>
        <w:adjustRightInd/>
        <w:rPr>
          <w:rFonts w:cs="Calibri"/>
          <w:b/>
          <w:color w:val="0070C0"/>
        </w:rPr>
      </w:pPr>
    </w:p>
    <w:p w14:paraId="41EC6729" w14:textId="77777777" w:rsidR="000A134A" w:rsidRPr="001C1E47" w:rsidRDefault="48DA49AD" w:rsidP="00F94041">
      <w:pPr>
        <w:widowControl/>
        <w:autoSpaceDE/>
        <w:autoSpaceDN/>
        <w:adjustRightInd/>
        <w:jc w:val="center"/>
      </w:pPr>
      <w:r>
        <w:rPr>
          <w:noProof/>
        </w:rPr>
        <w:drawing>
          <wp:inline distT="0" distB="0" distL="0" distR="0" wp14:anchorId="1D849888" wp14:editId="75B0C47C">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600200" cy="1009650"/>
                    </a:xfrm>
                    <a:prstGeom prst="rect">
                      <a:avLst/>
                    </a:prstGeom>
                  </pic:spPr>
                </pic:pic>
              </a:graphicData>
            </a:graphic>
          </wp:inline>
        </w:drawing>
      </w:r>
    </w:p>
    <w:p w14:paraId="2306C29B" w14:textId="582AF3F9" w:rsidR="2EC7A17F" w:rsidRDefault="2EC7A17F" w:rsidP="2EC7A17F">
      <w:pPr>
        <w:widowControl/>
        <w:jc w:val="center"/>
      </w:pPr>
    </w:p>
    <w:p w14:paraId="779D6DF9" w14:textId="50FC0AEE" w:rsidR="007D1CF8" w:rsidRPr="007D1CF8" w:rsidRDefault="00F43B23" w:rsidP="007D1CF8">
      <w:pPr>
        <w:widowControl/>
        <w:autoSpaceDE/>
        <w:autoSpaceDN/>
        <w:adjustRightInd/>
        <w:rPr>
          <w:rFonts w:eastAsiaTheme="minorEastAsia" w:cstheme="minorBidi"/>
          <w:b/>
          <w:noProof/>
          <w:sz w:val="32"/>
          <w:szCs w:val="32"/>
        </w:rPr>
      </w:pPr>
      <w:r w:rsidRPr="007D1CF8">
        <w:rPr>
          <w:rFonts w:cs="Calibri"/>
          <w:b/>
          <w:sz w:val="32"/>
          <w:szCs w:val="32"/>
        </w:rPr>
        <w:lastRenderedPageBreak/>
        <w:t>Table of Contents</w:t>
      </w:r>
      <w:r w:rsidR="000F63C1" w:rsidRPr="007D1CF8">
        <w:rPr>
          <w:rFonts w:asciiTheme="minorHAnsi" w:hAnsiTheme="minorHAnsi" w:cstheme="minorHAnsi"/>
          <w:b/>
          <w:sz w:val="32"/>
          <w:szCs w:val="32"/>
        </w:rPr>
        <w:fldChar w:fldCharType="begin"/>
      </w:r>
      <w:r w:rsidR="000F63C1" w:rsidRPr="007D1CF8">
        <w:rPr>
          <w:b/>
          <w:sz w:val="32"/>
          <w:szCs w:val="32"/>
        </w:rPr>
        <w:instrText xml:space="preserve"> TOC \o "2-3" \h \z \u \t "Level 1,1" </w:instrText>
      </w:r>
      <w:r w:rsidR="000F63C1" w:rsidRPr="007D1CF8">
        <w:rPr>
          <w:rFonts w:asciiTheme="minorHAnsi" w:hAnsiTheme="minorHAnsi" w:cstheme="minorHAnsi"/>
          <w:b/>
          <w:sz w:val="32"/>
          <w:szCs w:val="32"/>
        </w:rPr>
        <w:fldChar w:fldCharType="separate"/>
      </w:r>
    </w:p>
    <w:p w14:paraId="6D90E277" w14:textId="54D85458" w:rsidR="007D1CF8" w:rsidRPr="007D1CF8" w:rsidRDefault="007D1CF8" w:rsidP="00051F13">
      <w:pPr>
        <w:pStyle w:val="TOC2"/>
        <w:rPr>
          <w:rFonts w:eastAsiaTheme="minorEastAsia" w:cstheme="minorBidi"/>
          <w:noProof/>
        </w:rPr>
      </w:pPr>
      <w:hyperlink w:anchor="_Toc128053006" w:history="1">
        <w:r w:rsidRPr="007D1CF8">
          <w:rPr>
            <w:rStyle w:val="Hyperlink"/>
            <w:noProof/>
            <w:szCs w:val="28"/>
          </w:rPr>
          <w:t>I.</w:t>
        </w:r>
        <w:r w:rsidRPr="007D1CF8">
          <w:rPr>
            <w:rFonts w:eastAsiaTheme="minorEastAsia" w:cstheme="minorBidi"/>
            <w:noProof/>
          </w:rPr>
          <w:tab/>
        </w:r>
        <w:r w:rsidRPr="007D1CF8">
          <w:rPr>
            <w:rStyle w:val="Hyperlink"/>
            <w:noProof/>
            <w:szCs w:val="28"/>
          </w:rPr>
          <w:t>Executive Summary</w:t>
        </w:r>
        <w:r w:rsidRPr="007D1CF8">
          <w:rPr>
            <w:noProof/>
            <w:webHidden/>
          </w:rPr>
          <w:tab/>
        </w:r>
        <w:r w:rsidRPr="007D1CF8">
          <w:rPr>
            <w:noProof/>
            <w:webHidden/>
          </w:rPr>
          <w:fldChar w:fldCharType="begin"/>
        </w:r>
        <w:r w:rsidRPr="007D1CF8">
          <w:rPr>
            <w:noProof/>
            <w:webHidden/>
          </w:rPr>
          <w:instrText xml:space="preserve"> PAGEREF _Toc128053006 \h </w:instrText>
        </w:r>
        <w:r w:rsidRPr="007D1CF8">
          <w:rPr>
            <w:noProof/>
            <w:webHidden/>
          </w:rPr>
        </w:r>
        <w:r w:rsidRPr="007D1CF8">
          <w:rPr>
            <w:noProof/>
            <w:webHidden/>
          </w:rPr>
          <w:fldChar w:fldCharType="separate"/>
        </w:r>
        <w:r w:rsidR="003B1695">
          <w:rPr>
            <w:noProof/>
            <w:webHidden/>
          </w:rPr>
          <w:t>3</w:t>
        </w:r>
        <w:r w:rsidRPr="007D1CF8">
          <w:rPr>
            <w:noProof/>
            <w:webHidden/>
          </w:rPr>
          <w:fldChar w:fldCharType="end"/>
        </w:r>
      </w:hyperlink>
    </w:p>
    <w:p w14:paraId="6A4CD68E" w14:textId="3D7AB20D" w:rsidR="007D1CF8" w:rsidRPr="007D1CF8" w:rsidRDefault="007D1CF8" w:rsidP="00051F13">
      <w:pPr>
        <w:pStyle w:val="TOC2"/>
        <w:rPr>
          <w:rFonts w:eastAsiaTheme="minorEastAsia" w:cstheme="minorBidi"/>
          <w:noProof/>
        </w:rPr>
      </w:pPr>
      <w:hyperlink w:anchor="_Toc128053007" w:history="1">
        <w:r w:rsidRPr="007D1CF8">
          <w:rPr>
            <w:rStyle w:val="Hyperlink"/>
            <w:noProof/>
            <w:szCs w:val="28"/>
          </w:rPr>
          <w:t>II.</w:t>
        </w:r>
        <w:r w:rsidRPr="007D1CF8">
          <w:rPr>
            <w:rFonts w:eastAsiaTheme="minorEastAsia" w:cstheme="minorBidi"/>
            <w:noProof/>
          </w:rPr>
          <w:tab/>
        </w:r>
        <w:r w:rsidRPr="007D1CF8">
          <w:rPr>
            <w:rStyle w:val="Hyperlink"/>
            <w:noProof/>
            <w:szCs w:val="28"/>
          </w:rPr>
          <w:t>State Plan Background</w:t>
        </w:r>
        <w:r w:rsidRPr="007D1CF8">
          <w:rPr>
            <w:noProof/>
            <w:webHidden/>
          </w:rPr>
          <w:tab/>
        </w:r>
        <w:r w:rsidRPr="007D1CF8">
          <w:rPr>
            <w:noProof/>
            <w:webHidden/>
          </w:rPr>
          <w:fldChar w:fldCharType="begin"/>
        </w:r>
        <w:r w:rsidRPr="007D1CF8">
          <w:rPr>
            <w:noProof/>
            <w:webHidden/>
          </w:rPr>
          <w:instrText xml:space="preserve"> PAGEREF _Toc128053007 \h </w:instrText>
        </w:r>
        <w:r w:rsidRPr="007D1CF8">
          <w:rPr>
            <w:noProof/>
            <w:webHidden/>
          </w:rPr>
        </w:r>
        <w:r w:rsidRPr="007D1CF8">
          <w:rPr>
            <w:noProof/>
            <w:webHidden/>
          </w:rPr>
          <w:fldChar w:fldCharType="separate"/>
        </w:r>
        <w:r w:rsidR="003B1695">
          <w:rPr>
            <w:noProof/>
            <w:webHidden/>
          </w:rPr>
          <w:t>3</w:t>
        </w:r>
        <w:r w:rsidRPr="007D1CF8">
          <w:rPr>
            <w:noProof/>
            <w:webHidden/>
          </w:rPr>
          <w:fldChar w:fldCharType="end"/>
        </w:r>
      </w:hyperlink>
    </w:p>
    <w:p w14:paraId="20CFF202" w14:textId="4B5C1A8B" w:rsidR="007D1CF8" w:rsidRPr="007D1CF8" w:rsidRDefault="007D1CF8" w:rsidP="00051F13">
      <w:pPr>
        <w:pStyle w:val="TOC2"/>
        <w:rPr>
          <w:rFonts w:eastAsiaTheme="minorEastAsia" w:cstheme="minorBidi"/>
          <w:noProof/>
        </w:rPr>
      </w:pPr>
      <w:hyperlink w:anchor="_Toc128053008" w:history="1">
        <w:r w:rsidRPr="007D1CF8">
          <w:rPr>
            <w:rStyle w:val="Hyperlink"/>
            <w:noProof/>
            <w:szCs w:val="28"/>
          </w:rPr>
          <w:t>III.</w:t>
        </w:r>
        <w:r w:rsidRPr="007D1CF8">
          <w:rPr>
            <w:rFonts w:eastAsiaTheme="minorEastAsia" w:cstheme="minorBidi"/>
            <w:noProof/>
          </w:rPr>
          <w:tab/>
        </w:r>
        <w:r w:rsidRPr="007D1CF8">
          <w:rPr>
            <w:rStyle w:val="Hyperlink"/>
            <w:noProof/>
            <w:szCs w:val="28"/>
          </w:rPr>
          <w:t>Assessment of State Plan Progress and Performance</w:t>
        </w:r>
        <w:r w:rsidRPr="007D1CF8">
          <w:rPr>
            <w:noProof/>
            <w:webHidden/>
          </w:rPr>
          <w:tab/>
        </w:r>
        <w:r w:rsidRPr="007D1CF8">
          <w:rPr>
            <w:noProof/>
            <w:webHidden/>
          </w:rPr>
          <w:fldChar w:fldCharType="begin"/>
        </w:r>
        <w:r w:rsidRPr="007D1CF8">
          <w:rPr>
            <w:noProof/>
            <w:webHidden/>
          </w:rPr>
          <w:instrText xml:space="preserve"> PAGEREF _Toc128053008 \h </w:instrText>
        </w:r>
        <w:r w:rsidRPr="007D1CF8">
          <w:rPr>
            <w:noProof/>
            <w:webHidden/>
          </w:rPr>
        </w:r>
        <w:r w:rsidRPr="007D1CF8">
          <w:rPr>
            <w:noProof/>
            <w:webHidden/>
          </w:rPr>
          <w:fldChar w:fldCharType="separate"/>
        </w:r>
        <w:r w:rsidR="003B1695">
          <w:rPr>
            <w:noProof/>
            <w:webHidden/>
          </w:rPr>
          <w:t>6</w:t>
        </w:r>
        <w:r w:rsidRPr="007D1CF8">
          <w:rPr>
            <w:noProof/>
            <w:webHidden/>
          </w:rPr>
          <w:fldChar w:fldCharType="end"/>
        </w:r>
      </w:hyperlink>
    </w:p>
    <w:p w14:paraId="64840A32" w14:textId="0783EB38" w:rsidR="007D1CF8" w:rsidRPr="00987ADE" w:rsidRDefault="007D1CF8" w:rsidP="00A12006">
      <w:pPr>
        <w:pStyle w:val="TOC3"/>
        <w:rPr>
          <w:rFonts w:eastAsiaTheme="minorEastAsia" w:cstheme="minorBidi"/>
          <w:sz w:val="28"/>
          <w:szCs w:val="28"/>
        </w:rPr>
      </w:pPr>
      <w:hyperlink w:anchor="_Toc128053009" w:history="1">
        <w:r w:rsidRPr="007D1CF8">
          <w:rPr>
            <w:rStyle w:val="Hyperlink"/>
            <w:bCs/>
            <w:noProof/>
            <w:sz w:val="28"/>
            <w:szCs w:val="28"/>
          </w:rPr>
          <w:t>A.  Data and Methodology</w:t>
        </w:r>
        <w:r w:rsidRPr="00987ADE">
          <w:rPr>
            <w:webHidden/>
            <w:sz w:val="28"/>
            <w:szCs w:val="28"/>
          </w:rPr>
          <w:tab/>
        </w:r>
        <w:r w:rsidRPr="00987ADE">
          <w:rPr>
            <w:webHidden/>
            <w:sz w:val="28"/>
            <w:szCs w:val="28"/>
          </w:rPr>
          <w:fldChar w:fldCharType="begin"/>
        </w:r>
        <w:r w:rsidRPr="00987ADE">
          <w:rPr>
            <w:webHidden/>
            <w:sz w:val="28"/>
            <w:szCs w:val="28"/>
          </w:rPr>
          <w:instrText xml:space="preserve"> PAGEREF _Toc128053009 \h </w:instrText>
        </w:r>
        <w:r w:rsidRPr="00987ADE">
          <w:rPr>
            <w:webHidden/>
            <w:sz w:val="28"/>
            <w:szCs w:val="28"/>
          </w:rPr>
        </w:r>
        <w:r w:rsidRPr="00987ADE">
          <w:rPr>
            <w:webHidden/>
            <w:sz w:val="28"/>
            <w:szCs w:val="28"/>
          </w:rPr>
          <w:fldChar w:fldCharType="separate"/>
        </w:r>
        <w:r w:rsidR="003B1695">
          <w:rPr>
            <w:noProof/>
            <w:webHidden/>
            <w:sz w:val="28"/>
            <w:szCs w:val="28"/>
          </w:rPr>
          <w:t>6</w:t>
        </w:r>
        <w:r w:rsidRPr="00987ADE">
          <w:rPr>
            <w:webHidden/>
            <w:sz w:val="28"/>
            <w:szCs w:val="28"/>
          </w:rPr>
          <w:fldChar w:fldCharType="end"/>
        </w:r>
      </w:hyperlink>
    </w:p>
    <w:p w14:paraId="38880757" w14:textId="5122F6BF" w:rsidR="007D1CF8" w:rsidRPr="00987ADE" w:rsidRDefault="007D1CF8" w:rsidP="00A12006">
      <w:pPr>
        <w:pStyle w:val="TOC3"/>
        <w:rPr>
          <w:rFonts w:eastAsiaTheme="minorEastAsia" w:cstheme="minorBidi"/>
          <w:sz w:val="28"/>
          <w:szCs w:val="28"/>
        </w:rPr>
      </w:pPr>
      <w:hyperlink w:anchor="_Toc128053010" w:history="1">
        <w:r w:rsidRPr="007D1CF8">
          <w:rPr>
            <w:rStyle w:val="Hyperlink"/>
            <w:bCs/>
            <w:noProof/>
            <w:sz w:val="28"/>
            <w:szCs w:val="28"/>
          </w:rPr>
          <w:t>B.  Findings and Observations</w:t>
        </w:r>
        <w:r w:rsidRPr="00987ADE">
          <w:rPr>
            <w:webHidden/>
            <w:sz w:val="28"/>
            <w:szCs w:val="28"/>
          </w:rPr>
          <w:tab/>
        </w:r>
      </w:hyperlink>
      <w:r w:rsidR="009F366A" w:rsidRPr="009F366A">
        <w:rPr>
          <w:sz w:val="28"/>
          <w:szCs w:val="28"/>
        </w:rPr>
        <w:t>6</w:t>
      </w:r>
    </w:p>
    <w:p w14:paraId="558E7304" w14:textId="4FA5843A" w:rsidR="007D1CF8" w:rsidRPr="00987ADE" w:rsidRDefault="007D1CF8" w:rsidP="00A12006">
      <w:pPr>
        <w:pStyle w:val="TOC3"/>
        <w:rPr>
          <w:rFonts w:eastAsiaTheme="minorEastAsia" w:cstheme="minorBidi"/>
          <w:sz w:val="28"/>
          <w:szCs w:val="28"/>
        </w:rPr>
      </w:pPr>
      <w:hyperlink w:anchor="_Toc128053011" w:history="1">
        <w:r w:rsidRPr="007D1CF8">
          <w:rPr>
            <w:rStyle w:val="Hyperlink"/>
            <w:bCs/>
            <w:noProof/>
            <w:sz w:val="28"/>
            <w:szCs w:val="28"/>
          </w:rPr>
          <w:t>C.  State Activity Mandated Measures (SAMM) Highlights</w:t>
        </w:r>
        <w:r w:rsidRPr="00987ADE">
          <w:rPr>
            <w:webHidden/>
            <w:sz w:val="28"/>
            <w:szCs w:val="28"/>
          </w:rPr>
          <w:tab/>
        </w:r>
        <w:r w:rsidR="009F366A">
          <w:rPr>
            <w:webHidden/>
            <w:sz w:val="28"/>
            <w:szCs w:val="28"/>
          </w:rPr>
          <w:t>9</w:t>
        </w:r>
      </w:hyperlink>
    </w:p>
    <w:p w14:paraId="54DF3532" w14:textId="1C46D227" w:rsidR="007D1CF8" w:rsidRPr="00987ADE" w:rsidRDefault="007D1CF8" w:rsidP="00986792">
      <w:pPr>
        <w:pStyle w:val="TOC3"/>
        <w:ind w:left="0"/>
        <w:rPr>
          <w:rFonts w:eastAsiaTheme="minorEastAsia" w:cstheme="minorBidi"/>
          <w:sz w:val="28"/>
          <w:szCs w:val="28"/>
        </w:rPr>
      </w:pPr>
      <w:hyperlink w:anchor="_Toc128053012" w:history="1">
        <w:r w:rsidRPr="007D1CF8">
          <w:rPr>
            <w:rStyle w:val="Hyperlink"/>
            <w:bCs/>
            <w:noProof/>
            <w:sz w:val="28"/>
            <w:szCs w:val="28"/>
          </w:rPr>
          <w:t xml:space="preserve">Appendix A </w:t>
        </w:r>
        <w:r w:rsidR="007443D4">
          <w:rPr>
            <w:rStyle w:val="Hyperlink"/>
            <w:bCs/>
            <w:noProof/>
            <w:sz w:val="28"/>
            <w:szCs w:val="28"/>
          </w:rPr>
          <w:t xml:space="preserve">- </w:t>
        </w:r>
        <w:r w:rsidRPr="007D1CF8">
          <w:rPr>
            <w:rStyle w:val="Hyperlink"/>
            <w:bCs/>
            <w:noProof/>
            <w:sz w:val="28"/>
            <w:szCs w:val="28"/>
          </w:rPr>
          <w:t>New and Continued Findings and Recommendations</w:t>
        </w:r>
        <w:r w:rsidRPr="00987ADE">
          <w:rPr>
            <w:webHidden/>
            <w:sz w:val="28"/>
            <w:szCs w:val="28"/>
          </w:rPr>
          <w:tab/>
        </w:r>
      </w:hyperlink>
      <w:r w:rsidR="009F366A" w:rsidRPr="009F366A">
        <w:rPr>
          <w:sz w:val="28"/>
          <w:szCs w:val="28"/>
        </w:rPr>
        <w:t>12</w:t>
      </w:r>
    </w:p>
    <w:p w14:paraId="1208A9B7" w14:textId="59AE67FB" w:rsidR="007D1CF8" w:rsidRPr="00987ADE" w:rsidRDefault="007D1CF8" w:rsidP="00986792">
      <w:pPr>
        <w:pStyle w:val="TOC3"/>
        <w:ind w:left="0"/>
        <w:rPr>
          <w:rFonts w:eastAsiaTheme="minorEastAsia" w:cstheme="minorBidi"/>
          <w:sz w:val="28"/>
          <w:szCs w:val="28"/>
        </w:rPr>
      </w:pPr>
      <w:hyperlink w:anchor="_Toc128053013" w:history="1">
        <w:r w:rsidRPr="007D1CF8">
          <w:rPr>
            <w:rStyle w:val="Hyperlink"/>
            <w:bCs/>
            <w:noProof/>
            <w:sz w:val="28"/>
            <w:szCs w:val="28"/>
          </w:rPr>
          <w:t xml:space="preserve">Appendix B </w:t>
        </w:r>
        <w:r w:rsidR="007443D4">
          <w:rPr>
            <w:rStyle w:val="Hyperlink"/>
            <w:bCs/>
            <w:noProof/>
            <w:sz w:val="28"/>
            <w:szCs w:val="28"/>
          </w:rPr>
          <w:t>-</w:t>
        </w:r>
        <w:r w:rsidRPr="007D1CF8">
          <w:rPr>
            <w:rStyle w:val="Hyperlink"/>
            <w:bCs/>
            <w:noProof/>
            <w:sz w:val="28"/>
            <w:szCs w:val="28"/>
          </w:rPr>
          <w:t xml:space="preserve"> Observations Subject to Continued Monitoring</w:t>
        </w:r>
        <w:r w:rsidRPr="00987ADE">
          <w:rPr>
            <w:webHidden/>
            <w:sz w:val="28"/>
            <w:szCs w:val="28"/>
          </w:rPr>
          <w:tab/>
        </w:r>
        <w:r w:rsidR="009F366A">
          <w:rPr>
            <w:webHidden/>
            <w:sz w:val="28"/>
            <w:szCs w:val="28"/>
          </w:rPr>
          <w:t>13</w:t>
        </w:r>
      </w:hyperlink>
    </w:p>
    <w:p w14:paraId="71639031" w14:textId="3F186C58" w:rsidR="007D1CF8" w:rsidRPr="00987ADE" w:rsidRDefault="007D1CF8" w:rsidP="00986792">
      <w:pPr>
        <w:pStyle w:val="TOC3"/>
        <w:ind w:left="0"/>
        <w:rPr>
          <w:rFonts w:eastAsiaTheme="minorEastAsia" w:cstheme="minorBidi"/>
          <w:sz w:val="28"/>
          <w:szCs w:val="28"/>
        </w:rPr>
      </w:pPr>
      <w:hyperlink w:anchor="_Toc128053014" w:history="1">
        <w:r w:rsidRPr="55BAC008">
          <w:rPr>
            <w:rStyle w:val="Hyperlink"/>
            <w:sz w:val="28"/>
            <w:szCs w:val="28"/>
          </w:rPr>
          <w:t xml:space="preserve">Appendix C </w:t>
        </w:r>
        <w:r w:rsidR="007443D4" w:rsidRPr="55BAC008">
          <w:rPr>
            <w:rStyle w:val="Hyperlink"/>
            <w:sz w:val="28"/>
            <w:szCs w:val="28"/>
          </w:rPr>
          <w:t>-</w:t>
        </w:r>
        <w:r w:rsidRPr="55BAC008">
          <w:rPr>
            <w:rStyle w:val="Hyperlink"/>
            <w:sz w:val="28"/>
            <w:szCs w:val="28"/>
          </w:rPr>
          <w:t xml:space="preserve"> Status of FY 202</w:t>
        </w:r>
        <w:r w:rsidR="00C30D01" w:rsidRPr="55BAC008">
          <w:rPr>
            <w:rStyle w:val="Hyperlink"/>
            <w:sz w:val="28"/>
            <w:szCs w:val="28"/>
          </w:rPr>
          <w:t>3</w:t>
        </w:r>
        <w:r w:rsidRPr="55BAC008">
          <w:rPr>
            <w:rStyle w:val="Hyperlink"/>
            <w:sz w:val="28"/>
            <w:szCs w:val="28"/>
          </w:rPr>
          <w:t xml:space="preserve"> Findings and Recommendations</w:t>
        </w:r>
        <w:r w:rsidRPr="00987ADE">
          <w:rPr>
            <w:webHidden/>
            <w:sz w:val="28"/>
            <w:szCs w:val="28"/>
          </w:rPr>
          <w:tab/>
        </w:r>
      </w:hyperlink>
      <w:r w:rsidR="009F366A" w:rsidRPr="009F366A">
        <w:rPr>
          <w:sz w:val="28"/>
          <w:szCs w:val="28"/>
        </w:rPr>
        <w:t>15</w:t>
      </w:r>
    </w:p>
    <w:p w14:paraId="139FA948" w14:textId="49E7BFB6" w:rsidR="007D1CF8" w:rsidRPr="00987ADE" w:rsidRDefault="007D1CF8" w:rsidP="00986792">
      <w:pPr>
        <w:pStyle w:val="TOC3"/>
        <w:ind w:left="0"/>
        <w:rPr>
          <w:rFonts w:eastAsiaTheme="minorEastAsia" w:cstheme="minorBidi"/>
          <w:sz w:val="28"/>
          <w:szCs w:val="28"/>
        </w:rPr>
      </w:pPr>
      <w:hyperlink w:anchor="_Toc128053015" w:history="1">
        <w:r w:rsidRPr="55BAC008">
          <w:rPr>
            <w:rStyle w:val="Hyperlink"/>
            <w:rFonts w:cstheme="minorBidi"/>
            <w:sz w:val="28"/>
            <w:szCs w:val="28"/>
          </w:rPr>
          <w:t xml:space="preserve">Appendix D </w:t>
        </w:r>
        <w:r w:rsidR="007443D4" w:rsidRPr="55BAC008">
          <w:rPr>
            <w:rStyle w:val="Hyperlink"/>
            <w:rFonts w:cstheme="minorBidi"/>
            <w:sz w:val="28"/>
            <w:szCs w:val="28"/>
          </w:rPr>
          <w:t>-</w:t>
        </w:r>
        <w:r w:rsidRPr="55BAC008">
          <w:rPr>
            <w:rStyle w:val="Hyperlink"/>
            <w:rFonts w:cstheme="minorBidi"/>
            <w:sz w:val="28"/>
            <w:szCs w:val="28"/>
          </w:rPr>
          <w:t xml:space="preserve"> FY 202</w:t>
        </w:r>
        <w:r w:rsidR="00C30D01" w:rsidRPr="55BAC008">
          <w:rPr>
            <w:rStyle w:val="Hyperlink"/>
            <w:rFonts w:cstheme="minorBidi"/>
            <w:sz w:val="28"/>
            <w:szCs w:val="28"/>
          </w:rPr>
          <w:t>4</w:t>
        </w:r>
        <w:r w:rsidRPr="55BAC008">
          <w:rPr>
            <w:rStyle w:val="Hyperlink"/>
            <w:rFonts w:cstheme="minorBidi"/>
            <w:sz w:val="28"/>
            <w:szCs w:val="28"/>
          </w:rPr>
          <w:t xml:space="preserve"> State Activity Mandated Measures (SAMM) Report</w:t>
        </w:r>
        <w:r w:rsidRPr="00987ADE">
          <w:rPr>
            <w:webHidden/>
            <w:sz w:val="28"/>
            <w:szCs w:val="28"/>
          </w:rPr>
          <w:tab/>
        </w:r>
      </w:hyperlink>
      <w:r w:rsidR="009F366A" w:rsidRPr="009F366A">
        <w:rPr>
          <w:sz w:val="28"/>
          <w:szCs w:val="28"/>
        </w:rPr>
        <w:t>20</w:t>
      </w:r>
    </w:p>
    <w:p w14:paraId="5025DE29" w14:textId="49D02FD8" w:rsidR="000A134A" w:rsidRPr="00771B07" w:rsidRDefault="000F63C1" w:rsidP="00771B07">
      <w:r w:rsidRPr="007D1CF8">
        <w:rPr>
          <w:bCs/>
          <w:sz w:val="28"/>
          <w:szCs w:val="28"/>
        </w:rPr>
        <w:fldChar w:fldCharType="end"/>
      </w:r>
      <w:r w:rsidR="00B823A3">
        <w:br w:type="page"/>
      </w:r>
    </w:p>
    <w:p w14:paraId="57C8B837" w14:textId="77777777" w:rsidR="000A134A" w:rsidRPr="001C1E47" w:rsidRDefault="000A134A" w:rsidP="007E0AAB">
      <w:pPr>
        <w:pStyle w:val="Heading2"/>
        <w:spacing w:before="0"/>
      </w:pPr>
      <w:bookmarkStart w:id="3" w:name="_Toc338764303"/>
      <w:bookmarkStart w:id="4" w:name="_Toc118900170"/>
      <w:bookmarkStart w:id="5" w:name="_Toc118905009"/>
      <w:bookmarkStart w:id="6" w:name="_Toc128053006"/>
      <w:r w:rsidRPr="001C1E47">
        <w:t>Executive Summary</w:t>
      </w:r>
      <w:bookmarkEnd w:id="3"/>
      <w:bookmarkEnd w:id="4"/>
      <w:bookmarkEnd w:id="5"/>
      <w:bookmarkEnd w:id="6"/>
    </w:p>
    <w:p w14:paraId="4A4FF058" w14:textId="77777777" w:rsidR="000A134A" w:rsidRPr="007D1CF8" w:rsidRDefault="000A134A" w:rsidP="007E0AAB">
      <w:pPr>
        <w:widowControl/>
        <w:autoSpaceDE/>
        <w:autoSpaceDN/>
        <w:adjustRightInd/>
        <w:rPr>
          <w:rFonts w:cs="Calibri"/>
        </w:rPr>
      </w:pPr>
    </w:p>
    <w:p w14:paraId="688A3D66" w14:textId="7F5FD0C1" w:rsidR="007E66E1" w:rsidRDefault="007E66E1" w:rsidP="007E0AAB">
      <w:pPr>
        <w:rPr>
          <w:rFonts w:cs="Calibri"/>
        </w:rPr>
      </w:pPr>
      <w:r w:rsidRPr="007E66E1">
        <w:rPr>
          <w:rFonts w:cs="Calibri"/>
        </w:rPr>
        <w:t xml:space="preserve">The primary purpose of this report is to assess the </w:t>
      </w:r>
      <w:r w:rsidR="00324815">
        <w:rPr>
          <w:rFonts w:cs="Calibri"/>
        </w:rPr>
        <w:t xml:space="preserve">California </w:t>
      </w:r>
      <w:r w:rsidRPr="007E66E1">
        <w:rPr>
          <w:rFonts w:cs="Calibri"/>
        </w:rPr>
        <w:t>State Plan’s progress in Fiscal Year (FY) 202</w:t>
      </w:r>
      <w:r w:rsidR="006D0A77">
        <w:rPr>
          <w:rFonts w:cs="Calibri"/>
        </w:rPr>
        <w:t>4</w:t>
      </w:r>
      <w:r w:rsidRPr="007E66E1">
        <w:rPr>
          <w:rFonts w:cs="Calibri"/>
        </w:rPr>
        <w:t xml:space="preserve"> in resolving outstanding findings </w:t>
      </w:r>
      <w:r w:rsidR="00D52C71">
        <w:rPr>
          <w:rFonts w:cs="Calibri"/>
        </w:rPr>
        <w:t xml:space="preserve">identified in </w:t>
      </w:r>
      <w:r w:rsidRPr="007E66E1">
        <w:rPr>
          <w:rFonts w:cs="Calibri"/>
        </w:rPr>
        <w:t>the FY 202</w:t>
      </w:r>
      <w:r w:rsidR="006D0A77">
        <w:rPr>
          <w:rFonts w:cs="Calibri"/>
        </w:rPr>
        <w:t>3</w:t>
      </w:r>
      <w:r w:rsidRPr="007E66E1">
        <w:rPr>
          <w:rFonts w:cs="Calibri"/>
        </w:rPr>
        <w:t xml:space="preserve"> Comprehensive Federal Annual Monitoring Evaluation (FAME) Report.</w:t>
      </w:r>
    </w:p>
    <w:p w14:paraId="4BE2F770" w14:textId="167A555A" w:rsidR="00B356F2" w:rsidRDefault="00B356F2" w:rsidP="007E0AAB">
      <w:pPr>
        <w:rPr>
          <w:rFonts w:cs="Calibri"/>
        </w:rPr>
      </w:pPr>
    </w:p>
    <w:p w14:paraId="7FE42D4E" w14:textId="20C952E3" w:rsidR="006C5BFC" w:rsidRDefault="53F9D683" w:rsidP="4E97E92A">
      <w:pPr>
        <w:widowControl/>
        <w:autoSpaceDE/>
        <w:autoSpaceDN/>
        <w:adjustRightInd/>
        <w:rPr>
          <w:rFonts w:cs="Calibri"/>
        </w:rPr>
      </w:pPr>
      <w:r w:rsidRPr="691926B5">
        <w:rPr>
          <w:rFonts w:cs="Calibri"/>
        </w:rPr>
        <w:t>T</w:t>
      </w:r>
      <w:r w:rsidR="28942627" w:rsidRPr="691926B5">
        <w:rPr>
          <w:rFonts w:cs="Calibri"/>
        </w:rPr>
        <w:t xml:space="preserve">he </w:t>
      </w:r>
      <w:r w:rsidR="00895422" w:rsidRPr="691926B5">
        <w:rPr>
          <w:rFonts w:cs="Calibri"/>
        </w:rPr>
        <w:t>FY 202</w:t>
      </w:r>
      <w:r w:rsidR="007A4869" w:rsidRPr="691926B5">
        <w:rPr>
          <w:rFonts w:cs="Calibri"/>
        </w:rPr>
        <w:t>4</w:t>
      </w:r>
      <w:r w:rsidR="2B5B3B10" w:rsidRPr="691926B5">
        <w:rPr>
          <w:rFonts w:cs="Calibri"/>
        </w:rPr>
        <w:t xml:space="preserve"> </w:t>
      </w:r>
      <w:r w:rsidR="63F31ABD" w:rsidRPr="691926B5">
        <w:rPr>
          <w:rFonts w:cs="Calibri"/>
        </w:rPr>
        <w:t xml:space="preserve">Follow-up </w:t>
      </w:r>
      <w:r w:rsidR="2B5B3B10" w:rsidRPr="691926B5">
        <w:rPr>
          <w:rFonts w:cs="Calibri"/>
        </w:rPr>
        <w:t>report</w:t>
      </w:r>
      <w:r w:rsidR="0158FFEB" w:rsidRPr="691926B5">
        <w:rPr>
          <w:rFonts w:cs="Calibri"/>
        </w:rPr>
        <w:t xml:space="preserve"> contains</w:t>
      </w:r>
      <w:r w:rsidR="6443BE55" w:rsidRPr="691926B5">
        <w:rPr>
          <w:rFonts w:cs="Calibri"/>
        </w:rPr>
        <w:t xml:space="preserve"> five </w:t>
      </w:r>
      <w:r w:rsidR="00276A5B" w:rsidRPr="691926B5">
        <w:rPr>
          <w:rFonts w:cs="Calibri"/>
        </w:rPr>
        <w:t xml:space="preserve">findings and </w:t>
      </w:r>
      <w:r w:rsidR="57CDF92E" w:rsidRPr="691926B5">
        <w:rPr>
          <w:rFonts w:cs="Calibri"/>
        </w:rPr>
        <w:t xml:space="preserve">one </w:t>
      </w:r>
      <w:r w:rsidR="00276A5B" w:rsidRPr="691926B5">
        <w:rPr>
          <w:rFonts w:cs="Calibri"/>
        </w:rPr>
        <w:t xml:space="preserve">observation </w:t>
      </w:r>
      <w:r w:rsidR="316C3304" w:rsidRPr="691926B5">
        <w:rPr>
          <w:rFonts w:cs="Calibri"/>
        </w:rPr>
        <w:t xml:space="preserve">that </w:t>
      </w:r>
      <w:r w:rsidR="00276A5B" w:rsidRPr="691926B5">
        <w:rPr>
          <w:rFonts w:cs="Calibri"/>
        </w:rPr>
        <w:t>were continued</w:t>
      </w:r>
      <w:r w:rsidR="31340B98" w:rsidRPr="691926B5">
        <w:rPr>
          <w:rFonts w:cs="Calibri"/>
        </w:rPr>
        <w:t xml:space="preserve"> from the FY 2023 Comprehensive FAME Report.</w:t>
      </w:r>
      <w:r w:rsidR="00276A5B" w:rsidRPr="691926B5">
        <w:rPr>
          <w:rFonts w:cs="Calibri"/>
        </w:rPr>
        <w:t xml:space="preserve">  There </w:t>
      </w:r>
      <w:r w:rsidR="23D261C3" w:rsidRPr="691926B5">
        <w:rPr>
          <w:rFonts w:cs="Calibri"/>
        </w:rPr>
        <w:t xml:space="preserve">are </w:t>
      </w:r>
      <w:r w:rsidR="0AD9EFC0" w:rsidRPr="691926B5">
        <w:rPr>
          <w:rFonts w:cs="Calibri"/>
        </w:rPr>
        <w:t xml:space="preserve">no </w:t>
      </w:r>
      <w:r w:rsidR="00276A5B" w:rsidRPr="691926B5">
        <w:rPr>
          <w:rFonts w:cs="Calibri"/>
        </w:rPr>
        <w:t>new finding</w:t>
      </w:r>
      <w:r w:rsidR="29012728" w:rsidRPr="691926B5">
        <w:rPr>
          <w:rFonts w:cs="Calibri"/>
        </w:rPr>
        <w:t xml:space="preserve">s or </w:t>
      </w:r>
      <w:r w:rsidR="4441CB79" w:rsidRPr="691926B5">
        <w:rPr>
          <w:rFonts w:cs="Calibri"/>
        </w:rPr>
        <w:t>observation</w:t>
      </w:r>
      <w:r w:rsidR="53D2CD6A" w:rsidRPr="691926B5">
        <w:rPr>
          <w:rFonts w:cs="Calibri"/>
        </w:rPr>
        <w:t>s</w:t>
      </w:r>
      <w:r w:rsidR="211E4648" w:rsidRPr="691926B5">
        <w:rPr>
          <w:rFonts w:cs="Calibri"/>
        </w:rPr>
        <w:t>.</w:t>
      </w:r>
      <w:r w:rsidR="00276A5B" w:rsidRPr="691926B5">
        <w:rPr>
          <w:rFonts w:cs="Calibri"/>
        </w:rPr>
        <w:t xml:space="preserve">  </w:t>
      </w:r>
      <w:r w:rsidR="26FA7257" w:rsidRPr="691926B5">
        <w:rPr>
          <w:rFonts w:cs="Calibri"/>
        </w:rPr>
        <w:t>Finding</w:t>
      </w:r>
      <w:r w:rsidR="00A23A1D" w:rsidRPr="691926B5">
        <w:rPr>
          <w:rFonts w:cs="Calibri"/>
        </w:rPr>
        <w:t>s</w:t>
      </w:r>
      <w:r w:rsidR="006C5BFC" w:rsidRPr="691926B5">
        <w:rPr>
          <w:rFonts w:cs="Calibri"/>
        </w:rPr>
        <w:t xml:space="preserve"> </w:t>
      </w:r>
      <w:r w:rsidR="612559AA" w:rsidRPr="691926B5">
        <w:rPr>
          <w:rFonts w:cs="Calibri"/>
        </w:rPr>
        <w:t>that require</w:t>
      </w:r>
      <w:r w:rsidR="006C5BFC" w:rsidRPr="691926B5">
        <w:rPr>
          <w:rFonts w:cs="Calibri"/>
        </w:rPr>
        <w:t xml:space="preserve"> </w:t>
      </w:r>
      <w:r w:rsidR="6196DE61" w:rsidRPr="691926B5">
        <w:rPr>
          <w:rFonts w:cs="Calibri"/>
        </w:rPr>
        <w:t xml:space="preserve">an </w:t>
      </w:r>
      <w:r w:rsidR="2DE04190" w:rsidRPr="691926B5">
        <w:rPr>
          <w:rFonts w:cs="Calibri"/>
        </w:rPr>
        <w:t xml:space="preserve">on-site case file review </w:t>
      </w:r>
      <w:r w:rsidR="76AA27BF" w:rsidRPr="691926B5">
        <w:rPr>
          <w:rFonts w:cs="Calibri"/>
        </w:rPr>
        <w:t xml:space="preserve">to evaluate </w:t>
      </w:r>
      <w:r w:rsidR="006C5BFC" w:rsidRPr="691926B5">
        <w:rPr>
          <w:rFonts w:cs="Calibri"/>
        </w:rPr>
        <w:t>will be a focus of the FY 202</w:t>
      </w:r>
      <w:r w:rsidR="00311214" w:rsidRPr="691926B5">
        <w:rPr>
          <w:rFonts w:cs="Calibri"/>
        </w:rPr>
        <w:t>5</w:t>
      </w:r>
      <w:r w:rsidR="006C5BFC" w:rsidRPr="691926B5">
        <w:rPr>
          <w:rFonts w:cs="Calibri"/>
        </w:rPr>
        <w:t xml:space="preserve"> comprehensive FAME.</w:t>
      </w:r>
    </w:p>
    <w:p w14:paraId="6A7D671B" w14:textId="073148D5" w:rsidR="00783189" w:rsidRPr="001C1E47" w:rsidRDefault="00783189" w:rsidP="007E0AAB">
      <w:pPr>
        <w:widowControl/>
        <w:autoSpaceDE/>
        <w:autoSpaceDN/>
        <w:adjustRightInd/>
        <w:rPr>
          <w:rFonts w:cs="Calibri"/>
        </w:rPr>
      </w:pPr>
    </w:p>
    <w:p w14:paraId="67E95E6F" w14:textId="6755D6C3" w:rsidR="000A134A" w:rsidRPr="001C1E47" w:rsidRDefault="001E71BA" w:rsidP="007E0AAB">
      <w:pPr>
        <w:pStyle w:val="Heading2"/>
        <w:spacing w:before="0"/>
      </w:pPr>
      <w:bookmarkStart w:id="7" w:name="_Toc118900171"/>
      <w:bookmarkStart w:id="8" w:name="_Toc118905010"/>
      <w:bookmarkStart w:id="9" w:name="_Toc128053007"/>
      <w:r w:rsidRPr="001C1E47">
        <w:t>State Plan Background</w:t>
      </w:r>
      <w:bookmarkEnd w:id="7"/>
      <w:bookmarkEnd w:id="8"/>
      <w:bookmarkEnd w:id="9"/>
    </w:p>
    <w:p w14:paraId="7ED8AA2D" w14:textId="77777777" w:rsidR="000A134A" w:rsidRPr="00F36278" w:rsidRDefault="000A134A" w:rsidP="007E0AAB">
      <w:pPr>
        <w:widowControl/>
        <w:autoSpaceDE/>
        <w:autoSpaceDN/>
        <w:adjustRightInd/>
        <w:rPr>
          <w:rFonts w:cs="Calibri"/>
          <w:iCs/>
        </w:rPr>
      </w:pPr>
    </w:p>
    <w:p w14:paraId="0F5B06E2" w14:textId="3A03E238" w:rsidR="008B2010" w:rsidRPr="00C17F90" w:rsidRDefault="15B35333" w:rsidP="4E97E92A">
      <w:pPr>
        <w:widowControl/>
        <w:autoSpaceDE/>
        <w:autoSpaceDN/>
        <w:adjustRightInd/>
        <w:contextualSpacing/>
        <w:rPr>
          <w:rFonts w:asciiTheme="minorHAnsi" w:hAnsiTheme="minorHAnsi" w:cstheme="minorBidi"/>
        </w:rPr>
      </w:pPr>
      <w:r w:rsidRPr="4E97E92A">
        <w:rPr>
          <w:rFonts w:cs="Calibri"/>
        </w:rPr>
        <w:t xml:space="preserve">The California State Plan is the largest in the nation, with multiple entities providing occupational safety and health and whistleblower protection services. </w:t>
      </w:r>
      <w:r w:rsidR="008A65CA">
        <w:rPr>
          <w:rFonts w:cs="Calibri"/>
        </w:rPr>
        <w:t xml:space="preserve"> </w:t>
      </w:r>
      <w:r w:rsidR="009C622A" w:rsidRPr="4E97E92A">
        <w:rPr>
          <w:rFonts w:asciiTheme="minorHAnsi" w:hAnsiTheme="minorHAnsi" w:cstheme="minorBidi"/>
        </w:rPr>
        <w:t xml:space="preserve">The Department of Industrial Relations (DIR) administers the California State Plan and is comprised of several divisions.  </w:t>
      </w:r>
      <w:r w:rsidR="00223E41" w:rsidRPr="4E97E92A">
        <w:rPr>
          <w:rFonts w:asciiTheme="minorHAnsi" w:hAnsiTheme="minorHAnsi" w:cstheme="minorBidi"/>
        </w:rPr>
        <w:t xml:space="preserve">Katie Hagen </w:t>
      </w:r>
      <w:r w:rsidR="009C622A" w:rsidRPr="4E97E92A">
        <w:rPr>
          <w:rFonts w:asciiTheme="minorHAnsi" w:hAnsiTheme="minorHAnsi" w:cstheme="minorBidi"/>
        </w:rPr>
        <w:t>was the Director of DIR and State Plan Designee</w:t>
      </w:r>
      <w:r w:rsidR="00223E41" w:rsidRPr="4E97E92A">
        <w:rPr>
          <w:rFonts w:asciiTheme="minorHAnsi" w:hAnsiTheme="minorHAnsi" w:cstheme="minorBidi"/>
        </w:rPr>
        <w:t xml:space="preserve"> for the evaluation period</w:t>
      </w:r>
      <w:r w:rsidR="009C622A" w:rsidRPr="4E97E92A">
        <w:rPr>
          <w:rFonts w:asciiTheme="minorHAnsi" w:hAnsiTheme="minorHAnsi" w:cstheme="minorBidi"/>
        </w:rPr>
        <w:t xml:space="preserve">.  </w:t>
      </w:r>
    </w:p>
    <w:p w14:paraId="235C2134" w14:textId="77777777" w:rsidR="008B2010" w:rsidRPr="00C17F90" w:rsidRDefault="008B2010" w:rsidP="007E0AAB">
      <w:pPr>
        <w:widowControl/>
        <w:autoSpaceDE/>
        <w:autoSpaceDN/>
        <w:adjustRightInd/>
        <w:contextualSpacing/>
        <w:rPr>
          <w:rFonts w:asciiTheme="minorHAnsi" w:hAnsiTheme="minorHAnsi" w:cstheme="minorHAnsi"/>
        </w:rPr>
      </w:pPr>
    </w:p>
    <w:p w14:paraId="782B3F34" w14:textId="2EDC3676" w:rsidR="009C622A" w:rsidRPr="0004731C" w:rsidRDefault="6AE5949D" w:rsidP="55BAC008">
      <w:pPr>
        <w:widowControl/>
        <w:spacing w:line="259" w:lineRule="auto"/>
        <w:contextualSpacing/>
        <w:rPr>
          <w:rFonts w:asciiTheme="minorHAnsi" w:hAnsiTheme="minorHAnsi" w:cstheme="minorBidi"/>
        </w:rPr>
      </w:pPr>
      <w:r w:rsidRPr="6E5B07DA">
        <w:rPr>
          <w:rFonts w:asciiTheme="minorHAnsi" w:hAnsiTheme="minorHAnsi" w:cstheme="minorBidi"/>
        </w:rPr>
        <w:t>The Division of Occupational Safety and Health</w:t>
      </w:r>
      <w:r w:rsidR="76BC210B" w:rsidRPr="6E5B07DA">
        <w:rPr>
          <w:rFonts w:asciiTheme="minorHAnsi" w:hAnsiTheme="minorHAnsi" w:cstheme="minorBidi"/>
        </w:rPr>
        <w:t xml:space="preserve"> (DOSH)</w:t>
      </w:r>
      <w:r w:rsidR="4E4E3BC4" w:rsidRPr="6E5B07DA">
        <w:rPr>
          <w:rFonts w:asciiTheme="minorHAnsi" w:hAnsiTheme="minorHAnsi" w:cstheme="minorBidi"/>
        </w:rPr>
        <w:t>, more commonly known as Cal/OSHA</w:t>
      </w:r>
      <w:r w:rsidR="0F21194F" w:rsidRPr="6E5B07DA">
        <w:rPr>
          <w:rFonts w:asciiTheme="minorHAnsi" w:hAnsiTheme="minorHAnsi" w:cstheme="minorBidi"/>
        </w:rPr>
        <w:t xml:space="preserve">, </w:t>
      </w:r>
      <w:r w:rsidR="4E4E3BC4" w:rsidRPr="6E5B07DA">
        <w:rPr>
          <w:rFonts w:asciiTheme="minorHAnsi" w:hAnsiTheme="minorHAnsi" w:cstheme="minorBidi"/>
        </w:rPr>
        <w:t xml:space="preserve">covers </w:t>
      </w:r>
      <w:r w:rsidR="003B0FB5">
        <w:rPr>
          <w:rFonts w:asciiTheme="minorHAnsi" w:hAnsiTheme="minorHAnsi" w:cstheme="minorBidi"/>
        </w:rPr>
        <w:t>the</w:t>
      </w:r>
      <w:r w:rsidR="0B7DE80B" w:rsidRPr="6E5B07DA">
        <w:rPr>
          <w:rFonts w:asciiTheme="minorHAnsi" w:hAnsiTheme="minorHAnsi" w:cstheme="minorBidi"/>
        </w:rPr>
        <w:t xml:space="preserve"> enforcement of </w:t>
      </w:r>
      <w:r w:rsidR="003E40A3">
        <w:rPr>
          <w:rFonts w:asciiTheme="minorHAnsi" w:hAnsiTheme="minorHAnsi" w:cstheme="minorBidi"/>
        </w:rPr>
        <w:t>o</w:t>
      </w:r>
      <w:r w:rsidR="003B0FB5">
        <w:rPr>
          <w:rFonts w:asciiTheme="minorHAnsi" w:hAnsiTheme="minorHAnsi" w:cstheme="minorBidi"/>
        </w:rPr>
        <w:t xml:space="preserve">ccupational </w:t>
      </w:r>
      <w:r w:rsidR="003E40A3">
        <w:rPr>
          <w:rFonts w:asciiTheme="minorHAnsi" w:hAnsiTheme="minorHAnsi" w:cstheme="minorBidi"/>
        </w:rPr>
        <w:t xml:space="preserve">safety and health </w:t>
      </w:r>
      <w:r w:rsidR="6BFA6840" w:rsidRPr="6E5B07DA">
        <w:rPr>
          <w:rFonts w:asciiTheme="minorHAnsi" w:hAnsiTheme="minorHAnsi" w:cstheme="minorBidi"/>
        </w:rPr>
        <w:t xml:space="preserve">regulations, </w:t>
      </w:r>
      <w:r w:rsidR="4865738B" w:rsidRPr="6E5B07DA">
        <w:rPr>
          <w:rFonts w:asciiTheme="minorHAnsi" w:hAnsiTheme="minorHAnsi" w:cstheme="minorBidi"/>
        </w:rPr>
        <w:t xml:space="preserve">compliance assistance, outreach, health standards development, and </w:t>
      </w:r>
      <w:r w:rsidR="3D9BA396" w:rsidRPr="6E5B07DA">
        <w:rPr>
          <w:rFonts w:asciiTheme="minorHAnsi" w:hAnsiTheme="minorHAnsi" w:cstheme="minorBidi"/>
        </w:rPr>
        <w:t>enforcement</w:t>
      </w:r>
      <w:r w:rsidR="27E0F4EF" w:rsidRPr="6E5B07DA">
        <w:rPr>
          <w:rFonts w:asciiTheme="minorHAnsi" w:hAnsiTheme="minorHAnsi" w:cstheme="minorBidi"/>
        </w:rPr>
        <w:t xml:space="preserve"> and management of</w:t>
      </w:r>
      <w:r w:rsidR="3D9BA396" w:rsidRPr="6E5B07DA">
        <w:rPr>
          <w:rFonts w:asciiTheme="minorHAnsi" w:hAnsiTheme="minorHAnsi" w:cstheme="minorBidi"/>
        </w:rPr>
        <w:t xml:space="preserve"> requirements of associated programs</w:t>
      </w:r>
      <w:r w:rsidR="0B2B57AD" w:rsidRPr="6E5B07DA">
        <w:rPr>
          <w:rFonts w:asciiTheme="minorHAnsi" w:hAnsiTheme="minorHAnsi" w:cstheme="minorBidi"/>
        </w:rPr>
        <w:t>,</w:t>
      </w:r>
      <w:r w:rsidR="3D9BA396" w:rsidRPr="6E5B07DA">
        <w:rPr>
          <w:rFonts w:asciiTheme="minorHAnsi" w:hAnsiTheme="minorHAnsi" w:cstheme="minorBidi"/>
        </w:rPr>
        <w:t xml:space="preserve"> such as pressure vessels, amusement rides</w:t>
      </w:r>
      <w:r w:rsidR="5CED7321" w:rsidRPr="6E5B07DA">
        <w:rPr>
          <w:rFonts w:asciiTheme="minorHAnsi" w:hAnsiTheme="minorHAnsi" w:cstheme="minorBidi"/>
        </w:rPr>
        <w:t>,</w:t>
      </w:r>
      <w:r w:rsidR="3D9BA396" w:rsidRPr="6E5B07DA">
        <w:rPr>
          <w:rFonts w:asciiTheme="minorHAnsi" w:hAnsiTheme="minorHAnsi" w:cstheme="minorBidi"/>
        </w:rPr>
        <w:t xml:space="preserve"> and elevators.  </w:t>
      </w:r>
      <w:r w:rsidR="59A71D50" w:rsidRPr="6E5B07DA">
        <w:rPr>
          <w:rFonts w:asciiTheme="minorHAnsi" w:hAnsiTheme="minorHAnsi" w:cstheme="minorBidi"/>
        </w:rPr>
        <w:t xml:space="preserve"> Debra Lee</w:t>
      </w:r>
      <w:r w:rsidR="16ECB4D7" w:rsidRPr="6E5B07DA">
        <w:rPr>
          <w:rFonts w:asciiTheme="minorHAnsi" w:hAnsiTheme="minorHAnsi" w:cstheme="minorBidi"/>
        </w:rPr>
        <w:t xml:space="preserve"> was appointed </w:t>
      </w:r>
      <w:r w:rsidR="55BB5911" w:rsidRPr="6E5B07DA">
        <w:rPr>
          <w:rFonts w:asciiTheme="minorHAnsi" w:hAnsiTheme="minorHAnsi" w:cstheme="minorBidi"/>
        </w:rPr>
        <w:t>as t</w:t>
      </w:r>
      <w:r w:rsidR="091ED586" w:rsidRPr="6E5B07DA">
        <w:rPr>
          <w:rFonts w:asciiTheme="minorHAnsi" w:hAnsiTheme="minorHAnsi" w:cstheme="minorBidi"/>
        </w:rPr>
        <w:t xml:space="preserve">he Cal/OSHA Chief </w:t>
      </w:r>
      <w:r w:rsidR="73A7935C" w:rsidRPr="6E5B07DA">
        <w:rPr>
          <w:rFonts w:asciiTheme="minorHAnsi" w:hAnsiTheme="minorHAnsi" w:cstheme="minorBidi"/>
        </w:rPr>
        <w:t>on J</w:t>
      </w:r>
      <w:r w:rsidR="06D0F5E8" w:rsidRPr="6E5B07DA">
        <w:rPr>
          <w:rFonts w:asciiTheme="minorHAnsi" w:hAnsiTheme="minorHAnsi" w:cstheme="minorBidi"/>
        </w:rPr>
        <w:t>une</w:t>
      </w:r>
      <w:r w:rsidR="73A7935C" w:rsidRPr="6E5B07DA">
        <w:rPr>
          <w:rFonts w:asciiTheme="minorHAnsi" w:hAnsiTheme="minorHAnsi" w:cstheme="minorBidi"/>
        </w:rPr>
        <w:t xml:space="preserve"> </w:t>
      </w:r>
      <w:r w:rsidR="3B38E6C3" w:rsidRPr="6E5B07DA">
        <w:rPr>
          <w:rFonts w:asciiTheme="minorHAnsi" w:hAnsiTheme="minorHAnsi" w:cstheme="minorBidi"/>
        </w:rPr>
        <w:t>6</w:t>
      </w:r>
      <w:r w:rsidR="73A7935C" w:rsidRPr="6E5B07DA">
        <w:rPr>
          <w:rFonts w:asciiTheme="minorHAnsi" w:hAnsiTheme="minorHAnsi" w:cstheme="minorBidi"/>
        </w:rPr>
        <w:t>, 202</w:t>
      </w:r>
      <w:r w:rsidR="798FC067" w:rsidRPr="6E5B07DA">
        <w:rPr>
          <w:rFonts w:asciiTheme="minorHAnsi" w:hAnsiTheme="minorHAnsi" w:cstheme="minorBidi"/>
        </w:rPr>
        <w:t>4</w:t>
      </w:r>
      <w:r w:rsidR="091ED586" w:rsidRPr="6E5B07DA">
        <w:rPr>
          <w:rFonts w:asciiTheme="minorHAnsi" w:hAnsiTheme="minorHAnsi" w:cstheme="minorBidi"/>
        </w:rPr>
        <w:t xml:space="preserve">.  Chief </w:t>
      </w:r>
      <w:r w:rsidR="1CD40FF8" w:rsidRPr="6E5B07DA">
        <w:rPr>
          <w:rFonts w:asciiTheme="minorHAnsi" w:hAnsiTheme="minorHAnsi" w:cstheme="minorBidi"/>
        </w:rPr>
        <w:t xml:space="preserve">Lee </w:t>
      </w:r>
      <w:r w:rsidR="00AF74C9">
        <w:rPr>
          <w:rFonts w:asciiTheme="minorHAnsi" w:hAnsiTheme="minorHAnsi" w:cstheme="minorBidi"/>
        </w:rPr>
        <w:t>wa</w:t>
      </w:r>
      <w:r w:rsidR="091ED586" w:rsidRPr="6E5B07DA">
        <w:rPr>
          <w:rFonts w:asciiTheme="minorHAnsi" w:hAnsiTheme="minorHAnsi" w:cstheme="minorBidi"/>
        </w:rPr>
        <w:t xml:space="preserve">s supported by </w:t>
      </w:r>
      <w:r w:rsidR="350FD812" w:rsidRPr="6E5B07DA">
        <w:rPr>
          <w:rFonts w:asciiTheme="minorHAnsi" w:hAnsiTheme="minorHAnsi" w:cstheme="minorBidi"/>
        </w:rPr>
        <w:t>David Wesley</w:t>
      </w:r>
      <w:r w:rsidR="091ED586" w:rsidRPr="6E5B07DA">
        <w:rPr>
          <w:rFonts w:asciiTheme="minorHAnsi" w:hAnsiTheme="minorHAnsi" w:cstheme="minorBidi"/>
        </w:rPr>
        <w:t xml:space="preserve">, Deputy Chief for Field Enforcement; </w:t>
      </w:r>
      <w:r w:rsidR="75CAA61A" w:rsidRPr="6E5B07DA">
        <w:rPr>
          <w:rFonts w:asciiTheme="minorHAnsi" w:hAnsiTheme="minorHAnsi" w:cstheme="minorBidi"/>
        </w:rPr>
        <w:t>Dan Luci</w:t>
      </w:r>
      <w:r w:rsidR="75452283" w:rsidRPr="6E5B07DA">
        <w:rPr>
          <w:rFonts w:asciiTheme="minorHAnsi" w:hAnsiTheme="minorHAnsi" w:cstheme="minorBidi"/>
        </w:rPr>
        <w:t>do</w:t>
      </w:r>
      <w:r w:rsidR="48D4D723" w:rsidRPr="6E5B07DA">
        <w:rPr>
          <w:rFonts w:asciiTheme="minorHAnsi" w:hAnsiTheme="minorHAnsi" w:cstheme="minorBidi"/>
        </w:rPr>
        <w:t>, Chief Counsel</w:t>
      </w:r>
      <w:r w:rsidR="75452283" w:rsidRPr="6E5B07DA">
        <w:rPr>
          <w:rFonts w:asciiTheme="minorHAnsi" w:hAnsiTheme="minorHAnsi" w:cstheme="minorBidi"/>
        </w:rPr>
        <w:t xml:space="preserve">; </w:t>
      </w:r>
      <w:r w:rsidR="48D4D723" w:rsidRPr="6E5B07DA">
        <w:rPr>
          <w:rFonts w:asciiTheme="minorHAnsi" w:hAnsiTheme="minorHAnsi" w:cstheme="minorBidi"/>
        </w:rPr>
        <w:t xml:space="preserve">Carl Paganelli, </w:t>
      </w:r>
      <w:r w:rsidR="7A7DB32C" w:rsidRPr="6E5B07DA">
        <w:rPr>
          <w:rFonts w:asciiTheme="minorHAnsi" w:hAnsiTheme="minorHAnsi" w:cstheme="minorBidi"/>
        </w:rPr>
        <w:t xml:space="preserve">Deputy Chief </w:t>
      </w:r>
      <w:r w:rsidR="428E078E" w:rsidRPr="6E5B07DA">
        <w:rPr>
          <w:rFonts w:asciiTheme="minorHAnsi" w:hAnsiTheme="minorHAnsi" w:cstheme="minorBidi"/>
        </w:rPr>
        <w:t>of Engineerin</w:t>
      </w:r>
      <w:r w:rsidR="2DC5E9C2" w:rsidRPr="6E5B07DA">
        <w:rPr>
          <w:rFonts w:asciiTheme="minorHAnsi" w:hAnsiTheme="minorHAnsi" w:cstheme="minorBidi"/>
        </w:rPr>
        <w:t>g</w:t>
      </w:r>
      <w:r w:rsidR="2A953590" w:rsidRPr="6E5B07DA">
        <w:rPr>
          <w:rFonts w:asciiTheme="minorHAnsi" w:hAnsiTheme="minorHAnsi" w:cstheme="minorBidi"/>
        </w:rPr>
        <w:t xml:space="preserve">, </w:t>
      </w:r>
      <w:r w:rsidR="2DC5E9C2" w:rsidRPr="6E5B07DA">
        <w:rPr>
          <w:rFonts w:asciiTheme="minorHAnsi" w:hAnsiTheme="minorHAnsi" w:cstheme="minorBidi"/>
        </w:rPr>
        <w:t xml:space="preserve">Consultation </w:t>
      </w:r>
      <w:r w:rsidR="4D342219" w:rsidRPr="6E5B07DA">
        <w:rPr>
          <w:rFonts w:asciiTheme="minorHAnsi" w:hAnsiTheme="minorHAnsi" w:cstheme="minorBidi"/>
        </w:rPr>
        <w:t>Services</w:t>
      </w:r>
      <w:r w:rsidR="2A953590" w:rsidRPr="6E5B07DA">
        <w:rPr>
          <w:rFonts w:asciiTheme="minorHAnsi" w:hAnsiTheme="minorHAnsi" w:cstheme="minorBidi"/>
        </w:rPr>
        <w:t>,</w:t>
      </w:r>
      <w:r w:rsidR="4D342219" w:rsidRPr="6E5B07DA">
        <w:rPr>
          <w:rFonts w:asciiTheme="minorHAnsi" w:hAnsiTheme="minorHAnsi" w:cstheme="minorBidi"/>
        </w:rPr>
        <w:t xml:space="preserve"> and Process Safety Management</w:t>
      </w:r>
      <w:r w:rsidR="19DE9731" w:rsidRPr="6E5B07DA">
        <w:rPr>
          <w:rFonts w:asciiTheme="minorHAnsi" w:hAnsiTheme="minorHAnsi" w:cstheme="minorBidi"/>
        </w:rPr>
        <w:t xml:space="preserve">; </w:t>
      </w:r>
      <w:r w:rsidR="0E05E631" w:rsidRPr="6E5B07DA">
        <w:rPr>
          <w:rFonts w:asciiTheme="minorHAnsi" w:hAnsiTheme="minorHAnsi" w:cstheme="minorBidi"/>
        </w:rPr>
        <w:t>Brandon Hart</w:t>
      </w:r>
      <w:r w:rsidR="0AE1535E" w:rsidRPr="743B5347">
        <w:rPr>
          <w:rFonts w:asciiTheme="minorHAnsi" w:hAnsiTheme="minorHAnsi" w:cstheme="minorBidi"/>
        </w:rPr>
        <w:t>,</w:t>
      </w:r>
      <w:r w:rsidR="0AE1535E" w:rsidRPr="6E5B07DA">
        <w:rPr>
          <w:rFonts w:asciiTheme="minorHAnsi" w:hAnsiTheme="minorHAnsi" w:cstheme="minorBidi"/>
        </w:rPr>
        <w:t xml:space="preserve"> Training, Publications</w:t>
      </w:r>
      <w:r w:rsidR="0003331D">
        <w:rPr>
          <w:rFonts w:asciiTheme="minorHAnsi" w:hAnsiTheme="minorHAnsi" w:cstheme="minorBidi"/>
        </w:rPr>
        <w:t>,</w:t>
      </w:r>
      <w:r w:rsidR="5038716E" w:rsidRPr="6E5B07DA">
        <w:rPr>
          <w:rFonts w:asciiTheme="minorHAnsi" w:hAnsiTheme="minorHAnsi" w:cstheme="minorBidi"/>
        </w:rPr>
        <w:t xml:space="preserve"> and Outreach Unit Manager</w:t>
      </w:r>
      <w:r w:rsidR="107EAAA2" w:rsidRPr="6E5B07DA">
        <w:rPr>
          <w:rFonts w:asciiTheme="minorHAnsi" w:hAnsiTheme="minorHAnsi" w:cstheme="minorBidi"/>
        </w:rPr>
        <w:t xml:space="preserve">; </w:t>
      </w:r>
      <w:r w:rsidR="4D01250D" w:rsidRPr="6E5B07DA">
        <w:rPr>
          <w:rFonts w:asciiTheme="minorHAnsi" w:hAnsiTheme="minorHAnsi" w:cstheme="minorBidi"/>
        </w:rPr>
        <w:t xml:space="preserve">Suzanne Reinfranck, </w:t>
      </w:r>
      <w:r w:rsidR="6DDCC1BF" w:rsidRPr="6E5B07DA">
        <w:rPr>
          <w:rFonts w:asciiTheme="minorHAnsi" w:hAnsiTheme="minorHAnsi" w:cstheme="minorBidi"/>
        </w:rPr>
        <w:t>Staff Services Manager</w:t>
      </w:r>
      <w:r w:rsidR="5B28601D" w:rsidRPr="6E5B07DA">
        <w:rPr>
          <w:rFonts w:asciiTheme="minorHAnsi" w:hAnsiTheme="minorHAnsi" w:cstheme="minorBidi"/>
        </w:rPr>
        <w:t>,</w:t>
      </w:r>
      <w:r w:rsidR="0003331D">
        <w:rPr>
          <w:rFonts w:asciiTheme="minorHAnsi" w:hAnsiTheme="minorHAnsi" w:cstheme="minorBidi"/>
        </w:rPr>
        <w:t xml:space="preserve"> </w:t>
      </w:r>
      <w:r w:rsidR="091ED586" w:rsidRPr="6E5B07DA">
        <w:rPr>
          <w:rFonts w:asciiTheme="minorHAnsi" w:hAnsiTheme="minorHAnsi" w:cstheme="minorBidi"/>
        </w:rPr>
        <w:t>Eric Berg, Deputy Chief for Research and Standards</w:t>
      </w:r>
      <w:r w:rsidR="5CD7542D" w:rsidRPr="6E5B07DA">
        <w:rPr>
          <w:rFonts w:asciiTheme="minorHAnsi" w:hAnsiTheme="minorHAnsi" w:cstheme="minorBidi"/>
        </w:rPr>
        <w:t xml:space="preserve">; and </w:t>
      </w:r>
      <w:r w:rsidR="091ED586" w:rsidRPr="6E5B07DA">
        <w:rPr>
          <w:rFonts w:asciiTheme="minorHAnsi" w:hAnsiTheme="minorHAnsi" w:cstheme="minorBidi"/>
        </w:rPr>
        <w:t>Eugene Glendenning</w:t>
      </w:r>
      <w:r w:rsidR="4661DBCB" w:rsidRPr="6E5B07DA">
        <w:rPr>
          <w:rFonts w:asciiTheme="minorHAnsi" w:hAnsiTheme="minorHAnsi" w:cstheme="minorBidi"/>
        </w:rPr>
        <w:t>,</w:t>
      </w:r>
      <w:r w:rsidR="091ED586" w:rsidRPr="6E5B07DA">
        <w:rPr>
          <w:rFonts w:asciiTheme="minorHAnsi" w:hAnsiTheme="minorHAnsi" w:cstheme="minorBidi"/>
        </w:rPr>
        <w:t xml:space="preserve"> Consultation Program Manager</w:t>
      </w:r>
      <w:r w:rsidR="62B5B1C1" w:rsidRPr="6E5B07DA">
        <w:rPr>
          <w:rFonts w:asciiTheme="minorHAnsi" w:hAnsiTheme="minorHAnsi" w:cstheme="minorBidi"/>
        </w:rPr>
        <w:t>.</w:t>
      </w:r>
    </w:p>
    <w:p w14:paraId="2E24A27B" w14:textId="0FBDF3F5" w:rsidR="009C622A" w:rsidRPr="009C622A" w:rsidRDefault="009C622A" w:rsidP="007E0AAB">
      <w:pPr>
        <w:widowControl/>
        <w:autoSpaceDE/>
        <w:autoSpaceDN/>
        <w:adjustRightInd/>
        <w:contextualSpacing/>
        <w:rPr>
          <w:rFonts w:asciiTheme="minorHAnsi" w:hAnsiTheme="minorHAnsi" w:cstheme="minorHAnsi"/>
          <w:highlight w:val="yellow"/>
        </w:rPr>
      </w:pPr>
    </w:p>
    <w:p w14:paraId="4E7A146F" w14:textId="1215E94B" w:rsidR="009C622A" w:rsidRPr="00D71F29" w:rsidRDefault="091ED586" w:rsidP="6E5B07DA">
      <w:pPr>
        <w:widowControl/>
        <w:autoSpaceDE/>
        <w:autoSpaceDN/>
        <w:adjustRightInd/>
        <w:contextualSpacing/>
        <w:rPr>
          <w:rFonts w:asciiTheme="minorHAnsi" w:hAnsiTheme="minorHAnsi" w:cstheme="minorBidi"/>
        </w:rPr>
      </w:pPr>
      <w:r w:rsidRPr="6E5B07DA">
        <w:rPr>
          <w:rFonts w:asciiTheme="minorHAnsi" w:hAnsiTheme="minorHAnsi" w:cstheme="minorBidi"/>
        </w:rPr>
        <w:t>The California Occupational Safety and Health Standards Board (OSHSB) promulgates occupational safety and health standards for the State of California.  The Board consists of seven members appointed by the governor</w:t>
      </w:r>
      <w:r w:rsidR="00D046B7">
        <w:rPr>
          <w:rFonts w:asciiTheme="minorHAnsi" w:hAnsiTheme="minorHAnsi" w:cstheme="minorBidi"/>
        </w:rPr>
        <w:t>. The OSHSB wa</w:t>
      </w:r>
      <w:r w:rsidR="008F4E56">
        <w:rPr>
          <w:rFonts w:asciiTheme="minorHAnsi" w:hAnsiTheme="minorHAnsi" w:cstheme="minorBidi"/>
        </w:rPr>
        <w:t>s</w:t>
      </w:r>
      <w:r w:rsidRPr="6E5B07DA">
        <w:rPr>
          <w:rFonts w:asciiTheme="minorHAnsi" w:hAnsiTheme="minorHAnsi" w:cstheme="minorBidi"/>
        </w:rPr>
        <w:t xml:space="preserve"> led by </w:t>
      </w:r>
      <w:r w:rsidR="209C3818" w:rsidRPr="6E5B07DA">
        <w:rPr>
          <w:rFonts w:eastAsia="Calibri" w:cs="Calibri"/>
        </w:rPr>
        <w:t>Joseph Alioto</w:t>
      </w:r>
      <w:r w:rsidRPr="6E5B07DA">
        <w:rPr>
          <w:rFonts w:asciiTheme="minorHAnsi" w:hAnsiTheme="minorHAnsi" w:cstheme="minorBidi"/>
        </w:rPr>
        <w:t>, Chairperson, and</w:t>
      </w:r>
      <w:r w:rsidRPr="0E61BA99">
        <w:rPr>
          <w:rFonts w:eastAsia="Calibri" w:cs="Calibri"/>
        </w:rPr>
        <w:t xml:space="preserve"> </w:t>
      </w:r>
      <w:r w:rsidR="54A9EE20" w:rsidRPr="6E5B07DA">
        <w:rPr>
          <w:rFonts w:eastAsia="Calibri" w:cs="Calibri"/>
        </w:rPr>
        <w:t>Millicent Barajas</w:t>
      </w:r>
      <w:r w:rsidRPr="6E5B07DA">
        <w:rPr>
          <w:rFonts w:asciiTheme="minorHAnsi" w:hAnsiTheme="minorHAnsi" w:cstheme="minorBidi"/>
        </w:rPr>
        <w:t>, Executive Officer.</w:t>
      </w:r>
    </w:p>
    <w:p w14:paraId="3C6ED8AA" w14:textId="77777777" w:rsidR="009C622A" w:rsidRPr="00D71F29" w:rsidRDefault="009C622A" w:rsidP="007E0AAB">
      <w:pPr>
        <w:widowControl/>
        <w:autoSpaceDE/>
        <w:autoSpaceDN/>
        <w:adjustRightInd/>
        <w:contextualSpacing/>
        <w:rPr>
          <w:rFonts w:asciiTheme="minorHAnsi" w:hAnsiTheme="minorHAnsi" w:cstheme="minorHAnsi"/>
        </w:rPr>
      </w:pPr>
    </w:p>
    <w:p w14:paraId="037AD2A5" w14:textId="7127E9C1" w:rsidR="009C622A" w:rsidRPr="00D71F29" w:rsidRDefault="091ED586" w:rsidP="6E5B07DA">
      <w:pPr>
        <w:widowControl/>
        <w:autoSpaceDE/>
        <w:autoSpaceDN/>
        <w:adjustRightInd/>
        <w:contextualSpacing/>
        <w:rPr>
          <w:rFonts w:asciiTheme="minorHAnsi" w:hAnsiTheme="minorHAnsi" w:cstheme="minorBidi"/>
        </w:rPr>
      </w:pPr>
      <w:r w:rsidRPr="6E5B07DA">
        <w:rPr>
          <w:rFonts w:asciiTheme="minorHAnsi" w:hAnsiTheme="minorHAnsi" w:cstheme="minorBidi"/>
        </w:rPr>
        <w:t xml:space="preserve">The California Occupational Safety and Health Appeals Board (OSHAB) adjudicates contested cases.  </w:t>
      </w:r>
      <w:r w:rsidR="67C53A53" w:rsidRPr="6E5B07DA">
        <w:rPr>
          <w:rFonts w:asciiTheme="minorHAnsi" w:hAnsiTheme="minorHAnsi" w:cstheme="minorBidi"/>
        </w:rPr>
        <w:t xml:space="preserve">Ed Lowry </w:t>
      </w:r>
      <w:r w:rsidR="00AF74C9">
        <w:rPr>
          <w:rFonts w:asciiTheme="minorHAnsi" w:hAnsiTheme="minorHAnsi" w:cstheme="minorBidi"/>
        </w:rPr>
        <w:t>wa</w:t>
      </w:r>
      <w:r w:rsidR="67C53A53" w:rsidRPr="6E5B07DA">
        <w:rPr>
          <w:rFonts w:asciiTheme="minorHAnsi" w:hAnsiTheme="minorHAnsi" w:cstheme="minorBidi"/>
        </w:rPr>
        <w:t xml:space="preserve">s the </w:t>
      </w:r>
      <w:r w:rsidRPr="6E5B07DA">
        <w:rPr>
          <w:rFonts w:asciiTheme="minorHAnsi" w:hAnsiTheme="minorHAnsi" w:cstheme="minorBidi"/>
        </w:rPr>
        <w:t xml:space="preserve">Board </w:t>
      </w:r>
      <w:r w:rsidR="74129D18" w:rsidRPr="6E5B07DA">
        <w:rPr>
          <w:rFonts w:asciiTheme="minorHAnsi" w:hAnsiTheme="minorHAnsi" w:cstheme="minorBidi"/>
        </w:rPr>
        <w:t>Chair</w:t>
      </w:r>
      <w:r w:rsidR="0CF88F3C" w:rsidRPr="6E5B07DA">
        <w:rPr>
          <w:rFonts w:asciiTheme="minorHAnsi" w:hAnsiTheme="minorHAnsi" w:cstheme="minorBidi"/>
        </w:rPr>
        <w:t xml:space="preserve"> </w:t>
      </w:r>
      <w:r w:rsidR="16FA4F5F" w:rsidRPr="6E5B07DA">
        <w:rPr>
          <w:rFonts w:asciiTheme="minorHAnsi" w:hAnsiTheme="minorHAnsi" w:cstheme="minorBidi"/>
        </w:rPr>
        <w:t xml:space="preserve">and </w:t>
      </w:r>
      <w:r w:rsidRPr="6E5B07DA">
        <w:rPr>
          <w:rFonts w:asciiTheme="minorHAnsi" w:hAnsiTheme="minorHAnsi" w:cstheme="minorBidi"/>
        </w:rPr>
        <w:t xml:space="preserve">Patty Hapgood </w:t>
      </w:r>
      <w:r w:rsidR="48B7D191" w:rsidRPr="6E5B07DA">
        <w:rPr>
          <w:rFonts w:asciiTheme="minorHAnsi" w:hAnsiTheme="minorHAnsi" w:cstheme="minorBidi"/>
        </w:rPr>
        <w:t xml:space="preserve">is </w:t>
      </w:r>
      <w:r w:rsidRPr="6E5B07DA">
        <w:rPr>
          <w:rFonts w:asciiTheme="minorHAnsi" w:hAnsiTheme="minorHAnsi" w:cstheme="minorBidi"/>
        </w:rPr>
        <w:t>the Acting Executive Officer.</w:t>
      </w:r>
    </w:p>
    <w:p w14:paraId="19EFB21A" w14:textId="77777777" w:rsidR="009C622A" w:rsidRPr="009C622A" w:rsidRDefault="009C622A" w:rsidP="007E0AAB">
      <w:pPr>
        <w:widowControl/>
        <w:autoSpaceDE/>
        <w:autoSpaceDN/>
        <w:adjustRightInd/>
        <w:contextualSpacing/>
        <w:rPr>
          <w:rFonts w:asciiTheme="minorHAnsi" w:hAnsiTheme="minorHAnsi" w:cstheme="minorHAnsi"/>
          <w:highlight w:val="yellow"/>
        </w:rPr>
      </w:pPr>
    </w:p>
    <w:p w14:paraId="12920A11" w14:textId="5CCC167E" w:rsidR="009C622A" w:rsidRPr="009C622A" w:rsidRDefault="009C622A" w:rsidP="2A1E0110">
      <w:pPr>
        <w:widowControl/>
        <w:autoSpaceDE/>
        <w:autoSpaceDN/>
        <w:adjustRightInd/>
        <w:contextualSpacing/>
        <w:rPr>
          <w:rFonts w:ascii="Aptos" w:eastAsia="Aptos" w:hAnsi="Aptos" w:cs="Aptos"/>
          <w:sz w:val="22"/>
          <w:szCs w:val="22"/>
        </w:rPr>
      </w:pPr>
      <w:r w:rsidRPr="1D8CDD0E">
        <w:rPr>
          <w:rFonts w:asciiTheme="minorHAnsi" w:hAnsiTheme="minorHAnsi" w:cstheme="minorBidi"/>
        </w:rPr>
        <w:t xml:space="preserve">The Department of Labor Standards Enforcement (DLSE) investigates allegations of retaliation. </w:t>
      </w:r>
      <w:r w:rsidR="009F40AC">
        <w:rPr>
          <w:rFonts w:asciiTheme="minorHAnsi" w:hAnsiTheme="minorHAnsi" w:cstheme="minorBidi"/>
        </w:rPr>
        <w:t xml:space="preserve"> </w:t>
      </w:r>
      <w:r w:rsidRPr="1D8CDD0E">
        <w:rPr>
          <w:rFonts w:asciiTheme="minorHAnsi" w:hAnsiTheme="minorHAnsi" w:cstheme="minorBidi"/>
        </w:rPr>
        <w:t xml:space="preserve">The Labor Commissioner </w:t>
      </w:r>
      <w:r w:rsidR="00AF74C9">
        <w:rPr>
          <w:rFonts w:asciiTheme="minorHAnsi" w:hAnsiTheme="minorHAnsi" w:cstheme="minorBidi"/>
        </w:rPr>
        <w:t>wa</w:t>
      </w:r>
      <w:r w:rsidRPr="2A1E0110">
        <w:rPr>
          <w:rFonts w:asciiTheme="minorHAnsi" w:hAnsiTheme="minorHAnsi" w:cstheme="minorBidi"/>
        </w:rPr>
        <w:t>s</w:t>
      </w:r>
      <w:r w:rsidR="008F4E56">
        <w:rPr>
          <w:rFonts w:asciiTheme="minorHAnsi" w:hAnsiTheme="minorHAnsi" w:cstheme="minorBidi"/>
        </w:rPr>
        <w:t xml:space="preserve"> </w:t>
      </w:r>
      <w:r w:rsidR="006C603A">
        <w:rPr>
          <w:rFonts w:asciiTheme="minorHAnsi" w:hAnsiTheme="minorHAnsi" w:cstheme="minorBidi"/>
        </w:rPr>
        <w:t xml:space="preserve">Lilia Garcia-Brower. </w:t>
      </w:r>
      <w:r w:rsidRPr="1D8CDD0E">
        <w:rPr>
          <w:rFonts w:asciiTheme="minorHAnsi" w:hAnsiTheme="minorHAnsi" w:cstheme="minorBidi"/>
        </w:rPr>
        <w:t xml:space="preserve"> </w:t>
      </w:r>
      <w:r w:rsidR="006C603A">
        <w:rPr>
          <w:rFonts w:asciiTheme="minorHAnsi" w:hAnsiTheme="minorHAnsi" w:cstheme="minorBidi"/>
        </w:rPr>
        <w:t xml:space="preserve">Carlos Torres was the Deputy Chief and </w:t>
      </w:r>
      <w:r w:rsidR="7FBD67D8" w:rsidRPr="64D1006D">
        <w:rPr>
          <w:rFonts w:asciiTheme="minorHAnsi" w:eastAsiaTheme="minorEastAsia" w:hAnsiTheme="minorHAnsi" w:cstheme="minorBidi"/>
        </w:rPr>
        <w:t xml:space="preserve">Blanca Villafranco </w:t>
      </w:r>
      <w:r w:rsidR="00AF74C9" w:rsidRPr="64D1006D">
        <w:rPr>
          <w:rFonts w:asciiTheme="minorHAnsi" w:eastAsiaTheme="minorEastAsia" w:hAnsiTheme="minorHAnsi" w:cstheme="minorBidi"/>
        </w:rPr>
        <w:t>wa</w:t>
      </w:r>
      <w:r w:rsidR="7FBD67D8" w:rsidRPr="64D1006D">
        <w:rPr>
          <w:rFonts w:asciiTheme="minorHAnsi" w:eastAsiaTheme="minorEastAsia" w:hAnsiTheme="minorHAnsi" w:cstheme="minorBidi"/>
        </w:rPr>
        <w:t>s the Assistant Chief.</w:t>
      </w:r>
      <w:r w:rsidRPr="1D8CDD0E">
        <w:rPr>
          <w:rFonts w:asciiTheme="minorHAnsi" w:hAnsiTheme="minorHAnsi" w:cstheme="minorBidi"/>
        </w:rPr>
        <w:t xml:space="preserve"> The Regional Manager </w:t>
      </w:r>
      <w:r w:rsidR="00AF74C9">
        <w:rPr>
          <w:rFonts w:asciiTheme="minorHAnsi" w:hAnsiTheme="minorHAnsi" w:cstheme="minorBidi"/>
        </w:rPr>
        <w:t>wa</w:t>
      </w:r>
      <w:r w:rsidR="03B35EC8" w:rsidRPr="2A1E0110">
        <w:rPr>
          <w:rFonts w:asciiTheme="minorHAnsi" w:hAnsiTheme="minorHAnsi" w:cstheme="minorBidi"/>
        </w:rPr>
        <w:t xml:space="preserve">s </w:t>
      </w:r>
      <w:r w:rsidR="23173B44" w:rsidRPr="2A1E0110">
        <w:rPr>
          <w:rFonts w:asciiTheme="minorHAnsi" w:hAnsiTheme="minorHAnsi" w:cstheme="minorBidi"/>
        </w:rPr>
        <w:t>Michael Harrison</w:t>
      </w:r>
      <w:r w:rsidR="008F4E56">
        <w:rPr>
          <w:rFonts w:asciiTheme="minorHAnsi" w:hAnsiTheme="minorHAnsi" w:cstheme="minorBidi"/>
        </w:rPr>
        <w:t xml:space="preserve">. </w:t>
      </w:r>
    </w:p>
    <w:p w14:paraId="07C330A7" w14:textId="77777777" w:rsidR="009C622A" w:rsidRPr="009C622A" w:rsidRDefault="009C622A" w:rsidP="007E0AAB">
      <w:pPr>
        <w:widowControl/>
        <w:autoSpaceDE/>
        <w:autoSpaceDN/>
        <w:adjustRightInd/>
        <w:contextualSpacing/>
        <w:rPr>
          <w:rFonts w:asciiTheme="minorHAnsi" w:hAnsiTheme="minorHAnsi" w:cstheme="minorHAnsi"/>
          <w:highlight w:val="yellow"/>
        </w:rPr>
      </w:pPr>
    </w:p>
    <w:p w14:paraId="662E2A4B" w14:textId="302D620C" w:rsidR="009C622A" w:rsidRPr="00DD3139" w:rsidRDefault="009C622A" w:rsidP="007E0AAB">
      <w:pPr>
        <w:widowControl/>
        <w:autoSpaceDE/>
        <w:autoSpaceDN/>
        <w:adjustRightInd/>
        <w:contextualSpacing/>
        <w:rPr>
          <w:rFonts w:asciiTheme="minorHAnsi" w:hAnsiTheme="minorHAnsi" w:cstheme="minorBidi"/>
        </w:rPr>
      </w:pPr>
      <w:r w:rsidRPr="1D8CDD0E">
        <w:rPr>
          <w:rFonts w:asciiTheme="minorHAnsi" w:hAnsiTheme="minorHAnsi" w:cstheme="minorBidi"/>
        </w:rPr>
        <w:t xml:space="preserve">There </w:t>
      </w:r>
      <w:r w:rsidR="3EE7CCC8" w:rsidRPr="743B5347">
        <w:rPr>
          <w:rFonts w:asciiTheme="minorHAnsi" w:hAnsiTheme="minorHAnsi" w:cstheme="minorBidi"/>
        </w:rPr>
        <w:t>a</w:t>
      </w:r>
      <w:r w:rsidRPr="743B5347">
        <w:rPr>
          <w:rFonts w:asciiTheme="minorHAnsi" w:hAnsiTheme="minorHAnsi" w:cstheme="minorBidi"/>
        </w:rPr>
        <w:t>re</w:t>
      </w:r>
      <w:r w:rsidRPr="1D8CDD0E">
        <w:rPr>
          <w:rFonts w:asciiTheme="minorHAnsi" w:hAnsiTheme="minorHAnsi" w:cstheme="minorBidi"/>
        </w:rPr>
        <w:t xml:space="preserve"> 28 enforcement offices (known as district offices), with 17 of these offices separated into four geographical regions, each headed by a regional manager.  Additionally, there </w:t>
      </w:r>
      <w:r w:rsidR="2DA6946C" w:rsidRPr="743B5347">
        <w:rPr>
          <w:rFonts w:asciiTheme="minorHAnsi" w:hAnsiTheme="minorHAnsi" w:cstheme="minorBidi"/>
        </w:rPr>
        <w:t>a</w:t>
      </w:r>
      <w:r w:rsidRPr="743B5347">
        <w:rPr>
          <w:rFonts w:asciiTheme="minorHAnsi" w:hAnsiTheme="minorHAnsi" w:cstheme="minorBidi"/>
        </w:rPr>
        <w:t xml:space="preserve">re </w:t>
      </w:r>
      <w:r w:rsidR="4B144EF9" w:rsidRPr="743B5347">
        <w:rPr>
          <w:rFonts w:asciiTheme="minorHAnsi" w:hAnsiTheme="minorHAnsi" w:cstheme="minorBidi"/>
        </w:rPr>
        <w:t>four</w:t>
      </w:r>
      <w:r w:rsidRPr="1D8CDD0E">
        <w:rPr>
          <w:rFonts w:asciiTheme="minorHAnsi" w:hAnsiTheme="minorHAnsi" w:cstheme="minorBidi"/>
        </w:rPr>
        <w:t xml:space="preserve"> High Hazard Unit offices (HHUs</w:t>
      </w:r>
      <w:r w:rsidR="63F0FB4C" w:rsidRPr="0E61BA99">
        <w:rPr>
          <w:rFonts w:asciiTheme="minorHAnsi" w:hAnsiTheme="minorHAnsi" w:cstheme="minorBidi"/>
        </w:rPr>
        <w:t>)</w:t>
      </w:r>
      <w:r w:rsidRPr="1D8CDD0E">
        <w:rPr>
          <w:rFonts w:asciiTheme="minorHAnsi" w:hAnsiTheme="minorHAnsi" w:cstheme="minorBidi"/>
        </w:rPr>
        <w:t xml:space="preserve"> </w:t>
      </w:r>
      <w:r w:rsidR="2BA2D769" w:rsidRPr="743B5347">
        <w:rPr>
          <w:rFonts w:asciiTheme="minorHAnsi" w:hAnsiTheme="minorHAnsi" w:cstheme="minorBidi"/>
        </w:rPr>
        <w:t>that</w:t>
      </w:r>
      <w:r w:rsidRPr="743B5347">
        <w:rPr>
          <w:rFonts w:asciiTheme="minorHAnsi" w:hAnsiTheme="minorHAnsi" w:cstheme="minorBidi"/>
        </w:rPr>
        <w:t xml:space="preserve"> conduct</w:t>
      </w:r>
      <w:r w:rsidR="2E01BFE3" w:rsidRPr="743B5347">
        <w:rPr>
          <w:rFonts w:asciiTheme="minorHAnsi" w:hAnsiTheme="minorHAnsi" w:cstheme="minorBidi"/>
        </w:rPr>
        <w:t>s</w:t>
      </w:r>
      <w:r w:rsidRPr="1D8CDD0E">
        <w:rPr>
          <w:rFonts w:asciiTheme="minorHAnsi" w:hAnsiTheme="minorHAnsi" w:cstheme="minorBidi"/>
        </w:rPr>
        <w:t xml:space="preserve"> programmed inspections of employers in high hazard industries</w:t>
      </w:r>
      <w:r w:rsidR="70B8FC5C" w:rsidRPr="743B5347">
        <w:rPr>
          <w:rFonts w:asciiTheme="minorHAnsi" w:hAnsiTheme="minorHAnsi" w:cstheme="minorBidi"/>
        </w:rPr>
        <w:t>, and four</w:t>
      </w:r>
      <w:r w:rsidRPr="1D8CDD0E">
        <w:rPr>
          <w:rFonts w:asciiTheme="minorHAnsi" w:hAnsiTheme="minorHAnsi" w:cstheme="minorBidi"/>
        </w:rPr>
        <w:t xml:space="preserve"> Process Safety Management (PSM) Unit offices</w:t>
      </w:r>
      <w:r w:rsidR="44C039A4" w:rsidRPr="743B5347">
        <w:rPr>
          <w:rFonts w:asciiTheme="minorHAnsi" w:hAnsiTheme="minorHAnsi" w:cstheme="minorBidi"/>
        </w:rPr>
        <w:t>.</w:t>
      </w:r>
      <w:r w:rsidRPr="1D8CDD0E">
        <w:rPr>
          <w:rFonts w:asciiTheme="minorHAnsi" w:hAnsiTheme="minorHAnsi" w:cstheme="minorBidi"/>
        </w:rPr>
        <w:t xml:space="preserve"> There </w:t>
      </w:r>
      <w:r w:rsidR="71DEA1E1" w:rsidRPr="743B5347">
        <w:rPr>
          <w:rFonts w:asciiTheme="minorHAnsi" w:hAnsiTheme="minorHAnsi" w:cstheme="minorBidi"/>
        </w:rPr>
        <w:t>a</w:t>
      </w:r>
      <w:r w:rsidRPr="743B5347">
        <w:rPr>
          <w:rFonts w:asciiTheme="minorHAnsi" w:hAnsiTheme="minorHAnsi" w:cstheme="minorBidi"/>
        </w:rPr>
        <w:t>re</w:t>
      </w:r>
      <w:r w:rsidRPr="1D8CDD0E">
        <w:rPr>
          <w:rFonts w:asciiTheme="minorHAnsi" w:hAnsiTheme="minorHAnsi" w:cstheme="minorBidi"/>
        </w:rPr>
        <w:t xml:space="preserve"> three Mining and Tunneling Unit offices </w:t>
      </w:r>
      <w:r w:rsidR="00724281" w:rsidRPr="1D8CDD0E">
        <w:rPr>
          <w:rFonts w:asciiTheme="minorHAnsi" w:hAnsiTheme="minorHAnsi" w:cstheme="minorBidi"/>
        </w:rPr>
        <w:t xml:space="preserve">with a mandate to </w:t>
      </w:r>
      <w:r w:rsidRPr="1D8CDD0E">
        <w:rPr>
          <w:rFonts w:asciiTheme="minorHAnsi" w:hAnsiTheme="minorHAnsi" w:cstheme="minorBidi"/>
        </w:rPr>
        <w:t xml:space="preserve">inspect tunnels under construction.  There </w:t>
      </w:r>
      <w:r w:rsidR="1C73191B" w:rsidRPr="743B5347">
        <w:rPr>
          <w:rFonts w:asciiTheme="minorHAnsi" w:hAnsiTheme="minorHAnsi" w:cstheme="minorBidi"/>
        </w:rPr>
        <w:t>a</w:t>
      </w:r>
      <w:r w:rsidRPr="743B5347">
        <w:rPr>
          <w:rFonts w:asciiTheme="minorHAnsi" w:hAnsiTheme="minorHAnsi" w:cstheme="minorBidi"/>
        </w:rPr>
        <w:t>re</w:t>
      </w:r>
      <w:r w:rsidRPr="1D8CDD0E">
        <w:rPr>
          <w:rFonts w:asciiTheme="minorHAnsi" w:hAnsiTheme="minorHAnsi" w:cstheme="minorBidi"/>
        </w:rPr>
        <w:t xml:space="preserve"> two Labor Enforcement Task Force (LETF) Unit offices</w:t>
      </w:r>
      <w:r w:rsidR="242D04DA" w:rsidRPr="743B5347">
        <w:rPr>
          <w:rFonts w:asciiTheme="minorHAnsi" w:hAnsiTheme="minorHAnsi" w:cstheme="minorBidi"/>
        </w:rPr>
        <w:t xml:space="preserve"> that</w:t>
      </w:r>
      <w:r w:rsidRPr="1D8CDD0E">
        <w:rPr>
          <w:rFonts w:asciiTheme="minorHAnsi" w:hAnsiTheme="minorHAnsi" w:cstheme="minorBidi"/>
        </w:rPr>
        <w:t xml:space="preserve"> </w:t>
      </w:r>
      <w:r w:rsidR="6F03398A" w:rsidRPr="743B5347">
        <w:rPr>
          <w:rFonts w:asciiTheme="minorHAnsi" w:hAnsiTheme="minorHAnsi" w:cstheme="minorBidi"/>
        </w:rPr>
        <w:t>t</w:t>
      </w:r>
      <w:r w:rsidRPr="743B5347">
        <w:rPr>
          <w:rFonts w:asciiTheme="minorHAnsi" w:hAnsiTheme="minorHAnsi" w:cstheme="minorBidi"/>
        </w:rPr>
        <w:t>arget</w:t>
      </w:r>
      <w:r w:rsidRPr="1D8CDD0E">
        <w:rPr>
          <w:rFonts w:asciiTheme="minorHAnsi" w:hAnsiTheme="minorHAnsi" w:cstheme="minorBidi"/>
        </w:rPr>
        <w:t xml:space="preserve"> employers in the underground economy in partnership with other state agencies.  The Crane Unit and a Pressure Vessel Unit </w:t>
      </w:r>
      <w:r w:rsidR="78252DC2" w:rsidRPr="743B5347">
        <w:rPr>
          <w:rFonts w:asciiTheme="minorHAnsi" w:hAnsiTheme="minorHAnsi" w:cstheme="minorBidi"/>
        </w:rPr>
        <w:t>has</w:t>
      </w:r>
      <w:r w:rsidR="0085583E" w:rsidRPr="1D8CDD0E">
        <w:rPr>
          <w:rFonts w:asciiTheme="minorHAnsi" w:hAnsiTheme="minorHAnsi" w:cstheme="minorBidi"/>
        </w:rPr>
        <w:t xml:space="preserve"> staff co-located in district offices </w:t>
      </w:r>
      <w:r w:rsidR="0A825085" w:rsidRPr="743B5347">
        <w:rPr>
          <w:rFonts w:asciiTheme="minorHAnsi" w:hAnsiTheme="minorHAnsi" w:cstheme="minorBidi"/>
        </w:rPr>
        <w:t>that</w:t>
      </w:r>
      <w:r w:rsidR="0085583E" w:rsidRPr="1D8CDD0E">
        <w:rPr>
          <w:rFonts w:asciiTheme="minorHAnsi" w:hAnsiTheme="minorHAnsi" w:cstheme="minorBidi"/>
        </w:rPr>
        <w:t xml:space="preserve"> </w:t>
      </w:r>
      <w:r w:rsidRPr="1D8CDD0E">
        <w:rPr>
          <w:rFonts w:asciiTheme="minorHAnsi" w:hAnsiTheme="minorHAnsi" w:cstheme="minorBidi"/>
        </w:rPr>
        <w:t>assist compliance safety and health officers (CSHOs) by providing technical expertise for cranes, hoisting equipment, and pressure vessels</w:t>
      </w:r>
      <w:r w:rsidR="0085583E" w:rsidRPr="1D8CDD0E">
        <w:rPr>
          <w:rFonts w:asciiTheme="minorHAnsi" w:hAnsiTheme="minorHAnsi" w:cstheme="minorBidi"/>
        </w:rPr>
        <w:t>.</w:t>
      </w:r>
    </w:p>
    <w:p w14:paraId="14195EDC" w14:textId="77777777" w:rsidR="009C622A" w:rsidRPr="009C622A" w:rsidRDefault="009C622A" w:rsidP="007E0AAB">
      <w:pPr>
        <w:widowControl/>
        <w:autoSpaceDE/>
        <w:autoSpaceDN/>
        <w:adjustRightInd/>
        <w:contextualSpacing/>
        <w:rPr>
          <w:rFonts w:asciiTheme="minorHAnsi" w:hAnsiTheme="minorHAnsi" w:cstheme="minorHAnsi"/>
          <w:highlight w:val="yellow"/>
        </w:rPr>
      </w:pPr>
    </w:p>
    <w:p w14:paraId="4F7A0DAD" w14:textId="1A9B3F14" w:rsidR="009C622A" w:rsidRPr="00EF5CE6" w:rsidRDefault="63DD1A17" w:rsidP="4E97E92A">
      <w:pPr>
        <w:widowControl/>
        <w:contextualSpacing/>
        <w:rPr>
          <w:rFonts w:asciiTheme="minorHAnsi" w:hAnsiTheme="minorHAnsi" w:cstheme="minorBidi"/>
        </w:rPr>
      </w:pPr>
      <w:r w:rsidRPr="4E97E92A">
        <w:rPr>
          <w:rFonts w:asciiTheme="minorHAnsi" w:hAnsiTheme="minorHAnsi" w:cstheme="minorBidi"/>
        </w:rPr>
        <w:t xml:space="preserve">The Department of Industrial Relations </w:t>
      </w:r>
      <w:r w:rsidR="005F6EE8" w:rsidRPr="4E97E92A">
        <w:rPr>
          <w:rFonts w:asciiTheme="minorHAnsi" w:hAnsiTheme="minorHAnsi" w:cstheme="minorBidi"/>
        </w:rPr>
        <w:t xml:space="preserve">made progress </w:t>
      </w:r>
      <w:r w:rsidR="00FE55C4" w:rsidRPr="4E97E92A">
        <w:rPr>
          <w:rFonts w:asciiTheme="minorHAnsi" w:hAnsiTheme="minorHAnsi" w:cstheme="minorBidi"/>
        </w:rPr>
        <w:t xml:space="preserve">during the review period </w:t>
      </w:r>
      <w:r w:rsidR="005F6EE8" w:rsidRPr="4E97E92A">
        <w:rPr>
          <w:rFonts w:asciiTheme="minorHAnsi" w:hAnsiTheme="minorHAnsi" w:cstheme="minorBidi"/>
        </w:rPr>
        <w:t xml:space="preserve">in </w:t>
      </w:r>
      <w:r w:rsidR="00911A91" w:rsidRPr="4E97E92A">
        <w:rPr>
          <w:rFonts w:asciiTheme="minorHAnsi" w:hAnsiTheme="minorHAnsi" w:cstheme="minorBidi"/>
        </w:rPr>
        <w:t>addressing</w:t>
      </w:r>
      <w:r w:rsidRPr="4E97E92A">
        <w:rPr>
          <w:rFonts w:asciiTheme="minorHAnsi" w:hAnsiTheme="minorHAnsi" w:cstheme="minorBidi"/>
        </w:rPr>
        <w:t xml:space="preserve"> staffing levels in its units associated with the 23(g) grant.  As of </w:t>
      </w:r>
      <w:r w:rsidR="002956E3" w:rsidRPr="4E97E92A">
        <w:rPr>
          <w:rFonts w:asciiTheme="minorHAnsi" w:hAnsiTheme="minorHAnsi" w:cstheme="minorBidi"/>
        </w:rPr>
        <w:t>November</w:t>
      </w:r>
      <w:r w:rsidR="00A77845" w:rsidRPr="4E97E92A">
        <w:rPr>
          <w:rFonts w:asciiTheme="minorHAnsi" w:hAnsiTheme="minorHAnsi" w:cstheme="minorBidi"/>
        </w:rPr>
        <w:t xml:space="preserve"> 30</w:t>
      </w:r>
      <w:r w:rsidRPr="4E97E92A">
        <w:rPr>
          <w:rFonts w:asciiTheme="minorHAnsi" w:hAnsiTheme="minorHAnsi" w:cstheme="minorBidi"/>
        </w:rPr>
        <w:t xml:space="preserve">, 2024, Cal/OSHA reported an overall vacancy rate of </w:t>
      </w:r>
      <w:r w:rsidR="001A2C3B" w:rsidRPr="4E97E92A">
        <w:rPr>
          <w:rFonts w:asciiTheme="minorHAnsi" w:hAnsiTheme="minorHAnsi" w:cstheme="minorBidi"/>
          <w:color w:val="000000" w:themeColor="text1"/>
        </w:rPr>
        <w:t>23</w:t>
      </w:r>
      <w:r w:rsidRPr="4E97E92A">
        <w:rPr>
          <w:rFonts w:asciiTheme="minorHAnsi" w:hAnsiTheme="minorHAnsi" w:cstheme="minorBidi"/>
          <w:color w:val="000000" w:themeColor="text1"/>
        </w:rPr>
        <w:t>%</w:t>
      </w:r>
      <w:r w:rsidR="006A18C5" w:rsidRPr="4E97E92A">
        <w:rPr>
          <w:rFonts w:asciiTheme="minorHAnsi" w:hAnsiTheme="minorHAnsi" w:cstheme="minorBidi"/>
        </w:rPr>
        <w:t xml:space="preserve">.  This is an </w:t>
      </w:r>
      <w:r w:rsidR="005F003C" w:rsidRPr="4E97E92A">
        <w:rPr>
          <w:rFonts w:asciiTheme="minorHAnsi" w:hAnsiTheme="minorHAnsi" w:cstheme="minorBidi"/>
        </w:rPr>
        <w:t xml:space="preserve">improvement from the 35% vacancy rate reported on the </w:t>
      </w:r>
      <w:r w:rsidR="00FC65A5" w:rsidRPr="4E97E92A">
        <w:rPr>
          <w:rFonts w:asciiTheme="minorHAnsi" w:hAnsiTheme="minorHAnsi" w:cstheme="minorBidi"/>
        </w:rPr>
        <w:t>2023 FAME</w:t>
      </w:r>
      <w:r w:rsidR="005F003C" w:rsidRPr="4E97E92A">
        <w:rPr>
          <w:rFonts w:asciiTheme="minorHAnsi" w:hAnsiTheme="minorHAnsi" w:cstheme="minorBidi"/>
        </w:rPr>
        <w:t xml:space="preserve">. </w:t>
      </w:r>
      <w:r w:rsidRPr="4E97E92A">
        <w:rPr>
          <w:rFonts w:asciiTheme="minorHAnsi" w:hAnsiTheme="minorHAnsi" w:cstheme="minorBidi"/>
        </w:rPr>
        <w:t xml:space="preserve">Cal/OSHA continues to battle attrition and slow hiring practices in the filling of its ranks, particularly enforcement.  Cal/OSHA maintains a </w:t>
      </w:r>
      <w:hyperlink r:id="rId13">
        <w:r w:rsidRPr="4E97E92A">
          <w:rPr>
            <w:rStyle w:val="Hyperlink"/>
            <w:rFonts w:asciiTheme="minorHAnsi" w:hAnsiTheme="minorHAnsi" w:cstheme="minorBidi"/>
          </w:rPr>
          <w:t>public website</w:t>
        </w:r>
      </w:hyperlink>
      <w:r w:rsidRPr="4E97E92A">
        <w:rPr>
          <w:rFonts w:asciiTheme="minorHAnsi" w:hAnsiTheme="minorHAnsi" w:cstheme="minorBidi"/>
        </w:rPr>
        <w:t xml:space="preserve"> regarding its recruitment and hiring and continues to engage in outreach to encourage qualified applicants to </w:t>
      </w:r>
      <w:r w:rsidR="002260A6" w:rsidRPr="4E97E92A">
        <w:rPr>
          <w:rFonts w:asciiTheme="minorHAnsi" w:hAnsiTheme="minorHAnsi" w:cstheme="minorBidi"/>
        </w:rPr>
        <w:t xml:space="preserve">apply to </w:t>
      </w:r>
      <w:r w:rsidRPr="4E97E92A">
        <w:rPr>
          <w:rFonts w:asciiTheme="minorHAnsi" w:hAnsiTheme="minorHAnsi" w:cstheme="minorBidi"/>
        </w:rPr>
        <w:t xml:space="preserve">its job openings.  </w:t>
      </w:r>
    </w:p>
    <w:p w14:paraId="082C900C" w14:textId="0073D005" w:rsidR="009C622A" w:rsidRPr="00982067" w:rsidRDefault="009C622A" w:rsidP="0E61BA99">
      <w:pPr>
        <w:widowControl/>
        <w:contextualSpacing/>
        <w:rPr>
          <w:rFonts w:asciiTheme="minorHAnsi" w:hAnsiTheme="minorHAnsi" w:cstheme="minorBidi"/>
        </w:rPr>
      </w:pPr>
    </w:p>
    <w:p w14:paraId="69E2D3DD" w14:textId="548EA71E" w:rsidR="009C622A" w:rsidRPr="00982067" w:rsidRDefault="00431630" w:rsidP="003301AF">
      <w:pPr>
        <w:widowControl/>
        <w:autoSpaceDE/>
        <w:autoSpaceDN/>
        <w:adjustRightInd/>
        <w:contextualSpacing/>
        <w:rPr>
          <w:rFonts w:asciiTheme="minorHAnsi" w:hAnsiTheme="minorHAnsi" w:cstheme="minorBidi"/>
        </w:rPr>
      </w:pPr>
      <w:r w:rsidRPr="6E5B07DA">
        <w:rPr>
          <w:rFonts w:asciiTheme="minorHAnsi" w:hAnsiTheme="minorHAnsi" w:cstheme="minorBidi"/>
        </w:rPr>
        <w:t>Cal/OSHA’s enforcement program conducted 6,4</w:t>
      </w:r>
      <w:r>
        <w:rPr>
          <w:rFonts w:asciiTheme="minorHAnsi" w:hAnsiTheme="minorHAnsi" w:cstheme="minorBidi"/>
        </w:rPr>
        <w:t>36</w:t>
      </w:r>
      <w:r w:rsidRPr="6E5B07DA">
        <w:rPr>
          <w:rFonts w:asciiTheme="minorHAnsi" w:hAnsiTheme="minorHAnsi" w:cstheme="minorBidi"/>
        </w:rPr>
        <w:t xml:space="preserve"> overall </w:t>
      </w:r>
      <w:r w:rsidR="00E37C45" w:rsidRPr="6E5B07DA">
        <w:rPr>
          <w:rFonts w:asciiTheme="minorHAnsi" w:hAnsiTheme="minorHAnsi" w:cstheme="minorBidi"/>
        </w:rPr>
        <w:t>inspections and</w:t>
      </w:r>
      <w:r>
        <w:rPr>
          <w:rFonts w:asciiTheme="minorHAnsi" w:hAnsiTheme="minorHAnsi" w:cstheme="minorBidi"/>
        </w:rPr>
        <w:t xml:space="preserve"> exceeded</w:t>
      </w:r>
      <w:r w:rsidRPr="6E5B07DA">
        <w:rPr>
          <w:rFonts w:asciiTheme="minorHAnsi" w:hAnsiTheme="minorHAnsi" w:cstheme="minorBidi"/>
        </w:rPr>
        <w:t xml:space="preserve"> their goal of 5,</w:t>
      </w:r>
      <w:r>
        <w:rPr>
          <w:rFonts w:asciiTheme="minorHAnsi" w:hAnsiTheme="minorHAnsi" w:cstheme="minorBidi"/>
        </w:rPr>
        <w:t>850</w:t>
      </w:r>
      <w:r w:rsidRPr="6E5B07DA">
        <w:rPr>
          <w:rFonts w:asciiTheme="minorHAnsi" w:hAnsiTheme="minorHAnsi" w:cstheme="minorBidi"/>
        </w:rPr>
        <w:t xml:space="preserve">.  </w:t>
      </w:r>
      <w:r w:rsidR="00A819DB">
        <w:rPr>
          <w:rFonts w:asciiTheme="minorHAnsi" w:hAnsiTheme="minorHAnsi" w:cstheme="minorBidi"/>
        </w:rPr>
        <w:t>However, j</w:t>
      </w:r>
      <w:r w:rsidR="7C34EDF9" w:rsidRPr="0E61BA99">
        <w:rPr>
          <w:rFonts w:asciiTheme="minorHAnsi" w:hAnsiTheme="minorHAnsi" w:cstheme="minorBidi"/>
        </w:rPr>
        <w:t xml:space="preserve">ust 24% of Cal/OSHA’s safety inspections were programmed, as compared to a national average of 47%.  These numbers are influenced by the need to respond to unprogrammed work including fatalities, injuries, and complaints per state Labor Code mandates.  A high percentage of unprogrammed work means that Cal/OSHA cannot conduct planned inspections of high hazard employers at the national average rate.  The state conducted a similar percentage of programmed health inspections (32%) compared to 33% nationally.   </w:t>
      </w:r>
    </w:p>
    <w:p w14:paraId="560AC01D" w14:textId="23E14C72" w:rsidR="009C622A" w:rsidRPr="00982067" w:rsidRDefault="009C622A" w:rsidP="0E61BA99">
      <w:pPr>
        <w:widowControl/>
        <w:spacing w:line="257" w:lineRule="auto"/>
        <w:contextualSpacing/>
        <w:rPr>
          <w:rFonts w:asciiTheme="minorHAnsi" w:hAnsiTheme="minorHAnsi" w:cstheme="minorBidi"/>
        </w:rPr>
      </w:pPr>
    </w:p>
    <w:p w14:paraId="0EC4529C" w14:textId="11D7C58D" w:rsidR="00F80B02" w:rsidRDefault="005A2480" w:rsidP="77CB02E3">
      <w:pPr>
        <w:widowControl/>
        <w:autoSpaceDE/>
        <w:autoSpaceDN/>
        <w:adjustRightInd/>
        <w:contextualSpacing/>
        <w:rPr>
          <w:rFonts w:asciiTheme="minorHAnsi" w:hAnsiTheme="minorHAnsi" w:cstheme="minorBidi"/>
        </w:rPr>
      </w:pPr>
      <w:r w:rsidRPr="6AB43BC4">
        <w:rPr>
          <w:rFonts w:asciiTheme="minorHAnsi" w:hAnsiTheme="minorHAnsi" w:cstheme="minorBidi"/>
        </w:rPr>
        <w:t>In FY 2024, the initial federal base award to fund the 23(g) program was $30,353,800.  California matched the federal funds and added $35,908,437 in 100% state funds, bringing the total award to $96,616,037.  Due to the fund</w:t>
      </w:r>
      <w:r w:rsidR="00A34911">
        <w:rPr>
          <w:rFonts w:asciiTheme="minorHAnsi" w:hAnsiTheme="minorHAnsi" w:cstheme="minorBidi"/>
        </w:rPr>
        <w:t>ing</w:t>
      </w:r>
      <w:r w:rsidRPr="6AB43BC4">
        <w:rPr>
          <w:rFonts w:asciiTheme="minorHAnsi" w:hAnsiTheme="minorHAnsi" w:cstheme="minorBidi"/>
        </w:rPr>
        <w:t xml:space="preserve"> reduction of all OSHA 23(g) programs, the federal base award was decreased by $1,094,000 in July.  California reduced the state required match, accordingly, and added in $2,188,000 in 100% state funds, bringing the total award </w:t>
      </w:r>
      <w:r w:rsidR="00A34911">
        <w:rPr>
          <w:rFonts w:asciiTheme="minorHAnsi" w:hAnsiTheme="minorHAnsi" w:cstheme="minorBidi"/>
        </w:rPr>
        <w:t xml:space="preserve">back </w:t>
      </w:r>
      <w:r w:rsidRPr="6AB43BC4">
        <w:rPr>
          <w:rFonts w:asciiTheme="minorHAnsi" w:hAnsiTheme="minorHAnsi" w:cstheme="minorBidi"/>
        </w:rPr>
        <w:t xml:space="preserve">to $96,616,037.  California did not accept any additional one-time only funds and did not de-obligate any federal funds.  At the end, California contributed </w:t>
      </w:r>
      <w:r w:rsidR="22EAA187" w:rsidRPr="6AB43BC4">
        <w:rPr>
          <w:rFonts w:asciiTheme="minorHAnsi" w:hAnsiTheme="minorHAnsi" w:cstheme="minorBidi"/>
        </w:rPr>
        <w:t xml:space="preserve">an </w:t>
      </w:r>
      <w:r w:rsidRPr="6AB43BC4">
        <w:rPr>
          <w:rFonts w:asciiTheme="minorHAnsi" w:hAnsiTheme="minorHAnsi" w:cstheme="minorBidi"/>
        </w:rPr>
        <w:t>additional $8,919,088 in 100% state funds.  California reported final expenditures to be $105,535,125 ($29,259,800 federal, $29,259,800 state match, and $47,015,525 in 100% state funds).  The next financial monitoring review will be in FY 2025.</w:t>
      </w:r>
    </w:p>
    <w:p w14:paraId="64451BCD" w14:textId="77777777" w:rsidR="005A2480" w:rsidRPr="009C622A" w:rsidRDefault="005A2480" w:rsidP="007E0AAB">
      <w:pPr>
        <w:widowControl/>
        <w:autoSpaceDE/>
        <w:autoSpaceDN/>
        <w:adjustRightInd/>
        <w:contextualSpacing/>
        <w:rPr>
          <w:rFonts w:asciiTheme="minorHAnsi" w:hAnsiTheme="minorHAnsi" w:cstheme="minorHAnsi"/>
          <w:highlight w:val="yellow"/>
        </w:rPr>
      </w:pPr>
    </w:p>
    <w:p w14:paraId="751237D3" w14:textId="3C3C0FC8" w:rsidR="00CC4767" w:rsidRDefault="00CC4767" w:rsidP="4E97E92A">
      <w:pPr>
        <w:widowControl/>
        <w:autoSpaceDE/>
        <w:autoSpaceDN/>
        <w:adjustRightInd/>
        <w:contextualSpacing/>
        <w:rPr>
          <w:rFonts w:asciiTheme="minorHAnsi" w:hAnsiTheme="minorHAnsi" w:cstheme="minorBidi"/>
        </w:rPr>
      </w:pPr>
      <w:r w:rsidRPr="4E97E92A">
        <w:rPr>
          <w:rFonts w:asciiTheme="minorHAnsi" w:hAnsiTheme="minorHAnsi" w:cstheme="minorBidi"/>
        </w:rPr>
        <w:t xml:space="preserve">State and local government consultation services were provided under the 23(g) grant, while private sector consultation was provided under the 21(d) Cooperative Agreement.  The private sector consultation program is evaluated separately in the FY </w:t>
      </w:r>
      <w:r w:rsidR="007A10CF" w:rsidRPr="4E97E92A">
        <w:rPr>
          <w:rFonts w:asciiTheme="minorHAnsi" w:hAnsiTheme="minorHAnsi" w:cstheme="minorBidi"/>
        </w:rPr>
        <w:t xml:space="preserve">2024 </w:t>
      </w:r>
      <w:r w:rsidRPr="4E97E92A">
        <w:rPr>
          <w:rFonts w:asciiTheme="minorHAnsi" w:hAnsiTheme="minorHAnsi" w:cstheme="minorBidi"/>
        </w:rPr>
        <w:t>Regional Annual Consultation Evaluation Report (RACER).</w:t>
      </w:r>
    </w:p>
    <w:p w14:paraId="46793CA9" w14:textId="3418F0D8" w:rsidR="00253FD2" w:rsidRDefault="00253FD2" w:rsidP="007E0AAB">
      <w:pPr>
        <w:widowControl/>
        <w:autoSpaceDE/>
        <w:autoSpaceDN/>
        <w:adjustRightInd/>
        <w:contextualSpacing/>
        <w:rPr>
          <w:rFonts w:asciiTheme="minorHAnsi" w:hAnsiTheme="minorHAnsi" w:cstheme="minorHAnsi"/>
        </w:rPr>
      </w:pPr>
    </w:p>
    <w:p w14:paraId="5B9F8CB9" w14:textId="00499C25" w:rsidR="1E8FD191" w:rsidRDefault="1E8FD191" w:rsidP="1E8FD191">
      <w:pPr>
        <w:widowControl/>
        <w:contextualSpacing/>
        <w:rPr>
          <w:rFonts w:asciiTheme="minorHAnsi" w:hAnsiTheme="minorHAnsi" w:cstheme="minorBidi"/>
          <w:b/>
          <w:bCs/>
        </w:rPr>
      </w:pPr>
    </w:p>
    <w:p w14:paraId="176A5A02" w14:textId="77777777" w:rsidR="00E62209" w:rsidRDefault="00E62209" w:rsidP="1E8FD191">
      <w:pPr>
        <w:widowControl/>
        <w:contextualSpacing/>
        <w:rPr>
          <w:rFonts w:asciiTheme="minorHAnsi" w:hAnsiTheme="minorHAnsi" w:cstheme="minorBidi"/>
          <w:b/>
          <w:bCs/>
        </w:rPr>
      </w:pPr>
    </w:p>
    <w:p w14:paraId="68D77109" w14:textId="77777777" w:rsidR="00E62209" w:rsidRDefault="00E62209" w:rsidP="1E8FD191">
      <w:pPr>
        <w:widowControl/>
        <w:contextualSpacing/>
        <w:rPr>
          <w:rFonts w:asciiTheme="minorHAnsi" w:hAnsiTheme="minorHAnsi" w:cstheme="minorBidi"/>
          <w:b/>
          <w:bCs/>
        </w:rPr>
      </w:pPr>
    </w:p>
    <w:p w14:paraId="3D56F631" w14:textId="77777777" w:rsidR="00E62209" w:rsidRDefault="00E62209" w:rsidP="1E8FD191">
      <w:pPr>
        <w:widowControl/>
        <w:contextualSpacing/>
        <w:rPr>
          <w:rFonts w:asciiTheme="minorHAnsi" w:hAnsiTheme="minorHAnsi" w:cstheme="minorBidi"/>
          <w:b/>
          <w:bCs/>
        </w:rPr>
      </w:pPr>
    </w:p>
    <w:p w14:paraId="580AF3B9" w14:textId="77777777" w:rsidR="00E62209" w:rsidRDefault="00E62209" w:rsidP="1E8FD191">
      <w:pPr>
        <w:widowControl/>
        <w:contextualSpacing/>
        <w:rPr>
          <w:rFonts w:asciiTheme="minorHAnsi" w:hAnsiTheme="minorHAnsi" w:cstheme="minorBidi"/>
          <w:b/>
          <w:bCs/>
        </w:rPr>
      </w:pPr>
    </w:p>
    <w:p w14:paraId="7FF5B62A" w14:textId="77777777" w:rsidR="009C622A" w:rsidRPr="0040138C" w:rsidRDefault="009C622A" w:rsidP="007E0AAB">
      <w:pPr>
        <w:widowControl/>
        <w:autoSpaceDE/>
        <w:autoSpaceDN/>
        <w:adjustRightInd/>
        <w:contextualSpacing/>
        <w:rPr>
          <w:rFonts w:asciiTheme="minorHAnsi" w:hAnsiTheme="minorHAnsi" w:cstheme="minorHAnsi"/>
          <w:b/>
        </w:rPr>
      </w:pPr>
      <w:r w:rsidRPr="0040138C">
        <w:rPr>
          <w:rFonts w:asciiTheme="minorHAnsi" w:hAnsiTheme="minorHAnsi" w:cstheme="minorHAnsi"/>
          <w:b/>
        </w:rPr>
        <w:t>New Issues</w:t>
      </w:r>
    </w:p>
    <w:p w14:paraId="105A675E" w14:textId="77777777" w:rsidR="009C622A" w:rsidRPr="009C622A" w:rsidRDefault="009C622A" w:rsidP="007E0AAB">
      <w:pPr>
        <w:widowControl/>
        <w:autoSpaceDE/>
        <w:autoSpaceDN/>
        <w:adjustRightInd/>
        <w:rPr>
          <w:rFonts w:asciiTheme="minorHAnsi" w:hAnsiTheme="minorHAnsi" w:cstheme="minorHAnsi"/>
          <w:iCs/>
          <w:highlight w:val="yellow"/>
        </w:rPr>
      </w:pPr>
    </w:p>
    <w:p w14:paraId="12A3576F" w14:textId="6982BA2E" w:rsidR="00DE593C" w:rsidRPr="009D387E" w:rsidRDefault="2FE884DD" w:rsidP="4E97E92A">
      <w:pPr>
        <w:widowControl/>
        <w:spacing w:line="259" w:lineRule="auto"/>
        <w:contextualSpacing/>
        <w:rPr>
          <w:rFonts w:asciiTheme="minorHAnsi" w:hAnsiTheme="minorHAnsi" w:cstheme="minorBidi"/>
        </w:rPr>
      </w:pPr>
      <w:r w:rsidRPr="4E97E92A">
        <w:rPr>
          <w:rFonts w:asciiTheme="minorHAnsi" w:eastAsia="Calibri" w:hAnsiTheme="minorHAnsi" w:cstheme="minorBidi"/>
          <w:color w:val="000000" w:themeColor="text1"/>
        </w:rPr>
        <w:t>Cal/OSHA is form</w:t>
      </w:r>
      <w:r w:rsidR="3C2170B0" w:rsidRPr="4E97E92A">
        <w:rPr>
          <w:rFonts w:asciiTheme="minorHAnsi" w:eastAsia="Calibri" w:hAnsiTheme="minorHAnsi" w:cstheme="minorBidi"/>
          <w:color w:val="000000" w:themeColor="text1"/>
        </w:rPr>
        <w:t xml:space="preserve">ing </w:t>
      </w:r>
      <w:r w:rsidRPr="4E97E92A">
        <w:rPr>
          <w:rFonts w:asciiTheme="minorHAnsi" w:eastAsia="Calibri" w:hAnsiTheme="minorHAnsi" w:cstheme="minorBidi"/>
          <w:color w:val="000000" w:themeColor="text1"/>
        </w:rPr>
        <w:t xml:space="preserve">and </w:t>
      </w:r>
      <w:r w:rsidR="3C2170B0" w:rsidRPr="4E97E92A">
        <w:rPr>
          <w:rFonts w:asciiTheme="minorHAnsi" w:eastAsia="Calibri" w:hAnsiTheme="minorHAnsi" w:cstheme="minorBidi"/>
          <w:color w:val="000000" w:themeColor="text1"/>
        </w:rPr>
        <w:t>staffing</w:t>
      </w:r>
      <w:r w:rsidRPr="4E97E92A">
        <w:rPr>
          <w:rFonts w:asciiTheme="minorHAnsi" w:eastAsia="Calibri" w:hAnsiTheme="minorHAnsi" w:cstheme="minorBidi"/>
          <w:color w:val="000000" w:themeColor="text1"/>
        </w:rPr>
        <w:t xml:space="preserve"> a new Agricultural Enforcement Task Force and Outreach Unit </w:t>
      </w:r>
      <w:r w:rsidR="7E18CE41" w:rsidRPr="4E97E92A">
        <w:rPr>
          <w:rFonts w:asciiTheme="minorHAnsi" w:eastAsia="Calibri" w:hAnsiTheme="minorHAnsi" w:cstheme="minorBidi"/>
          <w:color w:val="000000" w:themeColor="text1"/>
        </w:rPr>
        <w:t>(</w:t>
      </w:r>
      <w:r w:rsidRPr="4E97E92A">
        <w:rPr>
          <w:rFonts w:asciiTheme="minorHAnsi" w:eastAsia="Calibri" w:hAnsiTheme="minorHAnsi" w:cstheme="minorBidi"/>
          <w:color w:val="000000" w:themeColor="text1"/>
        </w:rPr>
        <w:t>AETFO</w:t>
      </w:r>
      <w:r w:rsidR="34187E3C" w:rsidRPr="4E97E92A">
        <w:rPr>
          <w:rFonts w:asciiTheme="minorHAnsi" w:eastAsia="Calibri" w:hAnsiTheme="minorHAnsi" w:cstheme="minorBidi"/>
          <w:color w:val="000000" w:themeColor="text1"/>
        </w:rPr>
        <w:t>)</w:t>
      </w:r>
      <w:r w:rsidR="003863F2" w:rsidRPr="4E97E92A">
        <w:rPr>
          <w:rFonts w:asciiTheme="minorHAnsi" w:eastAsia="Calibri" w:hAnsiTheme="minorHAnsi" w:cstheme="minorBidi"/>
          <w:color w:val="000000" w:themeColor="text1"/>
        </w:rPr>
        <w:t xml:space="preserve"> with</w:t>
      </w:r>
      <w:r w:rsidRPr="4E97E92A">
        <w:rPr>
          <w:rFonts w:asciiTheme="minorHAnsi" w:eastAsia="Calibri" w:hAnsiTheme="minorHAnsi" w:cstheme="minorBidi"/>
          <w:color w:val="000000" w:themeColor="text1"/>
        </w:rPr>
        <w:t xml:space="preserve"> four new district offices in Lodi, Salinas, Bakersfield and El Centro, along with satellite offices in Merced, Madera, Fresno, Tulare, San Luis Obispo, Santa Barbara, Riverside and San Diego.</w:t>
      </w:r>
      <w:r w:rsidR="5B64FF91" w:rsidRPr="4E97E92A">
        <w:rPr>
          <w:rFonts w:asciiTheme="minorHAnsi" w:hAnsiTheme="minorHAnsi" w:cstheme="minorBidi"/>
        </w:rPr>
        <w:t xml:space="preserve"> </w:t>
      </w:r>
    </w:p>
    <w:p w14:paraId="1F5E0542" w14:textId="77777777" w:rsidR="00DE593C" w:rsidRPr="00DE593C" w:rsidRDefault="00DE593C" w:rsidP="007E0AAB">
      <w:pPr>
        <w:widowControl/>
        <w:autoSpaceDE/>
        <w:autoSpaceDN/>
        <w:adjustRightInd/>
        <w:contextualSpacing/>
        <w:rPr>
          <w:rFonts w:asciiTheme="minorHAnsi" w:hAnsiTheme="minorHAnsi" w:cstheme="minorHAnsi"/>
        </w:rPr>
      </w:pPr>
    </w:p>
    <w:p w14:paraId="48017213" w14:textId="5B02C558" w:rsidR="00B63211" w:rsidRDefault="00B63211" w:rsidP="4E97E92A">
      <w:pPr>
        <w:widowControl/>
        <w:spacing w:line="259" w:lineRule="auto"/>
        <w:rPr>
          <w:rFonts w:asciiTheme="minorHAnsi" w:hAnsiTheme="minorHAnsi" w:cstheme="minorBidi"/>
        </w:rPr>
      </w:pPr>
      <w:r w:rsidRPr="4E97E92A">
        <w:rPr>
          <w:rFonts w:asciiTheme="minorHAnsi" w:hAnsiTheme="minorHAnsi" w:cstheme="minorBidi"/>
        </w:rPr>
        <w:t xml:space="preserve">While </w:t>
      </w:r>
      <w:r w:rsidR="2CBC5EC4" w:rsidRPr="64D1006D">
        <w:rPr>
          <w:rFonts w:asciiTheme="minorHAnsi" w:hAnsiTheme="minorHAnsi" w:cstheme="minorBidi"/>
        </w:rPr>
        <w:t xml:space="preserve">the state of </w:t>
      </w:r>
      <w:r w:rsidRPr="4E97E92A">
        <w:rPr>
          <w:rFonts w:eastAsia="Calibri" w:cs="Calibri"/>
        </w:rPr>
        <w:t>California</w:t>
      </w:r>
      <w:r w:rsidR="00831750" w:rsidRPr="4E97E92A">
        <w:rPr>
          <w:rFonts w:eastAsia="Calibri" w:cs="Calibri"/>
        </w:rPr>
        <w:t xml:space="preserve"> </w:t>
      </w:r>
      <w:r w:rsidRPr="4E97E92A">
        <w:rPr>
          <w:rFonts w:eastAsia="Calibri" w:cs="Calibri"/>
        </w:rPr>
        <w:t xml:space="preserve">has </w:t>
      </w:r>
      <w:r w:rsidRPr="4E97E92A">
        <w:rPr>
          <w:rFonts w:asciiTheme="minorHAnsi" w:hAnsiTheme="minorHAnsi" w:cstheme="minorBidi"/>
        </w:rPr>
        <w:t>many standards that federal OSHA does not have, or has standards that are more stringent than OSHA, the state is not providing OSHA with comparison documents required to confirm this.</w:t>
      </w:r>
      <w:r w:rsidRPr="4E97E92A">
        <w:rPr>
          <w:rFonts w:asciiTheme="minorHAnsi" w:hAnsiTheme="minorHAnsi" w:cstheme="minorBidi"/>
          <w:b/>
          <w:bCs/>
        </w:rPr>
        <w:t xml:space="preserve"> </w:t>
      </w:r>
      <w:r w:rsidRPr="4E97E92A">
        <w:rPr>
          <w:rFonts w:eastAsia="Calibri" w:cs="Calibri"/>
        </w:rPr>
        <w:t xml:space="preserve"> Over the course of several years, the State of California has submitted responses to several Federal Program Changes and Standards changes, collectively known as plan changes, that have not included sufficient information for OSHA to </w:t>
      </w:r>
      <w:r w:rsidR="00831750" w:rsidRPr="4E97E92A">
        <w:rPr>
          <w:rFonts w:eastAsia="Calibri" w:cs="Calibri"/>
        </w:rPr>
        <w:t>determine</w:t>
      </w:r>
      <w:r w:rsidRPr="4E97E92A">
        <w:rPr>
          <w:rFonts w:eastAsia="Calibri" w:cs="Calibri"/>
        </w:rPr>
        <w:t xml:space="preserve"> </w:t>
      </w:r>
      <w:r w:rsidR="003713FD" w:rsidRPr="4E97E92A">
        <w:rPr>
          <w:rFonts w:eastAsia="Calibri" w:cs="Calibri"/>
        </w:rPr>
        <w:t>whether</w:t>
      </w:r>
      <w:r w:rsidRPr="4E97E92A">
        <w:rPr>
          <w:rFonts w:eastAsia="Calibri" w:cs="Calibri"/>
        </w:rPr>
        <w:t xml:space="preserve"> the state’s standards, policies, and procedures are at least as effective (</w:t>
      </w:r>
      <w:r w:rsidR="00A34911" w:rsidRPr="4E97E92A">
        <w:rPr>
          <w:rFonts w:eastAsia="Calibri" w:cs="Calibri"/>
        </w:rPr>
        <w:t>AL</w:t>
      </w:r>
      <w:r w:rsidR="00A34911">
        <w:rPr>
          <w:rFonts w:eastAsia="Calibri" w:cs="Calibri"/>
        </w:rPr>
        <w:t>AE</w:t>
      </w:r>
      <w:r w:rsidRPr="4E97E92A">
        <w:rPr>
          <w:rFonts w:eastAsia="Calibri" w:cs="Calibri"/>
        </w:rPr>
        <w:t xml:space="preserve">) </w:t>
      </w:r>
      <w:r w:rsidR="00A34911">
        <w:rPr>
          <w:rFonts w:eastAsia="Calibri" w:cs="Calibri"/>
        </w:rPr>
        <w:t xml:space="preserve">as </w:t>
      </w:r>
      <w:r w:rsidRPr="4E97E92A">
        <w:rPr>
          <w:rFonts w:eastAsia="Calibri" w:cs="Calibri"/>
        </w:rPr>
        <w:t xml:space="preserve">the federal equivalent. </w:t>
      </w:r>
      <w:r w:rsidRPr="4E97E92A">
        <w:rPr>
          <w:rFonts w:asciiTheme="minorHAnsi" w:hAnsiTheme="minorHAnsi" w:cstheme="minorBidi"/>
        </w:rPr>
        <w:t xml:space="preserve">California, in general, adopts plan changes not identical to </w:t>
      </w:r>
      <w:r w:rsidR="00A16EAA" w:rsidRPr="4E97E92A">
        <w:rPr>
          <w:rFonts w:asciiTheme="minorHAnsi" w:hAnsiTheme="minorHAnsi" w:cstheme="minorBidi"/>
        </w:rPr>
        <w:t>federal changes</w:t>
      </w:r>
      <w:r w:rsidRPr="4E97E92A">
        <w:rPr>
          <w:rFonts w:asciiTheme="minorHAnsi" w:hAnsiTheme="minorHAnsi" w:cstheme="minorBidi"/>
        </w:rPr>
        <w:t xml:space="preserve">. </w:t>
      </w:r>
      <w:r w:rsidR="1EA6FC8D" w:rsidRPr="4E97E92A">
        <w:rPr>
          <w:rFonts w:asciiTheme="minorHAnsi" w:hAnsiTheme="minorHAnsi" w:cstheme="minorBidi"/>
        </w:rPr>
        <w:t>Wh</w:t>
      </w:r>
      <w:r w:rsidR="6A21FC5D" w:rsidRPr="4E97E92A">
        <w:rPr>
          <w:rFonts w:asciiTheme="minorHAnsi" w:hAnsiTheme="minorHAnsi" w:cstheme="minorBidi"/>
        </w:rPr>
        <w:t>ere</w:t>
      </w:r>
      <w:r w:rsidRPr="4E97E92A">
        <w:rPr>
          <w:rFonts w:asciiTheme="minorHAnsi" w:hAnsiTheme="minorHAnsi" w:cstheme="minorBidi"/>
        </w:rPr>
        <w:t xml:space="preserve"> adoption is required and the state does not adopt an identical change, the state must submit a Plan Change Supplement including an electronic copy of the policy, procedure, or standard as appropriate and a comparison document clearly identifying any differences between the federal and state plan changes. Where equivalency is required, or adoption is encouraged, the state must submit an electronic copy of the state’s policy or standard and identify differences, if any, between its policy and OSHA’s.</w:t>
      </w:r>
    </w:p>
    <w:p w14:paraId="4E6E1DA9" w14:textId="77777777" w:rsidR="00ED67DB" w:rsidRDefault="00ED67DB" w:rsidP="00B63211">
      <w:pPr>
        <w:widowControl/>
        <w:spacing w:line="259" w:lineRule="auto"/>
        <w:rPr>
          <w:rFonts w:asciiTheme="minorHAnsi" w:hAnsiTheme="minorHAnsi" w:cstheme="minorBidi"/>
        </w:rPr>
      </w:pPr>
    </w:p>
    <w:p w14:paraId="1812244F" w14:textId="77777777" w:rsidR="00B63211" w:rsidRDefault="00B63211" w:rsidP="00B63211">
      <w:pPr>
        <w:widowControl/>
        <w:spacing w:line="259" w:lineRule="auto"/>
        <w:rPr>
          <w:rFonts w:asciiTheme="minorHAnsi" w:hAnsiTheme="minorHAnsi" w:cstheme="minorBidi"/>
        </w:rPr>
      </w:pPr>
    </w:p>
    <w:p w14:paraId="0A29FCDE" w14:textId="40051B71" w:rsidR="00054900" w:rsidRPr="00476C08" w:rsidRDefault="00054900" w:rsidP="00B92814">
      <w:pPr>
        <w:pStyle w:val="Heading2"/>
        <w:spacing w:before="0"/>
      </w:pPr>
      <w:bookmarkStart w:id="10" w:name="_Toc118900172"/>
      <w:bookmarkStart w:id="11" w:name="_Toc118905011"/>
      <w:bookmarkStart w:id="12" w:name="_Toc128053008"/>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E0AAB">
      <w:pPr>
        <w:widowControl/>
        <w:autoSpaceDE/>
        <w:autoSpaceDN/>
        <w:adjustRightInd/>
        <w:rPr>
          <w:rFonts w:cs="Calibri"/>
        </w:rPr>
      </w:pPr>
    </w:p>
    <w:p w14:paraId="4CD3C312" w14:textId="2F86DF48" w:rsidR="000A134A" w:rsidRPr="00C53328" w:rsidRDefault="000457F8" w:rsidP="00E1525B">
      <w:pPr>
        <w:pStyle w:val="Heading3"/>
      </w:pPr>
      <w:bookmarkStart w:id="13" w:name="_Toc118900173"/>
      <w:bookmarkStart w:id="14" w:name="_Toc118905012"/>
      <w:r>
        <w:t xml:space="preserve">     </w:t>
      </w:r>
      <w:bookmarkStart w:id="15" w:name="_Toc128053009"/>
      <w:r>
        <w:t xml:space="preserve">A.  </w:t>
      </w:r>
      <w:r w:rsidR="000A134A" w:rsidRPr="00C53328">
        <w:t>Data and Methodology</w:t>
      </w:r>
      <w:bookmarkEnd w:id="13"/>
      <w:bookmarkEnd w:id="14"/>
      <w:bookmarkEnd w:id="15"/>
    </w:p>
    <w:p w14:paraId="72EF69F8" w14:textId="77777777" w:rsidR="000A134A" w:rsidRPr="001C1E47" w:rsidRDefault="000A134A" w:rsidP="007E0AAB">
      <w:pPr>
        <w:widowControl/>
        <w:autoSpaceDE/>
        <w:autoSpaceDN/>
        <w:adjustRightInd/>
        <w:rPr>
          <w:rFonts w:cs="Calibri"/>
          <w:bCs/>
        </w:rPr>
      </w:pPr>
    </w:p>
    <w:p w14:paraId="71135473" w14:textId="01291A3E" w:rsidR="00000517" w:rsidRDefault="00000517" w:rsidP="007E0AAB">
      <w:pPr>
        <w:widowControl/>
        <w:autoSpaceDE/>
        <w:autoSpaceDN/>
        <w:adjustRightInd/>
        <w:rPr>
          <w:rFonts w:cs="Calibri"/>
          <w:bCs/>
        </w:rPr>
      </w:pPr>
      <w:r>
        <w:rPr>
          <w:rFonts w:cs="Calibri"/>
          <w:bCs/>
        </w:rPr>
        <w:t>OSHA has established a two-year cycle for the FAME process.  This is the follow-up year, and as such, 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20E05AA6" w14:textId="77777777" w:rsidR="002C1B71" w:rsidRDefault="002C1B71" w:rsidP="007E0AAB">
      <w:pPr>
        <w:widowControl/>
        <w:autoSpaceDE/>
        <w:autoSpaceDN/>
        <w:adjustRightInd/>
        <w:rPr>
          <w:rFonts w:cs="Calibri"/>
          <w:bCs/>
        </w:rPr>
      </w:pPr>
    </w:p>
    <w:p w14:paraId="0D9BB99D" w14:textId="2EC2B0AF" w:rsidR="00000517" w:rsidRPr="0085505E" w:rsidRDefault="00000517" w:rsidP="007E0AAB">
      <w:pPr>
        <w:pStyle w:val="ListParagraph"/>
        <w:numPr>
          <w:ilvl w:val="0"/>
          <w:numId w:val="14"/>
        </w:numPr>
        <w:spacing w:after="0"/>
        <w:rPr>
          <w:bCs/>
          <w:sz w:val="24"/>
          <w:szCs w:val="24"/>
        </w:rPr>
      </w:pPr>
      <w:r w:rsidRPr="0085505E">
        <w:rPr>
          <w:bCs/>
          <w:sz w:val="24"/>
          <w:szCs w:val="24"/>
        </w:rPr>
        <w:t>State Activity Mandated Measures</w:t>
      </w:r>
      <w:r w:rsidR="000A4423">
        <w:rPr>
          <w:bCs/>
          <w:sz w:val="24"/>
          <w:szCs w:val="24"/>
        </w:rPr>
        <w:t xml:space="preserve"> (SAMM) </w:t>
      </w:r>
      <w:r w:rsidRPr="0085505E">
        <w:rPr>
          <w:bCs/>
          <w:sz w:val="24"/>
          <w:szCs w:val="24"/>
        </w:rPr>
        <w:t>Report</w:t>
      </w:r>
      <w:r w:rsidR="001B721C">
        <w:rPr>
          <w:bCs/>
          <w:sz w:val="24"/>
          <w:szCs w:val="24"/>
        </w:rPr>
        <w:t xml:space="preserve"> </w:t>
      </w:r>
      <w:r w:rsidR="001B721C" w:rsidRPr="001B721C">
        <w:rPr>
          <w:bCs/>
          <w:sz w:val="24"/>
          <w:szCs w:val="24"/>
        </w:rPr>
        <w:t>(Appendix D dated 11/</w:t>
      </w:r>
      <w:r w:rsidR="31C915FC" w:rsidRPr="0E61BA99">
        <w:rPr>
          <w:sz w:val="24"/>
          <w:szCs w:val="24"/>
        </w:rPr>
        <w:t>12</w:t>
      </w:r>
      <w:r w:rsidR="001B721C" w:rsidRPr="001B721C">
        <w:rPr>
          <w:bCs/>
          <w:sz w:val="24"/>
          <w:szCs w:val="24"/>
        </w:rPr>
        <w:t>/202</w:t>
      </w:r>
      <w:r w:rsidR="00B025F4">
        <w:rPr>
          <w:bCs/>
          <w:sz w:val="24"/>
          <w:szCs w:val="24"/>
        </w:rPr>
        <w:t>4</w:t>
      </w:r>
      <w:r w:rsidR="001B721C" w:rsidRPr="001B721C">
        <w:rPr>
          <w:bCs/>
          <w:sz w:val="24"/>
          <w:szCs w:val="24"/>
        </w:rPr>
        <w:t>)</w:t>
      </w:r>
    </w:p>
    <w:p w14:paraId="6FD8B6D8" w14:textId="17DD8E66" w:rsidR="008F3C9A" w:rsidRPr="008F3C9A" w:rsidRDefault="00000517" w:rsidP="007E0AAB">
      <w:pPr>
        <w:pStyle w:val="ListParagraph"/>
        <w:numPr>
          <w:ilvl w:val="0"/>
          <w:numId w:val="14"/>
        </w:numPr>
        <w:spacing w:after="0"/>
        <w:rPr>
          <w:sz w:val="24"/>
          <w:szCs w:val="24"/>
        </w:rPr>
      </w:pPr>
      <w:r w:rsidRPr="55BAC008">
        <w:rPr>
          <w:sz w:val="24"/>
          <w:szCs w:val="24"/>
        </w:rPr>
        <w:t>State Information Report (SIR</w:t>
      </w:r>
      <w:r w:rsidR="003C1A16">
        <w:rPr>
          <w:sz w:val="24"/>
          <w:szCs w:val="24"/>
        </w:rPr>
        <w:t>),</w:t>
      </w:r>
      <w:r w:rsidR="001B721C" w:rsidRPr="55BAC008">
        <w:rPr>
          <w:sz w:val="24"/>
          <w:szCs w:val="24"/>
        </w:rPr>
        <w:t xml:space="preserve"> </w:t>
      </w:r>
      <w:r w:rsidR="003C1A16">
        <w:rPr>
          <w:sz w:val="24"/>
          <w:szCs w:val="24"/>
        </w:rPr>
        <w:t>(</w:t>
      </w:r>
      <w:r w:rsidR="001B721C" w:rsidRPr="55BAC008">
        <w:rPr>
          <w:sz w:val="24"/>
          <w:szCs w:val="24"/>
        </w:rPr>
        <w:t>dated 11/</w:t>
      </w:r>
      <w:r w:rsidR="48EF2BBF" w:rsidRPr="0E61BA99">
        <w:rPr>
          <w:sz w:val="24"/>
          <w:szCs w:val="24"/>
        </w:rPr>
        <w:t>12</w:t>
      </w:r>
      <w:r w:rsidR="001B721C" w:rsidRPr="55BAC008">
        <w:rPr>
          <w:sz w:val="24"/>
          <w:szCs w:val="24"/>
        </w:rPr>
        <w:t>/202</w:t>
      </w:r>
      <w:r w:rsidR="00B025F4" w:rsidRPr="55BAC008">
        <w:rPr>
          <w:sz w:val="24"/>
          <w:szCs w:val="24"/>
        </w:rPr>
        <w:t>4</w:t>
      </w:r>
      <w:r w:rsidRPr="55BAC008">
        <w:rPr>
          <w:sz w:val="24"/>
          <w:szCs w:val="24"/>
        </w:rPr>
        <w:t>)</w:t>
      </w:r>
    </w:p>
    <w:p w14:paraId="0C4B460D" w14:textId="77777777" w:rsidR="00000517" w:rsidRPr="0085505E" w:rsidRDefault="00000517" w:rsidP="007E0AAB">
      <w:pPr>
        <w:pStyle w:val="ListParagraph"/>
        <w:numPr>
          <w:ilvl w:val="0"/>
          <w:numId w:val="14"/>
        </w:numPr>
        <w:spacing w:after="0"/>
        <w:rPr>
          <w:bCs/>
          <w:sz w:val="24"/>
          <w:szCs w:val="24"/>
        </w:rPr>
      </w:pPr>
      <w:r w:rsidRPr="0085505E">
        <w:rPr>
          <w:bCs/>
          <w:sz w:val="24"/>
          <w:szCs w:val="24"/>
        </w:rPr>
        <w:t>State OSHA Annual Report (SOAR)</w:t>
      </w:r>
    </w:p>
    <w:p w14:paraId="3ECB25A8" w14:textId="77777777" w:rsidR="00000517" w:rsidRPr="0085505E" w:rsidRDefault="00000517" w:rsidP="007E0AAB">
      <w:pPr>
        <w:pStyle w:val="ListParagraph"/>
        <w:numPr>
          <w:ilvl w:val="0"/>
          <w:numId w:val="14"/>
        </w:numPr>
        <w:spacing w:after="0"/>
        <w:rPr>
          <w:bCs/>
          <w:sz w:val="24"/>
          <w:szCs w:val="24"/>
        </w:rPr>
      </w:pPr>
      <w:r w:rsidRPr="0085505E">
        <w:rPr>
          <w:bCs/>
          <w:sz w:val="24"/>
          <w:szCs w:val="24"/>
        </w:rPr>
        <w:t>State Plan Annual Performance Plan (APP)</w:t>
      </w:r>
    </w:p>
    <w:p w14:paraId="12707C12" w14:textId="41E267E3" w:rsidR="00000517" w:rsidRPr="0085505E" w:rsidRDefault="00000517" w:rsidP="007E0AAB">
      <w:pPr>
        <w:pStyle w:val="ListParagraph"/>
        <w:numPr>
          <w:ilvl w:val="0"/>
          <w:numId w:val="14"/>
        </w:numPr>
        <w:spacing w:after="0"/>
        <w:rPr>
          <w:bCs/>
          <w:sz w:val="24"/>
          <w:szCs w:val="24"/>
        </w:rPr>
      </w:pPr>
      <w:r w:rsidRPr="0085505E">
        <w:rPr>
          <w:bCs/>
          <w:sz w:val="24"/>
          <w:szCs w:val="24"/>
        </w:rPr>
        <w:t xml:space="preserve">State Plan </w:t>
      </w:r>
      <w:r w:rsidR="001B721C">
        <w:rPr>
          <w:bCs/>
          <w:sz w:val="24"/>
          <w:szCs w:val="24"/>
        </w:rPr>
        <w:t xml:space="preserve">23(g) </w:t>
      </w:r>
      <w:r w:rsidRPr="0085505E">
        <w:rPr>
          <w:bCs/>
          <w:sz w:val="24"/>
          <w:szCs w:val="24"/>
        </w:rPr>
        <w:t>Grant Application</w:t>
      </w:r>
    </w:p>
    <w:p w14:paraId="00547072" w14:textId="5F528920" w:rsidR="00000517" w:rsidRDefault="00000517" w:rsidP="007E0AAB">
      <w:pPr>
        <w:pStyle w:val="ListParagraph"/>
        <w:numPr>
          <w:ilvl w:val="0"/>
          <w:numId w:val="14"/>
        </w:numPr>
        <w:spacing w:after="0"/>
        <w:rPr>
          <w:bCs/>
          <w:sz w:val="24"/>
          <w:szCs w:val="24"/>
        </w:rPr>
      </w:pPr>
      <w:r w:rsidRPr="0085505E">
        <w:rPr>
          <w:bCs/>
          <w:sz w:val="24"/>
          <w:szCs w:val="24"/>
        </w:rPr>
        <w:t>Quarterly monitoring meetings between OSHA and the State Plan</w:t>
      </w:r>
    </w:p>
    <w:p w14:paraId="20A6F14F" w14:textId="5639C9A4" w:rsidR="000A4423" w:rsidRDefault="000A4423" w:rsidP="000A4423">
      <w:pPr>
        <w:pStyle w:val="ListParagraph"/>
        <w:numPr>
          <w:ilvl w:val="0"/>
          <w:numId w:val="14"/>
        </w:numPr>
        <w:spacing w:after="0"/>
        <w:rPr>
          <w:sz w:val="24"/>
          <w:szCs w:val="24"/>
        </w:rPr>
      </w:pPr>
      <w:r>
        <w:rPr>
          <w:sz w:val="24"/>
          <w:szCs w:val="24"/>
        </w:rPr>
        <w:t>Whistleblower Application in the OSHA IT Support System (OITSS)</w:t>
      </w:r>
    </w:p>
    <w:p w14:paraId="01F98082" w14:textId="4C01C1C0" w:rsidR="002872DA" w:rsidRPr="00EB2232" w:rsidRDefault="002872DA" w:rsidP="000A4423">
      <w:pPr>
        <w:pStyle w:val="ListParagraph"/>
        <w:numPr>
          <w:ilvl w:val="0"/>
          <w:numId w:val="14"/>
        </w:numPr>
        <w:spacing w:after="0"/>
        <w:rPr>
          <w:sz w:val="24"/>
          <w:szCs w:val="24"/>
        </w:rPr>
      </w:pPr>
      <w:r>
        <w:rPr>
          <w:sz w:val="24"/>
          <w:szCs w:val="24"/>
        </w:rPr>
        <w:t>State Plan Application (SPA)</w:t>
      </w:r>
    </w:p>
    <w:p w14:paraId="6A3E994C" w14:textId="51DF9221" w:rsidR="00451316" w:rsidRDefault="00451316" w:rsidP="007E0AAB">
      <w:pPr>
        <w:pStyle w:val="ListParagraph"/>
        <w:numPr>
          <w:ilvl w:val="0"/>
          <w:numId w:val="14"/>
        </w:numPr>
        <w:spacing w:after="0"/>
        <w:rPr>
          <w:bCs/>
          <w:sz w:val="24"/>
          <w:szCs w:val="24"/>
        </w:rPr>
      </w:pPr>
      <w:r>
        <w:rPr>
          <w:bCs/>
          <w:sz w:val="24"/>
          <w:szCs w:val="24"/>
        </w:rPr>
        <w:t xml:space="preserve">OSHA Information System </w:t>
      </w:r>
      <w:r w:rsidR="009F7B0B">
        <w:rPr>
          <w:bCs/>
          <w:sz w:val="24"/>
          <w:szCs w:val="24"/>
        </w:rPr>
        <w:t xml:space="preserve">(OIS) </w:t>
      </w:r>
      <w:r>
        <w:rPr>
          <w:bCs/>
          <w:sz w:val="24"/>
          <w:szCs w:val="24"/>
        </w:rPr>
        <w:t>reports</w:t>
      </w:r>
    </w:p>
    <w:p w14:paraId="4548D041" w14:textId="77777777" w:rsidR="00A34911" w:rsidRPr="0085505E" w:rsidRDefault="00A34911" w:rsidP="00A34911">
      <w:pPr>
        <w:pStyle w:val="ListParagraph"/>
        <w:spacing w:after="0"/>
        <w:rPr>
          <w:bCs/>
          <w:sz w:val="24"/>
          <w:szCs w:val="24"/>
        </w:rPr>
      </w:pPr>
    </w:p>
    <w:p w14:paraId="5E67DDEC" w14:textId="6D7A76A1" w:rsidR="000A134A" w:rsidRPr="001C1E47" w:rsidRDefault="00775D0F" w:rsidP="00E1525B">
      <w:pPr>
        <w:pStyle w:val="Heading3"/>
      </w:pPr>
      <w:bookmarkStart w:id="16" w:name="_Toc118900174"/>
      <w:bookmarkStart w:id="17" w:name="_Toc118905013"/>
      <w:r>
        <w:t xml:space="preserve">     </w:t>
      </w:r>
      <w:bookmarkStart w:id="18" w:name="_Toc128053010"/>
      <w:r>
        <w:t xml:space="preserve">B.  </w:t>
      </w:r>
      <w:r w:rsidR="000A134A" w:rsidRPr="001C1E47">
        <w:t>Findings and Observations</w:t>
      </w:r>
      <w:bookmarkEnd w:id="16"/>
      <w:bookmarkEnd w:id="17"/>
      <w:bookmarkEnd w:id="18"/>
    </w:p>
    <w:p w14:paraId="51B991F5" w14:textId="1A6C3B68" w:rsidR="000A134A" w:rsidRDefault="000A134A" w:rsidP="007E0AAB">
      <w:pPr>
        <w:widowControl/>
        <w:autoSpaceDE/>
        <w:autoSpaceDN/>
        <w:adjustRightInd/>
        <w:rPr>
          <w:rFonts w:cs="Calibri"/>
        </w:rPr>
      </w:pPr>
    </w:p>
    <w:p w14:paraId="541B3DDF" w14:textId="77777777" w:rsidR="003C481E" w:rsidRPr="0056186C" w:rsidRDefault="003C481E" w:rsidP="0056186C">
      <w:pPr>
        <w:rPr>
          <w:b/>
          <w:highlight w:val="yellow"/>
        </w:rPr>
      </w:pPr>
      <w:r w:rsidRPr="0056186C">
        <w:rPr>
          <w:b/>
        </w:rPr>
        <w:t>Findings (Status of Previous and New Items)</w:t>
      </w:r>
    </w:p>
    <w:p w14:paraId="3421695B" w14:textId="77777777" w:rsidR="003C481E" w:rsidRPr="0056186C" w:rsidRDefault="003C481E" w:rsidP="0056186C">
      <w:pPr>
        <w:rPr>
          <w:rFonts w:cs="Calibri"/>
          <w:b/>
          <w:highlight w:val="yellow"/>
          <w:u w:val="single"/>
        </w:rPr>
      </w:pPr>
    </w:p>
    <w:p w14:paraId="452FC166" w14:textId="133B91C5" w:rsidR="003C481E" w:rsidRPr="001C1E47" w:rsidRDefault="003C481E" w:rsidP="007E0AAB">
      <w:pPr>
        <w:widowControl/>
        <w:autoSpaceDE/>
        <w:autoSpaceDN/>
        <w:adjustRightInd/>
        <w:rPr>
          <w:rFonts w:cs="Calibri"/>
        </w:rPr>
      </w:pPr>
      <w:r w:rsidRPr="691926B5">
        <w:rPr>
          <w:rFonts w:cs="Calibri"/>
        </w:rPr>
        <w:t xml:space="preserve">This follow-up FAME report contains </w:t>
      </w:r>
      <w:r w:rsidR="5C959675" w:rsidRPr="691926B5">
        <w:rPr>
          <w:rFonts w:cs="Calibri"/>
        </w:rPr>
        <w:t xml:space="preserve">five </w:t>
      </w:r>
      <w:r w:rsidRPr="691926B5">
        <w:rPr>
          <w:rFonts w:cs="Calibri"/>
        </w:rPr>
        <w:t xml:space="preserve">findings and </w:t>
      </w:r>
      <w:r w:rsidR="12DCCACE" w:rsidRPr="691926B5">
        <w:rPr>
          <w:rFonts w:cs="Calibri"/>
        </w:rPr>
        <w:t xml:space="preserve">one </w:t>
      </w:r>
      <w:r w:rsidRPr="691926B5">
        <w:rPr>
          <w:rFonts w:cs="Calibri"/>
        </w:rPr>
        <w:t xml:space="preserve">observation. </w:t>
      </w:r>
      <w:bookmarkStart w:id="19" w:name="_Hlk126930444"/>
      <w:r w:rsidR="00DE5186" w:rsidRPr="691926B5">
        <w:rPr>
          <w:rFonts w:cs="Calibri"/>
        </w:rPr>
        <w:t xml:space="preserve">There were </w:t>
      </w:r>
      <w:r w:rsidR="0F941B26" w:rsidRPr="691926B5">
        <w:rPr>
          <w:rFonts w:cs="Calibri"/>
        </w:rPr>
        <w:t xml:space="preserve">no </w:t>
      </w:r>
      <w:r w:rsidR="00DE5186" w:rsidRPr="691926B5">
        <w:rPr>
          <w:rFonts w:cs="Calibri"/>
        </w:rPr>
        <w:t xml:space="preserve">new findings </w:t>
      </w:r>
      <w:r w:rsidR="00CA5ED3" w:rsidRPr="691926B5">
        <w:rPr>
          <w:rFonts w:cs="Calibri"/>
        </w:rPr>
        <w:t>or</w:t>
      </w:r>
      <w:r w:rsidR="00DE5186" w:rsidRPr="691926B5">
        <w:rPr>
          <w:rFonts w:cs="Calibri"/>
        </w:rPr>
        <w:t xml:space="preserve"> observations.  </w:t>
      </w:r>
      <w:bookmarkEnd w:id="19"/>
      <w:r w:rsidRPr="691926B5">
        <w:rPr>
          <w:rFonts w:cs="Calibri"/>
        </w:rPr>
        <w:t>Appendix A describes the continued findings and recommendations.  Appendix B describes observations subject to continued monitoring and the related federal monitoring plan.  Appendix C describes the status of each FY 202</w:t>
      </w:r>
      <w:r w:rsidR="00855D55" w:rsidRPr="691926B5">
        <w:rPr>
          <w:rFonts w:cs="Calibri"/>
        </w:rPr>
        <w:t>3</w:t>
      </w:r>
      <w:r w:rsidRPr="691926B5">
        <w:rPr>
          <w:rFonts w:cs="Calibri"/>
        </w:rPr>
        <w:t xml:space="preserve"> finding and recommendation in detail.</w:t>
      </w:r>
    </w:p>
    <w:p w14:paraId="30E3FDED" w14:textId="68BEDAD0" w:rsidR="00667656" w:rsidRDefault="00667656" w:rsidP="007E0AAB">
      <w:pPr>
        <w:widowControl/>
        <w:autoSpaceDE/>
        <w:autoSpaceDN/>
        <w:adjustRightInd/>
        <w:rPr>
          <w:rFonts w:cs="Calibri"/>
          <w:bCs/>
          <w:iCs/>
          <w:color w:val="0070C0"/>
        </w:rPr>
      </w:pPr>
    </w:p>
    <w:p w14:paraId="7C7C2ABD" w14:textId="77777777" w:rsidR="00CB57AE" w:rsidRDefault="00CB57AE" w:rsidP="00CB57AE">
      <w:pPr>
        <w:widowControl/>
        <w:autoSpaceDE/>
        <w:autoSpaceDN/>
        <w:adjustRightInd/>
        <w:rPr>
          <w:rFonts w:cs="Calibri"/>
          <w:b/>
          <w:bCs/>
        </w:rPr>
      </w:pPr>
      <w:r>
        <w:rPr>
          <w:rFonts w:cs="Calibri"/>
          <w:b/>
          <w:bCs/>
        </w:rPr>
        <w:t>Completed Findings</w:t>
      </w:r>
    </w:p>
    <w:p w14:paraId="42807F95" w14:textId="77777777" w:rsidR="00CB57AE" w:rsidRDefault="00CB57AE" w:rsidP="00CB57AE">
      <w:pPr>
        <w:widowControl/>
        <w:autoSpaceDE/>
        <w:autoSpaceDN/>
        <w:adjustRightInd/>
        <w:rPr>
          <w:rFonts w:cs="Calibri"/>
          <w:b/>
          <w:bCs/>
        </w:rPr>
      </w:pPr>
    </w:p>
    <w:p w14:paraId="283D3BB8" w14:textId="0B9A3D0C" w:rsidR="001A23C1" w:rsidRDefault="18A463CD" w:rsidP="0E61BA99">
      <w:pPr>
        <w:widowControl/>
        <w:rPr>
          <w:rFonts w:eastAsia="Calibri" w:cs="Calibri"/>
        </w:rPr>
      </w:pPr>
      <w:r w:rsidRPr="6E5B07DA">
        <w:rPr>
          <w:rFonts w:cs="Calibri"/>
        </w:rPr>
        <w:t>No findings were completed in FY 202</w:t>
      </w:r>
      <w:r w:rsidR="76C75CB3" w:rsidRPr="2A1E0110">
        <w:rPr>
          <w:rFonts w:cs="Calibri"/>
        </w:rPr>
        <w:t>4</w:t>
      </w:r>
      <w:r w:rsidRPr="6E5B07DA">
        <w:rPr>
          <w:rFonts w:cs="Calibri"/>
        </w:rPr>
        <w:t xml:space="preserve">. </w:t>
      </w:r>
    </w:p>
    <w:p w14:paraId="4898FF61" w14:textId="4E5C4557" w:rsidR="001A23C1" w:rsidRDefault="001A23C1" w:rsidP="2A1E0110">
      <w:pPr>
        <w:rPr>
          <w:b/>
          <w:bCs/>
        </w:rPr>
      </w:pPr>
    </w:p>
    <w:p w14:paraId="0D431C36" w14:textId="77777777" w:rsidR="00601172" w:rsidRDefault="00601172" w:rsidP="00601172">
      <w:pPr>
        <w:rPr>
          <w:b/>
        </w:rPr>
      </w:pPr>
      <w:r w:rsidRPr="0056186C">
        <w:rPr>
          <w:b/>
        </w:rPr>
        <w:t xml:space="preserve">Continued Findings  </w:t>
      </w:r>
    </w:p>
    <w:p w14:paraId="629DEC14" w14:textId="77777777" w:rsidR="00601172" w:rsidRPr="0056186C" w:rsidRDefault="00601172" w:rsidP="00601172">
      <w:pPr>
        <w:rPr>
          <w:b/>
          <w:highlight w:val="yellow"/>
        </w:rPr>
      </w:pPr>
    </w:p>
    <w:p w14:paraId="7067E698" w14:textId="7EBE22FC" w:rsidR="231414CF" w:rsidRDefault="231414CF" w:rsidP="691926B5">
      <w:pPr>
        <w:widowControl/>
        <w:rPr>
          <w:rFonts w:asciiTheme="minorHAnsi" w:hAnsiTheme="minorHAnsi" w:cstheme="minorBidi"/>
        </w:rPr>
      </w:pPr>
      <w:r w:rsidRPr="691926B5">
        <w:rPr>
          <w:rFonts w:asciiTheme="minorHAnsi" w:hAnsiTheme="minorHAnsi" w:cstheme="minorBidi"/>
          <w:b/>
          <w:bCs/>
        </w:rPr>
        <w:t xml:space="preserve">Finding </w:t>
      </w:r>
      <w:r w:rsidRPr="691926B5">
        <w:rPr>
          <w:rFonts w:asciiTheme="minorHAnsi" w:eastAsia="Calibri" w:hAnsiTheme="minorHAnsi" w:cstheme="minorBidi"/>
          <w:b/>
          <w:bCs/>
        </w:rPr>
        <w:t>FY 2024-01 (</w:t>
      </w:r>
      <w:r w:rsidRPr="691926B5">
        <w:rPr>
          <w:rFonts w:asciiTheme="minorHAnsi" w:hAnsiTheme="minorHAnsi" w:cstheme="minorBidi"/>
          <w:b/>
          <w:bCs/>
        </w:rPr>
        <w:t>FY2023-01):</w:t>
      </w:r>
      <w:r w:rsidRPr="691926B5">
        <w:rPr>
          <w:rFonts w:asciiTheme="minorHAnsi" w:hAnsiTheme="minorHAnsi" w:cstheme="minorBidi"/>
        </w:rPr>
        <w:t xml:space="preserve">   The average number of serious, willful, repeat, or unclassified (SWRU) violations issued was 0.67 (SAMM 5a) violations per inspection. This was below the lower end of the </w:t>
      </w:r>
      <w:r w:rsidR="00A37323">
        <w:rPr>
          <w:rFonts w:asciiTheme="minorHAnsi" w:hAnsiTheme="minorHAnsi" w:cstheme="minorBidi"/>
        </w:rPr>
        <w:t>Further Review Level (</w:t>
      </w:r>
      <w:r w:rsidRPr="691926B5">
        <w:rPr>
          <w:rFonts w:asciiTheme="minorHAnsi" w:hAnsiTheme="minorHAnsi" w:cstheme="minorBidi"/>
        </w:rPr>
        <w:t>FRL</w:t>
      </w:r>
      <w:r w:rsidR="00A37323">
        <w:rPr>
          <w:rFonts w:asciiTheme="minorHAnsi" w:hAnsiTheme="minorHAnsi" w:cstheme="minorBidi"/>
        </w:rPr>
        <w:t>)</w:t>
      </w:r>
      <w:r w:rsidRPr="691926B5">
        <w:rPr>
          <w:rFonts w:asciiTheme="minorHAnsi" w:hAnsiTheme="minorHAnsi" w:cstheme="minorBidi"/>
        </w:rPr>
        <w:t xml:space="preserve"> range (1.40 violations per inspection).</w:t>
      </w:r>
    </w:p>
    <w:p w14:paraId="5A831984" w14:textId="7E2C1F10" w:rsidR="231414CF" w:rsidRDefault="231414CF" w:rsidP="691926B5">
      <w:pPr>
        <w:widowControl/>
        <w:rPr>
          <w:rFonts w:cs="Calibri"/>
          <w:b/>
          <w:bCs/>
        </w:rPr>
      </w:pPr>
      <w:r w:rsidRPr="691926B5">
        <w:rPr>
          <w:rFonts w:asciiTheme="minorHAnsi" w:hAnsiTheme="minorHAnsi" w:cstheme="minorBidi"/>
          <w:b/>
          <w:bCs/>
        </w:rPr>
        <w:t>Status:</w:t>
      </w:r>
      <w:r w:rsidRPr="691926B5">
        <w:rPr>
          <w:rFonts w:asciiTheme="minorHAnsi" w:hAnsiTheme="minorHAnsi" w:cstheme="minorBidi"/>
        </w:rPr>
        <w:t xml:space="preserve"> </w:t>
      </w:r>
      <w:r w:rsidR="008A1CC7" w:rsidRPr="008A1CC7">
        <w:rPr>
          <w:rFonts w:asciiTheme="minorHAnsi" w:hAnsiTheme="minorHAnsi" w:cstheme="minorBidi"/>
        </w:rPr>
        <w:t>In FY 2024, according to Appendix D,</w:t>
      </w:r>
      <w:r w:rsidR="00A5387A">
        <w:rPr>
          <w:rFonts w:asciiTheme="minorHAnsi" w:hAnsiTheme="minorHAnsi" w:cstheme="minorBidi"/>
        </w:rPr>
        <w:t xml:space="preserve"> Cal/OSHA</w:t>
      </w:r>
      <w:r w:rsidR="00724AFE">
        <w:rPr>
          <w:rFonts w:asciiTheme="minorHAnsi" w:hAnsiTheme="minorHAnsi" w:cstheme="minorBidi"/>
        </w:rPr>
        <w:t xml:space="preserve">’s </w:t>
      </w:r>
      <w:r w:rsidR="00724AFE" w:rsidRPr="00724AFE">
        <w:rPr>
          <w:rFonts w:asciiTheme="minorHAnsi" w:hAnsiTheme="minorHAnsi" w:cstheme="minorBidi"/>
        </w:rPr>
        <w:t>average number of SWRU violations per inspection rate (SAMM 5a) was</w:t>
      </w:r>
      <w:r w:rsidR="00414582">
        <w:rPr>
          <w:rFonts w:asciiTheme="minorHAnsi" w:hAnsiTheme="minorHAnsi" w:cstheme="minorBidi"/>
        </w:rPr>
        <w:t xml:space="preserve"> </w:t>
      </w:r>
      <w:r w:rsidR="004D574B" w:rsidRPr="004D574B">
        <w:rPr>
          <w:rFonts w:asciiTheme="minorHAnsi" w:hAnsiTheme="minorHAnsi" w:cstheme="minorBidi"/>
        </w:rPr>
        <w:t>0.67</w:t>
      </w:r>
      <w:r w:rsidR="00E74EC1">
        <w:rPr>
          <w:rFonts w:asciiTheme="minorHAnsi" w:hAnsiTheme="minorHAnsi" w:cstheme="minorBidi"/>
        </w:rPr>
        <w:t xml:space="preserve">, the same </w:t>
      </w:r>
      <w:r w:rsidR="000A52DE">
        <w:rPr>
          <w:rFonts w:asciiTheme="minorHAnsi" w:hAnsiTheme="minorHAnsi" w:cstheme="minorBidi"/>
        </w:rPr>
        <w:t xml:space="preserve">rate </w:t>
      </w:r>
      <w:r w:rsidR="001A22C9">
        <w:rPr>
          <w:rFonts w:asciiTheme="minorHAnsi" w:hAnsiTheme="minorHAnsi" w:cstheme="minorBidi"/>
        </w:rPr>
        <w:t xml:space="preserve">as </w:t>
      </w:r>
      <w:r w:rsidR="005340ED" w:rsidRPr="005340ED">
        <w:rPr>
          <w:rFonts w:asciiTheme="minorHAnsi" w:hAnsiTheme="minorHAnsi" w:cstheme="minorBidi"/>
        </w:rPr>
        <w:t>from the previous evaluation period</w:t>
      </w:r>
      <w:r w:rsidR="00EC3622">
        <w:rPr>
          <w:rFonts w:asciiTheme="minorHAnsi" w:hAnsiTheme="minorHAnsi" w:cstheme="minorBidi"/>
        </w:rPr>
        <w:t>.</w:t>
      </w:r>
      <w:r w:rsidR="001A22C9">
        <w:rPr>
          <w:rFonts w:asciiTheme="minorHAnsi" w:hAnsiTheme="minorHAnsi" w:cstheme="minorBidi"/>
        </w:rPr>
        <w:t xml:space="preserve">  </w:t>
      </w:r>
      <w:r w:rsidR="2E0EB508" w:rsidRPr="691926B5">
        <w:rPr>
          <w:rFonts w:asciiTheme="minorHAnsi" w:hAnsiTheme="minorHAnsi" w:cstheme="minorBidi"/>
        </w:rPr>
        <w:t>In prior casefile reviews, OSHA did not f</w:t>
      </w:r>
      <w:r w:rsidR="0076060F">
        <w:rPr>
          <w:rFonts w:asciiTheme="minorHAnsi" w:hAnsiTheme="minorHAnsi" w:cstheme="minorBidi"/>
        </w:rPr>
        <w:t>in</w:t>
      </w:r>
      <w:r w:rsidR="2E0EB508" w:rsidRPr="691926B5">
        <w:rPr>
          <w:rFonts w:asciiTheme="minorHAnsi" w:hAnsiTheme="minorHAnsi" w:cstheme="minorBidi"/>
        </w:rPr>
        <w:t xml:space="preserve">d evidence of misclassification of hazards. </w:t>
      </w:r>
      <w:r w:rsidR="2E0EB508" w:rsidRPr="691926B5">
        <w:rPr>
          <w:rFonts w:cs="Calibri"/>
        </w:rPr>
        <w:t>A case file review is necessary to gather the facts needed to evaluate progress on this finding.  This finding will be a focus of next year’s on-site case file review during the FY 2025 comprehensive FAME.  This finding will be continued.</w:t>
      </w:r>
    </w:p>
    <w:p w14:paraId="20474031" w14:textId="381DCF0B" w:rsidR="691926B5" w:rsidRDefault="691926B5" w:rsidP="691926B5">
      <w:pPr>
        <w:widowControl/>
        <w:rPr>
          <w:rFonts w:asciiTheme="minorHAnsi" w:hAnsiTheme="minorHAnsi" w:cstheme="minorBidi"/>
          <w:b/>
          <w:bCs/>
        </w:rPr>
      </w:pPr>
    </w:p>
    <w:p w14:paraId="5F769866" w14:textId="2EBE1093" w:rsidR="00601172" w:rsidRPr="00DA1AC4" w:rsidRDefault="00601172" w:rsidP="691926B5">
      <w:pPr>
        <w:widowControl/>
        <w:autoSpaceDE/>
        <w:autoSpaceDN/>
        <w:adjustRightInd/>
        <w:rPr>
          <w:rFonts w:asciiTheme="minorHAnsi" w:hAnsiTheme="minorHAnsi" w:cstheme="minorBidi"/>
        </w:rPr>
      </w:pPr>
      <w:r w:rsidRPr="691926B5">
        <w:rPr>
          <w:rFonts w:asciiTheme="minorHAnsi" w:hAnsiTheme="minorHAnsi" w:cstheme="minorBidi"/>
          <w:b/>
          <w:bCs/>
        </w:rPr>
        <w:t xml:space="preserve">Finding </w:t>
      </w:r>
      <w:r w:rsidRPr="691926B5">
        <w:rPr>
          <w:rFonts w:asciiTheme="minorHAnsi" w:eastAsia="Calibri" w:hAnsiTheme="minorHAnsi" w:cstheme="minorBidi"/>
          <w:b/>
          <w:bCs/>
        </w:rPr>
        <w:t>FY 2024-0</w:t>
      </w:r>
      <w:r w:rsidR="0B19D378" w:rsidRPr="691926B5">
        <w:rPr>
          <w:rFonts w:asciiTheme="minorHAnsi" w:eastAsia="Calibri" w:hAnsiTheme="minorHAnsi" w:cstheme="minorBidi"/>
          <w:b/>
          <w:bCs/>
        </w:rPr>
        <w:t>2</w:t>
      </w:r>
      <w:r w:rsidRPr="691926B5">
        <w:rPr>
          <w:rFonts w:asciiTheme="minorHAnsi" w:eastAsia="Calibri" w:hAnsiTheme="minorHAnsi" w:cstheme="minorBidi"/>
          <w:b/>
          <w:bCs/>
        </w:rPr>
        <w:t xml:space="preserve"> (</w:t>
      </w:r>
      <w:r>
        <w:rPr>
          <w:rStyle w:val="normaltextrun"/>
          <w:rFonts w:cs="Calibri"/>
          <w:b/>
          <w:bCs/>
          <w:color w:val="000000"/>
          <w:shd w:val="clear" w:color="auto" w:fill="FFFFFF"/>
        </w:rPr>
        <w:t>FY 2023-03)</w:t>
      </w:r>
      <w:r w:rsidRPr="691926B5">
        <w:rPr>
          <w:rFonts w:asciiTheme="minorHAnsi" w:hAnsiTheme="minorHAnsi" w:cstheme="minorBidi"/>
          <w:b/>
          <w:bCs/>
        </w:rPr>
        <w:t>:</w:t>
      </w:r>
      <w:r w:rsidRPr="691926B5">
        <w:rPr>
          <w:rFonts w:asciiTheme="minorHAnsi" w:hAnsiTheme="minorHAnsi" w:cstheme="minorBidi"/>
        </w:rPr>
        <w:t xml:space="preserve">   In FY</w:t>
      </w:r>
      <w:r w:rsidR="0003386B">
        <w:rPr>
          <w:rFonts w:asciiTheme="minorHAnsi" w:hAnsiTheme="minorHAnsi" w:cstheme="minorBidi"/>
        </w:rPr>
        <w:t xml:space="preserve"> </w:t>
      </w:r>
      <w:r w:rsidRPr="691926B5">
        <w:rPr>
          <w:rFonts w:asciiTheme="minorHAnsi" w:hAnsiTheme="minorHAnsi" w:cstheme="minorBidi"/>
        </w:rPr>
        <w:t>2023, in 20 of 73 (27.3%) case files evaluated where violations were issued, abatement documentation was lacking, including 11 of 28 (39%) cases with abatement noted as corrected during inspection lacked documentation of CSHO observation or verification of abatement.</w:t>
      </w:r>
    </w:p>
    <w:p w14:paraId="63C178CA" w14:textId="77777777" w:rsidR="00601172" w:rsidRPr="00DA1AC4" w:rsidRDefault="00601172" w:rsidP="00601172">
      <w:pPr>
        <w:widowControl/>
        <w:autoSpaceDE/>
        <w:autoSpaceDN/>
        <w:adjustRightInd/>
        <w:rPr>
          <w:rFonts w:cs="Calibri"/>
          <w:b/>
          <w:bCs/>
        </w:rPr>
      </w:pPr>
      <w:r w:rsidRPr="6E5B07DA">
        <w:rPr>
          <w:rFonts w:asciiTheme="minorHAnsi" w:hAnsiTheme="minorHAnsi" w:cstheme="minorBidi"/>
          <w:b/>
          <w:bCs/>
        </w:rPr>
        <w:t xml:space="preserve">Status:  </w:t>
      </w:r>
      <w:r w:rsidRPr="6E5B07DA">
        <w:rPr>
          <w:rFonts w:cs="Calibri"/>
        </w:rPr>
        <w:t>A case file review is necessary to gather the facts needed to evaluate progress on this finding.  This finding will be a focus of next year’s on-site case file review during the FY 2025 comprehensive FAME.  This finding will be continued.</w:t>
      </w:r>
    </w:p>
    <w:p w14:paraId="1043C144" w14:textId="77777777" w:rsidR="00601172" w:rsidRPr="00DA1AC4" w:rsidRDefault="00601172" w:rsidP="00601172">
      <w:pPr>
        <w:widowControl/>
        <w:autoSpaceDE/>
        <w:autoSpaceDN/>
        <w:adjustRightInd/>
        <w:rPr>
          <w:rFonts w:asciiTheme="minorHAnsi" w:hAnsiTheme="minorHAnsi" w:cstheme="minorBidi"/>
          <w:b/>
        </w:rPr>
      </w:pPr>
    </w:p>
    <w:p w14:paraId="125A060D" w14:textId="46F1F680" w:rsidR="00601172" w:rsidRPr="00952CD4" w:rsidRDefault="00601172" w:rsidP="691926B5">
      <w:pPr>
        <w:pStyle w:val="NoSpacing"/>
        <w:spacing w:line="259" w:lineRule="auto"/>
        <w:rPr>
          <w:rFonts w:asciiTheme="minorHAnsi" w:eastAsia="PMingLiU" w:hAnsiTheme="minorHAnsi" w:cstheme="minorBidi"/>
          <w:sz w:val="24"/>
          <w:szCs w:val="24"/>
        </w:rPr>
      </w:pPr>
      <w:r w:rsidRPr="691926B5">
        <w:rPr>
          <w:rFonts w:asciiTheme="minorHAnsi" w:hAnsiTheme="minorHAnsi" w:cstheme="minorBidi"/>
          <w:b/>
          <w:bCs/>
          <w:sz w:val="24"/>
          <w:szCs w:val="24"/>
        </w:rPr>
        <w:t xml:space="preserve">Finding </w:t>
      </w:r>
      <w:r w:rsidRPr="691926B5">
        <w:rPr>
          <w:rFonts w:asciiTheme="minorHAnsi" w:eastAsia="Calibri" w:hAnsiTheme="minorHAnsi" w:cstheme="minorBidi"/>
          <w:b/>
          <w:bCs/>
          <w:sz w:val="24"/>
          <w:szCs w:val="24"/>
        </w:rPr>
        <w:t>FY 202</w:t>
      </w:r>
      <w:r w:rsidRPr="691926B5">
        <w:rPr>
          <w:rFonts w:asciiTheme="minorHAnsi" w:hAnsiTheme="minorHAnsi" w:cstheme="minorBidi"/>
          <w:b/>
          <w:bCs/>
          <w:sz w:val="24"/>
          <w:szCs w:val="24"/>
        </w:rPr>
        <w:t>4</w:t>
      </w:r>
      <w:r w:rsidRPr="691926B5">
        <w:rPr>
          <w:rFonts w:asciiTheme="minorHAnsi" w:eastAsia="Calibri" w:hAnsiTheme="minorHAnsi" w:cstheme="minorBidi"/>
          <w:b/>
          <w:bCs/>
          <w:sz w:val="24"/>
          <w:szCs w:val="24"/>
        </w:rPr>
        <w:t>-0</w:t>
      </w:r>
      <w:r w:rsidR="77855FE0" w:rsidRPr="691926B5">
        <w:rPr>
          <w:rFonts w:asciiTheme="minorHAnsi" w:eastAsia="Calibri" w:hAnsiTheme="minorHAnsi" w:cstheme="minorBidi"/>
          <w:b/>
          <w:bCs/>
          <w:sz w:val="24"/>
          <w:szCs w:val="24"/>
        </w:rPr>
        <w:t>3</w:t>
      </w:r>
      <w:r w:rsidRPr="691926B5">
        <w:rPr>
          <w:rFonts w:asciiTheme="minorHAnsi" w:eastAsia="Calibri" w:hAnsiTheme="minorHAnsi" w:cstheme="minorBidi"/>
          <w:b/>
          <w:bCs/>
          <w:sz w:val="24"/>
          <w:szCs w:val="24"/>
        </w:rPr>
        <w:t xml:space="preserve"> </w:t>
      </w:r>
      <w:r w:rsidRPr="691926B5">
        <w:rPr>
          <w:rFonts w:asciiTheme="minorHAnsi" w:hAnsiTheme="minorHAnsi" w:cstheme="minorBidi"/>
          <w:b/>
          <w:bCs/>
          <w:sz w:val="24"/>
          <w:szCs w:val="24"/>
        </w:rPr>
        <w:t xml:space="preserve">(FY 2023-04):  </w:t>
      </w:r>
      <w:r w:rsidRPr="691926B5">
        <w:rPr>
          <w:rFonts w:asciiTheme="minorHAnsi" w:hAnsiTheme="minorHAnsi" w:cstheme="minorBidi"/>
          <w:sz w:val="24"/>
          <w:szCs w:val="24"/>
        </w:rPr>
        <w:t xml:space="preserve"> OSHSB’s regulations for residential construction fall protection are not at least as effective (ALAE) as OSHA’s regulations, as required by 29 CFR 1953.5(a).</w:t>
      </w:r>
    </w:p>
    <w:p w14:paraId="22A6EAFB" w14:textId="5DB085E8" w:rsidR="00601172" w:rsidRDefault="00601172" w:rsidP="00601172">
      <w:pPr>
        <w:widowControl/>
        <w:rPr>
          <w:rFonts w:asciiTheme="minorHAnsi" w:eastAsiaTheme="minorEastAsia" w:hAnsiTheme="minorHAnsi" w:cstheme="minorBidi"/>
        </w:rPr>
      </w:pPr>
      <w:r w:rsidRPr="1E8FD191">
        <w:rPr>
          <w:rFonts w:asciiTheme="minorHAnsi" w:eastAsiaTheme="minorEastAsia" w:hAnsiTheme="minorHAnsi" w:cstheme="minorBidi"/>
          <w:b/>
          <w:bCs/>
        </w:rPr>
        <w:t xml:space="preserve">Status:  </w:t>
      </w:r>
      <w:r w:rsidRPr="1E8FD191">
        <w:rPr>
          <w:rFonts w:asciiTheme="minorHAnsi" w:eastAsiaTheme="minorEastAsia" w:hAnsiTheme="minorHAnsi" w:cstheme="minorBidi"/>
        </w:rPr>
        <w:t xml:space="preserve">Discussion has continued between OSHA and OSHSB to work towards amending the Construction Safety Orders to ensure they are at least as effective as federal OSHA standards. Phase I of the regulatory proposal is focused on amendments to sections 1671.1, 1716.2, 1730 and 1731. This package has been approved by the Office of Administrative Law (OAL) and filed with Secretary of State. The effective date is July 1, 2025.   OSHSB will next focus on Phase II amendments to sections 1669, 1670, 1671, 1724.  The first Advisory Meeting for Phase II-Fall Protection in Construction to seek stakeholder input </w:t>
      </w:r>
      <w:r w:rsidR="0003386B">
        <w:rPr>
          <w:rFonts w:asciiTheme="minorHAnsi" w:eastAsiaTheme="minorEastAsia" w:hAnsiTheme="minorHAnsi" w:cstheme="minorBidi"/>
        </w:rPr>
        <w:t>was</w:t>
      </w:r>
      <w:r w:rsidRPr="1E8FD191">
        <w:rPr>
          <w:rFonts w:asciiTheme="minorHAnsi" w:eastAsiaTheme="minorEastAsia" w:hAnsiTheme="minorHAnsi" w:cstheme="minorBidi"/>
        </w:rPr>
        <w:t xml:space="preserve"> held in May 2025.</w:t>
      </w:r>
    </w:p>
    <w:p w14:paraId="789152E2" w14:textId="77777777" w:rsidR="00601172" w:rsidRDefault="00601172" w:rsidP="00601172">
      <w:pPr>
        <w:widowControl/>
        <w:autoSpaceDE/>
        <w:autoSpaceDN/>
        <w:adjustRightInd/>
        <w:rPr>
          <w:rFonts w:asciiTheme="minorHAnsi" w:hAnsiTheme="minorHAnsi" w:cstheme="minorBidi"/>
          <w:b/>
          <w:bCs/>
        </w:rPr>
      </w:pPr>
    </w:p>
    <w:p w14:paraId="7A258EAD" w14:textId="74700C2A" w:rsidR="00601172" w:rsidRPr="00476A3F" w:rsidRDefault="00601172" w:rsidP="691926B5">
      <w:pPr>
        <w:widowControl/>
        <w:autoSpaceDE/>
        <w:autoSpaceDN/>
        <w:adjustRightInd/>
        <w:rPr>
          <w:rFonts w:asciiTheme="minorHAnsi" w:hAnsiTheme="minorHAnsi" w:cstheme="minorBidi"/>
        </w:rPr>
      </w:pPr>
      <w:r w:rsidRPr="691926B5">
        <w:rPr>
          <w:rFonts w:asciiTheme="minorHAnsi" w:hAnsiTheme="minorHAnsi" w:cstheme="minorBidi"/>
          <w:b/>
          <w:bCs/>
        </w:rPr>
        <w:t xml:space="preserve">Finding </w:t>
      </w:r>
      <w:r w:rsidRPr="691926B5">
        <w:rPr>
          <w:rFonts w:asciiTheme="minorHAnsi" w:eastAsia="Calibri" w:hAnsiTheme="minorHAnsi" w:cstheme="minorBidi"/>
          <w:b/>
          <w:bCs/>
        </w:rPr>
        <w:t>FY 2024-0</w:t>
      </w:r>
      <w:r w:rsidR="2AA23514" w:rsidRPr="691926B5">
        <w:rPr>
          <w:rFonts w:asciiTheme="minorHAnsi" w:eastAsia="Calibri" w:hAnsiTheme="minorHAnsi" w:cstheme="minorBidi"/>
          <w:b/>
          <w:bCs/>
        </w:rPr>
        <w:t>4</w:t>
      </w:r>
      <w:r w:rsidRPr="691926B5">
        <w:rPr>
          <w:rFonts w:asciiTheme="minorHAnsi" w:eastAsia="Calibri" w:hAnsiTheme="minorHAnsi" w:cstheme="minorBidi"/>
          <w:b/>
          <w:bCs/>
        </w:rPr>
        <w:t xml:space="preserve"> </w:t>
      </w:r>
      <w:r w:rsidRPr="691926B5">
        <w:rPr>
          <w:rFonts w:asciiTheme="minorHAnsi" w:hAnsiTheme="minorHAnsi" w:cstheme="minorBidi"/>
          <w:b/>
          <w:bCs/>
        </w:rPr>
        <w:t xml:space="preserve">(FY 2023-05):   </w:t>
      </w:r>
      <w:r w:rsidRPr="691926B5">
        <w:rPr>
          <w:rFonts w:asciiTheme="minorHAnsi" w:hAnsiTheme="minorHAnsi" w:cstheme="minorBidi"/>
        </w:rPr>
        <w:t>State Plan-initiated rulemaking promulgated standards on commercial diving are not ALAE as OSHA’s standard.</w:t>
      </w:r>
    </w:p>
    <w:p w14:paraId="0DDF7651" w14:textId="3B3A06AE" w:rsidR="00601172" w:rsidRPr="00476A3F" w:rsidRDefault="00601172" w:rsidP="00601172">
      <w:pPr>
        <w:widowControl/>
        <w:autoSpaceDE/>
        <w:autoSpaceDN/>
        <w:adjustRightInd/>
        <w:rPr>
          <w:rFonts w:asciiTheme="minorHAnsi" w:hAnsiTheme="minorHAnsi" w:cstheme="minorBidi"/>
          <w:b/>
          <w:bCs/>
        </w:rPr>
      </w:pPr>
      <w:r w:rsidRPr="6E5B07DA">
        <w:rPr>
          <w:rFonts w:asciiTheme="minorHAnsi" w:hAnsiTheme="minorHAnsi" w:cstheme="minorBidi"/>
          <w:b/>
          <w:bCs/>
        </w:rPr>
        <w:t xml:space="preserve">Status:  </w:t>
      </w:r>
      <w:r w:rsidRPr="6E5B07DA">
        <w:rPr>
          <w:rFonts w:asciiTheme="minorHAnsi" w:hAnsiTheme="minorHAnsi" w:cstheme="minorBidi"/>
        </w:rPr>
        <w:t xml:space="preserve"> There has been no change to the California standards on commercial diving.  Several discussions were held with OSHSB regarding the definition of technical diving and some exceptions that are not at least as effective as the federal commercial diving standards, but rulemaking to address these items has not been initiated.  This finding remains open.</w:t>
      </w:r>
    </w:p>
    <w:p w14:paraId="50CAB174" w14:textId="77777777" w:rsidR="00601172" w:rsidRPr="00476A3F" w:rsidRDefault="00601172" w:rsidP="00601172">
      <w:pPr>
        <w:widowControl/>
        <w:autoSpaceDE/>
        <w:autoSpaceDN/>
        <w:adjustRightInd/>
        <w:rPr>
          <w:rFonts w:asciiTheme="minorHAnsi" w:hAnsiTheme="minorHAnsi" w:cstheme="minorHAnsi"/>
          <w:b/>
          <w:bCs/>
          <w:iCs/>
        </w:rPr>
      </w:pPr>
    </w:p>
    <w:p w14:paraId="0B06998B" w14:textId="2FDAC72E" w:rsidR="00601172" w:rsidRPr="006A6466" w:rsidRDefault="00601172" w:rsidP="691926B5">
      <w:pPr>
        <w:widowControl/>
        <w:autoSpaceDE/>
        <w:autoSpaceDN/>
        <w:adjustRightInd/>
        <w:rPr>
          <w:rFonts w:asciiTheme="minorHAnsi" w:hAnsiTheme="minorHAnsi" w:cstheme="minorBidi"/>
        </w:rPr>
      </w:pPr>
      <w:r w:rsidRPr="691926B5">
        <w:rPr>
          <w:rFonts w:asciiTheme="minorHAnsi" w:hAnsiTheme="minorHAnsi" w:cstheme="minorBidi"/>
          <w:b/>
          <w:bCs/>
        </w:rPr>
        <w:t xml:space="preserve">Finding </w:t>
      </w:r>
      <w:r w:rsidRPr="691926B5">
        <w:rPr>
          <w:rFonts w:asciiTheme="minorHAnsi" w:eastAsia="Calibri" w:hAnsiTheme="minorHAnsi" w:cstheme="minorBidi"/>
          <w:b/>
          <w:bCs/>
        </w:rPr>
        <w:t xml:space="preserve">FY </w:t>
      </w:r>
      <w:r w:rsidRPr="09FED29B">
        <w:rPr>
          <w:rFonts w:asciiTheme="minorHAnsi" w:eastAsia="Calibri" w:hAnsiTheme="minorHAnsi" w:cstheme="minorBidi"/>
          <w:b/>
          <w:bCs/>
        </w:rPr>
        <w:t>202</w:t>
      </w:r>
      <w:r w:rsidR="5FC2A773" w:rsidRPr="09FED29B">
        <w:rPr>
          <w:rFonts w:asciiTheme="minorHAnsi" w:eastAsia="Calibri" w:hAnsiTheme="minorHAnsi" w:cstheme="minorBidi"/>
          <w:b/>
          <w:bCs/>
        </w:rPr>
        <w:t>4</w:t>
      </w:r>
      <w:r w:rsidRPr="691926B5">
        <w:rPr>
          <w:rFonts w:asciiTheme="minorHAnsi" w:eastAsia="Calibri" w:hAnsiTheme="minorHAnsi" w:cstheme="minorBidi"/>
          <w:b/>
          <w:bCs/>
        </w:rPr>
        <w:t>-0</w:t>
      </w:r>
      <w:r w:rsidR="1FDE377C" w:rsidRPr="691926B5">
        <w:rPr>
          <w:rFonts w:asciiTheme="minorHAnsi" w:eastAsia="Calibri" w:hAnsiTheme="minorHAnsi" w:cstheme="minorBidi"/>
          <w:b/>
          <w:bCs/>
        </w:rPr>
        <w:t>5</w:t>
      </w:r>
      <w:r w:rsidRPr="691926B5">
        <w:rPr>
          <w:rFonts w:asciiTheme="minorHAnsi" w:eastAsia="Calibri" w:hAnsiTheme="minorHAnsi" w:cstheme="minorBidi"/>
          <w:b/>
          <w:bCs/>
        </w:rPr>
        <w:t xml:space="preserve"> </w:t>
      </w:r>
      <w:r w:rsidRPr="691926B5">
        <w:rPr>
          <w:rFonts w:asciiTheme="minorHAnsi" w:hAnsiTheme="minorHAnsi" w:cstheme="minorBidi"/>
          <w:b/>
          <w:bCs/>
        </w:rPr>
        <w:t xml:space="preserve">(FY </w:t>
      </w:r>
      <w:r w:rsidRPr="76C53705">
        <w:rPr>
          <w:rFonts w:asciiTheme="minorHAnsi" w:hAnsiTheme="minorHAnsi" w:cstheme="minorBidi"/>
          <w:b/>
          <w:bCs/>
        </w:rPr>
        <w:t>202</w:t>
      </w:r>
      <w:r w:rsidR="6EA91B25" w:rsidRPr="76C53705">
        <w:rPr>
          <w:rFonts w:asciiTheme="minorHAnsi" w:hAnsiTheme="minorHAnsi" w:cstheme="minorBidi"/>
          <w:b/>
          <w:bCs/>
        </w:rPr>
        <w:t>3</w:t>
      </w:r>
      <w:r w:rsidRPr="691926B5">
        <w:rPr>
          <w:rFonts w:asciiTheme="minorHAnsi" w:hAnsiTheme="minorHAnsi" w:cstheme="minorBidi"/>
          <w:b/>
          <w:bCs/>
        </w:rPr>
        <w:t xml:space="preserve">-06):  </w:t>
      </w:r>
      <w:r w:rsidRPr="691926B5">
        <w:rPr>
          <w:rFonts w:asciiTheme="minorHAnsi" w:hAnsiTheme="minorHAnsi" w:cstheme="minorBidi"/>
        </w:rPr>
        <w:t xml:space="preserve"> The State Plan program has not adopted changes at least as effective as the Federal Walking-Working Surfaces standards which became effective January 17, 2017.</w:t>
      </w:r>
    </w:p>
    <w:p w14:paraId="173D1A47" w14:textId="0C4DD524" w:rsidR="00601172" w:rsidRPr="006A6466" w:rsidRDefault="00601172" w:rsidP="00601172">
      <w:pPr>
        <w:widowControl/>
        <w:autoSpaceDE/>
        <w:autoSpaceDN/>
        <w:adjustRightInd/>
        <w:rPr>
          <w:rFonts w:asciiTheme="minorHAnsi" w:hAnsiTheme="minorHAnsi" w:cstheme="minorBidi"/>
        </w:rPr>
      </w:pPr>
      <w:r w:rsidRPr="1E8FD191">
        <w:rPr>
          <w:rFonts w:asciiTheme="minorHAnsi" w:hAnsiTheme="minorHAnsi" w:cstheme="minorBidi"/>
          <w:b/>
          <w:bCs/>
        </w:rPr>
        <w:t xml:space="preserve">Status:  </w:t>
      </w:r>
      <w:r w:rsidRPr="1E8FD191">
        <w:rPr>
          <w:rFonts w:eastAsia="Calibri" w:cs="Calibri"/>
        </w:rPr>
        <w:t>On May 4, 2018, OSHSB staff published a Notice proposing to adopt in segments the Federal walking-working surfaces regulation/incorporate them into California regulations via a Horcher. However, based on comments received this proposal was withdrawn on February 17, 2019. As a result, OSHSB staff has held multiple advisory committee meetings to ensure impacted industry stakeholders provide input and share with our agency possible impact costs. To date, five separate Advisory Committee Meetings have been held (October 2022, Feb 2023, Oct 2023, March 2024 and October 2024</w:t>
      </w:r>
      <w:r>
        <w:rPr>
          <w:rFonts w:eastAsia="Calibri" w:cs="Calibri"/>
        </w:rPr>
        <w:t>)</w:t>
      </w:r>
      <w:r w:rsidRPr="1E8FD191">
        <w:rPr>
          <w:rFonts w:eastAsia="Calibri" w:cs="Calibri"/>
        </w:rPr>
        <w:t xml:space="preserve">.  Formal rulemaking documents will be developed when the </w:t>
      </w:r>
      <w:r w:rsidR="36989E5B" w:rsidRPr="64D1006D">
        <w:rPr>
          <w:rFonts w:eastAsia="Calibri" w:cs="Calibri"/>
        </w:rPr>
        <w:t>Advisory Committee</w:t>
      </w:r>
      <w:r w:rsidRPr="1E8FD191">
        <w:rPr>
          <w:rFonts w:eastAsia="Calibri" w:cs="Calibri"/>
        </w:rPr>
        <w:t xml:space="preserve"> process concludes. The notice is anticipated to be posted January 2027 with an effective date of April </w:t>
      </w:r>
      <w:r w:rsidR="4B384AFC" w:rsidRPr="64D1006D">
        <w:rPr>
          <w:rFonts w:eastAsia="Calibri" w:cs="Calibri"/>
        </w:rPr>
        <w:t>20</w:t>
      </w:r>
      <w:r w:rsidR="63D9926B" w:rsidRPr="64D1006D">
        <w:rPr>
          <w:rFonts w:eastAsia="Calibri" w:cs="Calibri"/>
        </w:rPr>
        <w:t>2</w:t>
      </w:r>
      <w:r w:rsidR="4B384AFC" w:rsidRPr="64D1006D">
        <w:rPr>
          <w:rFonts w:eastAsia="Calibri" w:cs="Calibri"/>
        </w:rPr>
        <w:t>8</w:t>
      </w:r>
      <w:r w:rsidRPr="1E8FD191">
        <w:rPr>
          <w:rFonts w:eastAsia="Calibri" w:cs="Calibri"/>
        </w:rPr>
        <w:t>.</w:t>
      </w:r>
      <w:r w:rsidR="008A418F">
        <w:rPr>
          <w:rFonts w:eastAsia="Calibri" w:cs="Calibri"/>
        </w:rPr>
        <w:t xml:space="preserve"> This finding </w:t>
      </w:r>
      <w:r w:rsidR="0003386B">
        <w:rPr>
          <w:rFonts w:eastAsia="Calibri" w:cs="Calibri"/>
        </w:rPr>
        <w:t>remains open.</w:t>
      </w:r>
    </w:p>
    <w:p w14:paraId="12A16739" w14:textId="77777777" w:rsidR="00601172" w:rsidRDefault="00601172" w:rsidP="2A1E0110">
      <w:pPr>
        <w:rPr>
          <w:b/>
          <w:bCs/>
        </w:rPr>
      </w:pPr>
    </w:p>
    <w:p w14:paraId="48C365AF" w14:textId="13ED534D" w:rsidR="2FF2F935" w:rsidRDefault="2FF2F935" w:rsidP="2A1E0110">
      <w:pPr>
        <w:rPr>
          <w:b/>
          <w:bCs/>
        </w:rPr>
      </w:pPr>
      <w:r w:rsidRPr="2A1E0110">
        <w:rPr>
          <w:b/>
          <w:bCs/>
        </w:rPr>
        <w:t>Closed Findings</w:t>
      </w:r>
    </w:p>
    <w:p w14:paraId="7E7DE38A" w14:textId="77777777" w:rsidR="00C528FD" w:rsidRDefault="00C528FD" w:rsidP="2A1E0110">
      <w:pPr>
        <w:rPr>
          <w:b/>
          <w:bCs/>
        </w:rPr>
      </w:pPr>
    </w:p>
    <w:p w14:paraId="22C73E46" w14:textId="6B1A8F9E" w:rsidR="00A60C73" w:rsidRPr="00DA1AC4" w:rsidRDefault="00A60C73" w:rsidP="00A60C73">
      <w:pPr>
        <w:widowControl/>
        <w:autoSpaceDE/>
        <w:autoSpaceDN/>
        <w:adjustRightInd/>
        <w:rPr>
          <w:rFonts w:asciiTheme="minorHAnsi" w:hAnsiTheme="minorHAnsi" w:cstheme="minorBidi"/>
          <w:sz w:val="22"/>
          <w:szCs w:val="22"/>
        </w:rPr>
      </w:pPr>
      <w:r w:rsidRPr="6E5B07DA">
        <w:rPr>
          <w:rFonts w:asciiTheme="minorHAnsi" w:hAnsiTheme="minorHAnsi" w:cstheme="minorBidi"/>
          <w:b/>
          <w:bCs/>
          <w:color w:val="000000" w:themeColor="text1"/>
        </w:rPr>
        <w:t>Finding</w:t>
      </w:r>
      <w:r w:rsidRPr="0E61BA99">
        <w:rPr>
          <w:rFonts w:asciiTheme="minorHAnsi" w:eastAsia="Calibri" w:hAnsiTheme="minorHAnsi" w:cstheme="minorBidi"/>
          <w:b/>
          <w:color w:val="000000" w:themeColor="text1"/>
        </w:rPr>
        <w:t xml:space="preserve"> </w:t>
      </w:r>
      <w:r w:rsidRPr="0E61BA99">
        <w:rPr>
          <w:rFonts w:asciiTheme="minorHAnsi" w:eastAsia="Calibri" w:hAnsiTheme="minorHAnsi" w:cstheme="minorBidi"/>
          <w:b/>
        </w:rPr>
        <w:t>FY</w:t>
      </w:r>
      <w:r w:rsidRPr="004551FE">
        <w:rPr>
          <w:rStyle w:val="normaltextrun"/>
          <w:rFonts w:cs="Calibri"/>
          <w:b/>
          <w:bCs/>
          <w:shd w:val="clear" w:color="auto" w:fill="FFFFFF"/>
        </w:rPr>
        <w:t xml:space="preserve"> 202</w:t>
      </w:r>
      <w:r w:rsidRPr="743B5347">
        <w:rPr>
          <w:rStyle w:val="normaltextrun"/>
          <w:rFonts w:cs="Calibri"/>
          <w:b/>
        </w:rPr>
        <w:t>3</w:t>
      </w:r>
      <w:r w:rsidRPr="004551FE">
        <w:rPr>
          <w:rStyle w:val="normaltextrun"/>
          <w:rFonts w:cs="Calibri"/>
          <w:b/>
          <w:bCs/>
          <w:shd w:val="clear" w:color="auto" w:fill="FFFFFF"/>
        </w:rPr>
        <w:t>-02:</w:t>
      </w:r>
      <w:r>
        <w:rPr>
          <w:rStyle w:val="normaltextrun"/>
          <w:rFonts w:cs="Calibri"/>
          <w:b/>
          <w:bCs/>
          <w:color w:val="0070C0"/>
          <w:shd w:val="clear" w:color="auto" w:fill="FFFFFF"/>
        </w:rPr>
        <w:t> </w:t>
      </w:r>
      <w:r w:rsidRPr="6E5B07DA">
        <w:rPr>
          <w:rFonts w:asciiTheme="minorHAnsi" w:hAnsiTheme="minorHAnsi" w:cstheme="minorBidi"/>
          <w:b/>
          <w:bCs/>
          <w:color w:val="0070C0"/>
        </w:rPr>
        <w:t xml:space="preserve"> </w:t>
      </w:r>
      <w:r w:rsidRPr="6E5B07DA">
        <w:rPr>
          <w:rFonts w:asciiTheme="minorHAnsi" w:hAnsiTheme="minorHAnsi" w:cstheme="minorBidi"/>
          <w:sz w:val="22"/>
          <w:szCs w:val="22"/>
        </w:rPr>
        <w:t xml:space="preserve"> </w:t>
      </w:r>
      <w:r w:rsidRPr="00BF6591">
        <w:rPr>
          <w:rFonts w:asciiTheme="minorHAnsi" w:hAnsiTheme="minorHAnsi" w:cstheme="minorHAnsi"/>
        </w:rPr>
        <w:t>Cal/OSHA’s citation lapse time was 78.95 days for safety inspections, above the high end of the FRL range of 66.28.</w:t>
      </w:r>
    </w:p>
    <w:p w14:paraId="1B939F8A" w14:textId="28494996" w:rsidR="00A60C73" w:rsidRPr="00DA1AC4" w:rsidRDefault="00A60C73" w:rsidP="691926B5">
      <w:pPr>
        <w:widowControl/>
        <w:autoSpaceDE/>
        <w:autoSpaceDN/>
        <w:adjustRightInd/>
        <w:rPr>
          <w:rFonts w:asciiTheme="minorHAnsi" w:eastAsia="Calibri" w:hAnsiTheme="minorHAnsi" w:cstheme="minorBidi"/>
        </w:rPr>
      </w:pPr>
      <w:r w:rsidRPr="691926B5">
        <w:rPr>
          <w:rFonts w:asciiTheme="minorHAnsi" w:hAnsiTheme="minorHAnsi" w:cstheme="minorBidi"/>
          <w:b/>
          <w:bCs/>
          <w:color w:val="000000" w:themeColor="text1"/>
        </w:rPr>
        <w:t xml:space="preserve">Status:  </w:t>
      </w:r>
      <w:r w:rsidRPr="691926B5">
        <w:rPr>
          <w:rFonts w:asciiTheme="minorHAnsi" w:hAnsiTheme="minorHAnsi" w:cstheme="minorBidi"/>
        </w:rPr>
        <w:t xml:space="preserve"> </w:t>
      </w:r>
      <w:r w:rsidRPr="00C21C7E">
        <w:rPr>
          <w:rFonts w:asciiTheme="minorHAnsi" w:hAnsiTheme="minorHAnsi" w:cstheme="minorBidi"/>
        </w:rPr>
        <w:t xml:space="preserve">SAMM 11 </w:t>
      </w:r>
      <w:r w:rsidR="007D0911">
        <w:rPr>
          <w:rFonts w:asciiTheme="minorHAnsi" w:hAnsiTheme="minorHAnsi" w:cstheme="minorBidi"/>
        </w:rPr>
        <w:t xml:space="preserve">is a measure that describes the </w:t>
      </w:r>
      <w:r w:rsidR="002A28B9">
        <w:rPr>
          <w:rFonts w:asciiTheme="minorHAnsi" w:hAnsiTheme="minorHAnsi" w:cstheme="minorBidi"/>
        </w:rPr>
        <w:t xml:space="preserve">average amount of time between </w:t>
      </w:r>
      <w:r w:rsidR="00A5066F">
        <w:rPr>
          <w:rFonts w:asciiTheme="minorHAnsi" w:hAnsiTheme="minorHAnsi" w:cstheme="minorBidi"/>
        </w:rPr>
        <w:t xml:space="preserve">the opening conference date and the issuance of a citation, </w:t>
      </w:r>
      <w:r w:rsidR="00B75A35">
        <w:rPr>
          <w:rFonts w:asciiTheme="minorHAnsi" w:hAnsiTheme="minorHAnsi" w:cstheme="minorBidi"/>
        </w:rPr>
        <w:t>which is relevant because citation issuance provides formal notice to the emp</w:t>
      </w:r>
      <w:r w:rsidR="00252DD3">
        <w:rPr>
          <w:rFonts w:asciiTheme="minorHAnsi" w:hAnsiTheme="minorHAnsi" w:cstheme="minorBidi"/>
        </w:rPr>
        <w:t xml:space="preserve">loyer that hazard correction is required. </w:t>
      </w:r>
      <w:r w:rsidRPr="00C21C7E">
        <w:rPr>
          <w:rFonts w:asciiTheme="minorHAnsi" w:hAnsiTheme="minorHAnsi" w:cstheme="minorBidi"/>
        </w:rPr>
        <w:t xml:space="preserve">Cal/OSHA has raised that a </w:t>
      </w:r>
      <w:r w:rsidR="00252DD3">
        <w:rPr>
          <w:rFonts w:asciiTheme="minorHAnsi" w:hAnsiTheme="minorHAnsi" w:cstheme="minorBidi"/>
        </w:rPr>
        <w:t>significant percentage</w:t>
      </w:r>
      <w:r w:rsidRPr="00C21C7E">
        <w:rPr>
          <w:rFonts w:asciiTheme="minorHAnsi" w:hAnsiTheme="minorHAnsi" w:cstheme="minorBidi"/>
        </w:rPr>
        <w:t xml:space="preserve"> of the violations it identified are corrected by employers prior to the issuance of a citation, also known as “corrected during inspection</w:t>
      </w:r>
      <w:r w:rsidR="0003386B">
        <w:rPr>
          <w:rFonts w:asciiTheme="minorHAnsi" w:hAnsiTheme="minorHAnsi" w:cstheme="minorBidi"/>
        </w:rPr>
        <w:t>.</w:t>
      </w:r>
      <w:r w:rsidRPr="00C21C7E">
        <w:rPr>
          <w:rFonts w:asciiTheme="minorHAnsi" w:hAnsiTheme="minorHAnsi" w:cstheme="minorBidi"/>
        </w:rPr>
        <w:t>”</w:t>
      </w:r>
      <w:r w:rsidR="56EB934B" w:rsidRPr="00C21C7E">
        <w:rPr>
          <w:rFonts w:asciiTheme="minorHAnsi" w:hAnsiTheme="minorHAnsi" w:cstheme="minorBidi"/>
        </w:rPr>
        <w:t xml:space="preserve"> </w:t>
      </w:r>
      <w:r w:rsidR="73C798BE" w:rsidRPr="00C21C7E">
        <w:rPr>
          <w:rFonts w:asciiTheme="minorHAnsi" w:hAnsiTheme="minorHAnsi" w:cstheme="minorBidi"/>
        </w:rPr>
        <w:t xml:space="preserve">In FY 2024, a </w:t>
      </w:r>
      <w:r w:rsidR="01BCFC9A" w:rsidRPr="00C21C7E">
        <w:rPr>
          <w:rFonts w:asciiTheme="minorHAnsi" w:hAnsiTheme="minorHAnsi" w:cstheme="minorBidi"/>
        </w:rPr>
        <w:t>total of</w:t>
      </w:r>
      <w:r w:rsidR="56EB934B" w:rsidRPr="00C21C7E">
        <w:rPr>
          <w:rFonts w:asciiTheme="minorHAnsi" w:hAnsiTheme="minorHAnsi" w:cstheme="minorBidi"/>
        </w:rPr>
        <w:t xml:space="preserve"> </w:t>
      </w:r>
      <w:r w:rsidR="56EB934B" w:rsidRPr="00C21C7E">
        <w:rPr>
          <w:rFonts w:eastAsia="Calibri" w:cs="Calibri"/>
        </w:rPr>
        <w:t xml:space="preserve">8,578 </w:t>
      </w:r>
      <w:r w:rsidR="24E0D0AE" w:rsidRPr="00C21C7E">
        <w:rPr>
          <w:rFonts w:eastAsia="Calibri" w:cs="Calibri"/>
        </w:rPr>
        <w:t xml:space="preserve">violations out </w:t>
      </w:r>
      <w:r w:rsidR="56EB934B" w:rsidRPr="00C21C7E">
        <w:rPr>
          <w:rFonts w:eastAsia="Calibri" w:cs="Calibri"/>
        </w:rPr>
        <w:t xml:space="preserve">of 13,410 (64%) </w:t>
      </w:r>
      <w:r w:rsidR="7E7D7BE1" w:rsidRPr="00C21C7E">
        <w:rPr>
          <w:rFonts w:eastAsia="Calibri" w:cs="Calibri"/>
        </w:rPr>
        <w:t xml:space="preserve">were </w:t>
      </w:r>
      <w:r w:rsidR="56EB934B" w:rsidRPr="00C21C7E">
        <w:rPr>
          <w:rFonts w:eastAsia="Calibri" w:cs="Calibri"/>
        </w:rPr>
        <w:t>coded as Corrected During Inspection</w:t>
      </w:r>
      <w:r w:rsidR="129F0E09" w:rsidRPr="00C21C7E">
        <w:rPr>
          <w:rFonts w:eastAsia="Calibri" w:cs="Calibri"/>
        </w:rPr>
        <w:t>,</w:t>
      </w:r>
      <w:r w:rsidRPr="00C21C7E">
        <w:rPr>
          <w:rFonts w:asciiTheme="minorHAnsi" w:hAnsiTheme="minorHAnsi" w:cstheme="minorBidi"/>
        </w:rPr>
        <w:t xml:space="preserve"> </w:t>
      </w:r>
      <w:r w:rsidR="0050272A" w:rsidRPr="00C21C7E">
        <w:rPr>
          <w:rFonts w:asciiTheme="minorHAnsi" w:hAnsiTheme="minorHAnsi" w:cstheme="minorBidi"/>
        </w:rPr>
        <w:t>which was 6</w:t>
      </w:r>
      <w:r w:rsidR="42EC3D3F" w:rsidRPr="00C21C7E">
        <w:rPr>
          <w:rFonts w:asciiTheme="minorHAnsi" w:hAnsiTheme="minorHAnsi" w:cstheme="minorBidi"/>
        </w:rPr>
        <w:t>4</w:t>
      </w:r>
      <w:r w:rsidR="0050272A" w:rsidRPr="00C21C7E">
        <w:rPr>
          <w:rFonts w:asciiTheme="minorHAnsi" w:hAnsiTheme="minorHAnsi" w:cstheme="minorBidi"/>
        </w:rPr>
        <w:t xml:space="preserve">% of </w:t>
      </w:r>
      <w:r w:rsidR="5DADC866" w:rsidRPr="00C21C7E">
        <w:rPr>
          <w:rFonts w:asciiTheme="minorHAnsi" w:hAnsiTheme="minorHAnsi" w:cstheme="minorBidi"/>
        </w:rPr>
        <w:t>all</w:t>
      </w:r>
      <w:r w:rsidR="0050272A" w:rsidRPr="00C21C7E">
        <w:rPr>
          <w:rFonts w:asciiTheme="minorHAnsi" w:hAnsiTheme="minorHAnsi" w:cstheme="minorBidi"/>
        </w:rPr>
        <w:t xml:space="preserve"> violations issued.  </w:t>
      </w:r>
      <w:r w:rsidRPr="00C21C7E">
        <w:rPr>
          <w:rFonts w:asciiTheme="minorHAnsi" w:hAnsiTheme="minorHAnsi" w:cstheme="minorBidi"/>
        </w:rPr>
        <w:t xml:space="preserve">Cal/OSHA has contended that the difference in days between the opening conference and the abatement dates </w:t>
      </w:r>
      <w:r w:rsidR="00252DD3">
        <w:rPr>
          <w:rFonts w:asciiTheme="minorHAnsi" w:hAnsiTheme="minorHAnsi" w:cstheme="minorBidi"/>
        </w:rPr>
        <w:t xml:space="preserve">is more relevant than </w:t>
      </w:r>
      <w:r w:rsidR="00B76F9A">
        <w:rPr>
          <w:rFonts w:asciiTheme="minorHAnsi" w:hAnsiTheme="minorHAnsi" w:cstheme="minorBidi"/>
        </w:rPr>
        <w:t xml:space="preserve">lapse time as defined in this </w:t>
      </w:r>
      <w:r w:rsidR="67182CCD" w:rsidRPr="64D1006D">
        <w:rPr>
          <w:rFonts w:asciiTheme="minorHAnsi" w:hAnsiTheme="minorHAnsi" w:cstheme="minorBidi"/>
        </w:rPr>
        <w:t>me</w:t>
      </w:r>
      <w:r w:rsidR="310991DD" w:rsidRPr="64D1006D">
        <w:rPr>
          <w:rFonts w:asciiTheme="minorHAnsi" w:hAnsiTheme="minorHAnsi" w:cstheme="minorBidi"/>
        </w:rPr>
        <w:t>asure</w:t>
      </w:r>
      <w:r w:rsidR="696139CC" w:rsidRPr="64D1006D">
        <w:rPr>
          <w:rFonts w:asciiTheme="minorHAnsi" w:hAnsiTheme="minorHAnsi" w:cstheme="minorBidi"/>
        </w:rPr>
        <w:t>.</w:t>
      </w:r>
      <w:r w:rsidRPr="00C21C7E">
        <w:rPr>
          <w:rFonts w:asciiTheme="minorHAnsi" w:hAnsiTheme="minorHAnsi" w:cstheme="minorBidi"/>
        </w:rPr>
        <w:t xml:space="preserve"> </w:t>
      </w:r>
      <w:r w:rsidR="00661049" w:rsidRPr="00C21C7E">
        <w:rPr>
          <w:rFonts w:asciiTheme="minorHAnsi" w:hAnsiTheme="minorHAnsi" w:cstheme="minorBidi"/>
        </w:rPr>
        <w:t xml:space="preserve"> </w:t>
      </w:r>
      <w:r w:rsidR="00673515" w:rsidRPr="00C21C7E">
        <w:rPr>
          <w:rFonts w:asciiTheme="minorHAnsi" w:hAnsiTheme="minorHAnsi" w:cstheme="minorBidi"/>
        </w:rPr>
        <w:t xml:space="preserve">OSHA reviewed the data and determined </w:t>
      </w:r>
      <w:r w:rsidR="003F04F7">
        <w:rPr>
          <w:rFonts w:asciiTheme="minorHAnsi" w:hAnsiTheme="minorHAnsi" w:cstheme="minorBidi"/>
        </w:rPr>
        <w:t xml:space="preserve">that Cal/OSHA performance on lapse time is </w:t>
      </w:r>
      <w:r w:rsidR="00673515" w:rsidRPr="00C21C7E">
        <w:rPr>
          <w:rFonts w:asciiTheme="minorHAnsi" w:hAnsiTheme="minorHAnsi" w:cstheme="minorBidi"/>
        </w:rPr>
        <w:t>not an ALEA issue.</w:t>
      </w:r>
      <w:r w:rsidR="2BFB19E3" w:rsidRPr="00C21C7E">
        <w:rPr>
          <w:rFonts w:asciiTheme="minorHAnsi" w:hAnsiTheme="minorHAnsi" w:cstheme="minorBidi"/>
        </w:rPr>
        <w:t xml:space="preserve"> As a result, this finding is closed.</w:t>
      </w:r>
      <w:r w:rsidR="2BFB19E3" w:rsidRPr="691926B5">
        <w:rPr>
          <w:rFonts w:asciiTheme="minorHAnsi" w:hAnsiTheme="minorHAnsi" w:cstheme="minorBidi"/>
        </w:rPr>
        <w:t xml:space="preserve"> </w:t>
      </w:r>
    </w:p>
    <w:p w14:paraId="045253C9" w14:textId="77777777" w:rsidR="00A60C73" w:rsidRDefault="00A60C73" w:rsidP="00A60C73"/>
    <w:p w14:paraId="63883ACE" w14:textId="3543C45B" w:rsidR="2FF2F935" w:rsidRDefault="2FF2F935" w:rsidP="2A1E0110">
      <w:pPr>
        <w:widowControl/>
        <w:rPr>
          <w:rFonts w:asciiTheme="minorHAnsi" w:hAnsiTheme="minorHAnsi" w:cstheme="minorBidi"/>
          <w:b/>
          <w:bCs/>
        </w:rPr>
      </w:pPr>
      <w:r w:rsidRPr="2A1E0110">
        <w:rPr>
          <w:rFonts w:asciiTheme="minorHAnsi" w:hAnsiTheme="minorHAnsi" w:cstheme="minorBidi"/>
          <w:b/>
          <w:bCs/>
        </w:rPr>
        <w:t xml:space="preserve">Finding </w:t>
      </w:r>
      <w:r w:rsidRPr="2A1E0110">
        <w:rPr>
          <w:rFonts w:asciiTheme="minorHAnsi" w:eastAsia="Calibri" w:hAnsiTheme="minorHAnsi" w:cstheme="minorBidi"/>
          <w:b/>
          <w:bCs/>
        </w:rPr>
        <w:t>FY 2023-07</w:t>
      </w:r>
      <w:r w:rsidRPr="2A1E0110">
        <w:rPr>
          <w:rFonts w:asciiTheme="minorHAnsi" w:hAnsiTheme="minorHAnsi" w:cstheme="minorBidi"/>
          <w:b/>
          <w:bCs/>
        </w:rPr>
        <w:t>:</w:t>
      </w:r>
      <w:r w:rsidRPr="2A1E0110">
        <w:rPr>
          <w:rFonts w:eastAsia="Calibri" w:cs="Calibri"/>
          <w:sz w:val="22"/>
          <w:szCs w:val="22"/>
        </w:rPr>
        <w:t xml:space="preserve"> </w:t>
      </w:r>
      <w:r w:rsidRPr="00A96C88">
        <w:rPr>
          <w:rFonts w:eastAsia="Calibri" w:cs="Calibri"/>
        </w:rPr>
        <w:t>Cal/OSHA has not adopted measures at least as effective as CPL 03-00-008, the Revised Combustible Dust National Emphasis Program.</w:t>
      </w:r>
    </w:p>
    <w:p w14:paraId="1A969D5A" w14:textId="7A4CA601" w:rsidR="760F0DD8" w:rsidRDefault="3AE388E8" w:rsidP="68AA6DF9">
      <w:pPr>
        <w:widowControl/>
        <w:spacing w:line="259" w:lineRule="auto"/>
        <w:rPr>
          <w:rFonts w:asciiTheme="minorHAnsi" w:hAnsiTheme="minorHAnsi" w:cstheme="minorBidi"/>
        </w:rPr>
      </w:pPr>
      <w:r w:rsidRPr="68AA6DF9">
        <w:rPr>
          <w:rFonts w:asciiTheme="minorHAnsi" w:hAnsiTheme="minorHAnsi" w:cstheme="minorBidi"/>
          <w:b/>
          <w:bCs/>
        </w:rPr>
        <w:t xml:space="preserve">Status: </w:t>
      </w:r>
      <w:r w:rsidRPr="68AA6DF9">
        <w:rPr>
          <w:rFonts w:asciiTheme="minorHAnsi" w:hAnsiTheme="minorHAnsi" w:cstheme="minorBidi"/>
        </w:rPr>
        <w:t>The state of C</w:t>
      </w:r>
      <w:r w:rsidR="007863D2">
        <w:rPr>
          <w:rFonts w:asciiTheme="minorHAnsi" w:hAnsiTheme="minorHAnsi" w:cstheme="minorBidi"/>
        </w:rPr>
        <w:t>alifornia</w:t>
      </w:r>
      <w:r w:rsidRPr="68AA6DF9">
        <w:rPr>
          <w:rFonts w:asciiTheme="minorHAnsi" w:hAnsiTheme="minorHAnsi" w:cstheme="minorBidi"/>
        </w:rPr>
        <w:t xml:space="preserve"> has a </w:t>
      </w:r>
      <w:r w:rsidR="478F81EC" w:rsidRPr="68AA6DF9">
        <w:rPr>
          <w:rFonts w:asciiTheme="minorHAnsi" w:hAnsiTheme="minorHAnsi" w:cstheme="minorBidi"/>
        </w:rPr>
        <w:t>Combustible</w:t>
      </w:r>
      <w:r w:rsidRPr="68AA6DF9">
        <w:rPr>
          <w:rFonts w:asciiTheme="minorHAnsi" w:hAnsiTheme="minorHAnsi" w:cstheme="minorBidi"/>
        </w:rPr>
        <w:t xml:space="preserve"> </w:t>
      </w:r>
      <w:r w:rsidR="00CB5DB8">
        <w:rPr>
          <w:rFonts w:asciiTheme="minorHAnsi" w:hAnsiTheme="minorHAnsi" w:cstheme="minorBidi"/>
        </w:rPr>
        <w:t>D</w:t>
      </w:r>
      <w:r w:rsidRPr="68AA6DF9">
        <w:rPr>
          <w:rFonts w:asciiTheme="minorHAnsi" w:hAnsiTheme="minorHAnsi" w:cstheme="minorBidi"/>
        </w:rPr>
        <w:t>ust</w:t>
      </w:r>
      <w:r w:rsidR="00A729BD">
        <w:rPr>
          <w:rFonts w:asciiTheme="minorHAnsi" w:hAnsiTheme="minorHAnsi" w:cstheme="minorBidi"/>
        </w:rPr>
        <w:t>s</w:t>
      </w:r>
      <w:r w:rsidR="00021741" w:rsidRPr="00021741">
        <w:rPr>
          <w:rFonts w:asciiTheme="minorHAnsi" w:hAnsiTheme="minorHAnsi" w:cstheme="minorBidi"/>
        </w:rPr>
        <w:t xml:space="preserve"> </w:t>
      </w:r>
      <w:r w:rsidR="00021741" w:rsidRPr="68AA6DF9">
        <w:rPr>
          <w:rFonts w:asciiTheme="minorHAnsi" w:hAnsiTheme="minorHAnsi" w:cstheme="minorBidi"/>
        </w:rPr>
        <w:t xml:space="preserve">standard </w:t>
      </w:r>
      <w:r w:rsidR="008E673F">
        <w:rPr>
          <w:rFonts w:asciiTheme="minorHAnsi" w:hAnsiTheme="minorHAnsi" w:cstheme="minorBidi"/>
        </w:rPr>
        <w:t xml:space="preserve">as part of their </w:t>
      </w:r>
      <w:r w:rsidR="008E673F" w:rsidRPr="008E673F">
        <w:rPr>
          <w:rFonts w:asciiTheme="minorHAnsi" w:hAnsiTheme="minorHAnsi" w:cstheme="minorBidi"/>
        </w:rPr>
        <w:t>General Industry Safety Orders</w:t>
      </w:r>
      <w:r w:rsidR="00244448">
        <w:rPr>
          <w:rFonts w:asciiTheme="minorHAnsi" w:hAnsiTheme="minorHAnsi" w:cstheme="minorBidi"/>
        </w:rPr>
        <w:t xml:space="preserve">, </w:t>
      </w:r>
      <w:r w:rsidR="00700EEC">
        <w:rPr>
          <w:rFonts w:asciiTheme="minorHAnsi" w:hAnsiTheme="minorHAnsi" w:cstheme="minorBidi"/>
        </w:rPr>
        <w:t>whereas</w:t>
      </w:r>
      <w:r w:rsidR="00615206">
        <w:rPr>
          <w:rFonts w:asciiTheme="minorHAnsi" w:hAnsiTheme="minorHAnsi" w:cstheme="minorBidi"/>
        </w:rPr>
        <w:t xml:space="preserve"> </w:t>
      </w:r>
      <w:r w:rsidR="349EB98F" w:rsidRPr="68AA6DF9">
        <w:rPr>
          <w:rFonts w:asciiTheme="minorHAnsi" w:hAnsiTheme="minorHAnsi" w:cstheme="minorBidi"/>
        </w:rPr>
        <w:t>OSHA does not</w:t>
      </w:r>
      <w:r w:rsidR="009E2E7D">
        <w:rPr>
          <w:rFonts w:asciiTheme="minorHAnsi" w:hAnsiTheme="minorHAnsi" w:cstheme="minorBidi"/>
        </w:rPr>
        <w:t xml:space="preserve"> have a standard</w:t>
      </w:r>
      <w:r w:rsidR="349EB98F" w:rsidRPr="68AA6DF9">
        <w:rPr>
          <w:rFonts w:asciiTheme="minorHAnsi" w:hAnsiTheme="minorHAnsi" w:cstheme="minorBidi"/>
        </w:rPr>
        <w:t>.  The state standard</w:t>
      </w:r>
      <w:r w:rsidRPr="68AA6DF9">
        <w:rPr>
          <w:rFonts w:asciiTheme="minorHAnsi" w:hAnsiTheme="minorHAnsi" w:cstheme="minorBidi"/>
        </w:rPr>
        <w:t xml:space="preserve"> is more stringent</w:t>
      </w:r>
      <w:r w:rsidR="58C36815" w:rsidRPr="68AA6DF9">
        <w:rPr>
          <w:rFonts w:asciiTheme="minorHAnsi" w:hAnsiTheme="minorHAnsi" w:cstheme="minorBidi"/>
        </w:rPr>
        <w:t xml:space="preserve"> than the OSHA </w:t>
      </w:r>
      <w:r w:rsidR="00591B04">
        <w:rPr>
          <w:rFonts w:asciiTheme="minorHAnsi" w:hAnsiTheme="minorHAnsi" w:cstheme="minorBidi"/>
        </w:rPr>
        <w:t>D</w:t>
      </w:r>
      <w:r w:rsidR="58C36815" w:rsidRPr="68AA6DF9">
        <w:rPr>
          <w:rFonts w:asciiTheme="minorHAnsi" w:hAnsiTheme="minorHAnsi" w:cstheme="minorBidi"/>
        </w:rPr>
        <w:t>irective</w:t>
      </w:r>
      <w:r w:rsidRPr="68AA6DF9">
        <w:rPr>
          <w:rFonts w:asciiTheme="minorHAnsi" w:hAnsiTheme="minorHAnsi" w:cstheme="minorBidi"/>
        </w:rPr>
        <w:t>.</w:t>
      </w:r>
      <w:r w:rsidR="00B87FA0" w:rsidRPr="68AA6DF9">
        <w:rPr>
          <w:rFonts w:asciiTheme="minorHAnsi" w:hAnsiTheme="minorHAnsi" w:cstheme="minorBidi"/>
        </w:rPr>
        <w:t xml:space="preserve"> </w:t>
      </w:r>
      <w:r w:rsidR="00591B04">
        <w:rPr>
          <w:rFonts w:asciiTheme="minorHAnsi" w:hAnsiTheme="minorHAnsi" w:cstheme="minorBidi"/>
        </w:rPr>
        <w:t xml:space="preserve"> </w:t>
      </w:r>
      <w:r w:rsidR="00B87FA0" w:rsidRPr="68AA6DF9">
        <w:rPr>
          <w:rFonts w:asciiTheme="minorHAnsi" w:hAnsiTheme="minorHAnsi" w:cstheme="minorBidi"/>
        </w:rPr>
        <w:t xml:space="preserve">As a result, this finding is closed. OSHA will continue to monitor Cal/OSHA’s response to federal program changes. </w:t>
      </w:r>
      <w:r w:rsidR="0062706A" w:rsidRPr="68AA6DF9">
        <w:rPr>
          <w:rFonts w:asciiTheme="minorHAnsi" w:hAnsiTheme="minorHAnsi" w:cstheme="minorBidi"/>
        </w:rPr>
        <w:t xml:space="preserve"> </w:t>
      </w:r>
    </w:p>
    <w:p w14:paraId="1E527670" w14:textId="77777777" w:rsidR="006A6466" w:rsidRDefault="006A6466" w:rsidP="760F0DD8">
      <w:pPr>
        <w:rPr>
          <w:b/>
          <w:bCs/>
        </w:rPr>
      </w:pPr>
    </w:p>
    <w:p w14:paraId="25BAACA0" w14:textId="77777777" w:rsidR="006D14CE" w:rsidRPr="00D079C7" w:rsidRDefault="006D14CE" w:rsidP="00D079C7">
      <w:pPr>
        <w:rPr>
          <w:b/>
        </w:rPr>
      </w:pPr>
      <w:bookmarkStart w:id="20" w:name="_Toc118900176"/>
      <w:bookmarkStart w:id="21" w:name="_Toc118905015"/>
      <w:r w:rsidRPr="00D079C7">
        <w:rPr>
          <w:b/>
        </w:rPr>
        <w:t>Observations</w:t>
      </w:r>
      <w:bookmarkEnd w:id="20"/>
      <w:bookmarkEnd w:id="21"/>
    </w:p>
    <w:p w14:paraId="03C64AD8" w14:textId="77777777" w:rsidR="00ED0B5A" w:rsidRDefault="00ED0B5A" w:rsidP="007E0AAB">
      <w:pPr>
        <w:widowControl/>
        <w:autoSpaceDE/>
        <w:autoSpaceDN/>
        <w:adjustRightInd/>
        <w:rPr>
          <w:rFonts w:cs="Calibri"/>
          <w:b/>
        </w:rPr>
      </w:pPr>
    </w:p>
    <w:p w14:paraId="4C4A0332" w14:textId="03148C7D" w:rsidR="006D14CE" w:rsidRPr="00255E62" w:rsidRDefault="31DB133D" w:rsidP="6E5B07DA">
      <w:pPr>
        <w:widowControl/>
        <w:autoSpaceDE/>
        <w:autoSpaceDN/>
        <w:adjustRightInd/>
        <w:rPr>
          <w:rFonts w:cs="Calibri"/>
          <w:b/>
          <w:bCs/>
        </w:rPr>
      </w:pPr>
      <w:r w:rsidRPr="6E5B07DA">
        <w:rPr>
          <w:rFonts w:cs="Calibri"/>
          <w:b/>
          <w:bCs/>
        </w:rPr>
        <w:t>Continued FY 202</w:t>
      </w:r>
      <w:r w:rsidR="30B4B489" w:rsidRPr="6E5B07DA">
        <w:rPr>
          <w:rFonts w:cs="Calibri"/>
          <w:b/>
          <w:bCs/>
        </w:rPr>
        <w:t>3</w:t>
      </w:r>
      <w:r w:rsidRPr="6E5B07DA">
        <w:rPr>
          <w:rFonts w:cs="Calibri"/>
          <w:b/>
          <w:bCs/>
        </w:rPr>
        <w:t xml:space="preserve"> Observations</w:t>
      </w:r>
    </w:p>
    <w:p w14:paraId="5D396BDE" w14:textId="71175F47" w:rsidR="760F0DD8" w:rsidRDefault="760F0DD8" w:rsidP="760F0DD8">
      <w:pPr>
        <w:widowControl/>
        <w:tabs>
          <w:tab w:val="left" w:pos="1890"/>
          <w:tab w:val="left" w:pos="2430"/>
        </w:tabs>
        <w:contextualSpacing/>
        <w:rPr>
          <w:rFonts w:cs="Calibri"/>
        </w:rPr>
      </w:pPr>
    </w:p>
    <w:p w14:paraId="7E269A15" w14:textId="2BC5013B" w:rsidR="00B61F33" w:rsidRPr="00B61F33" w:rsidRDefault="004E117F" w:rsidP="00B61F33">
      <w:pPr>
        <w:rPr>
          <w:rFonts w:cs="Calibri"/>
        </w:rPr>
      </w:pPr>
      <w:r w:rsidRPr="4E97E92A">
        <w:rPr>
          <w:rFonts w:cs="Calibri"/>
          <w:b/>
          <w:bCs/>
        </w:rPr>
        <w:t xml:space="preserve">Observation </w:t>
      </w:r>
      <w:r w:rsidRPr="4E97E92A">
        <w:rPr>
          <w:rFonts w:asciiTheme="minorHAnsi" w:eastAsia="Calibri" w:hAnsiTheme="minorHAnsi" w:cstheme="minorBidi"/>
          <w:b/>
          <w:bCs/>
        </w:rPr>
        <w:t>FY 2024-OB-</w:t>
      </w:r>
      <w:r w:rsidRPr="3B1FAFD2">
        <w:rPr>
          <w:rFonts w:asciiTheme="minorHAnsi" w:eastAsia="Calibri" w:hAnsiTheme="minorHAnsi" w:cstheme="minorBidi"/>
          <w:b/>
          <w:bCs/>
        </w:rPr>
        <w:t>0</w:t>
      </w:r>
      <w:r w:rsidR="3DEB6427" w:rsidRPr="3B1FAFD2">
        <w:rPr>
          <w:rFonts w:asciiTheme="minorHAnsi" w:eastAsia="Calibri" w:hAnsiTheme="minorHAnsi" w:cstheme="minorBidi"/>
          <w:b/>
          <w:bCs/>
        </w:rPr>
        <w:t>1</w:t>
      </w:r>
      <w:r w:rsidRPr="4E97E92A">
        <w:rPr>
          <w:rFonts w:asciiTheme="minorHAnsi" w:eastAsia="Calibri" w:hAnsiTheme="minorHAnsi" w:cstheme="minorBidi"/>
          <w:b/>
          <w:bCs/>
        </w:rPr>
        <w:t xml:space="preserve"> (</w:t>
      </w:r>
      <w:r w:rsidR="00B61F33" w:rsidRPr="4E97E92A">
        <w:rPr>
          <w:rFonts w:cs="Calibri"/>
          <w:b/>
          <w:bCs/>
        </w:rPr>
        <w:t>FY 2023-OB-04</w:t>
      </w:r>
      <w:r w:rsidRPr="4E97E92A">
        <w:rPr>
          <w:rFonts w:cs="Calibri"/>
          <w:b/>
          <w:bCs/>
        </w:rPr>
        <w:t>)</w:t>
      </w:r>
      <w:r w:rsidR="00B61F33" w:rsidRPr="4E97E92A">
        <w:rPr>
          <w:rFonts w:cs="Calibri"/>
          <w:b/>
          <w:bCs/>
        </w:rPr>
        <w:t>:</w:t>
      </w:r>
      <w:r w:rsidR="00B61F33" w:rsidRPr="4E97E92A">
        <w:rPr>
          <w:rFonts w:cs="Calibri"/>
        </w:rPr>
        <w:t xml:space="preserve"> </w:t>
      </w:r>
      <w:r w:rsidR="00A32EB7" w:rsidRPr="4E97E92A">
        <w:rPr>
          <w:rFonts w:cs="Calibri"/>
        </w:rPr>
        <w:t>In FY</w:t>
      </w:r>
      <w:r w:rsidR="0003386B">
        <w:rPr>
          <w:rFonts w:cs="Calibri"/>
        </w:rPr>
        <w:t xml:space="preserve"> </w:t>
      </w:r>
      <w:r w:rsidR="00A32EB7" w:rsidRPr="4E97E92A">
        <w:rPr>
          <w:rFonts w:cs="Calibri"/>
        </w:rPr>
        <w:t>2023, i</w:t>
      </w:r>
      <w:r w:rsidR="00B61F33" w:rsidRPr="4E97E92A">
        <w:rPr>
          <w:rFonts w:cs="Calibri"/>
        </w:rPr>
        <w:t>n four of 24 (16.7%) fatality case files reviewed, there was no evidence that required Next-of-Kin letters had been sent.</w:t>
      </w:r>
    </w:p>
    <w:p w14:paraId="54D391CF" w14:textId="3E6F0EBA" w:rsidR="006F5A28" w:rsidRPr="00255E62" w:rsidRDefault="514CD2C3" w:rsidP="006F5A28">
      <w:pPr>
        <w:widowControl/>
        <w:tabs>
          <w:tab w:val="left" w:pos="1890"/>
          <w:tab w:val="left" w:pos="2430"/>
        </w:tabs>
        <w:autoSpaceDE/>
        <w:autoSpaceDN/>
        <w:adjustRightInd/>
        <w:contextualSpacing/>
        <w:rPr>
          <w:rFonts w:cs="Calibri"/>
        </w:rPr>
      </w:pPr>
      <w:r w:rsidRPr="0E61BA99">
        <w:rPr>
          <w:rFonts w:cs="Calibri"/>
          <w:b/>
          <w:bCs/>
        </w:rPr>
        <w:t xml:space="preserve">Status: </w:t>
      </w:r>
      <w:r w:rsidR="6C35FFD4" w:rsidRPr="0E61BA99">
        <w:rPr>
          <w:rFonts w:cs="Calibri"/>
        </w:rPr>
        <w:t xml:space="preserve">A case file review is necessary to gather the facts needed to evaluate progress on this observation. </w:t>
      </w:r>
      <w:r w:rsidR="006F5A28" w:rsidRPr="0E61BA99">
        <w:rPr>
          <w:rFonts w:cs="Calibri"/>
        </w:rPr>
        <w:t xml:space="preserve"> </w:t>
      </w:r>
      <w:r w:rsidR="004E117F" w:rsidRPr="55BAC008">
        <w:rPr>
          <w:rFonts w:cs="Calibri"/>
        </w:rPr>
        <w:t>OSHA will review a selection of fatality case files during the FY 2025 Comprehensive FAME to ensure that Next-of-Kin letters are being included as appropriate.</w:t>
      </w:r>
      <w:r w:rsidR="6C35FFD4" w:rsidRPr="0E61BA99">
        <w:rPr>
          <w:rFonts w:cs="Calibri"/>
        </w:rPr>
        <w:t xml:space="preserve"> This observation remains open.   </w:t>
      </w:r>
    </w:p>
    <w:p w14:paraId="7FDADA26" w14:textId="4E519D5B" w:rsidR="6548F13A" w:rsidRDefault="6548F13A" w:rsidP="6548F13A">
      <w:pPr>
        <w:widowControl/>
        <w:rPr>
          <w:rFonts w:cs="Calibri"/>
          <w:b/>
          <w:bCs/>
        </w:rPr>
      </w:pPr>
    </w:p>
    <w:p w14:paraId="1DB96128" w14:textId="1DE2F25A" w:rsidR="69C3AB99" w:rsidRDefault="69C3AB99" w:rsidP="0E61BA99">
      <w:pPr>
        <w:widowControl/>
        <w:rPr>
          <w:rFonts w:cs="Calibri"/>
          <w:b/>
          <w:bCs/>
        </w:rPr>
      </w:pPr>
      <w:r w:rsidRPr="0E61BA99">
        <w:rPr>
          <w:rFonts w:cs="Calibri"/>
          <w:b/>
          <w:bCs/>
        </w:rPr>
        <w:t>Closed FY 2023 Observations</w:t>
      </w:r>
    </w:p>
    <w:p w14:paraId="11B3D1EE" w14:textId="7AEC2DD1" w:rsidR="0E61BA99" w:rsidRDefault="0E61BA99" w:rsidP="0E61BA99">
      <w:pPr>
        <w:widowControl/>
        <w:rPr>
          <w:rFonts w:cs="Calibri"/>
          <w:b/>
          <w:bCs/>
          <w:highlight w:val="yellow"/>
          <w:u w:val="single"/>
        </w:rPr>
      </w:pPr>
    </w:p>
    <w:p w14:paraId="0E1B00C8" w14:textId="77777777" w:rsidR="0019651A" w:rsidRPr="00DA6B24" w:rsidRDefault="000C5963" w:rsidP="0019651A">
      <w:pPr>
        <w:widowControl/>
        <w:tabs>
          <w:tab w:val="left" w:pos="1890"/>
          <w:tab w:val="left" w:pos="2430"/>
        </w:tabs>
        <w:autoSpaceDE/>
        <w:autoSpaceDN/>
        <w:adjustRightInd/>
        <w:contextualSpacing/>
        <w:rPr>
          <w:rFonts w:cs="Calibri"/>
          <w:b/>
          <w:bCs/>
          <w:iCs/>
        </w:rPr>
      </w:pPr>
      <w:r w:rsidRPr="00DA6B24">
        <w:rPr>
          <w:rFonts w:cs="Calibri"/>
          <w:b/>
          <w:bCs/>
        </w:rPr>
        <w:t xml:space="preserve">Observation </w:t>
      </w:r>
      <w:r w:rsidRPr="00DA6B24">
        <w:rPr>
          <w:rFonts w:asciiTheme="minorHAnsi" w:eastAsia="Calibri" w:hAnsiTheme="minorHAnsi" w:cstheme="minorBidi"/>
          <w:b/>
          <w:bCs/>
        </w:rPr>
        <w:t>FY 2023-OB-01</w:t>
      </w:r>
      <w:r w:rsidR="00703A6B" w:rsidRPr="00DA6B24">
        <w:rPr>
          <w:rFonts w:asciiTheme="minorHAnsi" w:eastAsia="Calibri" w:hAnsiTheme="minorHAnsi" w:cstheme="minorBidi"/>
          <w:b/>
          <w:bCs/>
        </w:rPr>
        <w:t>:</w:t>
      </w:r>
      <w:r w:rsidRPr="00DA6B24">
        <w:rPr>
          <w:rFonts w:cs="Calibri"/>
          <w:b/>
          <w:bCs/>
        </w:rPr>
        <w:t xml:space="preserve">  </w:t>
      </w:r>
      <w:r w:rsidR="0019651A" w:rsidRPr="00DA6B24">
        <w:rPr>
          <w:rFonts w:cs="Calibri"/>
          <w:iCs/>
        </w:rPr>
        <w:t>Programs funded through the 23(g) grant experienced staffing shortages of up to a 35% vacancy rate.</w:t>
      </w:r>
    </w:p>
    <w:p w14:paraId="40195356" w14:textId="54185B32" w:rsidR="000C5963" w:rsidRPr="00DA6B24" w:rsidRDefault="000C5963" w:rsidP="001702E1">
      <w:pPr>
        <w:widowControl/>
        <w:tabs>
          <w:tab w:val="left" w:pos="1890"/>
          <w:tab w:val="left" w:pos="2430"/>
        </w:tabs>
        <w:autoSpaceDE/>
        <w:autoSpaceDN/>
        <w:adjustRightInd/>
        <w:contextualSpacing/>
        <w:rPr>
          <w:rFonts w:cs="Calibri"/>
        </w:rPr>
      </w:pPr>
      <w:r w:rsidRPr="00DA6B24">
        <w:rPr>
          <w:rFonts w:cs="Calibri"/>
          <w:b/>
          <w:bCs/>
        </w:rPr>
        <w:t xml:space="preserve">Status: </w:t>
      </w:r>
      <w:r w:rsidR="00EE611B" w:rsidRPr="00DA6B24">
        <w:rPr>
          <w:rFonts w:asciiTheme="minorHAnsi" w:hAnsiTheme="minorHAnsi" w:cstheme="minorBidi"/>
          <w:color w:val="000000" w:themeColor="text1"/>
        </w:rPr>
        <w:t xml:space="preserve">The Department of Industrial Relations has made progress in addressing staffing levels in its units associated with the 23(g) grant.  As of </w:t>
      </w:r>
      <w:r w:rsidR="4C421490" w:rsidRPr="4D5D3D76">
        <w:rPr>
          <w:rFonts w:asciiTheme="minorHAnsi" w:hAnsiTheme="minorHAnsi" w:cstheme="minorBidi"/>
          <w:color w:val="000000" w:themeColor="text1"/>
        </w:rPr>
        <w:t>December 31</w:t>
      </w:r>
      <w:r w:rsidR="00EE611B" w:rsidRPr="00DA6B24">
        <w:rPr>
          <w:rFonts w:asciiTheme="minorHAnsi" w:hAnsiTheme="minorHAnsi" w:cstheme="minorBidi"/>
          <w:color w:val="000000" w:themeColor="text1"/>
        </w:rPr>
        <w:t>, 2024, Cal/</w:t>
      </w:r>
      <w:r w:rsidR="00EE611B" w:rsidRPr="4D5D3D76">
        <w:rPr>
          <w:rFonts w:asciiTheme="minorHAnsi" w:hAnsiTheme="minorHAnsi" w:cstheme="minorBidi"/>
          <w:color w:val="000000" w:themeColor="text1"/>
        </w:rPr>
        <w:t>OSHA</w:t>
      </w:r>
      <w:r w:rsidR="658D3EA8" w:rsidRPr="4D5D3D76">
        <w:rPr>
          <w:rFonts w:asciiTheme="minorHAnsi" w:hAnsiTheme="minorHAnsi" w:cstheme="minorBidi"/>
          <w:color w:val="000000" w:themeColor="text1"/>
        </w:rPr>
        <w:t>’s</w:t>
      </w:r>
      <w:r w:rsidR="00EE611B" w:rsidRPr="00DA6B24">
        <w:rPr>
          <w:rFonts w:asciiTheme="minorHAnsi" w:hAnsiTheme="minorHAnsi" w:cstheme="minorBidi"/>
          <w:color w:val="000000" w:themeColor="text1"/>
        </w:rPr>
        <w:t xml:space="preserve"> vacancy rate </w:t>
      </w:r>
      <w:r w:rsidR="658D3EA8" w:rsidRPr="4D5D3D76">
        <w:rPr>
          <w:rFonts w:asciiTheme="minorHAnsi" w:hAnsiTheme="minorHAnsi" w:cstheme="minorBidi"/>
          <w:color w:val="000000" w:themeColor="text1"/>
        </w:rPr>
        <w:t xml:space="preserve">has </w:t>
      </w:r>
      <w:r w:rsidR="0072038F">
        <w:rPr>
          <w:rFonts w:asciiTheme="minorHAnsi" w:hAnsiTheme="minorHAnsi" w:cstheme="minorBidi"/>
          <w:color w:val="000000" w:themeColor="text1"/>
        </w:rPr>
        <w:t>improved</w:t>
      </w:r>
      <w:r w:rsidR="0072038F" w:rsidRPr="4D5D3D76">
        <w:rPr>
          <w:rFonts w:asciiTheme="minorHAnsi" w:hAnsiTheme="minorHAnsi" w:cstheme="minorBidi"/>
          <w:color w:val="000000" w:themeColor="text1"/>
        </w:rPr>
        <w:t xml:space="preserve"> </w:t>
      </w:r>
      <w:r w:rsidR="658D3EA8" w:rsidRPr="4D5D3D76">
        <w:rPr>
          <w:rFonts w:asciiTheme="minorHAnsi" w:hAnsiTheme="minorHAnsi" w:cstheme="minorBidi"/>
          <w:color w:val="000000" w:themeColor="text1"/>
        </w:rPr>
        <w:t xml:space="preserve">by 34% </w:t>
      </w:r>
      <w:r w:rsidR="005F7176">
        <w:rPr>
          <w:rFonts w:asciiTheme="minorHAnsi" w:hAnsiTheme="minorHAnsi" w:cstheme="minorBidi"/>
          <w:color w:val="000000" w:themeColor="text1"/>
        </w:rPr>
        <w:t xml:space="preserve">(from 35% to </w:t>
      </w:r>
      <w:r w:rsidR="005923C2">
        <w:rPr>
          <w:rFonts w:asciiTheme="minorHAnsi" w:hAnsiTheme="minorHAnsi" w:cstheme="minorBidi"/>
          <w:color w:val="000000" w:themeColor="text1"/>
        </w:rPr>
        <w:t>23%)</w:t>
      </w:r>
      <w:r w:rsidR="00591C81">
        <w:rPr>
          <w:rFonts w:asciiTheme="minorHAnsi" w:hAnsiTheme="minorHAnsi" w:cstheme="minorBidi"/>
          <w:color w:val="000000" w:themeColor="text1"/>
        </w:rPr>
        <w:t xml:space="preserve"> </w:t>
      </w:r>
      <w:r w:rsidR="7C8F1AA2" w:rsidRPr="4D5D3D76">
        <w:rPr>
          <w:rFonts w:asciiTheme="minorHAnsi" w:hAnsiTheme="minorHAnsi" w:cstheme="minorBidi"/>
          <w:color w:val="000000" w:themeColor="text1"/>
        </w:rPr>
        <w:t xml:space="preserve">from </w:t>
      </w:r>
      <w:r w:rsidR="474CC04A" w:rsidRPr="4D5D3D76">
        <w:rPr>
          <w:rFonts w:asciiTheme="minorHAnsi" w:hAnsiTheme="minorHAnsi" w:cstheme="minorBidi"/>
          <w:color w:val="000000" w:themeColor="text1"/>
        </w:rPr>
        <w:t xml:space="preserve">what was reported on the 2023 FAME. </w:t>
      </w:r>
      <w:r w:rsidR="001E01B4" w:rsidRPr="4D5D3D76">
        <w:rPr>
          <w:rFonts w:asciiTheme="minorHAnsi" w:hAnsiTheme="minorHAnsi" w:cstheme="minorBidi"/>
          <w:color w:val="000000" w:themeColor="text1"/>
        </w:rPr>
        <w:t xml:space="preserve"> </w:t>
      </w:r>
      <w:r w:rsidR="00C33661">
        <w:rPr>
          <w:rFonts w:cs="Calibri"/>
        </w:rPr>
        <w:t>As a result, t</w:t>
      </w:r>
      <w:r w:rsidR="001E01B4" w:rsidRPr="0E61BA99">
        <w:rPr>
          <w:rFonts w:cs="Calibri"/>
        </w:rPr>
        <w:t xml:space="preserve">his </w:t>
      </w:r>
      <w:r w:rsidR="001E01B4">
        <w:rPr>
          <w:rFonts w:cs="Calibri"/>
        </w:rPr>
        <w:t>o</w:t>
      </w:r>
      <w:r w:rsidR="001E01B4" w:rsidRPr="0E61BA99">
        <w:rPr>
          <w:rFonts w:cs="Calibri"/>
        </w:rPr>
        <w:t>bservation is closed.</w:t>
      </w:r>
    </w:p>
    <w:p w14:paraId="36E05F7A" w14:textId="77777777" w:rsidR="000C5963" w:rsidRDefault="000C5963" w:rsidP="0E61BA99">
      <w:pPr>
        <w:widowControl/>
        <w:rPr>
          <w:rFonts w:cs="Calibri"/>
          <w:b/>
          <w:bCs/>
        </w:rPr>
      </w:pPr>
    </w:p>
    <w:p w14:paraId="6B0423D0" w14:textId="269ED865" w:rsidR="5B934E13" w:rsidRDefault="5B934E13" w:rsidP="0E61BA99">
      <w:pPr>
        <w:widowControl/>
        <w:rPr>
          <w:rFonts w:cs="Calibri"/>
        </w:rPr>
      </w:pPr>
      <w:r w:rsidRPr="0E61BA99">
        <w:rPr>
          <w:rFonts w:cs="Calibri"/>
          <w:b/>
          <w:bCs/>
        </w:rPr>
        <w:t>Observation FY 2023-OB-02:</w:t>
      </w:r>
      <w:r w:rsidRPr="0E61BA99">
        <w:rPr>
          <w:rFonts w:cs="Calibri"/>
        </w:rPr>
        <w:t xml:space="preserve"> The average time to open an inspection for a non-fatal injury was 16.5 working days.</w:t>
      </w:r>
    </w:p>
    <w:p w14:paraId="27EED44E" w14:textId="2BD9A8EB" w:rsidR="5B934E13" w:rsidRDefault="001702E1" w:rsidP="0E61BA99">
      <w:pPr>
        <w:widowControl/>
        <w:rPr>
          <w:rFonts w:cs="Calibri"/>
        </w:rPr>
      </w:pPr>
      <w:r w:rsidRPr="4D5D3D76">
        <w:rPr>
          <w:rFonts w:cs="Calibri"/>
          <w:b/>
          <w:bCs/>
        </w:rPr>
        <w:t xml:space="preserve">Status: </w:t>
      </w:r>
      <w:r w:rsidR="2A402A19" w:rsidRPr="4D5D3D76">
        <w:rPr>
          <w:rFonts w:cs="Calibri"/>
        </w:rPr>
        <w:t xml:space="preserve">Cal/OSHA is required </w:t>
      </w:r>
      <w:r w:rsidR="0079602C">
        <w:rPr>
          <w:rFonts w:cs="Calibri"/>
        </w:rPr>
        <w:t xml:space="preserve">by their Labor Code </w:t>
      </w:r>
      <w:r w:rsidR="2A402A19" w:rsidRPr="4D5D3D76">
        <w:rPr>
          <w:rFonts w:cs="Calibri"/>
        </w:rPr>
        <w:t>to conduct onsite inspections for each non-fatal injury</w:t>
      </w:r>
      <w:r w:rsidR="009D3EDA">
        <w:rPr>
          <w:rFonts w:cs="Calibri"/>
        </w:rPr>
        <w:t xml:space="preserve">. </w:t>
      </w:r>
      <w:r w:rsidR="2A402A19" w:rsidRPr="4D5D3D76">
        <w:rPr>
          <w:rFonts w:cs="Calibri"/>
        </w:rPr>
        <w:t xml:space="preserve"> OSHA is not required to</w:t>
      </w:r>
      <w:r w:rsidR="000147A3">
        <w:rPr>
          <w:rFonts w:cs="Calibri"/>
        </w:rPr>
        <w:t xml:space="preserve"> conduct an inspection</w:t>
      </w:r>
      <w:r w:rsidR="009D3EDA">
        <w:rPr>
          <w:rFonts w:cs="Calibri"/>
        </w:rPr>
        <w:t xml:space="preserve">, and discretion is given to </w:t>
      </w:r>
      <w:r w:rsidR="0099328A">
        <w:rPr>
          <w:rFonts w:cs="Calibri"/>
        </w:rPr>
        <w:t xml:space="preserve">decide </w:t>
      </w:r>
      <w:r w:rsidR="008871BA">
        <w:rPr>
          <w:rFonts w:cs="Calibri"/>
        </w:rPr>
        <w:t>if an inspection is warranted</w:t>
      </w:r>
      <w:r w:rsidR="2A402A19" w:rsidRPr="4D5D3D76">
        <w:rPr>
          <w:rFonts w:cs="Calibri"/>
        </w:rPr>
        <w:t>. Th</w:t>
      </w:r>
      <w:r w:rsidR="00EF4253">
        <w:rPr>
          <w:rFonts w:cs="Calibri"/>
        </w:rPr>
        <w:t>e</w:t>
      </w:r>
      <w:r w:rsidR="2A402A19" w:rsidRPr="4D5D3D76">
        <w:rPr>
          <w:rFonts w:cs="Calibri"/>
        </w:rPr>
        <w:t xml:space="preserve"> </w:t>
      </w:r>
      <w:r w:rsidR="00EF4253">
        <w:rPr>
          <w:rFonts w:cs="Calibri"/>
        </w:rPr>
        <w:t xml:space="preserve">state </w:t>
      </w:r>
      <w:r w:rsidR="2A402A19" w:rsidRPr="4D5D3D76">
        <w:rPr>
          <w:rFonts w:cs="Calibri"/>
        </w:rPr>
        <w:t xml:space="preserve">requirement </w:t>
      </w:r>
      <w:r w:rsidR="00B45960">
        <w:rPr>
          <w:rFonts w:cs="Calibri"/>
        </w:rPr>
        <w:t xml:space="preserve">leads to an </w:t>
      </w:r>
      <w:r w:rsidR="2A402A19" w:rsidRPr="4D5D3D76">
        <w:rPr>
          <w:rFonts w:cs="Calibri"/>
        </w:rPr>
        <w:t>increase</w:t>
      </w:r>
      <w:r w:rsidR="00B45960">
        <w:rPr>
          <w:rFonts w:cs="Calibri"/>
        </w:rPr>
        <w:t xml:space="preserve"> in</w:t>
      </w:r>
      <w:r w:rsidR="2A402A19" w:rsidRPr="4D5D3D76">
        <w:rPr>
          <w:rFonts w:cs="Calibri"/>
        </w:rPr>
        <w:t xml:space="preserve"> the average time to open an inspection.</w:t>
      </w:r>
      <w:r w:rsidR="00375CBB">
        <w:rPr>
          <w:rFonts w:cs="Calibri"/>
        </w:rPr>
        <w:t xml:space="preserve"> </w:t>
      </w:r>
      <w:r w:rsidR="2A402A19" w:rsidRPr="4D5D3D76">
        <w:rPr>
          <w:rFonts w:cs="Calibri"/>
        </w:rPr>
        <w:t xml:space="preserve"> Further,</w:t>
      </w:r>
      <w:r w:rsidRPr="4D5D3D76">
        <w:rPr>
          <w:rFonts w:cs="Calibri"/>
        </w:rPr>
        <w:t xml:space="preserve"> </w:t>
      </w:r>
      <w:r w:rsidR="00214D1E">
        <w:rPr>
          <w:rFonts w:cs="Calibri"/>
        </w:rPr>
        <w:t xml:space="preserve">Cal/OSHA </w:t>
      </w:r>
      <w:r w:rsidR="00EB0CAE">
        <w:rPr>
          <w:rFonts w:cs="Calibri"/>
        </w:rPr>
        <w:t>classifies</w:t>
      </w:r>
      <w:r w:rsidR="00214D1E">
        <w:rPr>
          <w:rFonts w:cs="Calibri"/>
        </w:rPr>
        <w:t xml:space="preserve"> </w:t>
      </w:r>
      <w:r w:rsidR="00EB0CAE">
        <w:rPr>
          <w:rFonts w:cs="Calibri"/>
        </w:rPr>
        <w:t xml:space="preserve">employer-reported serious injury reports as </w:t>
      </w:r>
      <w:r w:rsidR="00C70CD4">
        <w:rPr>
          <w:rFonts w:cs="Calibri"/>
        </w:rPr>
        <w:t>fatalities</w:t>
      </w:r>
      <w:r w:rsidR="00EB0CAE">
        <w:rPr>
          <w:rFonts w:cs="Calibri"/>
        </w:rPr>
        <w:t>/</w:t>
      </w:r>
      <w:r w:rsidR="00C70CD4">
        <w:rPr>
          <w:rFonts w:cs="Calibri"/>
        </w:rPr>
        <w:t>catastrophes</w:t>
      </w:r>
      <w:r w:rsidR="00EB0CAE">
        <w:rPr>
          <w:rFonts w:cs="Calibri"/>
        </w:rPr>
        <w:t xml:space="preserve"> </w:t>
      </w:r>
      <w:r w:rsidR="00C70CD4">
        <w:rPr>
          <w:rFonts w:cs="Calibri"/>
        </w:rPr>
        <w:t xml:space="preserve">in OIS, where </w:t>
      </w:r>
      <w:r w:rsidR="5B934E13" w:rsidRPr="0E61BA99">
        <w:rPr>
          <w:rFonts w:cs="Calibri"/>
        </w:rPr>
        <w:t>OSHA</w:t>
      </w:r>
      <w:r w:rsidR="00C70CD4">
        <w:rPr>
          <w:rFonts w:cs="Calibri"/>
        </w:rPr>
        <w:t xml:space="preserve"> enters them as referrals</w:t>
      </w:r>
      <w:r w:rsidR="5B934E13" w:rsidRPr="0E61BA99">
        <w:rPr>
          <w:rFonts w:cs="Calibri"/>
        </w:rPr>
        <w:t xml:space="preserve">.  </w:t>
      </w:r>
      <w:r w:rsidR="00C70CD4">
        <w:rPr>
          <w:rFonts w:cs="Calibri"/>
        </w:rPr>
        <w:t>There is not a SAMM metric that summarizes this data, nor is there an associated further review level</w:t>
      </w:r>
      <w:r w:rsidR="00C70CD4" w:rsidRPr="0E61BA99">
        <w:rPr>
          <w:rFonts w:cs="Calibri"/>
        </w:rPr>
        <w:t xml:space="preserve">.  </w:t>
      </w:r>
      <w:r w:rsidR="00C33661">
        <w:rPr>
          <w:rFonts w:cs="Calibri"/>
        </w:rPr>
        <w:t>A</w:t>
      </w:r>
      <w:r w:rsidR="008E46FB">
        <w:rPr>
          <w:rFonts w:cs="Calibri"/>
        </w:rPr>
        <w:t>s</w:t>
      </w:r>
      <w:r w:rsidR="00C33661">
        <w:rPr>
          <w:rFonts w:cs="Calibri"/>
        </w:rPr>
        <w:t xml:space="preserve"> a result, t</w:t>
      </w:r>
      <w:r w:rsidR="5B934E13" w:rsidRPr="0E61BA99">
        <w:rPr>
          <w:rFonts w:cs="Calibri"/>
        </w:rPr>
        <w:t xml:space="preserve">his </w:t>
      </w:r>
      <w:r w:rsidR="001E01B4">
        <w:rPr>
          <w:rFonts w:cs="Calibri"/>
        </w:rPr>
        <w:t>o</w:t>
      </w:r>
      <w:r w:rsidR="5B934E13" w:rsidRPr="0E61BA99">
        <w:rPr>
          <w:rFonts w:cs="Calibri"/>
        </w:rPr>
        <w:t xml:space="preserve">bservation is closed. </w:t>
      </w:r>
    </w:p>
    <w:p w14:paraId="1AEC8391" w14:textId="77777777" w:rsidR="004E216B" w:rsidRDefault="004E216B" w:rsidP="0055156C">
      <w:pPr>
        <w:widowControl/>
        <w:autoSpaceDE/>
        <w:autoSpaceDN/>
        <w:adjustRightInd/>
        <w:rPr>
          <w:rFonts w:cs="Calibri"/>
          <w:b/>
          <w:bCs/>
        </w:rPr>
      </w:pPr>
    </w:p>
    <w:p w14:paraId="7D9BCF9A" w14:textId="3D75AF53" w:rsidR="004E216B" w:rsidRPr="00B86EE5" w:rsidRDefault="004E216B" w:rsidP="004E216B">
      <w:pPr>
        <w:widowControl/>
        <w:tabs>
          <w:tab w:val="left" w:pos="1890"/>
          <w:tab w:val="left" w:pos="2430"/>
        </w:tabs>
        <w:contextualSpacing/>
        <w:rPr>
          <w:rFonts w:cs="Calibri"/>
        </w:rPr>
      </w:pPr>
      <w:r w:rsidRPr="6D3D0AE2">
        <w:rPr>
          <w:rFonts w:cs="Calibri"/>
          <w:b/>
          <w:bCs/>
        </w:rPr>
        <w:t>Observation FY 2023-OB-03:</w:t>
      </w:r>
      <w:r w:rsidRPr="6D3D0AE2">
        <w:rPr>
          <w:rFonts w:cs="Calibri"/>
        </w:rPr>
        <w:t xml:space="preserve"> Responses to investigations by letter were received an average of 38.6 working days from the original request by Cal/OSHA. </w:t>
      </w:r>
    </w:p>
    <w:p w14:paraId="5D784160" w14:textId="1318BD90" w:rsidR="004E216B" w:rsidRPr="00255E62" w:rsidRDefault="004E216B" w:rsidP="004E216B">
      <w:pPr>
        <w:widowControl/>
        <w:tabs>
          <w:tab w:val="left" w:pos="1890"/>
          <w:tab w:val="left" w:pos="2430"/>
        </w:tabs>
        <w:autoSpaceDE/>
        <w:autoSpaceDN/>
        <w:adjustRightInd/>
        <w:contextualSpacing/>
        <w:rPr>
          <w:rFonts w:cs="Calibri"/>
        </w:rPr>
      </w:pPr>
      <w:r w:rsidRPr="6D3D0AE2">
        <w:rPr>
          <w:rFonts w:cs="Calibri"/>
          <w:b/>
          <w:bCs/>
        </w:rPr>
        <w:t xml:space="preserve">Status: </w:t>
      </w:r>
      <w:r w:rsidR="003D4810" w:rsidRPr="003D4810">
        <w:rPr>
          <w:rFonts w:cs="Calibri"/>
        </w:rPr>
        <w:t>This was discussed during quarterly meetings.</w:t>
      </w:r>
      <w:r w:rsidR="003D4810" w:rsidRPr="003D4810">
        <w:rPr>
          <w:rFonts w:cs="Calibri"/>
          <w:b/>
          <w:bCs/>
        </w:rPr>
        <w:t xml:space="preserve">  </w:t>
      </w:r>
      <w:r w:rsidR="003D4810" w:rsidRPr="003D4810">
        <w:rPr>
          <w:rFonts w:cs="Calibri"/>
        </w:rPr>
        <w:t xml:space="preserve">OSHA will monitor information </w:t>
      </w:r>
      <w:r w:rsidR="00EE219E">
        <w:rPr>
          <w:rFonts w:cs="Calibri"/>
        </w:rPr>
        <w:t xml:space="preserve">related to </w:t>
      </w:r>
      <w:r w:rsidR="00A530F0">
        <w:rPr>
          <w:rFonts w:cs="Calibri"/>
        </w:rPr>
        <w:t xml:space="preserve">complaint investigations </w:t>
      </w:r>
      <w:r w:rsidR="003D4810" w:rsidRPr="003D4810">
        <w:rPr>
          <w:rFonts w:cs="Calibri"/>
        </w:rPr>
        <w:t xml:space="preserve">in the next review period </w:t>
      </w:r>
      <w:r w:rsidR="00592D45">
        <w:rPr>
          <w:rFonts w:cs="Calibri"/>
        </w:rPr>
        <w:t>using</w:t>
      </w:r>
      <w:r w:rsidR="003D4810" w:rsidRPr="003D4810">
        <w:rPr>
          <w:rFonts w:cs="Calibri"/>
        </w:rPr>
        <w:t xml:space="preserve"> the new, re-negotiated FY 2025 SAMM metrics. </w:t>
      </w:r>
      <w:r w:rsidR="00592D45">
        <w:rPr>
          <w:rFonts w:cs="Calibri"/>
        </w:rPr>
        <w:t>As there is no further review level for this metric, t</w:t>
      </w:r>
      <w:r w:rsidR="00592D45" w:rsidRPr="003D4810">
        <w:rPr>
          <w:rFonts w:cs="Calibri"/>
        </w:rPr>
        <w:t xml:space="preserve">his </w:t>
      </w:r>
      <w:r w:rsidR="003D4810" w:rsidRPr="003D4810">
        <w:rPr>
          <w:rFonts w:cs="Calibri"/>
        </w:rPr>
        <w:t>observation is closed. </w:t>
      </w:r>
    </w:p>
    <w:p w14:paraId="2F7D8674" w14:textId="77777777" w:rsidR="004E216B" w:rsidRDefault="004E216B" w:rsidP="0055156C">
      <w:pPr>
        <w:widowControl/>
        <w:autoSpaceDE/>
        <w:autoSpaceDN/>
        <w:adjustRightInd/>
        <w:rPr>
          <w:rFonts w:cs="Calibri"/>
          <w:b/>
          <w:bCs/>
        </w:rPr>
      </w:pPr>
    </w:p>
    <w:p w14:paraId="70BAE55D" w14:textId="1106086A" w:rsidR="0055156C" w:rsidRPr="00A81A8B" w:rsidRDefault="0055156C" w:rsidP="0055156C">
      <w:pPr>
        <w:widowControl/>
        <w:autoSpaceDE/>
        <w:autoSpaceDN/>
        <w:adjustRightInd/>
        <w:rPr>
          <w:rFonts w:cs="Calibri"/>
        </w:rPr>
      </w:pPr>
      <w:r w:rsidRPr="0E61BA99">
        <w:rPr>
          <w:rFonts w:cs="Calibri"/>
          <w:b/>
          <w:bCs/>
        </w:rPr>
        <w:t xml:space="preserve">Observation </w:t>
      </w:r>
      <w:r w:rsidRPr="0E61BA99">
        <w:rPr>
          <w:rFonts w:asciiTheme="minorHAnsi" w:eastAsia="Calibri" w:hAnsiTheme="minorHAnsi" w:cstheme="minorBidi"/>
          <w:b/>
          <w:bCs/>
        </w:rPr>
        <w:t xml:space="preserve">FY </w:t>
      </w:r>
      <w:r w:rsidRPr="0E61BA99">
        <w:rPr>
          <w:rFonts w:cs="Calibri"/>
          <w:b/>
        </w:rPr>
        <w:t>2023-OB-05</w:t>
      </w:r>
      <w:r w:rsidRPr="0E61BA99">
        <w:rPr>
          <w:rFonts w:cs="Calibri"/>
          <w:b/>
          <w:bCs/>
        </w:rPr>
        <w:t>:</w:t>
      </w:r>
      <w:r w:rsidRPr="0E61BA99">
        <w:rPr>
          <w:rFonts w:cs="Calibri"/>
          <w:b/>
        </w:rPr>
        <w:t xml:space="preserve"> </w:t>
      </w:r>
      <w:r w:rsidRPr="0E61BA99">
        <w:rPr>
          <w:rFonts w:cs="Calibri"/>
        </w:rPr>
        <w:t>Cal/OSHA conducted health sampling in 0.5% of their enforcement inspections.</w:t>
      </w:r>
    </w:p>
    <w:p w14:paraId="25B61807" w14:textId="5F0445A4" w:rsidR="0E61BA99" w:rsidRDefault="0055156C" w:rsidP="0E61BA99">
      <w:pPr>
        <w:widowControl/>
        <w:tabs>
          <w:tab w:val="left" w:pos="1890"/>
          <w:tab w:val="left" w:pos="2430"/>
        </w:tabs>
        <w:contextualSpacing/>
        <w:rPr>
          <w:rFonts w:cs="Calibri"/>
        </w:rPr>
      </w:pPr>
      <w:r w:rsidRPr="691926B5">
        <w:rPr>
          <w:rFonts w:cs="Calibri"/>
          <w:b/>
          <w:bCs/>
        </w:rPr>
        <w:t>Status:</w:t>
      </w:r>
      <w:r w:rsidRPr="691926B5">
        <w:rPr>
          <w:rFonts w:cs="Calibri"/>
        </w:rPr>
        <w:t xml:space="preserve"> </w:t>
      </w:r>
      <w:bookmarkStart w:id="22" w:name="_Hlk191630973"/>
      <w:r w:rsidR="002F6E6A" w:rsidRPr="691926B5">
        <w:rPr>
          <w:rFonts w:cs="Calibri"/>
        </w:rPr>
        <w:t xml:space="preserve">This was discussed during quarterly meetings.  </w:t>
      </w:r>
      <w:bookmarkEnd w:id="22"/>
      <w:r w:rsidR="00592D45">
        <w:rPr>
          <w:rFonts w:cs="Calibri"/>
        </w:rPr>
        <w:t>As there is no further review level for this metric, t</w:t>
      </w:r>
      <w:r w:rsidR="000E4098" w:rsidRPr="691926B5">
        <w:rPr>
          <w:rFonts w:cs="Calibri"/>
        </w:rPr>
        <w:t>his observation is closed. </w:t>
      </w:r>
    </w:p>
    <w:p w14:paraId="37DD7C33" w14:textId="711ED6BF" w:rsidR="6AB43BC4" w:rsidRDefault="6AB43BC4" w:rsidP="6AB43BC4">
      <w:pPr>
        <w:widowControl/>
        <w:tabs>
          <w:tab w:val="left" w:pos="1890"/>
          <w:tab w:val="left" w:pos="2430"/>
        </w:tabs>
        <w:contextualSpacing/>
        <w:rPr>
          <w:rFonts w:cs="Calibri"/>
        </w:rPr>
      </w:pPr>
    </w:p>
    <w:p w14:paraId="6CCB4ED6" w14:textId="244F1BD4" w:rsidR="0E61BA99" w:rsidRDefault="0E61BA99">
      <w:r>
        <w:br w:type="page"/>
      </w:r>
    </w:p>
    <w:p w14:paraId="3B828F9D" w14:textId="0FF37BF3" w:rsidR="00F132A8" w:rsidRPr="0061362E" w:rsidRDefault="00945185" w:rsidP="00E1525B">
      <w:pPr>
        <w:pStyle w:val="Heading3"/>
      </w:pPr>
      <w:bookmarkStart w:id="23" w:name="_Toc118900177"/>
      <w:bookmarkStart w:id="24" w:name="_Toc118905016"/>
      <w:r>
        <w:t xml:space="preserve">     </w:t>
      </w:r>
      <w:bookmarkStart w:id="25" w:name="_Toc128053011"/>
      <w:r>
        <w:t xml:space="preserve">C.  </w:t>
      </w:r>
      <w:r w:rsidR="00F132A8" w:rsidRPr="0061362E">
        <w:t>State Activity Mandated Measures (SAMM)</w:t>
      </w:r>
      <w:r w:rsidR="00A243D6" w:rsidRPr="0061362E">
        <w:t xml:space="preserve"> Highlights</w:t>
      </w:r>
      <w:bookmarkEnd w:id="23"/>
      <w:bookmarkEnd w:id="24"/>
      <w:bookmarkEnd w:id="25"/>
    </w:p>
    <w:p w14:paraId="1ACC4DE2" w14:textId="77777777" w:rsidR="00F132A8" w:rsidRPr="00C9126D" w:rsidRDefault="00F132A8" w:rsidP="007E0AAB">
      <w:pPr>
        <w:widowControl/>
        <w:autoSpaceDE/>
        <w:autoSpaceDN/>
        <w:adjustRightInd/>
        <w:ind w:left="720"/>
        <w:contextualSpacing/>
        <w:rPr>
          <w:rFonts w:cs="Calibri"/>
        </w:rPr>
      </w:pPr>
    </w:p>
    <w:p w14:paraId="092EA87B" w14:textId="21DA026F" w:rsidR="00FD3BFE" w:rsidRDefault="00E47893" w:rsidP="007E0AAB">
      <w:pPr>
        <w:widowControl/>
        <w:autoSpaceDE/>
        <w:adjustRightInd/>
        <w:rPr>
          <w:rFonts w:cs="Calibri"/>
        </w:rPr>
      </w:pPr>
      <w:r w:rsidRPr="2F2FC00C">
        <w:rPr>
          <w:rFonts w:cs="Calibri"/>
        </w:rPr>
        <w:t xml:space="preserve">Each SAMM has an agreed upon </w:t>
      </w:r>
      <w:r w:rsidR="003443E9" w:rsidRPr="003443E9">
        <w:rPr>
          <w:rFonts w:cs="Calibri"/>
        </w:rPr>
        <w:t>Further Review Level (FRL)</w:t>
      </w:r>
      <w:r w:rsidR="005C0D7E">
        <w:rPr>
          <w:rFonts w:cs="Calibri"/>
        </w:rPr>
        <w:t>,</w:t>
      </w:r>
      <w:r w:rsidRPr="2F2FC00C">
        <w:rPr>
          <w:rFonts w:cs="Calibri"/>
        </w:rPr>
        <w:t xml:space="preserve"> which can be either a single number, or a range of numbers above and below the</w:t>
      </w:r>
      <w:r w:rsidR="00AF1F7A">
        <w:rPr>
          <w:rFonts w:cs="Calibri"/>
        </w:rPr>
        <w:t xml:space="preserve"> </w:t>
      </w:r>
      <w:r w:rsidRPr="007351EF">
        <w:rPr>
          <w:rFonts w:cs="Calibri"/>
        </w:rPr>
        <w:t>national average</w:t>
      </w:r>
      <w:r w:rsidRPr="2F2FC00C">
        <w:rPr>
          <w:rFonts w:cs="Calibri"/>
        </w:rPr>
        <w:t>.  State Plan SAMM data that falls outside the FRL triggers a closer look at the underlying performance of the mandatory activity.  Appendix D presents the State Plan’s FY 202</w:t>
      </w:r>
      <w:r w:rsidR="00157490">
        <w:rPr>
          <w:rFonts w:cs="Calibri"/>
        </w:rPr>
        <w:t>4</w:t>
      </w:r>
      <w:r w:rsidRPr="2F2FC00C">
        <w:rPr>
          <w:rFonts w:cs="Calibri"/>
        </w:rPr>
        <w:t xml:space="preserve"> SAMM Report and includes the FRLs for each measure</w:t>
      </w:r>
      <w:r w:rsidR="004E7FDE">
        <w:rPr>
          <w:rFonts w:cs="Calibri"/>
        </w:rPr>
        <w:t>.</w:t>
      </w:r>
    </w:p>
    <w:p w14:paraId="619EB6E5" w14:textId="77777777" w:rsidR="004E7FDE" w:rsidRDefault="004E7FDE" w:rsidP="007E0AAB">
      <w:pPr>
        <w:widowControl/>
        <w:autoSpaceDE/>
        <w:adjustRightInd/>
        <w:rPr>
          <w:rFonts w:cs="Calibri"/>
        </w:rPr>
      </w:pPr>
    </w:p>
    <w:p w14:paraId="50645DD8" w14:textId="2E145750" w:rsidR="00DF5216" w:rsidRDefault="00DF5216" w:rsidP="00DF5216">
      <w:pPr>
        <w:widowControl/>
        <w:autoSpaceDE/>
        <w:adjustRightInd/>
        <w:rPr>
          <w:rFonts w:cs="Calibri"/>
        </w:rPr>
      </w:pPr>
      <w:r w:rsidRPr="5E2C4AF3">
        <w:rPr>
          <w:rFonts w:cs="Calibri"/>
        </w:rPr>
        <w:t xml:space="preserve">The </w:t>
      </w:r>
      <w:r>
        <w:rPr>
          <w:rFonts w:cs="Calibri"/>
        </w:rPr>
        <w:t xml:space="preserve">California </w:t>
      </w:r>
      <w:r w:rsidRPr="5E2C4AF3">
        <w:rPr>
          <w:rFonts w:cs="Calibri"/>
        </w:rPr>
        <w:t>State Plan was outside the FRL on the following SAMMs that have not been previously addressed in this report:</w:t>
      </w:r>
    </w:p>
    <w:p w14:paraId="4DDF6CE5" w14:textId="77777777" w:rsidR="00B17D30" w:rsidRPr="00C9126D" w:rsidRDefault="00B17D30" w:rsidP="007E0AAB">
      <w:pPr>
        <w:widowControl/>
        <w:autoSpaceDE/>
        <w:adjustRightInd/>
        <w:rPr>
          <w:rFonts w:cs="Calibri"/>
          <w:bCs/>
        </w:rPr>
      </w:pPr>
      <w:bookmarkStart w:id="26" w:name="_Hlk124318556"/>
    </w:p>
    <w:p w14:paraId="5B9037F2" w14:textId="77777777" w:rsidR="003E5604" w:rsidRDefault="003E5604" w:rsidP="007E0AAB">
      <w:pPr>
        <w:widowControl/>
        <w:autoSpaceDE/>
        <w:autoSpaceDN/>
        <w:adjustRightInd/>
        <w:rPr>
          <w:rFonts w:cs="Calibri"/>
          <w:b/>
        </w:rPr>
      </w:pPr>
      <w:bookmarkStart w:id="27" w:name="_Hlk124337337"/>
      <w:bookmarkEnd w:id="26"/>
      <w:r w:rsidRPr="001C1E47">
        <w:rPr>
          <w:rFonts w:cs="Calibri"/>
          <w:b/>
        </w:rPr>
        <w:t xml:space="preserve">SAMM </w:t>
      </w:r>
      <w:r>
        <w:rPr>
          <w:rFonts w:cs="Calibri"/>
          <w:b/>
        </w:rPr>
        <w:t>5b</w:t>
      </w:r>
      <w:r w:rsidRPr="001C1E47">
        <w:rPr>
          <w:rFonts w:cs="Calibri"/>
          <w:b/>
        </w:rPr>
        <w:t xml:space="preserve"> – </w:t>
      </w:r>
      <w:r w:rsidRPr="00400F8E">
        <w:rPr>
          <w:rFonts w:cs="Calibri"/>
          <w:b/>
        </w:rPr>
        <w:t xml:space="preserve">Average </w:t>
      </w:r>
      <w:bookmarkEnd w:id="27"/>
      <w:r>
        <w:rPr>
          <w:rFonts w:cs="Calibri"/>
          <w:b/>
        </w:rPr>
        <w:t>N</w:t>
      </w:r>
      <w:r w:rsidRPr="00400F8E">
        <w:rPr>
          <w:rFonts w:cs="Calibri"/>
          <w:b/>
        </w:rPr>
        <w:t>umber of</w:t>
      </w:r>
      <w:r>
        <w:rPr>
          <w:rFonts w:cs="Calibri"/>
          <w:b/>
        </w:rPr>
        <w:t xml:space="preserve"> V</w:t>
      </w:r>
      <w:r w:rsidRPr="00530745">
        <w:rPr>
          <w:rFonts w:cs="Calibri"/>
          <w:b/>
        </w:rPr>
        <w:t xml:space="preserve">iolations per </w:t>
      </w:r>
      <w:r>
        <w:rPr>
          <w:rFonts w:cs="Calibri"/>
          <w:b/>
        </w:rPr>
        <w:t>I</w:t>
      </w:r>
      <w:r w:rsidRPr="00530745">
        <w:rPr>
          <w:rFonts w:cs="Calibri"/>
          <w:b/>
        </w:rPr>
        <w:t xml:space="preserve">nspection with </w:t>
      </w:r>
      <w:r>
        <w:rPr>
          <w:rFonts w:cs="Calibri"/>
          <w:b/>
        </w:rPr>
        <w:t>V</w:t>
      </w:r>
      <w:r w:rsidRPr="00530745">
        <w:rPr>
          <w:rFonts w:cs="Calibri"/>
          <w:b/>
        </w:rPr>
        <w:t xml:space="preserve">iolations by </w:t>
      </w:r>
      <w:r>
        <w:rPr>
          <w:rFonts w:cs="Calibri"/>
          <w:b/>
        </w:rPr>
        <w:t>V</w:t>
      </w:r>
      <w:r w:rsidRPr="00530745">
        <w:rPr>
          <w:rFonts w:cs="Calibri"/>
          <w:b/>
        </w:rPr>
        <w:t xml:space="preserve">iolation </w:t>
      </w:r>
      <w:r>
        <w:rPr>
          <w:rFonts w:cs="Calibri"/>
          <w:b/>
        </w:rPr>
        <w:t>T</w:t>
      </w:r>
      <w:r w:rsidRPr="00530745">
        <w:rPr>
          <w:rFonts w:cs="Calibri"/>
          <w:b/>
        </w:rPr>
        <w:t>ype (</w:t>
      </w:r>
      <w:r>
        <w:rPr>
          <w:rFonts w:cs="Calibri"/>
          <w:b/>
        </w:rPr>
        <w:t>O</w:t>
      </w:r>
      <w:r w:rsidRPr="00530745">
        <w:rPr>
          <w:rFonts w:cs="Calibri"/>
          <w:b/>
        </w:rPr>
        <w:t>ther)</w:t>
      </w:r>
    </w:p>
    <w:p w14:paraId="46BF2FE8" w14:textId="77777777" w:rsidR="003E5604" w:rsidRDefault="003E5604" w:rsidP="007E0AAB">
      <w:pPr>
        <w:widowControl/>
        <w:autoSpaceDE/>
        <w:autoSpaceDN/>
        <w:adjustRightInd/>
        <w:rPr>
          <w:rFonts w:cs="Calibri"/>
          <w:b/>
        </w:rPr>
      </w:pPr>
    </w:p>
    <w:p w14:paraId="2F9DADD3" w14:textId="1EAE15B3" w:rsidR="003E5604" w:rsidRDefault="003E5604" w:rsidP="007E0AAB">
      <w:pPr>
        <w:widowControl/>
        <w:autoSpaceDE/>
        <w:autoSpaceDN/>
        <w:adjustRightInd/>
        <w:rPr>
          <w:rFonts w:cs="Calibri"/>
        </w:rPr>
      </w:pPr>
      <w:bookmarkStart w:id="28" w:name="_Hlk188365906"/>
      <w:r w:rsidRPr="55BAC008">
        <w:rPr>
          <w:rFonts w:cs="Calibri"/>
          <w:b/>
          <w:bCs/>
        </w:rPr>
        <w:t>Discussion of State Plan Data and FRL:</w:t>
      </w:r>
      <w:r w:rsidRPr="001C1E47">
        <w:rPr>
          <w:rFonts w:cs="Calibri"/>
        </w:rPr>
        <w:t xml:space="preserve"> </w:t>
      </w:r>
      <w:r>
        <w:rPr>
          <w:rFonts w:cs="Calibri"/>
        </w:rPr>
        <w:t xml:space="preserve"> </w:t>
      </w:r>
      <w:bookmarkEnd w:id="28"/>
      <w:r w:rsidRPr="00B41AB3">
        <w:rPr>
          <w:rFonts w:cs="Calibri"/>
        </w:rPr>
        <w:t>The FRL for average number of violations per inspection with violations by violation type (</w:t>
      </w:r>
      <w:r>
        <w:rPr>
          <w:rFonts w:cs="Calibri"/>
        </w:rPr>
        <w:t>other</w:t>
      </w:r>
      <w:r w:rsidRPr="00B41AB3">
        <w:rPr>
          <w:rFonts w:cs="Calibri"/>
        </w:rPr>
        <w:t xml:space="preserve">) is +/- 20% of the three-year national average of </w:t>
      </w:r>
      <w:r>
        <w:rPr>
          <w:rFonts w:cs="Calibri"/>
        </w:rPr>
        <w:t>0.</w:t>
      </w:r>
      <w:r w:rsidRPr="55BAC008">
        <w:rPr>
          <w:rFonts w:cs="Calibri"/>
        </w:rPr>
        <w:t>9</w:t>
      </w:r>
      <w:r w:rsidR="0071278B" w:rsidRPr="55BAC008">
        <w:rPr>
          <w:rFonts w:cs="Calibri"/>
        </w:rPr>
        <w:t>4</w:t>
      </w:r>
      <w:r w:rsidRPr="00B41AB3">
        <w:rPr>
          <w:rFonts w:cs="Calibri"/>
        </w:rPr>
        <w:t xml:space="preserve"> which equals a range of</w:t>
      </w:r>
      <w:r w:rsidRPr="55BAC008" w:rsidDel="00094F96">
        <w:rPr>
          <w:rFonts w:eastAsia="Calibri" w:cs="Calibri"/>
          <w:sz w:val="22"/>
          <w:szCs w:val="22"/>
        </w:rPr>
        <w:t xml:space="preserve"> </w:t>
      </w:r>
      <w:r w:rsidR="00094F96" w:rsidRPr="6E5B07DA">
        <w:rPr>
          <w:rFonts w:eastAsia="Calibri" w:cs="Calibri"/>
          <w:sz w:val="22"/>
          <w:szCs w:val="22"/>
        </w:rPr>
        <w:t>0.75 to 1.</w:t>
      </w:r>
      <w:r w:rsidR="00094F96" w:rsidRPr="55BAC008">
        <w:rPr>
          <w:rFonts w:eastAsia="Calibri" w:cs="Calibri"/>
          <w:sz w:val="22"/>
          <w:szCs w:val="22"/>
        </w:rPr>
        <w:t>12</w:t>
      </w:r>
      <w:r w:rsidRPr="55BAC008">
        <w:rPr>
          <w:rFonts w:cs="Calibri"/>
        </w:rPr>
        <w:t>.</w:t>
      </w:r>
      <w:r w:rsidRPr="00B41AB3">
        <w:rPr>
          <w:rFonts w:cs="Calibri"/>
        </w:rPr>
        <w:t xml:space="preserve">  </w:t>
      </w:r>
      <w:r w:rsidR="00DA5227">
        <w:rPr>
          <w:rFonts w:cs="Calibri"/>
        </w:rPr>
        <w:t>Cal</w:t>
      </w:r>
      <w:r w:rsidR="006E59A4">
        <w:rPr>
          <w:rFonts w:cs="Calibri"/>
        </w:rPr>
        <w:t xml:space="preserve">/OSHA’s </w:t>
      </w:r>
      <w:r w:rsidRPr="00B41AB3">
        <w:rPr>
          <w:rFonts w:cs="Calibri"/>
        </w:rPr>
        <w:t xml:space="preserve">average number of </w:t>
      </w:r>
      <w:r>
        <w:rPr>
          <w:rFonts w:cs="Calibri"/>
        </w:rPr>
        <w:t>other</w:t>
      </w:r>
      <w:r w:rsidRPr="00B41AB3">
        <w:rPr>
          <w:rFonts w:cs="Calibri"/>
        </w:rPr>
        <w:t xml:space="preserve"> violations was </w:t>
      </w:r>
      <w:r>
        <w:rPr>
          <w:rFonts w:cs="Calibri"/>
        </w:rPr>
        <w:t>above</w:t>
      </w:r>
      <w:r w:rsidRPr="00B41AB3">
        <w:rPr>
          <w:rFonts w:cs="Calibri"/>
        </w:rPr>
        <w:t xml:space="preserve"> the FRL </w:t>
      </w:r>
      <w:r>
        <w:rPr>
          <w:rFonts w:cs="Calibri"/>
        </w:rPr>
        <w:t xml:space="preserve">range </w:t>
      </w:r>
      <w:r w:rsidRPr="00B41AB3">
        <w:rPr>
          <w:rFonts w:cs="Calibri"/>
        </w:rPr>
        <w:t xml:space="preserve">at </w:t>
      </w:r>
      <w:r w:rsidR="006E59A4">
        <w:rPr>
          <w:rFonts w:cs="Calibri"/>
        </w:rPr>
        <w:t>2.</w:t>
      </w:r>
      <w:r w:rsidR="00094F96" w:rsidRPr="55BAC008">
        <w:rPr>
          <w:rFonts w:cs="Calibri"/>
        </w:rPr>
        <w:t>23.</w:t>
      </w:r>
    </w:p>
    <w:p w14:paraId="4F2249A0" w14:textId="77777777" w:rsidR="003E5604" w:rsidRDefault="003E5604" w:rsidP="007E0AAB">
      <w:pPr>
        <w:widowControl/>
        <w:autoSpaceDE/>
        <w:autoSpaceDN/>
        <w:adjustRightInd/>
        <w:rPr>
          <w:rFonts w:cs="Calibri"/>
        </w:rPr>
      </w:pPr>
    </w:p>
    <w:p w14:paraId="0C7CCC58" w14:textId="584ABC03" w:rsidR="00552D08" w:rsidRPr="00552D08" w:rsidRDefault="003E5604" w:rsidP="00552D08">
      <w:pPr>
        <w:widowControl/>
        <w:autoSpaceDE/>
        <w:adjustRightInd/>
        <w:rPr>
          <w:rFonts w:asciiTheme="minorHAnsi" w:hAnsiTheme="minorHAnsi" w:cstheme="minorBidi"/>
        </w:rPr>
      </w:pPr>
      <w:r w:rsidRPr="6AB43BC4">
        <w:rPr>
          <w:rFonts w:cs="Calibri"/>
          <w:b/>
          <w:bCs/>
        </w:rPr>
        <w:t>Explanation:</w:t>
      </w:r>
      <w:r w:rsidRPr="6AB43BC4">
        <w:rPr>
          <w:rFonts w:cs="Calibri"/>
        </w:rPr>
        <w:t xml:space="preserve">  </w:t>
      </w:r>
      <w:r w:rsidR="00A57A14">
        <w:rPr>
          <w:rFonts w:cs="Calibri"/>
        </w:rPr>
        <w:t>It is not surprising that this</w:t>
      </w:r>
      <w:r w:rsidR="00BC2996" w:rsidRPr="00BC2996">
        <w:rPr>
          <w:rFonts w:cs="Calibri"/>
        </w:rPr>
        <w:t xml:space="preserve"> </w:t>
      </w:r>
      <w:r w:rsidR="006B2ADD" w:rsidRPr="00BC2996">
        <w:rPr>
          <w:rFonts w:cs="Calibri"/>
        </w:rPr>
        <w:t>data falls</w:t>
      </w:r>
      <w:r w:rsidR="00BC2996" w:rsidRPr="00BC2996">
        <w:rPr>
          <w:rFonts w:cs="Calibri"/>
        </w:rPr>
        <w:t xml:space="preserve"> above the FRL due to the </w:t>
      </w:r>
      <w:r w:rsidR="000E7D9B">
        <w:rPr>
          <w:rFonts w:cs="Calibri"/>
        </w:rPr>
        <w:t>s</w:t>
      </w:r>
      <w:r w:rsidR="00BC2996" w:rsidRPr="00BC2996">
        <w:rPr>
          <w:rFonts w:cs="Calibri"/>
        </w:rPr>
        <w:t xml:space="preserve">tate’s ability to issue citations to employers for unique state-specific standards.  This included deficiencies related to safety and health programs or not ensuring safety committees and/or meetings were held.  These violations tend to be classified as </w:t>
      </w:r>
      <w:r w:rsidR="00C03522">
        <w:rPr>
          <w:rFonts w:cs="Calibri"/>
        </w:rPr>
        <w:t xml:space="preserve">other than </w:t>
      </w:r>
      <w:r w:rsidR="00BC2996" w:rsidRPr="00BC2996">
        <w:rPr>
          <w:rFonts w:cs="Calibri"/>
        </w:rPr>
        <w:t xml:space="preserve">serious, increasing the average number of </w:t>
      </w:r>
      <w:r w:rsidR="00145793">
        <w:rPr>
          <w:rFonts w:cs="Calibri"/>
        </w:rPr>
        <w:t>these</w:t>
      </w:r>
      <w:r w:rsidR="00BC2996" w:rsidRPr="00BC2996">
        <w:rPr>
          <w:rFonts w:cs="Calibri"/>
        </w:rPr>
        <w:t xml:space="preserve"> violations per inspection.  </w:t>
      </w:r>
      <w:r w:rsidR="00753F25">
        <w:rPr>
          <w:rFonts w:cs="Calibri"/>
        </w:rPr>
        <w:t>Performance on this measure indicates that</w:t>
      </w:r>
      <w:r w:rsidR="00BC2996" w:rsidRPr="00BC2996">
        <w:rPr>
          <w:rFonts w:cs="Calibri"/>
        </w:rPr>
        <w:t xml:space="preserve"> compliance officers identified more </w:t>
      </w:r>
      <w:r w:rsidR="00416A73">
        <w:rPr>
          <w:rFonts w:cs="Calibri"/>
        </w:rPr>
        <w:t xml:space="preserve">other than </w:t>
      </w:r>
      <w:r w:rsidR="00E52C90">
        <w:rPr>
          <w:rFonts w:cs="Calibri"/>
        </w:rPr>
        <w:t xml:space="preserve">serious </w:t>
      </w:r>
      <w:r w:rsidR="00BC2996" w:rsidRPr="00BC2996">
        <w:rPr>
          <w:rFonts w:cs="Calibri"/>
        </w:rPr>
        <w:t xml:space="preserve">hazards than the national average.  OSHA will continue to monitor this data through the SAMM report, and </w:t>
      </w:r>
      <w:r w:rsidR="00753F25">
        <w:rPr>
          <w:rFonts w:cs="Calibri"/>
        </w:rPr>
        <w:t>violation classification</w:t>
      </w:r>
      <w:r w:rsidR="00BC2996" w:rsidRPr="00BC2996">
        <w:rPr>
          <w:rFonts w:cs="Calibri"/>
        </w:rPr>
        <w:t xml:space="preserve"> will be a focus during the FY 2025 Comprehensive FAME case file review.  </w:t>
      </w:r>
      <w:r w:rsidR="005400EA" w:rsidRPr="55BAC008">
        <w:rPr>
          <w:rFonts w:asciiTheme="minorHAnsi" w:hAnsiTheme="minorHAnsi" w:cstheme="minorBidi"/>
        </w:rPr>
        <w:t xml:space="preserve"> </w:t>
      </w:r>
    </w:p>
    <w:p w14:paraId="1E2E7FED" w14:textId="334AC482" w:rsidR="00957401" w:rsidRDefault="00957401" w:rsidP="007E0AAB">
      <w:pPr>
        <w:widowControl/>
        <w:autoSpaceDE/>
        <w:adjustRightInd/>
        <w:rPr>
          <w:rFonts w:cs="Calibri"/>
        </w:rPr>
      </w:pPr>
    </w:p>
    <w:p w14:paraId="08C1D899" w14:textId="4A439817" w:rsidR="008B5F0E" w:rsidRPr="00C9126D" w:rsidRDefault="008B5F0E" w:rsidP="007E0AAB">
      <w:pPr>
        <w:widowControl/>
        <w:autoSpaceDE/>
        <w:adjustRightInd/>
        <w:rPr>
          <w:rFonts w:cs="Calibri"/>
          <w:b/>
        </w:rPr>
      </w:pPr>
      <w:r w:rsidRPr="00C9126D">
        <w:rPr>
          <w:rFonts w:cs="Calibri"/>
          <w:b/>
        </w:rPr>
        <w:t xml:space="preserve">SAMM </w:t>
      </w:r>
      <w:r>
        <w:rPr>
          <w:rFonts w:cs="Calibri"/>
          <w:b/>
        </w:rPr>
        <w:t>6</w:t>
      </w:r>
      <w:r w:rsidRPr="00C9126D">
        <w:rPr>
          <w:rFonts w:cs="Calibri"/>
          <w:b/>
        </w:rPr>
        <w:t xml:space="preserve"> – </w:t>
      </w:r>
      <w:r w:rsidR="005A0B2E">
        <w:rPr>
          <w:rFonts w:cs="Calibri"/>
          <w:b/>
        </w:rPr>
        <w:t xml:space="preserve">Percent of </w:t>
      </w:r>
      <w:r w:rsidR="00CA0782">
        <w:rPr>
          <w:rFonts w:cs="Calibri"/>
          <w:b/>
        </w:rPr>
        <w:t>Total Inspections in State and Local Government Workplaces</w:t>
      </w:r>
      <w:r>
        <w:rPr>
          <w:rFonts w:cs="Calibri"/>
          <w:b/>
        </w:rPr>
        <w:t xml:space="preserve"> </w:t>
      </w:r>
    </w:p>
    <w:p w14:paraId="3540F2C5" w14:textId="77777777" w:rsidR="008B5F0E" w:rsidRDefault="008B5F0E" w:rsidP="007E0AAB">
      <w:pPr>
        <w:widowControl/>
        <w:autoSpaceDE/>
        <w:adjustRightInd/>
        <w:rPr>
          <w:rFonts w:cs="Calibri"/>
          <w:b/>
        </w:rPr>
      </w:pPr>
    </w:p>
    <w:p w14:paraId="0CE66BD9" w14:textId="35B07878" w:rsidR="00887F16" w:rsidRDefault="681027DC" w:rsidP="007E0AAB">
      <w:pPr>
        <w:widowControl/>
        <w:autoSpaceDE/>
        <w:adjustRightInd/>
        <w:rPr>
          <w:rFonts w:cs="Calibri"/>
        </w:rPr>
      </w:pPr>
      <w:r w:rsidRPr="1E8FD191">
        <w:rPr>
          <w:rFonts w:cs="Calibri"/>
          <w:b/>
          <w:bCs/>
        </w:rPr>
        <w:t>Discussion of State Plan Data and FRL:</w:t>
      </w:r>
      <w:r w:rsidRPr="1E8FD191">
        <w:rPr>
          <w:rFonts w:cs="Calibri"/>
        </w:rPr>
        <w:t xml:space="preserve">  </w:t>
      </w:r>
      <w:r w:rsidR="00CA0782" w:rsidRPr="1E8FD191">
        <w:rPr>
          <w:rFonts w:cs="Calibri"/>
        </w:rPr>
        <w:t>The FRL for SAMM 6</w:t>
      </w:r>
      <w:r w:rsidR="7C3B0F5A" w:rsidRPr="1E8FD191">
        <w:rPr>
          <w:rFonts w:cs="Calibri"/>
        </w:rPr>
        <w:t>, percent of total inspections in state and local government workplaces</w:t>
      </w:r>
      <w:r w:rsidR="588A564A" w:rsidRPr="1E8FD191">
        <w:rPr>
          <w:rFonts w:cs="Calibri"/>
        </w:rPr>
        <w:t xml:space="preserve">, is +/- 5% of the </w:t>
      </w:r>
      <w:r w:rsidR="5DAAF9B9" w:rsidRPr="1E8FD191">
        <w:rPr>
          <w:rFonts w:cs="Calibri"/>
        </w:rPr>
        <w:t xml:space="preserve">planned </w:t>
      </w:r>
      <w:r w:rsidR="78BADA27" w:rsidRPr="1E8FD191">
        <w:rPr>
          <w:rFonts w:cs="Calibri"/>
        </w:rPr>
        <w:t>5.98</w:t>
      </w:r>
      <w:r w:rsidR="223F494D" w:rsidRPr="1E8FD191">
        <w:rPr>
          <w:rFonts w:cs="Calibri"/>
        </w:rPr>
        <w:t>%</w:t>
      </w:r>
      <w:r w:rsidR="5270C9D0" w:rsidRPr="1E8FD191">
        <w:rPr>
          <w:rFonts w:cs="Calibri"/>
        </w:rPr>
        <w:t xml:space="preserve"> </w:t>
      </w:r>
      <w:r w:rsidR="5DAAF9B9" w:rsidRPr="1E8FD191">
        <w:rPr>
          <w:rFonts w:cs="Calibri"/>
        </w:rPr>
        <w:t xml:space="preserve">inspections in the </w:t>
      </w:r>
      <w:bookmarkStart w:id="29" w:name="_Int_qse19QJa"/>
      <w:r w:rsidR="1FE6B7F2" w:rsidRPr="1E8FD191">
        <w:rPr>
          <w:rFonts w:cs="Calibri"/>
        </w:rPr>
        <w:t>23(g) grant</w:t>
      </w:r>
      <w:bookmarkEnd w:id="29"/>
      <w:r w:rsidR="1FE6B7F2" w:rsidRPr="1E8FD191">
        <w:rPr>
          <w:rFonts w:cs="Calibri"/>
        </w:rPr>
        <w:t xml:space="preserve"> application.  </w:t>
      </w:r>
      <w:r w:rsidR="005C0D7E" w:rsidRPr="1E8FD191">
        <w:rPr>
          <w:rFonts w:cs="Calibri"/>
        </w:rPr>
        <w:t xml:space="preserve">Cal/OSHA </w:t>
      </w:r>
      <w:r w:rsidR="6FC2CA10" w:rsidRPr="1E8FD191">
        <w:rPr>
          <w:rFonts w:cs="Calibri"/>
        </w:rPr>
        <w:t xml:space="preserve">conducted </w:t>
      </w:r>
      <w:r w:rsidR="136D8697" w:rsidRPr="1E8FD191">
        <w:rPr>
          <w:rFonts w:cs="Calibri"/>
        </w:rPr>
        <w:t>4.79</w:t>
      </w:r>
      <w:r w:rsidR="23561815" w:rsidRPr="1E8FD191">
        <w:rPr>
          <w:rFonts w:cs="Calibri"/>
        </w:rPr>
        <w:t>%</w:t>
      </w:r>
      <w:r w:rsidR="20B61BEC" w:rsidRPr="1E8FD191">
        <w:rPr>
          <w:rFonts w:cs="Calibri"/>
        </w:rPr>
        <w:t xml:space="preserve"> inspections of public sector workplaces </w:t>
      </w:r>
      <w:r w:rsidR="5270C9D0" w:rsidRPr="1E8FD191">
        <w:rPr>
          <w:rFonts w:cs="Calibri"/>
        </w:rPr>
        <w:t xml:space="preserve">and was </w:t>
      </w:r>
      <w:r w:rsidR="23561815" w:rsidRPr="1E8FD191">
        <w:rPr>
          <w:rFonts w:cs="Calibri"/>
        </w:rPr>
        <w:t xml:space="preserve">below </w:t>
      </w:r>
      <w:r w:rsidR="5270C9D0" w:rsidRPr="1E8FD191">
        <w:rPr>
          <w:rFonts w:cs="Calibri"/>
        </w:rPr>
        <w:t xml:space="preserve">the FRL range of </w:t>
      </w:r>
      <w:r w:rsidR="4E175290" w:rsidRPr="1E8FD191">
        <w:rPr>
          <w:rFonts w:cs="Calibri"/>
        </w:rPr>
        <w:t>5.68% to 6.28%.</w:t>
      </w:r>
    </w:p>
    <w:p w14:paraId="7FB3AC10" w14:textId="77777777" w:rsidR="00621072" w:rsidRDefault="00621072" w:rsidP="007E0AAB">
      <w:pPr>
        <w:widowControl/>
        <w:autoSpaceDE/>
        <w:adjustRightInd/>
        <w:rPr>
          <w:rFonts w:cs="Calibri"/>
          <w:bCs/>
        </w:rPr>
      </w:pPr>
    </w:p>
    <w:p w14:paraId="78EBBFE8" w14:textId="1BCCEB25" w:rsidR="00621072" w:rsidRPr="00217E4F" w:rsidRDefault="00621072" w:rsidP="007E0AAB">
      <w:pPr>
        <w:widowControl/>
        <w:autoSpaceDE/>
        <w:adjustRightInd/>
        <w:rPr>
          <w:rFonts w:cs="Calibri"/>
        </w:rPr>
      </w:pPr>
      <w:r w:rsidRPr="68AA6DF9">
        <w:rPr>
          <w:rFonts w:cs="Calibri"/>
          <w:b/>
          <w:bCs/>
        </w:rPr>
        <w:t>Explanation:</w:t>
      </w:r>
      <w:r w:rsidR="00217E4F" w:rsidRPr="68AA6DF9">
        <w:rPr>
          <w:rFonts w:cs="Calibri"/>
        </w:rPr>
        <w:t xml:space="preserve"> </w:t>
      </w:r>
      <w:r w:rsidR="00952CD4" w:rsidRPr="68AA6DF9">
        <w:rPr>
          <w:rFonts w:cs="Calibri"/>
        </w:rPr>
        <w:t xml:space="preserve"> </w:t>
      </w:r>
      <w:r w:rsidR="00350358">
        <w:rPr>
          <w:rFonts w:eastAsia="Calibri" w:cs="Calibri"/>
        </w:rPr>
        <w:t xml:space="preserve">The State Plan fell outside of the FRL on this metric in part because they exceeded their total inspection goal, achieving </w:t>
      </w:r>
      <w:r w:rsidR="008F4B9A">
        <w:rPr>
          <w:rFonts w:eastAsia="Calibri" w:cs="Calibri"/>
        </w:rPr>
        <w:t>6,</w:t>
      </w:r>
      <w:r w:rsidR="005951C3">
        <w:rPr>
          <w:rFonts w:eastAsia="Calibri" w:cs="Calibri"/>
        </w:rPr>
        <w:t xml:space="preserve">436 total inspections compared to a goal of </w:t>
      </w:r>
      <w:r w:rsidR="002A28DB">
        <w:rPr>
          <w:rFonts w:eastAsia="Calibri" w:cs="Calibri"/>
        </w:rPr>
        <w:t>5,850. Cal/OSHA</w:t>
      </w:r>
      <w:r w:rsidR="00B651D9">
        <w:rPr>
          <w:rFonts w:eastAsia="Calibri" w:cs="Calibri"/>
        </w:rPr>
        <w:t xml:space="preserve">’s negotiated goal </w:t>
      </w:r>
      <w:r w:rsidR="00DF0E86">
        <w:rPr>
          <w:rFonts w:eastAsia="Calibri" w:cs="Calibri"/>
        </w:rPr>
        <w:t xml:space="preserve">for SAMM 6 was </w:t>
      </w:r>
      <w:r w:rsidR="001F7564" w:rsidRPr="004566D9">
        <w:rPr>
          <w:rFonts w:eastAsia="Calibri" w:cs="Calibri"/>
        </w:rPr>
        <w:t>350</w:t>
      </w:r>
      <w:r w:rsidR="000A75F6" w:rsidRPr="00DD16E9">
        <w:rPr>
          <w:rFonts w:eastAsia="Calibri" w:cs="Calibri"/>
        </w:rPr>
        <w:t xml:space="preserve"> inspections (</w:t>
      </w:r>
      <w:r w:rsidR="001F7564" w:rsidRPr="004566D9">
        <w:rPr>
          <w:rFonts w:eastAsia="Calibri" w:cs="Calibri"/>
        </w:rPr>
        <w:t>175</w:t>
      </w:r>
      <w:r w:rsidR="000A75F6" w:rsidRPr="00DD16E9">
        <w:rPr>
          <w:rFonts w:eastAsia="Calibri" w:cs="Calibri"/>
        </w:rPr>
        <w:t xml:space="preserve"> health and </w:t>
      </w:r>
      <w:r w:rsidR="001F7564" w:rsidRPr="004566D9">
        <w:rPr>
          <w:rFonts w:eastAsia="Calibri" w:cs="Calibri"/>
        </w:rPr>
        <w:t>175</w:t>
      </w:r>
      <w:r w:rsidR="000A75F6" w:rsidRPr="00DD16E9">
        <w:rPr>
          <w:rFonts w:eastAsia="Calibri" w:cs="Calibri"/>
        </w:rPr>
        <w:t xml:space="preserve"> safety) or </w:t>
      </w:r>
      <w:r w:rsidR="00DD16E9" w:rsidRPr="004566D9">
        <w:rPr>
          <w:rFonts w:eastAsia="Calibri" w:cs="Calibri"/>
        </w:rPr>
        <w:t>5.98</w:t>
      </w:r>
      <w:r w:rsidR="000A75F6" w:rsidRPr="00DD16E9">
        <w:rPr>
          <w:rFonts w:eastAsia="Calibri" w:cs="Calibri"/>
        </w:rPr>
        <w:t xml:space="preserve">% of the total </w:t>
      </w:r>
      <w:r w:rsidR="00DD16E9" w:rsidRPr="004566D9">
        <w:rPr>
          <w:rFonts w:eastAsia="Calibri" w:cs="Calibri"/>
        </w:rPr>
        <w:t>5,850</w:t>
      </w:r>
      <w:r w:rsidR="000A75F6" w:rsidRPr="00DD16E9">
        <w:rPr>
          <w:rFonts w:eastAsia="Calibri" w:cs="Calibri"/>
        </w:rPr>
        <w:t xml:space="preserve"> inspection goal.</w:t>
      </w:r>
      <w:r w:rsidR="000A75F6">
        <w:rPr>
          <w:rFonts w:eastAsia="Calibri" w:cs="Calibri"/>
        </w:rPr>
        <w:t xml:space="preserve">  </w:t>
      </w:r>
      <w:r w:rsidR="00D732BF">
        <w:rPr>
          <w:rFonts w:eastAsia="Calibri" w:cs="Calibri"/>
        </w:rPr>
        <w:t xml:space="preserve">Cal/OSHA </w:t>
      </w:r>
      <w:r w:rsidR="002C6185">
        <w:rPr>
          <w:rFonts w:eastAsia="Calibri" w:cs="Calibri"/>
        </w:rPr>
        <w:t xml:space="preserve">conducted </w:t>
      </w:r>
      <w:r w:rsidR="00340A8A">
        <w:rPr>
          <w:rFonts w:eastAsia="Calibri" w:cs="Calibri"/>
        </w:rPr>
        <w:t xml:space="preserve">308 </w:t>
      </w:r>
      <w:r w:rsidR="003F08CB">
        <w:rPr>
          <w:rFonts w:eastAsia="Calibri" w:cs="Calibri"/>
        </w:rPr>
        <w:t xml:space="preserve">total inspections </w:t>
      </w:r>
      <w:r w:rsidR="007F4F70">
        <w:rPr>
          <w:rFonts w:eastAsia="Calibri" w:cs="Calibri"/>
        </w:rPr>
        <w:t xml:space="preserve">in state and local government workplaces, which represented </w:t>
      </w:r>
      <w:r w:rsidR="006175D4">
        <w:rPr>
          <w:rFonts w:eastAsia="Calibri" w:cs="Calibri"/>
        </w:rPr>
        <w:t>5.36</w:t>
      </w:r>
      <w:r w:rsidR="007F4F70">
        <w:rPr>
          <w:rFonts w:eastAsia="Calibri" w:cs="Calibri"/>
        </w:rPr>
        <w:t xml:space="preserve">% compared to the </w:t>
      </w:r>
      <w:r w:rsidR="00871285">
        <w:rPr>
          <w:rFonts w:eastAsia="Calibri" w:cs="Calibri"/>
        </w:rPr>
        <w:t>5,850-inspection</w:t>
      </w:r>
      <w:r w:rsidR="007F4F70">
        <w:rPr>
          <w:rFonts w:eastAsia="Calibri" w:cs="Calibri"/>
        </w:rPr>
        <w:t xml:space="preserve"> goal and was </w:t>
      </w:r>
      <w:r w:rsidR="00EF4F21">
        <w:rPr>
          <w:rFonts w:eastAsia="Calibri" w:cs="Calibri"/>
        </w:rPr>
        <w:t>only slightly below the</w:t>
      </w:r>
      <w:r w:rsidR="007F4F70">
        <w:rPr>
          <w:rFonts w:eastAsia="Calibri" w:cs="Calibri"/>
        </w:rPr>
        <w:t xml:space="preserve"> range of the FRL. </w:t>
      </w:r>
      <w:r w:rsidR="004566D9">
        <w:rPr>
          <w:rFonts w:eastAsia="Calibri" w:cs="Calibri"/>
        </w:rPr>
        <w:t xml:space="preserve">This result was not a cause for concern and </w:t>
      </w:r>
      <w:r w:rsidR="004566D9" w:rsidRPr="004B553F">
        <w:rPr>
          <w:rFonts w:eastAsia="Calibri" w:cs="Calibri"/>
        </w:rPr>
        <w:t>OSHA will continue to monitor this metric during quarterly meetings.</w:t>
      </w:r>
    </w:p>
    <w:p w14:paraId="297E92C5" w14:textId="2BF27CD4" w:rsidR="68AA6DF9" w:rsidRDefault="68AA6DF9" w:rsidP="68AA6DF9">
      <w:pPr>
        <w:widowControl/>
        <w:rPr>
          <w:rFonts w:cs="Calibri"/>
        </w:rPr>
      </w:pPr>
    </w:p>
    <w:p w14:paraId="7CAA7103" w14:textId="40708447" w:rsidR="68AA6DF9" w:rsidRDefault="68AA6DF9" w:rsidP="68AA6DF9">
      <w:pPr>
        <w:widowControl/>
        <w:rPr>
          <w:rFonts w:cs="Calibri"/>
        </w:rPr>
      </w:pPr>
    </w:p>
    <w:p w14:paraId="6FBCD658" w14:textId="1D1FCEFB" w:rsidR="00FF42EA" w:rsidRPr="00C9126D" w:rsidRDefault="00FF42EA" w:rsidP="007E0AAB">
      <w:pPr>
        <w:widowControl/>
        <w:autoSpaceDE/>
        <w:adjustRightInd/>
        <w:rPr>
          <w:rFonts w:cs="Calibri"/>
          <w:b/>
        </w:rPr>
      </w:pPr>
      <w:r w:rsidRPr="00C9126D">
        <w:rPr>
          <w:rFonts w:cs="Calibri"/>
          <w:b/>
        </w:rPr>
        <w:t xml:space="preserve">SAMM </w:t>
      </w:r>
      <w:r>
        <w:rPr>
          <w:rFonts w:cs="Calibri"/>
          <w:b/>
        </w:rPr>
        <w:t>7</w:t>
      </w:r>
      <w:r w:rsidRPr="00C9126D">
        <w:rPr>
          <w:rFonts w:cs="Calibri"/>
          <w:b/>
        </w:rPr>
        <w:t xml:space="preserve"> – </w:t>
      </w:r>
      <w:r w:rsidR="00990983">
        <w:rPr>
          <w:rFonts w:cs="Calibri"/>
          <w:b/>
        </w:rPr>
        <w:t xml:space="preserve">Planned </w:t>
      </w:r>
      <w:r w:rsidR="00E32320">
        <w:rPr>
          <w:rFonts w:cs="Calibri"/>
          <w:b/>
        </w:rPr>
        <w:t>v.</w:t>
      </w:r>
      <w:r w:rsidR="00990983">
        <w:rPr>
          <w:rFonts w:cs="Calibri"/>
          <w:b/>
        </w:rPr>
        <w:t xml:space="preserve"> Act</w:t>
      </w:r>
      <w:r w:rsidR="00254340">
        <w:rPr>
          <w:rFonts w:cs="Calibri"/>
          <w:b/>
        </w:rPr>
        <w:t>ual Inspections</w:t>
      </w:r>
      <w:r>
        <w:rPr>
          <w:rFonts w:cs="Calibri"/>
          <w:b/>
        </w:rPr>
        <w:t xml:space="preserve"> </w:t>
      </w:r>
    </w:p>
    <w:p w14:paraId="3A77D718" w14:textId="77777777" w:rsidR="00FF42EA" w:rsidRDefault="00FF42EA" w:rsidP="007E0AAB">
      <w:pPr>
        <w:widowControl/>
        <w:autoSpaceDE/>
        <w:adjustRightInd/>
        <w:rPr>
          <w:rFonts w:cs="Calibri"/>
          <w:b/>
        </w:rPr>
      </w:pPr>
    </w:p>
    <w:p w14:paraId="2AF482F8" w14:textId="388BD769" w:rsidR="00FF42EA" w:rsidRDefault="00FF42EA" w:rsidP="007E0AAB">
      <w:pPr>
        <w:widowControl/>
        <w:autoSpaceDE/>
        <w:adjustRightInd/>
        <w:rPr>
          <w:rFonts w:cs="Calibri"/>
        </w:rPr>
      </w:pPr>
      <w:r w:rsidRPr="1E8FD191">
        <w:rPr>
          <w:rFonts w:cs="Calibri"/>
          <w:b/>
          <w:bCs/>
        </w:rPr>
        <w:t>Discussion of State Plan Data and FRL:</w:t>
      </w:r>
      <w:r w:rsidRPr="1E8FD191">
        <w:rPr>
          <w:rFonts w:cs="Calibri"/>
        </w:rPr>
        <w:t xml:space="preserve">  The FRL for SAMM </w:t>
      </w:r>
      <w:r w:rsidR="44349B6A" w:rsidRPr="1E8FD191">
        <w:rPr>
          <w:rFonts w:cs="Calibri"/>
        </w:rPr>
        <w:t>7</w:t>
      </w:r>
      <w:r w:rsidRPr="1E8FD191">
        <w:rPr>
          <w:rFonts w:cs="Calibri"/>
        </w:rPr>
        <w:t xml:space="preserve">, </w:t>
      </w:r>
      <w:r w:rsidR="52AB77B6" w:rsidRPr="1E8FD191">
        <w:rPr>
          <w:rFonts w:cs="Calibri"/>
        </w:rPr>
        <w:t>planned</w:t>
      </w:r>
      <w:r w:rsidRPr="1E8FD191">
        <w:rPr>
          <w:rFonts w:cs="Calibri"/>
        </w:rPr>
        <w:t xml:space="preserve"> </w:t>
      </w:r>
      <w:r w:rsidR="00254340" w:rsidRPr="1E8FD191">
        <w:rPr>
          <w:rFonts w:cs="Calibri"/>
        </w:rPr>
        <w:t>versus actual number of inspections</w:t>
      </w:r>
      <w:r w:rsidRPr="1E8FD191">
        <w:rPr>
          <w:rFonts w:cs="Calibri"/>
        </w:rPr>
        <w:t xml:space="preserve">, is +/- 5% of the planned number of </w:t>
      </w:r>
      <w:r w:rsidR="497EB303" w:rsidRPr="1E8FD191">
        <w:rPr>
          <w:rFonts w:cs="Calibri"/>
        </w:rPr>
        <w:t>safety (SAMM 7</w:t>
      </w:r>
      <w:r w:rsidR="00E32320" w:rsidRPr="1E8FD191">
        <w:rPr>
          <w:rFonts w:cs="Calibri"/>
        </w:rPr>
        <w:t>a</w:t>
      </w:r>
      <w:r w:rsidR="497EB303" w:rsidRPr="1E8FD191">
        <w:rPr>
          <w:rFonts w:cs="Calibri"/>
        </w:rPr>
        <w:t xml:space="preserve">) and </w:t>
      </w:r>
      <w:r w:rsidR="6CF192B9" w:rsidRPr="1E8FD191">
        <w:rPr>
          <w:rFonts w:cs="Calibri"/>
        </w:rPr>
        <w:t>h</w:t>
      </w:r>
      <w:r w:rsidR="497EB303" w:rsidRPr="1E8FD191">
        <w:rPr>
          <w:rFonts w:cs="Calibri"/>
        </w:rPr>
        <w:t>ealth</w:t>
      </w:r>
      <w:r w:rsidR="6CF192B9" w:rsidRPr="1E8FD191">
        <w:rPr>
          <w:rFonts w:cs="Calibri"/>
        </w:rPr>
        <w:t xml:space="preserve"> (SAMM 7</w:t>
      </w:r>
      <w:r w:rsidR="00E32320" w:rsidRPr="1E8FD191">
        <w:rPr>
          <w:rFonts w:cs="Calibri"/>
        </w:rPr>
        <w:t>b</w:t>
      </w:r>
      <w:r w:rsidR="6CF192B9" w:rsidRPr="1E8FD191">
        <w:rPr>
          <w:rFonts w:cs="Calibri"/>
        </w:rPr>
        <w:t>)</w:t>
      </w:r>
      <w:r w:rsidR="497EB303" w:rsidRPr="1E8FD191">
        <w:rPr>
          <w:rFonts w:cs="Calibri"/>
        </w:rPr>
        <w:t xml:space="preserve"> </w:t>
      </w:r>
      <w:r w:rsidRPr="1E8FD191">
        <w:rPr>
          <w:rFonts w:cs="Calibri"/>
        </w:rPr>
        <w:t xml:space="preserve">inspections in the </w:t>
      </w:r>
      <w:bookmarkStart w:id="30" w:name="_Int_KHW00FJj"/>
      <w:r w:rsidRPr="1E8FD191">
        <w:rPr>
          <w:rFonts w:cs="Calibri"/>
        </w:rPr>
        <w:t>23(g) grant</w:t>
      </w:r>
      <w:bookmarkEnd w:id="30"/>
      <w:r w:rsidRPr="1E8FD191">
        <w:rPr>
          <w:rFonts w:cs="Calibri"/>
        </w:rPr>
        <w:t xml:space="preserve"> application.  </w:t>
      </w:r>
      <w:r w:rsidR="005C0D7E" w:rsidRPr="1E8FD191">
        <w:rPr>
          <w:rFonts w:cs="Calibri"/>
        </w:rPr>
        <w:t xml:space="preserve">Cal/OSHA </w:t>
      </w:r>
      <w:r w:rsidRPr="1E8FD191">
        <w:rPr>
          <w:rFonts w:cs="Calibri"/>
        </w:rPr>
        <w:t xml:space="preserve">planned to conduct </w:t>
      </w:r>
      <w:r w:rsidR="3E8AA773" w:rsidRPr="1E8FD191">
        <w:rPr>
          <w:rFonts w:cs="Calibri"/>
        </w:rPr>
        <w:t>4,</w:t>
      </w:r>
      <w:r w:rsidR="51EEE8A7" w:rsidRPr="1E8FD191">
        <w:rPr>
          <w:rFonts w:cs="Calibri"/>
        </w:rPr>
        <w:t>6</w:t>
      </w:r>
      <w:r w:rsidR="3E8AA773" w:rsidRPr="1E8FD191">
        <w:rPr>
          <w:rFonts w:cs="Calibri"/>
        </w:rPr>
        <w:t xml:space="preserve">75 safety </w:t>
      </w:r>
      <w:r w:rsidRPr="1E8FD191">
        <w:rPr>
          <w:rFonts w:cs="Calibri"/>
        </w:rPr>
        <w:t xml:space="preserve">inspections </w:t>
      </w:r>
      <w:r w:rsidR="07370CD4" w:rsidRPr="1E8FD191">
        <w:rPr>
          <w:rFonts w:cs="Calibri"/>
        </w:rPr>
        <w:t>and 1,</w:t>
      </w:r>
      <w:r w:rsidR="53798426" w:rsidRPr="1E8FD191">
        <w:rPr>
          <w:rFonts w:cs="Calibri"/>
        </w:rPr>
        <w:t xml:space="preserve">175 </w:t>
      </w:r>
      <w:r w:rsidR="07370CD4" w:rsidRPr="1E8FD191">
        <w:rPr>
          <w:rFonts w:cs="Calibri"/>
        </w:rPr>
        <w:t>health inspections</w:t>
      </w:r>
      <w:r w:rsidR="4335582B" w:rsidRPr="1E8FD191">
        <w:rPr>
          <w:rFonts w:cs="Calibri"/>
        </w:rPr>
        <w:t xml:space="preserve">. </w:t>
      </w:r>
      <w:r w:rsidRPr="1E8FD191">
        <w:rPr>
          <w:rFonts w:cs="Calibri"/>
        </w:rPr>
        <w:t xml:space="preserve">  </w:t>
      </w:r>
      <w:r w:rsidR="1C26D70A" w:rsidRPr="1E8FD191">
        <w:rPr>
          <w:rFonts w:cs="Calibri"/>
        </w:rPr>
        <w:t>Cal</w:t>
      </w:r>
      <w:r w:rsidR="191B09BA" w:rsidRPr="1E8FD191">
        <w:rPr>
          <w:rFonts w:cs="Calibri"/>
        </w:rPr>
        <w:t>/</w:t>
      </w:r>
      <w:r w:rsidR="1C26D70A" w:rsidRPr="1E8FD191">
        <w:rPr>
          <w:rFonts w:cs="Calibri"/>
        </w:rPr>
        <w:t>OSHA</w:t>
      </w:r>
      <w:r w:rsidR="4348C64C" w:rsidRPr="1E8FD191">
        <w:rPr>
          <w:rFonts w:cs="Calibri"/>
        </w:rPr>
        <w:t xml:space="preserve"> </w:t>
      </w:r>
      <w:r w:rsidRPr="1E8FD191">
        <w:rPr>
          <w:rFonts w:cs="Calibri"/>
        </w:rPr>
        <w:t xml:space="preserve">conducted </w:t>
      </w:r>
      <w:r w:rsidR="7EB73EB2" w:rsidRPr="1E8FD191">
        <w:rPr>
          <w:rFonts w:cs="Calibri"/>
        </w:rPr>
        <w:t>5059</w:t>
      </w:r>
      <w:r w:rsidR="008461C5" w:rsidRPr="1E8FD191">
        <w:rPr>
          <w:rFonts w:cs="Calibri"/>
        </w:rPr>
        <w:t xml:space="preserve"> safety inspections (</w:t>
      </w:r>
      <w:r w:rsidR="19928880" w:rsidRPr="1E8FD191">
        <w:rPr>
          <w:rFonts w:cs="Calibri"/>
        </w:rPr>
        <w:t xml:space="preserve">above </w:t>
      </w:r>
      <w:r w:rsidR="47AF1922" w:rsidRPr="1E8FD191">
        <w:rPr>
          <w:rFonts w:cs="Calibri"/>
        </w:rPr>
        <w:t>the</w:t>
      </w:r>
      <w:r w:rsidR="5DD6BFD7" w:rsidRPr="1E8FD191">
        <w:rPr>
          <w:rFonts w:cs="Calibri"/>
        </w:rPr>
        <w:t xml:space="preserve"> FRL range </w:t>
      </w:r>
      <w:r w:rsidR="0057116A" w:rsidRPr="1E8FD191">
        <w:rPr>
          <w:rFonts w:cs="Calibri"/>
        </w:rPr>
        <w:t xml:space="preserve">of </w:t>
      </w:r>
      <w:r w:rsidR="47AF1922" w:rsidRPr="1E8FD191">
        <w:rPr>
          <w:rFonts w:cs="Calibri"/>
        </w:rPr>
        <w:t>4,441 to 4,909</w:t>
      </w:r>
      <w:r w:rsidR="7C95A77A" w:rsidRPr="1E8FD191">
        <w:rPr>
          <w:rFonts w:cs="Calibri"/>
        </w:rPr>
        <w:t>) and 1,</w:t>
      </w:r>
      <w:r w:rsidR="481924C5" w:rsidRPr="1E8FD191">
        <w:rPr>
          <w:rFonts w:cs="Calibri"/>
        </w:rPr>
        <w:t xml:space="preserve">377 </w:t>
      </w:r>
      <w:r w:rsidR="3FD5DF73" w:rsidRPr="1E8FD191">
        <w:rPr>
          <w:rFonts w:cs="Calibri"/>
        </w:rPr>
        <w:t>health inspections (</w:t>
      </w:r>
      <w:r w:rsidR="481924C5" w:rsidRPr="1E8FD191">
        <w:rPr>
          <w:rFonts w:cs="Calibri"/>
        </w:rPr>
        <w:t xml:space="preserve">above </w:t>
      </w:r>
      <w:r w:rsidR="203527FD" w:rsidRPr="1E8FD191">
        <w:rPr>
          <w:rFonts w:cs="Calibri"/>
        </w:rPr>
        <w:t>the</w:t>
      </w:r>
      <w:r w:rsidR="5DD6BFD7" w:rsidRPr="1E8FD191">
        <w:rPr>
          <w:rFonts w:cs="Calibri"/>
        </w:rPr>
        <w:t xml:space="preserve"> FRL range </w:t>
      </w:r>
      <w:r w:rsidR="0057116A" w:rsidRPr="1E8FD191">
        <w:rPr>
          <w:rFonts w:cs="Calibri"/>
        </w:rPr>
        <w:t xml:space="preserve">of </w:t>
      </w:r>
      <w:r w:rsidR="6FE12C28" w:rsidRPr="1E8FD191">
        <w:rPr>
          <w:rFonts w:eastAsia="Calibri" w:cs="Calibri"/>
          <w:sz w:val="22"/>
          <w:szCs w:val="22"/>
        </w:rPr>
        <w:t>1,116 to 1,234</w:t>
      </w:r>
      <w:r w:rsidR="3FD5DF73" w:rsidRPr="1E8FD191">
        <w:rPr>
          <w:rFonts w:cs="Calibri"/>
        </w:rPr>
        <w:t>).</w:t>
      </w:r>
    </w:p>
    <w:p w14:paraId="7941FC83" w14:textId="77777777" w:rsidR="00325F6A" w:rsidRDefault="00325F6A" w:rsidP="007E0AAB">
      <w:pPr>
        <w:widowControl/>
        <w:autoSpaceDE/>
        <w:adjustRightInd/>
        <w:rPr>
          <w:rFonts w:cs="Calibri"/>
          <w:bCs/>
        </w:rPr>
      </w:pPr>
    </w:p>
    <w:p w14:paraId="01512DE7" w14:textId="11695B60" w:rsidR="00FF42EA" w:rsidRPr="00217E4F" w:rsidRDefault="00FF42EA" w:rsidP="007E0AAB">
      <w:pPr>
        <w:widowControl/>
        <w:autoSpaceDE/>
        <w:adjustRightInd/>
        <w:rPr>
          <w:rFonts w:cs="Calibri"/>
        </w:rPr>
      </w:pPr>
      <w:r w:rsidRPr="55BAC008">
        <w:rPr>
          <w:rFonts w:cs="Calibri"/>
          <w:b/>
          <w:bCs/>
        </w:rPr>
        <w:t>Explanation:</w:t>
      </w:r>
      <w:r w:rsidRPr="55BAC008">
        <w:rPr>
          <w:rFonts w:cs="Calibri"/>
        </w:rPr>
        <w:t xml:space="preserve"> </w:t>
      </w:r>
      <w:r w:rsidR="0057116A" w:rsidRPr="55BAC008">
        <w:rPr>
          <w:rFonts w:cs="Calibri"/>
        </w:rPr>
        <w:t xml:space="preserve"> </w:t>
      </w:r>
      <w:r w:rsidR="00DE7FAE" w:rsidRPr="55BAC008">
        <w:rPr>
          <w:rFonts w:cs="Calibri"/>
        </w:rPr>
        <w:t>Cal/OSHA</w:t>
      </w:r>
      <w:r w:rsidR="00B4179B" w:rsidRPr="55BAC008">
        <w:rPr>
          <w:rFonts w:cs="Calibri"/>
        </w:rPr>
        <w:t xml:space="preserve"> </w:t>
      </w:r>
      <w:r w:rsidR="00756BD0" w:rsidRPr="55BAC008">
        <w:rPr>
          <w:rFonts w:cs="Calibri"/>
        </w:rPr>
        <w:t xml:space="preserve">conducted more inspections than anticipated. </w:t>
      </w:r>
    </w:p>
    <w:p w14:paraId="7995488C" w14:textId="77777777" w:rsidR="00FF42EA" w:rsidRDefault="00FF42EA" w:rsidP="007E0AAB">
      <w:pPr>
        <w:widowControl/>
        <w:autoSpaceDE/>
        <w:adjustRightInd/>
        <w:rPr>
          <w:rFonts w:cs="Calibri"/>
          <w:b/>
        </w:rPr>
      </w:pPr>
    </w:p>
    <w:p w14:paraId="377FC512" w14:textId="3A3AB743" w:rsidR="006452F8" w:rsidRPr="00C9126D" w:rsidRDefault="006452F8" w:rsidP="007E0AAB">
      <w:pPr>
        <w:widowControl/>
        <w:autoSpaceDE/>
        <w:adjustRightInd/>
        <w:rPr>
          <w:rFonts w:cs="Calibri"/>
          <w:b/>
        </w:rPr>
      </w:pPr>
      <w:r w:rsidRPr="00C9126D">
        <w:rPr>
          <w:rFonts w:cs="Calibri"/>
          <w:b/>
        </w:rPr>
        <w:t xml:space="preserve">SAMM 8 – </w:t>
      </w:r>
      <w:r w:rsidR="00345FB2" w:rsidRPr="00C9126D">
        <w:rPr>
          <w:rFonts w:cs="Calibri"/>
          <w:b/>
        </w:rPr>
        <w:t xml:space="preserve">Average Current </w:t>
      </w:r>
      <w:r w:rsidR="00D05663">
        <w:rPr>
          <w:rFonts w:cs="Calibri"/>
          <w:b/>
        </w:rPr>
        <w:t xml:space="preserve">Serious </w:t>
      </w:r>
      <w:r w:rsidR="00345FB2" w:rsidRPr="00C9126D">
        <w:rPr>
          <w:rFonts w:cs="Calibri"/>
          <w:b/>
        </w:rPr>
        <w:t xml:space="preserve">Penalty </w:t>
      </w:r>
      <w:r w:rsidR="00A94AD0">
        <w:rPr>
          <w:rFonts w:cs="Calibri"/>
          <w:b/>
        </w:rPr>
        <w:t xml:space="preserve">in Private Sector </w:t>
      </w:r>
    </w:p>
    <w:p w14:paraId="1746F62D" w14:textId="77777777" w:rsidR="00887F16" w:rsidRPr="00C9126D" w:rsidRDefault="00887F16" w:rsidP="007E0AAB">
      <w:pPr>
        <w:widowControl/>
        <w:autoSpaceDE/>
        <w:adjustRightInd/>
        <w:rPr>
          <w:rFonts w:cs="Calibri"/>
          <w:b/>
          <w:color w:val="FF0000"/>
        </w:rPr>
      </w:pPr>
    </w:p>
    <w:p w14:paraId="77B72ABD" w14:textId="496B45BA" w:rsidR="004775E0" w:rsidRPr="00C9126D" w:rsidRDefault="003317A8" w:rsidP="55BAC008">
      <w:pPr>
        <w:rPr>
          <w:rFonts w:cs="Calibri"/>
        </w:rPr>
      </w:pPr>
      <w:bookmarkStart w:id="31" w:name="_Hlk124314955"/>
      <w:r w:rsidRPr="55BAC008">
        <w:rPr>
          <w:rFonts w:cs="Calibri"/>
          <w:b/>
          <w:bCs/>
        </w:rPr>
        <w:t>Discussion of State Plan Data and FRL:</w:t>
      </w:r>
      <w:r w:rsidRPr="55BAC008">
        <w:rPr>
          <w:rFonts w:cs="Calibri"/>
        </w:rPr>
        <w:t xml:space="preserve">  The FRL for SAMM 8, </w:t>
      </w:r>
      <w:r w:rsidR="00541862" w:rsidRPr="55BAC008">
        <w:rPr>
          <w:rFonts w:cs="Calibri"/>
        </w:rPr>
        <w:t>a</w:t>
      </w:r>
      <w:r w:rsidR="00463AE1" w:rsidRPr="55BAC008">
        <w:rPr>
          <w:rFonts w:cs="Calibri"/>
        </w:rPr>
        <w:t xml:space="preserve">verage current serious penalty in private sector </w:t>
      </w:r>
      <w:r w:rsidRPr="55BAC008">
        <w:rPr>
          <w:rFonts w:cs="Calibri"/>
        </w:rPr>
        <w:t>is +/- 2</w:t>
      </w:r>
      <w:r w:rsidR="00463AE1" w:rsidRPr="55BAC008">
        <w:rPr>
          <w:rFonts w:cs="Calibri"/>
        </w:rPr>
        <w:t>5</w:t>
      </w:r>
      <w:r w:rsidRPr="55BAC008">
        <w:rPr>
          <w:rFonts w:cs="Calibri"/>
        </w:rPr>
        <w:t xml:space="preserve">% of </w:t>
      </w:r>
      <w:r w:rsidR="006D05D8" w:rsidRPr="55BAC008">
        <w:rPr>
          <w:rFonts w:cs="Calibri"/>
        </w:rPr>
        <w:t xml:space="preserve">the three-year national average </w:t>
      </w:r>
      <w:r w:rsidR="00382BCD" w:rsidRPr="55BAC008">
        <w:rPr>
          <w:rFonts w:cs="Calibri"/>
        </w:rPr>
        <w:t xml:space="preserve">of </w:t>
      </w:r>
      <w:r w:rsidR="00E72CA7" w:rsidRPr="6E5B07DA">
        <w:rPr>
          <w:rFonts w:eastAsia="Calibri" w:cs="Calibri"/>
          <w:sz w:val="22"/>
          <w:szCs w:val="22"/>
        </w:rPr>
        <w:t>$3,793.81</w:t>
      </w:r>
      <w:r w:rsidR="0051484C">
        <w:rPr>
          <w:rFonts w:eastAsia="Calibri" w:cs="Calibri"/>
          <w:sz w:val="22"/>
          <w:szCs w:val="22"/>
        </w:rPr>
        <w:t xml:space="preserve"> </w:t>
      </w:r>
      <w:r w:rsidR="00382BCD" w:rsidRPr="55BAC008">
        <w:rPr>
          <w:rFonts w:cs="Calibri"/>
        </w:rPr>
        <w:t>for all employers</w:t>
      </w:r>
      <w:r w:rsidR="001043CA" w:rsidRPr="55BAC008">
        <w:rPr>
          <w:rFonts w:cs="Calibri"/>
        </w:rPr>
        <w:t xml:space="preserve"> for</w:t>
      </w:r>
      <w:r w:rsidR="00453CCC" w:rsidRPr="55BAC008">
        <w:rPr>
          <w:rFonts w:cs="Calibri"/>
        </w:rPr>
        <w:t xml:space="preserve"> a range of </w:t>
      </w:r>
      <w:r w:rsidR="009B35B1" w:rsidRPr="55BAC008">
        <w:rPr>
          <w:rFonts w:cs="Calibri"/>
        </w:rPr>
        <w:t>$2,845.36 to $4,742.27</w:t>
      </w:r>
      <w:r w:rsidR="0D643579" w:rsidRPr="0E61BA99">
        <w:rPr>
          <w:rFonts w:cs="Calibri"/>
        </w:rPr>
        <w:t>.</w:t>
      </w:r>
      <w:r w:rsidR="0007074E">
        <w:rPr>
          <w:rFonts w:cs="Calibri"/>
        </w:rPr>
        <w:t xml:space="preserve">  </w:t>
      </w:r>
      <w:r w:rsidR="00B1431C" w:rsidRPr="55BAC008">
        <w:rPr>
          <w:rFonts w:cs="Calibri"/>
        </w:rPr>
        <w:t xml:space="preserve">Cal/OSHA averaged </w:t>
      </w:r>
      <w:r w:rsidR="00166106" w:rsidRPr="6E5B07DA">
        <w:rPr>
          <w:rFonts w:eastAsia="Calibri" w:cs="Calibri"/>
          <w:sz w:val="22"/>
          <w:szCs w:val="22"/>
        </w:rPr>
        <w:t>$8,331.</w:t>
      </w:r>
      <w:r w:rsidR="7237C240" w:rsidRPr="0E61BA99">
        <w:rPr>
          <w:rFonts w:eastAsia="Calibri" w:cs="Calibri"/>
          <w:sz w:val="22"/>
          <w:szCs w:val="22"/>
        </w:rPr>
        <w:t>29</w:t>
      </w:r>
      <w:r w:rsidR="00A57A14">
        <w:rPr>
          <w:rFonts w:eastAsia="Calibri" w:cs="Calibri"/>
          <w:sz w:val="22"/>
          <w:szCs w:val="22"/>
        </w:rPr>
        <w:t xml:space="preserve"> </w:t>
      </w:r>
      <w:r w:rsidR="32244A82" w:rsidRPr="0E61BA99">
        <w:rPr>
          <w:rFonts w:cs="Calibri"/>
        </w:rPr>
        <w:t>in</w:t>
      </w:r>
      <w:r w:rsidR="00B1431C" w:rsidRPr="55BAC008">
        <w:rPr>
          <w:rFonts w:cs="Calibri"/>
        </w:rPr>
        <w:t xml:space="preserve"> current serious penalty </w:t>
      </w:r>
      <w:r w:rsidR="00D07924" w:rsidRPr="55BAC008">
        <w:rPr>
          <w:rFonts w:cs="Calibri"/>
        </w:rPr>
        <w:t xml:space="preserve">and was above the upper end of the </w:t>
      </w:r>
      <w:r w:rsidR="000A1475" w:rsidRPr="55BAC008">
        <w:rPr>
          <w:rFonts w:cs="Calibri"/>
        </w:rPr>
        <w:t>FRL range.</w:t>
      </w:r>
      <w:r w:rsidR="00B1431C" w:rsidRPr="55BAC008">
        <w:rPr>
          <w:rFonts w:cs="Calibri"/>
        </w:rPr>
        <w:t xml:space="preserve">  </w:t>
      </w:r>
      <w:r w:rsidR="00F8218E" w:rsidRPr="55BAC008">
        <w:rPr>
          <w:rFonts w:cs="Calibri"/>
        </w:rPr>
        <w:t>Th</w:t>
      </w:r>
      <w:r w:rsidR="000A1475" w:rsidRPr="55BAC008">
        <w:rPr>
          <w:rFonts w:cs="Calibri"/>
        </w:rPr>
        <w:t>is</w:t>
      </w:r>
      <w:r w:rsidR="00F8218E" w:rsidRPr="55BAC008">
        <w:rPr>
          <w:rFonts w:cs="Calibri"/>
        </w:rPr>
        <w:t xml:space="preserve"> SAMM is </w:t>
      </w:r>
      <w:r w:rsidR="00027E15" w:rsidRPr="55BAC008">
        <w:rPr>
          <w:rFonts w:cs="Calibri"/>
        </w:rPr>
        <w:t>further broken down by employer size</w:t>
      </w:r>
      <w:r w:rsidR="00782A4E" w:rsidRPr="55BAC008">
        <w:rPr>
          <w:rFonts w:cs="Calibri"/>
        </w:rPr>
        <w:t xml:space="preserve"> and </w:t>
      </w:r>
      <w:r w:rsidR="00A57A14">
        <w:rPr>
          <w:rFonts w:cs="Calibri"/>
        </w:rPr>
        <w:t>Cal/OSHA’s</w:t>
      </w:r>
      <w:r w:rsidR="00A57A14" w:rsidRPr="55BAC008">
        <w:rPr>
          <w:rFonts w:cs="Calibri"/>
        </w:rPr>
        <w:t xml:space="preserve"> </w:t>
      </w:r>
      <w:r w:rsidR="003022D1" w:rsidRPr="55BAC008">
        <w:rPr>
          <w:rFonts w:cs="Calibri"/>
        </w:rPr>
        <w:t>average current serious penalty for</w:t>
      </w:r>
      <w:r w:rsidR="004775E0" w:rsidRPr="55BAC008">
        <w:rPr>
          <w:rFonts w:cs="Calibri"/>
        </w:rPr>
        <w:t xml:space="preserve"> eac</w:t>
      </w:r>
      <w:r w:rsidR="00DC0A29" w:rsidRPr="55BAC008">
        <w:rPr>
          <w:rFonts w:cs="Calibri"/>
        </w:rPr>
        <w:t>h employer size segment was</w:t>
      </w:r>
      <w:r w:rsidR="00D4206A" w:rsidRPr="55BAC008">
        <w:rPr>
          <w:rFonts w:cs="Calibri"/>
        </w:rPr>
        <w:t xml:space="preserve"> </w:t>
      </w:r>
      <w:r w:rsidR="00D61D56" w:rsidRPr="55BAC008">
        <w:rPr>
          <w:rFonts w:cs="Calibri"/>
        </w:rPr>
        <w:t xml:space="preserve">significantly above 125% of the </w:t>
      </w:r>
      <w:r w:rsidR="004775E0" w:rsidRPr="55BAC008">
        <w:rPr>
          <w:rFonts w:cs="Calibri"/>
        </w:rPr>
        <w:t>three-</w:t>
      </w:r>
      <w:r w:rsidR="00D61D56" w:rsidRPr="55BAC008">
        <w:rPr>
          <w:rFonts w:cs="Calibri"/>
        </w:rPr>
        <w:t>year national average</w:t>
      </w:r>
      <w:r w:rsidR="00E64795" w:rsidRPr="55BAC008">
        <w:rPr>
          <w:rFonts w:cs="Calibri"/>
        </w:rPr>
        <w:t xml:space="preserve"> (SAMM 8a, 8b, 8c, 8d</w:t>
      </w:r>
      <w:r w:rsidR="00002BB6" w:rsidRPr="55BAC008">
        <w:rPr>
          <w:rFonts w:cs="Calibri"/>
        </w:rPr>
        <w:t>)</w:t>
      </w:r>
      <w:r w:rsidR="004775E0" w:rsidRPr="55BAC008">
        <w:rPr>
          <w:rFonts w:cs="Calibri"/>
        </w:rPr>
        <w:t>.</w:t>
      </w:r>
    </w:p>
    <w:p w14:paraId="28F28242" w14:textId="77777777" w:rsidR="004775E0" w:rsidRPr="00C9126D" w:rsidRDefault="004775E0" w:rsidP="007E0AAB">
      <w:pPr>
        <w:widowControl/>
        <w:autoSpaceDE/>
        <w:adjustRightInd/>
        <w:rPr>
          <w:rFonts w:cs="Calibri"/>
          <w:bCs/>
        </w:rPr>
      </w:pPr>
    </w:p>
    <w:p w14:paraId="2F2CE717" w14:textId="61A2DE87" w:rsidR="003317A8" w:rsidRPr="00C9126D" w:rsidRDefault="2F8EE952" w:rsidP="007E0AAB">
      <w:pPr>
        <w:widowControl/>
        <w:autoSpaceDE/>
        <w:adjustRightInd/>
        <w:rPr>
          <w:rFonts w:cs="Calibri"/>
        </w:rPr>
      </w:pPr>
      <w:r w:rsidRPr="00A45840">
        <w:rPr>
          <w:rFonts w:cs="Calibri"/>
          <w:b/>
        </w:rPr>
        <w:t>Explanation:</w:t>
      </w:r>
      <w:r w:rsidRPr="1D8CDD0E">
        <w:rPr>
          <w:rFonts w:cs="Calibri"/>
        </w:rPr>
        <w:t xml:space="preserve">  </w:t>
      </w:r>
      <w:r w:rsidR="0FDC0294" w:rsidRPr="1D8CDD0E">
        <w:rPr>
          <w:rFonts w:cs="Calibri"/>
        </w:rPr>
        <w:t>T</w:t>
      </w:r>
      <w:r w:rsidR="28BF278A" w:rsidRPr="1D8CDD0E">
        <w:rPr>
          <w:rFonts w:cs="Calibri"/>
        </w:rPr>
        <w:t>h</w:t>
      </w:r>
      <w:r w:rsidR="080CB439" w:rsidRPr="1D8CDD0E">
        <w:rPr>
          <w:rFonts w:cs="Calibri"/>
        </w:rPr>
        <w:t xml:space="preserve">e </w:t>
      </w:r>
      <w:r w:rsidR="00EC1979" w:rsidRPr="00ED0B5A">
        <w:rPr>
          <w:rFonts w:cs="Calibri"/>
        </w:rPr>
        <w:t xml:space="preserve">California </w:t>
      </w:r>
      <w:r w:rsidR="008F4CC3" w:rsidRPr="00252524">
        <w:rPr>
          <w:rFonts w:cs="Calibri"/>
        </w:rPr>
        <w:t>S</w:t>
      </w:r>
      <w:r w:rsidR="080CB439" w:rsidRPr="00ED0B5A">
        <w:rPr>
          <w:rFonts w:cs="Calibri"/>
        </w:rPr>
        <w:t>tate</w:t>
      </w:r>
      <w:r w:rsidR="008F4CC3" w:rsidRPr="00252524">
        <w:rPr>
          <w:rFonts w:cs="Calibri"/>
        </w:rPr>
        <w:t xml:space="preserve"> Plan</w:t>
      </w:r>
      <w:r w:rsidR="080CB439" w:rsidRPr="00ED0B5A">
        <w:rPr>
          <w:rFonts w:cs="Calibri"/>
        </w:rPr>
        <w:t>’s</w:t>
      </w:r>
      <w:r w:rsidR="080CB439" w:rsidRPr="1D8CDD0E">
        <w:rPr>
          <w:rFonts w:cs="Calibri"/>
        </w:rPr>
        <w:t xml:space="preserve"> use of higher penalties </w:t>
      </w:r>
      <w:r w:rsidR="0FDC0294" w:rsidRPr="1D8CDD0E">
        <w:rPr>
          <w:rFonts w:cs="Calibri"/>
        </w:rPr>
        <w:t xml:space="preserve">was </w:t>
      </w:r>
      <w:r w:rsidR="080CB439" w:rsidRPr="1D8CDD0E">
        <w:rPr>
          <w:rFonts w:cs="Calibri"/>
        </w:rPr>
        <w:t>designed to</w:t>
      </w:r>
      <w:r w:rsidR="00687FF1" w:rsidRPr="1D8CDD0E">
        <w:rPr>
          <w:rFonts w:cs="Calibri"/>
        </w:rPr>
        <w:t xml:space="preserve"> </w:t>
      </w:r>
      <w:r w:rsidR="14637E5B" w:rsidRPr="1D8CDD0E">
        <w:rPr>
          <w:rFonts w:cs="Calibri"/>
        </w:rPr>
        <w:t>have</w:t>
      </w:r>
      <w:r w:rsidR="715EB804" w:rsidRPr="1D8CDD0E">
        <w:rPr>
          <w:rFonts w:cs="Calibri"/>
        </w:rPr>
        <w:t xml:space="preserve"> a deterrent effect. </w:t>
      </w:r>
      <w:r w:rsidR="0FDC0294" w:rsidRPr="1D8CDD0E">
        <w:rPr>
          <w:rFonts w:cs="Calibri"/>
        </w:rPr>
        <w:t xml:space="preserve"> </w:t>
      </w:r>
    </w:p>
    <w:bookmarkEnd w:id="31"/>
    <w:p w14:paraId="2C19B59E" w14:textId="715930DB" w:rsidR="009737B6" w:rsidRPr="00C9126D" w:rsidRDefault="009737B6" w:rsidP="007E0AAB">
      <w:pPr>
        <w:widowControl/>
        <w:autoSpaceDE/>
        <w:adjustRightInd/>
        <w:rPr>
          <w:rFonts w:cs="Calibri"/>
        </w:rPr>
      </w:pPr>
    </w:p>
    <w:p w14:paraId="17449269" w14:textId="52ABD944" w:rsidR="00A86E30" w:rsidRPr="00C9126D" w:rsidRDefault="00A86E30" w:rsidP="007E0AAB">
      <w:pPr>
        <w:widowControl/>
        <w:autoSpaceDE/>
        <w:adjustRightInd/>
        <w:rPr>
          <w:rFonts w:cs="Calibri"/>
          <w:b/>
        </w:rPr>
      </w:pPr>
      <w:r w:rsidRPr="00C9126D">
        <w:rPr>
          <w:rFonts w:cs="Calibri"/>
          <w:b/>
        </w:rPr>
        <w:t>SAMM 10 – Percent of Work-related Fatalities Responded to in One Workday</w:t>
      </w:r>
    </w:p>
    <w:p w14:paraId="67640C94" w14:textId="77777777" w:rsidR="00B20738" w:rsidRPr="00C9126D" w:rsidRDefault="00B20738" w:rsidP="007E0AAB">
      <w:pPr>
        <w:widowControl/>
        <w:autoSpaceDE/>
        <w:adjustRightInd/>
        <w:rPr>
          <w:rFonts w:cs="Calibri"/>
        </w:rPr>
      </w:pPr>
    </w:p>
    <w:p w14:paraId="6D24A23B" w14:textId="39BC311C" w:rsidR="001832F0" w:rsidRPr="00C9126D" w:rsidRDefault="001832F0" w:rsidP="007E0AAB">
      <w:pPr>
        <w:widowControl/>
        <w:autoSpaceDE/>
        <w:adjustRightInd/>
        <w:rPr>
          <w:rFonts w:cs="Calibri"/>
        </w:rPr>
      </w:pPr>
      <w:bookmarkStart w:id="32" w:name="_Hlk188367660"/>
      <w:r w:rsidRPr="55BAC008">
        <w:rPr>
          <w:rFonts w:cs="Calibri"/>
          <w:b/>
          <w:bCs/>
        </w:rPr>
        <w:t>Discussion of State Plan Data and FRL:</w:t>
      </w:r>
      <w:r w:rsidRPr="55BAC008">
        <w:rPr>
          <w:rFonts w:cs="Calibri"/>
        </w:rPr>
        <w:t xml:space="preserve">  </w:t>
      </w:r>
      <w:bookmarkEnd w:id="32"/>
      <w:r w:rsidRPr="55BAC008">
        <w:rPr>
          <w:rFonts w:cs="Calibri"/>
        </w:rPr>
        <w:t xml:space="preserve">The FRL for SAMM 10, </w:t>
      </w:r>
      <w:r w:rsidR="00B05288" w:rsidRPr="55BAC008">
        <w:rPr>
          <w:rFonts w:cs="Calibri"/>
        </w:rPr>
        <w:t>percent of work-related fatalities responded to in one workday</w:t>
      </w:r>
      <w:r w:rsidRPr="55BAC008">
        <w:rPr>
          <w:rFonts w:cs="Calibri"/>
        </w:rPr>
        <w:t xml:space="preserve">, is </w:t>
      </w:r>
      <w:r w:rsidR="00B05288" w:rsidRPr="55BAC008">
        <w:rPr>
          <w:rFonts w:cs="Calibri"/>
        </w:rPr>
        <w:t>fixed at 100%</w:t>
      </w:r>
      <w:r w:rsidRPr="55BAC008">
        <w:rPr>
          <w:rFonts w:cs="Calibri"/>
        </w:rPr>
        <w:t xml:space="preserve">.  </w:t>
      </w:r>
      <w:r w:rsidR="00E66027" w:rsidRPr="55BAC008">
        <w:rPr>
          <w:rFonts w:cs="Calibri"/>
        </w:rPr>
        <w:t>In FY</w:t>
      </w:r>
      <w:r w:rsidR="00EE10C7" w:rsidRPr="55BAC008">
        <w:rPr>
          <w:rFonts w:cs="Calibri"/>
        </w:rPr>
        <w:t xml:space="preserve"> </w:t>
      </w:r>
      <w:r w:rsidR="009A041D" w:rsidRPr="55BAC008">
        <w:rPr>
          <w:rFonts w:cs="Calibri"/>
        </w:rPr>
        <w:t>2024</w:t>
      </w:r>
      <w:r w:rsidR="00E66027" w:rsidRPr="55BAC008">
        <w:rPr>
          <w:rFonts w:cs="Calibri"/>
        </w:rPr>
        <w:t xml:space="preserve">, </w:t>
      </w:r>
      <w:r w:rsidR="00960A1A" w:rsidRPr="55BAC008">
        <w:rPr>
          <w:rFonts w:cs="Calibri"/>
        </w:rPr>
        <w:t xml:space="preserve">Cal/OSHA </w:t>
      </w:r>
      <w:r w:rsidR="00E66027" w:rsidRPr="55BAC008">
        <w:rPr>
          <w:rFonts w:cs="Calibri"/>
        </w:rPr>
        <w:t xml:space="preserve">responded to </w:t>
      </w:r>
      <w:r w:rsidR="00C32042">
        <w:rPr>
          <w:rFonts w:cs="Calibri"/>
        </w:rPr>
        <w:t xml:space="preserve">183 of 198 </w:t>
      </w:r>
      <w:r w:rsidR="00A864C9">
        <w:rPr>
          <w:rFonts w:cs="Calibri"/>
        </w:rPr>
        <w:t>(</w:t>
      </w:r>
      <w:r w:rsidR="0032741F" w:rsidRPr="55BAC008">
        <w:rPr>
          <w:rFonts w:cs="Calibri"/>
        </w:rPr>
        <w:t>92.42%</w:t>
      </w:r>
      <w:r w:rsidR="00A864C9">
        <w:rPr>
          <w:rFonts w:cs="Calibri"/>
        </w:rPr>
        <w:t xml:space="preserve">) </w:t>
      </w:r>
      <w:r w:rsidR="0012697E" w:rsidRPr="55BAC008">
        <w:rPr>
          <w:rFonts w:cs="Calibri"/>
        </w:rPr>
        <w:t xml:space="preserve">of </w:t>
      </w:r>
      <w:r w:rsidR="001E5013" w:rsidRPr="55BAC008">
        <w:rPr>
          <w:rFonts w:cs="Calibri"/>
        </w:rPr>
        <w:t>fatalities within one workday</w:t>
      </w:r>
      <w:r w:rsidR="0032741F" w:rsidRPr="55BAC008">
        <w:rPr>
          <w:rFonts w:cs="Calibri"/>
        </w:rPr>
        <w:t>.</w:t>
      </w:r>
    </w:p>
    <w:p w14:paraId="01856B0E" w14:textId="31E685A7" w:rsidR="003D13CD" w:rsidRPr="00C9126D" w:rsidRDefault="003D13CD" w:rsidP="007E0AAB">
      <w:pPr>
        <w:widowControl/>
        <w:autoSpaceDE/>
        <w:adjustRightInd/>
        <w:rPr>
          <w:rFonts w:cs="Calibri"/>
          <w:b/>
          <w:color w:val="FF0000"/>
        </w:rPr>
      </w:pPr>
    </w:p>
    <w:p w14:paraId="4F4BED18" w14:textId="3A9A9E5D" w:rsidR="00915393" w:rsidRDefault="001E5013" w:rsidP="007E0AAB">
      <w:pPr>
        <w:widowControl/>
        <w:autoSpaceDE/>
        <w:adjustRightInd/>
        <w:rPr>
          <w:rFonts w:cs="Calibri"/>
        </w:rPr>
      </w:pPr>
      <w:bookmarkStart w:id="33" w:name="_Hlk188367868"/>
      <w:r w:rsidRPr="55BAC008">
        <w:rPr>
          <w:rFonts w:cs="Calibri"/>
          <w:b/>
          <w:bCs/>
        </w:rPr>
        <w:t>Explanation:</w:t>
      </w:r>
      <w:r w:rsidRPr="1D8CDD0E">
        <w:rPr>
          <w:rFonts w:cs="Calibri"/>
        </w:rPr>
        <w:t xml:space="preserve"> </w:t>
      </w:r>
      <w:bookmarkEnd w:id="33"/>
      <w:r w:rsidR="00785DC1">
        <w:rPr>
          <w:rFonts w:cs="Calibri"/>
        </w:rPr>
        <w:t xml:space="preserve">Cal/OSHA </w:t>
      </w:r>
      <w:r w:rsidR="00250C89">
        <w:rPr>
          <w:rFonts w:cs="Calibri"/>
        </w:rPr>
        <w:t xml:space="preserve">provided </w:t>
      </w:r>
      <w:r w:rsidR="00750695">
        <w:rPr>
          <w:rFonts w:cs="Calibri"/>
        </w:rPr>
        <w:t xml:space="preserve">a </w:t>
      </w:r>
      <w:r w:rsidR="003F29A6">
        <w:rPr>
          <w:rFonts w:cs="Calibri"/>
        </w:rPr>
        <w:t>response</w:t>
      </w:r>
      <w:r w:rsidR="00AC0F0F">
        <w:rPr>
          <w:rFonts w:cs="Calibri"/>
        </w:rPr>
        <w:t xml:space="preserve"> to </w:t>
      </w:r>
      <w:r w:rsidR="001231C5">
        <w:rPr>
          <w:rFonts w:cs="Calibri"/>
        </w:rPr>
        <w:t xml:space="preserve">all fatalities that took more than one day to respond. Explanations included </w:t>
      </w:r>
      <w:r w:rsidR="001456A8">
        <w:rPr>
          <w:rFonts w:cs="Calibri"/>
        </w:rPr>
        <w:t xml:space="preserve">data </w:t>
      </w:r>
      <w:r w:rsidR="00FE08A7">
        <w:rPr>
          <w:rFonts w:cs="Calibri"/>
        </w:rPr>
        <w:t>misclassifications</w:t>
      </w:r>
      <w:r w:rsidR="003F29A6">
        <w:rPr>
          <w:rFonts w:cs="Calibri"/>
        </w:rPr>
        <w:t xml:space="preserve">, </w:t>
      </w:r>
      <w:r w:rsidR="00FE08A7">
        <w:rPr>
          <w:rFonts w:cs="Calibri"/>
        </w:rPr>
        <w:t>data entry errors</w:t>
      </w:r>
      <w:r w:rsidR="003F29A6">
        <w:rPr>
          <w:rFonts w:cs="Calibri"/>
        </w:rPr>
        <w:t xml:space="preserve">, or new information received that changed the classification of the inspection. </w:t>
      </w:r>
      <w:r w:rsidR="00FE08A7">
        <w:rPr>
          <w:rFonts w:cs="Calibri"/>
        </w:rPr>
        <w:t xml:space="preserve"> </w:t>
      </w:r>
      <w:r w:rsidR="000942E5">
        <w:rPr>
          <w:rFonts w:cs="Calibri"/>
        </w:rPr>
        <w:t xml:space="preserve">In </w:t>
      </w:r>
      <w:r w:rsidR="00BE30A5">
        <w:rPr>
          <w:rFonts w:cs="Calibri"/>
        </w:rPr>
        <w:t xml:space="preserve">one of </w:t>
      </w:r>
      <w:r w:rsidR="00211EA4">
        <w:rPr>
          <w:rFonts w:cs="Calibri"/>
        </w:rPr>
        <w:t>198 total fatality inspections (less than 1%)</w:t>
      </w:r>
      <w:r w:rsidR="00387D99">
        <w:rPr>
          <w:rFonts w:cs="Calibri"/>
        </w:rPr>
        <w:t xml:space="preserve"> </w:t>
      </w:r>
      <w:r w:rsidR="00211EA4">
        <w:rPr>
          <w:rFonts w:cs="Calibri"/>
        </w:rPr>
        <w:t>a</w:t>
      </w:r>
      <w:r w:rsidR="00D97D27">
        <w:rPr>
          <w:rFonts w:cs="Calibri"/>
        </w:rPr>
        <w:t xml:space="preserve"> reasonable explanation </w:t>
      </w:r>
      <w:r w:rsidR="008813FF">
        <w:rPr>
          <w:rFonts w:cs="Calibri"/>
        </w:rPr>
        <w:t>for an untimely response</w:t>
      </w:r>
      <w:r w:rsidR="00211EA4">
        <w:rPr>
          <w:rFonts w:cs="Calibri"/>
        </w:rPr>
        <w:t xml:space="preserve"> was not provided</w:t>
      </w:r>
      <w:r w:rsidR="008813FF">
        <w:rPr>
          <w:rFonts w:cs="Calibri"/>
        </w:rPr>
        <w:t xml:space="preserve">. </w:t>
      </w:r>
      <w:r w:rsidR="00CF6731">
        <w:rPr>
          <w:rFonts w:cs="Calibri"/>
        </w:rPr>
        <w:t>OSHA will continue to monitor this metric during quarterly meetings</w:t>
      </w:r>
      <w:r w:rsidR="005B22B9">
        <w:rPr>
          <w:rFonts w:cs="Calibri"/>
        </w:rPr>
        <w:t>.</w:t>
      </w:r>
    </w:p>
    <w:p w14:paraId="64955229" w14:textId="77777777" w:rsidR="00915393" w:rsidRDefault="00915393" w:rsidP="007E0AAB">
      <w:pPr>
        <w:widowControl/>
        <w:autoSpaceDE/>
        <w:adjustRightInd/>
        <w:rPr>
          <w:rFonts w:cs="Calibri"/>
          <w:b/>
        </w:rPr>
      </w:pPr>
    </w:p>
    <w:p w14:paraId="0772ECB0" w14:textId="2D0CF164" w:rsidR="007E5D6C" w:rsidRPr="00C9126D" w:rsidRDefault="007E5D6C" w:rsidP="007E0AAB">
      <w:pPr>
        <w:widowControl/>
        <w:autoSpaceDE/>
        <w:adjustRightInd/>
        <w:rPr>
          <w:rFonts w:cs="Calibri"/>
          <w:b/>
        </w:rPr>
      </w:pPr>
      <w:r w:rsidRPr="00C9126D">
        <w:rPr>
          <w:rFonts w:cs="Calibri"/>
          <w:b/>
        </w:rPr>
        <w:t xml:space="preserve">SAMM </w:t>
      </w:r>
      <w:r w:rsidR="00901C22" w:rsidRPr="00C9126D">
        <w:rPr>
          <w:rFonts w:cs="Calibri"/>
          <w:b/>
        </w:rPr>
        <w:t>12</w:t>
      </w:r>
      <w:r w:rsidRPr="00C9126D">
        <w:rPr>
          <w:rFonts w:cs="Calibri"/>
          <w:b/>
        </w:rPr>
        <w:t xml:space="preserve"> – Percent </w:t>
      </w:r>
      <w:r w:rsidR="00E163A9" w:rsidRPr="00C9126D">
        <w:rPr>
          <w:rFonts w:cs="Calibri"/>
          <w:b/>
        </w:rPr>
        <w:t>Penalty Retained</w:t>
      </w:r>
    </w:p>
    <w:p w14:paraId="5EEED7CE" w14:textId="77777777" w:rsidR="007E5D6C" w:rsidRPr="00C9126D" w:rsidRDefault="007E5D6C" w:rsidP="007E0AAB">
      <w:pPr>
        <w:widowControl/>
        <w:autoSpaceDE/>
        <w:adjustRightInd/>
        <w:rPr>
          <w:rFonts w:cs="Calibri"/>
          <w:bCs/>
        </w:rPr>
      </w:pPr>
    </w:p>
    <w:p w14:paraId="0BD9D8B3" w14:textId="43FDC40A" w:rsidR="007E5D6C" w:rsidRPr="00211EA4" w:rsidRDefault="007E5D6C" w:rsidP="007E0AAB">
      <w:pPr>
        <w:widowControl/>
        <w:autoSpaceDE/>
        <w:adjustRightInd/>
        <w:rPr>
          <w:rFonts w:cs="Calibri"/>
        </w:rPr>
      </w:pPr>
      <w:r w:rsidRPr="1E8FD191">
        <w:rPr>
          <w:rFonts w:cs="Calibri"/>
          <w:b/>
          <w:bCs/>
        </w:rPr>
        <w:t>Discussion of State Plan Data and FRL:</w:t>
      </w:r>
      <w:r w:rsidRPr="1E8FD191">
        <w:rPr>
          <w:rFonts w:cs="Calibri"/>
        </w:rPr>
        <w:t xml:space="preserve">  </w:t>
      </w:r>
      <w:r w:rsidRPr="00211EA4">
        <w:rPr>
          <w:rFonts w:cs="Calibri"/>
        </w:rPr>
        <w:t xml:space="preserve">The FRL for SAMM </w:t>
      </w:r>
      <w:r w:rsidR="00594D13" w:rsidRPr="00211EA4">
        <w:rPr>
          <w:rFonts w:cs="Calibri"/>
        </w:rPr>
        <w:t>12</w:t>
      </w:r>
      <w:r w:rsidRPr="00211EA4">
        <w:rPr>
          <w:rFonts w:cs="Calibri"/>
        </w:rPr>
        <w:t xml:space="preserve">, percent </w:t>
      </w:r>
      <w:r w:rsidR="002E0D35" w:rsidRPr="00211EA4">
        <w:rPr>
          <w:rFonts w:cs="Calibri"/>
        </w:rPr>
        <w:t>penalty retained</w:t>
      </w:r>
      <w:r w:rsidRPr="00211EA4">
        <w:rPr>
          <w:rFonts w:cs="Calibri"/>
        </w:rPr>
        <w:t xml:space="preserve">, is +/- </w:t>
      </w:r>
      <w:r w:rsidR="002E0D35" w:rsidRPr="00211EA4">
        <w:rPr>
          <w:rFonts w:cs="Calibri"/>
        </w:rPr>
        <w:t>1</w:t>
      </w:r>
      <w:r w:rsidRPr="00211EA4">
        <w:rPr>
          <w:rFonts w:cs="Calibri"/>
        </w:rPr>
        <w:t>5% of the three-year national average</w:t>
      </w:r>
      <w:r w:rsidR="004675D7" w:rsidRPr="00211EA4">
        <w:rPr>
          <w:rFonts w:cs="Calibri"/>
        </w:rPr>
        <w:t xml:space="preserve"> of </w:t>
      </w:r>
      <w:r w:rsidR="00AD5F1B" w:rsidRPr="00211EA4">
        <w:rPr>
          <w:rFonts w:eastAsia="Calibri" w:cs="Calibri"/>
        </w:rPr>
        <w:t>70.81%</w:t>
      </w:r>
      <w:r w:rsidR="007C16AB" w:rsidRPr="00211EA4">
        <w:rPr>
          <w:rFonts w:eastAsia="Calibri" w:cs="Calibri"/>
        </w:rPr>
        <w:t xml:space="preserve"> </w:t>
      </w:r>
      <w:r w:rsidR="00BC38FA" w:rsidRPr="00211EA4">
        <w:rPr>
          <w:rFonts w:cs="Calibri"/>
        </w:rPr>
        <w:t xml:space="preserve">for a range of </w:t>
      </w:r>
      <w:r w:rsidR="00E45EBC" w:rsidRPr="00211EA4">
        <w:rPr>
          <w:rFonts w:cs="Calibri"/>
        </w:rPr>
        <w:t>60.19% to 81.44</w:t>
      </w:r>
      <w:r w:rsidR="0E5DDF42" w:rsidRPr="00211EA4">
        <w:rPr>
          <w:rFonts w:cs="Calibri"/>
        </w:rPr>
        <w:t>%. Cal</w:t>
      </w:r>
      <w:r w:rsidR="00ED0B5A" w:rsidRPr="00211EA4">
        <w:rPr>
          <w:rFonts w:cs="Calibri"/>
        </w:rPr>
        <w:t>/OSHA</w:t>
      </w:r>
      <w:r w:rsidR="00997793" w:rsidRPr="00211EA4">
        <w:rPr>
          <w:rFonts w:cs="Calibri"/>
        </w:rPr>
        <w:t xml:space="preserve"> </w:t>
      </w:r>
      <w:r w:rsidR="007F2B59" w:rsidRPr="00211EA4">
        <w:rPr>
          <w:rFonts w:cs="Calibri"/>
        </w:rPr>
        <w:t>retained 92.8</w:t>
      </w:r>
      <w:r w:rsidR="00F009B8" w:rsidRPr="00211EA4">
        <w:rPr>
          <w:rFonts w:cs="Calibri"/>
        </w:rPr>
        <w:t>6</w:t>
      </w:r>
      <w:r w:rsidR="007F2B59" w:rsidRPr="00211EA4">
        <w:rPr>
          <w:rFonts w:cs="Calibri"/>
        </w:rPr>
        <w:t xml:space="preserve">% of </w:t>
      </w:r>
      <w:r w:rsidR="0019463E" w:rsidRPr="00211EA4">
        <w:rPr>
          <w:rFonts w:cs="Calibri"/>
        </w:rPr>
        <w:t>penalties</w:t>
      </w:r>
      <w:r w:rsidR="00CF666D" w:rsidRPr="00211EA4">
        <w:rPr>
          <w:rFonts w:cs="Calibri"/>
        </w:rPr>
        <w:t>, above the upper end of the FRL range.</w:t>
      </w:r>
    </w:p>
    <w:p w14:paraId="3F5AFCDB" w14:textId="77777777" w:rsidR="007E5D6C" w:rsidRPr="00C9126D" w:rsidRDefault="007E5D6C" w:rsidP="007E0AAB">
      <w:pPr>
        <w:widowControl/>
        <w:autoSpaceDE/>
        <w:adjustRightInd/>
        <w:rPr>
          <w:rFonts w:cs="Calibri"/>
          <w:bCs/>
        </w:rPr>
      </w:pPr>
    </w:p>
    <w:p w14:paraId="20A32F62" w14:textId="2B01FFFD" w:rsidR="007E5D6C" w:rsidRDefault="007E5D6C" w:rsidP="007E0AAB">
      <w:pPr>
        <w:widowControl/>
        <w:autoSpaceDE/>
        <w:adjustRightInd/>
        <w:rPr>
          <w:rFonts w:cs="Calibri"/>
        </w:rPr>
      </w:pPr>
      <w:r w:rsidRPr="55BAC008">
        <w:rPr>
          <w:rFonts w:cs="Calibri"/>
          <w:b/>
          <w:bCs/>
        </w:rPr>
        <w:t>Explanation</w:t>
      </w:r>
      <w:r w:rsidR="0085016B">
        <w:rPr>
          <w:rFonts w:cs="Calibri"/>
          <w:b/>
          <w:bCs/>
        </w:rPr>
        <w:t xml:space="preserve">: </w:t>
      </w:r>
      <w:r w:rsidR="005C5AD5">
        <w:rPr>
          <w:rFonts w:cs="Calibri"/>
        </w:rPr>
        <w:t>According to the SAMM</w:t>
      </w:r>
      <w:r w:rsidR="00B3222C">
        <w:rPr>
          <w:rFonts w:cs="Calibri"/>
        </w:rPr>
        <w:t xml:space="preserve"> report, </w:t>
      </w:r>
      <w:r w:rsidR="00DF5344">
        <w:rPr>
          <w:rFonts w:cs="Calibri"/>
        </w:rPr>
        <w:t>Cal</w:t>
      </w:r>
      <w:r w:rsidR="00B3222C">
        <w:rPr>
          <w:rFonts w:cs="Calibri"/>
        </w:rPr>
        <w:t>/</w:t>
      </w:r>
      <w:r w:rsidR="00DF5344">
        <w:rPr>
          <w:rFonts w:cs="Calibri"/>
        </w:rPr>
        <w:t>OSHA</w:t>
      </w:r>
      <w:r w:rsidR="005C5AD5">
        <w:rPr>
          <w:rFonts w:cs="Calibri"/>
        </w:rPr>
        <w:t xml:space="preserve"> retained penalties higher than the national average</w:t>
      </w:r>
      <w:r w:rsidR="004F71B8" w:rsidRPr="004F71B8">
        <w:rPr>
          <w:rFonts w:cs="Calibri"/>
        </w:rPr>
        <w:t xml:space="preserve"> </w:t>
      </w:r>
      <w:r w:rsidR="004F71B8">
        <w:rPr>
          <w:rFonts w:cs="Calibri"/>
        </w:rPr>
        <w:t>for employers that did not contest their citations</w:t>
      </w:r>
      <w:r w:rsidR="005C5AD5">
        <w:rPr>
          <w:rFonts w:cs="Calibri"/>
        </w:rPr>
        <w:t xml:space="preserve">. </w:t>
      </w:r>
      <w:r w:rsidR="006A7F50">
        <w:rPr>
          <w:rFonts w:cs="Calibri"/>
        </w:rPr>
        <w:t>This was related to California having a</w:t>
      </w:r>
      <w:r w:rsidR="001570E7">
        <w:rPr>
          <w:rFonts w:cs="Calibri"/>
        </w:rPr>
        <w:t xml:space="preserve"> smaller pool of </w:t>
      </w:r>
      <w:r w:rsidR="007F294F">
        <w:rPr>
          <w:rFonts w:cs="Calibri"/>
        </w:rPr>
        <w:t xml:space="preserve">private sector </w:t>
      </w:r>
      <w:r w:rsidR="006A7F50">
        <w:rPr>
          <w:rFonts w:cs="Calibri"/>
        </w:rPr>
        <w:t xml:space="preserve">inspections that were </w:t>
      </w:r>
      <w:r w:rsidR="00CC125E">
        <w:rPr>
          <w:rFonts w:cs="Calibri"/>
        </w:rPr>
        <w:t xml:space="preserve">not contested. </w:t>
      </w:r>
      <w:r w:rsidR="006A7F50">
        <w:rPr>
          <w:rFonts w:cs="Calibri"/>
        </w:rPr>
        <w:t xml:space="preserve"> </w:t>
      </w:r>
      <w:r w:rsidR="00FD41DA">
        <w:rPr>
          <w:rFonts w:cs="Calibri"/>
        </w:rPr>
        <w:t xml:space="preserve">OSHA </w:t>
      </w:r>
      <w:r w:rsidR="00310467">
        <w:rPr>
          <w:rFonts w:cs="Calibri"/>
        </w:rPr>
        <w:t xml:space="preserve">has frequent discussions with Cal/OSHA regarding this data and </w:t>
      </w:r>
      <w:r w:rsidR="00EF28D2">
        <w:rPr>
          <w:rFonts w:cs="Calibri"/>
        </w:rPr>
        <w:t xml:space="preserve">is not a cause for concern. </w:t>
      </w:r>
    </w:p>
    <w:p w14:paraId="033892BF" w14:textId="77777777" w:rsidR="00EF28D2" w:rsidRDefault="00EF28D2" w:rsidP="007E0AAB">
      <w:pPr>
        <w:widowControl/>
        <w:autoSpaceDE/>
        <w:adjustRightInd/>
        <w:rPr>
          <w:rFonts w:cs="Calibri"/>
        </w:rPr>
      </w:pPr>
    </w:p>
    <w:p w14:paraId="4D4BD91A" w14:textId="77777777" w:rsidR="0085016B" w:rsidRPr="00C9126D" w:rsidRDefault="0085016B" w:rsidP="007E0AAB">
      <w:pPr>
        <w:widowControl/>
        <w:autoSpaceDE/>
        <w:adjustRightInd/>
        <w:rPr>
          <w:rFonts w:cs="Calibri"/>
        </w:rPr>
      </w:pPr>
    </w:p>
    <w:p w14:paraId="65C66B20" w14:textId="0808A729" w:rsidR="007E5D6C" w:rsidRPr="00C9126D" w:rsidRDefault="007E5D6C" w:rsidP="007E0AAB">
      <w:pPr>
        <w:widowControl/>
        <w:autoSpaceDE/>
        <w:adjustRightInd/>
        <w:rPr>
          <w:rFonts w:cs="Calibri"/>
          <w:b/>
          <w:color w:val="FF0000"/>
        </w:rPr>
      </w:pPr>
    </w:p>
    <w:p w14:paraId="614AFA03" w14:textId="0ED98209" w:rsidR="0028663D" w:rsidRPr="00C9126D" w:rsidRDefault="0028663D" w:rsidP="007E0AAB">
      <w:pPr>
        <w:widowControl/>
        <w:autoSpaceDE/>
        <w:adjustRightInd/>
        <w:rPr>
          <w:rFonts w:cs="Calibri"/>
          <w:b/>
        </w:rPr>
      </w:pPr>
      <w:r w:rsidRPr="00C9126D">
        <w:rPr>
          <w:rFonts w:cs="Calibri"/>
          <w:b/>
        </w:rPr>
        <w:t>SAMM 13 – Percent of Initial Inspections with</w:t>
      </w:r>
      <w:r w:rsidR="00D11C8E">
        <w:rPr>
          <w:rFonts w:cs="Calibri"/>
          <w:b/>
        </w:rPr>
        <w:t xml:space="preserve"> Worker </w:t>
      </w:r>
      <w:r w:rsidRPr="00C9126D">
        <w:rPr>
          <w:rFonts w:cs="Calibri"/>
          <w:b/>
        </w:rPr>
        <w:t>Walk</w:t>
      </w:r>
      <w:r w:rsidR="006459C0">
        <w:rPr>
          <w:rFonts w:cs="Calibri"/>
          <w:b/>
        </w:rPr>
        <w:t>-</w:t>
      </w:r>
      <w:r w:rsidRPr="00C9126D">
        <w:rPr>
          <w:rFonts w:cs="Calibri"/>
          <w:b/>
        </w:rPr>
        <w:t xml:space="preserve">around Representation or </w:t>
      </w:r>
      <w:r w:rsidR="006459C0">
        <w:rPr>
          <w:rFonts w:cs="Calibri"/>
          <w:b/>
        </w:rPr>
        <w:t xml:space="preserve">Worker </w:t>
      </w:r>
      <w:r w:rsidRPr="00C9126D">
        <w:rPr>
          <w:rFonts w:cs="Calibri"/>
          <w:b/>
        </w:rPr>
        <w:t>Interview</w:t>
      </w:r>
    </w:p>
    <w:p w14:paraId="1466285F" w14:textId="77777777" w:rsidR="0028663D" w:rsidRPr="00C9126D" w:rsidRDefault="0028663D" w:rsidP="007E0AAB">
      <w:pPr>
        <w:widowControl/>
        <w:autoSpaceDE/>
        <w:adjustRightInd/>
        <w:rPr>
          <w:rFonts w:cs="Calibri"/>
        </w:rPr>
      </w:pPr>
    </w:p>
    <w:p w14:paraId="2E2791D7" w14:textId="2618A5CE" w:rsidR="0028663D" w:rsidRPr="00C9126D" w:rsidRDefault="0028663D" w:rsidP="007E0AAB">
      <w:pPr>
        <w:widowControl/>
        <w:autoSpaceDE/>
        <w:adjustRightInd/>
        <w:rPr>
          <w:rFonts w:cs="Calibri"/>
        </w:rPr>
      </w:pPr>
      <w:r w:rsidRPr="55BAC008">
        <w:rPr>
          <w:rFonts w:cs="Calibri"/>
          <w:b/>
          <w:bCs/>
        </w:rPr>
        <w:t>Discussion of State Plan Data and FRL:</w:t>
      </w:r>
      <w:r w:rsidRPr="55BAC008">
        <w:rPr>
          <w:rFonts w:cs="Calibri"/>
        </w:rPr>
        <w:t xml:space="preserve">  The FRL for SAMM 13, percent of initial inspections with </w:t>
      </w:r>
      <w:r w:rsidR="00030501" w:rsidRPr="55BAC008">
        <w:rPr>
          <w:rFonts w:cs="Calibri"/>
        </w:rPr>
        <w:t xml:space="preserve">worker </w:t>
      </w:r>
      <w:r w:rsidRPr="55BAC008">
        <w:rPr>
          <w:rFonts w:cs="Calibri"/>
        </w:rPr>
        <w:t>walk</w:t>
      </w:r>
      <w:r w:rsidR="00030501" w:rsidRPr="55BAC008">
        <w:rPr>
          <w:rFonts w:cs="Calibri"/>
        </w:rPr>
        <w:t>-</w:t>
      </w:r>
      <w:r w:rsidRPr="55BAC008">
        <w:rPr>
          <w:rFonts w:cs="Calibri"/>
        </w:rPr>
        <w:t xml:space="preserve">around representation or </w:t>
      </w:r>
      <w:r w:rsidR="00030501" w:rsidRPr="55BAC008">
        <w:rPr>
          <w:rFonts w:cs="Calibri"/>
        </w:rPr>
        <w:t xml:space="preserve">worker </w:t>
      </w:r>
      <w:r w:rsidRPr="55BAC008">
        <w:rPr>
          <w:rFonts w:cs="Calibri"/>
        </w:rPr>
        <w:t xml:space="preserve">interview, is fixed at 100%.  </w:t>
      </w:r>
      <w:r w:rsidR="00A57A14">
        <w:rPr>
          <w:rFonts w:cs="Calibri"/>
        </w:rPr>
        <w:t>In FY 2024, e</w:t>
      </w:r>
      <w:r w:rsidRPr="55BAC008">
        <w:rPr>
          <w:rFonts w:cs="Calibri"/>
        </w:rPr>
        <w:t>mployees were included in 99.</w:t>
      </w:r>
      <w:r w:rsidR="00396369" w:rsidRPr="55BAC008">
        <w:rPr>
          <w:rFonts w:cs="Calibri"/>
        </w:rPr>
        <w:t>74</w:t>
      </w:r>
      <w:r w:rsidRPr="55BAC008">
        <w:rPr>
          <w:rFonts w:cs="Calibri"/>
        </w:rPr>
        <w:t>% of initial inspections</w:t>
      </w:r>
      <w:r w:rsidR="00A57A14">
        <w:rPr>
          <w:rFonts w:cs="Calibri"/>
        </w:rPr>
        <w:t xml:space="preserve"> conducted by Cal/OSHA</w:t>
      </w:r>
      <w:r w:rsidR="003F5B0B" w:rsidRPr="55BAC008">
        <w:rPr>
          <w:rFonts w:cs="Calibri"/>
        </w:rPr>
        <w:t>.</w:t>
      </w:r>
    </w:p>
    <w:p w14:paraId="3F12A9F7" w14:textId="77777777" w:rsidR="0028663D" w:rsidRPr="00031FB7" w:rsidRDefault="0028663D" w:rsidP="007E0AAB">
      <w:pPr>
        <w:widowControl/>
        <w:autoSpaceDE/>
        <w:adjustRightInd/>
        <w:rPr>
          <w:rFonts w:cs="Calibri"/>
          <w:color w:val="FF0000"/>
        </w:rPr>
      </w:pPr>
    </w:p>
    <w:p w14:paraId="13B124FA" w14:textId="67149617" w:rsidR="6E5B07DA" w:rsidRDefault="0028663D" w:rsidP="00D97DAA">
      <w:pPr>
        <w:rPr>
          <w:rFonts w:cs="Calibri"/>
        </w:rPr>
      </w:pPr>
      <w:r w:rsidRPr="55BAC008">
        <w:rPr>
          <w:rFonts w:cs="Calibri"/>
          <w:b/>
          <w:bCs/>
        </w:rPr>
        <w:t>Explanation:</w:t>
      </w:r>
      <w:r w:rsidRPr="00C9126D">
        <w:rPr>
          <w:rFonts w:cs="Calibri"/>
        </w:rPr>
        <w:t xml:space="preserve">  </w:t>
      </w:r>
      <w:r w:rsidR="00090423">
        <w:rPr>
          <w:rFonts w:cs="Calibri"/>
        </w:rPr>
        <w:t xml:space="preserve">The small percentage of inspections </w:t>
      </w:r>
      <w:r w:rsidR="003C13FD">
        <w:rPr>
          <w:rFonts w:cs="Calibri"/>
        </w:rPr>
        <w:t xml:space="preserve">that </w:t>
      </w:r>
      <w:r w:rsidR="003E6E11" w:rsidRPr="00C9126D">
        <w:rPr>
          <w:rFonts w:cs="Calibri"/>
        </w:rPr>
        <w:t xml:space="preserve">did not contain employee representation </w:t>
      </w:r>
      <w:r w:rsidR="00FA3120">
        <w:rPr>
          <w:rFonts w:cs="Calibri"/>
        </w:rPr>
        <w:t xml:space="preserve">was </w:t>
      </w:r>
      <w:r w:rsidR="00D147A7">
        <w:rPr>
          <w:rFonts w:cs="Calibri"/>
        </w:rPr>
        <w:t xml:space="preserve">likely due to data </w:t>
      </w:r>
      <w:r w:rsidR="000E05EF">
        <w:rPr>
          <w:rFonts w:cs="Calibri"/>
        </w:rPr>
        <w:t xml:space="preserve">entry </w:t>
      </w:r>
      <w:r w:rsidR="003E6E11" w:rsidRPr="00C9126D">
        <w:rPr>
          <w:rFonts w:cs="Calibri"/>
        </w:rPr>
        <w:t>oversights by new compliance officers.</w:t>
      </w:r>
      <w:r w:rsidR="002F46C5">
        <w:rPr>
          <w:rFonts w:cs="Calibri"/>
        </w:rPr>
        <w:t xml:space="preserve">  Performance on this measure does not rise to the level of an observation. </w:t>
      </w:r>
    </w:p>
    <w:p w14:paraId="4D49BA8E" w14:textId="1D7DF67D" w:rsidR="6E5B07DA" w:rsidRDefault="6E5B07DA" w:rsidP="6E5B07DA">
      <w:pPr>
        <w:widowControl/>
        <w:rPr>
          <w:rFonts w:cs="Calibri"/>
        </w:rPr>
      </w:pPr>
    </w:p>
    <w:p w14:paraId="22BEEDBF" w14:textId="6AD61C23" w:rsidR="6E5B07DA" w:rsidRDefault="6E5B07DA" w:rsidP="6E5B07DA">
      <w:pPr>
        <w:widowControl/>
        <w:rPr>
          <w:rFonts w:cs="Calibri"/>
        </w:rPr>
        <w:sectPr w:rsidR="6E5B07DA" w:rsidSect="00783189">
          <w:headerReference w:type="default" r:id="rId14"/>
          <w:footerReference w:type="default" r:id="rId15"/>
          <w:headerReference w:type="first" r:id="rId16"/>
          <w:footerReference w:type="first" r:id="rId17"/>
          <w:pgSz w:w="12240" w:h="15840"/>
          <w:pgMar w:top="1440" w:right="1260" w:bottom="1260" w:left="1440" w:header="720" w:footer="526" w:gutter="0"/>
          <w:pgNumType w:start="1"/>
          <w:cols w:space="720"/>
          <w:titlePg/>
          <w:docGrid w:linePitch="360"/>
        </w:sectPr>
      </w:pPr>
    </w:p>
    <w:p w14:paraId="516D3ECD" w14:textId="77777777" w:rsidR="00B6741C" w:rsidRPr="000C2F6C" w:rsidRDefault="00B6741C" w:rsidP="0084402C">
      <w:pPr>
        <w:pStyle w:val="Heading4"/>
      </w:pPr>
      <w:bookmarkStart w:id="34" w:name="_Toc118905017"/>
      <w:bookmarkStart w:id="35" w:name="_Toc128053012"/>
      <w:r w:rsidRPr="00B21DD2">
        <w:t>Appendix A – New and Continued Findings and Recommendations</w:t>
      </w:r>
      <w:bookmarkEnd w:id="34"/>
      <w:bookmarkEnd w:id="35"/>
    </w:p>
    <w:p w14:paraId="670F195C" w14:textId="673F6F2D" w:rsidR="00B6741C" w:rsidRDefault="3AB4540F" w:rsidP="6E5B07DA">
      <w:pPr>
        <w:jc w:val="center"/>
      </w:pPr>
      <w:r>
        <w:t>FY 202</w:t>
      </w:r>
      <w:r w:rsidR="630AD046">
        <w:t>4</w:t>
      </w:r>
      <w:r w:rsidR="298767C4">
        <w:t xml:space="preserve"> </w:t>
      </w:r>
      <w:r w:rsidR="3D537C8D">
        <w:t>California Division of Occupational Safety and Health</w:t>
      </w:r>
      <w:r w:rsidRPr="00D70467">
        <w:t xml:space="preserve"> </w:t>
      </w:r>
      <w:r w:rsidR="665AA3A9" w:rsidRPr="00D70467">
        <w:t xml:space="preserve">Follow-up </w:t>
      </w:r>
      <w:r>
        <w:t xml:space="preserve">FAME </w:t>
      </w:r>
      <w:r w:rsidR="3C0722CF">
        <w:t>Report</w:t>
      </w:r>
    </w:p>
    <w:p w14:paraId="01124948" w14:textId="77777777" w:rsidR="00DB5492" w:rsidRPr="001C1E47" w:rsidRDefault="00DB5492"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6AB43BC4">
        <w:trPr>
          <w:cantSplit/>
          <w:trHeight w:val="350"/>
          <w:tblHeader/>
        </w:trPr>
        <w:tc>
          <w:tcPr>
            <w:tcW w:w="1440" w:type="dxa"/>
          </w:tcPr>
          <w:p w14:paraId="1F333F67" w14:textId="6F9804A5" w:rsidR="000A134A" w:rsidRPr="001C1E47" w:rsidRDefault="000A134A" w:rsidP="1E8FD191">
            <w:pPr>
              <w:widowControl/>
              <w:autoSpaceDE/>
              <w:autoSpaceDN/>
              <w:adjustRightInd/>
              <w:rPr>
                <w:rFonts w:cs="Calibri"/>
                <w:b/>
                <w:bCs/>
              </w:rPr>
            </w:pPr>
            <w:r w:rsidRPr="1E8FD191">
              <w:rPr>
                <w:rFonts w:cs="Calibri"/>
                <w:b/>
                <w:bCs/>
              </w:rPr>
              <w:t xml:space="preserve">FY </w:t>
            </w:r>
            <w:r w:rsidR="0B6E9603" w:rsidRPr="1E8FD191">
              <w:rPr>
                <w:rFonts w:cs="Calibri"/>
                <w:b/>
                <w:bCs/>
              </w:rPr>
              <w:t>20</w:t>
            </w:r>
            <w:r w:rsidR="047E106A" w:rsidRPr="1E8FD191">
              <w:rPr>
                <w:rFonts w:cs="Calibri"/>
                <w:b/>
                <w:bCs/>
              </w:rPr>
              <w:t>2</w:t>
            </w:r>
            <w:r w:rsidR="007321F5" w:rsidRPr="1E8FD191">
              <w:rPr>
                <w:rFonts w:cs="Calibri"/>
                <w:b/>
                <w:bCs/>
              </w:rPr>
              <w:t>4</w:t>
            </w:r>
            <w:r w:rsidRPr="1E8FD191">
              <w:rPr>
                <w:rFonts w:cs="Calibri"/>
                <w:b/>
                <w:bCs/>
              </w:rPr>
              <w:t>-</w:t>
            </w:r>
            <w:r w:rsidR="3E72852E" w:rsidRPr="1E8FD191">
              <w:rPr>
                <w:rFonts w:cs="Calibri"/>
                <w:b/>
                <w:bCs/>
              </w:rPr>
              <w:t>#</w:t>
            </w:r>
          </w:p>
        </w:tc>
        <w:tc>
          <w:tcPr>
            <w:tcW w:w="4721" w:type="dxa"/>
          </w:tcPr>
          <w:p w14:paraId="0C140B4B" w14:textId="77777777" w:rsidR="000A134A" w:rsidRPr="001C1E47" w:rsidRDefault="000A134A" w:rsidP="005B1F2D">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5B1F2D">
            <w:pPr>
              <w:widowControl/>
              <w:autoSpaceDE/>
              <w:autoSpaceDN/>
              <w:adjustRightInd/>
              <w:rPr>
                <w:rFonts w:cs="Calibri"/>
                <w:b/>
              </w:rPr>
            </w:pPr>
            <w:r w:rsidRPr="001C1E47">
              <w:rPr>
                <w:rFonts w:cs="Calibri"/>
                <w:b/>
              </w:rPr>
              <w:t>Recommendation</w:t>
            </w:r>
          </w:p>
        </w:tc>
        <w:tc>
          <w:tcPr>
            <w:tcW w:w="1890" w:type="dxa"/>
          </w:tcPr>
          <w:p w14:paraId="7C9006CD" w14:textId="6368144C" w:rsidR="00BB0343" w:rsidRPr="001C1E47" w:rsidRDefault="3E72852E" w:rsidP="1E8FD191">
            <w:pPr>
              <w:widowControl/>
              <w:autoSpaceDE/>
              <w:autoSpaceDN/>
              <w:adjustRightInd/>
              <w:rPr>
                <w:rFonts w:cs="Calibri"/>
                <w:b/>
                <w:bCs/>
              </w:rPr>
            </w:pPr>
            <w:r w:rsidRPr="1E8FD191">
              <w:rPr>
                <w:rFonts w:cs="Calibri"/>
                <w:b/>
                <w:bCs/>
              </w:rPr>
              <w:t xml:space="preserve">FY </w:t>
            </w:r>
            <w:r w:rsidR="0B6E9603" w:rsidRPr="1E8FD191">
              <w:rPr>
                <w:rFonts w:cs="Calibri"/>
                <w:b/>
                <w:bCs/>
              </w:rPr>
              <w:t>20</w:t>
            </w:r>
            <w:r w:rsidR="76E33D2E" w:rsidRPr="1E8FD191">
              <w:rPr>
                <w:rFonts w:cs="Calibri"/>
                <w:b/>
                <w:bCs/>
              </w:rPr>
              <w:t>2</w:t>
            </w:r>
            <w:r w:rsidR="007321F5" w:rsidRPr="1E8FD191">
              <w:rPr>
                <w:rFonts w:cs="Calibri"/>
                <w:b/>
                <w:bCs/>
              </w:rPr>
              <w:t>3</w:t>
            </w:r>
            <w:r w:rsidRPr="1E8FD191">
              <w:rPr>
                <w:rFonts w:cs="Calibri"/>
                <w:b/>
                <w:bCs/>
              </w:rPr>
              <w:t xml:space="preserve">-# or </w:t>
            </w:r>
          </w:p>
          <w:p w14:paraId="3C61CFBF" w14:textId="2E1F7CEA" w:rsidR="000A134A" w:rsidRPr="001C1E47" w:rsidRDefault="3E72852E" w:rsidP="1E8FD191">
            <w:pPr>
              <w:widowControl/>
              <w:autoSpaceDE/>
              <w:autoSpaceDN/>
              <w:adjustRightInd/>
              <w:rPr>
                <w:rFonts w:cs="Calibri"/>
                <w:b/>
                <w:bCs/>
              </w:rPr>
            </w:pPr>
            <w:r w:rsidRPr="1E8FD191">
              <w:rPr>
                <w:rFonts w:cs="Calibri"/>
                <w:b/>
                <w:bCs/>
              </w:rPr>
              <w:t xml:space="preserve">FY </w:t>
            </w:r>
            <w:r w:rsidR="0B6E9603" w:rsidRPr="1E8FD191">
              <w:rPr>
                <w:rFonts w:cs="Calibri"/>
                <w:b/>
                <w:bCs/>
              </w:rPr>
              <w:t>20</w:t>
            </w:r>
            <w:r w:rsidR="76E33D2E" w:rsidRPr="1E8FD191">
              <w:rPr>
                <w:rFonts w:cs="Calibri"/>
                <w:b/>
                <w:bCs/>
              </w:rPr>
              <w:t>2</w:t>
            </w:r>
            <w:r w:rsidR="007321F5" w:rsidRPr="1E8FD191">
              <w:rPr>
                <w:rFonts w:cs="Calibri"/>
                <w:b/>
                <w:bCs/>
              </w:rPr>
              <w:t>3</w:t>
            </w:r>
            <w:r w:rsidRPr="1E8FD191">
              <w:rPr>
                <w:rFonts w:cs="Calibri"/>
                <w:b/>
                <w:bCs/>
              </w:rPr>
              <w:t>-OB-#</w:t>
            </w:r>
          </w:p>
        </w:tc>
      </w:tr>
      <w:tr w:rsidR="00C123BE" w:rsidRPr="001C1E47" w14:paraId="361E1BD2" w14:textId="77777777" w:rsidTr="6AB43BC4">
        <w:trPr>
          <w:cantSplit/>
        </w:trPr>
        <w:tc>
          <w:tcPr>
            <w:tcW w:w="1440" w:type="dxa"/>
          </w:tcPr>
          <w:p w14:paraId="01DD4D90" w14:textId="2E71734A" w:rsidR="00C123BE" w:rsidRPr="00C123BE" w:rsidRDefault="00C123BE" w:rsidP="00C123BE">
            <w:pPr>
              <w:widowControl/>
              <w:autoSpaceDE/>
              <w:autoSpaceDN/>
              <w:adjustRightInd/>
              <w:rPr>
                <w:rFonts w:cs="Calibri"/>
                <w:sz w:val="22"/>
                <w:szCs w:val="22"/>
              </w:rPr>
            </w:pPr>
            <w:r w:rsidRPr="00C123BE">
              <w:rPr>
                <w:rFonts w:eastAsia="PMingLiU"/>
                <w:sz w:val="22"/>
                <w:szCs w:val="22"/>
              </w:rPr>
              <w:t>FY 202</w:t>
            </w:r>
            <w:r w:rsidR="00BF58FF">
              <w:rPr>
                <w:rFonts w:eastAsia="PMingLiU"/>
                <w:sz w:val="22"/>
                <w:szCs w:val="22"/>
              </w:rPr>
              <w:t>4</w:t>
            </w:r>
            <w:r w:rsidRPr="00C123BE">
              <w:rPr>
                <w:rFonts w:eastAsia="PMingLiU"/>
                <w:sz w:val="22"/>
                <w:szCs w:val="22"/>
              </w:rPr>
              <w:t>-0</w:t>
            </w:r>
            <w:r w:rsidR="000F59B9">
              <w:rPr>
                <w:rFonts w:eastAsia="PMingLiU"/>
                <w:sz w:val="22"/>
                <w:szCs w:val="22"/>
              </w:rPr>
              <w:t>1</w:t>
            </w:r>
          </w:p>
        </w:tc>
        <w:tc>
          <w:tcPr>
            <w:tcW w:w="4721" w:type="dxa"/>
          </w:tcPr>
          <w:p w14:paraId="21F530E8" w14:textId="3771639B" w:rsidR="00C123BE" w:rsidRPr="00C123BE" w:rsidRDefault="0060788A" w:rsidP="00C123BE">
            <w:pPr>
              <w:widowControl/>
              <w:autoSpaceDE/>
              <w:autoSpaceDN/>
              <w:adjustRightInd/>
              <w:rPr>
                <w:rFonts w:cs="Calibri"/>
                <w:sz w:val="22"/>
                <w:szCs w:val="22"/>
              </w:rPr>
            </w:pPr>
            <w:r w:rsidRPr="0060788A">
              <w:rPr>
                <w:rFonts w:asciiTheme="minorHAnsi" w:eastAsia="PMingLiU" w:hAnsiTheme="minorHAnsi" w:cstheme="minorHAnsi"/>
                <w:sz w:val="22"/>
                <w:szCs w:val="22"/>
              </w:rPr>
              <w:t xml:space="preserve">The average number of serious, willful, repeat, or unclassified (SWRU) violations issued was 0.67 (SAMM 5a) violations per inspection. This was below the lower end of the </w:t>
            </w:r>
            <w:r w:rsidR="00300493" w:rsidRPr="00300493">
              <w:rPr>
                <w:rFonts w:asciiTheme="minorHAnsi" w:eastAsia="PMingLiU" w:hAnsiTheme="minorHAnsi" w:cstheme="minorHAnsi"/>
                <w:sz w:val="22"/>
                <w:szCs w:val="22"/>
              </w:rPr>
              <w:t xml:space="preserve">Further Review Level (FRL) </w:t>
            </w:r>
            <w:r w:rsidRPr="0060788A">
              <w:rPr>
                <w:rFonts w:asciiTheme="minorHAnsi" w:eastAsia="PMingLiU" w:hAnsiTheme="minorHAnsi" w:cstheme="minorHAnsi"/>
                <w:sz w:val="22"/>
                <w:szCs w:val="22"/>
              </w:rPr>
              <w:t>range (1.40 violations per inspection).</w:t>
            </w:r>
          </w:p>
        </w:tc>
        <w:tc>
          <w:tcPr>
            <w:tcW w:w="4819" w:type="dxa"/>
          </w:tcPr>
          <w:p w14:paraId="069FF3A9" w14:textId="3DE1B9D2" w:rsidR="00C123BE" w:rsidRPr="00C123BE" w:rsidRDefault="00C123BE" w:rsidP="00C123BE">
            <w:pPr>
              <w:widowControl/>
              <w:autoSpaceDE/>
              <w:autoSpaceDN/>
              <w:adjustRightInd/>
              <w:rPr>
                <w:rFonts w:cs="Calibri"/>
                <w:sz w:val="22"/>
                <w:szCs w:val="22"/>
              </w:rPr>
            </w:pPr>
            <w:r w:rsidRPr="00C123BE">
              <w:rPr>
                <w:rFonts w:eastAsia="PMingLiU"/>
                <w:sz w:val="22"/>
                <w:szCs w:val="22"/>
              </w:rPr>
              <w:t>Cal/OSHA should determine the underlying cause for the low number of serious, willful, repeat, and unclassified violations, and implement corrective actions.</w:t>
            </w:r>
          </w:p>
        </w:tc>
        <w:tc>
          <w:tcPr>
            <w:tcW w:w="1890" w:type="dxa"/>
          </w:tcPr>
          <w:p w14:paraId="0082331F" w14:textId="5E2F459E" w:rsidR="00287ACB" w:rsidRDefault="00C123BE" w:rsidP="00C123BE">
            <w:pPr>
              <w:widowControl/>
              <w:autoSpaceDE/>
              <w:autoSpaceDN/>
              <w:adjustRightInd/>
              <w:rPr>
                <w:rFonts w:eastAsia="PMingLiU"/>
                <w:sz w:val="22"/>
                <w:szCs w:val="22"/>
              </w:rPr>
            </w:pPr>
            <w:r w:rsidRPr="00C123BE">
              <w:rPr>
                <w:rFonts w:eastAsia="PMingLiU"/>
                <w:sz w:val="22"/>
                <w:szCs w:val="22"/>
              </w:rPr>
              <w:t>FY 202</w:t>
            </w:r>
            <w:r w:rsidR="003503B4">
              <w:rPr>
                <w:rFonts w:eastAsia="PMingLiU"/>
                <w:sz w:val="22"/>
                <w:szCs w:val="22"/>
              </w:rPr>
              <w:t>3</w:t>
            </w:r>
            <w:r w:rsidRPr="00C123BE">
              <w:rPr>
                <w:rFonts w:eastAsia="PMingLiU"/>
                <w:sz w:val="22"/>
                <w:szCs w:val="22"/>
              </w:rPr>
              <w:t>-0</w:t>
            </w:r>
            <w:r w:rsidR="003503B4">
              <w:rPr>
                <w:rFonts w:eastAsia="PMingLiU"/>
                <w:sz w:val="22"/>
                <w:szCs w:val="22"/>
              </w:rPr>
              <w:t>1</w:t>
            </w:r>
          </w:p>
          <w:p w14:paraId="41535CDB" w14:textId="11C1E018" w:rsidR="00C123BE" w:rsidRPr="008C63A0" w:rsidRDefault="00C123BE" w:rsidP="00C123BE">
            <w:pPr>
              <w:widowControl/>
              <w:autoSpaceDE/>
              <w:autoSpaceDN/>
              <w:adjustRightInd/>
              <w:rPr>
                <w:rFonts w:eastAsia="PMingLiU"/>
                <w:sz w:val="22"/>
                <w:szCs w:val="22"/>
              </w:rPr>
            </w:pPr>
          </w:p>
        </w:tc>
      </w:tr>
      <w:tr w:rsidR="004806F5" w:rsidRPr="001C1E47" w14:paraId="3397C3F4" w14:textId="77777777" w:rsidTr="6AB43BC4">
        <w:trPr>
          <w:cantSplit/>
        </w:trPr>
        <w:tc>
          <w:tcPr>
            <w:tcW w:w="1440" w:type="dxa"/>
          </w:tcPr>
          <w:p w14:paraId="0692FFFE" w14:textId="1CF2CB52" w:rsidR="004806F5" w:rsidRPr="00C123BE" w:rsidRDefault="00721382" w:rsidP="00C123B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4</w:t>
            </w:r>
            <w:r w:rsidRPr="00C123BE">
              <w:rPr>
                <w:rFonts w:eastAsia="PMingLiU"/>
                <w:sz w:val="22"/>
                <w:szCs w:val="22"/>
              </w:rPr>
              <w:t>-0</w:t>
            </w:r>
            <w:r>
              <w:rPr>
                <w:rFonts w:eastAsia="PMingLiU"/>
                <w:sz w:val="22"/>
                <w:szCs w:val="22"/>
              </w:rPr>
              <w:t>2</w:t>
            </w:r>
          </w:p>
        </w:tc>
        <w:tc>
          <w:tcPr>
            <w:tcW w:w="4721" w:type="dxa"/>
          </w:tcPr>
          <w:p w14:paraId="507374FC" w14:textId="541D80D8" w:rsidR="004806F5" w:rsidRPr="0060788A" w:rsidRDefault="004806F5" w:rsidP="00C123BE">
            <w:pPr>
              <w:widowControl/>
              <w:autoSpaceDE/>
              <w:autoSpaceDN/>
              <w:adjustRightInd/>
              <w:rPr>
                <w:rFonts w:asciiTheme="minorHAnsi" w:eastAsia="PMingLiU" w:hAnsiTheme="minorHAnsi" w:cstheme="minorHAnsi"/>
                <w:sz w:val="22"/>
                <w:szCs w:val="22"/>
              </w:rPr>
            </w:pPr>
            <w:r w:rsidRPr="004806F5">
              <w:rPr>
                <w:rFonts w:asciiTheme="minorHAnsi" w:eastAsia="PMingLiU" w:hAnsiTheme="minorHAnsi" w:cstheme="minorHAnsi"/>
                <w:sz w:val="22"/>
                <w:szCs w:val="22"/>
              </w:rPr>
              <w:t>In FY</w:t>
            </w:r>
            <w:r w:rsidR="00A57A14">
              <w:rPr>
                <w:rFonts w:asciiTheme="minorHAnsi" w:eastAsia="PMingLiU" w:hAnsiTheme="minorHAnsi" w:cstheme="minorHAnsi"/>
                <w:sz w:val="22"/>
                <w:szCs w:val="22"/>
              </w:rPr>
              <w:t xml:space="preserve"> </w:t>
            </w:r>
            <w:r w:rsidRPr="004806F5">
              <w:rPr>
                <w:rFonts w:asciiTheme="minorHAnsi" w:eastAsia="PMingLiU" w:hAnsiTheme="minorHAnsi" w:cstheme="minorHAnsi"/>
                <w:sz w:val="22"/>
                <w:szCs w:val="22"/>
              </w:rPr>
              <w:t>2023, in 20 of 73 (27.3%) case files evaluated where violations were issued, abatement documentation was lacking, including 11 of 28 (39%) cases with abatement noted as corrected during inspection lacked documentation of CSHO observation or verification of abatement.</w:t>
            </w:r>
          </w:p>
        </w:tc>
        <w:tc>
          <w:tcPr>
            <w:tcW w:w="4819" w:type="dxa"/>
          </w:tcPr>
          <w:p w14:paraId="785BCCD9" w14:textId="26863EBD" w:rsidR="004806F5" w:rsidRPr="00C123BE" w:rsidRDefault="00AF5F12" w:rsidP="00C123BE">
            <w:pPr>
              <w:widowControl/>
              <w:autoSpaceDE/>
              <w:autoSpaceDN/>
              <w:adjustRightInd/>
              <w:rPr>
                <w:rFonts w:eastAsia="PMingLiU"/>
                <w:sz w:val="22"/>
                <w:szCs w:val="22"/>
              </w:rPr>
            </w:pPr>
            <w:r w:rsidRPr="00AF5F12">
              <w:rPr>
                <w:rFonts w:eastAsia="PMingLiU"/>
                <w:sz w:val="22"/>
                <w:szCs w:val="22"/>
              </w:rPr>
              <w:t>Cal/OSHA should establish a plan to work with district and regional managers to ensure policies and procedures for the documentation of the abatement of hazards are adequate to demonstrate hazards have been abated and that policies and procedures are followed.</w:t>
            </w:r>
          </w:p>
        </w:tc>
        <w:tc>
          <w:tcPr>
            <w:tcW w:w="1890" w:type="dxa"/>
          </w:tcPr>
          <w:p w14:paraId="62876846" w14:textId="7A0FB168" w:rsidR="00EF495E" w:rsidRDefault="00EF495E" w:rsidP="00EF495E">
            <w:pPr>
              <w:widowControl/>
              <w:autoSpaceDE/>
              <w:autoSpaceDN/>
              <w:adjustRightInd/>
              <w:rPr>
                <w:rFonts w:eastAsia="PMingLiU"/>
                <w:sz w:val="22"/>
                <w:szCs w:val="22"/>
              </w:rPr>
            </w:pPr>
            <w:r w:rsidRPr="00C123BE">
              <w:rPr>
                <w:rFonts w:eastAsia="PMingLiU"/>
                <w:sz w:val="22"/>
                <w:szCs w:val="22"/>
              </w:rPr>
              <w:t>FY 202</w:t>
            </w:r>
            <w:r>
              <w:rPr>
                <w:rFonts w:eastAsia="PMingLiU"/>
                <w:sz w:val="22"/>
                <w:szCs w:val="22"/>
              </w:rPr>
              <w:t>3</w:t>
            </w:r>
            <w:r w:rsidRPr="00C123BE">
              <w:rPr>
                <w:rFonts w:eastAsia="PMingLiU"/>
                <w:sz w:val="22"/>
                <w:szCs w:val="22"/>
              </w:rPr>
              <w:t>-0</w:t>
            </w:r>
            <w:r>
              <w:rPr>
                <w:rFonts w:eastAsia="PMingLiU"/>
                <w:sz w:val="22"/>
                <w:szCs w:val="22"/>
              </w:rPr>
              <w:t>3</w:t>
            </w:r>
          </w:p>
          <w:p w14:paraId="74CE90D9" w14:textId="77777777" w:rsidR="004806F5" w:rsidRPr="00C123BE" w:rsidRDefault="004806F5" w:rsidP="00C123BE">
            <w:pPr>
              <w:widowControl/>
              <w:autoSpaceDE/>
              <w:autoSpaceDN/>
              <w:adjustRightInd/>
              <w:rPr>
                <w:rFonts w:eastAsia="PMingLiU"/>
                <w:sz w:val="22"/>
                <w:szCs w:val="22"/>
              </w:rPr>
            </w:pPr>
          </w:p>
        </w:tc>
      </w:tr>
      <w:tr w:rsidR="00C123BE" w:rsidRPr="001C1E47" w14:paraId="1BBBCB7C" w14:textId="77777777" w:rsidTr="6AB43BC4">
        <w:trPr>
          <w:cantSplit/>
        </w:trPr>
        <w:tc>
          <w:tcPr>
            <w:tcW w:w="1440" w:type="dxa"/>
          </w:tcPr>
          <w:p w14:paraId="519522C7" w14:textId="3DEA7D24" w:rsidR="00C123BE" w:rsidRPr="00C123BE" w:rsidRDefault="6F264EFD" w:rsidP="00C123BE">
            <w:pPr>
              <w:widowControl/>
              <w:autoSpaceDE/>
              <w:autoSpaceDN/>
              <w:adjustRightInd/>
              <w:rPr>
                <w:rFonts w:cs="Calibri"/>
                <w:sz w:val="22"/>
                <w:szCs w:val="22"/>
              </w:rPr>
            </w:pPr>
            <w:r w:rsidRPr="1E8FD191">
              <w:rPr>
                <w:rFonts w:eastAsia="PMingLiU"/>
                <w:sz w:val="22"/>
                <w:szCs w:val="22"/>
              </w:rPr>
              <w:t>FY 202</w:t>
            </w:r>
            <w:r w:rsidR="64A57CA3" w:rsidRPr="1E8FD191">
              <w:rPr>
                <w:rFonts w:eastAsia="PMingLiU"/>
                <w:sz w:val="22"/>
                <w:szCs w:val="22"/>
              </w:rPr>
              <w:t>4</w:t>
            </w:r>
            <w:r w:rsidRPr="1E8FD191">
              <w:rPr>
                <w:rFonts w:eastAsia="PMingLiU"/>
                <w:sz w:val="22"/>
                <w:szCs w:val="22"/>
              </w:rPr>
              <w:t>-</w:t>
            </w:r>
            <w:r w:rsidR="00921C05">
              <w:rPr>
                <w:rFonts w:eastAsia="PMingLiU"/>
                <w:sz w:val="22"/>
                <w:szCs w:val="22"/>
              </w:rPr>
              <w:t>03</w:t>
            </w:r>
          </w:p>
        </w:tc>
        <w:tc>
          <w:tcPr>
            <w:tcW w:w="4721" w:type="dxa"/>
          </w:tcPr>
          <w:p w14:paraId="61640694" w14:textId="4339B02A" w:rsidR="00C123BE" w:rsidRPr="00C123BE" w:rsidRDefault="00C123BE" w:rsidP="00C123BE">
            <w:pPr>
              <w:widowControl/>
              <w:autoSpaceDE/>
              <w:autoSpaceDN/>
              <w:adjustRightInd/>
              <w:rPr>
                <w:rFonts w:cs="Calibri"/>
                <w:sz w:val="22"/>
                <w:szCs w:val="22"/>
              </w:rPr>
            </w:pPr>
            <w:r w:rsidRPr="00FC3AFD">
              <w:rPr>
                <w:rFonts w:asciiTheme="minorHAnsi" w:eastAsia="PMingLiU" w:hAnsiTheme="minorHAnsi" w:cstheme="minorHAnsi"/>
                <w:sz w:val="22"/>
                <w:szCs w:val="22"/>
              </w:rPr>
              <w:t>OSHSB’s regulations for residential construction fall protection are not at least as effective (ALAE) as OSHA’s regulations as required by 29 CFR 1953.5(a).</w:t>
            </w:r>
          </w:p>
        </w:tc>
        <w:tc>
          <w:tcPr>
            <w:tcW w:w="4819" w:type="dxa"/>
          </w:tcPr>
          <w:p w14:paraId="555D573F" w14:textId="3ED8F9F3" w:rsidR="00C123BE" w:rsidRPr="00C123BE" w:rsidRDefault="00C123BE" w:rsidP="00C123BE">
            <w:pPr>
              <w:widowControl/>
              <w:autoSpaceDE/>
              <w:autoSpaceDN/>
              <w:adjustRightInd/>
              <w:rPr>
                <w:rFonts w:cs="Calibri"/>
                <w:sz w:val="22"/>
                <w:szCs w:val="22"/>
              </w:rPr>
            </w:pPr>
            <w:r w:rsidRPr="00C123BE">
              <w:rPr>
                <w:rFonts w:eastAsia="PMingLiU"/>
                <w:sz w:val="22"/>
                <w:szCs w:val="22"/>
              </w:rPr>
              <w:t>OSHSB should ensure their standards on residential construction fall protection are ALAE as OSHA’s standards.</w:t>
            </w:r>
          </w:p>
        </w:tc>
        <w:tc>
          <w:tcPr>
            <w:tcW w:w="1890" w:type="dxa"/>
          </w:tcPr>
          <w:p w14:paraId="5EC91CC9" w14:textId="1E5E77C7" w:rsidR="001B1156" w:rsidRDefault="76F6ED28" w:rsidP="00C123BE">
            <w:pPr>
              <w:widowControl/>
              <w:autoSpaceDE/>
              <w:autoSpaceDN/>
              <w:adjustRightInd/>
              <w:rPr>
                <w:rFonts w:eastAsia="PMingLiU"/>
                <w:sz w:val="22"/>
                <w:szCs w:val="22"/>
              </w:rPr>
            </w:pPr>
            <w:r w:rsidRPr="1E8FD191">
              <w:rPr>
                <w:rFonts w:eastAsia="PMingLiU"/>
                <w:sz w:val="22"/>
                <w:szCs w:val="22"/>
              </w:rPr>
              <w:t>FY 2023-</w:t>
            </w:r>
            <w:r w:rsidR="1B8645CF" w:rsidRPr="1E8FD191">
              <w:rPr>
                <w:rFonts w:eastAsia="PMingLiU"/>
                <w:sz w:val="22"/>
                <w:szCs w:val="22"/>
              </w:rPr>
              <w:t>04</w:t>
            </w:r>
          </w:p>
          <w:p w14:paraId="78E8F2E9" w14:textId="06829F99" w:rsidR="00C123BE" w:rsidRPr="001C1E47" w:rsidRDefault="00C123BE" w:rsidP="00C123BE">
            <w:pPr>
              <w:widowControl/>
              <w:autoSpaceDE/>
              <w:autoSpaceDN/>
              <w:adjustRightInd/>
              <w:rPr>
                <w:rFonts w:cs="Calibri"/>
              </w:rPr>
            </w:pPr>
          </w:p>
        </w:tc>
      </w:tr>
      <w:tr w:rsidR="00C123BE" w:rsidRPr="001C1E47" w14:paraId="2D5AA9CE" w14:textId="77777777" w:rsidTr="6AB43BC4">
        <w:trPr>
          <w:cantSplit/>
        </w:trPr>
        <w:tc>
          <w:tcPr>
            <w:tcW w:w="1440" w:type="dxa"/>
          </w:tcPr>
          <w:p w14:paraId="009A97E4" w14:textId="397BD826" w:rsidR="00C123BE" w:rsidRPr="00C123BE" w:rsidRDefault="6F264EFD" w:rsidP="00C123BE">
            <w:pPr>
              <w:widowControl/>
              <w:autoSpaceDE/>
              <w:autoSpaceDN/>
              <w:adjustRightInd/>
              <w:rPr>
                <w:rFonts w:cs="Calibri"/>
                <w:sz w:val="22"/>
                <w:szCs w:val="22"/>
              </w:rPr>
            </w:pPr>
            <w:r w:rsidRPr="1E8FD191">
              <w:rPr>
                <w:rFonts w:eastAsia="PMingLiU"/>
                <w:sz w:val="22"/>
                <w:szCs w:val="22"/>
              </w:rPr>
              <w:t>FY 202</w:t>
            </w:r>
            <w:r w:rsidR="64A57CA3" w:rsidRPr="1E8FD191">
              <w:rPr>
                <w:rFonts w:eastAsia="PMingLiU"/>
                <w:sz w:val="22"/>
                <w:szCs w:val="22"/>
              </w:rPr>
              <w:t>4</w:t>
            </w:r>
            <w:r w:rsidRPr="1E8FD191">
              <w:rPr>
                <w:rFonts w:eastAsia="PMingLiU"/>
                <w:sz w:val="22"/>
                <w:szCs w:val="22"/>
              </w:rPr>
              <w:t>-</w:t>
            </w:r>
            <w:r w:rsidR="00E56AFB">
              <w:rPr>
                <w:rFonts w:eastAsia="PMingLiU"/>
                <w:sz w:val="22"/>
                <w:szCs w:val="22"/>
              </w:rPr>
              <w:t>04</w:t>
            </w:r>
          </w:p>
        </w:tc>
        <w:tc>
          <w:tcPr>
            <w:tcW w:w="4721" w:type="dxa"/>
          </w:tcPr>
          <w:p w14:paraId="45C1C07F" w14:textId="71624EB2" w:rsidR="00C123BE" w:rsidRPr="00C123BE" w:rsidRDefault="00C123BE" w:rsidP="00C123BE">
            <w:pPr>
              <w:widowControl/>
              <w:autoSpaceDE/>
              <w:autoSpaceDN/>
              <w:adjustRightInd/>
              <w:rPr>
                <w:rFonts w:cs="Calibri"/>
                <w:sz w:val="22"/>
                <w:szCs w:val="22"/>
              </w:rPr>
            </w:pPr>
            <w:r w:rsidRPr="00C123BE">
              <w:rPr>
                <w:rFonts w:eastAsia="PMingLiU"/>
                <w:sz w:val="22"/>
                <w:szCs w:val="22"/>
              </w:rPr>
              <w:t>State Plan-initiated rulemaking promulgated standards on commercial diving are not ALAE as OSHA’s standard.</w:t>
            </w:r>
          </w:p>
        </w:tc>
        <w:tc>
          <w:tcPr>
            <w:tcW w:w="4819" w:type="dxa"/>
          </w:tcPr>
          <w:p w14:paraId="3502AA98" w14:textId="67459F7F" w:rsidR="00C123BE" w:rsidRPr="00C123BE" w:rsidRDefault="00C123BE" w:rsidP="00C123BE">
            <w:pPr>
              <w:widowControl/>
              <w:autoSpaceDE/>
              <w:autoSpaceDN/>
              <w:adjustRightInd/>
              <w:rPr>
                <w:rFonts w:cs="Calibri"/>
                <w:sz w:val="22"/>
                <w:szCs w:val="22"/>
              </w:rPr>
            </w:pPr>
            <w:r w:rsidRPr="00C123BE">
              <w:rPr>
                <w:rFonts w:eastAsia="PMingLiU"/>
                <w:sz w:val="22"/>
                <w:szCs w:val="22"/>
              </w:rPr>
              <w:t xml:space="preserve">California’s commercial </w:t>
            </w:r>
            <w:r w:rsidRPr="007D262A">
              <w:rPr>
                <w:rFonts w:eastAsia="PMingLiU"/>
                <w:sz w:val="22"/>
                <w:szCs w:val="22"/>
              </w:rPr>
              <w:t>diving standard</w:t>
            </w:r>
            <w:r w:rsidRPr="00C123BE">
              <w:rPr>
                <w:rFonts w:eastAsia="PMingLiU"/>
                <w:sz w:val="22"/>
                <w:szCs w:val="22"/>
              </w:rPr>
              <w:t xml:space="preserve"> should be updated to ensure it is ALAE as OSHA’s standard.</w:t>
            </w:r>
          </w:p>
        </w:tc>
        <w:tc>
          <w:tcPr>
            <w:tcW w:w="1890" w:type="dxa"/>
          </w:tcPr>
          <w:p w14:paraId="70301E32" w14:textId="7AF36FC3" w:rsidR="00BF5446" w:rsidRPr="001B1156" w:rsidRDefault="39BE2335" w:rsidP="00C123BE">
            <w:pPr>
              <w:widowControl/>
              <w:autoSpaceDE/>
              <w:autoSpaceDN/>
              <w:adjustRightInd/>
              <w:rPr>
                <w:rFonts w:eastAsia="PMingLiU"/>
                <w:sz w:val="22"/>
                <w:szCs w:val="22"/>
              </w:rPr>
            </w:pPr>
            <w:r w:rsidRPr="1E8FD191">
              <w:rPr>
                <w:rFonts w:eastAsia="PMingLiU"/>
                <w:sz w:val="22"/>
                <w:szCs w:val="22"/>
              </w:rPr>
              <w:t>FY 2023-</w:t>
            </w:r>
            <w:r w:rsidR="76F6ED28" w:rsidRPr="1E8FD191">
              <w:rPr>
                <w:rFonts w:eastAsia="PMingLiU"/>
                <w:sz w:val="22"/>
                <w:szCs w:val="22"/>
              </w:rPr>
              <w:t>05</w:t>
            </w:r>
          </w:p>
          <w:p w14:paraId="42576215" w14:textId="03820D27" w:rsidR="00C123BE" w:rsidRPr="001C1E47" w:rsidRDefault="00C123BE" w:rsidP="00C123BE">
            <w:pPr>
              <w:widowControl/>
              <w:autoSpaceDE/>
              <w:autoSpaceDN/>
              <w:adjustRightInd/>
              <w:rPr>
                <w:rFonts w:cs="Calibri"/>
              </w:rPr>
            </w:pPr>
          </w:p>
        </w:tc>
      </w:tr>
      <w:tr w:rsidR="00707D0E" w:rsidRPr="001C1E47" w14:paraId="6CE5F95A" w14:textId="77777777" w:rsidTr="6AB43BC4">
        <w:trPr>
          <w:cantSplit/>
        </w:trPr>
        <w:tc>
          <w:tcPr>
            <w:tcW w:w="1440" w:type="dxa"/>
          </w:tcPr>
          <w:p w14:paraId="52E49D5E" w14:textId="618BC211" w:rsidR="00707D0E" w:rsidRPr="1E8FD191" w:rsidRDefault="00057668" w:rsidP="00707D0E">
            <w:pPr>
              <w:widowControl/>
              <w:autoSpaceDE/>
              <w:autoSpaceDN/>
              <w:adjustRightInd/>
              <w:rPr>
                <w:rFonts w:eastAsia="PMingLiU"/>
                <w:sz w:val="22"/>
                <w:szCs w:val="22"/>
              </w:rPr>
            </w:pPr>
            <w:r w:rsidRPr="00057668">
              <w:rPr>
                <w:rFonts w:eastAsia="PMingLiU"/>
                <w:sz w:val="22"/>
                <w:szCs w:val="22"/>
              </w:rPr>
              <w:t>FY 2024-05</w:t>
            </w:r>
          </w:p>
        </w:tc>
        <w:tc>
          <w:tcPr>
            <w:tcW w:w="4721" w:type="dxa"/>
          </w:tcPr>
          <w:p w14:paraId="27760221" w14:textId="29D31C45" w:rsidR="00707D0E" w:rsidRPr="003B49B6" w:rsidRDefault="00707D0E" w:rsidP="00707D0E">
            <w:pPr>
              <w:widowControl/>
              <w:autoSpaceDE/>
              <w:autoSpaceDN/>
              <w:adjustRightInd/>
              <w:rPr>
                <w:rFonts w:eastAsia="PMingLiU"/>
                <w:sz w:val="22"/>
                <w:szCs w:val="22"/>
              </w:rPr>
            </w:pPr>
            <w:r w:rsidRPr="003B49B6">
              <w:rPr>
                <w:sz w:val="22"/>
                <w:szCs w:val="22"/>
              </w:rPr>
              <w:t>The State Plan program has not adopted changes at least as effective as the Federal Walking-Working Surfaces standards which became effective January 17, 2017.</w:t>
            </w:r>
          </w:p>
        </w:tc>
        <w:tc>
          <w:tcPr>
            <w:tcW w:w="4819" w:type="dxa"/>
          </w:tcPr>
          <w:p w14:paraId="753C83CD" w14:textId="22F0393E" w:rsidR="00707D0E" w:rsidRPr="003B49B6" w:rsidRDefault="00707D0E" w:rsidP="00707D0E">
            <w:pPr>
              <w:widowControl/>
              <w:autoSpaceDE/>
              <w:autoSpaceDN/>
              <w:adjustRightInd/>
              <w:rPr>
                <w:rFonts w:eastAsia="PMingLiU"/>
                <w:sz w:val="22"/>
                <w:szCs w:val="22"/>
              </w:rPr>
            </w:pPr>
            <w:r w:rsidRPr="003B49B6">
              <w:rPr>
                <w:sz w:val="22"/>
                <w:szCs w:val="22"/>
              </w:rPr>
              <w:t>The State Plan program has not adopted changes at least as effective as the Federal Walking-Working Surfaces standards which became effective January 17, 2017.</w:t>
            </w:r>
          </w:p>
        </w:tc>
        <w:tc>
          <w:tcPr>
            <w:tcW w:w="1890" w:type="dxa"/>
          </w:tcPr>
          <w:p w14:paraId="2D994B2E" w14:textId="19458F9A" w:rsidR="00707D0E" w:rsidRPr="1E8FD191" w:rsidRDefault="005C3D28" w:rsidP="00707D0E">
            <w:pPr>
              <w:widowControl/>
              <w:autoSpaceDE/>
              <w:autoSpaceDN/>
              <w:adjustRightInd/>
              <w:rPr>
                <w:rFonts w:eastAsia="PMingLiU"/>
                <w:sz w:val="22"/>
                <w:szCs w:val="22"/>
              </w:rPr>
            </w:pPr>
            <w:r w:rsidRPr="005C3D28">
              <w:rPr>
                <w:rFonts w:eastAsia="PMingLiU"/>
                <w:sz w:val="22"/>
                <w:szCs w:val="22"/>
              </w:rPr>
              <w:t>FY 2023-06</w:t>
            </w:r>
          </w:p>
        </w:tc>
      </w:tr>
    </w:tbl>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432D27F4" w14:textId="77777777" w:rsidR="00537EA6" w:rsidRDefault="00537EA6" w:rsidP="007A71AC">
      <w:pPr>
        <w:widowControl/>
        <w:autoSpaceDE/>
        <w:autoSpaceDN/>
        <w:adjustRightInd/>
        <w:rPr>
          <w:rFonts w:cs="Calibri"/>
          <w:i/>
        </w:rPr>
      </w:pPr>
    </w:p>
    <w:p w14:paraId="3A4A4B18" w14:textId="77777777" w:rsidR="003E1CEB" w:rsidRDefault="003E1CEB">
      <w:pPr>
        <w:widowControl/>
        <w:autoSpaceDE/>
        <w:autoSpaceDN/>
        <w:adjustRightInd/>
        <w:rPr>
          <w:rFonts w:asciiTheme="minorHAnsi" w:hAnsiTheme="minorHAnsi" w:cstheme="minorHAnsi"/>
          <w:b/>
          <w:bCs/>
          <w:sz w:val="28"/>
          <w:szCs w:val="28"/>
        </w:rPr>
      </w:pPr>
      <w:bookmarkStart w:id="36" w:name="_Toc118905018"/>
      <w:r>
        <w:br w:type="page"/>
      </w:r>
    </w:p>
    <w:p w14:paraId="72DA695E" w14:textId="19179F63" w:rsidR="00B6741C" w:rsidRPr="000C2F6C" w:rsidRDefault="00B6741C" w:rsidP="0084402C">
      <w:pPr>
        <w:pStyle w:val="Heading4"/>
      </w:pPr>
      <w:bookmarkStart w:id="37" w:name="_Toc128053013"/>
      <w:r w:rsidRPr="00B21DD2">
        <w:t>Appendix B – Observations Subject to Continued Monitoring</w:t>
      </w:r>
      <w:bookmarkEnd w:id="36"/>
      <w:bookmarkEnd w:id="37"/>
    </w:p>
    <w:p w14:paraId="73014EBD" w14:textId="197505FA" w:rsidR="00B6741C" w:rsidRPr="00E11E94" w:rsidRDefault="00B6741C" w:rsidP="1E8FD191">
      <w:pPr>
        <w:jc w:val="center"/>
        <w:rPr>
          <w:color w:val="000000" w:themeColor="text1"/>
        </w:rPr>
      </w:pPr>
      <w:r w:rsidRPr="1E8FD191">
        <w:rPr>
          <w:color w:val="000000" w:themeColor="text1"/>
        </w:rPr>
        <w:t>FY 20</w:t>
      </w:r>
      <w:r w:rsidR="00E11E94" w:rsidRPr="1E8FD191">
        <w:rPr>
          <w:color w:val="000000" w:themeColor="text1"/>
        </w:rPr>
        <w:t>2</w:t>
      </w:r>
      <w:r w:rsidR="007321F5" w:rsidRPr="1E8FD191">
        <w:rPr>
          <w:color w:val="000000" w:themeColor="text1"/>
        </w:rPr>
        <w:t>4</w:t>
      </w:r>
      <w:r w:rsidRPr="1E8FD191">
        <w:rPr>
          <w:color w:val="000000" w:themeColor="text1"/>
        </w:rPr>
        <w:t xml:space="preserve"> </w:t>
      </w:r>
      <w:r w:rsidR="00D4189A" w:rsidRPr="1E8FD191">
        <w:rPr>
          <w:color w:val="000000" w:themeColor="text1"/>
        </w:rPr>
        <w:t>California Division of Occupational Safety and Health</w:t>
      </w:r>
      <w:r w:rsidR="00E11E94" w:rsidRPr="1E8FD191">
        <w:rPr>
          <w:color w:val="000000" w:themeColor="text1"/>
        </w:rPr>
        <w:t xml:space="preserve"> </w:t>
      </w:r>
      <w:r w:rsidR="00B17787" w:rsidRPr="1E8FD191">
        <w:rPr>
          <w:color w:val="000000" w:themeColor="text1"/>
        </w:rPr>
        <w:t xml:space="preserve">Follow-up </w:t>
      </w:r>
      <w:r w:rsidRPr="1E8FD191">
        <w:rPr>
          <w:color w:val="000000" w:themeColor="text1"/>
        </w:rPr>
        <w:t>FAME Report</w:t>
      </w:r>
    </w:p>
    <w:p w14:paraId="75823E10" w14:textId="77777777" w:rsidR="00D86879" w:rsidRPr="001C1E47" w:rsidRDefault="00D86879" w:rsidP="007A71AC">
      <w:pPr>
        <w:widowControl/>
        <w:autoSpaceDE/>
        <w:autoSpaceDN/>
        <w:adjustRightInd/>
        <w:rPr>
          <w:rFonts w:cs="Calibri"/>
          <w:i/>
        </w:rPr>
      </w:pPr>
    </w:p>
    <w:p w14:paraId="61F273E4" w14:textId="4BA1F7A9" w:rsidR="00492379" w:rsidRPr="00E11E94" w:rsidRDefault="00492379" w:rsidP="007A71AC">
      <w:pPr>
        <w:widowControl/>
        <w:autoSpaceDE/>
        <w:autoSpaceDN/>
        <w:adjustRightInd/>
        <w:rPr>
          <w:rFonts w:cs="Calibri"/>
          <w:iCs/>
        </w:rPr>
        <w:sectPr w:rsidR="00492379" w:rsidRPr="00E11E94" w:rsidSect="00DD7206">
          <w:headerReference w:type="even" r:id="rId18"/>
          <w:headerReference w:type="default" r:id="rId19"/>
          <w:footerReference w:type="default" r:id="rId20"/>
          <w:headerReference w:type="first" r:id="rId21"/>
          <w:footerReference w:type="first" r:id="rId22"/>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975"/>
        <w:gridCol w:w="2160"/>
        <w:gridCol w:w="3869"/>
        <w:gridCol w:w="3331"/>
        <w:gridCol w:w="1615"/>
      </w:tblGrid>
      <w:tr w:rsidR="00B6741C" w14:paraId="266E8016" w14:textId="4E26EFF8" w:rsidTr="00A229E6">
        <w:trPr>
          <w:cantSplit/>
          <w:tblHeader/>
        </w:trPr>
        <w:tc>
          <w:tcPr>
            <w:tcW w:w="1975"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1B1D8775" w:rsidR="00B6741C" w:rsidRPr="001C1E47" w:rsidRDefault="00B6741C" w:rsidP="1E8FD191">
            <w:pPr>
              <w:widowControl/>
              <w:autoSpaceDE/>
              <w:autoSpaceDN/>
              <w:adjustRightInd/>
              <w:rPr>
                <w:rFonts w:cs="Calibri"/>
                <w:b/>
                <w:bCs/>
                <w:sz w:val="22"/>
                <w:szCs w:val="22"/>
              </w:rPr>
            </w:pPr>
            <w:r w:rsidRPr="1E8FD191">
              <w:rPr>
                <w:rFonts w:cs="Calibri"/>
                <w:b/>
                <w:bCs/>
                <w:sz w:val="22"/>
                <w:szCs w:val="22"/>
              </w:rPr>
              <w:t>FY 20</w:t>
            </w:r>
            <w:r w:rsidR="6D287D1A" w:rsidRPr="1E8FD191">
              <w:rPr>
                <w:rFonts w:cs="Calibri"/>
                <w:b/>
                <w:bCs/>
                <w:sz w:val="22"/>
                <w:szCs w:val="22"/>
              </w:rPr>
              <w:t>2</w:t>
            </w:r>
            <w:r w:rsidR="007321F5" w:rsidRPr="1E8FD191">
              <w:rPr>
                <w:rFonts w:cs="Calibri"/>
                <w:b/>
                <w:bCs/>
                <w:sz w:val="22"/>
                <w:szCs w:val="22"/>
              </w:rPr>
              <w:t>4</w:t>
            </w:r>
            <w:r w:rsidRPr="1E8FD191">
              <w:rPr>
                <w:rFonts w:cs="Calibri"/>
                <w:b/>
                <w:bCs/>
                <w:sz w:val="22"/>
                <w:szCs w:val="22"/>
              </w:rPr>
              <w:t>-OB-#</w:t>
            </w:r>
          </w:p>
          <w:p w14:paraId="07702D17" w14:textId="77777777" w:rsidR="00B6741C" w:rsidRDefault="00B6741C" w:rsidP="00B6741C">
            <w:pPr>
              <w:widowControl/>
              <w:autoSpaceDE/>
              <w:autoSpaceDN/>
              <w:adjustRightInd/>
              <w:rPr>
                <w:rFonts w:cs="Calibri"/>
                <w:i/>
                <w:sz w:val="22"/>
                <w:szCs w:val="22"/>
              </w:rPr>
            </w:pPr>
          </w:p>
        </w:tc>
        <w:tc>
          <w:tcPr>
            <w:tcW w:w="216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580F9A3B" w:rsidR="00B6741C" w:rsidRDefault="00B6741C" w:rsidP="1E8FD191">
            <w:pPr>
              <w:widowControl/>
              <w:autoSpaceDE/>
              <w:autoSpaceDN/>
              <w:adjustRightInd/>
              <w:rPr>
                <w:rFonts w:cs="Calibri"/>
                <w:i/>
                <w:iCs/>
                <w:sz w:val="22"/>
                <w:szCs w:val="22"/>
              </w:rPr>
            </w:pPr>
            <w:r w:rsidRPr="1E8FD191">
              <w:rPr>
                <w:rFonts w:cs="Calibri"/>
                <w:b/>
                <w:bCs/>
                <w:sz w:val="22"/>
                <w:szCs w:val="22"/>
              </w:rPr>
              <w:t>FY 20</w:t>
            </w:r>
            <w:r w:rsidR="6D287D1A" w:rsidRPr="1E8FD191">
              <w:rPr>
                <w:rFonts w:cs="Calibri"/>
                <w:b/>
                <w:bCs/>
                <w:sz w:val="22"/>
                <w:szCs w:val="22"/>
              </w:rPr>
              <w:t>2</w:t>
            </w:r>
            <w:r w:rsidR="007321F5" w:rsidRPr="1E8FD191">
              <w:rPr>
                <w:rFonts w:cs="Calibri"/>
                <w:b/>
                <w:bCs/>
                <w:sz w:val="22"/>
                <w:szCs w:val="22"/>
              </w:rPr>
              <w:t>3</w:t>
            </w:r>
            <w:r w:rsidRPr="1E8FD191">
              <w:rPr>
                <w:rFonts w:cs="Calibri"/>
                <w:b/>
                <w:bCs/>
                <w:sz w:val="22"/>
                <w:szCs w:val="22"/>
              </w:rPr>
              <w:t xml:space="preserve">-OB-# </w:t>
            </w:r>
            <w:r w:rsidRPr="1E8FD191">
              <w:rPr>
                <w:rFonts w:cs="Calibri"/>
                <w:b/>
                <w:bCs/>
                <w:i/>
                <w:iCs/>
                <w:sz w:val="22"/>
                <w:szCs w:val="22"/>
              </w:rPr>
              <w:t>or</w:t>
            </w:r>
            <w:r w:rsidRPr="1E8FD191">
              <w:rPr>
                <w:rFonts w:cs="Calibri"/>
                <w:b/>
                <w:bCs/>
                <w:sz w:val="22"/>
                <w:szCs w:val="22"/>
              </w:rPr>
              <w:t xml:space="preserve"> FY 20</w:t>
            </w:r>
            <w:r w:rsidR="6D287D1A" w:rsidRPr="1E8FD191">
              <w:rPr>
                <w:rFonts w:cs="Calibri"/>
                <w:b/>
                <w:bCs/>
                <w:sz w:val="22"/>
                <w:szCs w:val="22"/>
              </w:rPr>
              <w:t>2</w:t>
            </w:r>
            <w:r w:rsidR="007321F5" w:rsidRPr="1E8FD191">
              <w:rPr>
                <w:rFonts w:cs="Calibri"/>
                <w:b/>
                <w:bCs/>
                <w:sz w:val="22"/>
                <w:szCs w:val="22"/>
              </w:rPr>
              <w:t>3</w:t>
            </w:r>
            <w:r w:rsidRPr="1E8FD191">
              <w:rPr>
                <w:rFonts w:cs="Calibri"/>
                <w:b/>
                <w:bCs/>
                <w:sz w:val="22"/>
                <w:szCs w:val="22"/>
              </w:rPr>
              <w:t>-#</w:t>
            </w:r>
          </w:p>
        </w:tc>
        <w:tc>
          <w:tcPr>
            <w:tcW w:w="3869"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3331"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1615"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0C5051" w:rsidRPr="00164B37" w14:paraId="414575F4" w14:textId="437735BC" w:rsidTr="00A229E6">
        <w:trPr>
          <w:cantSplit/>
        </w:trPr>
        <w:tc>
          <w:tcPr>
            <w:tcW w:w="1975" w:type="dxa"/>
          </w:tcPr>
          <w:p w14:paraId="46A08CBA" w14:textId="32EF2052" w:rsidR="001B123C" w:rsidRPr="00931BA4" w:rsidRDefault="001B123C" w:rsidP="001B123C">
            <w:pPr>
              <w:widowControl/>
              <w:autoSpaceDE/>
              <w:autoSpaceDN/>
              <w:adjustRightInd/>
              <w:rPr>
                <w:rFonts w:asciiTheme="minorHAnsi" w:hAnsiTheme="minorHAnsi" w:cstheme="minorBidi"/>
                <w:sz w:val="22"/>
                <w:szCs w:val="22"/>
              </w:rPr>
            </w:pPr>
            <w:r w:rsidRPr="1E8FD191">
              <w:rPr>
                <w:rFonts w:asciiTheme="minorHAnsi" w:hAnsiTheme="minorHAnsi" w:cstheme="minorBidi"/>
                <w:sz w:val="22"/>
                <w:szCs w:val="22"/>
              </w:rPr>
              <w:t>FY 202</w:t>
            </w:r>
            <w:r w:rsidR="00163E65">
              <w:rPr>
                <w:rFonts w:asciiTheme="minorHAnsi" w:hAnsiTheme="minorHAnsi" w:cstheme="minorBidi"/>
                <w:sz w:val="22"/>
                <w:szCs w:val="22"/>
              </w:rPr>
              <w:t>4</w:t>
            </w:r>
            <w:r w:rsidRPr="1E8FD191">
              <w:rPr>
                <w:rFonts w:asciiTheme="minorHAnsi" w:hAnsiTheme="minorHAnsi" w:cstheme="minorBidi"/>
                <w:sz w:val="22"/>
                <w:szCs w:val="22"/>
              </w:rPr>
              <w:t>-OB-0</w:t>
            </w:r>
            <w:r>
              <w:rPr>
                <w:rFonts w:asciiTheme="minorHAnsi" w:hAnsiTheme="minorHAnsi" w:cstheme="minorBidi"/>
                <w:sz w:val="22"/>
                <w:szCs w:val="22"/>
              </w:rPr>
              <w:t>1</w:t>
            </w:r>
          </w:p>
          <w:p w14:paraId="38E1B745" w14:textId="271F6A35" w:rsidR="000C5051" w:rsidRPr="00931BA4" w:rsidRDefault="000C5051" w:rsidP="1E8FD191">
            <w:pPr>
              <w:widowControl/>
              <w:autoSpaceDE/>
              <w:autoSpaceDN/>
              <w:adjustRightInd/>
              <w:rPr>
                <w:rFonts w:asciiTheme="minorHAnsi" w:hAnsiTheme="minorHAnsi" w:cstheme="minorBidi"/>
                <w:color w:val="0070C0"/>
                <w:sz w:val="22"/>
                <w:szCs w:val="22"/>
              </w:rPr>
            </w:pPr>
          </w:p>
        </w:tc>
        <w:tc>
          <w:tcPr>
            <w:tcW w:w="2160" w:type="dxa"/>
          </w:tcPr>
          <w:p w14:paraId="7DF2F852" w14:textId="77777777" w:rsidR="000C5051" w:rsidRPr="00931BA4" w:rsidRDefault="2DB201D2" w:rsidP="1E8FD191">
            <w:pPr>
              <w:widowControl/>
              <w:autoSpaceDE/>
              <w:autoSpaceDN/>
              <w:adjustRightInd/>
              <w:rPr>
                <w:rFonts w:asciiTheme="minorHAnsi" w:hAnsiTheme="minorHAnsi" w:cstheme="minorBidi"/>
                <w:sz w:val="22"/>
                <w:szCs w:val="22"/>
              </w:rPr>
            </w:pPr>
            <w:r w:rsidRPr="1E8FD191">
              <w:rPr>
                <w:rFonts w:asciiTheme="minorHAnsi" w:hAnsiTheme="minorHAnsi" w:cstheme="minorBidi"/>
                <w:sz w:val="22"/>
                <w:szCs w:val="22"/>
              </w:rPr>
              <w:t>FY 2023-OB-02</w:t>
            </w:r>
          </w:p>
          <w:p w14:paraId="4640B74B" w14:textId="5A0768ED" w:rsidR="000C5051" w:rsidRPr="00931BA4" w:rsidRDefault="000C5051" w:rsidP="1E8FD191">
            <w:pPr>
              <w:widowControl/>
              <w:autoSpaceDE/>
              <w:autoSpaceDN/>
              <w:adjustRightInd/>
              <w:rPr>
                <w:rFonts w:asciiTheme="minorHAnsi" w:hAnsiTheme="minorHAnsi" w:cstheme="minorBidi"/>
                <w:sz w:val="22"/>
                <w:szCs w:val="22"/>
              </w:rPr>
            </w:pPr>
          </w:p>
        </w:tc>
        <w:tc>
          <w:tcPr>
            <w:tcW w:w="3869" w:type="dxa"/>
          </w:tcPr>
          <w:p w14:paraId="64F9ABDC" w14:textId="77777777" w:rsidR="000C5051" w:rsidRPr="00931BA4" w:rsidRDefault="2DB201D2" w:rsidP="1E8FD191">
            <w:pPr>
              <w:widowControl/>
              <w:autoSpaceDE/>
              <w:autoSpaceDN/>
              <w:adjustRightInd/>
              <w:rPr>
                <w:rFonts w:asciiTheme="minorHAnsi" w:hAnsiTheme="minorHAnsi" w:cstheme="minorBidi"/>
                <w:sz w:val="22"/>
                <w:szCs w:val="22"/>
              </w:rPr>
            </w:pPr>
            <w:r w:rsidRPr="1E8FD191">
              <w:rPr>
                <w:rFonts w:asciiTheme="minorHAnsi" w:hAnsiTheme="minorHAnsi" w:cstheme="minorBidi"/>
                <w:sz w:val="22"/>
                <w:szCs w:val="22"/>
              </w:rPr>
              <w:t>The average time to open an inspection for a non-fatal injury was 16.5 working days.</w:t>
            </w:r>
          </w:p>
          <w:p w14:paraId="3BC4A14C" w14:textId="50C1146C" w:rsidR="000C5051" w:rsidRPr="00931BA4" w:rsidRDefault="000C5051" w:rsidP="1E8FD191">
            <w:pPr>
              <w:widowControl/>
              <w:autoSpaceDE/>
              <w:autoSpaceDN/>
              <w:adjustRightInd/>
              <w:rPr>
                <w:rFonts w:asciiTheme="minorHAnsi" w:hAnsiTheme="minorHAnsi" w:cstheme="minorBidi"/>
                <w:sz w:val="22"/>
                <w:szCs w:val="22"/>
              </w:rPr>
            </w:pPr>
          </w:p>
        </w:tc>
        <w:tc>
          <w:tcPr>
            <w:tcW w:w="3331" w:type="dxa"/>
          </w:tcPr>
          <w:p w14:paraId="67C2BF58" w14:textId="77777777" w:rsidR="000C5051" w:rsidRPr="00931BA4" w:rsidRDefault="2DB201D2" w:rsidP="1E8FD191">
            <w:pPr>
              <w:widowControl/>
              <w:autoSpaceDE/>
              <w:autoSpaceDN/>
              <w:adjustRightInd/>
              <w:rPr>
                <w:rFonts w:asciiTheme="minorHAnsi" w:hAnsiTheme="minorHAnsi" w:cstheme="minorBidi"/>
                <w:sz w:val="22"/>
                <w:szCs w:val="22"/>
              </w:rPr>
            </w:pPr>
            <w:r w:rsidRPr="1E8FD191">
              <w:rPr>
                <w:rFonts w:asciiTheme="minorHAnsi" w:hAnsiTheme="minorHAnsi" w:cstheme="minorBidi"/>
                <w:sz w:val="22"/>
                <w:szCs w:val="22"/>
              </w:rPr>
              <w:t>OSHA will review the response time on at least a quarterly basis and include discussion of the monitoring in quarterly meetings with the State Plan.</w:t>
            </w:r>
          </w:p>
          <w:p w14:paraId="016CAD6A" w14:textId="7DE21359" w:rsidR="000C5051" w:rsidRPr="00931BA4" w:rsidRDefault="000C5051" w:rsidP="1E8FD191">
            <w:pPr>
              <w:widowControl/>
              <w:autoSpaceDE/>
              <w:autoSpaceDN/>
              <w:adjustRightInd/>
              <w:rPr>
                <w:rFonts w:asciiTheme="minorHAnsi" w:hAnsiTheme="minorHAnsi" w:cstheme="minorBidi"/>
                <w:sz w:val="22"/>
                <w:szCs w:val="22"/>
              </w:rPr>
            </w:pPr>
          </w:p>
        </w:tc>
        <w:tc>
          <w:tcPr>
            <w:tcW w:w="1615" w:type="dxa"/>
          </w:tcPr>
          <w:p w14:paraId="4F554364" w14:textId="17AF704B" w:rsidR="000C5051" w:rsidRPr="00931BA4" w:rsidRDefault="001D29CA" w:rsidP="1E8FD191">
            <w:pPr>
              <w:widowControl/>
              <w:autoSpaceDE/>
              <w:autoSpaceDN/>
              <w:adjustRightInd/>
              <w:rPr>
                <w:rFonts w:asciiTheme="minorHAnsi" w:hAnsiTheme="minorHAnsi" w:cstheme="minorBidi"/>
                <w:sz w:val="22"/>
                <w:szCs w:val="22"/>
              </w:rPr>
            </w:pPr>
            <w:r w:rsidRPr="001D29CA">
              <w:rPr>
                <w:rFonts w:asciiTheme="minorHAnsi" w:hAnsiTheme="minorHAnsi" w:cstheme="minorBidi"/>
                <w:sz w:val="22"/>
                <w:szCs w:val="22"/>
              </w:rPr>
              <w:t>Continued</w:t>
            </w:r>
          </w:p>
        </w:tc>
      </w:tr>
      <w:tr w:rsidR="00AE0769" w:rsidRPr="00164B37" w14:paraId="39F957BC" w14:textId="77777777" w:rsidTr="00A229E6">
        <w:trPr>
          <w:cantSplit/>
        </w:trPr>
        <w:tc>
          <w:tcPr>
            <w:tcW w:w="1975" w:type="dxa"/>
          </w:tcPr>
          <w:p w14:paraId="41040F82" w14:textId="28BE6A89" w:rsidR="00AE0769" w:rsidRPr="1E8FD191" w:rsidRDefault="00FD247E" w:rsidP="00AE0769">
            <w:pPr>
              <w:widowControl/>
              <w:autoSpaceDE/>
              <w:autoSpaceDN/>
              <w:adjustRightInd/>
              <w:rPr>
                <w:rFonts w:asciiTheme="minorHAnsi" w:hAnsiTheme="minorHAnsi" w:cstheme="minorBidi"/>
                <w:sz w:val="22"/>
                <w:szCs w:val="22"/>
              </w:rPr>
            </w:pPr>
            <w:r w:rsidRPr="00FD247E">
              <w:rPr>
                <w:rFonts w:asciiTheme="minorHAnsi" w:hAnsiTheme="minorHAnsi" w:cstheme="minorBidi"/>
                <w:sz w:val="22"/>
                <w:szCs w:val="22"/>
              </w:rPr>
              <w:t xml:space="preserve">Not Applicable  </w:t>
            </w:r>
          </w:p>
        </w:tc>
        <w:tc>
          <w:tcPr>
            <w:tcW w:w="2160" w:type="dxa"/>
          </w:tcPr>
          <w:p w14:paraId="53D3C78A" w14:textId="24B0252C" w:rsidR="00AE0769" w:rsidRPr="1E8FD191" w:rsidRDefault="00AE0769" w:rsidP="00AE0769">
            <w:pPr>
              <w:widowControl/>
              <w:autoSpaceDE/>
              <w:autoSpaceDN/>
              <w:adjustRightInd/>
              <w:rPr>
                <w:rFonts w:asciiTheme="minorHAnsi" w:hAnsiTheme="minorHAnsi" w:cstheme="minorBidi"/>
                <w:sz w:val="22"/>
                <w:szCs w:val="22"/>
              </w:rPr>
            </w:pPr>
            <w:r w:rsidRPr="00FB1F8F">
              <w:rPr>
                <w:rFonts w:asciiTheme="minorHAnsi" w:hAnsiTheme="minorHAnsi" w:cstheme="minorBidi"/>
                <w:sz w:val="22"/>
                <w:szCs w:val="22"/>
              </w:rPr>
              <w:t>FY 2023-OB-01</w:t>
            </w:r>
          </w:p>
        </w:tc>
        <w:tc>
          <w:tcPr>
            <w:tcW w:w="3869" w:type="dxa"/>
          </w:tcPr>
          <w:p w14:paraId="7E9AE6C0" w14:textId="003B5EC2" w:rsidR="00AE0769" w:rsidRPr="1E8FD191" w:rsidRDefault="00AE0769" w:rsidP="00AE0769">
            <w:pPr>
              <w:widowControl/>
              <w:autoSpaceDE/>
              <w:autoSpaceDN/>
              <w:adjustRightInd/>
              <w:rPr>
                <w:rFonts w:asciiTheme="minorHAnsi" w:hAnsiTheme="minorHAnsi" w:cstheme="minorBidi"/>
                <w:sz w:val="22"/>
                <w:szCs w:val="22"/>
              </w:rPr>
            </w:pPr>
            <w:r w:rsidRPr="00597C2F">
              <w:t>Programs funded through the 23(g) grant experienced staffing shortages of up to a 35% vacancy rate.</w:t>
            </w:r>
          </w:p>
        </w:tc>
        <w:tc>
          <w:tcPr>
            <w:tcW w:w="3331" w:type="dxa"/>
          </w:tcPr>
          <w:p w14:paraId="179349FD" w14:textId="7C349A58" w:rsidR="00AE0769" w:rsidRPr="1E8FD191" w:rsidRDefault="008F0754" w:rsidP="00AE0769">
            <w:pPr>
              <w:widowControl/>
              <w:autoSpaceDE/>
              <w:autoSpaceDN/>
              <w:adjustRightInd/>
              <w:rPr>
                <w:rFonts w:asciiTheme="minorHAnsi" w:hAnsiTheme="minorHAnsi" w:cstheme="minorBidi"/>
                <w:sz w:val="22"/>
                <w:szCs w:val="22"/>
              </w:rPr>
            </w:pPr>
            <w:r w:rsidRPr="008F0754">
              <w:t>OSHA will review program staffing on at least a quarterly basis and include discussion of the monitoring in quarterly meetings with the State Plan.</w:t>
            </w:r>
          </w:p>
        </w:tc>
        <w:tc>
          <w:tcPr>
            <w:tcW w:w="1615" w:type="dxa"/>
          </w:tcPr>
          <w:p w14:paraId="088A3AAB" w14:textId="1ED23202" w:rsidR="00AE0769" w:rsidRPr="00931BA4" w:rsidRDefault="00D23126" w:rsidP="00AE0769">
            <w:pPr>
              <w:widowControl/>
              <w:spacing w:line="259" w:lineRule="auto"/>
              <w:rPr>
                <w:rFonts w:asciiTheme="minorHAnsi" w:hAnsiTheme="minorHAnsi" w:cstheme="minorBidi"/>
                <w:sz w:val="22"/>
                <w:szCs w:val="22"/>
              </w:rPr>
            </w:pPr>
            <w:r w:rsidRPr="00D23126">
              <w:rPr>
                <w:rFonts w:asciiTheme="minorHAnsi" w:hAnsiTheme="minorHAnsi" w:cstheme="minorBidi"/>
                <w:sz w:val="22"/>
                <w:szCs w:val="22"/>
              </w:rPr>
              <w:t>Closed </w:t>
            </w:r>
          </w:p>
        </w:tc>
      </w:tr>
      <w:tr w:rsidR="00334EFE" w:rsidRPr="00164B37" w14:paraId="4AFB49C5" w14:textId="77777777" w:rsidTr="00A229E6">
        <w:trPr>
          <w:cantSplit/>
        </w:trPr>
        <w:tc>
          <w:tcPr>
            <w:tcW w:w="1975" w:type="dxa"/>
          </w:tcPr>
          <w:p w14:paraId="3A38679D" w14:textId="61890D5C" w:rsidR="00334EFE" w:rsidRPr="1E8FD191" w:rsidRDefault="00334EFE" w:rsidP="00334EFE">
            <w:pPr>
              <w:widowControl/>
              <w:autoSpaceDE/>
              <w:autoSpaceDN/>
              <w:adjustRightInd/>
              <w:rPr>
                <w:rFonts w:asciiTheme="minorHAnsi" w:hAnsiTheme="minorHAnsi" w:cstheme="minorBidi"/>
                <w:sz w:val="22"/>
                <w:szCs w:val="22"/>
              </w:rPr>
            </w:pPr>
            <w:r w:rsidRPr="00FD247E">
              <w:rPr>
                <w:rFonts w:asciiTheme="minorHAnsi" w:hAnsiTheme="minorHAnsi" w:cstheme="minorBidi"/>
                <w:sz w:val="22"/>
                <w:szCs w:val="22"/>
              </w:rPr>
              <w:t xml:space="preserve">Not Applicable  </w:t>
            </w:r>
          </w:p>
        </w:tc>
        <w:tc>
          <w:tcPr>
            <w:tcW w:w="2160" w:type="dxa"/>
          </w:tcPr>
          <w:p w14:paraId="20EBC32F" w14:textId="605DFD8D" w:rsidR="00334EFE" w:rsidRPr="1E8FD191" w:rsidRDefault="00334EFE" w:rsidP="00334EFE">
            <w:pPr>
              <w:widowControl/>
              <w:autoSpaceDE/>
              <w:autoSpaceDN/>
              <w:adjustRightInd/>
              <w:rPr>
                <w:rFonts w:asciiTheme="minorHAnsi" w:hAnsiTheme="minorHAnsi" w:cstheme="minorBidi"/>
                <w:sz w:val="22"/>
                <w:szCs w:val="22"/>
              </w:rPr>
            </w:pPr>
            <w:r w:rsidRPr="00FB1F8F">
              <w:rPr>
                <w:rFonts w:asciiTheme="minorHAnsi" w:hAnsiTheme="minorHAnsi" w:cstheme="minorBidi"/>
                <w:sz w:val="22"/>
                <w:szCs w:val="22"/>
              </w:rPr>
              <w:t>FY 2023-OB-0</w:t>
            </w:r>
            <w:r>
              <w:rPr>
                <w:rFonts w:asciiTheme="minorHAnsi" w:hAnsiTheme="minorHAnsi" w:cstheme="minorBidi"/>
                <w:sz w:val="22"/>
                <w:szCs w:val="22"/>
              </w:rPr>
              <w:t>3</w:t>
            </w:r>
          </w:p>
        </w:tc>
        <w:tc>
          <w:tcPr>
            <w:tcW w:w="3869" w:type="dxa"/>
          </w:tcPr>
          <w:p w14:paraId="16F1150F" w14:textId="09BC6057" w:rsidR="00334EFE" w:rsidRPr="1E8FD191" w:rsidRDefault="00334EFE" w:rsidP="499CF2A2">
            <w:pPr>
              <w:widowControl/>
              <w:autoSpaceDE/>
              <w:autoSpaceDN/>
              <w:adjustRightInd/>
              <w:rPr>
                <w:rFonts w:asciiTheme="minorHAnsi" w:hAnsiTheme="minorHAnsi" w:cstheme="minorBidi"/>
                <w:sz w:val="22"/>
                <w:szCs w:val="22"/>
              </w:rPr>
            </w:pPr>
            <w:r w:rsidRPr="009436F8">
              <w:t>Responses to investigations by letter were received an average of 25.9 working days from the original request by Cal/OSHA. Late responses were 13.8 working days late on average. Where inspections were initiated due to employer non-response,</w:t>
            </w:r>
            <w:r>
              <w:t xml:space="preserve"> </w:t>
            </w:r>
            <w:r w:rsidRPr="00334EFE">
              <w:t>initiation occurred an average of 12.9 working days after the response due date.</w:t>
            </w:r>
          </w:p>
          <w:p w14:paraId="0FABB10D" w14:textId="3479DAFB" w:rsidR="00334EFE" w:rsidRPr="1E8FD191" w:rsidRDefault="00334EFE" w:rsidP="00334EFE">
            <w:pPr>
              <w:widowControl/>
              <w:autoSpaceDE/>
              <w:autoSpaceDN/>
              <w:adjustRightInd/>
            </w:pPr>
          </w:p>
        </w:tc>
        <w:tc>
          <w:tcPr>
            <w:tcW w:w="3331" w:type="dxa"/>
          </w:tcPr>
          <w:p w14:paraId="48B4046F" w14:textId="70EF64AC" w:rsidR="00334EFE" w:rsidRPr="1E8FD191" w:rsidRDefault="009336A7" w:rsidP="00334EFE">
            <w:pPr>
              <w:widowControl/>
              <w:autoSpaceDE/>
              <w:autoSpaceDN/>
              <w:adjustRightInd/>
              <w:rPr>
                <w:rFonts w:asciiTheme="minorHAnsi" w:hAnsiTheme="minorHAnsi" w:cstheme="minorBidi"/>
                <w:sz w:val="22"/>
                <w:szCs w:val="22"/>
              </w:rPr>
            </w:pPr>
            <w:r w:rsidRPr="009336A7">
              <w:t>OSHA will review response times and follow-ups on at least a quarterly basis and include discussion of the monitoring in quarterly meetings with the State Plan.</w:t>
            </w:r>
          </w:p>
        </w:tc>
        <w:tc>
          <w:tcPr>
            <w:tcW w:w="1615" w:type="dxa"/>
          </w:tcPr>
          <w:p w14:paraId="3D1ADF74" w14:textId="2718FCC6" w:rsidR="00334EFE" w:rsidRPr="00931BA4" w:rsidRDefault="00334EFE" w:rsidP="00334EFE">
            <w:pPr>
              <w:widowControl/>
              <w:spacing w:line="259" w:lineRule="auto"/>
              <w:rPr>
                <w:rFonts w:asciiTheme="minorHAnsi" w:hAnsiTheme="minorHAnsi" w:cstheme="minorBidi"/>
                <w:sz w:val="22"/>
                <w:szCs w:val="22"/>
              </w:rPr>
            </w:pPr>
            <w:r w:rsidRPr="00D23126">
              <w:rPr>
                <w:rFonts w:asciiTheme="minorHAnsi" w:hAnsiTheme="minorHAnsi" w:cstheme="minorBidi"/>
                <w:sz w:val="22"/>
                <w:szCs w:val="22"/>
              </w:rPr>
              <w:t>Closed </w:t>
            </w:r>
          </w:p>
        </w:tc>
      </w:tr>
      <w:tr w:rsidR="00C50877" w:rsidRPr="00164B37" w14:paraId="3EF6065B" w14:textId="77777777" w:rsidTr="00A229E6">
        <w:trPr>
          <w:cantSplit/>
        </w:trPr>
        <w:tc>
          <w:tcPr>
            <w:tcW w:w="1975" w:type="dxa"/>
          </w:tcPr>
          <w:p w14:paraId="199B3500" w14:textId="25F1638A" w:rsidR="00C50877" w:rsidRPr="1E8FD191" w:rsidRDefault="00FD247E" w:rsidP="001B123C">
            <w:pPr>
              <w:widowControl/>
              <w:autoSpaceDE/>
              <w:autoSpaceDN/>
              <w:adjustRightInd/>
              <w:rPr>
                <w:rFonts w:asciiTheme="minorHAnsi" w:hAnsiTheme="minorHAnsi" w:cstheme="minorBidi"/>
                <w:sz w:val="22"/>
                <w:szCs w:val="22"/>
              </w:rPr>
            </w:pPr>
            <w:r w:rsidRPr="00FD247E">
              <w:rPr>
                <w:rFonts w:asciiTheme="minorHAnsi" w:hAnsiTheme="minorHAnsi" w:cstheme="minorBidi"/>
                <w:sz w:val="22"/>
                <w:szCs w:val="22"/>
              </w:rPr>
              <w:t xml:space="preserve">Not Applicable  </w:t>
            </w:r>
          </w:p>
        </w:tc>
        <w:tc>
          <w:tcPr>
            <w:tcW w:w="2160" w:type="dxa"/>
          </w:tcPr>
          <w:p w14:paraId="724D11EB" w14:textId="54ADCF6B" w:rsidR="00C50877" w:rsidRPr="1E8FD191" w:rsidRDefault="000375F0" w:rsidP="1E8FD191">
            <w:pPr>
              <w:widowControl/>
              <w:autoSpaceDE/>
              <w:autoSpaceDN/>
              <w:adjustRightInd/>
              <w:rPr>
                <w:rFonts w:asciiTheme="minorHAnsi" w:hAnsiTheme="minorHAnsi" w:cstheme="minorBidi"/>
                <w:sz w:val="22"/>
                <w:szCs w:val="22"/>
              </w:rPr>
            </w:pPr>
            <w:r w:rsidRPr="00FB1F8F">
              <w:rPr>
                <w:rFonts w:asciiTheme="minorHAnsi" w:hAnsiTheme="minorHAnsi" w:cstheme="minorBidi"/>
                <w:sz w:val="22"/>
                <w:szCs w:val="22"/>
              </w:rPr>
              <w:t>FY 2023-OB-0</w:t>
            </w:r>
            <w:r>
              <w:rPr>
                <w:rFonts w:asciiTheme="minorHAnsi" w:hAnsiTheme="minorHAnsi" w:cstheme="minorBidi"/>
                <w:sz w:val="22"/>
                <w:szCs w:val="22"/>
              </w:rPr>
              <w:t>4</w:t>
            </w:r>
          </w:p>
        </w:tc>
        <w:tc>
          <w:tcPr>
            <w:tcW w:w="3869" w:type="dxa"/>
          </w:tcPr>
          <w:p w14:paraId="5001F229" w14:textId="77777777" w:rsidR="00227288" w:rsidRPr="00227288" w:rsidRDefault="00227288" w:rsidP="00227288">
            <w:pPr>
              <w:widowControl/>
              <w:autoSpaceDE/>
              <w:autoSpaceDN/>
              <w:adjustRightInd/>
              <w:rPr>
                <w:rFonts w:asciiTheme="minorHAnsi" w:hAnsiTheme="minorHAnsi" w:cstheme="minorBidi"/>
                <w:sz w:val="22"/>
                <w:szCs w:val="22"/>
              </w:rPr>
            </w:pPr>
            <w:r w:rsidRPr="00227288">
              <w:rPr>
                <w:rFonts w:asciiTheme="minorHAnsi" w:hAnsiTheme="minorHAnsi" w:cstheme="minorBidi"/>
                <w:sz w:val="22"/>
                <w:szCs w:val="22"/>
              </w:rPr>
              <w:t>In four of 24 (16.7%) fatality case files reviewed, there was no evidence that required Next-of-Kin letters had been sent.</w:t>
            </w:r>
          </w:p>
          <w:p w14:paraId="11B56B2C" w14:textId="75B3ECDA" w:rsidR="00C50877" w:rsidRPr="1E8FD191" w:rsidRDefault="00227288" w:rsidP="00227288">
            <w:pPr>
              <w:widowControl/>
              <w:autoSpaceDE/>
              <w:autoSpaceDN/>
              <w:adjustRightInd/>
              <w:rPr>
                <w:rFonts w:asciiTheme="minorHAnsi" w:hAnsiTheme="minorHAnsi" w:cstheme="minorBidi"/>
                <w:sz w:val="22"/>
                <w:szCs w:val="22"/>
              </w:rPr>
            </w:pPr>
            <w:r w:rsidRPr="00227288">
              <w:rPr>
                <w:rFonts w:asciiTheme="minorHAnsi" w:hAnsiTheme="minorHAnsi" w:cstheme="minorBidi"/>
                <w:sz w:val="22"/>
                <w:szCs w:val="22"/>
              </w:rPr>
              <w:t>OSHA will review a selection of fatality case files during the FY 2024 Follow-up FAME to ensure that Next-of-Kin letters are being included as appropriate.</w:t>
            </w:r>
          </w:p>
        </w:tc>
        <w:tc>
          <w:tcPr>
            <w:tcW w:w="3331" w:type="dxa"/>
          </w:tcPr>
          <w:p w14:paraId="77DD21C4" w14:textId="53BDAD9C" w:rsidR="00C50877" w:rsidRPr="1E8FD191" w:rsidRDefault="0004770B" w:rsidP="1E8FD191">
            <w:pPr>
              <w:widowControl/>
              <w:autoSpaceDE/>
              <w:autoSpaceDN/>
              <w:adjustRightInd/>
              <w:rPr>
                <w:rFonts w:asciiTheme="minorHAnsi" w:hAnsiTheme="minorHAnsi" w:cstheme="minorBidi"/>
                <w:sz w:val="22"/>
                <w:szCs w:val="22"/>
              </w:rPr>
            </w:pPr>
            <w:r w:rsidRPr="0004770B">
              <w:rPr>
                <w:rFonts w:asciiTheme="minorHAnsi" w:hAnsiTheme="minorHAnsi" w:cstheme="minorBidi"/>
                <w:sz w:val="22"/>
                <w:szCs w:val="22"/>
              </w:rPr>
              <w:t>OSHA will review a selection of fatality case files during the FY 2024 Follow-up FAME to ensure that Next-of-Kin letters are being included as appropriate.</w:t>
            </w:r>
          </w:p>
        </w:tc>
        <w:tc>
          <w:tcPr>
            <w:tcW w:w="1615" w:type="dxa"/>
          </w:tcPr>
          <w:p w14:paraId="7965518A" w14:textId="40219167" w:rsidR="00C50877" w:rsidRPr="00931BA4" w:rsidRDefault="00D23126" w:rsidP="1E8FD191">
            <w:pPr>
              <w:widowControl/>
              <w:spacing w:line="259" w:lineRule="auto"/>
              <w:rPr>
                <w:rFonts w:asciiTheme="minorHAnsi" w:hAnsiTheme="minorHAnsi" w:cstheme="minorBidi"/>
                <w:sz w:val="22"/>
                <w:szCs w:val="22"/>
              </w:rPr>
            </w:pPr>
            <w:r w:rsidRPr="00D23126">
              <w:rPr>
                <w:rFonts w:asciiTheme="minorHAnsi" w:hAnsiTheme="minorHAnsi" w:cstheme="minorBidi"/>
                <w:sz w:val="22"/>
                <w:szCs w:val="22"/>
              </w:rPr>
              <w:t>Closed </w:t>
            </w:r>
          </w:p>
        </w:tc>
      </w:tr>
      <w:tr w:rsidR="00360C37" w:rsidRPr="00164B37" w14:paraId="54027B5A" w14:textId="77777777" w:rsidTr="00A229E6">
        <w:trPr>
          <w:cantSplit/>
        </w:trPr>
        <w:tc>
          <w:tcPr>
            <w:tcW w:w="1975" w:type="dxa"/>
          </w:tcPr>
          <w:p w14:paraId="2252B5C0" w14:textId="071D0937" w:rsidR="00360C37" w:rsidRPr="1E8FD191" w:rsidRDefault="00360C37" w:rsidP="00360C37">
            <w:pPr>
              <w:widowControl/>
              <w:autoSpaceDE/>
              <w:autoSpaceDN/>
              <w:adjustRightInd/>
              <w:rPr>
                <w:rFonts w:asciiTheme="minorHAnsi" w:hAnsiTheme="minorHAnsi" w:cstheme="minorBidi"/>
                <w:sz w:val="22"/>
                <w:szCs w:val="22"/>
              </w:rPr>
            </w:pPr>
            <w:r w:rsidRPr="00FD247E">
              <w:rPr>
                <w:rFonts w:asciiTheme="minorHAnsi" w:hAnsiTheme="minorHAnsi" w:cstheme="minorBidi"/>
                <w:sz w:val="22"/>
                <w:szCs w:val="22"/>
              </w:rPr>
              <w:t xml:space="preserve">Not Applicable  </w:t>
            </w:r>
          </w:p>
        </w:tc>
        <w:tc>
          <w:tcPr>
            <w:tcW w:w="2160" w:type="dxa"/>
          </w:tcPr>
          <w:p w14:paraId="5A1351D4" w14:textId="01622BEB" w:rsidR="00360C37" w:rsidRPr="1E8FD191" w:rsidRDefault="00360C37" w:rsidP="00360C37">
            <w:pPr>
              <w:widowControl/>
              <w:autoSpaceDE/>
              <w:autoSpaceDN/>
              <w:adjustRightInd/>
              <w:rPr>
                <w:rFonts w:asciiTheme="minorHAnsi" w:hAnsiTheme="minorHAnsi" w:cstheme="minorBidi"/>
                <w:sz w:val="22"/>
                <w:szCs w:val="22"/>
              </w:rPr>
            </w:pPr>
            <w:r w:rsidRPr="00FB1F8F">
              <w:rPr>
                <w:rFonts w:asciiTheme="minorHAnsi" w:hAnsiTheme="minorHAnsi" w:cstheme="minorBidi"/>
                <w:sz w:val="22"/>
                <w:szCs w:val="22"/>
              </w:rPr>
              <w:t>FY 2023-OB-0</w:t>
            </w:r>
            <w:r>
              <w:rPr>
                <w:rFonts w:asciiTheme="minorHAnsi" w:hAnsiTheme="minorHAnsi" w:cstheme="minorBidi"/>
                <w:sz w:val="22"/>
                <w:szCs w:val="22"/>
              </w:rPr>
              <w:t>5</w:t>
            </w:r>
          </w:p>
        </w:tc>
        <w:tc>
          <w:tcPr>
            <w:tcW w:w="3869" w:type="dxa"/>
          </w:tcPr>
          <w:p w14:paraId="32371782" w14:textId="1716EF84" w:rsidR="00360C37" w:rsidRPr="1E8FD191" w:rsidRDefault="00360C37" w:rsidP="00360C37">
            <w:pPr>
              <w:widowControl/>
              <w:autoSpaceDE/>
              <w:autoSpaceDN/>
              <w:adjustRightInd/>
              <w:rPr>
                <w:rFonts w:asciiTheme="minorHAnsi" w:hAnsiTheme="minorHAnsi" w:cstheme="minorBidi"/>
                <w:sz w:val="22"/>
                <w:szCs w:val="22"/>
              </w:rPr>
            </w:pPr>
            <w:r w:rsidRPr="00AE685D">
              <w:t>Cal/OSHA conducted health sampling in 0.5% of their enforcement inspections, versus a national rate of 4.3%.</w:t>
            </w:r>
          </w:p>
        </w:tc>
        <w:tc>
          <w:tcPr>
            <w:tcW w:w="3331" w:type="dxa"/>
          </w:tcPr>
          <w:p w14:paraId="068D9E29" w14:textId="49B6222D" w:rsidR="00360C37" w:rsidRPr="1E8FD191" w:rsidRDefault="0004770B" w:rsidP="00360C37">
            <w:pPr>
              <w:widowControl/>
              <w:autoSpaceDE/>
              <w:autoSpaceDN/>
              <w:adjustRightInd/>
              <w:rPr>
                <w:rFonts w:asciiTheme="minorHAnsi" w:hAnsiTheme="minorHAnsi" w:cstheme="minorBidi"/>
                <w:sz w:val="22"/>
                <w:szCs w:val="22"/>
              </w:rPr>
            </w:pPr>
            <w:r w:rsidRPr="0004770B">
              <w:t>OSHA will review inspections with sampling on at least a quarterly basis and include discussion of the monitoring in quarterly meetings with the State Plan.</w:t>
            </w:r>
          </w:p>
        </w:tc>
        <w:tc>
          <w:tcPr>
            <w:tcW w:w="1615" w:type="dxa"/>
          </w:tcPr>
          <w:p w14:paraId="01F94CC3" w14:textId="047F7E4C" w:rsidR="00360C37" w:rsidRPr="00931BA4" w:rsidRDefault="00360C37" w:rsidP="00360C37">
            <w:pPr>
              <w:widowControl/>
              <w:spacing w:line="259" w:lineRule="auto"/>
              <w:rPr>
                <w:rFonts w:asciiTheme="minorHAnsi" w:hAnsiTheme="minorHAnsi" w:cstheme="minorBidi"/>
                <w:sz w:val="22"/>
                <w:szCs w:val="22"/>
              </w:rPr>
            </w:pPr>
            <w:r w:rsidRPr="00D23126">
              <w:rPr>
                <w:rFonts w:asciiTheme="minorHAnsi" w:hAnsiTheme="minorHAnsi" w:cstheme="minorBidi"/>
                <w:sz w:val="22"/>
                <w:szCs w:val="22"/>
              </w:rPr>
              <w:t>Closed </w:t>
            </w:r>
          </w:p>
        </w:tc>
      </w:tr>
    </w:tbl>
    <w:p w14:paraId="2352A70A" w14:textId="7478DFBA" w:rsidR="00E759AB" w:rsidRPr="00931BA4" w:rsidRDefault="00E759AB" w:rsidP="1E8FD191">
      <w:pPr>
        <w:widowControl/>
        <w:autoSpaceDE/>
        <w:autoSpaceDN/>
        <w:adjustRightInd/>
        <w:rPr>
          <w:rFonts w:asciiTheme="minorHAnsi" w:hAnsiTheme="minorHAnsi" w:cstheme="minorBidi"/>
          <w:sz w:val="22"/>
          <w:szCs w:val="22"/>
        </w:rPr>
      </w:pPr>
    </w:p>
    <w:p w14:paraId="5966FA9F" w14:textId="01CDDCE0" w:rsidR="000A134A" w:rsidRPr="001C1E47" w:rsidRDefault="000A134A" w:rsidP="007A71AC">
      <w:pPr>
        <w:widowControl/>
        <w:autoSpaceDE/>
        <w:autoSpaceDN/>
        <w:adjustRightInd/>
        <w:rPr>
          <w:rFonts w:cs="Calibri"/>
          <w:i/>
          <w:sz w:val="22"/>
          <w:szCs w:val="22"/>
        </w:rPr>
        <w:sectPr w:rsidR="000A134A" w:rsidRPr="001C1E47" w:rsidSect="00476C08">
          <w:headerReference w:type="even" r:id="rId23"/>
          <w:headerReference w:type="default" r:id="rId24"/>
          <w:headerReference w:type="first" r:id="rId25"/>
          <w:footerReference w:type="first" r:id="rId26"/>
          <w:type w:val="continuous"/>
          <w:pgSz w:w="15840" w:h="12240" w:orient="landscape"/>
          <w:pgMar w:top="1440" w:right="1440" w:bottom="1440" w:left="1440" w:header="720" w:footer="720" w:gutter="0"/>
          <w:cols w:space="720"/>
          <w:titlePg/>
          <w:docGrid w:linePitch="360"/>
        </w:sectPr>
      </w:pPr>
    </w:p>
    <w:p w14:paraId="45E6B5CB" w14:textId="1771FCCE" w:rsidR="005367D5" w:rsidRPr="006D4712" w:rsidRDefault="005367D5" w:rsidP="1E8FD191">
      <w:pPr>
        <w:jc w:val="center"/>
      </w:pPr>
    </w:p>
    <w:tbl>
      <w:tblPr>
        <w:tblStyle w:val="TableGridLight"/>
        <w:tblpPr w:leftFromText="180" w:rightFromText="180" w:vertAnchor="page" w:horzAnchor="page" w:tblpX="1202" w:tblpY="2409"/>
        <w:tblW w:w="13045" w:type="dxa"/>
        <w:tblLayout w:type="fixed"/>
        <w:tblLook w:val="00A0" w:firstRow="1" w:lastRow="0" w:firstColumn="1" w:lastColumn="0" w:noHBand="0" w:noVBand="0"/>
      </w:tblPr>
      <w:tblGrid>
        <w:gridCol w:w="1275"/>
        <w:gridCol w:w="2258"/>
        <w:gridCol w:w="2055"/>
        <w:gridCol w:w="4440"/>
        <w:gridCol w:w="1650"/>
        <w:gridCol w:w="1367"/>
      </w:tblGrid>
      <w:tr w:rsidR="005367D5" w:rsidRPr="001C1E47" w14:paraId="04152CB8" w14:textId="77777777" w:rsidTr="1E8FD191">
        <w:trPr>
          <w:cantSplit/>
          <w:trHeight w:val="412"/>
          <w:tblHeader/>
        </w:trPr>
        <w:tc>
          <w:tcPr>
            <w:tcW w:w="1275" w:type="dxa"/>
          </w:tcPr>
          <w:p w14:paraId="0FAB4AA2" w14:textId="1D4B9AB4" w:rsidR="005367D5" w:rsidRPr="001C1E47" w:rsidRDefault="1D8909A3" w:rsidP="1E8FD191">
            <w:pPr>
              <w:rPr>
                <w:rFonts w:cs="Calibri"/>
                <w:b/>
                <w:bCs/>
              </w:rPr>
            </w:pPr>
            <w:r w:rsidRPr="1E8FD191">
              <w:rPr>
                <w:rFonts w:cs="Calibri"/>
                <w:b/>
                <w:bCs/>
              </w:rPr>
              <w:t>FY 20</w:t>
            </w:r>
            <w:r w:rsidR="6D287D1A" w:rsidRPr="1E8FD191">
              <w:rPr>
                <w:rFonts w:cs="Calibri"/>
                <w:b/>
                <w:bCs/>
              </w:rPr>
              <w:t>2</w:t>
            </w:r>
            <w:r w:rsidR="007321F5" w:rsidRPr="1E8FD191">
              <w:rPr>
                <w:rFonts w:cs="Calibri"/>
                <w:b/>
                <w:bCs/>
              </w:rPr>
              <w:t>3</w:t>
            </w:r>
            <w:r w:rsidRPr="1E8FD191">
              <w:rPr>
                <w:rFonts w:cs="Calibri"/>
                <w:b/>
                <w:bCs/>
              </w:rPr>
              <w:t>-#</w:t>
            </w:r>
          </w:p>
        </w:tc>
        <w:tc>
          <w:tcPr>
            <w:tcW w:w="2258" w:type="dxa"/>
          </w:tcPr>
          <w:p w14:paraId="395AE41F" w14:textId="77777777" w:rsidR="005367D5" w:rsidRPr="001C1E47" w:rsidRDefault="005367D5" w:rsidP="00D93CB3">
            <w:pPr>
              <w:rPr>
                <w:rFonts w:cs="Calibri"/>
                <w:b/>
              </w:rPr>
            </w:pPr>
            <w:r w:rsidRPr="001C1E47">
              <w:rPr>
                <w:rFonts w:cs="Calibri"/>
                <w:b/>
              </w:rPr>
              <w:t>Finding</w:t>
            </w:r>
          </w:p>
        </w:tc>
        <w:tc>
          <w:tcPr>
            <w:tcW w:w="2055" w:type="dxa"/>
          </w:tcPr>
          <w:p w14:paraId="6EEE46BC" w14:textId="77777777" w:rsidR="005367D5" w:rsidRPr="001C1E47" w:rsidRDefault="005367D5" w:rsidP="00D93CB3">
            <w:pPr>
              <w:rPr>
                <w:rFonts w:cs="Calibri"/>
                <w:b/>
              </w:rPr>
            </w:pPr>
            <w:r w:rsidRPr="001C1E47">
              <w:rPr>
                <w:rFonts w:cs="Calibri"/>
                <w:b/>
              </w:rPr>
              <w:t>Recommendation</w:t>
            </w:r>
          </w:p>
        </w:tc>
        <w:tc>
          <w:tcPr>
            <w:tcW w:w="444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650" w:type="dxa"/>
          </w:tcPr>
          <w:p w14:paraId="5151BE67" w14:textId="5CBD964C" w:rsidR="005367D5" w:rsidRPr="001C1E47" w:rsidRDefault="005367D5" w:rsidP="00D93CB3">
            <w:pPr>
              <w:rPr>
                <w:rFonts w:cs="Calibri"/>
                <w:b/>
              </w:rPr>
            </w:pPr>
            <w:r w:rsidRPr="2F2FC00C">
              <w:rPr>
                <w:rFonts w:cs="Calibri"/>
                <w:b/>
                <w:bCs/>
              </w:rPr>
              <w:t>Completion Date</w:t>
            </w:r>
          </w:p>
        </w:tc>
        <w:tc>
          <w:tcPr>
            <w:tcW w:w="1367"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181E92" w:rsidRPr="00181E92" w14:paraId="7244A508" w14:textId="77777777" w:rsidTr="1E8FD191">
        <w:trPr>
          <w:trHeight w:val="412"/>
        </w:trPr>
        <w:tc>
          <w:tcPr>
            <w:tcW w:w="1275" w:type="dxa"/>
          </w:tcPr>
          <w:p w14:paraId="38E48C21"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2023-01</w:t>
            </w:r>
          </w:p>
          <w:p w14:paraId="3B6143AB" w14:textId="66E6C3C2" w:rsidR="00181E92" w:rsidRPr="00181E92" w:rsidRDefault="00181E92" w:rsidP="00181E9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2258" w:type="dxa"/>
          </w:tcPr>
          <w:p w14:paraId="32B0D1B3"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The average number of serious, willful, repeat, or unclassified (SWRU) violations issued was 0.67 (SAMM 5a) violations per inspection. This was below the lower end of the FRL range (1.40 violations per inspection).</w:t>
            </w:r>
          </w:p>
          <w:p w14:paraId="1D6DD323" w14:textId="357697B7" w:rsidR="00181E92" w:rsidRPr="00181E92" w:rsidRDefault="00181E92" w:rsidP="00181E9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2055" w:type="dxa"/>
          </w:tcPr>
          <w:p w14:paraId="5D6A3FE4"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Cal/OSHA should determine the underlying cause for the low number of serious, willful, repeat, and unclassified violations, and implement corrective actions.</w:t>
            </w:r>
          </w:p>
          <w:p w14:paraId="19499B4B" w14:textId="6CA44478" w:rsidR="00181E92" w:rsidRPr="00181E92" w:rsidRDefault="00181E92" w:rsidP="00181E9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4440" w:type="dxa"/>
          </w:tcPr>
          <w:p w14:paraId="6EF41F97" w14:textId="77777777" w:rsidR="00181E92" w:rsidRDefault="5B049B27" w:rsidP="1E8FD191">
            <w:pPr>
              <w:rPr>
                <w:rFonts w:asciiTheme="minorHAnsi" w:eastAsia="PMingLiU" w:hAnsiTheme="minorHAnsi" w:cstheme="minorBidi"/>
                <w:sz w:val="22"/>
                <w:szCs w:val="22"/>
              </w:rPr>
            </w:pPr>
            <w:r w:rsidRPr="1E8FD191">
              <w:rPr>
                <w:rFonts w:asciiTheme="minorHAnsi" w:eastAsia="PMingLiU" w:hAnsiTheme="minorHAnsi" w:cstheme="minorBidi"/>
                <w:sz w:val="22"/>
                <w:szCs w:val="22"/>
              </w:rPr>
              <w:t>Cal/OSHA is engaging the DIR Internal Audit team to conduct a root cause analysis related to the average number of serious, willful, repeat, or unclassified (SWRU) violations per inspection and why this continues to be lower than the FRL range. Once the Internal Audit team issues recommendations, Cal/OSHA will evaluate and take the appropriate steps for implementation. The Internal Audit team has added this engagement to the audit backlog and will begin in August 2024 and have a tentative report date of January 2025.</w:t>
            </w:r>
          </w:p>
          <w:p w14:paraId="37D73ADA" w14:textId="7D8A2A99" w:rsidR="004D73FA" w:rsidRPr="00181E92" w:rsidRDefault="004D73FA" w:rsidP="1E8FD191">
            <w:pPr>
              <w:rPr>
                <w:rFonts w:asciiTheme="minorHAnsi" w:eastAsia="PMingLiU" w:hAnsiTheme="minorHAnsi" w:cstheme="minorBidi"/>
              </w:rPr>
            </w:pPr>
          </w:p>
        </w:tc>
        <w:tc>
          <w:tcPr>
            <w:tcW w:w="1650" w:type="dxa"/>
          </w:tcPr>
          <w:p w14:paraId="1B1B7B88"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Not Completed</w:t>
            </w:r>
          </w:p>
          <w:p w14:paraId="56F99649" w14:textId="0FEC0714" w:rsidR="00181E92" w:rsidRPr="00181E92" w:rsidRDefault="00181E92" w:rsidP="00181E9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c>
          <w:tcPr>
            <w:tcW w:w="1367" w:type="dxa"/>
          </w:tcPr>
          <w:p w14:paraId="66AD7429" w14:textId="77777777" w:rsidR="006B2ADD" w:rsidRDefault="00E445D8" w:rsidP="1E8FD191">
            <w:pPr>
              <w:rPr>
                <w:rFonts w:asciiTheme="minorHAnsi" w:hAnsiTheme="minorHAnsi" w:cstheme="minorBidi"/>
                <w:sz w:val="22"/>
                <w:szCs w:val="22"/>
              </w:rPr>
            </w:pPr>
            <w:r>
              <w:rPr>
                <w:rFonts w:asciiTheme="minorHAnsi" w:hAnsiTheme="minorHAnsi" w:cstheme="minorBidi"/>
                <w:sz w:val="22"/>
                <w:szCs w:val="22"/>
              </w:rPr>
              <w:t>Open</w:t>
            </w:r>
            <w:r w:rsidR="00781934" w:rsidRPr="00781934">
              <w:rPr>
                <w:rFonts w:asciiTheme="minorHAnsi" w:hAnsiTheme="minorHAnsi" w:cstheme="minorBidi"/>
                <w:sz w:val="22"/>
                <w:szCs w:val="22"/>
              </w:rPr>
              <w:t> </w:t>
            </w:r>
          </w:p>
          <w:p w14:paraId="5F7A6525" w14:textId="3EE4B2D5" w:rsidR="00181E92" w:rsidRPr="00931BA4" w:rsidRDefault="00152FB0" w:rsidP="1E8FD191">
            <w:pPr>
              <w:rPr>
                <w:rFonts w:asciiTheme="minorHAnsi" w:hAnsiTheme="minorHAnsi" w:cstheme="minorBidi"/>
                <w:sz w:val="22"/>
                <w:szCs w:val="22"/>
              </w:rPr>
            </w:pPr>
            <w:r>
              <w:rPr>
                <w:rFonts w:asciiTheme="minorHAnsi" w:hAnsiTheme="minorHAnsi" w:cstheme="minorBidi"/>
                <w:sz w:val="22"/>
                <w:szCs w:val="22"/>
              </w:rPr>
              <w:t>03/06/2025</w:t>
            </w:r>
          </w:p>
          <w:p w14:paraId="4007473C" w14:textId="5A18AF61" w:rsidR="00181E92" w:rsidRPr="00181E92" w:rsidRDefault="00181E92" w:rsidP="00181E9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2"/>
                <w:szCs w:val="22"/>
              </w:rPr>
            </w:pPr>
          </w:p>
        </w:tc>
      </w:tr>
      <w:tr w:rsidR="00181E92" w:rsidRPr="00181E92" w14:paraId="4703F521" w14:textId="77777777" w:rsidTr="1E8FD191">
        <w:trPr>
          <w:trHeight w:val="385"/>
        </w:trPr>
        <w:tc>
          <w:tcPr>
            <w:tcW w:w="1275" w:type="dxa"/>
          </w:tcPr>
          <w:p w14:paraId="22AC4F70"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2023-02</w:t>
            </w:r>
          </w:p>
          <w:p w14:paraId="4770500E" w14:textId="77777777" w:rsidR="00181E92" w:rsidRPr="00931BA4" w:rsidRDefault="00181E92" w:rsidP="1E8FD191">
            <w:pPr>
              <w:rPr>
                <w:rFonts w:asciiTheme="minorHAnsi" w:hAnsiTheme="minorHAnsi" w:cstheme="minorBidi"/>
                <w:sz w:val="22"/>
                <w:szCs w:val="22"/>
              </w:rPr>
            </w:pPr>
          </w:p>
          <w:p w14:paraId="3ABC1728" w14:textId="77777777" w:rsidR="00181E92" w:rsidRPr="00931BA4" w:rsidRDefault="00181E92" w:rsidP="1E8FD191">
            <w:pPr>
              <w:rPr>
                <w:rFonts w:asciiTheme="minorHAnsi" w:hAnsiTheme="minorHAnsi" w:cstheme="minorBidi"/>
                <w:sz w:val="22"/>
                <w:szCs w:val="22"/>
              </w:rPr>
            </w:pPr>
          </w:p>
          <w:p w14:paraId="5CD12CDA" w14:textId="77777777" w:rsidR="00181E92" w:rsidRPr="00931BA4" w:rsidRDefault="00181E92" w:rsidP="1E8FD191">
            <w:pPr>
              <w:rPr>
                <w:rFonts w:asciiTheme="minorHAnsi" w:hAnsiTheme="minorHAnsi" w:cstheme="minorBidi"/>
                <w:sz w:val="22"/>
                <w:szCs w:val="22"/>
              </w:rPr>
            </w:pPr>
          </w:p>
          <w:p w14:paraId="5FB2806F" w14:textId="77777777" w:rsidR="00181E92" w:rsidRPr="00931BA4" w:rsidRDefault="00181E92" w:rsidP="1E8FD191">
            <w:pPr>
              <w:rPr>
                <w:rFonts w:asciiTheme="minorHAnsi" w:hAnsiTheme="minorHAnsi" w:cstheme="minorBidi"/>
                <w:sz w:val="22"/>
                <w:szCs w:val="22"/>
              </w:rPr>
            </w:pPr>
          </w:p>
          <w:p w14:paraId="5DF608F9" w14:textId="77777777" w:rsidR="00181E92" w:rsidRPr="00931BA4" w:rsidRDefault="00181E92" w:rsidP="1E8FD191">
            <w:pPr>
              <w:rPr>
                <w:rFonts w:asciiTheme="minorHAnsi" w:hAnsiTheme="minorHAnsi" w:cstheme="minorBidi"/>
                <w:sz w:val="22"/>
                <w:szCs w:val="22"/>
              </w:rPr>
            </w:pPr>
          </w:p>
          <w:p w14:paraId="42C332D1" w14:textId="77777777" w:rsidR="00181E92" w:rsidRPr="00931BA4" w:rsidRDefault="00181E92" w:rsidP="1E8FD191">
            <w:pPr>
              <w:rPr>
                <w:rFonts w:asciiTheme="minorHAnsi" w:hAnsiTheme="minorHAnsi" w:cstheme="minorBidi"/>
                <w:sz w:val="22"/>
                <w:szCs w:val="22"/>
              </w:rPr>
            </w:pPr>
          </w:p>
          <w:p w14:paraId="55814727" w14:textId="77777777" w:rsidR="00181E92" w:rsidRPr="00931BA4" w:rsidRDefault="00181E92" w:rsidP="1E8FD191">
            <w:pPr>
              <w:rPr>
                <w:rFonts w:asciiTheme="minorHAnsi" w:hAnsiTheme="minorHAnsi" w:cstheme="minorBidi"/>
                <w:sz w:val="22"/>
                <w:szCs w:val="22"/>
              </w:rPr>
            </w:pPr>
          </w:p>
          <w:p w14:paraId="5B938B18" w14:textId="77777777" w:rsidR="00181E92" w:rsidRPr="00931BA4" w:rsidRDefault="00181E92" w:rsidP="1E8FD191">
            <w:pPr>
              <w:rPr>
                <w:rFonts w:asciiTheme="minorHAnsi" w:hAnsiTheme="minorHAnsi" w:cstheme="minorBidi"/>
                <w:sz w:val="22"/>
                <w:szCs w:val="22"/>
              </w:rPr>
            </w:pPr>
          </w:p>
          <w:p w14:paraId="4E7C14BF" w14:textId="67A5F73E" w:rsidR="00181E92" w:rsidRPr="00931BA4" w:rsidRDefault="00181E92" w:rsidP="1E8FD191">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sz w:val="22"/>
                <w:szCs w:val="22"/>
              </w:rPr>
            </w:pPr>
          </w:p>
        </w:tc>
        <w:tc>
          <w:tcPr>
            <w:tcW w:w="2258" w:type="dxa"/>
          </w:tcPr>
          <w:p w14:paraId="666922C2"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Cal/OSHA’s citation lapse time was 78.95 days for safety inspections, above the high end of the FRL range of 66.28.</w:t>
            </w:r>
          </w:p>
          <w:p w14:paraId="6A6754B3" w14:textId="77777777" w:rsidR="00181E92" w:rsidRPr="00931BA4" w:rsidRDefault="00181E92" w:rsidP="1E8FD191">
            <w:pPr>
              <w:rPr>
                <w:rFonts w:asciiTheme="minorHAnsi" w:hAnsiTheme="minorHAnsi" w:cstheme="minorBidi"/>
                <w:sz w:val="22"/>
                <w:szCs w:val="22"/>
              </w:rPr>
            </w:pPr>
          </w:p>
          <w:p w14:paraId="19294A45" w14:textId="77777777" w:rsidR="00181E92" w:rsidRPr="00931BA4" w:rsidRDefault="00181E92" w:rsidP="1E8FD191">
            <w:pPr>
              <w:rPr>
                <w:rFonts w:asciiTheme="minorHAnsi" w:hAnsiTheme="minorHAnsi" w:cstheme="minorBidi"/>
                <w:sz w:val="22"/>
                <w:szCs w:val="22"/>
              </w:rPr>
            </w:pPr>
          </w:p>
          <w:p w14:paraId="6012FA7A" w14:textId="77777777" w:rsidR="00181E92" w:rsidRPr="00931BA4" w:rsidRDefault="00181E92" w:rsidP="1E8FD191">
            <w:pPr>
              <w:rPr>
                <w:rFonts w:asciiTheme="minorHAnsi" w:hAnsiTheme="minorHAnsi" w:cstheme="minorBidi"/>
                <w:sz w:val="22"/>
                <w:szCs w:val="22"/>
              </w:rPr>
            </w:pPr>
          </w:p>
          <w:p w14:paraId="0934D282" w14:textId="19BE47BD" w:rsidR="00181E92" w:rsidRPr="00931BA4" w:rsidRDefault="00181E92" w:rsidP="1E8FD191">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sz w:val="22"/>
                <w:szCs w:val="22"/>
              </w:rPr>
            </w:pPr>
          </w:p>
        </w:tc>
        <w:tc>
          <w:tcPr>
            <w:tcW w:w="2055" w:type="dxa"/>
          </w:tcPr>
          <w:p w14:paraId="4A7C8703" w14:textId="76D06F23" w:rsidR="00181E92" w:rsidRPr="00931BA4" w:rsidRDefault="68E4BE84" w:rsidP="1E8FD191">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sz w:val="22"/>
                <w:szCs w:val="22"/>
              </w:rPr>
            </w:pPr>
            <w:r w:rsidRPr="1E8FD191">
              <w:rPr>
                <w:rFonts w:asciiTheme="minorHAnsi" w:hAnsiTheme="minorHAnsi" w:cstheme="minorBidi"/>
                <w:sz w:val="22"/>
                <w:szCs w:val="22"/>
              </w:rPr>
              <w:t>Cal/OSHA should establish a plan to work with district and regional managers to improve safety citation lapse time and maintain the current progress on health citation lapse time.</w:t>
            </w:r>
          </w:p>
        </w:tc>
        <w:tc>
          <w:tcPr>
            <w:tcW w:w="4440" w:type="dxa"/>
          </w:tcPr>
          <w:p w14:paraId="394E8E3B" w14:textId="461B9B2D"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 xml:space="preserve">In addition to the root cause analysis identified above, the DIR Internal Audit team will conduct a comprehensive review of each field office to determine if any trends exist related to citation lapse time. Furthermore, Cal/OSHA is continuing a hiring campaign to ensure adequate staffing levels for handling the volume of inspections and citations. The Internal Audit team has added this engagement to the audit backlog </w:t>
            </w:r>
          </w:p>
          <w:p w14:paraId="49F05F5F" w14:textId="77777777" w:rsidR="00181E92" w:rsidRDefault="00181E92" w:rsidP="1E8FD191">
            <w:pPr>
              <w:rPr>
                <w:rFonts w:asciiTheme="minorHAnsi" w:hAnsiTheme="minorHAnsi" w:cstheme="minorBidi"/>
                <w:sz w:val="22"/>
                <w:szCs w:val="22"/>
              </w:rPr>
            </w:pPr>
          </w:p>
          <w:p w14:paraId="26546A5D" w14:textId="2AA1F97B" w:rsidR="008E366D" w:rsidRPr="00931BA4" w:rsidRDefault="008E366D" w:rsidP="1E8FD191">
            <w:pPr>
              <w:rPr>
                <w:rFonts w:asciiTheme="minorHAnsi" w:hAnsiTheme="minorHAnsi" w:cstheme="minorBidi"/>
                <w:sz w:val="22"/>
                <w:szCs w:val="22"/>
              </w:rPr>
            </w:pPr>
          </w:p>
        </w:tc>
        <w:tc>
          <w:tcPr>
            <w:tcW w:w="1650" w:type="dxa"/>
          </w:tcPr>
          <w:p w14:paraId="39AB45AC" w14:textId="0908E2FE" w:rsidR="00181E92" w:rsidRPr="00931BA4" w:rsidRDefault="001E6F4F" w:rsidP="1E8FD191">
            <w:pPr>
              <w:rPr>
                <w:rFonts w:asciiTheme="minorHAnsi" w:hAnsiTheme="minorHAnsi" w:cstheme="minorBidi"/>
                <w:sz w:val="22"/>
                <w:szCs w:val="22"/>
              </w:rPr>
            </w:pPr>
            <w:r w:rsidRPr="001E6F4F">
              <w:rPr>
                <w:rFonts w:asciiTheme="minorHAnsi" w:hAnsiTheme="minorHAnsi" w:cstheme="minorBidi"/>
                <w:sz w:val="22"/>
                <w:szCs w:val="22"/>
              </w:rPr>
              <w:t>Not Applicable </w:t>
            </w:r>
          </w:p>
          <w:p w14:paraId="7A9CB0CC" w14:textId="77777777" w:rsidR="00181E92" w:rsidRPr="00931BA4" w:rsidRDefault="00181E92" w:rsidP="1E8FD191">
            <w:pPr>
              <w:rPr>
                <w:rFonts w:asciiTheme="minorHAnsi" w:hAnsiTheme="minorHAnsi" w:cstheme="minorBidi"/>
                <w:sz w:val="22"/>
                <w:szCs w:val="22"/>
              </w:rPr>
            </w:pPr>
          </w:p>
          <w:p w14:paraId="68376FBA" w14:textId="77777777" w:rsidR="00181E92" w:rsidRPr="00931BA4" w:rsidRDefault="00181E92" w:rsidP="1E8FD191">
            <w:pPr>
              <w:rPr>
                <w:rFonts w:asciiTheme="minorHAnsi" w:hAnsiTheme="minorHAnsi" w:cstheme="minorBidi"/>
                <w:sz w:val="22"/>
                <w:szCs w:val="22"/>
              </w:rPr>
            </w:pPr>
          </w:p>
          <w:p w14:paraId="31C628E2" w14:textId="77777777" w:rsidR="00181E92" w:rsidRPr="00931BA4" w:rsidRDefault="00181E92" w:rsidP="1E8FD191">
            <w:pPr>
              <w:rPr>
                <w:rFonts w:asciiTheme="minorHAnsi" w:hAnsiTheme="minorHAnsi" w:cstheme="minorBidi"/>
                <w:sz w:val="22"/>
                <w:szCs w:val="22"/>
              </w:rPr>
            </w:pPr>
          </w:p>
          <w:p w14:paraId="1A1B38AD" w14:textId="77777777" w:rsidR="00181E92" w:rsidRPr="00931BA4" w:rsidRDefault="00181E92" w:rsidP="1E8FD191">
            <w:pPr>
              <w:rPr>
                <w:rFonts w:asciiTheme="minorHAnsi" w:hAnsiTheme="minorHAnsi" w:cstheme="minorBidi"/>
                <w:sz w:val="22"/>
                <w:szCs w:val="22"/>
              </w:rPr>
            </w:pPr>
          </w:p>
          <w:p w14:paraId="2159FEC5" w14:textId="77777777" w:rsidR="00181E92" w:rsidRPr="00931BA4" w:rsidRDefault="00181E92" w:rsidP="1E8FD191">
            <w:pPr>
              <w:rPr>
                <w:rFonts w:asciiTheme="minorHAnsi" w:hAnsiTheme="minorHAnsi" w:cstheme="minorBidi"/>
                <w:sz w:val="22"/>
                <w:szCs w:val="22"/>
              </w:rPr>
            </w:pPr>
          </w:p>
          <w:p w14:paraId="148F8EB5" w14:textId="77777777" w:rsidR="00181E92" w:rsidRPr="00931BA4" w:rsidRDefault="00181E92" w:rsidP="1E8FD191">
            <w:pPr>
              <w:rPr>
                <w:rFonts w:asciiTheme="minorHAnsi" w:hAnsiTheme="minorHAnsi" w:cstheme="minorBidi"/>
                <w:sz w:val="22"/>
                <w:szCs w:val="22"/>
              </w:rPr>
            </w:pPr>
          </w:p>
          <w:p w14:paraId="75E6A6E0" w14:textId="77777777" w:rsidR="00181E92" w:rsidRDefault="00181E92" w:rsidP="1E8FD191">
            <w:pPr>
              <w:pStyle w:val="NoSpacing"/>
              <w:rPr>
                <w:rFonts w:asciiTheme="minorHAnsi" w:eastAsia="PMingLiU" w:hAnsiTheme="minorHAnsi" w:cstheme="minorBidi"/>
              </w:rPr>
            </w:pPr>
          </w:p>
          <w:p w14:paraId="57FDFD33" w14:textId="77777777" w:rsidR="00DC26AE" w:rsidRDefault="00DC26AE" w:rsidP="1E8FD191">
            <w:pPr>
              <w:pStyle w:val="NoSpacing"/>
              <w:rPr>
                <w:rFonts w:asciiTheme="minorHAnsi" w:eastAsia="PMingLiU" w:hAnsiTheme="minorHAnsi" w:cstheme="minorBidi"/>
              </w:rPr>
            </w:pPr>
          </w:p>
          <w:p w14:paraId="5AA8E4FB" w14:textId="77777777" w:rsidR="00DC26AE" w:rsidRDefault="00DC26AE" w:rsidP="1E8FD191">
            <w:pPr>
              <w:pStyle w:val="NoSpacing"/>
              <w:rPr>
                <w:rFonts w:asciiTheme="minorHAnsi" w:eastAsia="PMingLiU" w:hAnsiTheme="minorHAnsi" w:cstheme="minorBidi"/>
              </w:rPr>
            </w:pPr>
          </w:p>
          <w:p w14:paraId="77D33621" w14:textId="77777777" w:rsidR="00DC26AE" w:rsidRDefault="00DC26AE" w:rsidP="1E8FD191">
            <w:pPr>
              <w:pStyle w:val="NoSpacing"/>
              <w:rPr>
                <w:rFonts w:asciiTheme="minorHAnsi" w:eastAsia="PMingLiU" w:hAnsiTheme="minorHAnsi" w:cstheme="minorBidi"/>
              </w:rPr>
            </w:pPr>
          </w:p>
          <w:p w14:paraId="6721A62A" w14:textId="77777777" w:rsidR="00DC26AE" w:rsidRDefault="00DC26AE" w:rsidP="1E8FD191">
            <w:pPr>
              <w:pStyle w:val="NoSpacing"/>
              <w:rPr>
                <w:rFonts w:asciiTheme="minorHAnsi" w:eastAsia="PMingLiU" w:hAnsiTheme="minorHAnsi" w:cstheme="minorBidi"/>
              </w:rPr>
            </w:pPr>
          </w:p>
          <w:p w14:paraId="0F813752" w14:textId="1C73623D" w:rsidR="00DC26AE" w:rsidRPr="00931BA4" w:rsidRDefault="00DC26AE" w:rsidP="1E8FD191">
            <w:pPr>
              <w:pStyle w:val="NoSpacing"/>
              <w:rPr>
                <w:rFonts w:asciiTheme="minorHAnsi" w:eastAsia="PMingLiU" w:hAnsiTheme="minorHAnsi" w:cstheme="minorBidi"/>
              </w:rPr>
            </w:pPr>
          </w:p>
        </w:tc>
        <w:tc>
          <w:tcPr>
            <w:tcW w:w="1367" w:type="dxa"/>
          </w:tcPr>
          <w:p w14:paraId="59C6659B" w14:textId="0BF462CB" w:rsidR="00181E92" w:rsidRPr="00931BA4" w:rsidRDefault="00C30FB2" w:rsidP="1E8FD191">
            <w:pPr>
              <w:rPr>
                <w:rFonts w:asciiTheme="minorHAnsi" w:hAnsiTheme="minorHAnsi" w:cstheme="minorBidi"/>
                <w:sz w:val="22"/>
                <w:szCs w:val="22"/>
              </w:rPr>
            </w:pPr>
            <w:r>
              <w:rPr>
                <w:rFonts w:asciiTheme="minorHAnsi" w:hAnsiTheme="minorHAnsi" w:cstheme="minorBidi"/>
                <w:sz w:val="22"/>
                <w:szCs w:val="22"/>
              </w:rPr>
              <w:t>Closed</w:t>
            </w:r>
          </w:p>
          <w:p w14:paraId="252B1592" w14:textId="56977F21" w:rsidR="00181E92" w:rsidRPr="00931BA4" w:rsidRDefault="00152FB0" w:rsidP="1E8FD191">
            <w:pPr>
              <w:rPr>
                <w:rFonts w:asciiTheme="minorHAnsi" w:hAnsiTheme="minorHAnsi" w:cstheme="minorBidi"/>
                <w:sz w:val="22"/>
                <w:szCs w:val="22"/>
              </w:rPr>
            </w:pPr>
            <w:r>
              <w:rPr>
                <w:rFonts w:asciiTheme="minorHAnsi" w:hAnsiTheme="minorHAnsi" w:cstheme="minorBidi"/>
                <w:sz w:val="22"/>
                <w:szCs w:val="22"/>
              </w:rPr>
              <w:t>03/06/2025</w:t>
            </w:r>
          </w:p>
          <w:p w14:paraId="00E74195" w14:textId="77777777" w:rsidR="00181E92" w:rsidRPr="00931BA4" w:rsidRDefault="00181E92" w:rsidP="1E8FD191">
            <w:pPr>
              <w:rPr>
                <w:rFonts w:asciiTheme="minorHAnsi" w:hAnsiTheme="minorHAnsi" w:cstheme="minorBidi"/>
                <w:sz w:val="22"/>
                <w:szCs w:val="22"/>
              </w:rPr>
            </w:pPr>
          </w:p>
          <w:p w14:paraId="42CBA5CE" w14:textId="77777777" w:rsidR="00181E92" w:rsidRPr="00931BA4" w:rsidRDefault="00181E92" w:rsidP="1E8FD191">
            <w:pPr>
              <w:rPr>
                <w:rFonts w:asciiTheme="minorHAnsi" w:hAnsiTheme="minorHAnsi" w:cstheme="minorBidi"/>
                <w:sz w:val="22"/>
                <w:szCs w:val="22"/>
              </w:rPr>
            </w:pPr>
          </w:p>
          <w:p w14:paraId="19A49DEA" w14:textId="77777777" w:rsidR="00181E92" w:rsidRPr="00931BA4" w:rsidRDefault="00181E92" w:rsidP="1E8FD191">
            <w:pPr>
              <w:rPr>
                <w:rFonts w:asciiTheme="minorHAnsi" w:hAnsiTheme="minorHAnsi" w:cstheme="minorBidi"/>
                <w:sz w:val="22"/>
                <w:szCs w:val="22"/>
              </w:rPr>
            </w:pPr>
          </w:p>
          <w:p w14:paraId="5B4AE349" w14:textId="77777777" w:rsidR="00181E92" w:rsidRPr="00931BA4" w:rsidRDefault="00181E92" w:rsidP="1E8FD191">
            <w:pPr>
              <w:rPr>
                <w:rFonts w:asciiTheme="minorHAnsi" w:hAnsiTheme="minorHAnsi" w:cstheme="minorBidi"/>
                <w:sz w:val="22"/>
                <w:szCs w:val="22"/>
              </w:rPr>
            </w:pPr>
          </w:p>
          <w:p w14:paraId="62FE5A15" w14:textId="77777777" w:rsidR="00181E92" w:rsidRPr="00931BA4" w:rsidRDefault="00181E92" w:rsidP="1E8FD191">
            <w:pPr>
              <w:rPr>
                <w:rFonts w:asciiTheme="minorHAnsi" w:hAnsiTheme="minorHAnsi" w:cstheme="minorBidi"/>
                <w:sz w:val="22"/>
                <w:szCs w:val="22"/>
              </w:rPr>
            </w:pPr>
          </w:p>
          <w:p w14:paraId="6B340DD8" w14:textId="6BCE16FE" w:rsidR="00181E92" w:rsidRPr="00931BA4" w:rsidRDefault="00181E92" w:rsidP="1E8FD191">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Bidi"/>
                <w:sz w:val="22"/>
                <w:szCs w:val="22"/>
              </w:rPr>
            </w:pPr>
          </w:p>
        </w:tc>
      </w:tr>
      <w:tr w:rsidR="00181E92" w:rsidRPr="00181E92" w14:paraId="3FC304A6" w14:textId="77777777" w:rsidTr="1E8FD191">
        <w:trPr>
          <w:trHeight w:val="385"/>
        </w:trPr>
        <w:tc>
          <w:tcPr>
            <w:tcW w:w="1275" w:type="dxa"/>
          </w:tcPr>
          <w:p w14:paraId="7C1F4A06"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2023-03</w:t>
            </w:r>
          </w:p>
          <w:p w14:paraId="5767C54F" w14:textId="77777777" w:rsidR="00181E92" w:rsidRPr="00931BA4" w:rsidRDefault="00181E92" w:rsidP="1E8FD191">
            <w:pPr>
              <w:rPr>
                <w:rFonts w:asciiTheme="minorHAnsi" w:hAnsiTheme="minorHAnsi" w:cstheme="minorBidi"/>
                <w:sz w:val="22"/>
                <w:szCs w:val="22"/>
              </w:rPr>
            </w:pPr>
          </w:p>
          <w:p w14:paraId="43094EBA" w14:textId="77777777" w:rsidR="00181E92" w:rsidRPr="00931BA4" w:rsidRDefault="00181E92" w:rsidP="1E8FD191">
            <w:pPr>
              <w:rPr>
                <w:rFonts w:asciiTheme="minorHAnsi" w:hAnsiTheme="minorHAnsi" w:cstheme="minorBidi"/>
                <w:sz w:val="22"/>
                <w:szCs w:val="22"/>
              </w:rPr>
            </w:pPr>
          </w:p>
          <w:p w14:paraId="571E060B" w14:textId="77777777" w:rsidR="00181E92" w:rsidRPr="00931BA4" w:rsidRDefault="00181E92" w:rsidP="1E8FD191">
            <w:pPr>
              <w:rPr>
                <w:rFonts w:asciiTheme="minorHAnsi" w:hAnsiTheme="minorHAnsi" w:cstheme="minorBidi"/>
                <w:sz w:val="22"/>
                <w:szCs w:val="22"/>
              </w:rPr>
            </w:pPr>
          </w:p>
          <w:p w14:paraId="35DAB0FC" w14:textId="77777777" w:rsidR="00181E92" w:rsidRPr="00931BA4" w:rsidRDefault="00181E92" w:rsidP="1E8FD191">
            <w:pPr>
              <w:rPr>
                <w:rFonts w:asciiTheme="minorHAnsi" w:hAnsiTheme="minorHAnsi" w:cstheme="minorBidi"/>
                <w:sz w:val="22"/>
                <w:szCs w:val="22"/>
              </w:rPr>
            </w:pPr>
          </w:p>
          <w:p w14:paraId="21C476FC" w14:textId="77777777" w:rsidR="00181E92" w:rsidRPr="00931BA4" w:rsidRDefault="00181E92" w:rsidP="1E8FD191">
            <w:pPr>
              <w:rPr>
                <w:rFonts w:asciiTheme="minorHAnsi" w:hAnsiTheme="minorHAnsi" w:cstheme="minorBidi"/>
                <w:sz w:val="22"/>
                <w:szCs w:val="22"/>
              </w:rPr>
            </w:pPr>
          </w:p>
          <w:p w14:paraId="0915674F" w14:textId="77777777" w:rsidR="00181E92" w:rsidRPr="00931BA4" w:rsidRDefault="00181E92" w:rsidP="1E8FD191">
            <w:pPr>
              <w:rPr>
                <w:rFonts w:asciiTheme="minorHAnsi" w:hAnsiTheme="minorHAnsi" w:cstheme="minorBidi"/>
                <w:sz w:val="22"/>
                <w:szCs w:val="22"/>
              </w:rPr>
            </w:pPr>
          </w:p>
          <w:p w14:paraId="1528F94D" w14:textId="77777777" w:rsidR="00181E92" w:rsidRPr="00931BA4" w:rsidRDefault="00181E92" w:rsidP="1E8FD191">
            <w:pPr>
              <w:rPr>
                <w:rFonts w:asciiTheme="minorHAnsi" w:hAnsiTheme="minorHAnsi" w:cstheme="minorBidi"/>
                <w:sz w:val="22"/>
                <w:szCs w:val="22"/>
              </w:rPr>
            </w:pPr>
          </w:p>
          <w:p w14:paraId="5FF0A9E8" w14:textId="77777777" w:rsidR="00181E92" w:rsidRPr="00931BA4" w:rsidRDefault="00181E92" w:rsidP="1E8FD191">
            <w:pPr>
              <w:rPr>
                <w:rFonts w:asciiTheme="minorHAnsi" w:hAnsiTheme="minorHAnsi" w:cstheme="minorBidi"/>
                <w:sz w:val="22"/>
                <w:szCs w:val="22"/>
              </w:rPr>
            </w:pPr>
          </w:p>
          <w:p w14:paraId="2EB30632" w14:textId="77777777" w:rsidR="00181E92" w:rsidRPr="00931BA4" w:rsidRDefault="00181E92" w:rsidP="1E8FD191">
            <w:pPr>
              <w:rPr>
                <w:rFonts w:asciiTheme="minorHAnsi" w:hAnsiTheme="minorHAnsi" w:cstheme="minorBidi"/>
                <w:sz w:val="22"/>
                <w:szCs w:val="22"/>
              </w:rPr>
            </w:pPr>
          </w:p>
          <w:p w14:paraId="250168A2" w14:textId="77777777" w:rsidR="00181E92" w:rsidRPr="00931BA4" w:rsidRDefault="00181E92" w:rsidP="1E8FD191">
            <w:pPr>
              <w:rPr>
                <w:rFonts w:asciiTheme="minorHAnsi" w:hAnsiTheme="minorHAnsi" w:cstheme="minorBidi"/>
                <w:sz w:val="22"/>
                <w:szCs w:val="22"/>
              </w:rPr>
            </w:pPr>
          </w:p>
          <w:p w14:paraId="4217D8BB" w14:textId="77777777" w:rsidR="00181E92" w:rsidRPr="00931BA4" w:rsidRDefault="00181E92" w:rsidP="1E8FD191">
            <w:pPr>
              <w:rPr>
                <w:rFonts w:asciiTheme="minorHAnsi" w:hAnsiTheme="minorHAnsi" w:cstheme="minorBidi"/>
                <w:sz w:val="22"/>
                <w:szCs w:val="22"/>
              </w:rPr>
            </w:pPr>
          </w:p>
          <w:p w14:paraId="27E25B85" w14:textId="77777777" w:rsidR="00181E92" w:rsidRPr="00931BA4" w:rsidRDefault="00181E92" w:rsidP="1E8FD191">
            <w:pPr>
              <w:rPr>
                <w:rFonts w:asciiTheme="minorHAnsi" w:hAnsiTheme="minorHAnsi" w:cstheme="minorBidi"/>
                <w:sz w:val="22"/>
                <w:szCs w:val="22"/>
              </w:rPr>
            </w:pPr>
          </w:p>
          <w:p w14:paraId="31DDD223" w14:textId="77777777" w:rsidR="00181E92" w:rsidRPr="00931BA4" w:rsidRDefault="00181E92" w:rsidP="1E8FD191">
            <w:pPr>
              <w:rPr>
                <w:rFonts w:asciiTheme="minorHAnsi" w:hAnsiTheme="minorHAnsi" w:cstheme="minorBidi"/>
                <w:sz w:val="22"/>
                <w:szCs w:val="22"/>
              </w:rPr>
            </w:pPr>
          </w:p>
          <w:p w14:paraId="25D353DF" w14:textId="77777777" w:rsidR="00181E92" w:rsidRPr="00931BA4" w:rsidRDefault="00181E92" w:rsidP="1E8FD191">
            <w:pPr>
              <w:rPr>
                <w:rFonts w:asciiTheme="minorHAnsi" w:hAnsiTheme="minorHAnsi" w:cstheme="minorBidi"/>
                <w:sz w:val="22"/>
                <w:szCs w:val="22"/>
              </w:rPr>
            </w:pPr>
          </w:p>
          <w:p w14:paraId="37454C9B" w14:textId="77777777" w:rsidR="00181E92" w:rsidRPr="00931BA4" w:rsidRDefault="00181E92" w:rsidP="1E8FD191">
            <w:pPr>
              <w:rPr>
                <w:rFonts w:asciiTheme="minorHAnsi" w:hAnsiTheme="minorHAnsi" w:cstheme="minorBidi"/>
                <w:sz w:val="22"/>
                <w:szCs w:val="22"/>
              </w:rPr>
            </w:pPr>
          </w:p>
          <w:p w14:paraId="7898B1CB" w14:textId="77777777" w:rsidR="00181E92" w:rsidRPr="00931BA4" w:rsidRDefault="00181E92" w:rsidP="1E8FD191">
            <w:pPr>
              <w:rPr>
                <w:rFonts w:asciiTheme="minorHAnsi" w:hAnsiTheme="minorHAnsi" w:cstheme="minorBidi"/>
                <w:sz w:val="22"/>
                <w:szCs w:val="22"/>
              </w:rPr>
            </w:pPr>
          </w:p>
          <w:p w14:paraId="14E9B0A2" w14:textId="77777777" w:rsidR="00181E92" w:rsidRPr="00931BA4" w:rsidRDefault="00181E92" w:rsidP="1E8FD191">
            <w:pPr>
              <w:rPr>
                <w:rFonts w:asciiTheme="minorHAnsi" w:hAnsiTheme="minorHAnsi" w:cstheme="minorBidi"/>
                <w:sz w:val="22"/>
                <w:szCs w:val="22"/>
              </w:rPr>
            </w:pPr>
          </w:p>
          <w:p w14:paraId="642A024D" w14:textId="77777777" w:rsidR="00181E92" w:rsidRPr="00931BA4" w:rsidRDefault="00181E92" w:rsidP="1E8FD191">
            <w:pPr>
              <w:rPr>
                <w:rFonts w:asciiTheme="minorHAnsi" w:hAnsiTheme="minorHAnsi" w:cstheme="minorBidi"/>
                <w:sz w:val="22"/>
                <w:szCs w:val="22"/>
              </w:rPr>
            </w:pPr>
          </w:p>
          <w:p w14:paraId="3AA740CE" w14:textId="77777777" w:rsidR="00181E92" w:rsidRPr="00931BA4" w:rsidRDefault="00181E92" w:rsidP="1E8FD191">
            <w:pPr>
              <w:rPr>
                <w:rFonts w:asciiTheme="minorHAnsi" w:hAnsiTheme="minorHAnsi" w:cstheme="minorBidi"/>
                <w:sz w:val="22"/>
                <w:szCs w:val="22"/>
              </w:rPr>
            </w:pPr>
          </w:p>
          <w:p w14:paraId="3D6DE9D7" w14:textId="77777777" w:rsidR="00181E92" w:rsidRPr="00931BA4" w:rsidRDefault="00181E92" w:rsidP="1E8FD191">
            <w:pPr>
              <w:rPr>
                <w:rFonts w:asciiTheme="minorHAnsi" w:hAnsiTheme="minorHAnsi" w:cstheme="minorBidi"/>
                <w:sz w:val="22"/>
                <w:szCs w:val="22"/>
              </w:rPr>
            </w:pPr>
          </w:p>
          <w:p w14:paraId="3CB0B020" w14:textId="77777777" w:rsidR="00181E92" w:rsidRPr="00931BA4" w:rsidRDefault="00181E92" w:rsidP="1E8FD191">
            <w:pPr>
              <w:rPr>
                <w:rFonts w:asciiTheme="minorHAnsi" w:hAnsiTheme="minorHAnsi" w:cstheme="minorBidi"/>
                <w:sz w:val="22"/>
                <w:szCs w:val="22"/>
              </w:rPr>
            </w:pPr>
          </w:p>
          <w:p w14:paraId="61619F5A" w14:textId="77777777" w:rsidR="00181E92" w:rsidRPr="00931BA4" w:rsidRDefault="00181E92" w:rsidP="1E8FD191">
            <w:pPr>
              <w:rPr>
                <w:rFonts w:asciiTheme="minorHAnsi" w:hAnsiTheme="minorHAnsi" w:cstheme="minorBidi"/>
                <w:sz w:val="22"/>
                <w:szCs w:val="22"/>
              </w:rPr>
            </w:pPr>
          </w:p>
          <w:p w14:paraId="792B36D4" w14:textId="77777777" w:rsidR="00181E92" w:rsidRPr="00931BA4" w:rsidRDefault="00181E92" w:rsidP="1E8FD191">
            <w:pPr>
              <w:rPr>
                <w:rFonts w:asciiTheme="minorHAnsi" w:hAnsiTheme="minorHAnsi" w:cstheme="minorBidi"/>
                <w:sz w:val="22"/>
                <w:szCs w:val="22"/>
              </w:rPr>
            </w:pPr>
          </w:p>
          <w:p w14:paraId="09E35BE1" w14:textId="77777777" w:rsidR="00181E92" w:rsidRPr="00931BA4" w:rsidRDefault="00181E92" w:rsidP="1E8FD191">
            <w:pPr>
              <w:rPr>
                <w:rFonts w:asciiTheme="minorHAnsi" w:hAnsiTheme="minorHAnsi" w:cstheme="minorBidi"/>
                <w:sz w:val="22"/>
                <w:szCs w:val="22"/>
              </w:rPr>
            </w:pPr>
          </w:p>
          <w:p w14:paraId="724879C3" w14:textId="77777777" w:rsidR="00181E92" w:rsidRPr="00931BA4" w:rsidRDefault="00181E92" w:rsidP="1E8FD191">
            <w:pPr>
              <w:rPr>
                <w:rFonts w:asciiTheme="minorHAnsi" w:hAnsiTheme="minorHAnsi" w:cstheme="minorBidi"/>
                <w:sz w:val="22"/>
                <w:szCs w:val="22"/>
              </w:rPr>
            </w:pPr>
          </w:p>
          <w:p w14:paraId="6174226D" w14:textId="77777777" w:rsidR="00181E92" w:rsidRPr="00931BA4" w:rsidRDefault="00181E92" w:rsidP="1E8FD191">
            <w:pPr>
              <w:rPr>
                <w:rFonts w:asciiTheme="minorHAnsi" w:hAnsiTheme="minorHAnsi" w:cstheme="minorBidi"/>
                <w:sz w:val="22"/>
                <w:szCs w:val="22"/>
              </w:rPr>
            </w:pPr>
          </w:p>
          <w:p w14:paraId="3A31EC8F" w14:textId="77777777" w:rsidR="00181E92" w:rsidRPr="00931BA4" w:rsidRDefault="00181E92" w:rsidP="1E8FD191">
            <w:pPr>
              <w:rPr>
                <w:rFonts w:asciiTheme="minorHAnsi" w:hAnsiTheme="minorHAnsi" w:cstheme="minorBidi"/>
                <w:sz w:val="22"/>
                <w:szCs w:val="22"/>
              </w:rPr>
            </w:pPr>
          </w:p>
          <w:p w14:paraId="284D06A3" w14:textId="77777777" w:rsidR="00181E92" w:rsidRPr="00931BA4" w:rsidRDefault="00181E92" w:rsidP="1E8FD191">
            <w:pPr>
              <w:rPr>
                <w:rFonts w:asciiTheme="minorHAnsi" w:hAnsiTheme="minorHAnsi" w:cstheme="minorBidi"/>
                <w:sz w:val="22"/>
                <w:szCs w:val="22"/>
              </w:rPr>
            </w:pPr>
          </w:p>
          <w:p w14:paraId="2D7BC92D" w14:textId="32D0BB83" w:rsidR="00181E92" w:rsidRPr="00931BA4" w:rsidRDefault="00181E92" w:rsidP="1E8FD191">
            <w:pPr>
              <w:pStyle w:val="NoSpacing"/>
              <w:rPr>
                <w:rFonts w:asciiTheme="minorHAnsi" w:eastAsia="PMingLiU" w:hAnsiTheme="minorHAnsi" w:cstheme="minorBidi"/>
              </w:rPr>
            </w:pPr>
          </w:p>
        </w:tc>
        <w:tc>
          <w:tcPr>
            <w:tcW w:w="2258" w:type="dxa"/>
          </w:tcPr>
          <w:p w14:paraId="57F07D33"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In 20 of 73 (27.3%) case files evaluated where violations were issued, abatement documentation was lacking, including 11 of 28 (39%) cases with abatement noted as corrected during inspection lacked documentation of CSHO observation or verification of abatement.</w:t>
            </w:r>
          </w:p>
          <w:p w14:paraId="3FFFE0A0" w14:textId="77777777" w:rsidR="00181E92" w:rsidRPr="00931BA4" w:rsidRDefault="00181E92" w:rsidP="1E8FD191">
            <w:pPr>
              <w:rPr>
                <w:rFonts w:asciiTheme="minorHAnsi" w:hAnsiTheme="minorHAnsi" w:cstheme="minorBidi"/>
                <w:sz w:val="22"/>
                <w:szCs w:val="22"/>
              </w:rPr>
            </w:pPr>
          </w:p>
          <w:p w14:paraId="56591E75" w14:textId="77777777" w:rsidR="00181E92" w:rsidRPr="00931BA4" w:rsidRDefault="00181E92" w:rsidP="1E8FD191">
            <w:pPr>
              <w:rPr>
                <w:rFonts w:asciiTheme="minorHAnsi" w:hAnsiTheme="minorHAnsi" w:cstheme="minorBidi"/>
                <w:sz w:val="22"/>
                <w:szCs w:val="22"/>
              </w:rPr>
            </w:pPr>
          </w:p>
          <w:p w14:paraId="33F26185" w14:textId="77777777" w:rsidR="00181E92" w:rsidRPr="00931BA4" w:rsidRDefault="00181E92" w:rsidP="1E8FD191">
            <w:pPr>
              <w:rPr>
                <w:rFonts w:asciiTheme="minorHAnsi" w:hAnsiTheme="minorHAnsi" w:cstheme="minorBidi"/>
                <w:sz w:val="22"/>
                <w:szCs w:val="22"/>
              </w:rPr>
            </w:pPr>
          </w:p>
          <w:p w14:paraId="7493FE2F" w14:textId="77777777" w:rsidR="00181E92" w:rsidRPr="00931BA4" w:rsidRDefault="00181E92" w:rsidP="1E8FD191">
            <w:pPr>
              <w:rPr>
                <w:rFonts w:asciiTheme="minorHAnsi" w:hAnsiTheme="minorHAnsi" w:cstheme="minorBidi"/>
                <w:sz w:val="22"/>
                <w:szCs w:val="22"/>
              </w:rPr>
            </w:pPr>
          </w:p>
          <w:p w14:paraId="6C8B4D3A" w14:textId="77777777" w:rsidR="00181E92" w:rsidRPr="00931BA4" w:rsidRDefault="00181E92" w:rsidP="1E8FD191">
            <w:pPr>
              <w:rPr>
                <w:rFonts w:asciiTheme="minorHAnsi" w:hAnsiTheme="minorHAnsi" w:cstheme="minorBidi"/>
                <w:sz w:val="22"/>
                <w:szCs w:val="22"/>
              </w:rPr>
            </w:pPr>
          </w:p>
          <w:p w14:paraId="371EA986" w14:textId="77777777" w:rsidR="00181E92" w:rsidRPr="00931BA4" w:rsidRDefault="00181E92" w:rsidP="1E8FD191">
            <w:pPr>
              <w:rPr>
                <w:rFonts w:asciiTheme="minorHAnsi" w:hAnsiTheme="minorHAnsi" w:cstheme="minorBidi"/>
                <w:sz w:val="22"/>
                <w:szCs w:val="22"/>
              </w:rPr>
            </w:pPr>
          </w:p>
          <w:p w14:paraId="2E5A5279" w14:textId="77777777" w:rsidR="00181E92" w:rsidRPr="00931BA4" w:rsidRDefault="00181E92" w:rsidP="1E8FD191">
            <w:pPr>
              <w:rPr>
                <w:rFonts w:asciiTheme="minorHAnsi" w:hAnsiTheme="minorHAnsi" w:cstheme="minorBidi"/>
                <w:sz w:val="22"/>
                <w:szCs w:val="22"/>
              </w:rPr>
            </w:pPr>
          </w:p>
          <w:p w14:paraId="5A1AA8CC" w14:textId="77777777" w:rsidR="00181E92" w:rsidRPr="00931BA4" w:rsidRDefault="00181E92" w:rsidP="1E8FD191">
            <w:pPr>
              <w:rPr>
                <w:rFonts w:asciiTheme="minorHAnsi" w:hAnsiTheme="minorHAnsi" w:cstheme="minorBidi"/>
                <w:sz w:val="22"/>
                <w:szCs w:val="22"/>
              </w:rPr>
            </w:pPr>
          </w:p>
          <w:p w14:paraId="1E013A1E" w14:textId="77777777" w:rsidR="00181E92" w:rsidRPr="00931BA4" w:rsidRDefault="00181E92" w:rsidP="1E8FD191">
            <w:pPr>
              <w:rPr>
                <w:rFonts w:asciiTheme="minorHAnsi" w:hAnsiTheme="minorHAnsi" w:cstheme="minorBidi"/>
                <w:sz w:val="22"/>
                <w:szCs w:val="22"/>
              </w:rPr>
            </w:pPr>
          </w:p>
          <w:p w14:paraId="301F4A72" w14:textId="77777777" w:rsidR="00181E92" w:rsidRPr="00931BA4" w:rsidRDefault="00181E92" w:rsidP="1E8FD191">
            <w:pPr>
              <w:rPr>
                <w:rFonts w:asciiTheme="minorHAnsi" w:hAnsiTheme="minorHAnsi" w:cstheme="minorBidi"/>
                <w:sz w:val="22"/>
                <w:szCs w:val="22"/>
              </w:rPr>
            </w:pPr>
          </w:p>
          <w:p w14:paraId="3B77BE12" w14:textId="77777777" w:rsidR="00181E92" w:rsidRPr="00931BA4" w:rsidRDefault="00181E92" w:rsidP="1E8FD191">
            <w:pPr>
              <w:rPr>
                <w:rFonts w:asciiTheme="minorHAnsi" w:hAnsiTheme="minorHAnsi" w:cstheme="minorBidi"/>
                <w:sz w:val="22"/>
                <w:szCs w:val="22"/>
              </w:rPr>
            </w:pPr>
          </w:p>
          <w:p w14:paraId="1A79F1E7" w14:textId="77777777" w:rsidR="00181E92" w:rsidRPr="00931BA4" w:rsidRDefault="00181E92" w:rsidP="1E8FD191">
            <w:pPr>
              <w:rPr>
                <w:rFonts w:asciiTheme="minorHAnsi" w:hAnsiTheme="minorHAnsi" w:cstheme="minorBidi"/>
                <w:sz w:val="22"/>
                <w:szCs w:val="22"/>
              </w:rPr>
            </w:pPr>
          </w:p>
          <w:p w14:paraId="5341E609" w14:textId="77777777" w:rsidR="00181E92" w:rsidRPr="00931BA4" w:rsidRDefault="00181E92" w:rsidP="1E8FD191">
            <w:pPr>
              <w:rPr>
                <w:rFonts w:asciiTheme="minorHAnsi" w:hAnsiTheme="minorHAnsi" w:cstheme="minorBidi"/>
                <w:sz w:val="22"/>
                <w:szCs w:val="22"/>
              </w:rPr>
            </w:pPr>
          </w:p>
          <w:p w14:paraId="2222CD2D" w14:textId="77777777" w:rsidR="00181E92" w:rsidRPr="00931BA4" w:rsidRDefault="00181E92" w:rsidP="1E8FD191">
            <w:pPr>
              <w:rPr>
                <w:rFonts w:asciiTheme="minorHAnsi" w:hAnsiTheme="minorHAnsi" w:cstheme="minorBidi"/>
                <w:sz w:val="22"/>
                <w:szCs w:val="22"/>
              </w:rPr>
            </w:pPr>
          </w:p>
          <w:p w14:paraId="2C25EC06" w14:textId="77777777" w:rsidR="00181E92" w:rsidRPr="00931BA4" w:rsidRDefault="00181E92" w:rsidP="1E8FD191">
            <w:pPr>
              <w:rPr>
                <w:rFonts w:asciiTheme="minorHAnsi" w:hAnsiTheme="minorHAnsi" w:cstheme="minorBidi"/>
                <w:sz w:val="22"/>
                <w:szCs w:val="22"/>
              </w:rPr>
            </w:pPr>
          </w:p>
          <w:p w14:paraId="00E182D1" w14:textId="4BE91FCE" w:rsidR="00181E92" w:rsidRPr="00931BA4" w:rsidRDefault="00181E92" w:rsidP="1E8FD191">
            <w:pPr>
              <w:pStyle w:val="NoSpacing"/>
              <w:rPr>
                <w:rFonts w:asciiTheme="minorHAnsi" w:eastAsia="PMingLiU" w:hAnsiTheme="minorHAnsi" w:cstheme="minorBidi"/>
              </w:rPr>
            </w:pPr>
          </w:p>
        </w:tc>
        <w:tc>
          <w:tcPr>
            <w:tcW w:w="2055" w:type="dxa"/>
          </w:tcPr>
          <w:p w14:paraId="34CB51CB"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Cal/OSHA should establish a plan to work with district and regional managers to ensure policies and procedures for the documentation of the abatement of hazards are adequate to demonstrate hazards have been abated and that policies and procedures are followed.</w:t>
            </w:r>
          </w:p>
          <w:p w14:paraId="770DACF6" w14:textId="77777777" w:rsidR="00181E92" w:rsidRPr="00931BA4" w:rsidRDefault="00181E92" w:rsidP="1E8FD191">
            <w:pPr>
              <w:rPr>
                <w:rFonts w:asciiTheme="minorHAnsi" w:hAnsiTheme="minorHAnsi" w:cstheme="minorBidi"/>
                <w:sz w:val="22"/>
                <w:szCs w:val="22"/>
              </w:rPr>
            </w:pPr>
          </w:p>
          <w:p w14:paraId="62B15FDD" w14:textId="77777777" w:rsidR="00181E92" w:rsidRPr="00931BA4" w:rsidRDefault="00181E92" w:rsidP="1E8FD191">
            <w:pPr>
              <w:rPr>
                <w:rFonts w:asciiTheme="minorHAnsi" w:hAnsiTheme="minorHAnsi" w:cstheme="minorBidi"/>
                <w:sz w:val="22"/>
                <w:szCs w:val="22"/>
              </w:rPr>
            </w:pPr>
          </w:p>
          <w:p w14:paraId="49B77CEC" w14:textId="77777777" w:rsidR="00181E92" w:rsidRPr="00931BA4" w:rsidRDefault="00181E92" w:rsidP="1E8FD191">
            <w:pPr>
              <w:rPr>
                <w:rFonts w:asciiTheme="minorHAnsi" w:hAnsiTheme="minorHAnsi" w:cstheme="minorBidi"/>
                <w:sz w:val="22"/>
                <w:szCs w:val="22"/>
              </w:rPr>
            </w:pPr>
          </w:p>
          <w:p w14:paraId="1F404932" w14:textId="77777777" w:rsidR="00181E92" w:rsidRPr="00931BA4" w:rsidRDefault="00181E92" w:rsidP="1E8FD191">
            <w:pPr>
              <w:rPr>
                <w:rFonts w:asciiTheme="minorHAnsi" w:hAnsiTheme="minorHAnsi" w:cstheme="minorBidi"/>
                <w:sz w:val="22"/>
                <w:szCs w:val="22"/>
              </w:rPr>
            </w:pPr>
          </w:p>
          <w:p w14:paraId="0044C661" w14:textId="77777777" w:rsidR="00181E92" w:rsidRPr="00931BA4" w:rsidRDefault="00181E92" w:rsidP="1E8FD191">
            <w:pPr>
              <w:rPr>
                <w:rFonts w:asciiTheme="minorHAnsi" w:hAnsiTheme="minorHAnsi" w:cstheme="minorBidi"/>
                <w:sz w:val="22"/>
                <w:szCs w:val="22"/>
              </w:rPr>
            </w:pPr>
          </w:p>
          <w:p w14:paraId="7681F93E" w14:textId="77777777" w:rsidR="00181E92" w:rsidRPr="00931BA4" w:rsidRDefault="00181E92" w:rsidP="1E8FD191">
            <w:pPr>
              <w:rPr>
                <w:rFonts w:asciiTheme="minorHAnsi" w:hAnsiTheme="minorHAnsi" w:cstheme="minorBidi"/>
                <w:sz w:val="22"/>
                <w:szCs w:val="22"/>
              </w:rPr>
            </w:pPr>
          </w:p>
          <w:p w14:paraId="7343C844" w14:textId="77777777" w:rsidR="00181E92" w:rsidRPr="00931BA4" w:rsidRDefault="00181E92" w:rsidP="1E8FD191">
            <w:pPr>
              <w:rPr>
                <w:rFonts w:asciiTheme="minorHAnsi" w:hAnsiTheme="minorHAnsi" w:cstheme="minorBidi"/>
                <w:sz w:val="22"/>
                <w:szCs w:val="22"/>
              </w:rPr>
            </w:pPr>
          </w:p>
          <w:p w14:paraId="0A66C594" w14:textId="77777777" w:rsidR="00181E92" w:rsidRPr="00931BA4" w:rsidRDefault="00181E92" w:rsidP="1E8FD191">
            <w:pPr>
              <w:rPr>
                <w:rFonts w:asciiTheme="minorHAnsi" w:hAnsiTheme="minorHAnsi" w:cstheme="minorBidi"/>
                <w:sz w:val="22"/>
                <w:szCs w:val="22"/>
              </w:rPr>
            </w:pPr>
          </w:p>
          <w:p w14:paraId="23B66F65" w14:textId="77777777" w:rsidR="00181E92" w:rsidRPr="00931BA4" w:rsidRDefault="00181E92" w:rsidP="1E8FD191">
            <w:pPr>
              <w:rPr>
                <w:rFonts w:asciiTheme="minorHAnsi" w:hAnsiTheme="minorHAnsi" w:cstheme="minorBidi"/>
                <w:sz w:val="22"/>
                <w:szCs w:val="22"/>
              </w:rPr>
            </w:pPr>
          </w:p>
          <w:p w14:paraId="263A4DB6" w14:textId="77777777" w:rsidR="00181E92" w:rsidRPr="00931BA4" w:rsidRDefault="00181E92" w:rsidP="1E8FD191">
            <w:pPr>
              <w:rPr>
                <w:rFonts w:asciiTheme="minorHAnsi" w:hAnsiTheme="minorHAnsi" w:cstheme="minorBidi"/>
                <w:sz w:val="22"/>
                <w:szCs w:val="22"/>
              </w:rPr>
            </w:pPr>
          </w:p>
          <w:p w14:paraId="25C3FF1C" w14:textId="77777777" w:rsidR="00181E92" w:rsidRPr="00931BA4" w:rsidRDefault="00181E92" w:rsidP="1E8FD191">
            <w:pPr>
              <w:rPr>
                <w:rFonts w:asciiTheme="minorHAnsi" w:hAnsiTheme="minorHAnsi" w:cstheme="minorBidi"/>
                <w:sz w:val="22"/>
                <w:szCs w:val="22"/>
              </w:rPr>
            </w:pPr>
          </w:p>
          <w:p w14:paraId="666439A1" w14:textId="60DC8D92" w:rsidR="00181E92" w:rsidRPr="00931BA4" w:rsidRDefault="00181E92" w:rsidP="1E8FD191">
            <w:pPr>
              <w:pStyle w:val="NoSpacing"/>
              <w:rPr>
                <w:rFonts w:asciiTheme="minorHAnsi" w:eastAsia="PMingLiU" w:hAnsiTheme="minorHAnsi" w:cstheme="minorBidi"/>
              </w:rPr>
            </w:pPr>
          </w:p>
        </w:tc>
        <w:tc>
          <w:tcPr>
            <w:tcW w:w="4440" w:type="dxa"/>
          </w:tcPr>
          <w:p w14:paraId="2E03CE0D" w14:textId="4F1F5E38" w:rsidR="00181E92" w:rsidRPr="00931BA4" w:rsidRDefault="68E4BE84" w:rsidP="00836DC2">
            <w:pPr>
              <w:pStyle w:val="CommentText"/>
              <w:rPr>
                <w:rFonts w:asciiTheme="minorHAnsi" w:hAnsiTheme="minorHAnsi" w:cstheme="minorBidi"/>
                <w:sz w:val="22"/>
                <w:szCs w:val="22"/>
              </w:rPr>
            </w:pPr>
            <w:r w:rsidRPr="1E8FD191">
              <w:rPr>
                <w:rFonts w:asciiTheme="minorHAnsi" w:hAnsiTheme="minorHAnsi" w:cstheme="minorBidi"/>
                <w:sz w:val="22"/>
                <w:szCs w:val="22"/>
              </w:rPr>
              <w:t xml:space="preserve">Cal/OSHA will create a training module for Regional Managers, District Managers, and Sr. Safety Engineers to review the proper steps for verifying the abatement documentation is adequate and included in the case file before signing off on a citation.  Inspectors will be trained and instructed to include documentation that illustrates (i.e. removal/ destruction of equipment, photographs of correction, documentation of a written plan, etc.) abatement of hazards visually verified as corrected by the inspector during the inspection in their case file.  Inspectors will explain to employers the advantages of immediate abatement, including (1) that there are no certification requirements for violations quickly corrected during inspections and (2) penalty reductions for serious violations.  Inspectors will submit these findings to the District Manager/Sr. Safety Engineer for review and approval after conducting an exit conference with the employer. This practice will be followed until the District Manager is satisfied that the inspector demonstrates a comprehensive and full understanding of the policy and procedure documentation of abatement requirements. </w:t>
            </w:r>
            <w:r w:rsidR="00480D42">
              <w:rPr>
                <w:rFonts w:asciiTheme="minorHAnsi" w:hAnsiTheme="minorHAnsi" w:cstheme="minorBidi"/>
                <w:sz w:val="22"/>
                <w:szCs w:val="22"/>
              </w:rPr>
              <w:t xml:space="preserve"> </w:t>
            </w:r>
            <w:r w:rsidRPr="1E8FD191">
              <w:rPr>
                <w:rFonts w:asciiTheme="minorHAnsi" w:hAnsiTheme="minorHAnsi" w:cstheme="minorBidi"/>
                <w:sz w:val="22"/>
                <w:szCs w:val="22"/>
              </w:rPr>
              <w:t xml:space="preserve">Furthermore, each quarter the Regional Manager will select a sample of case files from each district office to ensure accurate abatement documentation is included in the case files.  </w:t>
            </w:r>
          </w:p>
        </w:tc>
        <w:tc>
          <w:tcPr>
            <w:tcW w:w="1650" w:type="dxa"/>
          </w:tcPr>
          <w:p w14:paraId="2AE0F807"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Not Completed</w:t>
            </w:r>
          </w:p>
          <w:p w14:paraId="1397E7AF" w14:textId="77777777" w:rsidR="00181E92" w:rsidRPr="00931BA4" w:rsidRDefault="00181E92" w:rsidP="1E8FD191">
            <w:pPr>
              <w:rPr>
                <w:rFonts w:asciiTheme="minorHAnsi" w:hAnsiTheme="minorHAnsi" w:cstheme="minorBidi"/>
                <w:sz w:val="22"/>
                <w:szCs w:val="22"/>
              </w:rPr>
            </w:pPr>
          </w:p>
          <w:p w14:paraId="459FCE76" w14:textId="77777777" w:rsidR="00181E92" w:rsidRPr="00931BA4" w:rsidRDefault="00181E92" w:rsidP="1E8FD191">
            <w:pPr>
              <w:rPr>
                <w:rFonts w:asciiTheme="minorHAnsi" w:hAnsiTheme="minorHAnsi" w:cstheme="minorBidi"/>
                <w:sz w:val="22"/>
                <w:szCs w:val="22"/>
              </w:rPr>
            </w:pPr>
          </w:p>
          <w:p w14:paraId="1EC04CF3" w14:textId="77777777" w:rsidR="00181E92" w:rsidRPr="00931BA4" w:rsidRDefault="00181E92" w:rsidP="1E8FD191">
            <w:pPr>
              <w:rPr>
                <w:rFonts w:asciiTheme="minorHAnsi" w:hAnsiTheme="minorHAnsi" w:cstheme="minorBidi"/>
                <w:sz w:val="22"/>
                <w:szCs w:val="22"/>
              </w:rPr>
            </w:pPr>
          </w:p>
          <w:p w14:paraId="5254D613" w14:textId="77777777" w:rsidR="00181E92" w:rsidRPr="00931BA4" w:rsidRDefault="00181E92" w:rsidP="1E8FD191">
            <w:pPr>
              <w:rPr>
                <w:rFonts w:asciiTheme="minorHAnsi" w:hAnsiTheme="minorHAnsi" w:cstheme="minorBidi"/>
                <w:sz w:val="22"/>
                <w:szCs w:val="22"/>
              </w:rPr>
            </w:pPr>
          </w:p>
          <w:p w14:paraId="1BA581E7" w14:textId="77777777" w:rsidR="00181E92" w:rsidRPr="00931BA4" w:rsidRDefault="00181E92" w:rsidP="1E8FD191">
            <w:pPr>
              <w:rPr>
                <w:rFonts w:asciiTheme="minorHAnsi" w:hAnsiTheme="minorHAnsi" w:cstheme="minorBidi"/>
                <w:sz w:val="22"/>
                <w:szCs w:val="22"/>
              </w:rPr>
            </w:pPr>
          </w:p>
          <w:p w14:paraId="37753D15" w14:textId="77777777" w:rsidR="00181E92" w:rsidRPr="00931BA4" w:rsidRDefault="00181E92" w:rsidP="1E8FD191">
            <w:pPr>
              <w:rPr>
                <w:rFonts w:asciiTheme="minorHAnsi" w:hAnsiTheme="minorHAnsi" w:cstheme="minorBidi"/>
                <w:sz w:val="22"/>
                <w:szCs w:val="22"/>
              </w:rPr>
            </w:pPr>
          </w:p>
          <w:p w14:paraId="27B51104" w14:textId="77777777" w:rsidR="00181E92" w:rsidRPr="00931BA4" w:rsidRDefault="00181E92" w:rsidP="1E8FD191">
            <w:pPr>
              <w:rPr>
                <w:rFonts w:asciiTheme="minorHAnsi" w:hAnsiTheme="minorHAnsi" w:cstheme="minorBidi"/>
                <w:sz w:val="22"/>
                <w:szCs w:val="22"/>
              </w:rPr>
            </w:pPr>
          </w:p>
          <w:p w14:paraId="685A9DBE" w14:textId="77777777" w:rsidR="00181E92" w:rsidRPr="00931BA4" w:rsidRDefault="00181E92" w:rsidP="1E8FD191">
            <w:pPr>
              <w:rPr>
                <w:rFonts w:asciiTheme="minorHAnsi" w:hAnsiTheme="minorHAnsi" w:cstheme="minorBidi"/>
                <w:sz w:val="22"/>
                <w:szCs w:val="22"/>
              </w:rPr>
            </w:pPr>
          </w:p>
          <w:p w14:paraId="77627350" w14:textId="77777777" w:rsidR="00181E92" w:rsidRPr="00931BA4" w:rsidRDefault="00181E92" w:rsidP="1E8FD191">
            <w:pPr>
              <w:rPr>
                <w:rFonts w:asciiTheme="minorHAnsi" w:hAnsiTheme="minorHAnsi" w:cstheme="minorBidi"/>
                <w:sz w:val="22"/>
                <w:szCs w:val="22"/>
              </w:rPr>
            </w:pPr>
          </w:p>
          <w:p w14:paraId="16EEB67B" w14:textId="77777777" w:rsidR="00181E92" w:rsidRPr="00931BA4" w:rsidRDefault="00181E92" w:rsidP="1E8FD191">
            <w:pPr>
              <w:rPr>
                <w:rFonts w:asciiTheme="minorHAnsi" w:hAnsiTheme="minorHAnsi" w:cstheme="minorBidi"/>
                <w:sz w:val="22"/>
                <w:szCs w:val="22"/>
              </w:rPr>
            </w:pPr>
          </w:p>
          <w:p w14:paraId="5EDB4E3F" w14:textId="77777777" w:rsidR="00181E92" w:rsidRPr="00931BA4" w:rsidRDefault="00181E92" w:rsidP="1E8FD191">
            <w:pPr>
              <w:rPr>
                <w:rFonts w:asciiTheme="minorHAnsi" w:hAnsiTheme="minorHAnsi" w:cstheme="minorBidi"/>
                <w:sz w:val="22"/>
                <w:szCs w:val="22"/>
              </w:rPr>
            </w:pPr>
          </w:p>
          <w:p w14:paraId="1E559E41" w14:textId="77777777" w:rsidR="00181E92" w:rsidRPr="00931BA4" w:rsidRDefault="00181E92" w:rsidP="1E8FD191">
            <w:pPr>
              <w:rPr>
                <w:rFonts w:asciiTheme="minorHAnsi" w:hAnsiTheme="minorHAnsi" w:cstheme="minorBidi"/>
                <w:sz w:val="22"/>
                <w:szCs w:val="22"/>
              </w:rPr>
            </w:pPr>
          </w:p>
          <w:p w14:paraId="55A4F582" w14:textId="77777777" w:rsidR="00181E92" w:rsidRPr="00931BA4" w:rsidRDefault="00181E92" w:rsidP="1E8FD191">
            <w:pPr>
              <w:rPr>
                <w:rFonts w:asciiTheme="minorHAnsi" w:hAnsiTheme="minorHAnsi" w:cstheme="minorBidi"/>
                <w:sz w:val="22"/>
                <w:szCs w:val="22"/>
              </w:rPr>
            </w:pPr>
          </w:p>
          <w:p w14:paraId="346B6A86" w14:textId="77777777" w:rsidR="00181E92" w:rsidRPr="00931BA4" w:rsidRDefault="00181E92" w:rsidP="1E8FD191">
            <w:pPr>
              <w:rPr>
                <w:rFonts w:asciiTheme="minorHAnsi" w:hAnsiTheme="minorHAnsi" w:cstheme="minorBidi"/>
                <w:sz w:val="22"/>
                <w:szCs w:val="22"/>
              </w:rPr>
            </w:pPr>
          </w:p>
          <w:p w14:paraId="17E2588B" w14:textId="77777777" w:rsidR="00181E92" w:rsidRPr="00931BA4" w:rsidRDefault="00181E92" w:rsidP="1E8FD191">
            <w:pPr>
              <w:rPr>
                <w:rFonts w:asciiTheme="minorHAnsi" w:hAnsiTheme="minorHAnsi" w:cstheme="minorBidi"/>
                <w:sz w:val="22"/>
                <w:szCs w:val="22"/>
              </w:rPr>
            </w:pPr>
          </w:p>
          <w:p w14:paraId="616B995F" w14:textId="77777777" w:rsidR="00181E92" w:rsidRPr="00931BA4" w:rsidRDefault="00181E92" w:rsidP="1E8FD191">
            <w:pPr>
              <w:rPr>
                <w:rFonts w:asciiTheme="minorHAnsi" w:hAnsiTheme="minorHAnsi" w:cstheme="minorBidi"/>
                <w:sz w:val="22"/>
                <w:szCs w:val="22"/>
              </w:rPr>
            </w:pPr>
          </w:p>
          <w:p w14:paraId="77E7B949" w14:textId="77777777" w:rsidR="00181E92" w:rsidRPr="00931BA4" w:rsidRDefault="00181E92" w:rsidP="1E8FD191">
            <w:pPr>
              <w:rPr>
                <w:rFonts w:asciiTheme="minorHAnsi" w:hAnsiTheme="minorHAnsi" w:cstheme="minorBidi"/>
                <w:sz w:val="22"/>
                <w:szCs w:val="22"/>
              </w:rPr>
            </w:pPr>
          </w:p>
          <w:p w14:paraId="0FBC1551" w14:textId="77777777" w:rsidR="00181E92" w:rsidRPr="00931BA4" w:rsidRDefault="00181E92" w:rsidP="1E8FD191">
            <w:pPr>
              <w:rPr>
                <w:rFonts w:asciiTheme="minorHAnsi" w:hAnsiTheme="minorHAnsi" w:cstheme="minorBidi"/>
                <w:sz w:val="22"/>
                <w:szCs w:val="22"/>
              </w:rPr>
            </w:pPr>
          </w:p>
          <w:p w14:paraId="3D8A7834" w14:textId="77777777" w:rsidR="00181E92" w:rsidRPr="00931BA4" w:rsidRDefault="00181E92" w:rsidP="1E8FD191">
            <w:pPr>
              <w:rPr>
                <w:rFonts w:asciiTheme="minorHAnsi" w:hAnsiTheme="minorHAnsi" w:cstheme="minorBidi"/>
                <w:sz w:val="22"/>
                <w:szCs w:val="22"/>
              </w:rPr>
            </w:pPr>
          </w:p>
          <w:p w14:paraId="04322A14" w14:textId="77777777" w:rsidR="00181E92" w:rsidRPr="00931BA4" w:rsidRDefault="00181E92" w:rsidP="1E8FD191">
            <w:pPr>
              <w:rPr>
                <w:rFonts w:asciiTheme="minorHAnsi" w:hAnsiTheme="minorHAnsi" w:cstheme="minorBidi"/>
                <w:sz w:val="22"/>
                <w:szCs w:val="22"/>
              </w:rPr>
            </w:pPr>
          </w:p>
          <w:p w14:paraId="1384E3D0" w14:textId="77777777" w:rsidR="00181E92" w:rsidRPr="00931BA4" w:rsidRDefault="00181E92" w:rsidP="1E8FD191">
            <w:pPr>
              <w:rPr>
                <w:rFonts w:asciiTheme="minorHAnsi" w:hAnsiTheme="minorHAnsi" w:cstheme="minorBidi"/>
                <w:sz w:val="22"/>
                <w:szCs w:val="22"/>
              </w:rPr>
            </w:pPr>
          </w:p>
          <w:p w14:paraId="6C244BEC" w14:textId="77777777" w:rsidR="00181E92" w:rsidRPr="00931BA4" w:rsidRDefault="00181E92" w:rsidP="1E8FD191">
            <w:pPr>
              <w:rPr>
                <w:rFonts w:asciiTheme="minorHAnsi" w:hAnsiTheme="minorHAnsi" w:cstheme="minorBidi"/>
                <w:sz w:val="22"/>
                <w:szCs w:val="22"/>
              </w:rPr>
            </w:pPr>
          </w:p>
          <w:p w14:paraId="478180C3" w14:textId="77777777" w:rsidR="00181E92" w:rsidRPr="00931BA4" w:rsidRDefault="00181E92" w:rsidP="1E8FD191">
            <w:pPr>
              <w:rPr>
                <w:rFonts w:asciiTheme="minorHAnsi" w:hAnsiTheme="minorHAnsi" w:cstheme="minorBidi"/>
                <w:sz w:val="22"/>
                <w:szCs w:val="22"/>
              </w:rPr>
            </w:pPr>
          </w:p>
          <w:p w14:paraId="4E35A58F" w14:textId="77777777" w:rsidR="00181E92" w:rsidRPr="00931BA4" w:rsidRDefault="00181E92" w:rsidP="1E8FD191">
            <w:pPr>
              <w:rPr>
                <w:rFonts w:asciiTheme="minorHAnsi" w:hAnsiTheme="minorHAnsi" w:cstheme="minorBidi"/>
                <w:sz w:val="22"/>
                <w:szCs w:val="22"/>
              </w:rPr>
            </w:pPr>
          </w:p>
          <w:p w14:paraId="7B1D4E4A" w14:textId="77777777" w:rsidR="00181E92" w:rsidRPr="00931BA4" w:rsidRDefault="00181E92" w:rsidP="1E8FD191">
            <w:pPr>
              <w:rPr>
                <w:rFonts w:asciiTheme="minorHAnsi" w:hAnsiTheme="minorHAnsi" w:cstheme="minorBidi"/>
                <w:sz w:val="22"/>
                <w:szCs w:val="22"/>
              </w:rPr>
            </w:pPr>
          </w:p>
          <w:p w14:paraId="2E5169F1" w14:textId="77777777" w:rsidR="00181E92" w:rsidRPr="00931BA4" w:rsidRDefault="00181E92" w:rsidP="1E8FD191">
            <w:pPr>
              <w:rPr>
                <w:rFonts w:asciiTheme="minorHAnsi" w:hAnsiTheme="minorHAnsi" w:cstheme="minorBidi"/>
                <w:sz w:val="22"/>
                <w:szCs w:val="22"/>
              </w:rPr>
            </w:pPr>
          </w:p>
          <w:p w14:paraId="0459FC2D" w14:textId="77777777" w:rsidR="00181E92" w:rsidRPr="00931BA4" w:rsidRDefault="00181E92" w:rsidP="1E8FD191">
            <w:pPr>
              <w:rPr>
                <w:rFonts w:asciiTheme="minorHAnsi" w:hAnsiTheme="minorHAnsi" w:cstheme="minorBidi"/>
                <w:sz w:val="22"/>
                <w:szCs w:val="22"/>
              </w:rPr>
            </w:pPr>
          </w:p>
          <w:p w14:paraId="0B2BF19D" w14:textId="77777777" w:rsidR="00181E92" w:rsidRPr="00931BA4" w:rsidRDefault="00181E92" w:rsidP="1E8FD191">
            <w:pPr>
              <w:rPr>
                <w:rFonts w:asciiTheme="minorHAnsi" w:hAnsiTheme="minorHAnsi" w:cstheme="minorBidi"/>
                <w:sz w:val="22"/>
                <w:szCs w:val="22"/>
              </w:rPr>
            </w:pPr>
          </w:p>
          <w:p w14:paraId="630491A0" w14:textId="75DBB30B" w:rsidR="00181E92" w:rsidRPr="00931BA4" w:rsidRDefault="00181E92" w:rsidP="1E8FD191">
            <w:pPr>
              <w:pStyle w:val="NoSpacing"/>
              <w:rPr>
                <w:rFonts w:asciiTheme="minorHAnsi" w:eastAsia="PMingLiU" w:hAnsiTheme="minorHAnsi" w:cstheme="minorBidi"/>
              </w:rPr>
            </w:pPr>
          </w:p>
        </w:tc>
        <w:tc>
          <w:tcPr>
            <w:tcW w:w="1367" w:type="dxa"/>
          </w:tcPr>
          <w:p w14:paraId="12459E2C" w14:textId="77777777" w:rsidR="006B2ADD" w:rsidRDefault="00E445D8" w:rsidP="00933F86">
            <w:pPr>
              <w:rPr>
                <w:rFonts w:asciiTheme="minorHAnsi" w:hAnsiTheme="minorHAnsi" w:cstheme="minorBidi"/>
                <w:sz w:val="22"/>
                <w:szCs w:val="22"/>
              </w:rPr>
            </w:pPr>
            <w:r>
              <w:rPr>
                <w:rFonts w:asciiTheme="minorHAnsi" w:hAnsiTheme="minorHAnsi" w:cstheme="minorBidi"/>
                <w:sz w:val="22"/>
                <w:szCs w:val="22"/>
              </w:rPr>
              <w:t>Open</w:t>
            </w:r>
            <w:r w:rsidR="00933F86" w:rsidRPr="00933F86">
              <w:rPr>
                <w:rFonts w:asciiTheme="minorHAnsi" w:hAnsiTheme="minorHAnsi" w:cstheme="minorBidi"/>
                <w:sz w:val="22"/>
                <w:szCs w:val="22"/>
              </w:rPr>
              <w:t> </w:t>
            </w:r>
          </w:p>
          <w:p w14:paraId="5579BC16" w14:textId="5D39ECFD" w:rsidR="00933F86" w:rsidRPr="00933F86" w:rsidRDefault="00933F86" w:rsidP="00933F86">
            <w:pPr>
              <w:rPr>
                <w:rFonts w:asciiTheme="minorHAnsi" w:hAnsiTheme="minorHAnsi" w:cstheme="minorBidi"/>
                <w:sz w:val="22"/>
                <w:szCs w:val="22"/>
              </w:rPr>
            </w:pPr>
            <w:r w:rsidRPr="00933F86">
              <w:rPr>
                <w:rFonts w:asciiTheme="minorHAnsi" w:hAnsiTheme="minorHAnsi" w:cstheme="minorBidi"/>
                <w:sz w:val="22"/>
                <w:szCs w:val="22"/>
              </w:rPr>
              <w:t>03/06/2025</w:t>
            </w:r>
          </w:p>
          <w:p w14:paraId="0F3E1A13" w14:textId="77777777" w:rsidR="00181E92" w:rsidRPr="00931BA4" w:rsidRDefault="00181E92" w:rsidP="1E8FD191">
            <w:pPr>
              <w:rPr>
                <w:rFonts w:asciiTheme="minorHAnsi" w:hAnsiTheme="minorHAnsi" w:cstheme="minorBidi"/>
                <w:sz w:val="22"/>
                <w:szCs w:val="22"/>
              </w:rPr>
            </w:pPr>
          </w:p>
          <w:p w14:paraId="5C7B1707" w14:textId="77777777" w:rsidR="00181E92" w:rsidRPr="00931BA4" w:rsidRDefault="00181E92" w:rsidP="1E8FD191">
            <w:pPr>
              <w:rPr>
                <w:rFonts w:asciiTheme="minorHAnsi" w:hAnsiTheme="minorHAnsi" w:cstheme="minorBidi"/>
                <w:sz w:val="22"/>
                <w:szCs w:val="22"/>
              </w:rPr>
            </w:pPr>
          </w:p>
          <w:p w14:paraId="792F565C" w14:textId="77777777" w:rsidR="00181E92" w:rsidRPr="00931BA4" w:rsidRDefault="00181E92" w:rsidP="1E8FD191">
            <w:pPr>
              <w:rPr>
                <w:rFonts w:asciiTheme="minorHAnsi" w:hAnsiTheme="minorHAnsi" w:cstheme="minorBidi"/>
                <w:sz w:val="22"/>
                <w:szCs w:val="22"/>
              </w:rPr>
            </w:pPr>
          </w:p>
          <w:p w14:paraId="2810FA10" w14:textId="77777777" w:rsidR="00181E92" w:rsidRPr="00931BA4" w:rsidRDefault="00181E92" w:rsidP="1E8FD191">
            <w:pPr>
              <w:rPr>
                <w:rFonts w:asciiTheme="minorHAnsi" w:hAnsiTheme="minorHAnsi" w:cstheme="minorBidi"/>
                <w:sz w:val="22"/>
                <w:szCs w:val="22"/>
              </w:rPr>
            </w:pPr>
          </w:p>
          <w:p w14:paraId="2E560E5B" w14:textId="77777777" w:rsidR="00181E92" w:rsidRPr="00931BA4" w:rsidRDefault="00181E92" w:rsidP="1E8FD191">
            <w:pPr>
              <w:rPr>
                <w:rFonts w:asciiTheme="minorHAnsi" w:hAnsiTheme="minorHAnsi" w:cstheme="minorBidi"/>
                <w:sz w:val="22"/>
                <w:szCs w:val="22"/>
              </w:rPr>
            </w:pPr>
          </w:p>
          <w:p w14:paraId="36718B08" w14:textId="77777777" w:rsidR="00181E92" w:rsidRPr="00931BA4" w:rsidRDefault="00181E92" w:rsidP="1E8FD191">
            <w:pPr>
              <w:rPr>
                <w:rFonts w:asciiTheme="minorHAnsi" w:hAnsiTheme="minorHAnsi" w:cstheme="minorBidi"/>
                <w:sz w:val="22"/>
                <w:szCs w:val="22"/>
              </w:rPr>
            </w:pPr>
          </w:p>
          <w:p w14:paraId="3CEF80CE" w14:textId="77777777" w:rsidR="00181E92" w:rsidRPr="00931BA4" w:rsidRDefault="00181E92" w:rsidP="1E8FD191">
            <w:pPr>
              <w:rPr>
                <w:rFonts w:asciiTheme="minorHAnsi" w:hAnsiTheme="minorHAnsi" w:cstheme="minorBidi"/>
                <w:sz w:val="22"/>
                <w:szCs w:val="22"/>
              </w:rPr>
            </w:pPr>
          </w:p>
          <w:p w14:paraId="4B2D42F1" w14:textId="77777777" w:rsidR="00181E92" w:rsidRPr="00931BA4" w:rsidRDefault="00181E92" w:rsidP="1E8FD191">
            <w:pPr>
              <w:rPr>
                <w:rFonts w:asciiTheme="minorHAnsi" w:hAnsiTheme="minorHAnsi" w:cstheme="minorBidi"/>
                <w:sz w:val="22"/>
                <w:szCs w:val="22"/>
              </w:rPr>
            </w:pPr>
          </w:p>
          <w:p w14:paraId="226DE4CE" w14:textId="77777777" w:rsidR="00181E92" w:rsidRPr="00931BA4" w:rsidRDefault="00181E92" w:rsidP="1E8FD191">
            <w:pPr>
              <w:rPr>
                <w:rFonts w:asciiTheme="minorHAnsi" w:hAnsiTheme="minorHAnsi" w:cstheme="minorBidi"/>
                <w:sz w:val="22"/>
                <w:szCs w:val="22"/>
              </w:rPr>
            </w:pPr>
          </w:p>
          <w:p w14:paraId="6CEF70B9" w14:textId="77777777" w:rsidR="00181E92" w:rsidRPr="00931BA4" w:rsidRDefault="00181E92" w:rsidP="1E8FD191">
            <w:pPr>
              <w:rPr>
                <w:rFonts w:asciiTheme="minorHAnsi" w:hAnsiTheme="minorHAnsi" w:cstheme="minorBidi"/>
                <w:sz w:val="22"/>
                <w:szCs w:val="22"/>
              </w:rPr>
            </w:pPr>
          </w:p>
          <w:p w14:paraId="38C46AC2" w14:textId="77777777" w:rsidR="00181E92" w:rsidRPr="00931BA4" w:rsidRDefault="00181E92" w:rsidP="1E8FD191">
            <w:pPr>
              <w:rPr>
                <w:rFonts w:asciiTheme="minorHAnsi" w:hAnsiTheme="minorHAnsi" w:cstheme="minorBidi"/>
                <w:sz w:val="22"/>
                <w:szCs w:val="22"/>
              </w:rPr>
            </w:pPr>
          </w:p>
          <w:p w14:paraId="62407090" w14:textId="77777777" w:rsidR="00181E92" w:rsidRPr="00931BA4" w:rsidRDefault="00181E92" w:rsidP="1E8FD191">
            <w:pPr>
              <w:rPr>
                <w:rFonts w:asciiTheme="minorHAnsi" w:hAnsiTheme="minorHAnsi" w:cstheme="minorBidi"/>
                <w:sz w:val="22"/>
                <w:szCs w:val="22"/>
              </w:rPr>
            </w:pPr>
          </w:p>
          <w:p w14:paraId="5D2B2737" w14:textId="77777777" w:rsidR="00181E92" w:rsidRPr="00931BA4" w:rsidRDefault="00181E92" w:rsidP="1E8FD191">
            <w:pPr>
              <w:rPr>
                <w:rFonts w:asciiTheme="minorHAnsi" w:hAnsiTheme="minorHAnsi" w:cstheme="minorBidi"/>
                <w:sz w:val="22"/>
                <w:szCs w:val="22"/>
              </w:rPr>
            </w:pPr>
          </w:p>
          <w:p w14:paraId="5B8C6031" w14:textId="77777777" w:rsidR="00181E92" w:rsidRPr="00931BA4" w:rsidRDefault="00181E92" w:rsidP="1E8FD191">
            <w:pPr>
              <w:rPr>
                <w:rFonts w:asciiTheme="minorHAnsi" w:hAnsiTheme="minorHAnsi" w:cstheme="minorBidi"/>
                <w:sz w:val="22"/>
                <w:szCs w:val="22"/>
              </w:rPr>
            </w:pPr>
          </w:p>
          <w:p w14:paraId="33531144" w14:textId="77777777" w:rsidR="00181E92" w:rsidRPr="00931BA4" w:rsidRDefault="00181E92" w:rsidP="1E8FD191">
            <w:pPr>
              <w:rPr>
                <w:rFonts w:asciiTheme="minorHAnsi" w:hAnsiTheme="minorHAnsi" w:cstheme="minorBidi"/>
                <w:sz w:val="22"/>
                <w:szCs w:val="22"/>
              </w:rPr>
            </w:pPr>
          </w:p>
          <w:p w14:paraId="14CA32E6" w14:textId="77777777" w:rsidR="00181E92" w:rsidRPr="00931BA4" w:rsidRDefault="00181E92" w:rsidP="1E8FD191">
            <w:pPr>
              <w:rPr>
                <w:rFonts w:asciiTheme="minorHAnsi" w:hAnsiTheme="minorHAnsi" w:cstheme="minorBidi"/>
                <w:sz w:val="22"/>
                <w:szCs w:val="22"/>
              </w:rPr>
            </w:pPr>
          </w:p>
          <w:p w14:paraId="2C0F6930" w14:textId="77777777" w:rsidR="00181E92" w:rsidRPr="00931BA4" w:rsidRDefault="00181E92" w:rsidP="1E8FD191">
            <w:pPr>
              <w:rPr>
                <w:rFonts w:asciiTheme="minorHAnsi" w:hAnsiTheme="minorHAnsi" w:cstheme="minorBidi"/>
                <w:sz w:val="22"/>
                <w:szCs w:val="22"/>
              </w:rPr>
            </w:pPr>
          </w:p>
          <w:p w14:paraId="664322CA" w14:textId="77777777" w:rsidR="00181E92" w:rsidRPr="00931BA4" w:rsidRDefault="00181E92" w:rsidP="1E8FD191">
            <w:pPr>
              <w:rPr>
                <w:rFonts w:asciiTheme="minorHAnsi" w:hAnsiTheme="minorHAnsi" w:cstheme="minorBidi"/>
                <w:sz w:val="22"/>
                <w:szCs w:val="22"/>
              </w:rPr>
            </w:pPr>
          </w:p>
          <w:p w14:paraId="389A7CBF" w14:textId="77777777" w:rsidR="00181E92" w:rsidRPr="00931BA4" w:rsidRDefault="00181E92" w:rsidP="1E8FD191">
            <w:pPr>
              <w:rPr>
                <w:rFonts w:asciiTheme="minorHAnsi" w:hAnsiTheme="minorHAnsi" w:cstheme="minorBidi"/>
                <w:sz w:val="22"/>
                <w:szCs w:val="22"/>
              </w:rPr>
            </w:pPr>
          </w:p>
          <w:p w14:paraId="19B06B4E" w14:textId="77777777" w:rsidR="00181E92" w:rsidRPr="00931BA4" w:rsidRDefault="00181E92" w:rsidP="1E8FD191">
            <w:pPr>
              <w:rPr>
                <w:rFonts w:asciiTheme="minorHAnsi" w:hAnsiTheme="minorHAnsi" w:cstheme="minorBidi"/>
                <w:sz w:val="22"/>
                <w:szCs w:val="22"/>
              </w:rPr>
            </w:pPr>
          </w:p>
          <w:p w14:paraId="2011407E" w14:textId="77777777" w:rsidR="00181E92" w:rsidRPr="00931BA4" w:rsidRDefault="00181E92" w:rsidP="1E8FD191">
            <w:pPr>
              <w:rPr>
                <w:rFonts w:asciiTheme="minorHAnsi" w:hAnsiTheme="minorHAnsi" w:cstheme="minorBidi"/>
                <w:sz w:val="22"/>
                <w:szCs w:val="22"/>
              </w:rPr>
            </w:pPr>
          </w:p>
          <w:p w14:paraId="50E3DB3E" w14:textId="77777777" w:rsidR="00181E92" w:rsidRPr="00931BA4" w:rsidRDefault="00181E92" w:rsidP="1E8FD191">
            <w:pPr>
              <w:rPr>
                <w:rFonts w:asciiTheme="minorHAnsi" w:hAnsiTheme="minorHAnsi" w:cstheme="minorBidi"/>
                <w:sz w:val="22"/>
                <w:szCs w:val="22"/>
              </w:rPr>
            </w:pPr>
          </w:p>
          <w:p w14:paraId="505EBF93" w14:textId="77777777" w:rsidR="00181E92" w:rsidRPr="00931BA4" w:rsidRDefault="00181E92" w:rsidP="1E8FD191">
            <w:pPr>
              <w:rPr>
                <w:rFonts w:asciiTheme="minorHAnsi" w:hAnsiTheme="minorHAnsi" w:cstheme="minorBidi"/>
                <w:sz w:val="22"/>
                <w:szCs w:val="22"/>
              </w:rPr>
            </w:pPr>
          </w:p>
          <w:p w14:paraId="5DE85360" w14:textId="77777777" w:rsidR="00181E92" w:rsidRPr="00931BA4" w:rsidRDefault="00181E92" w:rsidP="1E8FD191">
            <w:pPr>
              <w:rPr>
                <w:rFonts w:asciiTheme="minorHAnsi" w:hAnsiTheme="minorHAnsi" w:cstheme="minorBidi"/>
                <w:sz w:val="22"/>
                <w:szCs w:val="22"/>
              </w:rPr>
            </w:pPr>
          </w:p>
          <w:p w14:paraId="34D37613" w14:textId="77777777" w:rsidR="00181E92" w:rsidRPr="00931BA4" w:rsidRDefault="00181E92" w:rsidP="1E8FD191">
            <w:pPr>
              <w:rPr>
                <w:rFonts w:asciiTheme="minorHAnsi" w:hAnsiTheme="minorHAnsi" w:cstheme="minorBidi"/>
                <w:sz w:val="22"/>
                <w:szCs w:val="22"/>
              </w:rPr>
            </w:pPr>
          </w:p>
          <w:p w14:paraId="2F657578" w14:textId="77777777" w:rsidR="00181E92" w:rsidRPr="00931BA4" w:rsidRDefault="00181E92" w:rsidP="1E8FD191">
            <w:pPr>
              <w:rPr>
                <w:rFonts w:asciiTheme="minorHAnsi" w:hAnsiTheme="minorHAnsi" w:cstheme="minorBidi"/>
                <w:sz w:val="22"/>
                <w:szCs w:val="22"/>
              </w:rPr>
            </w:pPr>
          </w:p>
          <w:p w14:paraId="20557582" w14:textId="77777777" w:rsidR="00181E92" w:rsidRPr="00931BA4" w:rsidRDefault="00181E92" w:rsidP="1E8FD191">
            <w:pPr>
              <w:rPr>
                <w:rFonts w:asciiTheme="minorHAnsi" w:hAnsiTheme="minorHAnsi" w:cstheme="minorBidi"/>
                <w:sz w:val="22"/>
                <w:szCs w:val="22"/>
              </w:rPr>
            </w:pPr>
          </w:p>
          <w:p w14:paraId="41539D36" w14:textId="12ED9F1E" w:rsidR="00181E92" w:rsidRPr="00931BA4" w:rsidRDefault="00181E92" w:rsidP="1E8FD191">
            <w:pPr>
              <w:pStyle w:val="NoSpacing"/>
              <w:rPr>
                <w:rFonts w:asciiTheme="minorHAnsi" w:eastAsia="PMingLiU" w:hAnsiTheme="minorHAnsi" w:cstheme="minorBidi"/>
              </w:rPr>
            </w:pPr>
          </w:p>
        </w:tc>
      </w:tr>
      <w:tr w:rsidR="00181E92" w:rsidRPr="00181E92" w14:paraId="2E6926A0" w14:textId="77777777" w:rsidTr="1E8FD191">
        <w:trPr>
          <w:trHeight w:val="385"/>
        </w:trPr>
        <w:tc>
          <w:tcPr>
            <w:tcW w:w="1275" w:type="dxa"/>
          </w:tcPr>
          <w:p w14:paraId="026B5AF6"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2023-04</w:t>
            </w:r>
          </w:p>
          <w:p w14:paraId="6B8D5293" w14:textId="77777777" w:rsidR="00181E92" w:rsidRPr="00931BA4" w:rsidRDefault="00181E92" w:rsidP="1E8FD191">
            <w:pPr>
              <w:rPr>
                <w:rFonts w:asciiTheme="minorHAnsi" w:hAnsiTheme="minorHAnsi" w:cstheme="minorBidi"/>
                <w:sz w:val="22"/>
                <w:szCs w:val="22"/>
              </w:rPr>
            </w:pPr>
          </w:p>
          <w:p w14:paraId="32B42C62" w14:textId="46C3AA5A" w:rsidR="00181E92" w:rsidRPr="00931BA4" w:rsidRDefault="00181E92" w:rsidP="1E8FD191">
            <w:pPr>
              <w:pStyle w:val="NoSpacing"/>
              <w:rPr>
                <w:rFonts w:asciiTheme="minorHAnsi" w:eastAsia="PMingLiU" w:hAnsiTheme="minorHAnsi" w:cstheme="minorBidi"/>
              </w:rPr>
            </w:pPr>
          </w:p>
        </w:tc>
        <w:tc>
          <w:tcPr>
            <w:tcW w:w="2258" w:type="dxa"/>
          </w:tcPr>
          <w:p w14:paraId="45177B07" w14:textId="7CF87B61" w:rsidR="00181E92" w:rsidRPr="00931BA4" w:rsidRDefault="68E4BE84" w:rsidP="1E8FD191">
            <w:pPr>
              <w:pStyle w:val="NoSpacing"/>
              <w:rPr>
                <w:rFonts w:asciiTheme="minorHAnsi" w:eastAsia="PMingLiU" w:hAnsiTheme="minorHAnsi" w:cstheme="minorBidi"/>
              </w:rPr>
            </w:pPr>
            <w:r w:rsidRPr="1E8FD191">
              <w:rPr>
                <w:rFonts w:asciiTheme="minorHAnsi" w:hAnsiTheme="minorHAnsi" w:cstheme="minorBidi"/>
              </w:rPr>
              <w:t>OSHSB’s regulations for residential construction fall protection are not at least as effective (ALAE) as OSHA’s regulations, as required by 29 CFR 1953.5(a).</w:t>
            </w:r>
          </w:p>
        </w:tc>
        <w:tc>
          <w:tcPr>
            <w:tcW w:w="2055" w:type="dxa"/>
          </w:tcPr>
          <w:p w14:paraId="30D783B3" w14:textId="2EEACCC0" w:rsidR="00181E92" w:rsidRPr="00931BA4" w:rsidRDefault="68E4BE84" w:rsidP="1E8FD191">
            <w:pPr>
              <w:pStyle w:val="NoSpacing"/>
              <w:rPr>
                <w:rFonts w:asciiTheme="minorHAnsi" w:eastAsia="PMingLiU" w:hAnsiTheme="minorHAnsi" w:cstheme="minorBidi"/>
              </w:rPr>
            </w:pPr>
            <w:r w:rsidRPr="1E8FD191">
              <w:rPr>
                <w:rFonts w:asciiTheme="minorHAnsi" w:hAnsiTheme="minorHAnsi" w:cstheme="minorBidi"/>
              </w:rPr>
              <w:t>OSHSB should ensure their standards on residential construction fall protection are ALAE as OSHA’s standards.</w:t>
            </w:r>
          </w:p>
        </w:tc>
        <w:tc>
          <w:tcPr>
            <w:tcW w:w="4440" w:type="dxa"/>
          </w:tcPr>
          <w:p w14:paraId="56E440CB" w14:textId="0446A805"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OSHSB proposed regulatory changes to become ALAE as OSHA’s standards. OAL published the notice of proposed rulemaking in the California Regulatory Notice Register on December 1, 2023, and OSHSB held a public hearing on January 18, 2024. OSHSB proposed additional modifications at the request of OSHA and the first 15-Day Notice closed on Apr 22, 2024. A 2nd 15-Day Notice was just proposed, and the comment period will close on July 15, 2024. This proposal will be scheduled for consideration and adoption at a future business meeting (no later than November 2024) of the Standards Board. The requested effective date is January 2026.</w:t>
            </w:r>
          </w:p>
        </w:tc>
        <w:tc>
          <w:tcPr>
            <w:tcW w:w="1650" w:type="dxa"/>
          </w:tcPr>
          <w:p w14:paraId="7C93DC1F"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Not Completed</w:t>
            </w:r>
          </w:p>
          <w:p w14:paraId="0D9692A0" w14:textId="7D011C41" w:rsidR="00181E92" w:rsidRPr="00931BA4" w:rsidRDefault="00181E92" w:rsidP="1E8FD191">
            <w:pPr>
              <w:pStyle w:val="NoSpacing"/>
              <w:rPr>
                <w:rFonts w:asciiTheme="minorHAnsi" w:eastAsia="PMingLiU" w:hAnsiTheme="minorHAnsi" w:cstheme="minorBidi"/>
              </w:rPr>
            </w:pPr>
          </w:p>
        </w:tc>
        <w:tc>
          <w:tcPr>
            <w:tcW w:w="1367" w:type="dxa"/>
          </w:tcPr>
          <w:p w14:paraId="3E56B4D2" w14:textId="0F88C2EF" w:rsidR="00181E92" w:rsidRPr="00931BA4" w:rsidRDefault="00BD3325" w:rsidP="1E8FD191">
            <w:pPr>
              <w:rPr>
                <w:rFonts w:asciiTheme="minorHAnsi" w:hAnsiTheme="minorHAnsi" w:cstheme="minorBidi"/>
                <w:sz w:val="22"/>
                <w:szCs w:val="22"/>
              </w:rPr>
            </w:pPr>
            <w:r>
              <w:rPr>
                <w:rFonts w:asciiTheme="minorHAnsi" w:hAnsiTheme="minorHAnsi" w:cstheme="minorBidi"/>
                <w:sz w:val="22"/>
                <w:szCs w:val="22"/>
              </w:rPr>
              <w:t>Open</w:t>
            </w:r>
          </w:p>
          <w:p w14:paraId="6483C6A9" w14:textId="4566865F" w:rsidR="00181E92" w:rsidRPr="00931BA4" w:rsidRDefault="004F6516" w:rsidP="1E8FD191">
            <w:pPr>
              <w:pStyle w:val="NoSpacing"/>
              <w:rPr>
                <w:rFonts w:asciiTheme="minorHAnsi" w:eastAsia="PMingLiU" w:hAnsiTheme="minorHAnsi" w:cstheme="minorBidi"/>
              </w:rPr>
            </w:pPr>
            <w:r w:rsidRPr="00933F86">
              <w:rPr>
                <w:rFonts w:asciiTheme="minorHAnsi" w:hAnsiTheme="minorHAnsi" w:cstheme="minorBidi"/>
              </w:rPr>
              <w:t>03/06/2025</w:t>
            </w:r>
          </w:p>
        </w:tc>
      </w:tr>
      <w:tr w:rsidR="00181E92" w:rsidRPr="00181E92" w14:paraId="6217BC01" w14:textId="77777777" w:rsidTr="1E8FD191">
        <w:trPr>
          <w:trHeight w:val="385"/>
        </w:trPr>
        <w:tc>
          <w:tcPr>
            <w:tcW w:w="1275" w:type="dxa"/>
          </w:tcPr>
          <w:p w14:paraId="39C74A5D"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2023-05</w:t>
            </w:r>
          </w:p>
          <w:p w14:paraId="2D7CA4E2" w14:textId="77777777" w:rsidR="00181E92" w:rsidRPr="00931BA4" w:rsidRDefault="00181E92" w:rsidP="1E8FD191">
            <w:pPr>
              <w:rPr>
                <w:rFonts w:asciiTheme="minorHAnsi" w:hAnsiTheme="minorHAnsi" w:cstheme="minorBidi"/>
                <w:sz w:val="22"/>
                <w:szCs w:val="22"/>
              </w:rPr>
            </w:pPr>
          </w:p>
          <w:p w14:paraId="21CE3670" w14:textId="77777777" w:rsidR="00181E92" w:rsidRPr="00931BA4" w:rsidRDefault="00181E92" w:rsidP="1E8FD191">
            <w:pPr>
              <w:rPr>
                <w:rFonts w:asciiTheme="minorHAnsi" w:hAnsiTheme="minorHAnsi" w:cstheme="minorBidi"/>
                <w:sz w:val="22"/>
                <w:szCs w:val="22"/>
              </w:rPr>
            </w:pPr>
          </w:p>
          <w:p w14:paraId="7F0B3356" w14:textId="77777777" w:rsidR="00181E92" w:rsidRPr="00931BA4" w:rsidRDefault="00181E92" w:rsidP="1E8FD191">
            <w:pPr>
              <w:rPr>
                <w:rFonts w:asciiTheme="minorHAnsi" w:hAnsiTheme="minorHAnsi" w:cstheme="minorBidi"/>
                <w:sz w:val="22"/>
                <w:szCs w:val="22"/>
              </w:rPr>
            </w:pPr>
          </w:p>
          <w:p w14:paraId="6BBD6379" w14:textId="77777777" w:rsidR="00181E92" w:rsidRPr="00931BA4" w:rsidRDefault="00181E92" w:rsidP="1E8FD191">
            <w:pPr>
              <w:rPr>
                <w:rFonts w:asciiTheme="minorHAnsi" w:hAnsiTheme="minorHAnsi" w:cstheme="minorBidi"/>
                <w:sz w:val="22"/>
                <w:szCs w:val="22"/>
              </w:rPr>
            </w:pPr>
          </w:p>
          <w:p w14:paraId="5B9E1543" w14:textId="77777777" w:rsidR="00181E92" w:rsidRPr="00931BA4" w:rsidRDefault="00181E92" w:rsidP="1E8FD191">
            <w:pPr>
              <w:rPr>
                <w:rFonts w:asciiTheme="minorHAnsi" w:hAnsiTheme="minorHAnsi" w:cstheme="minorBidi"/>
                <w:sz w:val="22"/>
                <w:szCs w:val="22"/>
              </w:rPr>
            </w:pPr>
          </w:p>
          <w:p w14:paraId="5AA2925D" w14:textId="77777777" w:rsidR="00181E92" w:rsidRPr="00931BA4" w:rsidRDefault="00181E92" w:rsidP="1E8FD191">
            <w:pPr>
              <w:rPr>
                <w:rFonts w:asciiTheme="minorHAnsi" w:hAnsiTheme="minorHAnsi" w:cstheme="minorBidi"/>
                <w:sz w:val="22"/>
                <w:szCs w:val="22"/>
              </w:rPr>
            </w:pPr>
          </w:p>
          <w:p w14:paraId="29D5F0A0" w14:textId="77777777" w:rsidR="00181E92" w:rsidRPr="00931BA4" w:rsidRDefault="00181E92" w:rsidP="1E8FD191">
            <w:pPr>
              <w:rPr>
                <w:rFonts w:asciiTheme="minorHAnsi" w:hAnsiTheme="minorHAnsi" w:cstheme="minorBidi"/>
                <w:sz w:val="22"/>
                <w:szCs w:val="22"/>
              </w:rPr>
            </w:pPr>
          </w:p>
          <w:p w14:paraId="0F7CE0C0" w14:textId="77777777" w:rsidR="00181E92" w:rsidRPr="00931BA4" w:rsidRDefault="00181E92" w:rsidP="1E8FD191">
            <w:pPr>
              <w:rPr>
                <w:rFonts w:asciiTheme="minorHAnsi" w:hAnsiTheme="minorHAnsi" w:cstheme="minorBidi"/>
                <w:sz w:val="22"/>
                <w:szCs w:val="22"/>
              </w:rPr>
            </w:pPr>
          </w:p>
          <w:p w14:paraId="44C6E92F" w14:textId="77777777" w:rsidR="00181E92" w:rsidRPr="00931BA4" w:rsidRDefault="00181E92" w:rsidP="1E8FD191">
            <w:pPr>
              <w:rPr>
                <w:rFonts w:asciiTheme="minorHAnsi" w:hAnsiTheme="minorHAnsi" w:cstheme="minorBidi"/>
                <w:sz w:val="22"/>
                <w:szCs w:val="22"/>
              </w:rPr>
            </w:pPr>
          </w:p>
          <w:p w14:paraId="1DEC9C33" w14:textId="77777777" w:rsidR="00181E92" w:rsidRPr="00931BA4" w:rsidRDefault="00181E92" w:rsidP="1E8FD191">
            <w:pPr>
              <w:rPr>
                <w:rFonts w:asciiTheme="minorHAnsi" w:hAnsiTheme="minorHAnsi" w:cstheme="minorBidi"/>
                <w:sz w:val="22"/>
                <w:szCs w:val="22"/>
              </w:rPr>
            </w:pPr>
          </w:p>
          <w:p w14:paraId="19310820" w14:textId="77777777" w:rsidR="00181E92" w:rsidRPr="00931BA4" w:rsidRDefault="00181E92" w:rsidP="1E8FD191">
            <w:pPr>
              <w:rPr>
                <w:rFonts w:asciiTheme="minorHAnsi" w:hAnsiTheme="minorHAnsi" w:cstheme="minorBidi"/>
                <w:sz w:val="22"/>
                <w:szCs w:val="22"/>
              </w:rPr>
            </w:pPr>
          </w:p>
          <w:p w14:paraId="2D7B52C6" w14:textId="77777777" w:rsidR="00181E92" w:rsidRPr="00931BA4" w:rsidRDefault="00181E92" w:rsidP="1E8FD191">
            <w:pPr>
              <w:rPr>
                <w:rFonts w:asciiTheme="minorHAnsi" w:hAnsiTheme="minorHAnsi" w:cstheme="minorBidi"/>
                <w:sz w:val="22"/>
                <w:szCs w:val="22"/>
              </w:rPr>
            </w:pPr>
          </w:p>
          <w:p w14:paraId="6F233FCF" w14:textId="77777777" w:rsidR="00181E92" w:rsidRPr="00931BA4" w:rsidRDefault="00181E92" w:rsidP="1E8FD191">
            <w:pPr>
              <w:rPr>
                <w:rFonts w:asciiTheme="minorHAnsi" w:hAnsiTheme="minorHAnsi" w:cstheme="minorBidi"/>
                <w:sz w:val="22"/>
                <w:szCs w:val="22"/>
              </w:rPr>
            </w:pPr>
          </w:p>
          <w:p w14:paraId="3653D42C" w14:textId="77777777" w:rsidR="00181E92" w:rsidRPr="00931BA4" w:rsidRDefault="00181E92" w:rsidP="1E8FD191">
            <w:pPr>
              <w:rPr>
                <w:rFonts w:asciiTheme="minorHAnsi" w:hAnsiTheme="minorHAnsi" w:cstheme="minorBidi"/>
                <w:sz w:val="22"/>
                <w:szCs w:val="22"/>
              </w:rPr>
            </w:pPr>
          </w:p>
          <w:p w14:paraId="48FF6C15" w14:textId="77777777" w:rsidR="00181E92" w:rsidRPr="00931BA4" w:rsidRDefault="00181E92" w:rsidP="1E8FD191">
            <w:pPr>
              <w:rPr>
                <w:rFonts w:asciiTheme="minorHAnsi" w:hAnsiTheme="minorHAnsi" w:cstheme="minorBidi"/>
                <w:sz w:val="22"/>
                <w:szCs w:val="22"/>
              </w:rPr>
            </w:pPr>
          </w:p>
          <w:p w14:paraId="44189CF0" w14:textId="006873F8" w:rsidR="00181E92" w:rsidRPr="00931BA4" w:rsidRDefault="00181E92" w:rsidP="1E8FD191">
            <w:pPr>
              <w:pStyle w:val="NoSpacing"/>
              <w:rPr>
                <w:rFonts w:asciiTheme="minorHAnsi" w:eastAsia="PMingLiU" w:hAnsiTheme="minorHAnsi" w:cstheme="minorBidi"/>
              </w:rPr>
            </w:pPr>
          </w:p>
        </w:tc>
        <w:tc>
          <w:tcPr>
            <w:tcW w:w="2258" w:type="dxa"/>
          </w:tcPr>
          <w:p w14:paraId="2B5FA65D"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State Plan-initiated rulemaking promulgated standards on commercial diving are not ALAE as OSHA’s standard.</w:t>
            </w:r>
          </w:p>
          <w:p w14:paraId="0F7E06FE" w14:textId="77777777" w:rsidR="00181E92" w:rsidRPr="00931BA4" w:rsidRDefault="00181E92" w:rsidP="1E8FD191">
            <w:pPr>
              <w:rPr>
                <w:rFonts w:asciiTheme="minorHAnsi" w:hAnsiTheme="minorHAnsi" w:cstheme="minorBidi"/>
                <w:sz w:val="22"/>
                <w:szCs w:val="22"/>
              </w:rPr>
            </w:pPr>
          </w:p>
          <w:p w14:paraId="70DF0381" w14:textId="77777777" w:rsidR="00181E92" w:rsidRPr="00931BA4" w:rsidRDefault="00181E92" w:rsidP="1E8FD191">
            <w:pPr>
              <w:rPr>
                <w:rFonts w:asciiTheme="minorHAnsi" w:hAnsiTheme="minorHAnsi" w:cstheme="minorBidi"/>
                <w:sz w:val="22"/>
                <w:szCs w:val="22"/>
              </w:rPr>
            </w:pPr>
          </w:p>
          <w:p w14:paraId="369665C6" w14:textId="77777777" w:rsidR="00181E92" w:rsidRPr="00931BA4" w:rsidRDefault="00181E92" w:rsidP="1E8FD191">
            <w:pPr>
              <w:rPr>
                <w:rFonts w:asciiTheme="minorHAnsi" w:hAnsiTheme="minorHAnsi" w:cstheme="minorBidi"/>
                <w:sz w:val="22"/>
                <w:szCs w:val="22"/>
              </w:rPr>
            </w:pPr>
          </w:p>
          <w:p w14:paraId="42CB24C9" w14:textId="77777777" w:rsidR="00181E92" w:rsidRPr="00931BA4" w:rsidRDefault="00181E92" w:rsidP="1E8FD191">
            <w:pPr>
              <w:rPr>
                <w:rFonts w:asciiTheme="minorHAnsi" w:hAnsiTheme="minorHAnsi" w:cstheme="minorBidi"/>
                <w:sz w:val="22"/>
                <w:szCs w:val="22"/>
              </w:rPr>
            </w:pPr>
          </w:p>
          <w:p w14:paraId="064F1448" w14:textId="77777777" w:rsidR="00181E92" w:rsidRPr="00931BA4" w:rsidRDefault="00181E92" w:rsidP="1E8FD191">
            <w:pPr>
              <w:rPr>
                <w:rFonts w:asciiTheme="minorHAnsi" w:hAnsiTheme="minorHAnsi" w:cstheme="minorBidi"/>
                <w:sz w:val="22"/>
                <w:szCs w:val="22"/>
              </w:rPr>
            </w:pPr>
          </w:p>
          <w:p w14:paraId="22C9B8CB" w14:textId="77777777" w:rsidR="00181E92" w:rsidRPr="00931BA4" w:rsidRDefault="00181E92" w:rsidP="1E8FD191">
            <w:pPr>
              <w:rPr>
                <w:rFonts w:asciiTheme="minorHAnsi" w:hAnsiTheme="minorHAnsi" w:cstheme="minorBidi"/>
                <w:sz w:val="22"/>
                <w:szCs w:val="22"/>
              </w:rPr>
            </w:pPr>
          </w:p>
          <w:p w14:paraId="5B104C6A" w14:textId="77777777" w:rsidR="00181E92" w:rsidRPr="00931BA4" w:rsidRDefault="00181E92" w:rsidP="1E8FD191">
            <w:pPr>
              <w:rPr>
                <w:rFonts w:asciiTheme="minorHAnsi" w:hAnsiTheme="minorHAnsi" w:cstheme="minorBidi"/>
                <w:sz w:val="22"/>
                <w:szCs w:val="22"/>
              </w:rPr>
            </w:pPr>
          </w:p>
          <w:p w14:paraId="1B505906" w14:textId="77777777" w:rsidR="00181E92" w:rsidRPr="00931BA4" w:rsidRDefault="00181E92" w:rsidP="1E8FD191">
            <w:pPr>
              <w:rPr>
                <w:rFonts w:asciiTheme="minorHAnsi" w:hAnsiTheme="minorHAnsi" w:cstheme="minorBidi"/>
                <w:sz w:val="22"/>
                <w:szCs w:val="22"/>
              </w:rPr>
            </w:pPr>
          </w:p>
          <w:p w14:paraId="7473FED6" w14:textId="77777777" w:rsidR="00181E92" w:rsidRPr="00931BA4" w:rsidRDefault="00181E92" w:rsidP="1E8FD191">
            <w:pPr>
              <w:rPr>
                <w:rFonts w:asciiTheme="minorHAnsi" w:hAnsiTheme="minorHAnsi" w:cstheme="minorBidi"/>
                <w:sz w:val="22"/>
                <w:szCs w:val="22"/>
              </w:rPr>
            </w:pPr>
          </w:p>
          <w:p w14:paraId="7F496BCA" w14:textId="0BCFE9DC" w:rsidR="00181E92" w:rsidRPr="00931BA4" w:rsidRDefault="00181E92" w:rsidP="1E8FD191">
            <w:pPr>
              <w:pStyle w:val="NoSpacing"/>
              <w:rPr>
                <w:rFonts w:asciiTheme="minorHAnsi" w:eastAsia="PMingLiU" w:hAnsiTheme="minorHAnsi" w:cstheme="minorBidi"/>
              </w:rPr>
            </w:pPr>
          </w:p>
        </w:tc>
        <w:tc>
          <w:tcPr>
            <w:tcW w:w="2055" w:type="dxa"/>
          </w:tcPr>
          <w:p w14:paraId="0BC5906C"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California’s commercial diving standard should be updated to ensure it is ALAE as OSHA’s standard.</w:t>
            </w:r>
          </w:p>
          <w:p w14:paraId="35424957" w14:textId="77777777" w:rsidR="00181E92" w:rsidRPr="00931BA4" w:rsidRDefault="00181E92" w:rsidP="1E8FD191">
            <w:pPr>
              <w:rPr>
                <w:rFonts w:asciiTheme="minorHAnsi" w:hAnsiTheme="minorHAnsi" w:cstheme="minorBidi"/>
                <w:sz w:val="22"/>
                <w:szCs w:val="22"/>
              </w:rPr>
            </w:pPr>
          </w:p>
          <w:p w14:paraId="4B045ABB" w14:textId="77777777" w:rsidR="00181E92" w:rsidRPr="00931BA4" w:rsidRDefault="00181E92" w:rsidP="1E8FD191">
            <w:pPr>
              <w:rPr>
                <w:rFonts w:asciiTheme="minorHAnsi" w:hAnsiTheme="minorHAnsi" w:cstheme="minorBidi"/>
                <w:sz w:val="22"/>
                <w:szCs w:val="22"/>
              </w:rPr>
            </w:pPr>
          </w:p>
          <w:p w14:paraId="0119A6C2" w14:textId="77777777" w:rsidR="00181E92" w:rsidRPr="00931BA4" w:rsidRDefault="00181E92" w:rsidP="1E8FD191">
            <w:pPr>
              <w:rPr>
                <w:rFonts w:asciiTheme="minorHAnsi" w:hAnsiTheme="minorHAnsi" w:cstheme="minorBidi"/>
                <w:sz w:val="22"/>
                <w:szCs w:val="22"/>
              </w:rPr>
            </w:pPr>
          </w:p>
          <w:p w14:paraId="501F0664" w14:textId="77777777" w:rsidR="00181E92" w:rsidRPr="00931BA4" w:rsidRDefault="00181E92" w:rsidP="1E8FD191">
            <w:pPr>
              <w:rPr>
                <w:rFonts w:asciiTheme="minorHAnsi" w:hAnsiTheme="minorHAnsi" w:cstheme="minorBidi"/>
                <w:sz w:val="22"/>
                <w:szCs w:val="22"/>
              </w:rPr>
            </w:pPr>
          </w:p>
          <w:p w14:paraId="514500B9" w14:textId="77777777" w:rsidR="00181E92" w:rsidRPr="00931BA4" w:rsidRDefault="00181E92" w:rsidP="1E8FD191">
            <w:pPr>
              <w:rPr>
                <w:rFonts w:asciiTheme="minorHAnsi" w:hAnsiTheme="minorHAnsi" w:cstheme="minorBidi"/>
                <w:sz w:val="22"/>
                <w:szCs w:val="22"/>
              </w:rPr>
            </w:pPr>
          </w:p>
          <w:p w14:paraId="5F3988B4" w14:textId="77777777" w:rsidR="00181E92" w:rsidRPr="00931BA4" w:rsidRDefault="00181E92" w:rsidP="1E8FD191">
            <w:pPr>
              <w:rPr>
                <w:rFonts w:asciiTheme="minorHAnsi" w:hAnsiTheme="minorHAnsi" w:cstheme="minorBidi"/>
                <w:sz w:val="22"/>
                <w:szCs w:val="22"/>
              </w:rPr>
            </w:pPr>
          </w:p>
          <w:p w14:paraId="3D3E56E1" w14:textId="77777777" w:rsidR="00181E92" w:rsidRPr="00931BA4" w:rsidRDefault="00181E92" w:rsidP="1E8FD191">
            <w:pPr>
              <w:rPr>
                <w:rFonts w:asciiTheme="minorHAnsi" w:hAnsiTheme="minorHAnsi" w:cstheme="minorBidi"/>
                <w:sz w:val="22"/>
                <w:szCs w:val="22"/>
              </w:rPr>
            </w:pPr>
          </w:p>
          <w:p w14:paraId="28EF3EDB" w14:textId="77777777" w:rsidR="00181E92" w:rsidRPr="00931BA4" w:rsidRDefault="00181E92" w:rsidP="1E8FD191">
            <w:pPr>
              <w:rPr>
                <w:rFonts w:asciiTheme="minorHAnsi" w:hAnsiTheme="minorHAnsi" w:cstheme="minorBidi"/>
                <w:sz w:val="22"/>
                <w:szCs w:val="22"/>
              </w:rPr>
            </w:pPr>
          </w:p>
          <w:p w14:paraId="44ADD606" w14:textId="77777777" w:rsidR="00181E92" w:rsidRPr="00931BA4" w:rsidRDefault="00181E92" w:rsidP="1E8FD191">
            <w:pPr>
              <w:rPr>
                <w:rFonts w:asciiTheme="minorHAnsi" w:hAnsiTheme="minorHAnsi" w:cstheme="minorBidi"/>
                <w:sz w:val="22"/>
                <w:szCs w:val="22"/>
              </w:rPr>
            </w:pPr>
          </w:p>
          <w:p w14:paraId="5BF88F1A" w14:textId="77777777" w:rsidR="00181E92" w:rsidRPr="00931BA4" w:rsidRDefault="00181E92" w:rsidP="1E8FD191">
            <w:pPr>
              <w:rPr>
                <w:rFonts w:asciiTheme="minorHAnsi" w:hAnsiTheme="minorHAnsi" w:cstheme="minorBidi"/>
                <w:sz w:val="22"/>
                <w:szCs w:val="22"/>
              </w:rPr>
            </w:pPr>
          </w:p>
          <w:p w14:paraId="3EB924F6" w14:textId="5B8EA336" w:rsidR="00181E92" w:rsidRPr="00931BA4" w:rsidRDefault="00181E92" w:rsidP="1E8FD191">
            <w:pPr>
              <w:pStyle w:val="NoSpacing"/>
              <w:rPr>
                <w:rFonts w:asciiTheme="minorHAnsi" w:eastAsia="PMingLiU" w:hAnsiTheme="minorHAnsi" w:cstheme="minorBidi"/>
              </w:rPr>
            </w:pPr>
          </w:p>
        </w:tc>
        <w:tc>
          <w:tcPr>
            <w:tcW w:w="4440" w:type="dxa"/>
          </w:tcPr>
          <w:p w14:paraId="5FCBBF84" w14:textId="14743820" w:rsidR="00181E92" w:rsidRPr="00931BA4" w:rsidRDefault="68E4BE84" w:rsidP="001177AE">
            <w:pPr>
              <w:rPr>
                <w:rFonts w:asciiTheme="minorHAnsi" w:hAnsiTheme="minorHAnsi" w:cstheme="minorBidi"/>
                <w:sz w:val="22"/>
                <w:szCs w:val="22"/>
              </w:rPr>
            </w:pPr>
            <w:r w:rsidRPr="1E8FD191">
              <w:rPr>
                <w:rFonts w:asciiTheme="minorHAnsi" w:hAnsiTheme="minorHAnsi" w:cstheme="minorBidi"/>
                <w:sz w:val="22"/>
                <w:szCs w:val="22"/>
              </w:rPr>
              <w:t>OSHSB staff worked with OSHA to finalize proposed language (draft regulatory proposal). OSHSB staff has been preparing the Stage I documents and finalizing the economic impact costs estimated for this proposal, prior to submitting it for initial approval by the Labor and Workforce Development Agency no later than December 2024.</w:t>
            </w:r>
            <w:r w:rsidR="001177AE">
              <w:rPr>
                <w:rFonts w:asciiTheme="minorHAnsi" w:hAnsiTheme="minorHAnsi" w:cstheme="minorBidi"/>
                <w:sz w:val="22"/>
                <w:szCs w:val="22"/>
              </w:rPr>
              <w:t xml:space="preserve"> </w:t>
            </w:r>
            <w:r w:rsidRPr="1E8FD191">
              <w:rPr>
                <w:rFonts w:asciiTheme="minorHAnsi" w:hAnsiTheme="minorHAnsi" w:cstheme="minorBidi"/>
                <w:sz w:val="22"/>
                <w:szCs w:val="22"/>
              </w:rPr>
              <w:t>It is anticipated that the regulatory package will be finalized by December 2024. Once initial approval is granted, OAL will publish the notice of proposed rulemaking in the California Regulatory Notice Register and it will proceed to OSHSB for public hearing, Board consideration and adoption. OAL approval would then be in December 2025 with a requested effective date in April 2026.</w:t>
            </w:r>
          </w:p>
        </w:tc>
        <w:tc>
          <w:tcPr>
            <w:tcW w:w="1650" w:type="dxa"/>
          </w:tcPr>
          <w:p w14:paraId="44E0FF4A"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Not Completed</w:t>
            </w:r>
          </w:p>
          <w:p w14:paraId="06AE856A" w14:textId="77777777" w:rsidR="00181E92" w:rsidRPr="00931BA4" w:rsidRDefault="00181E92" w:rsidP="1E8FD191">
            <w:pPr>
              <w:rPr>
                <w:rFonts w:asciiTheme="minorHAnsi" w:hAnsiTheme="minorHAnsi" w:cstheme="minorBidi"/>
                <w:sz w:val="22"/>
                <w:szCs w:val="22"/>
              </w:rPr>
            </w:pPr>
          </w:p>
          <w:p w14:paraId="7040EA94" w14:textId="77777777" w:rsidR="00181E92" w:rsidRPr="00931BA4" w:rsidRDefault="00181E92" w:rsidP="1E8FD191">
            <w:pPr>
              <w:rPr>
                <w:rFonts w:asciiTheme="minorHAnsi" w:hAnsiTheme="minorHAnsi" w:cstheme="minorBidi"/>
                <w:sz w:val="22"/>
                <w:szCs w:val="22"/>
              </w:rPr>
            </w:pPr>
          </w:p>
          <w:p w14:paraId="05741D04" w14:textId="77777777" w:rsidR="00181E92" w:rsidRPr="00931BA4" w:rsidRDefault="00181E92" w:rsidP="1E8FD191">
            <w:pPr>
              <w:rPr>
                <w:rFonts w:asciiTheme="minorHAnsi" w:hAnsiTheme="minorHAnsi" w:cstheme="minorBidi"/>
                <w:sz w:val="22"/>
                <w:szCs w:val="22"/>
              </w:rPr>
            </w:pPr>
          </w:p>
          <w:p w14:paraId="5289CFA2" w14:textId="77777777" w:rsidR="00181E92" w:rsidRPr="00931BA4" w:rsidRDefault="00181E92" w:rsidP="1E8FD191">
            <w:pPr>
              <w:rPr>
                <w:rFonts w:asciiTheme="minorHAnsi" w:hAnsiTheme="minorHAnsi" w:cstheme="minorBidi"/>
                <w:sz w:val="22"/>
                <w:szCs w:val="22"/>
              </w:rPr>
            </w:pPr>
          </w:p>
          <w:p w14:paraId="0BEF6800" w14:textId="77777777" w:rsidR="00181E92" w:rsidRPr="00931BA4" w:rsidRDefault="00181E92" w:rsidP="1E8FD191">
            <w:pPr>
              <w:rPr>
                <w:rFonts w:asciiTheme="minorHAnsi" w:hAnsiTheme="minorHAnsi" w:cstheme="minorBidi"/>
                <w:sz w:val="22"/>
                <w:szCs w:val="22"/>
              </w:rPr>
            </w:pPr>
          </w:p>
          <w:p w14:paraId="7A757BEC" w14:textId="77777777" w:rsidR="00181E92" w:rsidRPr="00931BA4" w:rsidRDefault="00181E92" w:rsidP="1E8FD191">
            <w:pPr>
              <w:rPr>
                <w:rFonts w:asciiTheme="minorHAnsi" w:hAnsiTheme="minorHAnsi" w:cstheme="minorBidi"/>
                <w:sz w:val="22"/>
                <w:szCs w:val="22"/>
              </w:rPr>
            </w:pPr>
          </w:p>
          <w:p w14:paraId="08200838" w14:textId="77777777" w:rsidR="00181E92" w:rsidRPr="00931BA4" w:rsidRDefault="00181E92" w:rsidP="1E8FD191">
            <w:pPr>
              <w:rPr>
                <w:rFonts w:asciiTheme="minorHAnsi" w:hAnsiTheme="minorHAnsi" w:cstheme="minorBidi"/>
                <w:sz w:val="22"/>
                <w:szCs w:val="22"/>
              </w:rPr>
            </w:pPr>
          </w:p>
          <w:p w14:paraId="4FE80D02" w14:textId="77777777" w:rsidR="00181E92" w:rsidRPr="00931BA4" w:rsidRDefault="00181E92" w:rsidP="1E8FD191">
            <w:pPr>
              <w:rPr>
                <w:rFonts w:asciiTheme="minorHAnsi" w:hAnsiTheme="minorHAnsi" w:cstheme="minorBidi"/>
                <w:sz w:val="22"/>
                <w:szCs w:val="22"/>
              </w:rPr>
            </w:pPr>
          </w:p>
          <w:p w14:paraId="1447D634" w14:textId="77777777" w:rsidR="00181E92" w:rsidRPr="00931BA4" w:rsidRDefault="00181E92" w:rsidP="1E8FD191">
            <w:pPr>
              <w:rPr>
                <w:rFonts w:asciiTheme="minorHAnsi" w:hAnsiTheme="minorHAnsi" w:cstheme="minorBidi"/>
                <w:sz w:val="22"/>
                <w:szCs w:val="22"/>
              </w:rPr>
            </w:pPr>
          </w:p>
          <w:p w14:paraId="22F13F84" w14:textId="77777777" w:rsidR="00181E92" w:rsidRPr="00931BA4" w:rsidRDefault="00181E92" w:rsidP="1E8FD191">
            <w:pPr>
              <w:rPr>
                <w:rFonts w:asciiTheme="minorHAnsi" w:hAnsiTheme="minorHAnsi" w:cstheme="minorBidi"/>
                <w:sz w:val="22"/>
                <w:szCs w:val="22"/>
              </w:rPr>
            </w:pPr>
          </w:p>
          <w:p w14:paraId="567DB816" w14:textId="77777777" w:rsidR="00181E92" w:rsidRPr="00931BA4" w:rsidRDefault="00181E92" w:rsidP="1E8FD191">
            <w:pPr>
              <w:rPr>
                <w:rFonts w:asciiTheme="minorHAnsi" w:hAnsiTheme="minorHAnsi" w:cstheme="minorBidi"/>
                <w:sz w:val="22"/>
                <w:szCs w:val="22"/>
              </w:rPr>
            </w:pPr>
          </w:p>
          <w:p w14:paraId="300C01F4" w14:textId="77777777" w:rsidR="00181E92" w:rsidRPr="00931BA4" w:rsidRDefault="00181E92" w:rsidP="1E8FD191">
            <w:pPr>
              <w:rPr>
                <w:rFonts w:asciiTheme="minorHAnsi" w:hAnsiTheme="minorHAnsi" w:cstheme="minorBidi"/>
                <w:sz w:val="22"/>
                <w:szCs w:val="22"/>
              </w:rPr>
            </w:pPr>
          </w:p>
          <w:p w14:paraId="57B3BEF0" w14:textId="77777777" w:rsidR="00181E92" w:rsidRPr="00931BA4" w:rsidRDefault="00181E92" w:rsidP="1E8FD191">
            <w:pPr>
              <w:rPr>
                <w:rFonts w:asciiTheme="minorHAnsi" w:hAnsiTheme="minorHAnsi" w:cstheme="minorBidi"/>
                <w:sz w:val="22"/>
                <w:szCs w:val="22"/>
              </w:rPr>
            </w:pPr>
          </w:p>
          <w:p w14:paraId="25B0DA1A" w14:textId="77777777" w:rsidR="00181E92" w:rsidRPr="00931BA4" w:rsidRDefault="00181E92" w:rsidP="1E8FD191">
            <w:pPr>
              <w:rPr>
                <w:rFonts w:asciiTheme="minorHAnsi" w:hAnsiTheme="minorHAnsi" w:cstheme="minorBidi"/>
                <w:sz w:val="22"/>
                <w:szCs w:val="22"/>
              </w:rPr>
            </w:pPr>
          </w:p>
          <w:p w14:paraId="0CABD3EA" w14:textId="77777777" w:rsidR="00181E92" w:rsidRPr="00931BA4" w:rsidRDefault="00181E92" w:rsidP="1E8FD191">
            <w:pPr>
              <w:rPr>
                <w:rFonts w:asciiTheme="minorHAnsi" w:hAnsiTheme="minorHAnsi" w:cstheme="minorBidi"/>
                <w:sz w:val="22"/>
                <w:szCs w:val="22"/>
              </w:rPr>
            </w:pPr>
          </w:p>
          <w:p w14:paraId="267F161A" w14:textId="0079860F" w:rsidR="00181E92" w:rsidRPr="00931BA4" w:rsidRDefault="00181E92" w:rsidP="1E8FD191">
            <w:pPr>
              <w:pStyle w:val="NoSpacing"/>
              <w:rPr>
                <w:rFonts w:asciiTheme="minorHAnsi" w:eastAsia="PMingLiU" w:hAnsiTheme="minorHAnsi" w:cstheme="minorBidi"/>
              </w:rPr>
            </w:pPr>
          </w:p>
        </w:tc>
        <w:tc>
          <w:tcPr>
            <w:tcW w:w="1367" w:type="dxa"/>
          </w:tcPr>
          <w:p w14:paraId="1652D2A0" w14:textId="22DFF277" w:rsidR="004F6516" w:rsidRPr="00931BA4" w:rsidRDefault="00BD3325" w:rsidP="004F6516">
            <w:pPr>
              <w:rPr>
                <w:rFonts w:asciiTheme="minorHAnsi" w:hAnsiTheme="minorHAnsi" w:cstheme="minorBidi"/>
                <w:sz w:val="22"/>
                <w:szCs w:val="22"/>
              </w:rPr>
            </w:pPr>
            <w:r>
              <w:rPr>
                <w:rFonts w:asciiTheme="minorHAnsi" w:hAnsiTheme="minorHAnsi" w:cstheme="minorBidi"/>
                <w:sz w:val="22"/>
                <w:szCs w:val="22"/>
              </w:rPr>
              <w:t>Open</w:t>
            </w:r>
          </w:p>
          <w:p w14:paraId="30E9425F" w14:textId="0267029F" w:rsidR="00181E92" w:rsidRPr="00931BA4" w:rsidRDefault="004F6516" w:rsidP="004F6516">
            <w:pPr>
              <w:rPr>
                <w:rFonts w:asciiTheme="minorHAnsi" w:hAnsiTheme="minorHAnsi" w:cstheme="minorBidi"/>
                <w:sz w:val="22"/>
                <w:szCs w:val="22"/>
              </w:rPr>
            </w:pPr>
            <w:r w:rsidRPr="00933F86">
              <w:rPr>
                <w:rFonts w:asciiTheme="minorHAnsi" w:hAnsiTheme="minorHAnsi" w:cstheme="minorBidi"/>
                <w:sz w:val="22"/>
                <w:szCs w:val="22"/>
              </w:rPr>
              <w:t>03/06/2025</w:t>
            </w:r>
          </w:p>
          <w:p w14:paraId="7FA40987" w14:textId="77777777" w:rsidR="00181E92" w:rsidRPr="00931BA4" w:rsidRDefault="00181E92" w:rsidP="1E8FD191">
            <w:pPr>
              <w:rPr>
                <w:rFonts w:asciiTheme="minorHAnsi" w:hAnsiTheme="minorHAnsi" w:cstheme="minorBidi"/>
                <w:sz w:val="22"/>
                <w:szCs w:val="22"/>
              </w:rPr>
            </w:pPr>
          </w:p>
          <w:p w14:paraId="530E8A23" w14:textId="77777777" w:rsidR="00181E92" w:rsidRPr="00931BA4" w:rsidRDefault="00181E92" w:rsidP="1E8FD191">
            <w:pPr>
              <w:rPr>
                <w:rFonts w:asciiTheme="minorHAnsi" w:hAnsiTheme="minorHAnsi" w:cstheme="minorBidi"/>
                <w:sz w:val="22"/>
                <w:szCs w:val="22"/>
              </w:rPr>
            </w:pPr>
          </w:p>
          <w:p w14:paraId="6FD6318F" w14:textId="77777777" w:rsidR="00181E92" w:rsidRPr="00931BA4" w:rsidRDefault="00181E92" w:rsidP="1E8FD191">
            <w:pPr>
              <w:rPr>
                <w:rFonts w:asciiTheme="minorHAnsi" w:hAnsiTheme="minorHAnsi" w:cstheme="minorBidi"/>
                <w:sz w:val="22"/>
                <w:szCs w:val="22"/>
              </w:rPr>
            </w:pPr>
          </w:p>
          <w:p w14:paraId="07383AC8" w14:textId="77777777" w:rsidR="00181E92" w:rsidRPr="00931BA4" w:rsidRDefault="00181E92" w:rsidP="1E8FD191">
            <w:pPr>
              <w:rPr>
                <w:rFonts w:asciiTheme="minorHAnsi" w:hAnsiTheme="minorHAnsi" w:cstheme="minorBidi"/>
                <w:sz w:val="22"/>
                <w:szCs w:val="22"/>
              </w:rPr>
            </w:pPr>
          </w:p>
          <w:p w14:paraId="1333B9A4" w14:textId="77777777" w:rsidR="00181E92" w:rsidRPr="00931BA4" w:rsidRDefault="00181E92" w:rsidP="1E8FD191">
            <w:pPr>
              <w:rPr>
                <w:rFonts w:asciiTheme="minorHAnsi" w:hAnsiTheme="minorHAnsi" w:cstheme="minorBidi"/>
                <w:sz w:val="22"/>
                <w:szCs w:val="22"/>
              </w:rPr>
            </w:pPr>
          </w:p>
          <w:p w14:paraId="426577C8" w14:textId="77777777" w:rsidR="00181E92" w:rsidRPr="00931BA4" w:rsidRDefault="00181E92" w:rsidP="1E8FD191">
            <w:pPr>
              <w:rPr>
                <w:rFonts w:asciiTheme="minorHAnsi" w:hAnsiTheme="minorHAnsi" w:cstheme="minorBidi"/>
                <w:sz w:val="22"/>
                <w:szCs w:val="22"/>
              </w:rPr>
            </w:pPr>
          </w:p>
          <w:p w14:paraId="49B11E21" w14:textId="77777777" w:rsidR="00181E92" w:rsidRPr="00931BA4" w:rsidRDefault="00181E92" w:rsidP="1E8FD191">
            <w:pPr>
              <w:rPr>
                <w:rFonts w:asciiTheme="minorHAnsi" w:hAnsiTheme="minorHAnsi" w:cstheme="minorBidi"/>
                <w:sz w:val="22"/>
                <w:szCs w:val="22"/>
              </w:rPr>
            </w:pPr>
          </w:p>
          <w:p w14:paraId="2ADDB61A" w14:textId="77777777" w:rsidR="00181E92" w:rsidRPr="00931BA4" w:rsidRDefault="00181E92" w:rsidP="1E8FD191">
            <w:pPr>
              <w:rPr>
                <w:rFonts w:asciiTheme="minorHAnsi" w:hAnsiTheme="minorHAnsi" w:cstheme="minorBidi"/>
                <w:sz w:val="22"/>
                <w:szCs w:val="22"/>
              </w:rPr>
            </w:pPr>
          </w:p>
          <w:p w14:paraId="169FBC52" w14:textId="77777777" w:rsidR="00181E92" w:rsidRPr="00931BA4" w:rsidRDefault="00181E92" w:rsidP="1E8FD191">
            <w:pPr>
              <w:rPr>
                <w:rFonts w:asciiTheme="minorHAnsi" w:hAnsiTheme="minorHAnsi" w:cstheme="minorBidi"/>
                <w:sz w:val="22"/>
                <w:szCs w:val="22"/>
              </w:rPr>
            </w:pPr>
          </w:p>
          <w:p w14:paraId="1D29304D" w14:textId="77777777" w:rsidR="00181E92" w:rsidRPr="00931BA4" w:rsidRDefault="00181E92" w:rsidP="1E8FD191">
            <w:pPr>
              <w:rPr>
                <w:rFonts w:asciiTheme="minorHAnsi" w:hAnsiTheme="minorHAnsi" w:cstheme="minorBidi"/>
                <w:sz w:val="22"/>
                <w:szCs w:val="22"/>
              </w:rPr>
            </w:pPr>
          </w:p>
          <w:p w14:paraId="502EBCCF" w14:textId="77777777" w:rsidR="00181E92" w:rsidRPr="00931BA4" w:rsidRDefault="00181E92" w:rsidP="1E8FD191">
            <w:pPr>
              <w:rPr>
                <w:rFonts w:asciiTheme="minorHAnsi" w:hAnsiTheme="minorHAnsi" w:cstheme="minorBidi"/>
                <w:sz w:val="22"/>
                <w:szCs w:val="22"/>
              </w:rPr>
            </w:pPr>
          </w:p>
          <w:p w14:paraId="2C0E2BF0" w14:textId="77777777" w:rsidR="00181E92" w:rsidRPr="00931BA4" w:rsidRDefault="00181E92" w:rsidP="1E8FD191">
            <w:pPr>
              <w:rPr>
                <w:rFonts w:asciiTheme="minorHAnsi" w:hAnsiTheme="minorHAnsi" w:cstheme="minorBidi"/>
                <w:sz w:val="22"/>
                <w:szCs w:val="22"/>
              </w:rPr>
            </w:pPr>
          </w:p>
          <w:p w14:paraId="36B86EC1" w14:textId="77777777" w:rsidR="00181E92" w:rsidRPr="00931BA4" w:rsidRDefault="00181E92" w:rsidP="1E8FD191">
            <w:pPr>
              <w:rPr>
                <w:rFonts w:asciiTheme="minorHAnsi" w:hAnsiTheme="minorHAnsi" w:cstheme="minorBidi"/>
                <w:sz w:val="22"/>
                <w:szCs w:val="22"/>
              </w:rPr>
            </w:pPr>
          </w:p>
          <w:p w14:paraId="747FB38A" w14:textId="593D5BE6" w:rsidR="00181E92" w:rsidRPr="00931BA4" w:rsidRDefault="00181E92" w:rsidP="1E8FD191">
            <w:pPr>
              <w:pStyle w:val="NoSpacing"/>
              <w:rPr>
                <w:rFonts w:asciiTheme="minorHAnsi" w:eastAsia="PMingLiU" w:hAnsiTheme="minorHAnsi" w:cstheme="minorBidi"/>
              </w:rPr>
            </w:pPr>
          </w:p>
        </w:tc>
      </w:tr>
      <w:tr w:rsidR="00181E92" w:rsidRPr="00181E92" w14:paraId="59DB5455" w14:textId="77777777" w:rsidTr="1E8FD191">
        <w:trPr>
          <w:trHeight w:val="385"/>
        </w:trPr>
        <w:tc>
          <w:tcPr>
            <w:tcW w:w="1275" w:type="dxa"/>
          </w:tcPr>
          <w:p w14:paraId="5CE5A53A"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2023-06</w:t>
            </w:r>
          </w:p>
          <w:p w14:paraId="7100904A" w14:textId="77777777" w:rsidR="00181E92" w:rsidRPr="00931BA4" w:rsidRDefault="00181E92" w:rsidP="1E8FD191">
            <w:pPr>
              <w:rPr>
                <w:rFonts w:asciiTheme="minorHAnsi" w:hAnsiTheme="minorHAnsi" w:cstheme="minorBidi"/>
                <w:sz w:val="22"/>
                <w:szCs w:val="22"/>
              </w:rPr>
            </w:pPr>
          </w:p>
          <w:p w14:paraId="3DAC4824" w14:textId="77777777" w:rsidR="00181E92" w:rsidRPr="00931BA4" w:rsidRDefault="00181E92" w:rsidP="1E8FD191">
            <w:pPr>
              <w:rPr>
                <w:rFonts w:asciiTheme="minorHAnsi" w:hAnsiTheme="minorHAnsi" w:cstheme="minorBidi"/>
                <w:sz w:val="22"/>
                <w:szCs w:val="22"/>
              </w:rPr>
            </w:pPr>
          </w:p>
          <w:p w14:paraId="15585E3A" w14:textId="77777777" w:rsidR="00181E92" w:rsidRPr="00931BA4" w:rsidRDefault="00181E92" w:rsidP="1E8FD191">
            <w:pPr>
              <w:rPr>
                <w:rFonts w:asciiTheme="minorHAnsi" w:hAnsiTheme="minorHAnsi" w:cstheme="minorBidi"/>
                <w:sz w:val="22"/>
                <w:szCs w:val="22"/>
              </w:rPr>
            </w:pPr>
          </w:p>
          <w:p w14:paraId="7A23A60B" w14:textId="77777777" w:rsidR="00181E92" w:rsidRPr="00931BA4" w:rsidRDefault="00181E92" w:rsidP="1E8FD191">
            <w:pPr>
              <w:rPr>
                <w:rFonts w:asciiTheme="minorHAnsi" w:hAnsiTheme="minorHAnsi" w:cstheme="minorBidi"/>
                <w:sz w:val="22"/>
                <w:szCs w:val="22"/>
              </w:rPr>
            </w:pPr>
          </w:p>
          <w:p w14:paraId="44A5DF12" w14:textId="77777777" w:rsidR="00181E92" w:rsidRPr="00931BA4" w:rsidRDefault="00181E92" w:rsidP="1E8FD191">
            <w:pPr>
              <w:rPr>
                <w:rFonts w:asciiTheme="minorHAnsi" w:hAnsiTheme="minorHAnsi" w:cstheme="minorBidi"/>
                <w:sz w:val="22"/>
                <w:szCs w:val="22"/>
              </w:rPr>
            </w:pPr>
          </w:p>
          <w:p w14:paraId="5CA7C211" w14:textId="5B857AA1" w:rsidR="00181E92" w:rsidRPr="00931BA4" w:rsidRDefault="00181E92" w:rsidP="1E8FD191">
            <w:pPr>
              <w:pStyle w:val="NoSpacing"/>
              <w:rPr>
                <w:rFonts w:asciiTheme="minorHAnsi" w:eastAsia="PMingLiU" w:hAnsiTheme="minorHAnsi" w:cstheme="minorBidi"/>
              </w:rPr>
            </w:pPr>
          </w:p>
        </w:tc>
        <w:tc>
          <w:tcPr>
            <w:tcW w:w="2258" w:type="dxa"/>
          </w:tcPr>
          <w:p w14:paraId="4A71E94E"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The State Plan program has not adopted changes at least as effective as the Federal Walking-Working Surfaces standards which became effective January 17, 2017.</w:t>
            </w:r>
          </w:p>
          <w:p w14:paraId="0F10438F" w14:textId="77777777" w:rsidR="00181E92" w:rsidRPr="00931BA4" w:rsidRDefault="00181E92" w:rsidP="1E8FD191">
            <w:pPr>
              <w:rPr>
                <w:rFonts w:asciiTheme="minorHAnsi" w:hAnsiTheme="minorHAnsi" w:cstheme="minorBidi"/>
                <w:sz w:val="22"/>
                <w:szCs w:val="22"/>
              </w:rPr>
            </w:pPr>
          </w:p>
          <w:p w14:paraId="2ACCE051" w14:textId="41B259B2" w:rsidR="00181E92" w:rsidRPr="00931BA4" w:rsidRDefault="00181E92" w:rsidP="1E8FD191">
            <w:pPr>
              <w:pStyle w:val="NoSpacing"/>
              <w:rPr>
                <w:rFonts w:asciiTheme="minorHAnsi" w:eastAsia="PMingLiU" w:hAnsiTheme="minorHAnsi" w:cstheme="minorBidi"/>
              </w:rPr>
            </w:pPr>
          </w:p>
        </w:tc>
        <w:tc>
          <w:tcPr>
            <w:tcW w:w="2055" w:type="dxa"/>
          </w:tcPr>
          <w:p w14:paraId="2E8DA1AD"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OSHSB should ensure their standards on walking-working surfaces are at least as effective as the Federal requirements.</w:t>
            </w:r>
          </w:p>
          <w:p w14:paraId="10C64A9C" w14:textId="521A6AC3" w:rsidR="00181E92" w:rsidRPr="00931BA4" w:rsidRDefault="00181E92" w:rsidP="1E8FD191">
            <w:pPr>
              <w:pStyle w:val="NoSpacing"/>
              <w:rPr>
                <w:rFonts w:asciiTheme="minorHAnsi" w:eastAsia="PMingLiU" w:hAnsiTheme="minorHAnsi" w:cstheme="minorBidi"/>
              </w:rPr>
            </w:pPr>
          </w:p>
        </w:tc>
        <w:tc>
          <w:tcPr>
            <w:tcW w:w="4440" w:type="dxa"/>
          </w:tcPr>
          <w:p w14:paraId="64681B57" w14:textId="62C32D89" w:rsidR="008E1E59" w:rsidRDefault="68E4BE84" w:rsidP="1E8FD191">
            <w:pPr>
              <w:rPr>
                <w:rFonts w:asciiTheme="minorHAnsi" w:hAnsiTheme="minorHAnsi" w:cstheme="minorBidi"/>
                <w:sz w:val="22"/>
                <w:szCs w:val="22"/>
              </w:rPr>
            </w:pPr>
            <w:r w:rsidRPr="1E8FD191">
              <w:rPr>
                <w:rFonts w:asciiTheme="minorHAnsi" w:hAnsiTheme="minorHAnsi" w:cstheme="minorBidi"/>
                <w:sz w:val="22"/>
                <w:szCs w:val="22"/>
              </w:rPr>
              <w:t>On May 4, 2018, OSHSB staff published a Notice proposing to adopt in segments the Federal walking-working surfaces regulation/incorporate them into California regulations via a Horcher. However, based on comments received this proposal was withdrawn on February 17, 2019. As a result, OSHSB staff has held multiple advisory committee meetings to ensure impacted industry stakeholders provide input and share with our agency possible impact costs. To date, five separate Advisory Committee Meetings have been held (Feb 2020, October 2022, Feb 2023, Oct 2023 and March 2024).  Once the AC process is complete, the formal rulemaking documents will be developed. Due to the size of the Federal walking-working surfaces regulation, OSHSB staff anticipates that additional Advisory Committees (AC) meetings will be held. The next AC meeting will be held in October 2024. Formal rulemaking documents will be developed when the AC process concludes. The notice is anticipated to be posted January 2027 with an effective date of April 2018.</w:t>
            </w:r>
          </w:p>
          <w:p w14:paraId="22290B94" w14:textId="6A53384E" w:rsidR="008E1E59" w:rsidRPr="00931BA4" w:rsidRDefault="008E1E59" w:rsidP="1E8FD191">
            <w:pPr>
              <w:rPr>
                <w:rFonts w:asciiTheme="minorHAnsi" w:hAnsiTheme="minorHAnsi" w:cstheme="minorBidi"/>
                <w:sz w:val="22"/>
                <w:szCs w:val="22"/>
              </w:rPr>
            </w:pPr>
          </w:p>
        </w:tc>
        <w:tc>
          <w:tcPr>
            <w:tcW w:w="1650" w:type="dxa"/>
          </w:tcPr>
          <w:p w14:paraId="79EB52FB"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Not Completed</w:t>
            </w:r>
          </w:p>
          <w:p w14:paraId="53DB6CA1" w14:textId="77777777" w:rsidR="00181E92" w:rsidRPr="00931BA4" w:rsidRDefault="00181E92" w:rsidP="1E8FD191">
            <w:pPr>
              <w:rPr>
                <w:rFonts w:asciiTheme="minorHAnsi" w:hAnsiTheme="minorHAnsi" w:cstheme="minorBidi"/>
                <w:sz w:val="22"/>
                <w:szCs w:val="22"/>
              </w:rPr>
            </w:pPr>
          </w:p>
          <w:p w14:paraId="23E349A9" w14:textId="77777777" w:rsidR="00181E92" w:rsidRPr="00931BA4" w:rsidRDefault="00181E92" w:rsidP="1E8FD191">
            <w:pPr>
              <w:rPr>
                <w:rFonts w:asciiTheme="minorHAnsi" w:hAnsiTheme="minorHAnsi" w:cstheme="minorBidi"/>
                <w:sz w:val="22"/>
                <w:szCs w:val="22"/>
              </w:rPr>
            </w:pPr>
          </w:p>
          <w:p w14:paraId="618DA4D2" w14:textId="77777777" w:rsidR="00181E92" w:rsidRPr="00931BA4" w:rsidRDefault="00181E92" w:rsidP="1E8FD191">
            <w:pPr>
              <w:rPr>
                <w:rFonts w:asciiTheme="minorHAnsi" w:hAnsiTheme="minorHAnsi" w:cstheme="minorBidi"/>
                <w:sz w:val="22"/>
                <w:szCs w:val="22"/>
              </w:rPr>
            </w:pPr>
          </w:p>
          <w:p w14:paraId="11F8F09F" w14:textId="77777777" w:rsidR="00181E92" w:rsidRPr="00931BA4" w:rsidRDefault="00181E92" w:rsidP="1E8FD191">
            <w:pPr>
              <w:rPr>
                <w:rFonts w:asciiTheme="minorHAnsi" w:hAnsiTheme="minorHAnsi" w:cstheme="minorBidi"/>
                <w:sz w:val="22"/>
                <w:szCs w:val="22"/>
              </w:rPr>
            </w:pPr>
          </w:p>
          <w:p w14:paraId="1BADFC7E" w14:textId="0334C249" w:rsidR="00181E92" w:rsidRPr="00931BA4" w:rsidRDefault="00181E92" w:rsidP="1E8FD191">
            <w:pPr>
              <w:pStyle w:val="NoSpacing"/>
              <w:rPr>
                <w:rFonts w:asciiTheme="minorHAnsi" w:eastAsia="PMingLiU" w:hAnsiTheme="minorHAnsi" w:cstheme="minorBidi"/>
              </w:rPr>
            </w:pPr>
          </w:p>
        </w:tc>
        <w:tc>
          <w:tcPr>
            <w:tcW w:w="1367" w:type="dxa"/>
          </w:tcPr>
          <w:p w14:paraId="56AD9504" w14:textId="1E5EDB55" w:rsidR="004F6516" w:rsidRPr="00931BA4" w:rsidRDefault="00BD3325" w:rsidP="004F6516">
            <w:pPr>
              <w:rPr>
                <w:rFonts w:asciiTheme="minorHAnsi" w:hAnsiTheme="minorHAnsi" w:cstheme="minorBidi"/>
                <w:sz w:val="22"/>
                <w:szCs w:val="22"/>
              </w:rPr>
            </w:pPr>
            <w:r>
              <w:rPr>
                <w:rFonts w:asciiTheme="minorHAnsi" w:hAnsiTheme="minorHAnsi" w:cstheme="minorBidi"/>
                <w:sz w:val="22"/>
                <w:szCs w:val="22"/>
              </w:rPr>
              <w:t>Open</w:t>
            </w:r>
          </w:p>
          <w:p w14:paraId="0610775B" w14:textId="5C3A9CD5" w:rsidR="00181E92" w:rsidRPr="00931BA4" w:rsidRDefault="004F6516" w:rsidP="004F6516">
            <w:pPr>
              <w:rPr>
                <w:rFonts w:asciiTheme="minorHAnsi" w:hAnsiTheme="minorHAnsi" w:cstheme="minorBidi"/>
                <w:sz w:val="22"/>
                <w:szCs w:val="22"/>
              </w:rPr>
            </w:pPr>
            <w:r w:rsidRPr="00933F86">
              <w:rPr>
                <w:rFonts w:asciiTheme="minorHAnsi" w:hAnsiTheme="minorHAnsi" w:cstheme="minorBidi"/>
                <w:sz w:val="22"/>
                <w:szCs w:val="22"/>
              </w:rPr>
              <w:t>03/06/2025</w:t>
            </w:r>
          </w:p>
          <w:p w14:paraId="40BF88B1" w14:textId="77777777" w:rsidR="00181E92" w:rsidRPr="00931BA4" w:rsidRDefault="00181E92" w:rsidP="1E8FD191">
            <w:pPr>
              <w:rPr>
                <w:rFonts w:asciiTheme="minorHAnsi" w:hAnsiTheme="minorHAnsi" w:cstheme="minorBidi"/>
                <w:sz w:val="22"/>
                <w:szCs w:val="22"/>
              </w:rPr>
            </w:pPr>
          </w:p>
          <w:p w14:paraId="0EEBD5B5" w14:textId="77777777" w:rsidR="00181E92" w:rsidRPr="00931BA4" w:rsidRDefault="00181E92" w:rsidP="1E8FD191">
            <w:pPr>
              <w:rPr>
                <w:rFonts w:asciiTheme="minorHAnsi" w:hAnsiTheme="minorHAnsi" w:cstheme="minorBidi"/>
                <w:sz w:val="22"/>
                <w:szCs w:val="22"/>
              </w:rPr>
            </w:pPr>
          </w:p>
          <w:p w14:paraId="7CBC2B70" w14:textId="0D955D3A" w:rsidR="00181E92" w:rsidRPr="00931BA4" w:rsidRDefault="00181E92" w:rsidP="1E8FD191">
            <w:pPr>
              <w:pStyle w:val="NoSpacing"/>
              <w:rPr>
                <w:rFonts w:asciiTheme="minorHAnsi" w:eastAsia="PMingLiU" w:hAnsiTheme="minorHAnsi" w:cstheme="minorBidi"/>
              </w:rPr>
            </w:pPr>
          </w:p>
        </w:tc>
      </w:tr>
      <w:tr w:rsidR="00181E92" w:rsidRPr="00181E92" w14:paraId="5E1BD437" w14:textId="77777777" w:rsidTr="1E8FD191">
        <w:trPr>
          <w:trHeight w:val="385"/>
        </w:trPr>
        <w:tc>
          <w:tcPr>
            <w:tcW w:w="1275" w:type="dxa"/>
          </w:tcPr>
          <w:p w14:paraId="1E5C235A"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FY 2023-07</w:t>
            </w:r>
          </w:p>
          <w:p w14:paraId="4FC4F901" w14:textId="77777777" w:rsidR="00181E92" w:rsidRPr="00931BA4" w:rsidRDefault="00181E92" w:rsidP="1E8FD191">
            <w:pPr>
              <w:rPr>
                <w:rFonts w:asciiTheme="minorHAnsi" w:hAnsiTheme="minorHAnsi" w:cstheme="minorBidi"/>
                <w:sz w:val="22"/>
                <w:szCs w:val="22"/>
              </w:rPr>
            </w:pPr>
          </w:p>
          <w:p w14:paraId="529175E0" w14:textId="77777777" w:rsidR="00181E92" w:rsidRPr="00931BA4" w:rsidRDefault="00181E92" w:rsidP="1E8FD191">
            <w:pPr>
              <w:rPr>
                <w:rFonts w:asciiTheme="minorHAnsi" w:hAnsiTheme="minorHAnsi" w:cstheme="minorBidi"/>
                <w:sz w:val="22"/>
                <w:szCs w:val="22"/>
              </w:rPr>
            </w:pPr>
          </w:p>
          <w:p w14:paraId="3163FC66" w14:textId="77777777" w:rsidR="00181E92" w:rsidRPr="00931BA4" w:rsidRDefault="00181E92" w:rsidP="1E8FD191">
            <w:pPr>
              <w:rPr>
                <w:rFonts w:asciiTheme="minorHAnsi" w:hAnsiTheme="minorHAnsi" w:cstheme="minorBidi"/>
                <w:sz w:val="22"/>
                <w:szCs w:val="22"/>
              </w:rPr>
            </w:pPr>
          </w:p>
          <w:p w14:paraId="63D6AFB7" w14:textId="77777777" w:rsidR="00181E92" w:rsidRPr="00931BA4" w:rsidRDefault="00181E92" w:rsidP="1E8FD191">
            <w:pPr>
              <w:rPr>
                <w:rFonts w:asciiTheme="minorHAnsi" w:hAnsiTheme="minorHAnsi" w:cstheme="minorBidi"/>
                <w:sz w:val="22"/>
                <w:szCs w:val="22"/>
              </w:rPr>
            </w:pPr>
          </w:p>
          <w:p w14:paraId="4D6F9F00" w14:textId="5521E031" w:rsidR="00181E92" w:rsidRPr="00931BA4" w:rsidRDefault="00181E92" w:rsidP="1E8FD191">
            <w:pPr>
              <w:pStyle w:val="NoSpacing"/>
              <w:rPr>
                <w:rFonts w:asciiTheme="minorHAnsi" w:eastAsia="PMingLiU" w:hAnsiTheme="minorHAnsi" w:cstheme="minorBidi"/>
              </w:rPr>
            </w:pPr>
          </w:p>
        </w:tc>
        <w:tc>
          <w:tcPr>
            <w:tcW w:w="2258" w:type="dxa"/>
          </w:tcPr>
          <w:p w14:paraId="4E33B0D8" w14:textId="0072DA6F"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Cal/OSHA has not adopted measures at least as effective as CPL 03-00-008, the Revised Combustible Dust National Emphasis Program.</w:t>
            </w:r>
          </w:p>
        </w:tc>
        <w:tc>
          <w:tcPr>
            <w:tcW w:w="2055" w:type="dxa"/>
          </w:tcPr>
          <w:p w14:paraId="1499CADA"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Cal/OSHA should adopt CPL 03-00-008 or measures at least as effective as those within the directive.</w:t>
            </w:r>
          </w:p>
          <w:p w14:paraId="30143340" w14:textId="7CD3BB23" w:rsidR="00181E92" w:rsidRPr="00931BA4" w:rsidRDefault="00181E92" w:rsidP="1E8FD191">
            <w:pPr>
              <w:pStyle w:val="NoSpacing"/>
              <w:rPr>
                <w:rFonts w:asciiTheme="minorHAnsi" w:eastAsia="PMingLiU" w:hAnsiTheme="minorHAnsi" w:cstheme="minorBidi"/>
              </w:rPr>
            </w:pPr>
          </w:p>
        </w:tc>
        <w:tc>
          <w:tcPr>
            <w:tcW w:w="4440" w:type="dxa"/>
          </w:tcPr>
          <w:p w14:paraId="03FC217F" w14:textId="77777777" w:rsidR="00181E92" w:rsidRPr="00931BA4" w:rsidRDefault="68E4BE84" w:rsidP="1E8FD191">
            <w:pPr>
              <w:rPr>
                <w:rFonts w:asciiTheme="minorHAnsi" w:hAnsiTheme="minorHAnsi" w:cstheme="minorBidi"/>
                <w:sz w:val="22"/>
                <w:szCs w:val="22"/>
              </w:rPr>
            </w:pPr>
            <w:r w:rsidRPr="1E8FD191">
              <w:rPr>
                <w:rFonts w:asciiTheme="minorHAnsi" w:hAnsiTheme="minorHAnsi" w:cstheme="minorBidi"/>
                <w:sz w:val="22"/>
                <w:szCs w:val="22"/>
              </w:rPr>
              <w:t>This directive has been designated as a high-priority project and assigned to a Senior Safety Engineer with an estimated date of February 2025.</w:t>
            </w:r>
          </w:p>
          <w:p w14:paraId="7A9DB191" w14:textId="77777777" w:rsidR="00181E92" w:rsidRPr="00931BA4" w:rsidRDefault="00181E92" w:rsidP="1E8FD191">
            <w:pPr>
              <w:rPr>
                <w:rFonts w:asciiTheme="minorHAnsi" w:hAnsiTheme="minorHAnsi" w:cstheme="minorBidi"/>
                <w:sz w:val="22"/>
                <w:szCs w:val="22"/>
              </w:rPr>
            </w:pPr>
          </w:p>
          <w:p w14:paraId="0EB1FCDE" w14:textId="77777777" w:rsidR="00181E92" w:rsidRPr="00931BA4" w:rsidRDefault="00181E92" w:rsidP="1E8FD191">
            <w:pPr>
              <w:rPr>
                <w:rFonts w:asciiTheme="minorHAnsi" w:hAnsiTheme="minorHAnsi" w:cstheme="minorBidi"/>
                <w:sz w:val="22"/>
                <w:szCs w:val="22"/>
              </w:rPr>
            </w:pPr>
          </w:p>
          <w:p w14:paraId="11FEDD7E" w14:textId="27F45B7C" w:rsidR="00181E92" w:rsidRPr="00931BA4" w:rsidRDefault="00181E92" w:rsidP="1E8FD191">
            <w:pPr>
              <w:pStyle w:val="NoSpacing"/>
              <w:rPr>
                <w:rFonts w:asciiTheme="minorHAnsi" w:eastAsia="PMingLiU" w:hAnsiTheme="minorHAnsi" w:cstheme="minorBidi"/>
              </w:rPr>
            </w:pPr>
          </w:p>
        </w:tc>
        <w:tc>
          <w:tcPr>
            <w:tcW w:w="1650" w:type="dxa"/>
          </w:tcPr>
          <w:p w14:paraId="5B701D30" w14:textId="76805A9A" w:rsidR="00181E92" w:rsidRPr="00931BA4" w:rsidRDefault="00C808A8" w:rsidP="1E8FD191">
            <w:pPr>
              <w:rPr>
                <w:rFonts w:asciiTheme="minorHAnsi" w:hAnsiTheme="minorHAnsi" w:cstheme="minorBidi"/>
                <w:sz w:val="22"/>
                <w:szCs w:val="22"/>
              </w:rPr>
            </w:pPr>
            <w:r w:rsidRPr="00C808A8">
              <w:rPr>
                <w:rFonts w:asciiTheme="minorHAnsi" w:hAnsiTheme="minorHAnsi" w:cstheme="minorBidi"/>
                <w:sz w:val="22"/>
                <w:szCs w:val="22"/>
              </w:rPr>
              <w:t>Not Applicable </w:t>
            </w:r>
          </w:p>
          <w:p w14:paraId="771C9925" w14:textId="77777777" w:rsidR="00181E92" w:rsidRPr="00931BA4" w:rsidRDefault="00181E92" w:rsidP="1E8FD191">
            <w:pPr>
              <w:rPr>
                <w:rFonts w:asciiTheme="minorHAnsi" w:hAnsiTheme="minorHAnsi" w:cstheme="minorBidi"/>
                <w:sz w:val="22"/>
                <w:szCs w:val="22"/>
              </w:rPr>
            </w:pPr>
          </w:p>
          <w:p w14:paraId="1F2C1110" w14:textId="77777777" w:rsidR="00181E92" w:rsidRPr="00931BA4" w:rsidRDefault="00181E92" w:rsidP="1E8FD191">
            <w:pPr>
              <w:rPr>
                <w:rFonts w:asciiTheme="minorHAnsi" w:hAnsiTheme="minorHAnsi" w:cstheme="minorBidi"/>
                <w:sz w:val="22"/>
                <w:szCs w:val="22"/>
              </w:rPr>
            </w:pPr>
          </w:p>
          <w:p w14:paraId="78974696" w14:textId="77777777" w:rsidR="00181E92" w:rsidRPr="00931BA4" w:rsidRDefault="00181E92" w:rsidP="1E8FD191">
            <w:pPr>
              <w:rPr>
                <w:rFonts w:asciiTheme="minorHAnsi" w:hAnsiTheme="minorHAnsi" w:cstheme="minorBidi"/>
                <w:sz w:val="22"/>
                <w:szCs w:val="22"/>
              </w:rPr>
            </w:pPr>
          </w:p>
          <w:p w14:paraId="7983E9EF" w14:textId="12DD28CE" w:rsidR="00181E92" w:rsidRPr="00931BA4" w:rsidRDefault="00181E92" w:rsidP="1E8FD191">
            <w:pPr>
              <w:pStyle w:val="NoSpacing"/>
              <w:rPr>
                <w:rFonts w:asciiTheme="minorHAnsi" w:eastAsia="PMingLiU" w:hAnsiTheme="minorHAnsi" w:cstheme="minorBidi"/>
              </w:rPr>
            </w:pPr>
          </w:p>
        </w:tc>
        <w:tc>
          <w:tcPr>
            <w:tcW w:w="1367" w:type="dxa"/>
          </w:tcPr>
          <w:p w14:paraId="4CB3B06F" w14:textId="07690C36" w:rsidR="00E7606D" w:rsidRPr="00931BA4" w:rsidRDefault="00E7606D" w:rsidP="00E7606D">
            <w:pPr>
              <w:rPr>
                <w:rFonts w:asciiTheme="minorHAnsi" w:hAnsiTheme="minorHAnsi" w:cstheme="minorBidi"/>
                <w:sz w:val="22"/>
                <w:szCs w:val="22"/>
              </w:rPr>
            </w:pPr>
            <w:r>
              <w:rPr>
                <w:rFonts w:asciiTheme="minorHAnsi" w:hAnsiTheme="minorHAnsi" w:cstheme="minorBidi"/>
                <w:sz w:val="22"/>
                <w:szCs w:val="22"/>
              </w:rPr>
              <w:t>C</w:t>
            </w:r>
            <w:r w:rsidR="00DA4C2A">
              <w:rPr>
                <w:rFonts w:asciiTheme="minorHAnsi" w:hAnsiTheme="minorHAnsi" w:cstheme="minorBidi"/>
                <w:sz w:val="22"/>
                <w:szCs w:val="22"/>
              </w:rPr>
              <w:t>losed</w:t>
            </w:r>
          </w:p>
          <w:p w14:paraId="49CCB844" w14:textId="248475E8" w:rsidR="00181E92" w:rsidRPr="00931BA4" w:rsidRDefault="00E7606D" w:rsidP="00E7606D">
            <w:pPr>
              <w:rPr>
                <w:rFonts w:asciiTheme="minorHAnsi" w:hAnsiTheme="minorHAnsi" w:cstheme="minorBidi"/>
                <w:sz w:val="22"/>
                <w:szCs w:val="22"/>
              </w:rPr>
            </w:pPr>
            <w:r w:rsidRPr="00933F86">
              <w:rPr>
                <w:rFonts w:asciiTheme="minorHAnsi" w:hAnsiTheme="minorHAnsi" w:cstheme="minorBidi"/>
                <w:sz w:val="22"/>
                <w:szCs w:val="22"/>
              </w:rPr>
              <w:t>03/06/2025</w:t>
            </w:r>
          </w:p>
          <w:p w14:paraId="4DC5E517" w14:textId="77777777" w:rsidR="00181E92" w:rsidRPr="00931BA4" w:rsidRDefault="00181E92" w:rsidP="1E8FD191">
            <w:pPr>
              <w:rPr>
                <w:rFonts w:asciiTheme="minorHAnsi" w:hAnsiTheme="minorHAnsi" w:cstheme="minorBidi"/>
                <w:sz w:val="22"/>
                <w:szCs w:val="22"/>
              </w:rPr>
            </w:pPr>
          </w:p>
          <w:p w14:paraId="3BF27BC5" w14:textId="77777777" w:rsidR="00181E92" w:rsidRPr="00931BA4" w:rsidRDefault="00181E92" w:rsidP="1E8FD191">
            <w:pPr>
              <w:rPr>
                <w:rFonts w:asciiTheme="minorHAnsi" w:hAnsiTheme="minorHAnsi" w:cstheme="minorBidi"/>
                <w:sz w:val="22"/>
                <w:szCs w:val="22"/>
              </w:rPr>
            </w:pPr>
          </w:p>
          <w:p w14:paraId="54B27ABF" w14:textId="2A7B0CC1" w:rsidR="00181E92" w:rsidRPr="00931BA4" w:rsidRDefault="00181E92" w:rsidP="1E8FD191">
            <w:pPr>
              <w:pStyle w:val="NoSpacing"/>
              <w:rPr>
                <w:rFonts w:asciiTheme="minorHAnsi" w:eastAsia="PMingLiU" w:hAnsiTheme="minorHAnsi" w:cstheme="minorBidi"/>
              </w:rPr>
            </w:pPr>
          </w:p>
        </w:tc>
      </w:tr>
    </w:tbl>
    <w:p w14:paraId="0CFBF3AC" w14:textId="77777777" w:rsidR="00724281" w:rsidRPr="00931BA4" w:rsidRDefault="00724281" w:rsidP="1E8FD191">
      <w:pPr>
        <w:widowControl/>
        <w:tabs>
          <w:tab w:val="left" w:pos="630"/>
        </w:tabs>
        <w:autoSpaceDE/>
        <w:autoSpaceDN/>
        <w:adjustRightInd/>
        <w:rPr>
          <w:rFonts w:asciiTheme="minorHAnsi" w:hAnsiTheme="minorHAnsi" w:cstheme="minorBidi"/>
          <w:color w:val="0070C0"/>
          <w:sz w:val="22"/>
          <w:szCs w:val="22"/>
        </w:rPr>
      </w:pPr>
    </w:p>
    <w:p w14:paraId="19D61F8F" w14:textId="77777777" w:rsidR="00724281" w:rsidRPr="00931BA4" w:rsidRDefault="00724281" w:rsidP="1E8FD191">
      <w:pPr>
        <w:widowControl/>
        <w:tabs>
          <w:tab w:val="left" w:pos="630"/>
        </w:tabs>
        <w:autoSpaceDE/>
        <w:autoSpaceDN/>
        <w:adjustRightInd/>
        <w:ind w:left="720" w:hanging="360"/>
        <w:rPr>
          <w:rFonts w:asciiTheme="minorHAnsi" w:hAnsiTheme="minorHAnsi" w:cstheme="minorBidi"/>
          <w:color w:val="0070C0"/>
          <w:sz w:val="22"/>
          <w:szCs w:val="22"/>
        </w:rPr>
      </w:pPr>
    </w:p>
    <w:p w14:paraId="565590FC" w14:textId="77777777" w:rsidR="0084402C" w:rsidRDefault="0084402C" w:rsidP="0084402C">
      <w:pPr>
        <w:pStyle w:val="Heading4"/>
        <w:sectPr w:rsidR="0084402C" w:rsidSect="00A75180">
          <w:headerReference w:type="even" r:id="rId27"/>
          <w:headerReference w:type="default" r:id="rId28"/>
          <w:footerReference w:type="default" r:id="rId29"/>
          <w:headerReference w:type="first" r:id="rId30"/>
          <w:pgSz w:w="15840" w:h="12240" w:orient="landscape" w:code="1"/>
          <w:pgMar w:top="1440" w:right="1440" w:bottom="1440" w:left="1440" w:header="720" w:footer="720" w:gutter="0"/>
          <w:cols w:space="720"/>
          <w:noEndnote/>
          <w:docGrid w:linePitch="326"/>
        </w:sectPr>
      </w:pPr>
    </w:p>
    <w:tbl>
      <w:tblPr>
        <w:tblStyle w:val="TableGrid"/>
        <w:tblW w:w="0" w:type="auto"/>
        <w:tblLayout w:type="fixed"/>
        <w:tblLook w:val="06A0" w:firstRow="1" w:lastRow="0" w:firstColumn="1" w:lastColumn="0" w:noHBand="1" w:noVBand="1"/>
      </w:tblPr>
      <w:tblGrid>
        <w:gridCol w:w="1070"/>
        <w:gridCol w:w="1921"/>
        <w:gridCol w:w="1224"/>
        <w:gridCol w:w="1175"/>
        <w:gridCol w:w="3808"/>
      </w:tblGrid>
      <w:tr w:rsidR="6E5B07DA" w14:paraId="318A2837" w14:textId="77777777" w:rsidTr="00EC334F">
        <w:trPr>
          <w:trHeight w:val="300"/>
          <w:tblHeader/>
        </w:trPr>
        <w:tc>
          <w:tcPr>
            <w:tcW w:w="1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820E31" w14:textId="7B27EC8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SAMM Number</w:t>
            </w:r>
          </w:p>
        </w:tc>
        <w:tc>
          <w:tcPr>
            <w:tcW w:w="19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656CA3" w14:textId="557AB48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SAMM Name</w:t>
            </w:r>
          </w:p>
        </w:tc>
        <w:tc>
          <w:tcPr>
            <w:tcW w:w="12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AB225" w14:textId="6CDEFB3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State Plan Data</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F980BF" w14:textId="693166D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Further Review Level</w:t>
            </w:r>
          </w:p>
        </w:tc>
        <w:tc>
          <w:tcPr>
            <w:tcW w:w="3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44874D" w14:textId="3647B60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Notes</w:t>
            </w:r>
          </w:p>
        </w:tc>
      </w:tr>
      <w:tr w:rsidR="6E5B07DA" w14:paraId="2CE07C9B" w14:textId="77777777" w:rsidTr="00EC334F">
        <w:trPr>
          <w:trHeight w:val="300"/>
        </w:trPr>
        <w:tc>
          <w:tcPr>
            <w:tcW w:w="1070" w:type="dxa"/>
            <w:tcBorders>
              <w:top w:val="single" w:sz="8" w:space="0" w:color="000000" w:themeColor="text1"/>
              <w:left w:val="single" w:sz="8" w:space="0" w:color="666666"/>
              <w:bottom w:val="single" w:sz="8" w:space="0" w:color="666666"/>
              <w:right w:val="single" w:sz="8" w:space="0" w:color="666666"/>
            </w:tcBorders>
            <w:tcMar>
              <w:left w:w="108" w:type="dxa"/>
              <w:right w:w="108" w:type="dxa"/>
            </w:tcMar>
          </w:tcPr>
          <w:p w14:paraId="5BFF3ED7" w14:textId="4DFE22F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1a</w:t>
            </w:r>
          </w:p>
        </w:tc>
        <w:tc>
          <w:tcPr>
            <w:tcW w:w="1921" w:type="dxa"/>
            <w:tcBorders>
              <w:top w:val="single" w:sz="8" w:space="0" w:color="000000" w:themeColor="text1"/>
              <w:left w:val="single" w:sz="8" w:space="0" w:color="666666"/>
              <w:bottom w:val="single" w:sz="8" w:space="0" w:color="666666"/>
              <w:right w:val="single" w:sz="8" w:space="0" w:color="666666"/>
            </w:tcBorders>
            <w:tcMar>
              <w:left w:w="108" w:type="dxa"/>
              <w:right w:w="108" w:type="dxa"/>
            </w:tcMar>
          </w:tcPr>
          <w:p w14:paraId="773D347A" w14:textId="119E05F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work days to initiate complaint inspections (state formula)</w:t>
            </w:r>
          </w:p>
        </w:tc>
        <w:tc>
          <w:tcPr>
            <w:tcW w:w="1224" w:type="dxa"/>
            <w:tcBorders>
              <w:top w:val="single" w:sz="8" w:space="0" w:color="000000" w:themeColor="text1"/>
              <w:left w:val="single" w:sz="8" w:space="0" w:color="666666"/>
              <w:bottom w:val="single" w:sz="8" w:space="0" w:color="666666"/>
              <w:right w:val="single" w:sz="8" w:space="0" w:color="666666"/>
            </w:tcBorders>
            <w:tcMar>
              <w:left w:w="108" w:type="dxa"/>
              <w:right w:w="108" w:type="dxa"/>
            </w:tcMar>
          </w:tcPr>
          <w:p w14:paraId="5ACA41E8" w14:textId="2CF73AD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13.52</w:t>
            </w:r>
          </w:p>
        </w:tc>
        <w:tc>
          <w:tcPr>
            <w:tcW w:w="1175" w:type="dxa"/>
            <w:tcBorders>
              <w:top w:val="single" w:sz="8" w:space="0" w:color="000000" w:themeColor="text1"/>
              <w:left w:val="single" w:sz="8" w:space="0" w:color="666666"/>
              <w:bottom w:val="single" w:sz="8" w:space="0" w:color="666666"/>
              <w:right w:val="single" w:sz="8" w:space="0" w:color="666666"/>
            </w:tcBorders>
            <w:tcMar>
              <w:left w:w="108" w:type="dxa"/>
              <w:right w:w="108" w:type="dxa"/>
            </w:tcMar>
          </w:tcPr>
          <w:p w14:paraId="1CCC5057" w14:textId="33B76A64"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3</w:t>
            </w:r>
          </w:p>
        </w:tc>
        <w:tc>
          <w:tcPr>
            <w:tcW w:w="3808" w:type="dxa"/>
            <w:tcBorders>
              <w:top w:val="single" w:sz="8" w:space="0" w:color="000000" w:themeColor="text1"/>
              <w:left w:val="single" w:sz="8" w:space="0" w:color="666666"/>
              <w:bottom w:val="single" w:sz="8" w:space="0" w:color="666666"/>
              <w:right w:val="single" w:sz="8" w:space="0" w:color="666666"/>
            </w:tcBorders>
            <w:tcMar>
              <w:left w:w="108" w:type="dxa"/>
              <w:right w:w="108" w:type="dxa"/>
            </w:tcMar>
          </w:tcPr>
          <w:p w14:paraId="746331B7" w14:textId="4E7F0B1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negotiated by OSHA and the State Plan.</w:t>
            </w:r>
          </w:p>
        </w:tc>
      </w:tr>
      <w:tr w:rsidR="6E5B07DA" w14:paraId="54301893"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EEBC595" w14:textId="07EE157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E31F116" w14:textId="7AE2E1C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work days to initiate complaint inspections (federal formula)</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F352AB1" w14:textId="647E648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6.51</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770FEDA" w14:textId="6FAE346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53F3ED2" w14:textId="193D372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This measure is for informational purposes only and is not a mandated measure.</w:t>
            </w:r>
          </w:p>
        </w:tc>
      </w:tr>
      <w:tr w:rsidR="6E5B07DA" w14:paraId="1606AADE"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E085D0A" w14:textId="71FDF7E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2a</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6D8A52C" w14:textId="2D20407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work days to initiate complaint investigations (state formula)</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911A7EF" w14:textId="35CC6F5E"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22.33</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2723864" w14:textId="1234AF0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4E3A8C7" w14:textId="44C83A0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negotiated by OSHA and the State Plan.</w:t>
            </w:r>
          </w:p>
        </w:tc>
      </w:tr>
      <w:tr w:rsidR="6E5B07DA" w14:paraId="69130256"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54D5F89" w14:textId="6FE8C1B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2b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1426367" w14:textId="476D20FE"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work days to initiate complaint investigations (federal formula)</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BA4DED5" w14:textId="7FB9232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10.92</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9618935" w14:textId="5AE26EE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8FFCF65" w14:textId="04306E14"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This measure is for informational purposes only and is not a mandated measure.</w:t>
            </w:r>
          </w:p>
        </w:tc>
      </w:tr>
      <w:tr w:rsidR="6E5B07DA" w14:paraId="6D4DD224"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5EA3E1C" w14:textId="6E79548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3</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E67C9C0" w14:textId="518DC99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complaints and referrals responded to within one workday (imminent danger)</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0F9E107" w14:textId="00AF758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99.53%</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7FD37A6" w14:textId="4E95786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100%</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C021252" w14:textId="3655683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fixed for all State Plans.</w:t>
            </w:r>
          </w:p>
        </w:tc>
      </w:tr>
      <w:tr w:rsidR="6E5B07DA" w14:paraId="416B6D8A"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4059B35" w14:textId="698E3AE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4</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728B34C" w14:textId="0C485AB9"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Number of denials where entry not obtained</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C1E24FC" w14:textId="42E1669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0</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2D4F10D" w14:textId="192A0A6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0</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786CC3B" w14:textId="298BE338"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fixed for all State Plans.</w:t>
            </w:r>
          </w:p>
        </w:tc>
      </w:tr>
      <w:tr w:rsidR="6E5B07DA" w14:paraId="4123FEE7" w14:textId="77777777" w:rsidTr="00EC334F">
        <w:trPr>
          <w:trHeight w:val="855"/>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32473E7" w14:textId="0AF35A9F"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5a</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E05D7AF" w14:textId="222B900E"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violations per inspection with violations by violation type (SWRU)</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162A992" w14:textId="498D3C1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0.66</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1EF345A" w14:textId="214FC024" w:rsidR="6E5B07DA" w:rsidRDefault="6E5B07DA" w:rsidP="6E5B07DA">
            <w:pPr>
              <w:rPr>
                <w:rFonts w:eastAsia="Calibri" w:cs="Calibri"/>
                <w:sz w:val="22"/>
                <w:szCs w:val="22"/>
              </w:rPr>
            </w:pPr>
            <w:r w:rsidRPr="6E5B07DA">
              <w:rPr>
                <w:rFonts w:eastAsia="Calibri" w:cs="Calibri"/>
                <w:sz w:val="22"/>
                <w:szCs w:val="22"/>
              </w:rPr>
              <w:t>+/- 20% of 1.74</w:t>
            </w:r>
          </w:p>
          <w:p w14:paraId="0D24CE0D" w14:textId="31FD983D" w:rsidR="6E5B07DA" w:rsidRDefault="6E5B07DA" w:rsidP="6E5B07DA">
            <w:pPr>
              <w:rPr>
                <w:rFonts w:eastAsia="Calibri" w:cs="Calibri"/>
                <w:sz w:val="22"/>
                <w:szCs w:val="22"/>
              </w:rPr>
            </w:pPr>
            <w:r w:rsidRPr="6E5B07DA">
              <w:rPr>
                <w:rFonts w:eastAsia="Calibri" w:cs="Calibri"/>
                <w:sz w:val="22"/>
                <w:szCs w:val="22"/>
              </w:rPr>
              <w:t xml:space="preserve"> </w:t>
            </w:r>
          </w:p>
          <w:p w14:paraId="7D571089" w14:textId="65FC5B3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00E5A8F" w14:textId="238E6A9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The further review level is based on a three-year national average.  The range of acceptable data not requiring further review is from 1.39 to 2.08 for SWRU. </w:t>
            </w:r>
          </w:p>
        </w:tc>
      </w:tr>
      <w:tr w:rsidR="6E5B07DA" w14:paraId="5FF9349E"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1733262" w14:textId="5BCD81CE"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5b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7CC8EB6" w14:textId="1DC9376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violations per inspection with violations by violation type (other)</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17DF05E" w14:textId="4C7251A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2.23</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136E531" w14:textId="0331E539" w:rsidR="6E5B07DA" w:rsidRDefault="6E5B07DA" w:rsidP="6E5B07DA">
            <w:pPr>
              <w:rPr>
                <w:rFonts w:eastAsia="Calibri" w:cs="Calibri"/>
                <w:sz w:val="22"/>
                <w:szCs w:val="22"/>
              </w:rPr>
            </w:pPr>
            <w:r w:rsidRPr="6E5B07DA">
              <w:rPr>
                <w:rFonts w:eastAsia="Calibri" w:cs="Calibri"/>
                <w:sz w:val="22"/>
                <w:szCs w:val="22"/>
              </w:rPr>
              <w:t>+/- 20% of 0.94</w:t>
            </w:r>
          </w:p>
          <w:p w14:paraId="275CBC21" w14:textId="69656B7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B38ED66" w14:textId="05E7C11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0.75 to 1.12 for OTS.</w:t>
            </w:r>
          </w:p>
        </w:tc>
      </w:tr>
      <w:tr w:rsidR="6E5B07DA" w14:paraId="25F80376"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05F2D34" w14:textId="0044AC5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6</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702E781" w14:textId="06B489C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total inspections in state and local government workplaces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E75EFC9" w14:textId="1D53A26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4.79%</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99A7D13" w14:textId="29315355" w:rsidR="6E5B07DA" w:rsidRDefault="6E5B07DA" w:rsidP="6E5B07DA">
            <w:pPr>
              <w:rPr>
                <w:rFonts w:eastAsia="Calibri" w:cs="Calibri"/>
                <w:sz w:val="22"/>
                <w:szCs w:val="22"/>
              </w:rPr>
            </w:pPr>
            <w:r w:rsidRPr="6E5B07DA">
              <w:rPr>
                <w:rFonts w:eastAsia="Calibri" w:cs="Calibri"/>
                <w:sz w:val="22"/>
                <w:szCs w:val="22"/>
              </w:rPr>
              <w:t>+/- 5% of</w:t>
            </w:r>
          </w:p>
          <w:p w14:paraId="13417ECD" w14:textId="5E26FFB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Grant 5.98%</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FEADFA1" w14:textId="3865B95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number negotiated by OSHA and the State Plan through the grant application.  The range of acceptable data not requiring further review is from 5.68% to 6.28%.</w:t>
            </w:r>
          </w:p>
        </w:tc>
      </w:tr>
      <w:tr w:rsidR="6E5B07DA" w14:paraId="7BFF0F04"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C240921" w14:textId="3FCBEC0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7a</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7433914" w14:textId="5CA127E8"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Planned v. actual inspections (safety)</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8EFC056" w14:textId="32EF1C8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5,059</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5B08AE1" w14:textId="45759154" w:rsidR="6E5B07DA" w:rsidRDefault="6E5B07DA" w:rsidP="6E5B07DA">
            <w:pPr>
              <w:rPr>
                <w:rFonts w:eastAsia="Calibri" w:cs="Calibri"/>
                <w:sz w:val="22"/>
                <w:szCs w:val="22"/>
              </w:rPr>
            </w:pPr>
            <w:r w:rsidRPr="6E5B07DA">
              <w:rPr>
                <w:rFonts w:eastAsia="Calibri" w:cs="Calibri"/>
                <w:sz w:val="22"/>
                <w:szCs w:val="22"/>
              </w:rPr>
              <w:t xml:space="preserve">+/- 5% of </w:t>
            </w:r>
          </w:p>
          <w:p w14:paraId="63E724F5" w14:textId="7E14668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Grant 4,675</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57ADD54" w14:textId="75286EB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number negotiated by OSHA and the State Plan through the grant application.  The range of acceptable data not requiring further review is from4,441 to 4,909 for safety.</w:t>
            </w:r>
          </w:p>
        </w:tc>
      </w:tr>
      <w:tr w:rsidR="6E5B07DA" w14:paraId="4B5FBB2B"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ED26298" w14:textId="14B1D5AA"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7b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7D7F351" w14:textId="02DABD7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Planned v. actual inspections (health)</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DA4A9E0" w14:textId="2767EFA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1,377</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98D90B3" w14:textId="197BF344" w:rsidR="6E5B07DA" w:rsidRDefault="6E5B07DA" w:rsidP="6E5B07DA">
            <w:pPr>
              <w:rPr>
                <w:rFonts w:eastAsia="Calibri" w:cs="Calibri"/>
                <w:sz w:val="22"/>
                <w:szCs w:val="22"/>
              </w:rPr>
            </w:pPr>
            <w:r w:rsidRPr="6E5B07DA">
              <w:rPr>
                <w:rFonts w:eastAsia="Calibri" w:cs="Calibri"/>
                <w:sz w:val="22"/>
                <w:szCs w:val="22"/>
              </w:rPr>
              <w:t xml:space="preserve">+/- 5% of </w:t>
            </w:r>
          </w:p>
          <w:p w14:paraId="6AF0B604" w14:textId="6B8E1EE2"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Grant 1,175</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7B9F662" w14:textId="547E16B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number negotiated by OSHA and the State Plan through the grant application.  The range of acceptable data not requiring further review is from 1,116 to 1,234 for health.</w:t>
            </w:r>
          </w:p>
        </w:tc>
      </w:tr>
      <w:tr w:rsidR="6E5B07DA" w14:paraId="1E6A1C5E"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BEF26A2" w14:textId="635309C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bookmarkStart w:id="38" w:name="_Hlk188618819"/>
            <w:r w:rsidRPr="6E5B07DA">
              <w:rPr>
                <w:rFonts w:eastAsia="Calibri" w:cs="Calibri"/>
                <w:b/>
                <w:bCs/>
              </w:rPr>
              <w:t>8</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127B325" w14:textId="3F285EE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current serious penalty in private sector - total (1 to greater than 250 workers)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05D47F3" w14:textId="6F7457C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$8,331.29</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456C1A1" w14:textId="2C2980B4" w:rsidR="6E5B07DA" w:rsidRDefault="6E5B07DA" w:rsidP="6E5B07DA">
            <w:pPr>
              <w:rPr>
                <w:rFonts w:eastAsia="Calibri" w:cs="Calibri"/>
                <w:sz w:val="22"/>
                <w:szCs w:val="22"/>
              </w:rPr>
            </w:pPr>
            <w:r w:rsidRPr="6E5B07DA">
              <w:rPr>
                <w:rFonts w:eastAsia="Calibri" w:cs="Calibri"/>
                <w:sz w:val="22"/>
                <w:szCs w:val="22"/>
              </w:rPr>
              <w:t xml:space="preserve">+/- 25% of </w:t>
            </w:r>
          </w:p>
          <w:p w14:paraId="7D43C7FA" w14:textId="3B35CC62" w:rsidR="6E5B07DA" w:rsidRDefault="6E5B07DA" w:rsidP="6E5B07DA">
            <w:pPr>
              <w:rPr>
                <w:rFonts w:eastAsia="Calibri" w:cs="Calibri"/>
                <w:sz w:val="22"/>
                <w:szCs w:val="22"/>
              </w:rPr>
            </w:pPr>
            <w:r w:rsidRPr="6E5B07DA">
              <w:rPr>
                <w:rFonts w:eastAsia="Calibri" w:cs="Calibri"/>
                <w:sz w:val="22"/>
                <w:szCs w:val="22"/>
              </w:rPr>
              <w:t>$3,793.81</w:t>
            </w:r>
          </w:p>
          <w:p w14:paraId="7C33DBF5" w14:textId="674F4F3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491B840" w14:textId="69953A6E" w:rsidR="6E5B07DA" w:rsidRDefault="6E5B07DA" w:rsidP="6E5B07DA">
            <w:pPr>
              <w:tabs>
                <w:tab w:val="left" w:pos="2416"/>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$2,845.36 to $4,742.27.</w:t>
            </w:r>
          </w:p>
        </w:tc>
      </w:tr>
      <w:bookmarkEnd w:id="38"/>
      <w:tr w:rsidR="6E5B07DA" w14:paraId="10CB3C8C"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7549CAF" w14:textId="4C7D4989"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8a</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CCA3AA9" w14:textId="6ADEA826" w:rsidR="6E5B07DA" w:rsidRDefault="6E5B07DA" w:rsidP="6E5B07DA">
            <w:pPr>
              <w:rPr>
                <w:rFonts w:eastAsia="Calibri" w:cs="Calibri"/>
                <w:sz w:val="22"/>
                <w:szCs w:val="22"/>
              </w:rPr>
            </w:pPr>
            <w:r w:rsidRPr="6E5B07DA">
              <w:rPr>
                <w:rFonts w:eastAsia="Calibri" w:cs="Calibri"/>
                <w:sz w:val="22"/>
                <w:szCs w:val="22"/>
              </w:rPr>
              <w:t>Average current serious penalty in private sector</w:t>
            </w:r>
          </w:p>
          <w:p w14:paraId="67FA8484" w14:textId="41053ED4"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(1-25 workers)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7A16FA1" w14:textId="533F30A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$5,475.00</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77EF893" w14:textId="2551393D" w:rsidR="6E5B07DA" w:rsidRDefault="6E5B07DA" w:rsidP="6E5B07DA">
            <w:pPr>
              <w:rPr>
                <w:rFonts w:eastAsia="Calibri" w:cs="Calibri"/>
                <w:sz w:val="22"/>
                <w:szCs w:val="22"/>
              </w:rPr>
            </w:pPr>
            <w:r w:rsidRPr="6E5B07DA">
              <w:rPr>
                <w:rFonts w:eastAsia="Calibri" w:cs="Calibri"/>
                <w:sz w:val="22"/>
                <w:szCs w:val="22"/>
              </w:rPr>
              <w:t xml:space="preserve">+/- 25% of </w:t>
            </w:r>
          </w:p>
          <w:p w14:paraId="6E3BF293" w14:textId="7829B3B5" w:rsidR="6E5B07DA" w:rsidRDefault="6E5B07DA" w:rsidP="6E5B07DA">
            <w:pPr>
              <w:rPr>
                <w:rFonts w:eastAsia="Calibri" w:cs="Calibri"/>
                <w:sz w:val="22"/>
                <w:szCs w:val="22"/>
              </w:rPr>
            </w:pPr>
            <w:r w:rsidRPr="6E5B07DA">
              <w:rPr>
                <w:rFonts w:eastAsia="Calibri" w:cs="Calibri"/>
                <w:sz w:val="22"/>
                <w:szCs w:val="22"/>
              </w:rPr>
              <w:t>$2,498.51</w:t>
            </w:r>
          </w:p>
          <w:p w14:paraId="19CADF5B" w14:textId="13C947D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FB6A4FE" w14:textId="6597A6E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$1,873.88 to $3,123.14.</w:t>
            </w:r>
          </w:p>
        </w:tc>
      </w:tr>
      <w:tr w:rsidR="6E5B07DA" w14:paraId="75B581F6"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AAB2C9C" w14:textId="4816CF79"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8b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0CF3B05" w14:textId="4C20A6DA" w:rsidR="6E5B07DA" w:rsidRDefault="6E5B07DA" w:rsidP="6E5B07DA">
            <w:pPr>
              <w:rPr>
                <w:rFonts w:eastAsia="Calibri" w:cs="Calibri"/>
                <w:sz w:val="22"/>
                <w:szCs w:val="22"/>
              </w:rPr>
            </w:pPr>
            <w:r w:rsidRPr="6E5B07DA">
              <w:rPr>
                <w:rFonts w:eastAsia="Calibri" w:cs="Calibri"/>
                <w:sz w:val="22"/>
                <w:szCs w:val="22"/>
              </w:rPr>
              <w:t xml:space="preserve">Average current serious penalty in private sector </w:t>
            </w:r>
          </w:p>
          <w:p w14:paraId="0BC726B7" w14:textId="407D6AA8"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sz w:val="22"/>
                <w:szCs w:val="22"/>
              </w:rPr>
            </w:pPr>
            <w:r w:rsidRPr="6E5B07DA">
              <w:rPr>
                <w:rFonts w:eastAsia="Calibri" w:cs="Calibri"/>
                <w:sz w:val="22"/>
                <w:szCs w:val="22"/>
              </w:rPr>
              <w:t>(26-100 workers</w:t>
            </w:r>
            <w:r w:rsidRPr="6E5B07DA">
              <w:rPr>
                <w:rFonts w:eastAsia="Calibri" w:cs="Calibri"/>
                <w:b/>
                <w:bCs/>
                <w:sz w:val="22"/>
                <w:szCs w:val="22"/>
              </w:rPr>
              <w:t>)</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E8314A4" w14:textId="5EB0203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$8,715.61</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87F336B" w14:textId="038BA4C3" w:rsidR="6E5B07DA" w:rsidRDefault="6E5B07DA" w:rsidP="6E5B07DA">
            <w:pPr>
              <w:rPr>
                <w:rFonts w:eastAsia="Calibri" w:cs="Calibri"/>
                <w:sz w:val="22"/>
                <w:szCs w:val="22"/>
              </w:rPr>
            </w:pPr>
            <w:r w:rsidRPr="6E5B07DA">
              <w:rPr>
                <w:rFonts w:eastAsia="Calibri" w:cs="Calibri"/>
                <w:sz w:val="22"/>
                <w:szCs w:val="22"/>
              </w:rPr>
              <w:t xml:space="preserve">+/- 25% of </w:t>
            </w:r>
          </w:p>
          <w:p w14:paraId="27952407" w14:textId="5F826FFB" w:rsidR="6E5B07DA" w:rsidRDefault="6E5B07DA" w:rsidP="6E5B07DA">
            <w:pPr>
              <w:rPr>
                <w:rFonts w:eastAsia="Calibri" w:cs="Calibri"/>
                <w:sz w:val="22"/>
                <w:szCs w:val="22"/>
              </w:rPr>
            </w:pPr>
            <w:r w:rsidRPr="6E5B07DA">
              <w:rPr>
                <w:rFonts w:eastAsia="Calibri" w:cs="Calibri"/>
                <w:sz w:val="22"/>
                <w:szCs w:val="22"/>
              </w:rPr>
              <w:t>$4,322.61</w:t>
            </w:r>
          </w:p>
          <w:p w14:paraId="54EB30F6" w14:textId="5C0E2F8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3081B0D" w14:textId="1060F0D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$3,241.96 to $5,403.26.</w:t>
            </w:r>
          </w:p>
        </w:tc>
      </w:tr>
      <w:tr w:rsidR="6E5B07DA" w14:paraId="6085FF0C"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A8F7DF7" w14:textId="298AAAB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8c</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E4747BB" w14:textId="2E388470" w:rsidR="6E5B07DA" w:rsidRDefault="6E5B07DA" w:rsidP="6E5B07DA">
            <w:pPr>
              <w:rPr>
                <w:rFonts w:eastAsia="Calibri" w:cs="Calibri"/>
                <w:sz w:val="22"/>
                <w:szCs w:val="22"/>
              </w:rPr>
            </w:pPr>
            <w:r w:rsidRPr="6E5B07DA">
              <w:rPr>
                <w:rFonts w:eastAsia="Calibri" w:cs="Calibri"/>
                <w:sz w:val="22"/>
                <w:szCs w:val="22"/>
              </w:rPr>
              <w:t>Average current serious penalty in private sector</w:t>
            </w:r>
          </w:p>
          <w:p w14:paraId="3AC85265" w14:textId="293B3B4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(101-250 workers)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F066CA0" w14:textId="4934D28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$10,920.21</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1990F6D" w14:textId="518599F6" w:rsidR="6E5B07DA" w:rsidRDefault="6E5B07DA" w:rsidP="6E5B07DA">
            <w:pPr>
              <w:rPr>
                <w:rFonts w:eastAsia="Calibri" w:cs="Calibri"/>
                <w:sz w:val="22"/>
                <w:szCs w:val="22"/>
              </w:rPr>
            </w:pPr>
            <w:r w:rsidRPr="6E5B07DA">
              <w:rPr>
                <w:rFonts w:eastAsia="Calibri" w:cs="Calibri"/>
                <w:sz w:val="22"/>
                <w:szCs w:val="22"/>
              </w:rPr>
              <w:t xml:space="preserve">+/- 25% of </w:t>
            </w:r>
          </w:p>
          <w:p w14:paraId="62DDEDDD" w14:textId="239CD034" w:rsidR="6E5B07DA" w:rsidRDefault="6E5B07DA" w:rsidP="6E5B07DA">
            <w:pPr>
              <w:rPr>
                <w:rFonts w:eastAsia="Calibri" w:cs="Calibri"/>
                <w:sz w:val="22"/>
                <w:szCs w:val="22"/>
              </w:rPr>
            </w:pPr>
            <w:r w:rsidRPr="6E5B07DA">
              <w:rPr>
                <w:rFonts w:eastAsia="Calibri" w:cs="Calibri"/>
                <w:sz w:val="22"/>
                <w:szCs w:val="22"/>
              </w:rPr>
              <w:t>$6,114.84</w:t>
            </w:r>
          </w:p>
          <w:p w14:paraId="7711229E" w14:textId="55882DA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5687D7F" w14:textId="261070A9"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$4,586.13 to $7,643.55.</w:t>
            </w:r>
          </w:p>
        </w:tc>
      </w:tr>
      <w:tr w:rsidR="6E5B07DA" w14:paraId="3384E24E"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86F73E7" w14:textId="632B076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8d</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3936210" w14:textId="4D40FB43" w:rsidR="6E5B07DA" w:rsidRDefault="6E5B07DA" w:rsidP="6E5B07DA">
            <w:pPr>
              <w:rPr>
                <w:rFonts w:eastAsia="Calibri" w:cs="Calibri"/>
                <w:sz w:val="22"/>
                <w:szCs w:val="22"/>
              </w:rPr>
            </w:pPr>
            <w:r w:rsidRPr="6E5B07DA">
              <w:rPr>
                <w:rFonts w:eastAsia="Calibri" w:cs="Calibri"/>
                <w:sz w:val="22"/>
                <w:szCs w:val="22"/>
              </w:rPr>
              <w:t>Average current serious penalty in private sector</w:t>
            </w:r>
          </w:p>
          <w:p w14:paraId="7EA5F220" w14:textId="1532B03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(greater than 250 workers)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B720E79" w14:textId="6D06C618"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$11,532.79</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B5517FE" w14:textId="5758FF1F" w:rsidR="6E5B07DA" w:rsidRDefault="6E5B07DA" w:rsidP="6E5B07DA">
            <w:pPr>
              <w:rPr>
                <w:rFonts w:eastAsia="Calibri" w:cs="Calibri"/>
                <w:sz w:val="22"/>
                <w:szCs w:val="22"/>
              </w:rPr>
            </w:pPr>
            <w:r w:rsidRPr="6E5B07DA">
              <w:rPr>
                <w:rFonts w:eastAsia="Calibri" w:cs="Calibri"/>
                <w:sz w:val="22"/>
                <w:szCs w:val="22"/>
              </w:rPr>
              <w:t xml:space="preserve">+/- 25% of </w:t>
            </w:r>
          </w:p>
          <w:p w14:paraId="75771C03" w14:textId="387491CD" w:rsidR="6E5B07DA" w:rsidRDefault="6E5B07DA" w:rsidP="6E5B07DA">
            <w:pPr>
              <w:rPr>
                <w:rFonts w:eastAsia="Calibri" w:cs="Calibri"/>
                <w:sz w:val="22"/>
                <w:szCs w:val="22"/>
              </w:rPr>
            </w:pPr>
            <w:r w:rsidRPr="6E5B07DA">
              <w:rPr>
                <w:rFonts w:eastAsia="Calibri" w:cs="Calibri"/>
                <w:sz w:val="22"/>
                <w:szCs w:val="22"/>
              </w:rPr>
              <w:t>$7,533.58</w:t>
            </w:r>
          </w:p>
          <w:p w14:paraId="401FB2A5" w14:textId="332FA51A"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FA37C56" w14:textId="197A20C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$5,650.19 to $9,416.98.</w:t>
            </w:r>
          </w:p>
        </w:tc>
      </w:tr>
      <w:tr w:rsidR="6E5B07DA" w14:paraId="3C653CDF"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E04C493" w14:textId="477E0A72"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9a</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1A8FFFC" w14:textId="1342E4E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in compliance (safety)</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E2D3DA1" w14:textId="421E72C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28.91%</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E0724CF" w14:textId="144BAF9D" w:rsidR="6E5B07DA" w:rsidRDefault="6E5B07DA" w:rsidP="6E5B07DA">
            <w:pPr>
              <w:rPr>
                <w:rFonts w:eastAsia="Calibri" w:cs="Calibri"/>
                <w:sz w:val="22"/>
                <w:szCs w:val="22"/>
              </w:rPr>
            </w:pPr>
            <w:r w:rsidRPr="6E5B07DA">
              <w:rPr>
                <w:rFonts w:eastAsia="Calibri" w:cs="Calibri"/>
                <w:sz w:val="22"/>
                <w:szCs w:val="22"/>
              </w:rPr>
              <w:t>+/- 20% of</w:t>
            </w:r>
          </w:p>
          <w:p w14:paraId="7FFEC335" w14:textId="6163443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32.83%</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422ED82" w14:textId="67A1F7AE"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26.27% to 39.40% for safety.</w:t>
            </w:r>
          </w:p>
        </w:tc>
      </w:tr>
      <w:tr w:rsidR="6E5B07DA" w14:paraId="6CFF3BC6"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89787BB" w14:textId="4BBB2B3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9b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153E7E6" w14:textId="759D9CA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in compliance (health)</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D539E5D" w14:textId="1872035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44.90%</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DBBF23D" w14:textId="54E760D2" w:rsidR="6E5B07DA" w:rsidRDefault="6E5B07DA" w:rsidP="6E5B07DA">
            <w:pPr>
              <w:rPr>
                <w:rFonts w:eastAsia="Calibri" w:cs="Calibri"/>
                <w:sz w:val="22"/>
                <w:szCs w:val="22"/>
              </w:rPr>
            </w:pPr>
            <w:r w:rsidRPr="6E5B07DA">
              <w:rPr>
                <w:rFonts w:eastAsia="Calibri" w:cs="Calibri"/>
                <w:sz w:val="22"/>
                <w:szCs w:val="22"/>
              </w:rPr>
              <w:t>+/- 20% of</w:t>
            </w:r>
          </w:p>
          <w:p w14:paraId="7F20E771" w14:textId="1FAB2B0A"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44.18%</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51EF093" w14:textId="534A9C3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35.34% to 53.01% for health.</w:t>
            </w:r>
          </w:p>
        </w:tc>
      </w:tr>
      <w:tr w:rsidR="6E5B07DA" w14:paraId="4F02713F"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8C10983" w14:textId="05A46D7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10</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9190ED5" w14:textId="6D9C682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work-related fatalities responded to in one workday</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D23C4CC" w14:textId="66DF68F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92.42%</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1C9D2F5" w14:textId="3E9A7B6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100%</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D23014F" w14:textId="53C8444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fixed for all State Plans.</w:t>
            </w:r>
          </w:p>
        </w:tc>
      </w:tr>
      <w:tr w:rsidR="6E5B07DA" w14:paraId="5BF18CF0"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2A8648B" w14:textId="75B64C7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11a</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BE9BE24" w14:textId="1F5013A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lapse time (safety)</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288BA39" w14:textId="222FE098"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81.52</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1956EEE" w14:textId="221CC1C7" w:rsidR="6E5B07DA" w:rsidRDefault="6E5B07DA" w:rsidP="6E5B07DA">
            <w:pPr>
              <w:rPr>
                <w:rFonts w:eastAsia="Calibri" w:cs="Calibri"/>
                <w:sz w:val="22"/>
                <w:szCs w:val="22"/>
              </w:rPr>
            </w:pPr>
            <w:r w:rsidRPr="6E5B07DA">
              <w:rPr>
                <w:rFonts w:eastAsia="Calibri" w:cs="Calibri"/>
                <w:sz w:val="22"/>
                <w:szCs w:val="22"/>
              </w:rPr>
              <w:t>+/- 20% of 56.02</w:t>
            </w:r>
          </w:p>
          <w:p w14:paraId="53F187D8" w14:textId="43ACFF0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F58F257" w14:textId="111992F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44.82 to 67.23for safety.</w:t>
            </w:r>
          </w:p>
        </w:tc>
      </w:tr>
      <w:tr w:rsidR="6E5B07DA" w14:paraId="44FB47A0"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DE0CFDA" w14:textId="537C9D3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11b</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BC9B486" w14:textId="6822FC34"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lapse time (health)</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240BFF1" w14:textId="5ECE308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74.84</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5B95CD0" w14:textId="7B3642BF" w:rsidR="6E5B07DA" w:rsidRDefault="6E5B07DA" w:rsidP="6E5B07DA">
            <w:pPr>
              <w:rPr>
                <w:rFonts w:eastAsia="Calibri" w:cs="Calibri"/>
                <w:sz w:val="22"/>
                <w:szCs w:val="22"/>
              </w:rPr>
            </w:pPr>
            <w:r w:rsidRPr="6E5B07DA">
              <w:rPr>
                <w:rFonts w:eastAsia="Calibri" w:cs="Calibri"/>
                <w:sz w:val="22"/>
                <w:szCs w:val="22"/>
              </w:rPr>
              <w:t>+/- 20% of 67.21</w:t>
            </w:r>
          </w:p>
          <w:p w14:paraId="1B58DD25" w14:textId="799C8D0F"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 xml:space="preserve"> </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322882D" w14:textId="02EDCB5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53.77 to 80.65 for health.</w:t>
            </w:r>
          </w:p>
        </w:tc>
      </w:tr>
      <w:tr w:rsidR="6E5B07DA" w14:paraId="7F8D7AC1"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AA498C5" w14:textId="0203C2D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12</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88BAA1B" w14:textId="585FC284"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penalty retained</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8A4CF9B" w14:textId="3261FED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92.86%</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5BD2303" w14:textId="752E80DE" w:rsidR="6E5B07DA" w:rsidRDefault="6E5B07DA" w:rsidP="6E5B07DA">
            <w:pPr>
              <w:rPr>
                <w:rFonts w:eastAsia="Calibri" w:cs="Calibri"/>
                <w:sz w:val="22"/>
                <w:szCs w:val="22"/>
              </w:rPr>
            </w:pPr>
            <w:r w:rsidRPr="6E5B07DA">
              <w:rPr>
                <w:rFonts w:eastAsia="Calibri" w:cs="Calibri"/>
                <w:sz w:val="22"/>
                <w:szCs w:val="22"/>
              </w:rPr>
              <w:t>+/- 15% of</w:t>
            </w:r>
          </w:p>
          <w:p w14:paraId="5D20BF85" w14:textId="020CCAB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70.81%</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1FE4C4E" w14:textId="20141DC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60.19% to 81.44%.</w:t>
            </w:r>
          </w:p>
        </w:tc>
      </w:tr>
      <w:tr w:rsidR="6E5B07DA" w14:paraId="4A8630E4"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9713965" w14:textId="2334D04F"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13</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C802ACE" w14:textId="0730F89F"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initial inspections with worker walk-around representation or worker interview</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3469274" w14:textId="38EF4A2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99.74%</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2994294" w14:textId="160ADD3F"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100%</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1DBEC5D" w14:textId="77F920B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fixed for all State Plans.</w:t>
            </w:r>
          </w:p>
        </w:tc>
      </w:tr>
      <w:tr w:rsidR="6E5B07DA" w14:paraId="4CBC55F3"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1317C22" w14:textId="70F0114C"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14</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6EA043F" w14:textId="7A4693BA"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11(c) investigations completed within 90 days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660F5C9" w14:textId="1AC4C3D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7D07626" w14:textId="04E0084A"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B7B771C" w14:textId="4C5AC69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This measure is not being reported for FY 2024 due to the transition to the new SAMM measures starting in FY 2025.</w:t>
            </w:r>
          </w:p>
        </w:tc>
      </w:tr>
      <w:tr w:rsidR="6E5B07DA" w14:paraId="34415E65"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622B68F" w14:textId="2CF3F065"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15</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ADE30AE" w14:textId="6A9AD25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11(c) complaints that are meritorious</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C697A36" w14:textId="7E6B8C67"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C49D1A5" w14:textId="05E5B8C2"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05ACDF84" w14:textId="65524468"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This measure is not being reported for FY 2024 due to the transition to the new SAMM measures starting in FY 2025.</w:t>
            </w:r>
          </w:p>
        </w:tc>
      </w:tr>
      <w:tr w:rsidR="6E5B07DA" w14:paraId="70B63810"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C60911D" w14:textId="4D2FFA8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16</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29E628B9" w14:textId="26C01AA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Average number of calendar days to complete an 11(c) investigation</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5897CDDE" w14:textId="66F71156"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217A05F" w14:textId="5B6138E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N/A</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12019BF3" w14:textId="19475D5D"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This measure is not being reported for FY 2024 due to the transition to the new SAMM measures starting in FY 2025.</w:t>
            </w:r>
          </w:p>
        </w:tc>
      </w:tr>
      <w:tr w:rsidR="6E5B07DA" w14:paraId="76841064" w14:textId="77777777" w:rsidTr="00EC334F">
        <w:trPr>
          <w:trHeight w:val="300"/>
        </w:trPr>
        <w:tc>
          <w:tcPr>
            <w:tcW w:w="1070"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E1A144E" w14:textId="4C7932B0"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b/>
                <w:bCs/>
              </w:rPr>
            </w:pPr>
            <w:r w:rsidRPr="6E5B07DA">
              <w:rPr>
                <w:rFonts w:eastAsia="Calibri" w:cs="Calibri"/>
                <w:b/>
                <w:bCs/>
              </w:rPr>
              <w:t>17</w:t>
            </w:r>
          </w:p>
        </w:tc>
        <w:tc>
          <w:tcPr>
            <w:tcW w:w="1921"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7FDCFCA0" w14:textId="288DEAAB"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Percent of enforcement presence</w:t>
            </w:r>
          </w:p>
        </w:tc>
        <w:tc>
          <w:tcPr>
            <w:tcW w:w="1224"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6F5465C4" w14:textId="05BE4D43"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0.79%</w:t>
            </w:r>
          </w:p>
        </w:tc>
        <w:tc>
          <w:tcPr>
            <w:tcW w:w="1175"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39838FA4" w14:textId="473B8DA1" w:rsidR="6E5B07DA" w:rsidRDefault="6E5B07DA" w:rsidP="6E5B07DA">
            <w:pPr>
              <w:rPr>
                <w:rFonts w:eastAsia="Calibri" w:cs="Calibri"/>
                <w:sz w:val="22"/>
                <w:szCs w:val="22"/>
              </w:rPr>
            </w:pPr>
            <w:r w:rsidRPr="6E5B07DA">
              <w:rPr>
                <w:rFonts w:eastAsia="Calibri" w:cs="Calibri"/>
                <w:sz w:val="22"/>
                <w:szCs w:val="22"/>
              </w:rPr>
              <w:t>+/- 25% of</w:t>
            </w:r>
          </w:p>
          <w:p w14:paraId="1119AB68" w14:textId="6B479A91"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1.00%</w:t>
            </w:r>
          </w:p>
        </w:tc>
        <w:tc>
          <w:tcPr>
            <w:tcW w:w="3808" w:type="dxa"/>
            <w:tcBorders>
              <w:top w:val="single" w:sz="8" w:space="0" w:color="666666"/>
              <w:left w:val="single" w:sz="8" w:space="0" w:color="666666"/>
              <w:bottom w:val="single" w:sz="8" w:space="0" w:color="666666"/>
              <w:right w:val="single" w:sz="8" w:space="0" w:color="666666"/>
            </w:tcBorders>
            <w:tcMar>
              <w:left w:w="108" w:type="dxa"/>
              <w:right w:w="108" w:type="dxa"/>
            </w:tcMar>
          </w:tcPr>
          <w:p w14:paraId="4BB47AA6" w14:textId="4E255DDE" w:rsidR="6E5B07DA" w:rsidRDefault="6E5B07DA" w:rsidP="6E5B07D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Calibri"/>
                <w:sz w:val="22"/>
                <w:szCs w:val="22"/>
              </w:rPr>
            </w:pPr>
            <w:r w:rsidRPr="6E5B07DA">
              <w:rPr>
                <w:rFonts w:eastAsia="Calibri" w:cs="Calibri"/>
                <w:sz w:val="22"/>
                <w:szCs w:val="22"/>
              </w:rPr>
              <w:t>The further review level is based on a three-year national average.  The range of acceptable data not requiring further review is from 0.75% to 1.25%.</w:t>
            </w:r>
          </w:p>
        </w:tc>
      </w:tr>
    </w:tbl>
    <w:p w14:paraId="2605E0AE" w14:textId="45F4BD8D" w:rsidR="00724281" w:rsidRPr="00724281" w:rsidRDefault="291768F5" w:rsidP="6E5B07DA">
      <w:pPr>
        <w:widowControl/>
        <w:autoSpaceDE/>
        <w:autoSpaceDN/>
        <w:adjustRightInd/>
        <w:rPr>
          <w:rFonts w:eastAsia="Calibri" w:cs="Calibri"/>
          <w:b/>
          <w:bCs/>
          <w:sz w:val="28"/>
          <w:szCs w:val="28"/>
        </w:rPr>
      </w:pPr>
      <w:r w:rsidRPr="6E5B07DA">
        <w:rPr>
          <w:rFonts w:eastAsia="Calibri" w:cs="Calibri"/>
          <w:b/>
          <w:bCs/>
          <w:sz w:val="28"/>
          <w:szCs w:val="28"/>
        </w:rPr>
        <w:t xml:space="preserve"> </w:t>
      </w:r>
    </w:p>
    <w:p w14:paraId="53E4A233" w14:textId="4AA7E23D" w:rsidR="00724281" w:rsidRPr="00724281" w:rsidRDefault="291768F5" w:rsidP="6E5B07DA">
      <w:pPr>
        <w:widowControl/>
        <w:autoSpaceDE/>
        <w:autoSpaceDN/>
        <w:adjustRightInd/>
        <w:spacing w:after="160" w:line="257" w:lineRule="auto"/>
      </w:pPr>
      <w:r w:rsidRPr="6E5B07DA">
        <w:rPr>
          <w:rFonts w:eastAsia="Calibri" w:cs="Calibri"/>
          <w:sz w:val="22"/>
          <w:szCs w:val="22"/>
        </w:rPr>
        <w:t>NOTE:  The national averages in this report are three-year rolling averages.  Unless otherwise noted, the data contained in this Appendix D is pulled from the State Activity Mandated Measures (SAMM) Report in OIS and the State Plan WebIMIS report run on November 12, 2024, as part of OSHA’s official end-of-year data run.</w:t>
      </w:r>
      <w:r>
        <w:t xml:space="preserve"> </w:t>
      </w:r>
    </w:p>
    <w:p w14:paraId="49EF0522" w14:textId="5E27A845" w:rsidR="00724281" w:rsidRPr="00724281" w:rsidRDefault="00724281" w:rsidP="6E5B07DA">
      <w:pPr>
        <w:widowControl/>
        <w:autoSpaceDE/>
        <w:autoSpaceDN/>
        <w:adjustRightInd/>
      </w:pPr>
    </w:p>
    <w:p w14:paraId="0F50F75F" w14:textId="5061D79B" w:rsidR="6E5B07DA" w:rsidRDefault="6E5B07DA"/>
    <w:p w14:paraId="6573BAF6" w14:textId="1BA59D92" w:rsidR="00634539" w:rsidRPr="001C1E47" w:rsidRDefault="00634539" w:rsidP="6E5B07DA">
      <w:pPr>
        <w:widowControl/>
        <w:autoSpaceDE/>
        <w:autoSpaceDN/>
        <w:adjustRightInd/>
        <w:rPr>
          <w:rFonts w:eastAsia="Calibri" w:cs="Calibri"/>
        </w:rPr>
      </w:pPr>
    </w:p>
    <w:sectPr w:rsidR="00634539" w:rsidRPr="001C1E47" w:rsidSect="00931BA4">
      <w:headerReference w:type="default" r:id="rId31"/>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66A0" w14:textId="77777777" w:rsidR="00F037E7" w:rsidRDefault="00F037E7" w:rsidP="00C872A0">
      <w:r>
        <w:separator/>
      </w:r>
    </w:p>
  </w:endnote>
  <w:endnote w:type="continuationSeparator" w:id="0">
    <w:p w14:paraId="23637984" w14:textId="77777777" w:rsidR="00F037E7" w:rsidRDefault="00F037E7" w:rsidP="00C872A0">
      <w:r>
        <w:continuationSeparator/>
      </w:r>
    </w:p>
  </w:endnote>
  <w:endnote w:type="continuationNotice" w:id="1">
    <w:p w14:paraId="4DC26246" w14:textId="77777777" w:rsidR="00F037E7" w:rsidRDefault="00F0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443697"/>
      <w:docPartObj>
        <w:docPartGallery w:val="Page Numbers (Bottom of Page)"/>
        <w:docPartUnique/>
      </w:docPartObj>
    </w:sdtPr>
    <w:sdtEndPr>
      <w:rPr>
        <w:noProof/>
      </w:rPr>
    </w:sdtEndPr>
    <w:sdtContent>
      <w:p w14:paraId="31C420F8" w14:textId="0AF924A8" w:rsidR="006C603A" w:rsidRDefault="006C603A">
        <w:pPr>
          <w:pStyle w:val="Footer"/>
          <w:jc w:val="right"/>
        </w:pPr>
        <w:r>
          <w:fldChar w:fldCharType="begin"/>
        </w:r>
        <w:r>
          <w:instrText xml:space="preserve"> PAGE   \* MERGEFORMAT </w:instrText>
        </w:r>
        <w:r>
          <w:fldChar w:fldCharType="separate"/>
        </w:r>
        <w:r w:rsidR="00A7215E">
          <w:rPr>
            <w:noProof/>
          </w:rPr>
          <w:t>11</w:t>
        </w:r>
        <w:r>
          <w:rPr>
            <w:noProof/>
          </w:rPr>
          <w:fldChar w:fldCharType="end"/>
        </w:r>
      </w:p>
    </w:sdtContent>
  </w:sdt>
  <w:p w14:paraId="758E56D4" w14:textId="46174507" w:rsidR="006C603A" w:rsidRDefault="006C603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4D72" w14:textId="77777777" w:rsidR="006C603A" w:rsidRDefault="006C603A">
    <w:pPr>
      <w:pStyle w:val="Footer"/>
      <w:jc w:val="center"/>
    </w:pPr>
  </w:p>
  <w:p w14:paraId="0AB20AA6" w14:textId="77777777" w:rsidR="006C603A" w:rsidRDefault="006C603A"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048562"/>
      <w:docPartObj>
        <w:docPartGallery w:val="Page Numbers (Bottom of Page)"/>
        <w:docPartUnique/>
      </w:docPartObj>
    </w:sdtPr>
    <w:sdtEndPr>
      <w:rPr>
        <w:noProof/>
      </w:rPr>
    </w:sdtEndPr>
    <w:sdtContent>
      <w:p w14:paraId="4BC72A5B" w14:textId="378085D0" w:rsidR="006C603A" w:rsidRDefault="006C603A">
        <w:pPr>
          <w:pStyle w:val="Footer"/>
          <w:jc w:val="right"/>
        </w:pPr>
        <w:r>
          <w:fldChar w:fldCharType="begin"/>
        </w:r>
        <w:r>
          <w:instrText xml:space="preserve"> PAGE   \* MERGEFORMAT </w:instrText>
        </w:r>
        <w:r>
          <w:fldChar w:fldCharType="separate"/>
        </w:r>
        <w:r w:rsidR="00A7215E">
          <w:rPr>
            <w:noProof/>
          </w:rPr>
          <w:t>14</w:t>
        </w:r>
        <w:r>
          <w:rPr>
            <w:noProof/>
          </w:rPr>
          <w:fldChar w:fldCharType="end"/>
        </w:r>
      </w:p>
    </w:sdtContent>
  </w:sdt>
  <w:p w14:paraId="24A6DEBE" w14:textId="77777777" w:rsidR="006C603A" w:rsidRDefault="006C60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6706" w14:textId="0C1283B8" w:rsidR="006C603A" w:rsidRDefault="006C603A">
    <w:pPr>
      <w:pStyle w:val="Footer"/>
      <w:jc w:val="right"/>
    </w:pPr>
    <w:r>
      <w:fldChar w:fldCharType="begin"/>
    </w:r>
    <w:r>
      <w:instrText xml:space="preserve"> PAGE   \* MERGEFORMAT </w:instrText>
    </w:r>
    <w:r>
      <w:fldChar w:fldCharType="separate"/>
    </w:r>
    <w:r w:rsidR="00A7215E">
      <w:rPr>
        <w:noProof/>
      </w:rPr>
      <w:t>12</w:t>
    </w:r>
    <w:r>
      <w:rPr>
        <w:noProof/>
      </w:rPr>
      <w:fldChar w:fldCharType="end"/>
    </w:r>
  </w:p>
  <w:p w14:paraId="59B6D71E" w14:textId="77777777" w:rsidR="006C603A" w:rsidRDefault="006C60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0D64" w14:textId="77777777" w:rsidR="006C603A" w:rsidRDefault="006C603A">
    <w:pPr>
      <w:pStyle w:val="Footer"/>
      <w:jc w:val="center"/>
    </w:pPr>
    <w:r>
      <w:t>B-1</w:t>
    </w:r>
  </w:p>
  <w:p w14:paraId="1056AAF8" w14:textId="77777777" w:rsidR="006C603A" w:rsidRDefault="006C60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908652"/>
      <w:docPartObj>
        <w:docPartGallery w:val="Page Numbers (Bottom of Page)"/>
        <w:docPartUnique/>
      </w:docPartObj>
    </w:sdtPr>
    <w:sdtEndPr>
      <w:rPr>
        <w:noProof/>
      </w:rPr>
    </w:sdtEndPr>
    <w:sdtContent>
      <w:p w14:paraId="36FE32A0" w14:textId="60AFD9E3" w:rsidR="006C603A" w:rsidRDefault="006C603A">
        <w:pPr>
          <w:pStyle w:val="Footer"/>
          <w:jc w:val="right"/>
        </w:pPr>
        <w:r>
          <w:fldChar w:fldCharType="begin"/>
        </w:r>
        <w:r>
          <w:instrText xml:space="preserve"> PAGE   \* MERGEFORMAT </w:instrText>
        </w:r>
        <w:r>
          <w:fldChar w:fldCharType="separate"/>
        </w:r>
        <w:r w:rsidR="00A7215E">
          <w:rPr>
            <w:noProof/>
          </w:rPr>
          <w:t>22</w:t>
        </w:r>
        <w:r>
          <w:rPr>
            <w:noProof/>
          </w:rPr>
          <w:fldChar w:fldCharType="end"/>
        </w:r>
      </w:p>
    </w:sdtContent>
  </w:sdt>
  <w:p w14:paraId="7859AADA" w14:textId="7AB042DC" w:rsidR="006C603A" w:rsidRPr="000E07E7" w:rsidRDefault="006C603A"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F4DEA" w14:textId="77777777" w:rsidR="00F037E7" w:rsidRDefault="00F037E7" w:rsidP="00C872A0">
      <w:r>
        <w:separator/>
      </w:r>
    </w:p>
  </w:footnote>
  <w:footnote w:type="continuationSeparator" w:id="0">
    <w:p w14:paraId="40E268FA" w14:textId="77777777" w:rsidR="00F037E7" w:rsidRDefault="00F037E7" w:rsidP="00C872A0">
      <w:r>
        <w:continuationSeparator/>
      </w:r>
    </w:p>
  </w:footnote>
  <w:footnote w:type="continuationNotice" w:id="1">
    <w:p w14:paraId="26292DF0" w14:textId="77777777" w:rsidR="00F037E7" w:rsidRDefault="00F03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006C603A" w14:paraId="523846EC" w14:textId="77777777" w:rsidTr="433F6029">
      <w:trPr>
        <w:trHeight w:val="300"/>
      </w:trPr>
      <w:tc>
        <w:tcPr>
          <w:tcW w:w="3180" w:type="dxa"/>
        </w:tcPr>
        <w:p w14:paraId="23079779" w14:textId="5C75F35A" w:rsidR="006C603A" w:rsidRDefault="006C603A" w:rsidP="433F6029">
          <w:pPr>
            <w:pStyle w:val="Header"/>
            <w:ind w:left="-115"/>
          </w:pPr>
        </w:p>
      </w:tc>
      <w:tc>
        <w:tcPr>
          <w:tcW w:w="3180" w:type="dxa"/>
        </w:tcPr>
        <w:p w14:paraId="0135F703" w14:textId="014C18B9" w:rsidR="006C603A" w:rsidRDefault="006C603A" w:rsidP="433F6029">
          <w:pPr>
            <w:pStyle w:val="Header"/>
            <w:jc w:val="center"/>
          </w:pPr>
        </w:p>
      </w:tc>
      <w:tc>
        <w:tcPr>
          <w:tcW w:w="3180" w:type="dxa"/>
        </w:tcPr>
        <w:p w14:paraId="12FC7D57" w14:textId="401E34D4" w:rsidR="006C603A" w:rsidRDefault="006C603A" w:rsidP="433F6029">
          <w:pPr>
            <w:pStyle w:val="Header"/>
            <w:ind w:right="-115"/>
            <w:jc w:val="right"/>
          </w:pPr>
        </w:p>
      </w:tc>
    </w:tr>
  </w:tbl>
  <w:p w14:paraId="4EFD569C" w14:textId="2025915C" w:rsidR="006C603A" w:rsidRDefault="006C60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D749" w14:textId="77777777" w:rsidR="006C603A" w:rsidRPr="000C2F6C" w:rsidRDefault="006C603A" w:rsidP="00A75180">
    <w:pPr>
      <w:pStyle w:val="Heading4"/>
    </w:pPr>
    <w:r>
      <w:t>Appendix C - Status of FY 2023 Findings and Recommendations</w:t>
    </w:r>
  </w:p>
  <w:p w14:paraId="2F6BDCF8" w14:textId="77777777" w:rsidR="006C603A" w:rsidRPr="006D4712" w:rsidRDefault="006C603A" w:rsidP="00A75180">
    <w:pPr>
      <w:jc w:val="center"/>
    </w:pPr>
    <w:r>
      <w:t xml:space="preserve">FY 2024 </w:t>
    </w:r>
    <w:r w:rsidRPr="1E8FD191">
      <w:rPr>
        <w:color w:val="000000" w:themeColor="text1"/>
      </w:rPr>
      <w:t>Cal</w:t>
    </w:r>
    <w:r>
      <w:t>ifornia Division of Occupational Safety and Health</w:t>
    </w:r>
    <w:r w:rsidRPr="1E8FD191">
      <w:rPr>
        <w:color w:val="000000" w:themeColor="text1"/>
      </w:rPr>
      <w:t xml:space="preserve"> Follow-up </w:t>
    </w:r>
    <w:r>
      <w:t>FAME Report</w:t>
    </w:r>
  </w:p>
  <w:p w14:paraId="491AE7B3" w14:textId="28097FCE" w:rsidR="006C603A" w:rsidRPr="000767C0" w:rsidRDefault="006C603A" w:rsidP="009A2ED6">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9E69" w14:textId="155F6401" w:rsidR="006C603A" w:rsidRDefault="006C60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3644" w14:textId="77777777" w:rsidR="006C603A" w:rsidRPr="00724281" w:rsidRDefault="006C603A" w:rsidP="00390E96">
    <w:pPr>
      <w:widowControl/>
      <w:autoSpaceDE/>
      <w:autoSpaceDN/>
      <w:adjustRightInd/>
      <w:spacing w:before="120"/>
      <w:jc w:val="center"/>
      <w:rPr>
        <w:rFonts w:eastAsia="Calibri" w:cs="Calibri"/>
        <w:b/>
        <w:bCs/>
        <w:sz w:val="28"/>
        <w:szCs w:val="28"/>
      </w:rPr>
    </w:pPr>
    <w:r w:rsidRPr="6E5B07DA">
      <w:rPr>
        <w:rFonts w:eastAsia="Calibri" w:cs="Calibri"/>
        <w:b/>
        <w:bCs/>
        <w:sz w:val="28"/>
        <w:szCs w:val="28"/>
      </w:rPr>
      <w:t>Appendix D – FY 2024 State Activity Mandated Measures (SAMM) Report</w:t>
    </w:r>
  </w:p>
  <w:p w14:paraId="5AD1C623" w14:textId="77777777" w:rsidR="006C603A" w:rsidRPr="00724281" w:rsidRDefault="006C603A" w:rsidP="00390E96">
    <w:pPr>
      <w:widowControl/>
      <w:tabs>
        <w:tab w:val="center" w:pos="4680"/>
        <w:tab w:val="right" w:pos="9360"/>
      </w:tabs>
      <w:autoSpaceDE/>
      <w:autoSpaceDN/>
      <w:adjustRightInd/>
      <w:jc w:val="center"/>
      <w:rPr>
        <w:rFonts w:eastAsia="Calibri" w:cs="Calibri"/>
      </w:rPr>
    </w:pPr>
    <w:r w:rsidRPr="6E5B07DA">
      <w:rPr>
        <w:rFonts w:eastAsia="Calibri" w:cs="Calibri"/>
      </w:rPr>
      <w:t>FY 2024 CAL/OSHA Follow-up FAME Report</w:t>
    </w:r>
  </w:p>
  <w:p w14:paraId="0022E3DF" w14:textId="77777777" w:rsidR="006C603A" w:rsidRPr="000767C0" w:rsidRDefault="006C603A" w:rsidP="00390E9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006C603A" w14:paraId="13AC7CCA" w14:textId="77777777" w:rsidTr="433F6029">
      <w:trPr>
        <w:trHeight w:val="300"/>
      </w:trPr>
      <w:tc>
        <w:tcPr>
          <w:tcW w:w="3180" w:type="dxa"/>
        </w:tcPr>
        <w:p w14:paraId="02B7E68D" w14:textId="14FCF20C" w:rsidR="006C603A" w:rsidRDefault="006C603A" w:rsidP="433F6029">
          <w:pPr>
            <w:pStyle w:val="Header"/>
            <w:ind w:left="-115"/>
          </w:pPr>
        </w:p>
      </w:tc>
      <w:tc>
        <w:tcPr>
          <w:tcW w:w="3180" w:type="dxa"/>
        </w:tcPr>
        <w:p w14:paraId="7C46A96E" w14:textId="422537C4" w:rsidR="006C603A" w:rsidRDefault="006C603A" w:rsidP="433F6029">
          <w:pPr>
            <w:pStyle w:val="Header"/>
            <w:jc w:val="center"/>
          </w:pPr>
        </w:p>
      </w:tc>
      <w:tc>
        <w:tcPr>
          <w:tcW w:w="3180" w:type="dxa"/>
        </w:tcPr>
        <w:p w14:paraId="7D47B955" w14:textId="74D59469" w:rsidR="006C603A" w:rsidRDefault="006C603A" w:rsidP="433F6029">
          <w:pPr>
            <w:pStyle w:val="Header"/>
            <w:ind w:right="-115"/>
            <w:jc w:val="right"/>
          </w:pPr>
        </w:p>
      </w:tc>
    </w:tr>
  </w:tbl>
  <w:p w14:paraId="2582E5AC" w14:textId="018BBB47" w:rsidR="006C603A" w:rsidRDefault="006C6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F0EF" w14:textId="1CDF338E" w:rsidR="006C603A" w:rsidRDefault="006C60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59F0" w14:textId="39C9A009" w:rsidR="006C603A" w:rsidRPr="00B6741C" w:rsidRDefault="006C603A" w:rsidP="00B67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A15F" w14:textId="1B1C0457" w:rsidR="006C603A" w:rsidRPr="00B6741C" w:rsidRDefault="006C603A" w:rsidP="00B67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30FA" w14:textId="2206EFB4" w:rsidR="006C603A" w:rsidRDefault="006C60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3BBA5" w14:textId="7F269704" w:rsidR="006C603A" w:rsidRDefault="006C60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CA39" w14:textId="041C9C04" w:rsidR="006C603A" w:rsidRPr="00283FF9" w:rsidRDefault="006C603A" w:rsidP="007D61BA">
    <w:pPr>
      <w:pStyle w:val="Heading2"/>
    </w:pPr>
    <w:r w:rsidRPr="00283FF9">
      <w:t>Appendix B – Observations and Federal Monitoring Plans</w:t>
    </w:r>
  </w:p>
  <w:p w14:paraId="5EEDD947" w14:textId="7B32B4C1" w:rsidR="006C603A" w:rsidRDefault="006C603A" w:rsidP="000A134A">
    <w:pPr>
      <w:jc w:val="center"/>
    </w:pPr>
    <w:r>
      <w:t>FY 2022 [</w:t>
    </w:r>
    <w:r>
      <w:rPr>
        <w:i/>
      </w:rPr>
      <w:t>State Plan Name</w:t>
    </w:r>
    <w:r w:rsidRPr="001056A7">
      <w:t>]</w:t>
    </w:r>
    <w:r w:rsidRPr="003E7A6E">
      <w:t xml:space="preserve"> </w:t>
    </w:r>
    <w:r>
      <w:t>Follow-up FAME Report</w:t>
    </w:r>
  </w:p>
  <w:p w14:paraId="65B55A33" w14:textId="77777777" w:rsidR="006C603A" w:rsidRDefault="006C603A" w:rsidP="000A134A">
    <w:pPr>
      <w:jc w:val="center"/>
    </w:pPr>
  </w:p>
  <w:p w14:paraId="79523575" w14:textId="77777777" w:rsidR="006C603A" w:rsidRDefault="006C603A" w:rsidP="000A134A">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D1F0" w14:textId="078C2F91" w:rsidR="006C603A" w:rsidRDefault="006C603A">
    <w:pPr>
      <w:pStyle w:val="Header"/>
    </w:pPr>
  </w:p>
</w:hdr>
</file>

<file path=word/intelligence2.xml><?xml version="1.0" encoding="utf-8"?>
<int2:intelligence xmlns:int2="http://schemas.microsoft.com/office/intelligence/2020/intelligence" xmlns:oel="http://schemas.microsoft.com/office/2019/extlst">
  <int2:observations>
    <int2:textHash int2:hashCode="4V37vYiwaDHpD1" int2:id="VxGctyoG">
      <int2:state int2:value="Rejected" int2:type="AugLoop_Text_Critique"/>
    </int2:textHash>
    <int2:bookmark int2:bookmarkName="_Int_qse19QJa" int2:invalidationBookmarkName="" int2:hashCode="O7HSLWmLqs1LsS" int2:id="5iHOzCwM">
      <int2:state int2:value="Rejected" int2:type="AugLoop_Text_Critique"/>
    </int2:bookmark>
    <int2:bookmark int2:bookmarkName="_Int_KHW00FJj" int2:invalidationBookmarkName="" int2:hashCode="O7HSLWmLqs1LsS" int2:id="FfxmNgR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576053"/>
    <w:multiLevelType w:val="hybridMultilevel"/>
    <w:tmpl w:val="1BD2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493BE2"/>
    <w:multiLevelType w:val="hybridMultilevel"/>
    <w:tmpl w:val="1A9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1C0FD2"/>
    <w:multiLevelType w:val="hybridMultilevel"/>
    <w:tmpl w:val="FC3873B4"/>
    <w:lvl w:ilvl="0" w:tplc="B3C2BD18">
      <w:start w:val="3"/>
      <w:numFmt w:val="upperLetter"/>
      <w:lvlText w:val="%1."/>
      <w:lvlJc w:val="left"/>
      <w:pPr>
        <w:ind w:left="684" w:hanging="372"/>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6"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14163D8B"/>
    <w:multiLevelType w:val="hybridMultilevel"/>
    <w:tmpl w:val="B7908FD8"/>
    <w:lvl w:ilvl="0" w:tplc="329CD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210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E8935DA"/>
    <w:multiLevelType w:val="hybridMultilevel"/>
    <w:tmpl w:val="C2000280"/>
    <w:lvl w:ilvl="0" w:tplc="21BCA03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8D3717"/>
    <w:multiLevelType w:val="hybridMultilevel"/>
    <w:tmpl w:val="330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B1339E"/>
    <w:multiLevelType w:val="hybridMultilevel"/>
    <w:tmpl w:val="F760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EC0AAA"/>
    <w:multiLevelType w:val="hybridMultilevel"/>
    <w:tmpl w:val="AD5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574404A1"/>
    <w:multiLevelType w:val="hybridMultilevel"/>
    <w:tmpl w:val="969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B380CB4"/>
    <w:multiLevelType w:val="hybridMultilevel"/>
    <w:tmpl w:val="1B6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E042A5C"/>
    <w:multiLevelType w:val="hybridMultilevel"/>
    <w:tmpl w:val="6A7C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24357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6103302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590165211">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90918">
    <w:abstractNumId w:val="40"/>
  </w:num>
  <w:num w:numId="5" w16cid:durableId="50809727">
    <w:abstractNumId w:val="36"/>
  </w:num>
  <w:num w:numId="6" w16cid:durableId="1626816030">
    <w:abstractNumId w:val="30"/>
  </w:num>
  <w:num w:numId="7" w16cid:durableId="1136336890">
    <w:abstractNumId w:val="31"/>
  </w:num>
  <w:num w:numId="8" w16cid:durableId="82148702">
    <w:abstractNumId w:val="38"/>
  </w:num>
  <w:num w:numId="9" w16cid:durableId="1813785696">
    <w:abstractNumId w:val="34"/>
  </w:num>
  <w:num w:numId="10" w16cid:durableId="1404523310">
    <w:abstractNumId w:val="42"/>
  </w:num>
  <w:num w:numId="11" w16cid:durableId="1495098999">
    <w:abstractNumId w:val="26"/>
  </w:num>
  <w:num w:numId="12" w16cid:durableId="1209957742">
    <w:abstractNumId w:val="29"/>
  </w:num>
  <w:num w:numId="13" w16cid:durableId="628173551">
    <w:abstractNumId w:val="28"/>
  </w:num>
  <w:num w:numId="14" w16cid:durableId="2006588147">
    <w:abstractNumId w:val="39"/>
  </w:num>
  <w:num w:numId="15" w16cid:durableId="1789155490">
    <w:abstractNumId w:val="32"/>
  </w:num>
  <w:num w:numId="16" w16cid:durableId="1299846050">
    <w:abstractNumId w:val="37"/>
  </w:num>
  <w:num w:numId="17" w16cid:durableId="857158072">
    <w:abstractNumId w:val="43"/>
  </w:num>
  <w:num w:numId="18" w16cid:durableId="780992585">
    <w:abstractNumId w:val="33"/>
  </w:num>
  <w:num w:numId="19" w16cid:durableId="1527910365">
    <w:abstractNumId w:val="23"/>
  </w:num>
  <w:num w:numId="20" w16cid:durableId="1143430734">
    <w:abstractNumId w:val="41"/>
  </w:num>
  <w:num w:numId="21" w16cid:durableId="573591859">
    <w:abstractNumId w:val="24"/>
  </w:num>
  <w:num w:numId="22" w16cid:durableId="613632728">
    <w:abstractNumId w:val="35"/>
  </w:num>
  <w:num w:numId="23" w16cid:durableId="112747014">
    <w:abstractNumId w:val="25"/>
  </w:num>
  <w:num w:numId="24" w16cid:durableId="136744037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06"/>
    <w:rsid w:val="000003C7"/>
    <w:rsid w:val="00000517"/>
    <w:rsid w:val="00000F37"/>
    <w:rsid w:val="000011DF"/>
    <w:rsid w:val="0000201A"/>
    <w:rsid w:val="00002B73"/>
    <w:rsid w:val="00002BB6"/>
    <w:rsid w:val="00002D3A"/>
    <w:rsid w:val="00002E69"/>
    <w:rsid w:val="000036AB"/>
    <w:rsid w:val="000036E8"/>
    <w:rsid w:val="00003B24"/>
    <w:rsid w:val="000040AE"/>
    <w:rsid w:val="00004200"/>
    <w:rsid w:val="00004531"/>
    <w:rsid w:val="00004857"/>
    <w:rsid w:val="00005DF3"/>
    <w:rsid w:val="000069EF"/>
    <w:rsid w:val="00007781"/>
    <w:rsid w:val="000108DB"/>
    <w:rsid w:val="00010CB9"/>
    <w:rsid w:val="00011366"/>
    <w:rsid w:val="000116C0"/>
    <w:rsid w:val="00013493"/>
    <w:rsid w:val="00013FCD"/>
    <w:rsid w:val="000147A3"/>
    <w:rsid w:val="00014C7A"/>
    <w:rsid w:val="000155E2"/>
    <w:rsid w:val="00015692"/>
    <w:rsid w:val="00015B68"/>
    <w:rsid w:val="00015BF5"/>
    <w:rsid w:val="00016214"/>
    <w:rsid w:val="00016803"/>
    <w:rsid w:val="00016E19"/>
    <w:rsid w:val="0001706D"/>
    <w:rsid w:val="000171D4"/>
    <w:rsid w:val="00017349"/>
    <w:rsid w:val="00017821"/>
    <w:rsid w:val="00017E2B"/>
    <w:rsid w:val="00021274"/>
    <w:rsid w:val="00021741"/>
    <w:rsid w:val="000217D1"/>
    <w:rsid w:val="00021A1C"/>
    <w:rsid w:val="00021FE0"/>
    <w:rsid w:val="000223F8"/>
    <w:rsid w:val="00022BEE"/>
    <w:rsid w:val="00023835"/>
    <w:rsid w:val="00023E67"/>
    <w:rsid w:val="000248F0"/>
    <w:rsid w:val="0002572C"/>
    <w:rsid w:val="00025F57"/>
    <w:rsid w:val="00026130"/>
    <w:rsid w:val="00026D63"/>
    <w:rsid w:val="00027093"/>
    <w:rsid w:val="00027E15"/>
    <w:rsid w:val="000300A7"/>
    <w:rsid w:val="00030501"/>
    <w:rsid w:val="0003145B"/>
    <w:rsid w:val="00031BA3"/>
    <w:rsid w:val="00031FB7"/>
    <w:rsid w:val="0003331D"/>
    <w:rsid w:val="0003386B"/>
    <w:rsid w:val="00033D37"/>
    <w:rsid w:val="0003442F"/>
    <w:rsid w:val="00034A4E"/>
    <w:rsid w:val="00035083"/>
    <w:rsid w:val="0003531B"/>
    <w:rsid w:val="0003567C"/>
    <w:rsid w:val="000363CC"/>
    <w:rsid w:val="00036865"/>
    <w:rsid w:val="00036A5F"/>
    <w:rsid w:val="00036BF8"/>
    <w:rsid w:val="00036EB4"/>
    <w:rsid w:val="00036F0D"/>
    <w:rsid w:val="000375F0"/>
    <w:rsid w:val="00037DDD"/>
    <w:rsid w:val="00037F48"/>
    <w:rsid w:val="000404ED"/>
    <w:rsid w:val="000410A4"/>
    <w:rsid w:val="000414FB"/>
    <w:rsid w:val="00041916"/>
    <w:rsid w:val="00042223"/>
    <w:rsid w:val="00042327"/>
    <w:rsid w:val="00042534"/>
    <w:rsid w:val="000425FB"/>
    <w:rsid w:val="00043515"/>
    <w:rsid w:val="000438FC"/>
    <w:rsid w:val="00044436"/>
    <w:rsid w:val="000447C9"/>
    <w:rsid w:val="000449F8"/>
    <w:rsid w:val="00044BEE"/>
    <w:rsid w:val="00045479"/>
    <w:rsid w:val="000457F8"/>
    <w:rsid w:val="00045B1F"/>
    <w:rsid w:val="00045BD6"/>
    <w:rsid w:val="00045C51"/>
    <w:rsid w:val="00045C72"/>
    <w:rsid w:val="00046151"/>
    <w:rsid w:val="00046358"/>
    <w:rsid w:val="000468C6"/>
    <w:rsid w:val="00046BEE"/>
    <w:rsid w:val="00046CA2"/>
    <w:rsid w:val="00046E13"/>
    <w:rsid w:val="000470EE"/>
    <w:rsid w:val="0004731C"/>
    <w:rsid w:val="0004770B"/>
    <w:rsid w:val="00047F37"/>
    <w:rsid w:val="0005007B"/>
    <w:rsid w:val="00050FEB"/>
    <w:rsid w:val="000517FA"/>
    <w:rsid w:val="000519B9"/>
    <w:rsid w:val="00051D1A"/>
    <w:rsid w:val="00051D4F"/>
    <w:rsid w:val="00051F13"/>
    <w:rsid w:val="00052B36"/>
    <w:rsid w:val="0005304F"/>
    <w:rsid w:val="000535E9"/>
    <w:rsid w:val="000535EC"/>
    <w:rsid w:val="00053892"/>
    <w:rsid w:val="00053A2C"/>
    <w:rsid w:val="00053EE3"/>
    <w:rsid w:val="00054416"/>
    <w:rsid w:val="0005484F"/>
    <w:rsid w:val="00054900"/>
    <w:rsid w:val="00055243"/>
    <w:rsid w:val="0005543A"/>
    <w:rsid w:val="000557CD"/>
    <w:rsid w:val="00055B40"/>
    <w:rsid w:val="00055F2C"/>
    <w:rsid w:val="00056B81"/>
    <w:rsid w:val="00056D72"/>
    <w:rsid w:val="00057668"/>
    <w:rsid w:val="00057840"/>
    <w:rsid w:val="00060D39"/>
    <w:rsid w:val="00061498"/>
    <w:rsid w:val="00061875"/>
    <w:rsid w:val="00061986"/>
    <w:rsid w:val="00061A66"/>
    <w:rsid w:val="00062074"/>
    <w:rsid w:val="00062595"/>
    <w:rsid w:val="000625FB"/>
    <w:rsid w:val="00062A37"/>
    <w:rsid w:val="00063521"/>
    <w:rsid w:val="0006398D"/>
    <w:rsid w:val="00063FFB"/>
    <w:rsid w:val="00064025"/>
    <w:rsid w:val="000646F4"/>
    <w:rsid w:val="000648C7"/>
    <w:rsid w:val="00065098"/>
    <w:rsid w:val="00065AB2"/>
    <w:rsid w:val="00065BE7"/>
    <w:rsid w:val="0006611A"/>
    <w:rsid w:val="00066159"/>
    <w:rsid w:val="0006678E"/>
    <w:rsid w:val="000668D4"/>
    <w:rsid w:val="00066A7B"/>
    <w:rsid w:val="00066C52"/>
    <w:rsid w:val="00067282"/>
    <w:rsid w:val="000673DE"/>
    <w:rsid w:val="000675E0"/>
    <w:rsid w:val="000701E4"/>
    <w:rsid w:val="0007073F"/>
    <w:rsid w:val="0007074E"/>
    <w:rsid w:val="000711B5"/>
    <w:rsid w:val="0007157F"/>
    <w:rsid w:val="00071E71"/>
    <w:rsid w:val="00071EFB"/>
    <w:rsid w:val="000721DE"/>
    <w:rsid w:val="000724F1"/>
    <w:rsid w:val="000725E8"/>
    <w:rsid w:val="00072A08"/>
    <w:rsid w:val="0007306B"/>
    <w:rsid w:val="000730C5"/>
    <w:rsid w:val="000743D1"/>
    <w:rsid w:val="00074876"/>
    <w:rsid w:val="0007516F"/>
    <w:rsid w:val="000755F9"/>
    <w:rsid w:val="000760CB"/>
    <w:rsid w:val="00076498"/>
    <w:rsid w:val="00076601"/>
    <w:rsid w:val="000767C0"/>
    <w:rsid w:val="00077410"/>
    <w:rsid w:val="00077945"/>
    <w:rsid w:val="00077C19"/>
    <w:rsid w:val="00080B49"/>
    <w:rsid w:val="00081A86"/>
    <w:rsid w:val="00082109"/>
    <w:rsid w:val="000832C2"/>
    <w:rsid w:val="0008358A"/>
    <w:rsid w:val="00083A76"/>
    <w:rsid w:val="00084184"/>
    <w:rsid w:val="000844D4"/>
    <w:rsid w:val="0008501B"/>
    <w:rsid w:val="00085133"/>
    <w:rsid w:val="00085230"/>
    <w:rsid w:val="00085265"/>
    <w:rsid w:val="00085454"/>
    <w:rsid w:val="00085A36"/>
    <w:rsid w:val="00086413"/>
    <w:rsid w:val="0008696D"/>
    <w:rsid w:val="00086F2F"/>
    <w:rsid w:val="000873EE"/>
    <w:rsid w:val="0008741D"/>
    <w:rsid w:val="0008759E"/>
    <w:rsid w:val="00087EE9"/>
    <w:rsid w:val="00090155"/>
    <w:rsid w:val="000902ED"/>
    <w:rsid w:val="00090423"/>
    <w:rsid w:val="00090528"/>
    <w:rsid w:val="00090532"/>
    <w:rsid w:val="00090E63"/>
    <w:rsid w:val="0009134A"/>
    <w:rsid w:val="00091ABD"/>
    <w:rsid w:val="00091AE2"/>
    <w:rsid w:val="00091B54"/>
    <w:rsid w:val="000923E0"/>
    <w:rsid w:val="00092555"/>
    <w:rsid w:val="000929B5"/>
    <w:rsid w:val="00092AD7"/>
    <w:rsid w:val="00092F1B"/>
    <w:rsid w:val="00093239"/>
    <w:rsid w:val="00093E2F"/>
    <w:rsid w:val="000942E5"/>
    <w:rsid w:val="00094815"/>
    <w:rsid w:val="00094C20"/>
    <w:rsid w:val="00094F96"/>
    <w:rsid w:val="0009535D"/>
    <w:rsid w:val="0009583F"/>
    <w:rsid w:val="00095955"/>
    <w:rsid w:val="00095BFE"/>
    <w:rsid w:val="00096227"/>
    <w:rsid w:val="00096784"/>
    <w:rsid w:val="000969E2"/>
    <w:rsid w:val="000A047C"/>
    <w:rsid w:val="000A132C"/>
    <w:rsid w:val="000A134A"/>
    <w:rsid w:val="000A1475"/>
    <w:rsid w:val="000A1CE9"/>
    <w:rsid w:val="000A2DE7"/>
    <w:rsid w:val="000A34EB"/>
    <w:rsid w:val="000A3878"/>
    <w:rsid w:val="000A3999"/>
    <w:rsid w:val="000A40EC"/>
    <w:rsid w:val="000A4423"/>
    <w:rsid w:val="000A52DE"/>
    <w:rsid w:val="000A55DB"/>
    <w:rsid w:val="000A649F"/>
    <w:rsid w:val="000A658C"/>
    <w:rsid w:val="000A65B2"/>
    <w:rsid w:val="000A7279"/>
    <w:rsid w:val="000A74CC"/>
    <w:rsid w:val="000A75F6"/>
    <w:rsid w:val="000A7896"/>
    <w:rsid w:val="000A7A05"/>
    <w:rsid w:val="000B04BE"/>
    <w:rsid w:val="000B07D7"/>
    <w:rsid w:val="000B13F2"/>
    <w:rsid w:val="000B17DF"/>
    <w:rsid w:val="000B1A5B"/>
    <w:rsid w:val="000B1ECC"/>
    <w:rsid w:val="000B22E4"/>
    <w:rsid w:val="000B3A37"/>
    <w:rsid w:val="000B3DA0"/>
    <w:rsid w:val="000B41BD"/>
    <w:rsid w:val="000B440B"/>
    <w:rsid w:val="000B4852"/>
    <w:rsid w:val="000B6183"/>
    <w:rsid w:val="000B6A8A"/>
    <w:rsid w:val="000B781D"/>
    <w:rsid w:val="000C04C6"/>
    <w:rsid w:val="000C0E15"/>
    <w:rsid w:val="000C0F37"/>
    <w:rsid w:val="000C128A"/>
    <w:rsid w:val="000C12C6"/>
    <w:rsid w:val="000C1882"/>
    <w:rsid w:val="000C1951"/>
    <w:rsid w:val="000C1ED8"/>
    <w:rsid w:val="000C295F"/>
    <w:rsid w:val="000C2E38"/>
    <w:rsid w:val="000C2E74"/>
    <w:rsid w:val="000C2F6C"/>
    <w:rsid w:val="000C368E"/>
    <w:rsid w:val="000C3803"/>
    <w:rsid w:val="000C38BD"/>
    <w:rsid w:val="000C4141"/>
    <w:rsid w:val="000C43DE"/>
    <w:rsid w:val="000C46E4"/>
    <w:rsid w:val="000C5051"/>
    <w:rsid w:val="000C5898"/>
    <w:rsid w:val="000C5963"/>
    <w:rsid w:val="000C5C82"/>
    <w:rsid w:val="000C62D7"/>
    <w:rsid w:val="000C634A"/>
    <w:rsid w:val="000C6722"/>
    <w:rsid w:val="000C6E68"/>
    <w:rsid w:val="000C721C"/>
    <w:rsid w:val="000C7C9A"/>
    <w:rsid w:val="000D1A55"/>
    <w:rsid w:val="000D1C89"/>
    <w:rsid w:val="000D2035"/>
    <w:rsid w:val="000D343F"/>
    <w:rsid w:val="000D433A"/>
    <w:rsid w:val="000D4560"/>
    <w:rsid w:val="000D4A64"/>
    <w:rsid w:val="000D58F7"/>
    <w:rsid w:val="000D6253"/>
    <w:rsid w:val="000D6650"/>
    <w:rsid w:val="000D66B3"/>
    <w:rsid w:val="000D6F75"/>
    <w:rsid w:val="000D6F9E"/>
    <w:rsid w:val="000D750A"/>
    <w:rsid w:val="000D787B"/>
    <w:rsid w:val="000D7AAD"/>
    <w:rsid w:val="000E0408"/>
    <w:rsid w:val="000E05EF"/>
    <w:rsid w:val="000E07E7"/>
    <w:rsid w:val="000E0859"/>
    <w:rsid w:val="000E0D02"/>
    <w:rsid w:val="000E0DD1"/>
    <w:rsid w:val="000E12ED"/>
    <w:rsid w:val="000E1AA2"/>
    <w:rsid w:val="000E1F86"/>
    <w:rsid w:val="000E20A2"/>
    <w:rsid w:val="000E2768"/>
    <w:rsid w:val="000E2B90"/>
    <w:rsid w:val="000E30B1"/>
    <w:rsid w:val="000E4098"/>
    <w:rsid w:val="000E46F3"/>
    <w:rsid w:val="000E47C6"/>
    <w:rsid w:val="000E5C64"/>
    <w:rsid w:val="000E6466"/>
    <w:rsid w:val="000E7869"/>
    <w:rsid w:val="000E7D9B"/>
    <w:rsid w:val="000E7F42"/>
    <w:rsid w:val="000F152A"/>
    <w:rsid w:val="000F171A"/>
    <w:rsid w:val="000F1D68"/>
    <w:rsid w:val="000F1E49"/>
    <w:rsid w:val="000F1ED8"/>
    <w:rsid w:val="000F21BE"/>
    <w:rsid w:val="000F29B5"/>
    <w:rsid w:val="000F3F2D"/>
    <w:rsid w:val="000F400D"/>
    <w:rsid w:val="000F46ED"/>
    <w:rsid w:val="000F4DA3"/>
    <w:rsid w:val="000F5631"/>
    <w:rsid w:val="000F59B9"/>
    <w:rsid w:val="000F5A36"/>
    <w:rsid w:val="000F5CC4"/>
    <w:rsid w:val="000F63C1"/>
    <w:rsid w:val="000F6A5C"/>
    <w:rsid w:val="000F6AE6"/>
    <w:rsid w:val="000F778F"/>
    <w:rsid w:val="000F7ECC"/>
    <w:rsid w:val="00100C88"/>
    <w:rsid w:val="00100FF7"/>
    <w:rsid w:val="00101FBD"/>
    <w:rsid w:val="001039FA"/>
    <w:rsid w:val="001043CA"/>
    <w:rsid w:val="001056A7"/>
    <w:rsid w:val="00105A0B"/>
    <w:rsid w:val="00106BD9"/>
    <w:rsid w:val="00106C61"/>
    <w:rsid w:val="00107BA5"/>
    <w:rsid w:val="00107D6C"/>
    <w:rsid w:val="0011011A"/>
    <w:rsid w:val="00110CA7"/>
    <w:rsid w:val="00110CB0"/>
    <w:rsid w:val="00110D00"/>
    <w:rsid w:val="001113A1"/>
    <w:rsid w:val="00112610"/>
    <w:rsid w:val="00112C81"/>
    <w:rsid w:val="0011326F"/>
    <w:rsid w:val="001143D7"/>
    <w:rsid w:val="001144C1"/>
    <w:rsid w:val="00114599"/>
    <w:rsid w:val="0011522A"/>
    <w:rsid w:val="00115B48"/>
    <w:rsid w:val="00115BA7"/>
    <w:rsid w:val="00115DF5"/>
    <w:rsid w:val="00116055"/>
    <w:rsid w:val="0011675C"/>
    <w:rsid w:val="00116AF2"/>
    <w:rsid w:val="001170E4"/>
    <w:rsid w:val="00117115"/>
    <w:rsid w:val="0011725E"/>
    <w:rsid w:val="001174A0"/>
    <w:rsid w:val="001177AE"/>
    <w:rsid w:val="00117986"/>
    <w:rsid w:val="00117EA1"/>
    <w:rsid w:val="001206B1"/>
    <w:rsid w:val="00120DD2"/>
    <w:rsid w:val="00121309"/>
    <w:rsid w:val="0012164B"/>
    <w:rsid w:val="00121767"/>
    <w:rsid w:val="00121EAB"/>
    <w:rsid w:val="00122228"/>
    <w:rsid w:val="0012279E"/>
    <w:rsid w:val="001227C5"/>
    <w:rsid w:val="00122839"/>
    <w:rsid w:val="00122BD3"/>
    <w:rsid w:val="001231C5"/>
    <w:rsid w:val="001234D6"/>
    <w:rsid w:val="00123AC4"/>
    <w:rsid w:val="00123DC4"/>
    <w:rsid w:val="0012471F"/>
    <w:rsid w:val="00125065"/>
    <w:rsid w:val="00125345"/>
    <w:rsid w:val="00125C8A"/>
    <w:rsid w:val="00126246"/>
    <w:rsid w:val="00126880"/>
    <w:rsid w:val="0012697E"/>
    <w:rsid w:val="00126EF4"/>
    <w:rsid w:val="00130F14"/>
    <w:rsid w:val="00131D25"/>
    <w:rsid w:val="0013240F"/>
    <w:rsid w:val="001325A7"/>
    <w:rsid w:val="00132862"/>
    <w:rsid w:val="00132F71"/>
    <w:rsid w:val="001330E6"/>
    <w:rsid w:val="0013376F"/>
    <w:rsid w:val="00133E6E"/>
    <w:rsid w:val="001341FE"/>
    <w:rsid w:val="0013433F"/>
    <w:rsid w:val="001348DB"/>
    <w:rsid w:val="00134F5C"/>
    <w:rsid w:val="00134F5D"/>
    <w:rsid w:val="001358F0"/>
    <w:rsid w:val="00135961"/>
    <w:rsid w:val="0013625C"/>
    <w:rsid w:val="00136DA3"/>
    <w:rsid w:val="001376D1"/>
    <w:rsid w:val="00140267"/>
    <w:rsid w:val="001404F3"/>
    <w:rsid w:val="00140C21"/>
    <w:rsid w:val="00141758"/>
    <w:rsid w:val="0014199D"/>
    <w:rsid w:val="00142198"/>
    <w:rsid w:val="0014276A"/>
    <w:rsid w:val="00142DFA"/>
    <w:rsid w:val="0014328E"/>
    <w:rsid w:val="001433B5"/>
    <w:rsid w:val="00143840"/>
    <w:rsid w:val="00143ACD"/>
    <w:rsid w:val="0014420A"/>
    <w:rsid w:val="00144583"/>
    <w:rsid w:val="00144A53"/>
    <w:rsid w:val="00144ED7"/>
    <w:rsid w:val="001456A8"/>
    <w:rsid w:val="00145793"/>
    <w:rsid w:val="00145BC1"/>
    <w:rsid w:val="00146226"/>
    <w:rsid w:val="001469F6"/>
    <w:rsid w:val="001471B8"/>
    <w:rsid w:val="00147B01"/>
    <w:rsid w:val="00147F8B"/>
    <w:rsid w:val="001502DB"/>
    <w:rsid w:val="00150D7B"/>
    <w:rsid w:val="00150F03"/>
    <w:rsid w:val="001512AF"/>
    <w:rsid w:val="001515BB"/>
    <w:rsid w:val="001519C4"/>
    <w:rsid w:val="00151CFD"/>
    <w:rsid w:val="00152207"/>
    <w:rsid w:val="00152FB0"/>
    <w:rsid w:val="00154318"/>
    <w:rsid w:val="0015518A"/>
    <w:rsid w:val="00155591"/>
    <w:rsid w:val="00155B4E"/>
    <w:rsid w:val="00156CD6"/>
    <w:rsid w:val="00156E0C"/>
    <w:rsid w:val="001570E7"/>
    <w:rsid w:val="00157490"/>
    <w:rsid w:val="00157520"/>
    <w:rsid w:val="00160934"/>
    <w:rsid w:val="00161740"/>
    <w:rsid w:val="0016199B"/>
    <w:rsid w:val="00162338"/>
    <w:rsid w:val="0016336D"/>
    <w:rsid w:val="001638CE"/>
    <w:rsid w:val="00163D0B"/>
    <w:rsid w:val="00163E65"/>
    <w:rsid w:val="00163E90"/>
    <w:rsid w:val="00164480"/>
    <w:rsid w:val="00164B37"/>
    <w:rsid w:val="00164D1E"/>
    <w:rsid w:val="00165D32"/>
    <w:rsid w:val="00165F60"/>
    <w:rsid w:val="00166013"/>
    <w:rsid w:val="00166106"/>
    <w:rsid w:val="00166B20"/>
    <w:rsid w:val="00166F92"/>
    <w:rsid w:val="0016754A"/>
    <w:rsid w:val="001702E1"/>
    <w:rsid w:val="00170465"/>
    <w:rsid w:val="001713CD"/>
    <w:rsid w:val="00172085"/>
    <w:rsid w:val="001724CE"/>
    <w:rsid w:val="00173853"/>
    <w:rsid w:val="00174326"/>
    <w:rsid w:val="0017552C"/>
    <w:rsid w:val="0017639C"/>
    <w:rsid w:val="00176629"/>
    <w:rsid w:val="00176BF7"/>
    <w:rsid w:val="00176DF8"/>
    <w:rsid w:val="00176E8B"/>
    <w:rsid w:val="00177A1E"/>
    <w:rsid w:val="00177D70"/>
    <w:rsid w:val="001811E6"/>
    <w:rsid w:val="001813E0"/>
    <w:rsid w:val="00181820"/>
    <w:rsid w:val="001818AB"/>
    <w:rsid w:val="00181E92"/>
    <w:rsid w:val="001822F6"/>
    <w:rsid w:val="00182B5C"/>
    <w:rsid w:val="00182CE0"/>
    <w:rsid w:val="001832F0"/>
    <w:rsid w:val="001835AE"/>
    <w:rsid w:val="001843E2"/>
    <w:rsid w:val="00184D8C"/>
    <w:rsid w:val="00184E43"/>
    <w:rsid w:val="00185270"/>
    <w:rsid w:val="001855FC"/>
    <w:rsid w:val="001856FA"/>
    <w:rsid w:val="00185C7D"/>
    <w:rsid w:val="001861B8"/>
    <w:rsid w:val="00187065"/>
    <w:rsid w:val="00187182"/>
    <w:rsid w:val="001900CC"/>
    <w:rsid w:val="001902FE"/>
    <w:rsid w:val="001927A4"/>
    <w:rsid w:val="001927F7"/>
    <w:rsid w:val="00192881"/>
    <w:rsid w:val="00192C14"/>
    <w:rsid w:val="00192FF5"/>
    <w:rsid w:val="00193D33"/>
    <w:rsid w:val="00193E1C"/>
    <w:rsid w:val="00193E53"/>
    <w:rsid w:val="001941DE"/>
    <w:rsid w:val="0019463E"/>
    <w:rsid w:val="00194850"/>
    <w:rsid w:val="0019512F"/>
    <w:rsid w:val="00195153"/>
    <w:rsid w:val="00195559"/>
    <w:rsid w:val="001955A0"/>
    <w:rsid w:val="001958C8"/>
    <w:rsid w:val="00195EA5"/>
    <w:rsid w:val="00195F53"/>
    <w:rsid w:val="00195F9A"/>
    <w:rsid w:val="001961AB"/>
    <w:rsid w:val="0019651A"/>
    <w:rsid w:val="00196617"/>
    <w:rsid w:val="00196D4C"/>
    <w:rsid w:val="001973EE"/>
    <w:rsid w:val="001A029C"/>
    <w:rsid w:val="001A114E"/>
    <w:rsid w:val="001A1757"/>
    <w:rsid w:val="001A2140"/>
    <w:rsid w:val="001A22C9"/>
    <w:rsid w:val="001A23C1"/>
    <w:rsid w:val="001A2967"/>
    <w:rsid w:val="001A2C3B"/>
    <w:rsid w:val="001A335E"/>
    <w:rsid w:val="001A3671"/>
    <w:rsid w:val="001A680F"/>
    <w:rsid w:val="001A6B79"/>
    <w:rsid w:val="001A777F"/>
    <w:rsid w:val="001A7BB9"/>
    <w:rsid w:val="001A7F60"/>
    <w:rsid w:val="001B0219"/>
    <w:rsid w:val="001B02D7"/>
    <w:rsid w:val="001B0632"/>
    <w:rsid w:val="001B0AF1"/>
    <w:rsid w:val="001B1156"/>
    <w:rsid w:val="001B123C"/>
    <w:rsid w:val="001B160F"/>
    <w:rsid w:val="001B1B5C"/>
    <w:rsid w:val="001B1D26"/>
    <w:rsid w:val="001B1E9A"/>
    <w:rsid w:val="001B284A"/>
    <w:rsid w:val="001B346B"/>
    <w:rsid w:val="001B355D"/>
    <w:rsid w:val="001B40FA"/>
    <w:rsid w:val="001B4C39"/>
    <w:rsid w:val="001B515C"/>
    <w:rsid w:val="001B5A75"/>
    <w:rsid w:val="001B60D9"/>
    <w:rsid w:val="001B6740"/>
    <w:rsid w:val="001B6DA7"/>
    <w:rsid w:val="001B721C"/>
    <w:rsid w:val="001B74E6"/>
    <w:rsid w:val="001B7647"/>
    <w:rsid w:val="001B77A2"/>
    <w:rsid w:val="001C11EF"/>
    <w:rsid w:val="001C154D"/>
    <w:rsid w:val="001C17FD"/>
    <w:rsid w:val="001C1E47"/>
    <w:rsid w:val="001C2148"/>
    <w:rsid w:val="001C2B11"/>
    <w:rsid w:val="001C3276"/>
    <w:rsid w:val="001C3684"/>
    <w:rsid w:val="001C3EA8"/>
    <w:rsid w:val="001C3FC4"/>
    <w:rsid w:val="001C44E8"/>
    <w:rsid w:val="001C47BE"/>
    <w:rsid w:val="001C4962"/>
    <w:rsid w:val="001C4AA6"/>
    <w:rsid w:val="001C560E"/>
    <w:rsid w:val="001C58C2"/>
    <w:rsid w:val="001C5909"/>
    <w:rsid w:val="001C5DDC"/>
    <w:rsid w:val="001C620B"/>
    <w:rsid w:val="001C620D"/>
    <w:rsid w:val="001C74D7"/>
    <w:rsid w:val="001C7CC8"/>
    <w:rsid w:val="001D053B"/>
    <w:rsid w:val="001D0818"/>
    <w:rsid w:val="001D1819"/>
    <w:rsid w:val="001D1A16"/>
    <w:rsid w:val="001D2681"/>
    <w:rsid w:val="001D29CA"/>
    <w:rsid w:val="001D2AD9"/>
    <w:rsid w:val="001D3235"/>
    <w:rsid w:val="001D3A44"/>
    <w:rsid w:val="001D4371"/>
    <w:rsid w:val="001D47B4"/>
    <w:rsid w:val="001D4D5C"/>
    <w:rsid w:val="001D643F"/>
    <w:rsid w:val="001D6530"/>
    <w:rsid w:val="001D681F"/>
    <w:rsid w:val="001D6D59"/>
    <w:rsid w:val="001D7029"/>
    <w:rsid w:val="001D7428"/>
    <w:rsid w:val="001D7613"/>
    <w:rsid w:val="001D77D4"/>
    <w:rsid w:val="001D798E"/>
    <w:rsid w:val="001D8E58"/>
    <w:rsid w:val="001E01B4"/>
    <w:rsid w:val="001E035A"/>
    <w:rsid w:val="001E084C"/>
    <w:rsid w:val="001E0EFF"/>
    <w:rsid w:val="001E1B35"/>
    <w:rsid w:val="001E1C5D"/>
    <w:rsid w:val="001E1EA1"/>
    <w:rsid w:val="001E1FCD"/>
    <w:rsid w:val="001E1FD1"/>
    <w:rsid w:val="001E2AE4"/>
    <w:rsid w:val="001E2D62"/>
    <w:rsid w:val="001E2FBB"/>
    <w:rsid w:val="001E3C62"/>
    <w:rsid w:val="001E414E"/>
    <w:rsid w:val="001E4371"/>
    <w:rsid w:val="001E4F8A"/>
    <w:rsid w:val="001E5013"/>
    <w:rsid w:val="001E52CC"/>
    <w:rsid w:val="001E56D3"/>
    <w:rsid w:val="001E5A5A"/>
    <w:rsid w:val="001E5ABD"/>
    <w:rsid w:val="001E5C43"/>
    <w:rsid w:val="001E5FE4"/>
    <w:rsid w:val="001E62FB"/>
    <w:rsid w:val="001E6F4F"/>
    <w:rsid w:val="001E71BA"/>
    <w:rsid w:val="001E73FD"/>
    <w:rsid w:val="001E761D"/>
    <w:rsid w:val="001E77F3"/>
    <w:rsid w:val="001F0987"/>
    <w:rsid w:val="001F0B51"/>
    <w:rsid w:val="001F0E97"/>
    <w:rsid w:val="001F1D8A"/>
    <w:rsid w:val="001F2167"/>
    <w:rsid w:val="001F2F3E"/>
    <w:rsid w:val="001F359C"/>
    <w:rsid w:val="001F3750"/>
    <w:rsid w:val="001F40E1"/>
    <w:rsid w:val="001F58B8"/>
    <w:rsid w:val="001F7564"/>
    <w:rsid w:val="002009B3"/>
    <w:rsid w:val="00200D27"/>
    <w:rsid w:val="002011AC"/>
    <w:rsid w:val="00201C83"/>
    <w:rsid w:val="00201EB9"/>
    <w:rsid w:val="00202685"/>
    <w:rsid w:val="00202BD7"/>
    <w:rsid w:val="00202EF2"/>
    <w:rsid w:val="002048CC"/>
    <w:rsid w:val="0020506D"/>
    <w:rsid w:val="00205391"/>
    <w:rsid w:val="00205A99"/>
    <w:rsid w:val="00205B95"/>
    <w:rsid w:val="002068EB"/>
    <w:rsid w:val="002071BF"/>
    <w:rsid w:val="0020733F"/>
    <w:rsid w:val="00207B94"/>
    <w:rsid w:val="00210E15"/>
    <w:rsid w:val="00211626"/>
    <w:rsid w:val="00211C43"/>
    <w:rsid w:val="00211EA4"/>
    <w:rsid w:val="0021277A"/>
    <w:rsid w:val="00212BB6"/>
    <w:rsid w:val="00212BC7"/>
    <w:rsid w:val="0021380C"/>
    <w:rsid w:val="00213E65"/>
    <w:rsid w:val="00213FCA"/>
    <w:rsid w:val="00214D1E"/>
    <w:rsid w:val="00215FEF"/>
    <w:rsid w:val="002161E9"/>
    <w:rsid w:val="00216621"/>
    <w:rsid w:val="00216B0E"/>
    <w:rsid w:val="00217433"/>
    <w:rsid w:val="00217437"/>
    <w:rsid w:val="002176F5"/>
    <w:rsid w:val="00217E20"/>
    <w:rsid w:val="00217E4F"/>
    <w:rsid w:val="002220EF"/>
    <w:rsid w:val="00222350"/>
    <w:rsid w:val="00222913"/>
    <w:rsid w:val="002231D3"/>
    <w:rsid w:val="00223201"/>
    <w:rsid w:val="002235F3"/>
    <w:rsid w:val="00223E41"/>
    <w:rsid w:val="0022449C"/>
    <w:rsid w:val="002247E7"/>
    <w:rsid w:val="0022537C"/>
    <w:rsid w:val="00225D90"/>
    <w:rsid w:val="002260A6"/>
    <w:rsid w:val="002262F1"/>
    <w:rsid w:val="002266AD"/>
    <w:rsid w:val="0022685E"/>
    <w:rsid w:val="00226D5F"/>
    <w:rsid w:val="00227288"/>
    <w:rsid w:val="00227868"/>
    <w:rsid w:val="00227E15"/>
    <w:rsid w:val="002301B2"/>
    <w:rsid w:val="00230915"/>
    <w:rsid w:val="00230B45"/>
    <w:rsid w:val="00230D53"/>
    <w:rsid w:val="0023191B"/>
    <w:rsid w:val="00231A58"/>
    <w:rsid w:val="002322F4"/>
    <w:rsid w:val="0023249A"/>
    <w:rsid w:val="002325F9"/>
    <w:rsid w:val="00232928"/>
    <w:rsid w:val="002337B2"/>
    <w:rsid w:val="00233C64"/>
    <w:rsid w:val="002353DC"/>
    <w:rsid w:val="0023598B"/>
    <w:rsid w:val="00235AFA"/>
    <w:rsid w:val="00235B05"/>
    <w:rsid w:val="00236ED9"/>
    <w:rsid w:val="00240000"/>
    <w:rsid w:val="002404BA"/>
    <w:rsid w:val="002415D6"/>
    <w:rsid w:val="00242327"/>
    <w:rsid w:val="0024251D"/>
    <w:rsid w:val="002427F7"/>
    <w:rsid w:val="00243015"/>
    <w:rsid w:val="0024338F"/>
    <w:rsid w:val="00243E85"/>
    <w:rsid w:val="00244448"/>
    <w:rsid w:val="0024516B"/>
    <w:rsid w:val="002463E2"/>
    <w:rsid w:val="00246B17"/>
    <w:rsid w:val="00247030"/>
    <w:rsid w:val="0024AB17"/>
    <w:rsid w:val="002502BC"/>
    <w:rsid w:val="00250A85"/>
    <w:rsid w:val="00250C89"/>
    <w:rsid w:val="002511A8"/>
    <w:rsid w:val="002511E9"/>
    <w:rsid w:val="002512E8"/>
    <w:rsid w:val="00251860"/>
    <w:rsid w:val="00251FA2"/>
    <w:rsid w:val="002523FB"/>
    <w:rsid w:val="00252524"/>
    <w:rsid w:val="0025273A"/>
    <w:rsid w:val="002529E8"/>
    <w:rsid w:val="00252DD3"/>
    <w:rsid w:val="00252E73"/>
    <w:rsid w:val="00253249"/>
    <w:rsid w:val="002533F9"/>
    <w:rsid w:val="002536CB"/>
    <w:rsid w:val="00253FD2"/>
    <w:rsid w:val="00254340"/>
    <w:rsid w:val="002548CF"/>
    <w:rsid w:val="0025526A"/>
    <w:rsid w:val="00255E62"/>
    <w:rsid w:val="00255EA4"/>
    <w:rsid w:val="00255F4D"/>
    <w:rsid w:val="002562FD"/>
    <w:rsid w:val="00256527"/>
    <w:rsid w:val="00257451"/>
    <w:rsid w:val="00257F9F"/>
    <w:rsid w:val="00260A89"/>
    <w:rsid w:val="00260C9F"/>
    <w:rsid w:val="00260F0C"/>
    <w:rsid w:val="002618B1"/>
    <w:rsid w:val="00261A11"/>
    <w:rsid w:val="00262A51"/>
    <w:rsid w:val="00262DDC"/>
    <w:rsid w:val="00262E55"/>
    <w:rsid w:val="00262E71"/>
    <w:rsid w:val="002648FC"/>
    <w:rsid w:val="002649D1"/>
    <w:rsid w:val="00264C4C"/>
    <w:rsid w:val="00265500"/>
    <w:rsid w:val="00265778"/>
    <w:rsid w:val="002658D0"/>
    <w:rsid w:val="00265FD7"/>
    <w:rsid w:val="00266CCB"/>
    <w:rsid w:val="002679E5"/>
    <w:rsid w:val="002703A8"/>
    <w:rsid w:val="002703D2"/>
    <w:rsid w:val="00270695"/>
    <w:rsid w:val="002707B8"/>
    <w:rsid w:val="0027084D"/>
    <w:rsid w:val="00270B3B"/>
    <w:rsid w:val="00271529"/>
    <w:rsid w:val="0027176C"/>
    <w:rsid w:val="002725BC"/>
    <w:rsid w:val="002731DE"/>
    <w:rsid w:val="002735F9"/>
    <w:rsid w:val="00273CD1"/>
    <w:rsid w:val="00274463"/>
    <w:rsid w:val="0027450E"/>
    <w:rsid w:val="002748D7"/>
    <w:rsid w:val="0027502F"/>
    <w:rsid w:val="002753B2"/>
    <w:rsid w:val="00276869"/>
    <w:rsid w:val="00276A5B"/>
    <w:rsid w:val="00277C24"/>
    <w:rsid w:val="00280FBD"/>
    <w:rsid w:val="002814D5"/>
    <w:rsid w:val="0028166F"/>
    <w:rsid w:val="00281733"/>
    <w:rsid w:val="0028174D"/>
    <w:rsid w:val="00281A30"/>
    <w:rsid w:val="002823D9"/>
    <w:rsid w:val="00282588"/>
    <w:rsid w:val="002831C6"/>
    <w:rsid w:val="00283FF9"/>
    <w:rsid w:val="002846D4"/>
    <w:rsid w:val="00285180"/>
    <w:rsid w:val="002865E9"/>
    <w:rsid w:val="0028663D"/>
    <w:rsid w:val="002872DA"/>
    <w:rsid w:val="00287513"/>
    <w:rsid w:val="00287ACB"/>
    <w:rsid w:val="00290B29"/>
    <w:rsid w:val="00292313"/>
    <w:rsid w:val="00292B9C"/>
    <w:rsid w:val="00294102"/>
    <w:rsid w:val="00294168"/>
    <w:rsid w:val="00294245"/>
    <w:rsid w:val="0029461A"/>
    <w:rsid w:val="002948AE"/>
    <w:rsid w:val="00294F84"/>
    <w:rsid w:val="00294FD0"/>
    <w:rsid w:val="002950A7"/>
    <w:rsid w:val="002954DC"/>
    <w:rsid w:val="002956E3"/>
    <w:rsid w:val="00295EB1"/>
    <w:rsid w:val="00296221"/>
    <w:rsid w:val="00296284"/>
    <w:rsid w:val="0029647F"/>
    <w:rsid w:val="00296B1E"/>
    <w:rsid w:val="00296C47"/>
    <w:rsid w:val="00297ABC"/>
    <w:rsid w:val="002A0DB3"/>
    <w:rsid w:val="002A0E3E"/>
    <w:rsid w:val="002A14B1"/>
    <w:rsid w:val="002A19AB"/>
    <w:rsid w:val="002A1A8E"/>
    <w:rsid w:val="002A2421"/>
    <w:rsid w:val="002A28B9"/>
    <w:rsid w:val="002A28DB"/>
    <w:rsid w:val="002A2DC2"/>
    <w:rsid w:val="002A34D6"/>
    <w:rsid w:val="002A40A1"/>
    <w:rsid w:val="002A44FD"/>
    <w:rsid w:val="002A4594"/>
    <w:rsid w:val="002A4934"/>
    <w:rsid w:val="002A50A7"/>
    <w:rsid w:val="002A59B9"/>
    <w:rsid w:val="002A6454"/>
    <w:rsid w:val="002A65C4"/>
    <w:rsid w:val="002A6CAA"/>
    <w:rsid w:val="002A6EA8"/>
    <w:rsid w:val="002B020A"/>
    <w:rsid w:val="002B1B16"/>
    <w:rsid w:val="002B334F"/>
    <w:rsid w:val="002B3E37"/>
    <w:rsid w:val="002B4100"/>
    <w:rsid w:val="002B4250"/>
    <w:rsid w:val="002B429D"/>
    <w:rsid w:val="002B43F3"/>
    <w:rsid w:val="002B4830"/>
    <w:rsid w:val="002B4F49"/>
    <w:rsid w:val="002B61FA"/>
    <w:rsid w:val="002B63FA"/>
    <w:rsid w:val="002B67C9"/>
    <w:rsid w:val="002B7D36"/>
    <w:rsid w:val="002C0374"/>
    <w:rsid w:val="002C0795"/>
    <w:rsid w:val="002C0D74"/>
    <w:rsid w:val="002C15CE"/>
    <w:rsid w:val="002C1B71"/>
    <w:rsid w:val="002C1E78"/>
    <w:rsid w:val="002C1EE2"/>
    <w:rsid w:val="002C21A1"/>
    <w:rsid w:val="002C2667"/>
    <w:rsid w:val="002C471C"/>
    <w:rsid w:val="002C47B6"/>
    <w:rsid w:val="002C4E8C"/>
    <w:rsid w:val="002C4F5B"/>
    <w:rsid w:val="002C51D2"/>
    <w:rsid w:val="002C5428"/>
    <w:rsid w:val="002C6185"/>
    <w:rsid w:val="002C61AE"/>
    <w:rsid w:val="002C65D1"/>
    <w:rsid w:val="002C7CE1"/>
    <w:rsid w:val="002D0261"/>
    <w:rsid w:val="002D0CF0"/>
    <w:rsid w:val="002D0DCA"/>
    <w:rsid w:val="002D115E"/>
    <w:rsid w:val="002D1A37"/>
    <w:rsid w:val="002D1C7B"/>
    <w:rsid w:val="002D1D1E"/>
    <w:rsid w:val="002D1D6A"/>
    <w:rsid w:val="002D2070"/>
    <w:rsid w:val="002D2090"/>
    <w:rsid w:val="002D35F8"/>
    <w:rsid w:val="002D473A"/>
    <w:rsid w:val="002D4F37"/>
    <w:rsid w:val="002D5245"/>
    <w:rsid w:val="002D54B7"/>
    <w:rsid w:val="002D5E8F"/>
    <w:rsid w:val="002D61CE"/>
    <w:rsid w:val="002D6A43"/>
    <w:rsid w:val="002D6B62"/>
    <w:rsid w:val="002D6D29"/>
    <w:rsid w:val="002D6E03"/>
    <w:rsid w:val="002E030B"/>
    <w:rsid w:val="002E03C0"/>
    <w:rsid w:val="002E0D35"/>
    <w:rsid w:val="002E1B02"/>
    <w:rsid w:val="002E211F"/>
    <w:rsid w:val="002E288C"/>
    <w:rsid w:val="002E3526"/>
    <w:rsid w:val="002E397D"/>
    <w:rsid w:val="002E43B7"/>
    <w:rsid w:val="002E4405"/>
    <w:rsid w:val="002E48E0"/>
    <w:rsid w:val="002E4FDC"/>
    <w:rsid w:val="002E50F9"/>
    <w:rsid w:val="002E516E"/>
    <w:rsid w:val="002E51A4"/>
    <w:rsid w:val="002E520C"/>
    <w:rsid w:val="002E5F0C"/>
    <w:rsid w:val="002E607C"/>
    <w:rsid w:val="002E6386"/>
    <w:rsid w:val="002E6855"/>
    <w:rsid w:val="002E6E73"/>
    <w:rsid w:val="002E78AA"/>
    <w:rsid w:val="002E799C"/>
    <w:rsid w:val="002F137C"/>
    <w:rsid w:val="002F140C"/>
    <w:rsid w:val="002F1BBB"/>
    <w:rsid w:val="002F1F88"/>
    <w:rsid w:val="002F2796"/>
    <w:rsid w:val="002F313C"/>
    <w:rsid w:val="002F35A6"/>
    <w:rsid w:val="002F41C3"/>
    <w:rsid w:val="002F41C5"/>
    <w:rsid w:val="002F46C5"/>
    <w:rsid w:val="002F4A20"/>
    <w:rsid w:val="002F4D76"/>
    <w:rsid w:val="002F4FA0"/>
    <w:rsid w:val="002F589D"/>
    <w:rsid w:val="002F5CCC"/>
    <w:rsid w:val="002F5D19"/>
    <w:rsid w:val="002F5F07"/>
    <w:rsid w:val="002F6E6A"/>
    <w:rsid w:val="002F7083"/>
    <w:rsid w:val="002F7655"/>
    <w:rsid w:val="002F78C9"/>
    <w:rsid w:val="002F7F47"/>
    <w:rsid w:val="00300493"/>
    <w:rsid w:val="0030068D"/>
    <w:rsid w:val="003006E5"/>
    <w:rsid w:val="0030085A"/>
    <w:rsid w:val="0030105C"/>
    <w:rsid w:val="0030142D"/>
    <w:rsid w:val="00301B40"/>
    <w:rsid w:val="003022D1"/>
    <w:rsid w:val="00303339"/>
    <w:rsid w:val="0030394A"/>
    <w:rsid w:val="0030452A"/>
    <w:rsid w:val="00304846"/>
    <w:rsid w:val="00304930"/>
    <w:rsid w:val="0030523E"/>
    <w:rsid w:val="00305336"/>
    <w:rsid w:val="00306137"/>
    <w:rsid w:val="003069EF"/>
    <w:rsid w:val="00306EB7"/>
    <w:rsid w:val="003076B2"/>
    <w:rsid w:val="00307D13"/>
    <w:rsid w:val="00310467"/>
    <w:rsid w:val="00311214"/>
    <w:rsid w:val="00311227"/>
    <w:rsid w:val="003113EB"/>
    <w:rsid w:val="00312D97"/>
    <w:rsid w:val="00312FDE"/>
    <w:rsid w:val="003133C1"/>
    <w:rsid w:val="003139D6"/>
    <w:rsid w:val="00313A60"/>
    <w:rsid w:val="00313FBF"/>
    <w:rsid w:val="0031493F"/>
    <w:rsid w:val="0031527E"/>
    <w:rsid w:val="003157D3"/>
    <w:rsid w:val="00315E58"/>
    <w:rsid w:val="00316572"/>
    <w:rsid w:val="003171DE"/>
    <w:rsid w:val="003178D1"/>
    <w:rsid w:val="0032022E"/>
    <w:rsid w:val="00320442"/>
    <w:rsid w:val="00320A32"/>
    <w:rsid w:val="00322518"/>
    <w:rsid w:val="00322C51"/>
    <w:rsid w:val="00322E6E"/>
    <w:rsid w:val="003235C8"/>
    <w:rsid w:val="00323D9A"/>
    <w:rsid w:val="00324815"/>
    <w:rsid w:val="003249AC"/>
    <w:rsid w:val="00324A15"/>
    <w:rsid w:val="00324A99"/>
    <w:rsid w:val="00324FFC"/>
    <w:rsid w:val="0032597C"/>
    <w:rsid w:val="00325F6A"/>
    <w:rsid w:val="00326696"/>
    <w:rsid w:val="00326815"/>
    <w:rsid w:val="0032741F"/>
    <w:rsid w:val="003275B1"/>
    <w:rsid w:val="00327926"/>
    <w:rsid w:val="00327C4B"/>
    <w:rsid w:val="00327E12"/>
    <w:rsid w:val="003301AF"/>
    <w:rsid w:val="00330699"/>
    <w:rsid w:val="003306BF"/>
    <w:rsid w:val="003317A8"/>
    <w:rsid w:val="00331F49"/>
    <w:rsid w:val="003323BC"/>
    <w:rsid w:val="00332CF9"/>
    <w:rsid w:val="003330AB"/>
    <w:rsid w:val="00333427"/>
    <w:rsid w:val="003339FD"/>
    <w:rsid w:val="00334155"/>
    <w:rsid w:val="00334D6D"/>
    <w:rsid w:val="00334E21"/>
    <w:rsid w:val="00334EFE"/>
    <w:rsid w:val="00335491"/>
    <w:rsid w:val="003365CB"/>
    <w:rsid w:val="00336613"/>
    <w:rsid w:val="00336FF6"/>
    <w:rsid w:val="0033715B"/>
    <w:rsid w:val="003400CE"/>
    <w:rsid w:val="00340967"/>
    <w:rsid w:val="00340A8A"/>
    <w:rsid w:val="00340ED2"/>
    <w:rsid w:val="0034197F"/>
    <w:rsid w:val="00341DD1"/>
    <w:rsid w:val="00342AC7"/>
    <w:rsid w:val="00343604"/>
    <w:rsid w:val="00344083"/>
    <w:rsid w:val="00344186"/>
    <w:rsid w:val="003443E9"/>
    <w:rsid w:val="00344823"/>
    <w:rsid w:val="00344D3F"/>
    <w:rsid w:val="00344E2F"/>
    <w:rsid w:val="0034504D"/>
    <w:rsid w:val="00345174"/>
    <w:rsid w:val="0034562A"/>
    <w:rsid w:val="00345FB2"/>
    <w:rsid w:val="00347382"/>
    <w:rsid w:val="003478A8"/>
    <w:rsid w:val="00347FED"/>
    <w:rsid w:val="00350358"/>
    <w:rsid w:val="003503B4"/>
    <w:rsid w:val="0035060D"/>
    <w:rsid w:val="00351ABE"/>
    <w:rsid w:val="00351DAD"/>
    <w:rsid w:val="00351E19"/>
    <w:rsid w:val="00352C6F"/>
    <w:rsid w:val="00353B44"/>
    <w:rsid w:val="003543DE"/>
    <w:rsid w:val="0035483B"/>
    <w:rsid w:val="00355A88"/>
    <w:rsid w:val="00355AAC"/>
    <w:rsid w:val="00355F44"/>
    <w:rsid w:val="0035620E"/>
    <w:rsid w:val="003565C3"/>
    <w:rsid w:val="0035765D"/>
    <w:rsid w:val="00357A76"/>
    <w:rsid w:val="00360AF9"/>
    <w:rsid w:val="00360C37"/>
    <w:rsid w:val="00360CDE"/>
    <w:rsid w:val="003612A8"/>
    <w:rsid w:val="003625AF"/>
    <w:rsid w:val="00363176"/>
    <w:rsid w:val="00363AF6"/>
    <w:rsid w:val="003641EC"/>
    <w:rsid w:val="0036420B"/>
    <w:rsid w:val="00365876"/>
    <w:rsid w:val="00365CEC"/>
    <w:rsid w:val="00366010"/>
    <w:rsid w:val="0036645A"/>
    <w:rsid w:val="003665DC"/>
    <w:rsid w:val="00366A0F"/>
    <w:rsid w:val="00366FCA"/>
    <w:rsid w:val="003675A2"/>
    <w:rsid w:val="003675BA"/>
    <w:rsid w:val="003677F0"/>
    <w:rsid w:val="003678D2"/>
    <w:rsid w:val="00370F86"/>
    <w:rsid w:val="00371330"/>
    <w:rsid w:val="003713FD"/>
    <w:rsid w:val="00371981"/>
    <w:rsid w:val="003720D0"/>
    <w:rsid w:val="00372E84"/>
    <w:rsid w:val="00373067"/>
    <w:rsid w:val="00373624"/>
    <w:rsid w:val="003736A9"/>
    <w:rsid w:val="00373AC2"/>
    <w:rsid w:val="00373DF8"/>
    <w:rsid w:val="0037436A"/>
    <w:rsid w:val="0037448A"/>
    <w:rsid w:val="00374643"/>
    <w:rsid w:val="00374E61"/>
    <w:rsid w:val="0037554E"/>
    <w:rsid w:val="003759CE"/>
    <w:rsid w:val="00375AFE"/>
    <w:rsid w:val="00375CBB"/>
    <w:rsid w:val="00376829"/>
    <w:rsid w:val="00377B6A"/>
    <w:rsid w:val="00380246"/>
    <w:rsid w:val="0038038C"/>
    <w:rsid w:val="00380DBE"/>
    <w:rsid w:val="003810F0"/>
    <w:rsid w:val="00381794"/>
    <w:rsid w:val="00381FEC"/>
    <w:rsid w:val="003822A8"/>
    <w:rsid w:val="00382632"/>
    <w:rsid w:val="00382BCD"/>
    <w:rsid w:val="00383151"/>
    <w:rsid w:val="00383223"/>
    <w:rsid w:val="003835D3"/>
    <w:rsid w:val="00383AFC"/>
    <w:rsid w:val="00383B8C"/>
    <w:rsid w:val="00384D3F"/>
    <w:rsid w:val="003861AB"/>
    <w:rsid w:val="0038622A"/>
    <w:rsid w:val="003863F2"/>
    <w:rsid w:val="00386793"/>
    <w:rsid w:val="00386A92"/>
    <w:rsid w:val="00387B03"/>
    <w:rsid w:val="00387C8A"/>
    <w:rsid w:val="00387D99"/>
    <w:rsid w:val="0039036E"/>
    <w:rsid w:val="00390E96"/>
    <w:rsid w:val="00390EC4"/>
    <w:rsid w:val="00391D6F"/>
    <w:rsid w:val="00392C0A"/>
    <w:rsid w:val="00392E2A"/>
    <w:rsid w:val="0039421A"/>
    <w:rsid w:val="003943A2"/>
    <w:rsid w:val="00394780"/>
    <w:rsid w:val="0039497C"/>
    <w:rsid w:val="00394CD0"/>
    <w:rsid w:val="0039539A"/>
    <w:rsid w:val="00395499"/>
    <w:rsid w:val="00395A18"/>
    <w:rsid w:val="00395B1E"/>
    <w:rsid w:val="0039632A"/>
    <w:rsid w:val="00396369"/>
    <w:rsid w:val="003967C4"/>
    <w:rsid w:val="00396CFB"/>
    <w:rsid w:val="00397FFB"/>
    <w:rsid w:val="003A0AE9"/>
    <w:rsid w:val="003A0CF2"/>
    <w:rsid w:val="003A0E10"/>
    <w:rsid w:val="003A15AE"/>
    <w:rsid w:val="003A1780"/>
    <w:rsid w:val="003A1E5E"/>
    <w:rsid w:val="003A1F58"/>
    <w:rsid w:val="003A20DA"/>
    <w:rsid w:val="003A2119"/>
    <w:rsid w:val="003A2677"/>
    <w:rsid w:val="003A318D"/>
    <w:rsid w:val="003A32A7"/>
    <w:rsid w:val="003A32EC"/>
    <w:rsid w:val="003A3CD5"/>
    <w:rsid w:val="003A4D0E"/>
    <w:rsid w:val="003A4F3E"/>
    <w:rsid w:val="003A53CD"/>
    <w:rsid w:val="003A5954"/>
    <w:rsid w:val="003A5BA7"/>
    <w:rsid w:val="003A6DB0"/>
    <w:rsid w:val="003A7356"/>
    <w:rsid w:val="003A74D9"/>
    <w:rsid w:val="003A79DB"/>
    <w:rsid w:val="003A7DC8"/>
    <w:rsid w:val="003B09A8"/>
    <w:rsid w:val="003B0C5C"/>
    <w:rsid w:val="003B0FB5"/>
    <w:rsid w:val="003B1695"/>
    <w:rsid w:val="003B1802"/>
    <w:rsid w:val="003B2977"/>
    <w:rsid w:val="003B32EE"/>
    <w:rsid w:val="003B3314"/>
    <w:rsid w:val="003B338C"/>
    <w:rsid w:val="003B3D85"/>
    <w:rsid w:val="003B3DD0"/>
    <w:rsid w:val="003B49B6"/>
    <w:rsid w:val="003B4AB6"/>
    <w:rsid w:val="003B5164"/>
    <w:rsid w:val="003B52C4"/>
    <w:rsid w:val="003B572B"/>
    <w:rsid w:val="003B5B8E"/>
    <w:rsid w:val="003B5B99"/>
    <w:rsid w:val="003B6FD3"/>
    <w:rsid w:val="003B7931"/>
    <w:rsid w:val="003B7B61"/>
    <w:rsid w:val="003C018F"/>
    <w:rsid w:val="003C13B1"/>
    <w:rsid w:val="003C13FD"/>
    <w:rsid w:val="003C19C7"/>
    <w:rsid w:val="003C1A16"/>
    <w:rsid w:val="003C1A1D"/>
    <w:rsid w:val="003C24E4"/>
    <w:rsid w:val="003C25AC"/>
    <w:rsid w:val="003C3B07"/>
    <w:rsid w:val="003C45C1"/>
    <w:rsid w:val="003C481E"/>
    <w:rsid w:val="003C553A"/>
    <w:rsid w:val="003C5C8B"/>
    <w:rsid w:val="003C664A"/>
    <w:rsid w:val="003C670A"/>
    <w:rsid w:val="003C70C3"/>
    <w:rsid w:val="003D0C21"/>
    <w:rsid w:val="003D13CD"/>
    <w:rsid w:val="003D18EC"/>
    <w:rsid w:val="003D23FB"/>
    <w:rsid w:val="003D248B"/>
    <w:rsid w:val="003D266E"/>
    <w:rsid w:val="003D29C7"/>
    <w:rsid w:val="003D2F9B"/>
    <w:rsid w:val="003D31C5"/>
    <w:rsid w:val="003D3A65"/>
    <w:rsid w:val="003D3C59"/>
    <w:rsid w:val="003D4810"/>
    <w:rsid w:val="003D4858"/>
    <w:rsid w:val="003D4B24"/>
    <w:rsid w:val="003D4E8E"/>
    <w:rsid w:val="003D4ED4"/>
    <w:rsid w:val="003D53B8"/>
    <w:rsid w:val="003D5AFB"/>
    <w:rsid w:val="003D5D7B"/>
    <w:rsid w:val="003D6D33"/>
    <w:rsid w:val="003D750D"/>
    <w:rsid w:val="003E01A1"/>
    <w:rsid w:val="003E021A"/>
    <w:rsid w:val="003E1107"/>
    <w:rsid w:val="003E1251"/>
    <w:rsid w:val="003E1CEB"/>
    <w:rsid w:val="003E2099"/>
    <w:rsid w:val="003E2170"/>
    <w:rsid w:val="003E29D7"/>
    <w:rsid w:val="003E375A"/>
    <w:rsid w:val="003E4060"/>
    <w:rsid w:val="003E40A3"/>
    <w:rsid w:val="003E4294"/>
    <w:rsid w:val="003E44BB"/>
    <w:rsid w:val="003E4932"/>
    <w:rsid w:val="003E4B5E"/>
    <w:rsid w:val="003E4B8C"/>
    <w:rsid w:val="003E5604"/>
    <w:rsid w:val="003E6165"/>
    <w:rsid w:val="003E6551"/>
    <w:rsid w:val="003E66D8"/>
    <w:rsid w:val="003E6A8F"/>
    <w:rsid w:val="003E6E11"/>
    <w:rsid w:val="003E6E8B"/>
    <w:rsid w:val="003E7A6E"/>
    <w:rsid w:val="003E7AEA"/>
    <w:rsid w:val="003F000A"/>
    <w:rsid w:val="003F0029"/>
    <w:rsid w:val="003F04F7"/>
    <w:rsid w:val="003F0610"/>
    <w:rsid w:val="003F08CB"/>
    <w:rsid w:val="003F0994"/>
    <w:rsid w:val="003F0FB1"/>
    <w:rsid w:val="003F13EC"/>
    <w:rsid w:val="003F15EB"/>
    <w:rsid w:val="003F160E"/>
    <w:rsid w:val="003F27F5"/>
    <w:rsid w:val="003F29A6"/>
    <w:rsid w:val="003F2C9D"/>
    <w:rsid w:val="003F2E2D"/>
    <w:rsid w:val="003F2E6D"/>
    <w:rsid w:val="003F3D9E"/>
    <w:rsid w:val="003F46FA"/>
    <w:rsid w:val="003F47D9"/>
    <w:rsid w:val="003F4C43"/>
    <w:rsid w:val="003F5B0B"/>
    <w:rsid w:val="003F5B47"/>
    <w:rsid w:val="003F5E3B"/>
    <w:rsid w:val="003F64B1"/>
    <w:rsid w:val="003F6C61"/>
    <w:rsid w:val="003F7789"/>
    <w:rsid w:val="003F7844"/>
    <w:rsid w:val="003F78C1"/>
    <w:rsid w:val="003F7A1E"/>
    <w:rsid w:val="004007AC"/>
    <w:rsid w:val="0040117D"/>
    <w:rsid w:val="0040138C"/>
    <w:rsid w:val="004013EE"/>
    <w:rsid w:val="00401DF0"/>
    <w:rsid w:val="0040220A"/>
    <w:rsid w:val="0040227E"/>
    <w:rsid w:val="00402819"/>
    <w:rsid w:val="00402AB9"/>
    <w:rsid w:val="00402EB6"/>
    <w:rsid w:val="0040312F"/>
    <w:rsid w:val="0040336F"/>
    <w:rsid w:val="00403811"/>
    <w:rsid w:val="00403973"/>
    <w:rsid w:val="00403ADC"/>
    <w:rsid w:val="004041B0"/>
    <w:rsid w:val="0040424A"/>
    <w:rsid w:val="00404401"/>
    <w:rsid w:val="00405987"/>
    <w:rsid w:val="004060E7"/>
    <w:rsid w:val="004065F3"/>
    <w:rsid w:val="0040726B"/>
    <w:rsid w:val="00407A00"/>
    <w:rsid w:val="00410180"/>
    <w:rsid w:val="004103CD"/>
    <w:rsid w:val="00410A18"/>
    <w:rsid w:val="00410B95"/>
    <w:rsid w:val="00410CBE"/>
    <w:rsid w:val="004115B2"/>
    <w:rsid w:val="0041166B"/>
    <w:rsid w:val="004119E8"/>
    <w:rsid w:val="00411C0B"/>
    <w:rsid w:val="00411E44"/>
    <w:rsid w:val="004120BD"/>
    <w:rsid w:val="004126E1"/>
    <w:rsid w:val="00413199"/>
    <w:rsid w:val="004134D7"/>
    <w:rsid w:val="004138A5"/>
    <w:rsid w:val="00414073"/>
    <w:rsid w:val="00414146"/>
    <w:rsid w:val="00414284"/>
    <w:rsid w:val="004142A7"/>
    <w:rsid w:val="00414582"/>
    <w:rsid w:val="00414885"/>
    <w:rsid w:val="004148C0"/>
    <w:rsid w:val="00414F98"/>
    <w:rsid w:val="0041560D"/>
    <w:rsid w:val="00416112"/>
    <w:rsid w:val="004162E4"/>
    <w:rsid w:val="00416A73"/>
    <w:rsid w:val="00417776"/>
    <w:rsid w:val="00417CE8"/>
    <w:rsid w:val="004202E2"/>
    <w:rsid w:val="00420A6E"/>
    <w:rsid w:val="00422070"/>
    <w:rsid w:val="004224A9"/>
    <w:rsid w:val="00422F43"/>
    <w:rsid w:val="004236E2"/>
    <w:rsid w:val="0042395F"/>
    <w:rsid w:val="00424986"/>
    <w:rsid w:val="0042540C"/>
    <w:rsid w:val="0042568D"/>
    <w:rsid w:val="00425EE1"/>
    <w:rsid w:val="00426918"/>
    <w:rsid w:val="0042694A"/>
    <w:rsid w:val="00430635"/>
    <w:rsid w:val="00430741"/>
    <w:rsid w:val="00431115"/>
    <w:rsid w:val="00431630"/>
    <w:rsid w:val="004316F6"/>
    <w:rsid w:val="00431BF2"/>
    <w:rsid w:val="00431E3D"/>
    <w:rsid w:val="00431F6C"/>
    <w:rsid w:val="00433249"/>
    <w:rsid w:val="004339E1"/>
    <w:rsid w:val="00433CC8"/>
    <w:rsid w:val="004340F8"/>
    <w:rsid w:val="00434AF9"/>
    <w:rsid w:val="00434C05"/>
    <w:rsid w:val="00434C24"/>
    <w:rsid w:val="00434E05"/>
    <w:rsid w:val="00435253"/>
    <w:rsid w:val="00435278"/>
    <w:rsid w:val="004359BB"/>
    <w:rsid w:val="00436126"/>
    <w:rsid w:val="00437293"/>
    <w:rsid w:val="004403BA"/>
    <w:rsid w:val="004408AD"/>
    <w:rsid w:val="00440DF1"/>
    <w:rsid w:val="004417C3"/>
    <w:rsid w:val="004419F6"/>
    <w:rsid w:val="004427D4"/>
    <w:rsid w:val="00443054"/>
    <w:rsid w:val="0044330C"/>
    <w:rsid w:val="00443D46"/>
    <w:rsid w:val="00444BE3"/>
    <w:rsid w:val="00444D49"/>
    <w:rsid w:val="004454FE"/>
    <w:rsid w:val="00446455"/>
    <w:rsid w:val="0044729F"/>
    <w:rsid w:val="004478D5"/>
    <w:rsid w:val="0045004F"/>
    <w:rsid w:val="0045049B"/>
    <w:rsid w:val="00451316"/>
    <w:rsid w:val="00451D3D"/>
    <w:rsid w:val="00451DA6"/>
    <w:rsid w:val="00452F9E"/>
    <w:rsid w:val="00453CCC"/>
    <w:rsid w:val="00454277"/>
    <w:rsid w:val="004544AA"/>
    <w:rsid w:val="00454FE1"/>
    <w:rsid w:val="004551FE"/>
    <w:rsid w:val="00455D3A"/>
    <w:rsid w:val="00455DE9"/>
    <w:rsid w:val="004566D9"/>
    <w:rsid w:val="004569E7"/>
    <w:rsid w:val="00456A58"/>
    <w:rsid w:val="00456AB3"/>
    <w:rsid w:val="00456C45"/>
    <w:rsid w:val="00457149"/>
    <w:rsid w:val="0046047E"/>
    <w:rsid w:val="00460D71"/>
    <w:rsid w:val="004624B1"/>
    <w:rsid w:val="00463154"/>
    <w:rsid w:val="004638F7"/>
    <w:rsid w:val="0046391E"/>
    <w:rsid w:val="00463AE1"/>
    <w:rsid w:val="00464590"/>
    <w:rsid w:val="00464C75"/>
    <w:rsid w:val="004658D1"/>
    <w:rsid w:val="00466788"/>
    <w:rsid w:val="00466B41"/>
    <w:rsid w:val="00466B8D"/>
    <w:rsid w:val="004670A8"/>
    <w:rsid w:val="004675D7"/>
    <w:rsid w:val="00467ABF"/>
    <w:rsid w:val="00470794"/>
    <w:rsid w:val="00470A46"/>
    <w:rsid w:val="004712EF"/>
    <w:rsid w:val="00471DCC"/>
    <w:rsid w:val="0047298D"/>
    <w:rsid w:val="004729E0"/>
    <w:rsid w:val="00473220"/>
    <w:rsid w:val="00473850"/>
    <w:rsid w:val="00473A4D"/>
    <w:rsid w:val="00473DD7"/>
    <w:rsid w:val="00473E98"/>
    <w:rsid w:val="004740E8"/>
    <w:rsid w:val="004745DA"/>
    <w:rsid w:val="004746F5"/>
    <w:rsid w:val="00474896"/>
    <w:rsid w:val="00475E79"/>
    <w:rsid w:val="00476276"/>
    <w:rsid w:val="00476A3F"/>
    <w:rsid w:val="00476C08"/>
    <w:rsid w:val="00477235"/>
    <w:rsid w:val="004775E0"/>
    <w:rsid w:val="0047789A"/>
    <w:rsid w:val="004778D0"/>
    <w:rsid w:val="0047792D"/>
    <w:rsid w:val="004806F5"/>
    <w:rsid w:val="00480BEA"/>
    <w:rsid w:val="00480D42"/>
    <w:rsid w:val="004811CE"/>
    <w:rsid w:val="00481C34"/>
    <w:rsid w:val="00482271"/>
    <w:rsid w:val="004822E0"/>
    <w:rsid w:val="0048322C"/>
    <w:rsid w:val="00483334"/>
    <w:rsid w:val="004834B7"/>
    <w:rsid w:val="00483779"/>
    <w:rsid w:val="0048380E"/>
    <w:rsid w:val="0048548E"/>
    <w:rsid w:val="004864B0"/>
    <w:rsid w:val="00486665"/>
    <w:rsid w:val="0048668C"/>
    <w:rsid w:val="00486971"/>
    <w:rsid w:val="00486990"/>
    <w:rsid w:val="00486BE3"/>
    <w:rsid w:val="00486F75"/>
    <w:rsid w:val="00487D91"/>
    <w:rsid w:val="00490395"/>
    <w:rsid w:val="00490514"/>
    <w:rsid w:val="0049137F"/>
    <w:rsid w:val="00491E10"/>
    <w:rsid w:val="00491ECF"/>
    <w:rsid w:val="00492379"/>
    <w:rsid w:val="004923EB"/>
    <w:rsid w:val="0049240B"/>
    <w:rsid w:val="0049258D"/>
    <w:rsid w:val="00492839"/>
    <w:rsid w:val="0049342D"/>
    <w:rsid w:val="0049420B"/>
    <w:rsid w:val="0049474F"/>
    <w:rsid w:val="004954D4"/>
    <w:rsid w:val="00495885"/>
    <w:rsid w:val="00495D4E"/>
    <w:rsid w:val="004966FA"/>
    <w:rsid w:val="00496BFF"/>
    <w:rsid w:val="00497065"/>
    <w:rsid w:val="00497316"/>
    <w:rsid w:val="00497C0D"/>
    <w:rsid w:val="00497CF7"/>
    <w:rsid w:val="004A06B6"/>
    <w:rsid w:val="004A15EB"/>
    <w:rsid w:val="004A17E0"/>
    <w:rsid w:val="004A31CE"/>
    <w:rsid w:val="004A38DF"/>
    <w:rsid w:val="004A3CE9"/>
    <w:rsid w:val="004A3DD2"/>
    <w:rsid w:val="004A3E28"/>
    <w:rsid w:val="004A4606"/>
    <w:rsid w:val="004A473E"/>
    <w:rsid w:val="004A4FBE"/>
    <w:rsid w:val="004A53B3"/>
    <w:rsid w:val="004A57F6"/>
    <w:rsid w:val="004A5A2F"/>
    <w:rsid w:val="004A613F"/>
    <w:rsid w:val="004A6DAB"/>
    <w:rsid w:val="004A77A8"/>
    <w:rsid w:val="004A7CEE"/>
    <w:rsid w:val="004B044F"/>
    <w:rsid w:val="004B056E"/>
    <w:rsid w:val="004B0D97"/>
    <w:rsid w:val="004B106A"/>
    <w:rsid w:val="004B19DC"/>
    <w:rsid w:val="004B207F"/>
    <w:rsid w:val="004B2719"/>
    <w:rsid w:val="004B291C"/>
    <w:rsid w:val="004B31ED"/>
    <w:rsid w:val="004B3587"/>
    <w:rsid w:val="004B394F"/>
    <w:rsid w:val="004B3D81"/>
    <w:rsid w:val="004B5265"/>
    <w:rsid w:val="004B5318"/>
    <w:rsid w:val="004B588E"/>
    <w:rsid w:val="004B5C9D"/>
    <w:rsid w:val="004B620F"/>
    <w:rsid w:val="004B6A00"/>
    <w:rsid w:val="004B72E9"/>
    <w:rsid w:val="004B786D"/>
    <w:rsid w:val="004B79B6"/>
    <w:rsid w:val="004C0219"/>
    <w:rsid w:val="004C063A"/>
    <w:rsid w:val="004C1432"/>
    <w:rsid w:val="004C245C"/>
    <w:rsid w:val="004C254B"/>
    <w:rsid w:val="004C2937"/>
    <w:rsid w:val="004C377A"/>
    <w:rsid w:val="004C3ECD"/>
    <w:rsid w:val="004C4068"/>
    <w:rsid w:val="004C4576"/>
    <w:rsid w:val="004C55DA"/>
    <w:rsid w:val="004C5E86"/>
    <w:rsid w:val="004C6038"/>
    <w:rsid w:val="004C6043"/>
    <w:rsid w:val="004C641B"/>
    <w:rsid w:val="004C6B05"/>
    <w:rsid w:val="004C750B"/>
    <w:rsid w:val="004C768C"/>
    <w:rsid w:val="004C7AF2"/>
    <w:rsid w:val="004C7E10"/>
    <w:rsid w:val="004C7E22"/>
    <w:rsid w:val="004C7EFC"/>
    <w:rsid w:val="004D0505"/>
    <w:rsid w:val="004D05C8"/>
    <w:rsid w:val="004D0B18"/>
    <w:rsid w:val="004D0DD0"/>
    <w:rsid w:val="004D194A"/>
    <w:rsid w:val="004D1CBF"/>
    <w:rsid w:val="004D1FE0"/>
    <w:rsid w:val="004D2788"/>
    <w:rsid w:val="004D2BFC"/>
    <w:rsid w:val="004D3991"/>
    <w:rsid w:val="004D39E5"/>
    <w:rsid w:val="004D3BEF"/>
    <w:rsid w:val="004D40DD"/>
    <w:rsid w:val="004D4A2C"/>
    <w:rsid w:val="004D4FEC"/>
    <w:rsid w:val="004D574B"/>
    <w:rsid w:val="004D5915"/>
    <w:rsid w:val="004D6695"/>
    <w:rsid w:val="004D68E0"/>
    <w:rsid w:val="004D6C26"/>
    <w:rsid w:val="004D6F92"/>
    <w:rsid w:val="004D73FA"/>
    <w:rsid w:val="004D7611"/>
    <w:rsid w:val="004D7DE5"/>
    <w:rsid w:val="004E0292"/>
    <w:rsid w:val="004E0C41"/>
    <w:rsid w:val="004E117F"/>
    <w:rsid w:val="004E11D8"/>
    <w:rsid w:val="004E1C70"/>
    <w:rsid w:val="004E2127"/>
    <w:rsid w:val="004E216B"/>
    <w:rsid w:val="004E22AA"/>
    <w:rsid w:val="004E2EE9"/>
    <w:rsid w:val="004E3225"/>
    <w:rsid w:val="004E326A"/>
    <w:rsid w:val="004E3A89"/>
    <w:rsid w:val="004E40FD"/>
    <w:rsid w:val="004E487E"/>
    <w:rsid w:val="004E4BCD"/>
    <w:rsid w:val="004E4C79"/>
    <w:rsid w:val="004E505A"/>
    <w:rsid w:val="004E58BC"/>
    <w:rsid w:val="004E5E43"/>
    <w:rsid w:val="004E6043"/>
    <w:rsid w:val="004E6B05"/>
    <w:rsid w:val="004E72DE"/>
    <w:rsid w:val="004E7417"/>
    <w:rsid w:val="004E7689"/>
    <w:rsid w:val="004E7FDE"/>
    <w:rsid w:val="004F0888"/>
    <w:rsid w:val="004F0D2D"/>
    <w:rsid w:val="004F1850"/>
    <w:rsid w:val="004F4A8B"/>
    <w:rsid w:val="004F4B9A"/>
    <w:rsid w:val="004F4C21"/>
    <w:rsid w:val="004F4D6A"/>
    <w:rsid w:val="004F5263"/>
    <w:rsid w:val="004F56CA"/>
    <w:rsid w:val="004F5900"/>
    <w:rsid w:val="004F5B8D"/>
    <w:rsid w:val="004F5FF4"/>
    <w:rsid w:val="004F640A"/>
    <w:rsid w:val="004F6516"/>
    <w:rsid w:val="004F65AE"/>
    <w:rsid w:val="004F706D"/>
    <w:rsid w:val="004F71B8"/>
    <w:rsid w:val="004F7264"/>
    <w:rsid w:val="004F7483"/>
    <w:rsid w:val="004F7758"/>
    <w:rsid w:val="004F78A4"/>
    <w:rsid w:val="0050077F"/>
    <w:rsid w:val="00500DEF"/>
    <w:rsid w:val="00500F01"/>
    <w:rsid w:val="00501756"/>
    <w:rsid w:val="00501CB0"/>
    <w:rsid w:val="005022E6"/>
    <w:rsid w:val="0050272A"/>
    <w:rsid w:val="00502A02"/>
    <w:rsid w:val="00502BF3"/>
    <w:rsid w:val="00502D50"/>
    <w:rsid w:val="0050318A"/>
    <w:rsid w:val="00503547"/>
    <w:rsid w:val="00503A43"/>
    <w:rsid w:val="00503C42"/>
    <w:rsid w:val="00503FC9"/>
    <w:rsid w:val="00504DBF"/>
    <w:rsid w:val="00506862"/>
    <w:rsid w:val="00507AE1"/>
    <w:rsid w:val="0051107A"/>
    <w:rsid w:val="00511341"/>
    <w:rsid w:val="005114F1"/>
    <w:rsid w:val="00511BBB"/>
    <w:rsid w:val="00511CFC"/>
    <w:rsid w:val="005122D5"/>
    <w:rsid w:val="00512339"/>
    <w:rsid w:val="0051235D"/>
    <w:rsid w:val="005128CD"/>
    <w:rsid w:val="005129C3"/>
    <w:rsid w:val="005133E4"/>
    <w:rsid w:val="00513906"/>
    <w:rsid w:val="00513BF3"/>
    <w:rsid w:val="0051484C"/>
    <w:rsid w:val="0051489E"/>
    <w:rsid w:val="00514AFF"/>
    <w:rsid w:val="005159FE"/>
    <w:rsid w:val="00516517"/>
    <w:rsid w:val="005175EF"/>
    <w:rsid w:val="0051798C"/>
    <w:rsid w:val="005179A1"/>
    <w:rsid w:val="005203CB"/>
    <w:rsid w:val="00521191"/>
    <w:rsid w:val="005218C3"/>
    <w:rsid w:val="0052198F"/>
    <w:rsid w:val="00521B51"/>
    <w:rsid w:val="00521D01"/>
    <w:rsid w:val="00522159"/>
    <w:rsid w:val="00522381"/>
    <w:rsid w:val="005236F6"/>
    <w:rsid w:val="00523B3B"/>
    <w:rsid w:val="0052483D"/>
    <w:rsid w:val="00525023"/>
    <w:rsid w:val="00525420"/>
    <w:rsid w:val="00525623"/>
    <w:rsid w:val="0052604A"/>
    <w:rsid w:val="005264B7"/>
    <w:rsid w:val="0052676A"/>
    <w:rsid w:val="00526C3F"/>
    <w:rsid w:val="00527E88"/>
    <w:rsid w:val="00530B92"/>
    <w:rsid w:val="00530DFA"/>
    <w:rsid w:val="00531978"/>
    <w:rsid w:val="00531F5C"/>
    <w:rsid w:val="0053224E"/>
    <w:rsid w:val="0053328E"/>
    <w:rsid w:val="005340ED"/>
    <w:rsid w:val="00534F09"/>
    <w:rsid w:val="0053506B"/>
    <w:rsid w:val="005353EA"/>
    <w:rsid w:val="005363CE"/>
    <w:rsid w:val="005367D5"/>
    <w:rsid w:val="00536FF5"/>
    <w:rsid w:val="0053730B"/>
    <w:rsid w:val="00537A56"/>
    <w:rsid w:val="00537E35"/>
    <w:rsid w:val="00537EA6"/>
    <w:rsid w:val="005400EA"/>
    <w:rsid w:val="00540A1E"/>
    <w:rsid w:val="00540D4C"/>
    <w:rsid w:val="00540FA2"/>
    <w:rsid w:val="0054138F"/>
    <w:rsid w:val="0054147F"/>
    <w:rsid w:val="00541862"/>
    <w:rsid w:val="00541BE6"/>
    <w:rsid w:val="00541C09"/>
    <w:rsid w:val="00541CB2"/>
    <w:rsid w:val="00541FDD"/>
    <w:rsid w:val="00542FFC"/>
    <w:rsid w:val="00543D20"/>
    <w:rsid w:val="00543E16"/>
    <w:rsid w:val="00543F37"/>
    <w:rsid w:val="00543FC2"/>
    <w:rsid w:val="00544491"/>
    <w:rsid w:val="00545931"/>
    <w:rsid w:val="00545AD4"/>
    <w:rsid w:val="005461C0"/>
    <w:rsid w:val="0054636E"/>
    <w:rsid w:val="00546EF0"/>
    <w:rsid w:val="00547768"/>
    <w:rsid w:val="00547B1C"/>
    <w:rsid w:val="0055003E"/>
    <w:rsid w:val="005504BC"/>
    <w:rsid w:val="00550AC3"/>
    <w:rsid w:val="00550CF0"/>
    <w:rsid w:val="00551133"/>
    <w:rsid w:val="0055156C"/>
    <w:rsid w:val="00551791"/>
    <w:rsid w:val="00551AE5"/>
    <w:rsid w:val="00551CAB"/>
    <w:rsid w:val="00552D08"/>
    <w:rsid w:val="00552EB3"/>
    <w:rsid w:val="005536BD"/>
    <w:rsid w:val="0055373C"/>
    <w:rsid w:val="00553AA5"/>
    <w:rsid w:val="005543E0"/>
    <w:rsid w:val="00555259"/>
    <w:rsid w:val="005556B2"/>
    <w:rsid w:val="00555FC8"/>
    <w:rsid w:val="0055617B"/>
    <w:rsid w:val="00556761"/>
    <w:rsid w:val="005579E6"/>
    <w:rsid w:val="00557C2F"/>
    <w:rsid w:val="00560A42"/>
    <w:rsid w:val="00560BD3"/>
    <w:rsid w:val="00561459"/>
    <w:rsid w:val="0056186C"/>
    <w:rsid w:val="00561B12"/>
    <w:rsid w:val="0056204C"/>
    <w:rsid w:val="00562433"/>
    <w:rsid w:val="00562DD7"/>
    <w:rsid w:val="00562F0E"/>
    <w:rsid w:val="0056372A"/>
    <w:rsid w:val="0056422C"/>
    <w:rsid w:val="005647C8"/>
    <w:rsid w:val="005658CC"/>
    <w:rsid w:val="00565D72"/>
    <w:rsid w:val="00565F80"/>
    <w:rsid w:val="005660FD"/>
    <w:rsid w:val="005672B5"/>
    <w:rsid w:val="00567964"/>
    <w:rsid w:val="005700FC"/>
    <w:rsid w:val="00570123"/>
    <w:rsid w:val="005710B7"/>
    <w:rsid w:val="0057116A"/>
    <w:rsid w:val="00571660"/>
    <w:rsid w:val="005716AE"/>
    <w:rsid w:val="005718B4"/>
    <w:rsid w:val="00571E26"/>
    <w:rsid w:val="0057283B"/>
    <w:rsid w:val="00572AB5"/>
    <w:rsid w:val="005736D8"/>
    <w:rsid w:val="00573C6F"/>
    <w:rsid w:val="00573F98"/>
    <w:rsid w:val="00574A3C"/>
    <w:rsid w:val="00575B51"/>
    <w:rsid w:val="00576133"/>
    <w:rsid w:val="00576178"/>
    <w:rsid w:val="0057750F"/>
    <w:rsid w:val="0057789C"/>
    <w:rsid w:val="00577951"/>
    <w:rsid w:val="00577ADF"/>
    <w:rsid w:val="005819C5"/>
    <w:rsid w:val="005824E9"/>
    <w:rsid w:val="00582CFE"/>
    <w:rsid w:val="005837BD"/>
    <w:rsid w:val="00583CBF"/>
    <w:rsid w:val="00584434"/>
    <w:rsid w:val="0058464C"/>
    <w:rsid w:val="00584756"/>
    <w:rsid w:val="0058540A"/>
    <w:rsid w:val="005860FD"/>
    <w:rsid w:val="005865B5"/>
    <w:rsid w:val="0058700C"/>
    <w:rsid w:val="00587A81"/>
    <w:rsid w:val="00587E50"/>
    <w:rsid w:val="00587EE4"/>
    <w:rsid w:val="00590091"/>
    <w:rsid w:val="0059072C"/>
    <w:rsid w:val="00590B95"/>
    <w:rsid w:val="00590BE8"/>
    <w:rsid w:val="00590D52"/>
    <w:rsid w:val="005915D6"/>
    <w:rsid w:val="00591A40"/>
    <w:rsid w:val="00591B04"/>
    <w:rsid w:val="00591C81"/>
    <w:rsid w:val="00591F96"/>
    <w:rsid w:val="005923C2"/>
    <w:rsid w:val="00592BBE"/>
    <w:rsid w:val="00592C52"/>
    <w:rsid w:val="00592D45"/>
    <w:rsid w:val="00593214"/>
    <w:rsid w:val="00593AFE"/>
    <w:rsid w:val="00594D13"/>
    <w:rsid w:val="00594F37"/>
    <w:rsid w:val="005951C3"/>
    <w:rsid w:val="00595DF3"/>
    <w:rsid w:val="00597441"/>
    <w:rsid w:val="005A0888"/>
    <w:rsid w:val="005A0A41"/>
    <w:rsid w:val="005A0A98"/>
    <w:rsid w:val="005A0B2E"/>
    <w:rsid w:val="005A0F03"/>
    <w:rsid w:val="005A14FA"/>
    <w:rsid w:val="005A1AFE"/>
    <w:rsid w:val="005A2480"/>
    <w:rsid w:val="005A2F63"/>
    <w:rsid w:val="005A2F6F"/>
    <w:rsid w:val="005A3673"/>
    <w:rsid w:val="005A37EC"/>
    <w:rsid w:val="005A38F8"/>
    <w:rsid w:val="005A3966"/>
    <w:rsid w:val="005A407A"/>
    <w:rsid w:val="005A55A5"/>
    <w:rsid w:val="005A573D"/>
    <w:rsid w:val="005A599F"/>
    <w:rsid w:val="005A59F4"/>
    <w:rsid w:val="005A5B9A"/>
    <w:rsid w:val="005A5C27"/>
    <w:rsid w:val="005A5EEE"/>
    <w:rsid w:val="005A6B9B"/>
    <w:rsid w:val="005A7708"/>
    <w:rsid w:val="005A7886"/>
    <w:rsid w:val="005A789B"/>
    <w:rsid w:val="005B01A3"/>
    <w:rsid w:val="005B0211"/>
    <w:rsid w:val="005B0DAE"/>
    <w:rsid w:val="005B0EE3"/>
    <w:rsid w:val="005B0F17"/>
    <w:rsid w:val="005B1C7B"/>
    <w:rsid w:val="005B1EF9"/>
    <w:rsid w:val="005B1F2D"/>
    <w:rsid w:val="005B22B9"/>
    <w:rsid w:val="005B2B60"/>
    <w:rsid w:val="005B2DC7"/>
    <w:rsid w:val="005B368D"/>
    <w:rsid w:val="005B3E85"/>
    <w:rsid w:val="005B3FB6"/>
    <w:rsid w:val="005B46B3"/>
    <w:rsid w:val="005B50B8"/>
    <w:rsid w:val="005B5B2D"/>
    <w:rsid w:val="005B5BFC"/>
    <w:rsid w:val="005B6960"/>
    <w:rsid w:val="005B7C09"/>
    <w:rsid w:val="005C07C4"/>
    <w:rsid w:val="005C0D7E"/>
    <w:rsid w:val="005C0F10"/>
    <w:rsid w:val="005C138B"/>
    <w:rsid w:val="005C1AD3"/>
    <w:rsid w:val="005C1BFC"/>
    <w:rsid w:val="005C1E46"/>
    <w:rsid w:val="005C2F8D"/>
    <w:rsid w:val="005C39F1"/>
    <w:rsid w:val="005C3D28"/>
    <w:rsid w:val="005C3F96"/>
    <w:rsid w:val="005C4046"/>
    <w:rsid w:val="005C489D"/>
    <w:rsid w:val="005C4AB9"/>
    <w:rsid w:val="005C51E4"/>
    <w:rsid w:val="005C5976"/>
    <w:rsid w:val="005C59CE"/>
    <w:rsid w:val="005C5AD5"/>
    <w:rsid w:val="005C5F99"/>
    <w:rsid w:val="005C6529"/>
    <w:rsid w:val="005C79B0"/>
    <w:rsid w:val="005D027D"/>
    <w:rsid w:val="005D094C"/>
    <w:rsid w:val="005D1797"/>
    <w:rsid w:val="005D1B1B"/>
    <w:rsid w:val="005D1F76"/>
    <w:rsid w:val="005D1FFE"/>
    <w:rsid w:val="005D25EC"/>
    <w:rsid w:val="005D2ABC"/>
    <w:rsid w:val="005D2B01"/>
    <w:rsid w:val="005D2D13"/>
    <w:rsid w:val="005D30E3"/>
    <w:rsid w:val="005D5383"/>
    <w:rsid w:val="005D54CA"/>
    <w:rsid w:val="005D5717"/>
    <w:rsid w:val="005D5A65"/>
    <w:rsid w:val="005D5CD7"/>
    <w:rsid w:val="005D5E2F"/>
    <w:rsid w:val="005D6827"/>
    <w:rsid w:val="005D6D48"/>
    <w:rsid w:val="005D6E84"/>
    <w:rsid w:val="005D7903"/>
    <w:rsid w:val="005D7A33"/>
    <w:rsid w:val="005D7D4E"/>
    <w:rsid w:val="005D7DD5"/>
    <w:rsid w:val="005D7FB3"/>
    <w:rsid w:val="005E038B"/>
    <w:rsid w:val="005E0BAB"/>
    <w:rsid w:val="005E1184"/>
    <w:rsid w:val="005E1543"/>
    <w:rsid w:val="005E18EB"/>
    <w:rsid w:val="005E195F"/>
    <w:rsid w:val="005E1D1F"/>
    <w:rsid w:val="005E1F9E"/>
    <w:rsid w:val="005E20BF"/>
    <w:rsid w:val="005E2120"/>
    <w:rsid w:val="005E2179"/>
    <w:rsid w:val="005E2647"/>
    <w:rsid w:val="005E28CB"/>
    <w:rsid w:val="005E2ACA"/>
    <w:rsid w:val="005E2D69"/>
    <w:rsid w:val="005E33C4"/>
    <w:rsid w:val="005E3D1F"/>
    <w:rsid w:val="005E3EFB"/>
    <w:rsid w:val="005E46F0"/>
    <w:rsid w:val="005E4AAB"/>
    <w:rsid w:val="005E56E6"/>
    <w:rsid w:val="005E5826"/>
    <w:rsid w:val="005E60F3"/>
    <w:rsid w:val="005E61ED"/>
    <w:rsid w:val="005E66B9"/>
    <w:rsid w:val="005E69A7"/>
    <w:rsid w:val="005E6C13"/>
    <w:rsid w:val="005E6FC4"/>
    <w:rsid w:val="005F003C"/>
    <w:rsid w:val="005F0467"/>
    <w:rsid w:val="005F08CC"/>
    <w:rsid w:val="005F09D2"/>
    <w:rsid w:val="005F0F1C"/>
    <w:rsid w:val="005F1067"/>
    <w:rsid w:val="005F128A"/>
    <w:rsid w:val="005F1373"/>
    <w:rsid w:val="005F14C5"/>
    <w:rsid w:val="005F1D15"/>
    <w:rsid w:val="005F1FCE"/>
    <w:rsid w:val="005F2399"/>
    <w:rsid w:val="005F2699"/>
    <w:rsid w:val="005F2C83"/>
    <w:rsid w:val="005F4085"/>
    <w:rsid w:val="005F43C7"/>
    <w:rsid w:val="005F4903"/>
    <w:rsid w:val="005F4DD3"/>
    <w:rsid w:val="005F53BE"/>
    <w:rsid w:val="005F5524"/>
    <w:rsid w:val="005F575B"/>
    <w:rsid w:val="005F5DD1"/>
    <w:rsid w:val="005F6EE8"/>
    <w:rsid w:val="005F70AA"/>
    <w:rsid w:val="005F7176"/>
    <w:rsid w:val="00600A99"/>
    <w:rsid w:val="00600B02"/>
    <w:rsid w:val="00600D22"/>
    <w:rsid w:val="00601172"/>
    <w:rsid w:val="006012C9"/>
    <w:rsid w:val="00601444"/>
    <w:rsid w:val="00601DBE"/>
    <w:rsid w:val="00601FD2"/>
    <w:rsid w:val="00602216"/>
    <w:rsid w:val="006025A4"/>
    <w:rsid w:val="00602633"/>
    <w:rsid w:val="00602EF3"/>
    <w:rsid w:val="00602FC3"/>
    <w:rsid w:val="0060321F"/>
    <w:rsid w:val="006036FD"/>
    <w:rsid w:val="00603718"/>
    <w:rsid w:val="006049B0"/>
    <w:rsid w:val="006055D3"/>
    <w:rsid w:val="00605AD4"/>
    <w:rsid w:val="0060788A"/>
    <w:rsid w:val="00608EF3"/>
    <w:rsid w:val="006109F6"/>
    <w:rsid w:val="006111DE"/>
    <w:rsid w:val="00611305"/>
    <w:rsid w:val="0061177B"/>
    <w:rsid w:val="006117C7"/>
    <w:rsid w:val="006123B4"/>
    <w:rsid w:val="006124DB"/>
    <w:rsid w:val="0061276B"/>
    <w:rsid w:val="00613354"/>
    <w:rsid w:val="0061362E"/>
    <w:rsid w:val="006137EB"/>
    <w:rsid w:val="006143B1"/>
    <w:rsid w:val="00615206"/>
    <w:rsid w:val="00615341"/>
    <w:rsid w:val="0061603B"/>
    <w:rsid w:val="0061616D"/>
    <w:rsid w:val="00616302"/>
    <w:rsid w:val="006163AE"/>
    <w:rsid w:val="00616ADA"/>
    <w:rsid w:val="00617593"/>
    <w:rsid w:val="006175A7"/>
    <w:rsid w:val="006175D4"/>
    <w:rsid w:val="00617703"/>
    <w:rsid w:val="00620DD5"/>
    <w:rsid w:val="00620F3F"/>
    <w:rsid w:val="00621072"/>
    <w:rsid w:val="006212B5"/>
    <w:rsid w:val="006220FA"/>
    <w:rsid w:val="00622277"/>
    <w:rsid w:val="006236FF"/>
    <w:rsid w:val="0062380D"/>
    <w:rsid w:val="006239C7"/>
    <w:rsid w:val="006239D3"/>
    <w:rsid w:val="00623ABD"/>
    <w:rsid w:val="00623BE6"/>
    <w:rsid w:val="00623DAE"/>
    <w:rsid w:val="00623EFC"/>
    <w:rsid w:val="0062454B"/>
    <w:rsid w:val="006252C6"/>
    <w:rsid w:val="006256A3"/>
    <w:rsid w:val="0062576C"/>
    <w:rsid w:val="00626033"/>
    <w:rsid w:val="0062676B"/>
    <w:rsid w:val="006269B5"/>
    <w:rsid w:val="0062706A"/>
    <w:rsid w:val="00630505"/>
    <w:rsid w:val="00630922"/>
    <w:rsid w:val="00630E11"/>
    <w:rsid w:val="00631143"/>
    <w:rsid w:val="0063129D"/>
    <w:rsid w:val="00631459"/>
    <w:rsid w:val="00631C17"/>
    <w:rsid w:val="00631D8B"/>
    <w:rsid w:val="00632452"/>
    <w:rsid w:val="0063248E"/>
    <w:rsid w:val="006324CB"/>
    <w:rsid w:val="00632CCB"/>
    <w:rsid w:val="00632CF0"/>
    <w:rsid w:val="00632E4E"/>
    <w:rsid w:val="00632E7D"/>
    <w:rsid w:val="006331B0"/>
    <w:rsid w:val="00634139"/>
    <w:rsid w:val="0063415D"/>
    <w:rsid w:val="00634539"/>
    <w:rsid w:val="006345B2"/>
    <w:rsid w:val="00634D25"/>
    <w:rsid w:val="0063509A"/>
    <w:rsid w:val="006356D1"/>
    <w:rsid w:val="006360DB"/>
    <w:rsid w:val="006368B0"/>
    <w:rsid w:val="00636B30"/>
    <w:rsid w:val="00636B4A"/>
    <w:rsid w:val="00636B85"/>
    <w:rsid w:val="006375CA"/>
    <w:rsid w:val="00637968"/>
    <w:rsid w:val="00637AC7"/>
    <w:rsid w:val="00637FF0"/>
    <w:rsid w:val="00640228"/>
    <w:rsid w:val="0064026D"/>
    <w:rsid w:val="00640309"/>
    <w:rsid w:val="006411AC"/>
    <w:rsid w:val="00641D06"/>
    <w:rsid w:val="00643DC9"/>
    <w:rsid w:val="00643F44"/>
    <w:rsid w:val="00644536"/>
    <w:rsid w:val="0064510C"/>
    <w:rsid w:val="006452F8"/>
    <w:rsid w:val="006459C0"/>
    <w:rsid w:val="006460B8"/>
    <w:rsid w:val="00646193"/>
    <w:rsid w:val="0064646B"/>
    <w:rsid w:val="00646AE3"/>
    <w:rsid w:val="00646C8B"/>
    <w:rsid w:val="006476D9"/>
    <w:rsid w:val="006479EF"/>
    <w:rsid w:val="0065014A"/>
    <w:rsid w:val="006514A3"/>
    <w:rsid w:val="006524A7"/>
    <w:rsid w:val="006529AA"/>
    <w:rsid w:val="006545EC"/>
    <w:rsid w:val="00654707"/>
    <w:rsid w:val="00654D5B"/>
    <w:rsid w:val="0066010E"/>
    <w:rsid w:val="0066083A"/>
    <w:rsid w:val="00660A1E"/>
    <w:rsid w:val="00660D00"/>
    <w:rsid w:val="00661049"/>
    <w:rsid w:val="006630D5"/>
    <w:rsid w:val="00663495"/>
    <w:rsid w:val="006638C6"/>
    <w:rsid w:val="00663A98"/>
    <w:rsid w:val="006649A8"/>
    <w:rsid w:val="00664D23"/>
    <w:rsid w:val="00665B0F"/>
    <w:rsid w:val="00665CB7"/>
    <w:rsid w:val="0066658E"/>
    <w:rsid w:val="006665F6"/>
    <w:rsid w:val="006668D8"/>
    <w:rsid w:val="00666C56"/>
    <w:rsid w:val="00666C81"/>
    <w:rsid w:val="00666D5A"/>
    <w:rsid w:val="006672E3"/>
    <w:rsid w:val="00667420"/>
    <w:rsid w:val="00667656"/>
    <w:rsid w:val="00667F70"/>
    <w:rsid w:val="00670051"/>
    <w:rsid w:val="00670523"/>
    <w:rsid w:val="00670559"/>
    <w:rsid w:val="00670587"/>
    <w:rsid w:val="006705D4"/>
    <w:rsid w:val="00671B3A"/>
    <w:rsid w:val="0067258A"/>
    <w:rsid w:val="00672D7A"/>
    <w:rsid w:val="00672FE0"/>
    <w:rsid w:val="00673515"/>
    <w:rsid w:val="0067419C"/>
    <w:rsid w:val="00674E63"/>
    <w:rsid w:val="00675794"/>
    <w:rsid w:val="006765F9"/>
    <w:rsid w:val="0067706A"/>
    <w:rsid w:val="0067721E"/>
    <w:rsid w:val="00677EFB"/>
    <w:rsid w:val="00677F03"/>
    <w:rsid w:val="00680333"/>
    <w:rsid w:val="00680C18"/>
    <w:rsid w:val="00680E08"/>
    <w:rsid w:val="00680EE8"/>
    <w:rsid w:val="0068188B"/>
    <w:rsid w:val="00681DA9"/>
    <w:rsid w:val="006823C8"/>
    <w:rsid w:val="00682AAA"/>
    <w:rsid w:val="00682EAA"/>
    <w:rsid w:val="0068376F"/>
    <w:rsid w:val="00683B95"/>
    <w:rsid w:val="00683C7D"/>
    <w:rsid w:val="006856D8"/>
    <w:rsid w:val="006866B6"/>
    <w:rsid w:val="00686D1E"/>
    <w:rsid w:val="00686E4E"/>
    <w:rsid w:val="00687B46"/>
    <w:rsid w:val="00687F36"/>
    <w:rsid w:val="00687FF1"/>
    <w:rsid w:val="00690BCD"/>
    <w:rsid w:val="00690C0D"/>
    <w:rsid w:val="00690D7F"/>
    <w:rsid w:val="00690DB0"/>
    <w:rsid w:val="006915C5"/>
    <w:rsid w:val="00691876"/>
    <w:rsid w:val="00692151"/>
    <w:rsid w:val="0069241D"/>
    <w:rsid w:val="00692678"/>
    <w:rsid w:val="00692B5D"/>
    <w:rsid w:val="006938C3"/>
    <w:rsid w:val="00693E90"/>
    <w:rsid w:val="00693EC5"/>
    <w:rsid w:val="006942C0"/>
    <w:rsid w:val="00694365"/>
    <w:rsid w:val="0069437A"/>
    <w:rsid w:val="0069491E"/>
    <w:rsid w:val="00695011"/>
    <w:rsid w:val="006969D4"/>
    <w:rsid w:val="00696E76"/>
    <w:rsid w:val="00697198"/>
    <w:rsid w:val="00697AE2"/>
    <w:rsid w:val="00697C0C"/>
    <w:rsid w:val="006A0113"/>
    <w:rsid w:val="006A01D7"/>
    <w:rsid w:val="006A150A"/>
    <w:rsid w:val="006A18C5"/>
    <w:rsid w:val="006A1FEE"/>
    <w:rsid w:val="006A2309"/>
    <w:rsid w:val="006A2AD5"/>
    <w:rsid w:val="006A37C7"/>
    <w:rsid w:val="006A424B"/>
    <w:rsid w:val="006A44D5"/>
    <w:rsid w:val="006A4D08"/>
    <w:rsid w:val="006A51EA"/>
    <w:rsid w:val="006A5AB2"/>
    <w:rsid w:val="006A5B65"/>
    <w:rsid w:val="006A6466"/>
    <w:rsid w:val="006A6EB2"/>
    <w:rsid w:val="006A6EF2"/>
    <w:rsid w:val="006A7B6C"/>
    <w:rsid w:val="006A7F50"/>
    <w:rsid w:val="006B051A"/>
    <w:rsid w:val="006B0ED4"/>
    <w:rsid w:val="006B117C"/>
    <w:rsid w:val="006B128D"/>
    <w:rsid w:val="006B141E"/>
    <w:rsid w:val="006B16CD"/>
    <w:rsid w:val="006B22CB"/>
    <w:rsid w:val="006B24E9"/>
    <w:rsid w:val="006B2548"/>
    <w:rsid w:val="006B2ADD"/>
    <w:rsid w:val="006B2BCD"/>
    <w:rsid w:val="006B2C36"/>
    <w:rsid w:val="006B30FB"/>
    <w:rsid w:val="006B327D"/>
    <w:rsid w:val="006B3702"/>
    <w:rsid w:val="006B3A39"/>
    <w:rsid w:val="006B4267"/>
    <w:rsid w:val="006B4955"/>
    <w:rsid w:val="006B4C20"/>
    <w:rsid w:val="006B4CC1"/>
    <w:rsid w:val="006B588E"/>
    <w:rsid w:val="006B5FC7"/>
    <w:rsid w:val="006B6096"/>
    <w:rsid w:val="006B664F"/>
    <w:rsid w:val="006B72DC"/>
    <w:rsid w:val="006B776F"/>
    <w:rsid w:val="006B7A9B"/>
    <w:rsid w:val="006C0489"/>
    <w:rsid w:val="006C0DF1"/>
    <w:rsid w:val="006C0E9D"/>
    <w:rsid w:val="006C1094"/>
    <w:rsid w:val="006C18FC"/>
    <w:rsid w:val="006C19FF"/>
    <w:rsid w:val="006C20F3"/>
    <w:rsid w:val="006C21E1"/>
    <w:rsid w:val="006C2488"/>
    <w:rsid w:val="006C24C4"/>
    <w:rsid w:val="006C382B"/>
    <w:rsid w:val="006C4152"/>
    <w:rsid w:val="006C43D3"/>
    <w:rsid w:val="006C4B0D"/>
    <w:rsid w:val="006C5106"/>
    <w:rsid w:val="006C585C"/>
    <w:rsid w:val="006C5BFC"/>
    <w:rsid w:val="006C5C95"/>
    <w:rsid w:val="006C603A"/>
    <w:rsid w:val="006C6D5B"/>
    <w:rsid w:val="006C70ED"/>
    <w:rsid w:val="006C7D4C"/>
    <w:rsid w:val="006D045D"/>
    <w:rsid w:val="006D05D8"/>
    <w:rsid w:val="006D05F8"/>
    <w:rsid w:val="006D07AD"/>
    <w:rsid w:val="006D0A77"/>
    <w:rsid w:val="006D0E17"/>
    <w:rsid w:val="006D14CE"/>
    <w:rsid w:val="006D219A"/>
    <w:rsid w:val="006D2FCF"/>
    <w:rsid w:val="006D3126"/>
    <w:rsid w:val="006D3407"/>
    <w:rsid w:val="006D34ED"/>
    <w:rsid w:val="006D44D3"/>
    <w:rsid w:val="006D4712"/>
    <w:rsid w:val="006D472A"/>
    <w:rsid w:val="006D48EC"/>
    <w:rsid w:val="006D49F8"/>
    <w:rsid w:val="006D4ADE"/>
    <w:rsid w:val="006D4B11"/>
    <w:rsid w:val="006D4C9B"/>
    <w:rsid w:val="006D5004"/>
    <w:rsid w:val="006D526E"/>
    <w:rsid w:val="006D52C6"/>
    <w:rsid w:val="006D58A7"/>
    <w:rsid w:val="006D5B48"/>
    <w:rsid w:val="006D5D63"/>
    <w:rsid w:val="006D5D83"/>
    <w:rsid w:val="006D5DD3"/>
    <w:rsid w:val="006D64A8"/>
    <w:rsid w:val="006D68FE"/>
    <w:rsid w:val="006D6F0C"/>
    <w:rsid w:val="006E01FB"/>
    <w:rsid w:val="006E02C8"/>
    <w:rsid w:val="006E0832"/>
    <w:rsid w:val="006E11C5"/>
    <w:rsid w:val="006E1B75"/>
    <w:rsid w:val="006E2136"/>
    <w:rsid w:val="006E2139"/>
    <w:rsid w:val="006E2E1D"/>
    <w:rsid w:val="006E2E96"/>
    <w:rsid w:val="006E31DC"/>
    <w:rsid w:val="006E3B91"/>
    <w:rsid w:val="006E4ADC"/>
    <w:rsid w:val="006E509D"/>
    <w:rsid w:val="006E5246"/>
    <w:rsid w:val="006E59A4"/>
    <w:rsid w:val="006E5B1C"/>
    <w:rsid w:val="006E5EA9"/>
    <w:rsid w:val="006E65CD"/>
    <w:rsid w:val="006E6CC3"/>
    <w:rsid w:val="006F01DD"/>
    <w:rsid w:val="006F0D3C"/>
    <w:rsid w:val="006F10FB"/>
    <w:rsid w:val="006F1799"/>
    <w:rsid w:val="006F1912"/>
    <w:rsid w:val="006F1E9A"/>
    <w:rsid w:val="006F22ED"/>
    <w:rsid w:val="006F2309"/>
    <w:rsid w:val="006F2D3B"/>
    <w:rsid w:val="006F3D94"/>
    <w:rsid w:val="006F3FC5"/>
    <w:rsid w:val="006F4863"/>
    <w:rsid w:val="006F48DD"/>
    <w:rsid w:val="006F49F9"/>
    <w:rsid w:val="006F4D78"/>
    <w:rsid w:val="006F511E"/>
    <w:rsid w:val="006F5A28"/>
    <w:rsid w:val="006F5CBA"/>
    <w:rsid w:val="006F5D72"/>
    <w:rsid w:val="006F6FE3"/>
    <w:rsid w:val="006F7AAA"/>
    <w:rsid w:val="0070044D"/>
    <w:rsid w:val="00700807"/>
    <w:rsid w:val="00700862"/>
    <w:rsid w:val="00700E2D"/>
    <w:rsid w:val="00700EEC"/>
    <w:rsid w:val="007010B7"/>
    <w:rsid w:val="007023E7"/>
    <w:rsid w:val="00702538"/>
    <w:rsid w:val="007025D9"/>
    <w:rsid w:val="00702895"/>
    <w:rsid w:val="0070369D"/>
    <w:rsid w:val="007037EA"/>
    <w:rsid w:val="00703A6B"/>
    <w:rsid w:val="00703D12"/>
    <w:rsid w:val="00703F0D"/>
    <w:rsid w:val="00704431"/>
    <w:rsid w:val="0070452A"/>
    <w:rsid w:val="00704F25"/>
    <w:rsid w:val="007051A8"/>
    <w:rsid w:val="007052B7"/>
    <w:rsid w:val="00705A09"/>
    <w:rsid w:val="0070659C"/>
    <w:rsid w:val="0070681F"/>
    <w:rsid w:val="00706BD3"/>
    <w:rsid w:val="00706C54"/>
    <w:rsid w:val="00706FD6"/>
    <w:rsid w:val="00707D0E"/>
    <w:rsid w:val="00710360"/>
    <w:rsid w:val="007108E8"/>
    <w:rsid w:val="0071142F"/>
    <w:rsid w:val="007125D9"/>
    <w:rsid w:val="0071278B"/>
    <w:rsid w:val="00712C9C"/>
    <w:rsid w:val="00713BF6"/>
    <w:rsid w:val="00714434"/>
    <w:rsid w:val="007145CB"/>
    <w:rsid w:val="007145E0"/>
    <w:rsid w:val="00714AD6"/>
    <w:rsid w:val="00714CC3"/>
    <w:rsid w:val="00716505"/>
    <w:rsid w:val="00717365"/>
    <w:rsid w:val="0072002A"/>
    <w:rsid w:val="0072015A"/>
    <w:rsid w:val="00720230"/>
    <w:rsid w:val="0072038F"/>
    <w:rsid w:val="00720865"/>
    <w:rsid w:val="00720E97"/>
    <w:rsid w:val="00721319"/>
    <w:rsid w:val="00721382"/>
    <w:rsid w:val="007220D9"/>
    <w:rsid w:val="00722138"/>
    <w:rsid w:val="00722A3A"/>
    <w:rsid w:val="00723121"/>
    <w:rsid w:val="007232E0"/>
    <w:rsid w:val="00723E10"/>
    <w:rsid w:val="00724281"/>
    <w:rsid w:val="0072438D"/>
    <w:rsid w:val="007244EF"/>
    <w:rsid w:val="007249B2"/>
    <w:rsid w:val="00724A9A"/>
    <w:rsid w:val="00724AFE"/>
    <w:rsid w:val="00725105"/>
    <w:rsid w:val="00725AD7"/>
    <w:rsid w:val="00725B93"/>
    <w:rsid w:val="00725BBB"/>
    <w:rsid w:val="007267AE"/>
    <w:rsid w:val="007270F4"/>
    <w:rsid w:val="00731276"/>
    <w:rsid w:val="0073135C"/>
    <w:rsid w:val="007321F5"/>
    <w:rsid w:val="00732813"/>
    <w:rsid w:val="0073305F"/>
    <w:rsid w:val="007335D4"/>
    <w:rsid w:val="00733729"/>
    <w:rsid w:val="00733A80"/>
    <w:rsid w:val="00733C3F"/>
    <w:rsid w:val="00733D36"/>
    <w:rsid w:val="00733F0C"/>
    <w:rsid w:val="007340FB"/>
    <w:rsid w:val="007351EF"/>
    <w:rsid w:val="00735610"/>
    <w:rsid w:val="00735B36"/>
    <w:rsid w:val="00736860"/>
    <w:rsid w:val="00736AC1"/>
    <w:rsid w:val="007371C4"/>
    <w:rsid w:val="0073757C"/>
    <w:rsid w:val="00737B21"/>
    <w:rsid w:val="00737F3C"/>
    <w:rsid w:val="007402E2"/>
    <w:rsid w:val="007408CB"/>
    <w:rsid w:val="00740F2A"/>
    <w:rsid w:val="00742DEC"/>
    <w:rsid w:val="0074312B"/>
    <w:rsid w:val="007437A4"/>
    <w:rsid w:val="00743FC4"/>
    <w:rsid w:val="007440B8"/>
    <w:rsid w:val="007443D4"/>
    <w:rsid w:val="007443F6"/>
    <w:rsid w:val="0074522A"/>
    <w:rsid w:val="007453B6"/>
    <w:rsid w:val="007458FA"/>
    <w:rsid w:val="00745DA5"/>
    <w:rsid w:val="007467DE"/>
    <w:rsid w:val="00746A22"/>
    <w:rsid w:val="0074720E"/>
    <w:rsid w:val="00747710"/>
    <w:rsid w:val="007478A6"/>
    <w:rsid w:val="00747E84"/>
    <w:rsid w:val="00750695"/>
    <w:rsid w:val="00750ADF"/>
    <w:rsid w:val="007526BC"/>
    <w:rsid w:val="00752C47"/>
    <w:rsid w:val="00752CF4"/>
    <w:rsid w:val="00753357"/>
    <w:rsid w:val="00753F25"/>
    <w:rsid w:val="00754A8B"/>
    <w:rsid w:val="00754F37"/>
    <w:rsid w:val="00755256"/>
    <w:rsid w:val="007552CC"/>
    <w:rsid w:val="0075572E"/>
    <w:rsid w:val="00755733"/>
    <w:rsid w:val="00755741"/>
    <w:rsid w:val="00755907"/>
    <w:rsid w:val="007562DA"/>
    <w:rsid w:val="00756BBD"/>
    <w:rsid w:val="00756BD0"/>
    <w:rsid w:val="0075756B"/>
    <w:rsid w:val="00757C70"/>
    <w:rsid w:val="007602F6"/>
    <w:rsid w:val="0076059A"/>
    <w:rsid w:val="0076060F"/>
    <w:rsid w:val="00760611"/>
    <w:rsid w:val="00760BBE"/>
    <w:rsid w:val="007614B9"/>
    <w:rsid w:val="00762518"/>
    <w:rsid w:val="007627D2"/>
    <w:rsid w:val="00762C7C"/>
    <w:rsid w:val="00762FBE"/>
    <w:rsid w:val="007634A9"/>
    <w:rsid w:val="0076356B"/>
    <w:rsid w:val="00763792"/>
    <w:rsid w:val="00764C1D"/>
    <w:rsid w:val="00764E17"/>
    <w:rsid w:val="00764EB0"/>
    <w:rsid w:val="0076502C"/>
    <w:rsid w:val="00765130"/>
    <w:rsid w:val="007651EA"/>
    <w:rsid w:val="007664E4"/>
    <w:rsid w:val="00766A7A"/>
    <w:rsid w:val="007672D7"/>
    <w:rsid w:val="00767869"/>
    <w:rsid w:val="00770C46"/>
    <w:rsid w:val="00770F41"/>
    <w:rsid w:val="00770FBF"/>
    <w:rsid w:val="00771B07"/>
    <w:rsid w:val="00771BAB"/>
    <w:rsid w:val="00771C54"/>
    <w:rsid w:val="00772BF5"/>
    <w:rsid w:val="007731A3"/>
    <w:rsid w:val="007740BD"/>
    <w:rsid w:val="007747BE"/>
    <w:rsid w:val="00774EBD"/>
    <w:rsid w:val="00775886"/>
    <w:rsid w:val="00775D0F"/>
    <w:rsid w:val="007768DF"/>
    <w:rsid w:val="007768FB"/>
    <w:rsid w:val="00776F99"/>
    <w:rsid w:val="00777C67"/>
    <w:rsid w:val="007802AD"/>
    <w:rsid w:val="007802BE"/>
    <w:rsid w:val="0078047F"/>
    <w:rsid w:val="00780BD5"/>
    <w:rsid w:val="00780E29"/>
    <w:rsid w:val="00781021"/>
    <w:rsid w:val="0078112A"/>
    <w:rsid w:val="00781203"/>
    <w:rsid w:val="00781312"/>
    <w:rsid w:val="00781934"/>
    <w:rsid w:val="00781EBC"/>
    <w:rsid w:val="00781F73"/>
    <w:rsid w:val="00782A4E"/>
    <w:rsid w:val="00782FF3"/>
    <w:rsid w:val="00783189"/>
    <w:rsid w:val="007834BD"/>
    <w:rsid w:val="0078356D"/>
    <w:rsid w:val="0078411B"/>
    <w:rsid w:val="007845BB"/>
    <w:rsid w:val="007845E1"/>
    <w:rsid w:val="00784ACA"/>
    <w:rsid w:val="00784C55"/>
    <w:rsid w:val="00785927"/>
    <w:rsid w:val="00785982"/>
    <w:rsid w:val="00785B2E"/>
    <w:rsid w:val="00785DC1"/>
    <w:rsid w:val="007863D2"/>
    <w:rsid w:val="00786A39"/>
    <w:rsid w:val="00786AD8"/>
    <w:rsid w:val="00787686"/>
    <w:rsid w:val="00787B1F"/>
    <w:rsid w:val="00787E50"/>
    <w:rsid w:val="0079063F"/>
    <w:rsid w:val="00790F0D"/>
    <w:rsid w:val="007917A8"/>
    <w:rsid w:val="007917AF"/>
    <w:rsid w:val="00791C4C"/>
    <w:rsid w:val="00791CE2"/>
    <w:rsid w:val="00792159"/>
    <w:rsid w:val="00793496"/>
    <w:rsid w:val="00793526"/>
    <w:rsid w:val="007936B3"/>
    <w:rsid w:val="007937E9"/>
    <w:rsid w:val="00793B70"/>
    <w:rsid w:val="00793D9F"/>
    <w:rsid w:val="00793FAA"/>
    <w:rsid w:val="00793FB3"/>
    <w:rsid w:val="00794E59"/>
    <w:rsid w:val="00795EF2"/>
    <w:rsid w:val="0079602C"/>
    <w:rsid w:val="00796033"/>
    <w:rsid w:val="007968B8"/>
    <w:rsid w:val="00796B1B"/>
    <w:rsid w:val="00796C20"/>
    <w:rsid w:val="0079737E"/>
    <w:rsid w:val="007973CE"/>
    <w:rsid w:val="00797543"/>
    <w:rsid w:val="007A0B2C"/>
    <w:rsid w:val="007A0FEC"/>
    <w:rsid w:val="007A107F"/>
    <w:rsid w:val="007A10CF"/>
    <w:rsid w:val="007A1147"/>
    <w:rsid w:val="007A12C9"/>
    <w:rsid w:val="007A17BB"/>
    <w:rsid w:val="007A2533"/>
    <w:rsid w:val="007A272C"/>
    <w:rsid w:val="007A2B3E"/>
    <w:rsid w:val="007A2EE6"/>
    <w:rsid w:val="007A3D41"/>
    <w:rsid w:val="007A4869"/>
    <w:rsid w:val="007A5238"/>
    <w:rsid w:val="007A56A3"/>
    <w:rsid w:val="007A584C"/>
    <w:rsid w:val="007A58C9"/>
    <w:rsid w:val="007A5C22"/>
    <w:rsid w:val="007A605D"/>
    <w:rsid w:val="007A6182"/>
    <w:rsid w:val="007A6EEF"/>
    <w:rsid w:val="007A71AC"/>
    <w:rsid w:val="007A7AF1"/>
    <w:rsid w:val="007B0280"/>
    <w:rsid w:val="007B0C48"/>
    <w:rsid w:val="007B0F57"/>
    <w:rsid w:val="007B12B0"/>
    <w:rsid w:val="007B147A"/>
    <w:rsid w:val="007B18D0"/>
    <w:rsid w:val="007B1F3E"/>
    <w:rsid w:val="007B21AB"/>
    <w:rsid w:val="007B2641"/>
    <w:rsid w:val="007B26F0"/>
    <w:rsid w:val="007B2CE0"/>
    <w:rsid w:val="007B2E9D"/>
    <w:rsid w:val="007B334D"/>
    <w:rsid w:val="007B3911"/>
    <w:rsid w:val="007B4878"/>
    <w:rsid w:val="007B4BD8"/>
    <w:rsid w:val="007B5E8E"/>
    <w:rsid w:val="007B632E"/>
    <w:rsid w:val="007B6843"/>
    <w:rsid w:val="007B7017"/>
    <w:rsid w:val="007B797D"/>
    <w:rsid w:val="007C0A36"/>
    <w:rsid w:val="007C0B6B"/>
    <w:rsid w:val="007C0D75"/>
    <w:rsid w:val="007C126B"/>
    <w:rsid w:val="007C13B8"/>
    <w:rsid w:val="007C16AB"/>
    <w:rsid w:val="007C16FF"/>
    <w:rsid w:val="007C2617"/>
    <w:rsid w:val="007C2976"/>
    <w:rsid w:val="007C2E39"/>
    <w:rsid w:val="007C2FE3"/>
    <w:rsid w:val="007C3072"/>
    <w:rsid w:val="007C38C6"/>
    <w:rsid w:val="007C3B1E"/>
    <w:rsid w:val="007C3CC7"/>
    <w:rsid w:val="007C3F1C"/>
    <w:rsid w:val="007C44C7"/>
    <w:rsid w:val="007C49C3"/>
    <w:rsid w:val="007C4B4D"/>
    <w:rsid w:val="007C4D6B"/>
    <w:rsid w:val="007C4FEE"/>
    <w:rsid w:val="007C56AD"/>
    <w:rsid w:val="007C603A"/>
    <w:rsid w:val="007C6153"/>
    <w:rsid w:val="007C6386"/>
    <w:rsid w:val="007C686C"/>
    <w:rsid w:val="007C68B5"/>
    <w:rsid w:val="007C79A2"/>
    <w:rsid w:val="007C7C6D"/>
    <w:rsid w:val="007D0911"/>
    <w:rsid w:val="007D0CDF"/>
    <w:rsid w:val="007D1457"/>
    <w:rsid w:val="007D1CF8"/>
    <w:rsid w:val="007D1D5D"/>
    <w:rsid w:val="007D2511"/>
    <w:rsid w:val="007D262A"/>
    <w:rsid w:val="007D3004"/>
    <w:rsid w:val="007D354A"/>
    <w:rsid w:val="007D41D8"/>
    <w:rsid w:val="007D4FDA"/>
    <w:rsid w:val="007D5AD8"/>
    <w:rsid w:val="007D61BA"/>
    <w:rsid w:val="007D6269"/>
    <w:rsid w:val="007D62F3"/>
    <w:rsid w:val="007D6425"/>
    <w:rsid w:val="007D7696"/>
    <w:rsid w:val="007D7FBC"/>
    <w:rsid w:val="007E01D5"/>
    <w:rsid w:val="007E0A25"/>
    <w:rsid w:val="007E0AAB"/>
    <w:rsid w:val="007E1205"/>
    <w:rsid w:val="007E120E"/>
    <w:rsid w:val="007E1462"/>
    <w:rsid w:val="007E2355"/>
    <w:rsid w:val="007E2B69"/>
    <w:rsid w:val="007E2B95"/>
    <w:rsid w:val="007E3425"/>
    <w:rsid w:val="007E48CF"/>
    <w:rsid w:val="007E4D0F"/>
    <w:rsid w:val="007E4FE3"/>
    <w:rsid w:val="007E5D6C"/>
    <w:rsid w:val="007E66E1"/>
    <w:rsid w:val="007E70AD"/>
    <w:rsid w:val="007E74ED"/>
    <w:rsid w:val="007F0055"/>
    <w:rsid w:val="007F00FF"/>
    <w:rsid w:val="007F035B"/>
    <w:rsid w:val="007F0970"/>
    <w:rsid w:val="007F12CE"/>
    <w:rsid w:val="007F1946"/>
    <w:rsid w:val="007F294F"/>
    <w:rsid w:val="007F2B59"/>
    <w:rsid w:val="007F2D88"/>
    <w:rsid w:val="007F31B2"/>
    <w:rsid w:val="007F34B6"/>
    <w:rsid w:val="007F352D"/>
    <w:rsid w:val="007F37B3"/>
    <w:rsid w:val="007F37CF"/>
    <w:rsid w:val="007F3DBC"/>
    <w:rsid w:val="007F446E"/>
    <w:rsid w:val="007F497E"/>
    <w:rsid w:val="007F4AC0"/>
    <w:rsid w:val="007F4F70"/>
    <w:rsid w:val="007F50EA"/>
    <w:rsid w:val="007F5393"/>
    <w:rsid w:val="007F53B8"/>
    <w:rsid w:val="007F549E"/>
    <w:rsid w:val="007F607A"/>
    <w:rsid w:val="007F65E5"/>
    <w:rsid w:val="007F6FB1"/>
    <w:rsid w:val="007F71DF"/>
    <w:rsid w:val="007F75C2"/>
    <w:rsid w:val="007F7D00"/>
    <w:rsid w:val="007F7DED"/>
    <w:rsid w:val="0080076A"/>
    <w:rsid w:val="00801EB3"/>
    <w:rsid w:val="00803052"/>
    <w:rsid w:val="008033C2"/>
    <w:rsid w:val="0080342B"/>
    <w:rsid w:val="00803AF3"/>
    <w:rsid w:val="00803DB8"/>
    <w:rsid w:val="008040E1"/>
    <w:rsid w:val="00804703"/>
    <w:rsid w:val="00804AA4"/>
    <w:rsid w:val="008058C9"/>
    <w:rsid w:val="00805FBE"/>
    <w:rsid w:val="00806108"/>
    <w:rsid w:val="00806A19"/>
    <w:rsid w:val="00806A3A"/>
    <w:rsid w:val="00806B3A"/>
    <w:rsid w:val="00810570"/>
    <w:rsid w:val="00811370"/>
    <w:rsid w:val="00811D1B"/>
    <w:rsid w:val="00811F9A"/>
    <w:rsid w:val="008120D5"/>
    <w:rsid w:val="00812232"/>
    <w:rsid w:val="00812AA1"/>
    <w:rsid w:val="00812C8B"/>
    <w:rsid w:val="00812EE4"/>
    <w:rsid w:val="008131FA"/>
    <w:rsid w:val="0081325B"/>
    <w:rsid w:val="008133C0"/>
    <w:rsid w:val="00813E49"/>
    <w:rsid w:val="00814A3A"/>
    <w:rsid w:val="00814AB4"/>
    <w:rsid w:val="00815A3E"/>
    <w:rsid w:val="00815BD4"/>
    <w:rsid w:val="008164E8"/>
    <w:rsid w:val="008177EE"/>
    <w:rsid w:val="00820A1F"/>
    <w:rsid w:val="00820BED"/>
    <w:rsid w:val="00821692"/>
    <w:rsid w:val="00821924"/>
    <w:rsid w:val="00821B54"/>
    <w:rsid w:val="00821D7A"/>
    <w:rsid w:val="00822091"/>
    <w:rsid w:val="008223A3"/>
    <w:rsid w:val="00822725"/>
    <w:rsid w:val="00822A6D"/>
    <w:rsid w:val="00823311"/>
    <w:rsid w:val="00823370"/>
    <w:rsid w:val="00823C69"/>
    <w:rsid w:val="00824148"/>
    <w:rsid w:val="008241D9"/>
    <w:rsid w:val="008246E3"/>
    <w:rsid w:val="008253E8"/>
    <w:rsid w:val="008259CF"/>
    <w:rsid w:val="00825E35"/>
    <w:rsid w:val="00825FF5"/>
    <w:rsid w:val="00826D7E"/>
    <w:rsid w:val="00827686"/>
    <w:rsid w:val="00827EC4"/>
    <w:rsid w:val="00827EE3"/>
    <w:rsid w:val="00830CC4"/>
    <w:rsid w:val="0083168B"/>
    <w:rsid w:val="00831750"/>
    <w:rsid w:val="00831D33"/>
    <w:rsid w:val="00831DF8"/>
    <w:rsid w:val="00832283"/>
    <w:rsid w:val="00832D88"/>
    <w:rsid w:val="00832F6E"/>
    <w:rsid w:val="0083301A"/>
    <w:rsid w:val="0083321B"/>
    <w:rsid w:val="0083338D"/>
    <w:rsid w:val="00833722"/>
    <w:rsid w:val="00833CFC"/>
    <w:rsid w:val="00833FB6"/>
    <w:rsid w:val="00834090"/>
    <w:rsid w:val="00834BC3"/>
    <w:rsid w:val="008352C5"/>
    <w:rsid w:val="008356E1"/>
    <w:rsid w:val="0083673D"/>
    <w:rsid w:val="00836DC2"/>
    <w:rsid w:val="00837333"/>
    <w:rsid w:val="0083745B"/>
    <w:rsid w:val="00837E58"/>
    <w:rsid w:val="00837E7D"/>
    <w:rsid w:val="00841E19"/>
    <w:rsid w:val="00841E51"/>
    <w:rsid w:val="00842D1B"/>
    <w:rsid w:val="00842FE7"/>
    <w:rsid w:val="008430A2"/>
    <w:rsid w:val="0084402C"/>
    <w:rsid w:val="00844277"/>
    <w:rsid w:val="00844434"/>
    <w:rsid w:val="00844EB5"/>
    <w:rsid w:val="00844F3B"/>
    <w:rsid w:val="008455EF"/>
    <w:rsid w:val="00845891"/>
    <w:rsid w:val="008461C5"/>
    <w:rsid w:val="0084695A"/>
    <w:rsid w:val="008478AE"/>
    <w:rsid w:val="00847CD0"/>
    <w:rsid w:val="0085016B"/>
    <w:rsid w:val="00850E16"/>
    <w:rsid w:val="00851101"/>
    <w:rsid w:val="00852018"/>
    <w:rsid w:val="008528B8"/>
    <w:rsid w:val="00853096"/>
    <w:rsid w:val="008543E8"/>
    <w:rsid w:val="00854A99"/>
    <w:rsid w:val="0085505E"/>
    <w:rsid w:val="008557D5"/>
    <w:rsid w:val="0085583E"/>
    <w:rsid w:val="00855D55"/>
    <w:rsid w:val="00855D99"/>
    <w:rsid w:val="00856121"/>
    <w:rsid w:val="00856477"/>
    <w:rsid w:val="00856B83"/>
    <w:rsid w:val="00857DC9"/>
    <w:rsid w:val="00860360"/>
    <w:rsid w:val="00860AF0"/>
    <w:rsid w:val="00860B40"/>
    <w:rsid w:val="008618B2"/>
    <w:rsid w:val="00861C8D"/>
    <w:rsid w:val="008620BF"/>
    <w:rsid w:val="008626CE"/>
    <w:rsid w:val="00862760"/>
    <w:rsid w:val="0086277F"/>
    <w:rsid w:val="00862B2F"/>
    <w:rsid w:val="00862F33"/>
    <w:rsid w:val="008645B9"/>
    <w:rsid w:val="00864761"/>
    <w:rsid w:val="00865109"/>
    <w:rsid w:val="00865798"/>
    <w:rsid w:val="0086665E"/>
    <w:rsid w:val="008668E5"/>
    <w:rsid w:val="00867817"/>
    <w:rsid w:val="00867A25"/>
    <w:rsid w:val="00867D2F"/>
    <w:rsid w:val="00867DD0"/>
    <w:rsid w:val="008700BA"/>
    <w:rsid w:val="00870318"/>
    <w:rsid w:val="00870E5F"/>
    <w:rsid w:val="008711AB"/>
    <w:rsid w:val="00871285"/>
    <w:rsid w:val="008725BA"/>
    <w:rsid w:val="00872668"/>
    <w:rsid w:val="00872EB5"/>
    <w:rsid w:val="00873666"/>
    <w:rsid w:val="0087426E"/>
    <w:rsid w:val="00874736"/>
    <w:rsid w:val="008748B4"/>
    <w:rsid w:val="00874D39"/>
    <w:rsid w:val="00874E19"/>
    <w:rsid w:val="008751F6"/>
    <w:rsid w:val="00875CD5"/>
    <w:rsid w:val="00876333"/>
    <w:rsid w:val="00876339"/>
    <w:rsid w:val="00876854"/>
    <w:rsid w:val="00876986"/>
    <w:rsid w:val="008769F5"/>
    <w:rsid w:val="00877E10"/>
    <w:rsid w:val="008803B1"/>
    <w:rsid w:val="008804BC"/>
    <w:rsid w:val="008806E4"/>
    <w:rsid w:val="008809F6"/>
    <w:rsid w:val="00880D1A"/>
    <w:rsid w:val="00880D6F"/>
    <w:rsid w:val="00880D91"/>
    <w:rsid w:val="008813FF"/>
    <w:rsid w:val="00881D81"/>
    <w:rsid w:val="00881E2C"/>
    <w:rsid w:val="00881E59"/>
    <w:rsid w:val="008828E7"/>
    <w:rsid w:val="00882F2B"/>
    <w:rsid w:val="00882F52"/>
    <w:rsid w:val="00883566"/>
    <w:rsid w:val="008843F6"/>
    <w:rsid w:val="008849FF"/>
    <w:rsid w:val="00884ED9"/>
    <w:rsid w:val="00885439"/>
    <w:rsid w:val="008855A3"/>
    <w:rsid w:val="00885639"/>
    <w:rsid w:val="008859AC"/>
    <w:rsid w:val="008869C8"/>
    <w:rsid w:val="00886AC3"/>
    <w:rsid w:val="00886C55"/>
    <w:rsid w:val="008871BA"/>
    <w:rsid w:val="00887F16"/>
    <w:rsid w:val="00891433"/>
    <w:rsid w:val="0089170F"/>
    <w:rsid w:val="00895018"/>
    <w:rsid w:val="00895422"/>
    <w:rsid w:val="008963D0"/>
    <w:rsid w:val="008964DA"/>
    <w:rsid w:val="00896574"/>
    <w:rsid w:val="0089709A"/>
    <w:rsid w:val="008979C1"/>
    <w:rsid w:val="00897BAF"/>
    <w:rsid w:val="008A0025"/>
    <w:rsid w:val="008A1719"/>
    <w:rsid w:val="008A1CC7"/>
    <w:rsid w:val="008A1E53"/>
    <w:rsid w:val="008A2094"/>
    <w:rsid w:val="008A2249"/>
    <w:rsid w:val="008A26A8"/>
    <w:rsid w:val="008A2B2E"/>
    <w:rsid w:val="008A2B99"/>
    <w:rsid w:val="008A2F1A"/>
    <w:rsid w:val="008A324D"/>
    <w:rsid w:val="008A337D"/>
    <w:rsid w:val="008A338C"/>
    <w:rsid w:val="008A37BA"/>
    <w:rsid w:val="008A3910"/>
    <w:rsid w:val="008A3EF6"/>
    <w:rsid w:val="008A412D"/>
    <w:rsid w:val="008A4178"/>
    <w:rsid w:val="008A418F"/>
    <w:rsid w:val="008A43AD"/>
    <w:rsid w:val="008A4E18"/>
    <w:rsid w:val="008A500C"/>
    <w:rsid w:val="008A50B7"/>
    <w:rsid w:val="008A571F"/>
    <w:rsid w:val="008A5AB2"/>
    <w:rsid w:val="008A61C3"/>
    <w:rsid w:val="008A64F4"/>
    <w:rsid w:val="008A65CA"/>
    <w:rsid w:val="008A674D"/>
    <w:rsid w:val="008A78EC"/>
    <w:rsid w:val="008A7991"/>
    <w:rsid w:val="008A7C07"/>
    <w:rsid w:val="008B0930"/>
    <w:rsid w:val="008B0E67"/>
    <w:rsid w:val="008B11C9"/>
    <w:rsid w:val="008B138F"/>
    <w:rsid w:val="008B155F"/>
    <w:rsid w:val="008B1863"/>
    <w:rsid w:val="008B1BC6"/>
    <w:rsid w:val="008B2010"/>
    <w:rsid w:val="008B32D5"/>
    <w:rsid w:val="008B5399"/>
    <w:rsid w:val="008B5881"/>
    <w:rsid w:val="008B5DBE"/>
    <w:rsid w:val="008B5F0E"/>
    <w:rsid w:val="008B6B71"/>
    <w:rsid w:val="008B6BD4"/>
    <w:rsid w:val="008C0158"/>
    <w:rsid w:val="008C1154"/>
    <w:rsid w:val="008C174F"/>
    <w:rsid w:val="008C311D"/>
    <w:rsid w:val="008C3F3A"/>
    <w:rsid w:val="008C4902"/>
    <w:rsid w:val="008C4921"/>
    <w:rsid w:val="008C4DE8"/>
    <w:rsid w:val="008C5042"/>
    <w:rsid w:val="008C544B"/>
    <w:rsid w:val="008C5509"/>
    <w:rsid w:val="008C5A0A"/>
    <w:rsid w:val="008C607E"/>
    <w:rsid w:val="008C63A0"/>
    <w:rsid w:val="008C68AB"/>
    <w:rsid w:val="008C6E17"/>
    <w:rsid w:val="008C7DE5"/>
    <w:rsid w:val="008D0482"/>
    <w:rsid w:val="008D1581"/>
    <w:rsid w:val="008D195C"/>
    <w:rsid w:val="008D1BAD"/>
    <w:rsid w:val="008D1C55"/>
    <w:rsid w:val="008D29BD"/>
    <w:rsid w:val="008D33E2"/>
    <w:rsid w:val="008D365F"/>
    <w:rsid w:val="008D3CBC"/>
    <w:rsid w:val="008D4019"/>
    <w:rsid w:val="008D480C"/>
    <w:rsid w:val="008D484E"/>
    <w:rsid w:val="008D4E8E"/>
    <w:rsid w:val="008D51F3"/>
    <w:rsid w:val="008D5FA4"/>
    <w:rsid w:val="008D6BA4"/>
    <w:rsid w:val="008D78D9"/>
    <w:rsid w:val="008E051D"/>
    <w:rsid w:val="008E0858"/>
    <w:rsid w:val="008E0B28"/>
    <w:rsid w:val="008E0F34"/>
    <w:rsid w:val="008E1005"/>
    <w:rsid w:val="008E1C23"/>
    <w:rsid w:val="008E1E03"/>
    <w:rsid w:val="008E1E59"/>
    <w:rsid w:val="008E25F9"/>
    <w:rsid w:val="008E2B3B"/>
    <w:rsid w:val="008E3205"/>
    <w:rsid w:val="008E366D"/>
    <w:rsid w:val="008E46FB"/>
    <w:rsid w:val="008E4A0D"/>
    <w:rsid w:val="008E5614"/>
    <w:rsid w:val="008E673F"/>
    <w:rsid w:val="008E7142"/>
    <w:rsid w:val="008E741D"/>
    <w:rsid w:val="008E7630"/>
    <w:rsid w:val="008E7E0C"/>
    <w:rsid w:val="008F0754"/>
    <w:rsid w:val="008F08D6"/>
    <w:rsid w:val="008F093F"/>
    <w:rsid w:val="008F139B"/>
    <w:rsid w:val="008F13DE"/>
    <w:rsid w:val="008F1B64"/>
    <w:rsid w:val="008F28BC"/>
    <w:rsid w:val="008F2A12"/>
    <w:rsid w:val="008F3860"/>
    <w:rsid w:val="008F39F2"/>
    <w:rsid w:val="008F3A4A"/>
    <w:rsid w:val="008F3C9A"/>
    <w:rsid w:val="008F3F7F"/>
    <w:rsid w:val="008F41FC"/>
    <w:rsid w:val="008F431C"/>
    <w:rsid w:val="008F43B7"/>
    <w:rsid w:val="008F44D3"/>
    <w:rsid w:val="008F46EC"/>
    <w:rsid w:val="008F4901"/>
    <w:rsid w:val="008F4B9A"/>
    <w:rsid w:val="008F4B9D"/>
    <w:rsid w:val="008F4CC3"/>
    <w:rsid w:val="008F4E56"/>
    <w:rsid w:val="008F5289"/>
    <w:rsid w:val="008F53EB"/>
    <w:rsid w:val="008F5430"/>
    <w:rsid w:val="008F6241"/>
    <w:rsid w:val="008F660E"/>
    <w:rsid w:val="008F67F7"/>
    <w:rsid w:val="008F6AD8"/>
    <w:rsid w:val="008F7083"/>
    <w:rsid w:val="008F79E8"/>
    <w:rsid w:val="0090041B"/>
    <w:rsid w:val="00900529"/>
    <w:rsid w:val="0090108A"/>
    <w:rsid w:val="00901219"/>
    <w:rsid w:val="0090184A"/>
    <w:rsid w:val="00901BA6"/>
    <w:rsid w:val="00901C22"/>
    <w:rsid w:val="00901FBF"/>
    <w:rsid w:val="00902EBD"/>
    <w:rsid w:val="009035D9"/>
    <w:rsid w:val="0090388D"/>
    <w:rsid w:val="0090392A"/>
    <w:rsid w:val="0090400A"/>
    <w:rsid w:val="009042CC"/>
    <w:rsid w:val="00904571"/>
    <w:rsid w:val="009054FD"/>
    <w:rsid w:val="00905560"/>
    <w:rsid w:val="00906134"/>
    <w:rsid w:val="00906290"/>
    <w:rsid w:val="00906610"/>
    <w:rsid w:val="00907160"/>
    <w:rsid w:val="009076A8"/>
    <w:rsid w:val="00907DCB"/>
    <w:rsid w:val="00907EF2"/>
    <w:rsid w:val="00907F6A"/>
    <w:rsid w:val="00910D95"/>
    <w:rsid w:val="00911A91"/>
    <w:rsid w:val="00911FBB"/>
    <w:rsid w:val="009127A4"/>
    <w:rsid w:val="009129A4"/>
    <w:rsid w:val="00912AE9"/>
    <w:rsid w:val="00913D5F"/>
    <w:rsid w:val="00914A3B"/>
    <w:rsid w:val="00914C71"/>
    <w:rsid w:val="00915393"/>
    <w:rsid w:val="00915488"/>
    <w:rsid w:val="009159B2"/>
    <w:rsid w:val="00916375"/>
    <w:rsid w:val="0091695C"/>
    <w:rsid w:val="00916A3B"/>
    <w:rsid w:val="00916E46"/>
    <w:rsid w:val="00916F3C"/>
    <w:rsid w:val="009179D3"/>
    <w:rsid w:val="00917B96"/>
    <w:rsid w:val="00920AB7"/>
    <w:rsid w:val="00920BBD"/>
    <w:rsid w:val="00920FAC"/>
    <w:rsid w:val="009213E5"/>
    <w:rsid w:val="00921C05"/>
    <w:rsid w:val="00921CFC"/>
    <w:rsid w:val="00921D13"/>
    <w:rsid w:val="0092283F"/>
    <w:rsid w:val="00922A95"/>
    <w:rsid w:val="00923E21"/>
    <w:rsid w:val="009244C3"/>
    <w:rsid w:val="00924A57"/>
    <w:rsid w:val="00924C91"/>
    <w:rsid w:val="00925876"/>
    <w:rsid w:val="00925B99"/>
    <w:rsid w:val="00925EE4"/>
    <w:rsid w:val="00926368"/>
    <w:rsid w:val="0092646E"/>
    <w:rsid w:val="0092653E"/>
    <w:rsid w:val="00926D70"/>
    <w:rsid w:val="0092749B"/>
    <w:rsid w:val="009310B5"/>
    <w:rsid w:val="00931611"/>
    <w:rsid w:val="00931BA4"/>
    <w:rsid w:val="009329AE"/>
    <w:rsid w:val="00932D66"/>
    <w:rsid w:val="009336A7"/>
    <w:rsid w:val="0093377F"/>
    <w:rsid w:val="00933AC8"/>
    <w:rsid w:val="00933C53"/>
    <w:rsid w:val="00933C96"/>
    <w:rsid w:val="00933F86"/>
    <w:rsid w:val="00934C83"/>
    <w:rsid w:val="009369AE"/>
    <w:rsid w:val="00937BE6"/>
    <w:rsid w:val="00941628"/>
    <w:rsid w:val="0094291C"/>
    <w:rsid w:val="009436E9"/>
    <w:rsid w:val="009439F9"/>
    <w:rsid w:val="00944337"/>
    <w:rsid w:val="0094439D"/>
    <w:rsid w:val="00944439"/>
    <w:rsid w:val="00944AFA"/>
    <w:rsid w:val="00945185"/>
    <w:rsid w:val="00945650"/>
    <w:rsid w:val="00945885"/>
    <w:rsid w:val="009459EF"/>
    <w:rsid w:val="00945BCB"/>
    <w:rsid w:val="00945FE2"/>
    <w:rsid w:val="009460EF"/>
    <w:rsid w:val="0094621D"/>
    <w:rsid w:val="009504A7"/>
    <w:rsid w:val="00950727"/>
    <w:rsid w:val="009508E4"/>
    <w:rsid w:val="00951D88"/>
    <w:rsid w:val="00951FDB"/>
    <w:rsid w:val="009522DA"/>
    <w:rsid w:val="00952755"/>
    <w:rsid w:val="00952872"/>
    <w:rsid w:val="00952CD4"/>
    <w:rsid w:val="0095357F"/>
    <w:rsid w:val="00953E02"/>
    <w:rsid w:val="00954323"/>
    <w:rsid w:val="00954BC2"/>
    <w:rsid w:val="009567B8"/>
    <w:rsid w:val="00956E6B"/>
    <w:rsid w:val="00957401"/>
    <w:rsid w:val="00957E7E"/>
    <w:rsid w:val="0096093C"/>
    <w:rsid w:val="00960A1A"/>
    <w:rsid w:val="00960D34"/>
    <w:rsid w:val="009611D2"/>
    <w:rsid w:val="009621A0"/>
    <w:rsid w:val="00962B2F"/>
    <w:rsid w:val="00962BC2"/>
    <w:rsid w:val="009641EB"/>
    <w:rsid w:val="00964224"/>
    <w:rsid w:val="00965708"/>
    <w:rsid w:val="00965A6B"/>
    <w:rsid w:val="0096666E"/>
    <w:rsid w:val="0096696A"/>
    <w:rsid w:val="00967201"/>
    <w:rsid w:val="0096726E"/>
    <w:rsid w:val="00967A02"/>
    <w:rsid w:val="00967C74"/>
    <w:rsid w:val="0097005A"/>
    <w:rsid w:val="009701B6"/>
    <w:rsid w:val="00971C90"/>
    <w:rsid w:val="00971FDA"/>
    <w:rsid w:val="009722A8"/>
    <w:rsid w:val="00972548"/>
    <w:rsid w:val="00972799"/>
    <w:rsid w:val="009728FF"/>
    <w:rsid w:val="009737B6"/>
    <w:rsid w:val="00974888"/>
    <w:rsid w:val="00974B47"/>
    <w:rsid w:val="00974D53"/>
    <w:rsid w:val="00974D5D"/>
    <w:rsid w:val="0097550E"/>
    <w:rsid w:val="00976070"/>
    <w:rsid w:val="009760C4"/>
    <w:rsid w:val="009768FA"/>
    <w:rsid w:val="00976E27"/>
    <w:rsid w:val="009772A5"/>
    <w:rsid w:val="00977550"/>
    <w:rsid w:val="00977D27"/>
    <w:rsid w:val="009807C8"/>
    <w:rsid w:val="00980B5D"/>
    <w:rsid w:val="00981173"/>
    <w:rsid w:val="009811AC"/>
    <w:rsid w:val="00981A75"/>
    <w:rsid w:val="00981F83"/>
    <w:rsid w:val="00982067"/>
    <w:rsid w:val="00982B8E"/>
    <w:rsid w:val="00983356"/>
    <w:rsid w:val="00983948"/>
    <w:rsid w:val="009841A8"/>
    <w:rsid w:val="00984892"/>
    <w:rsid w:val="00984BA5"/>
    <w:rsid w:val="009850E6"/>
    <w:rsid w:val="009863DD"/>
    <w:rsid w:val="00986731"/>
    <w:rsid w:val="0098673D"/>
    <w:rsid w:val="00986792"/>
    <w:rsid w:val="009868BE"/>
    <w:rsid w:val="00986B64"/>
    <w:rsid w:val="00986EFA"/>
    <w:rsid w:val="009876A4"/>
    <w:rsid w:val="00987A69"/>
    <w:rsid w:val="00987ADE"/>
    <w:rsid w:val="00990983"/>
    <w:rsid w:val="00990E4E"/>
    <w:rsid w:val="009917E9"/>
    <w:rsid w:val="00992131"/>
    <w:rsid w:val="009922C8"/>
    <w:rsid w:val="009922DA"/>
    <w:rsid w:val="009922F1"/>
    <w:rsid w:val="00992416"/>
    <w:rsid w:val="00992C39"/>
    <w:rsid w:val="00992F1B"/>
    <w:rsid w:val="0099328A"/>
    <w:rsid w:val="00993789"/>
    <w:rsid w:val="00994007"/>
    <w:rsid w:val="00994B4C"/>
    <w:rsid w:val="00994F61"/>
    <w:rsid w:val="009956A6"/>
    <w:rsid w:val="00995CC5"/>
    <w:rsid w:val="00996057"/>
    <w:rsid w:val="00996394"/>
    <w:rsid w:val="0099661D"/>
    <w:rsid w:val="00996C89"/>
    <w:rsid w:val="009970DC"/>
    <w:rsid w:val="00997512"/>
    <w:rsid w:val="00997793"/>
    <w:rsid w:val="0099781F"/>
    <w:rsid w:val="009979B9"/>
    <w:rsid w:val="009A034C"/>
    <w:rsid w:val="009A03C7"/>
    <w:rsid w:val="009A041D"/>
    <w:rsid w:val="009A0703"/>
    <w:rsid w:val="009A0713"/>
    <w:rsid w:val="009A1399"/>
    <w:rsid w:val="009A22FD"/>
    <w:rsid w:val="009A2A21"/>
    <w:rsid w:val="009A2ED6"/>
    <w:rsid w:val="009A31E7"/>
    <w:rsid w:val="009A3236"/>
    <w:rsid w:val="009A3A05"/>
    <w:rsid w:val="009A546A"/>
    <w:rsid w:val="009A5BA3"/>
    <w:rsid w:val="009A621C"/>
    <w:rsid w:val="009A6677"/>
    <w:rsid w:val="009A6C66"/>
    <w:rsid w:val="009A6EF9"/>
    <w:rsid w:val="009A7BBC"/>
    <w:rsid w:val="009B194B"/>
    <w:rsid w:val="009B262B"/>
    <w:rsid w:val="009B2A11"/>
    <w:rsid w:val="009B35B1"/>
    <w:rsid w:val="009B3609"/>
    <w:rsid w:val="009B3AE3"/>
    <w:rsid w:val="009B421B"/>
    <w:rsid w:val="009B4C31"/>
    <w:rsid w:val="009B5581"/>
    <w:rsid w:val="009B5940"/>
    <w:rsid w:val="009B63ED"/>
    <w:rsid w:val="009B6E9D"/>
    <w:rsid w:val="009B710D"/>
    <w:rsid w:val="009B7DAE"/>
    <w:rsid w:val="009C0F21"/>
    <w:rsid w:val="009C15BE"/>
    <w:rsid w:val="009C1675"/>
    <w:rsid w:val="009C3862"/>
    <w:rsid w:val="009C3CE9"/>
    <w:rsid w:val="009C4171"/>
    <w:rsid w:val="009C475C"/>
    <w:rsid w:val="009C4F9C"/>
    <w:rsid w:val="009C5878"/>
    <w:rsid w:val="009C5C51"/>
    <w:rsid w:val="009C5EB0"/>
    <w:rsid w:val="009C603F"/>
    <w:rsid w:val="009C60A5"/>
    <w:rsid w:val="009C622A"/>
    <w:rsid w:val="009C75C9"/>
    <w:rsid w:val="009C7978"/>
    <w:rsid w:val="009C7D8C"/>
    <w:rsid w:val="009D0BC8"/>
    <w:rsid w:val="009D0D53"/>
    <w:rsid w:val="009D1492"/>
    <w:rsid w:val="009D169E"/>
    <w:rsid w:val="009D17E7"/>
    <w:rsid w:val="009D2602"/>
    <w:rsid w:val="009D27DB"/>
    <w:rsid w:val="009D3073"/>
    <w:rsid w:val="009D3234"/>
    <w:rsid w:val="009D387E"/>
    <w:rsid w:val="009D3EDA"/>
    <w:rsid w:val="009D41B7"/>
    <w:rsid w:val="009D432F"/>
    <w:rsid w:val="009D4ACB"/>
    <w:rsid w:val="009D4EFC"/>
    <w:rsid w:val="009D5B2D"/>
    <w:rsid w:val="009D5C39"/>
    <w:rsid w:val="009D5CA7"/>
    <w:rsid w:val="009D65CD"/>
    <w:rsid w:val="009D6E2E"/>
    <w:rsid w:val="009D7298"/>
    <w:rsid w:val="009E03C7"/>
    <w:rsid w:val="009E03D6"/>
    <w:rsid w:val="009E0D43"/>
    <w:rsid w:val="009E12B5"/>
    <w:rsid w:val="009E1409"/>
    <w:rsid w:val="009E193C"/>
    <w:rsid w:val="009E1F6C"/>
    <w:rsid w:val="009E2617"/>
    <w:rsid w:val="009E2E7D"/>
    <w:rsid w:val="009E3948"/>
    <w:rsid w:val="009E3C1C"/>
    <w:rsid w:val="009E3F6F"/>
    <w:rsid w:val="009E6298"/>
    <w:rsid w:val="009E6ACB"/>
    <w:rsid w:val="009E7097"/>
    <w:rsid w:val="009F07D1"/>
    <w:rsid w:val="009F1043"/>
    <w:rsid w:val="009F1576"/>
    <w:rsid w:val="009F2884"/>
    <w:rsid w:val="009F2A34"/>
    <w:rsid w:val="009F2D78"/>
    <w:rsid w:val="009F3345"/>
    <w:rsid w:val="009F35B2"/>
    <w:rsid w:val="009F366A"/>
    <w:rsid w:val="009F36CA"/>
    <w:rsid w:val="009F38C6"/>
    <w:rsid w:val="009F40AC"/>
    <w:rsid w:val="009F464B"/>
    <w:rsid w:val="009F4BEB"/>
    <w:rsid w:val="009F4FE2"/>
    <w:rsid w:val="009F5157"/>
    <w:rsid w:val="009F54A0"/>
    <w:rsid w:val="009F570B"/>
    <w:rsid w:val="009F58F9"/>
    <w:rsid w:val="009F596E"/>
    <w:rsid w:val="009F6167"/>
    <w:rsid w:val="009F65C9"/>
    <w:rsid w:val="009F6C6D"/>
    <w:rsid w:val="009F6D3E"/>
    <w:rsid w:val="009F752A"/>
    <w:rsid w:val="009F7B0B"/>
    <w:rsid w:val="009F7F30"/>
    <w:rsid w:val="00A003BE"/>
    <w:rsid w:val="00A003CD"/>
    <w:rsid w:val="00A003F1"/>
    <w:rsid w:val="00A00EE1"/>
    <w:rsid w:val="00A016B7"/>
    <w:rsid w:val="00A01736"/>
    <w:rsid w:val="00A01C6F"/>
    <w:rsid w:val="00A022AB"/>
    <w:rsid w:val="00A02B33"/>
    <w:rsid w:val="00A02E02"/>
    <w:rsid w:val="00A03435"/>
    <w:rsid w:val="00A03567"/>
    <w:rsid w:val="00A0385F"/>
    <w:rsid w:val="00A050BE"/>
    <w:rsid w:val="00A05D71"/>
    <w:rsid w:val="00A06C2D"/>
    <w:rsid w:val="00A06FC8"/>
    <w:rsid w:val="00A079D0"/>
    <w:rsid w:val="00A07E8E"/>
    <w:rsid w:val="00A11132"/>
    <w:rsid w:val="00A11547"/>
    <w:rsid w:val="00A11756"/>
    <w:rsid w:val="00A11969"/>
    <w:rsid w:val="00A12006"/>
    <w:rsid w:val="00A12157"/>
    <w:rsid w:val="00A1245E"/>
    <w:rsid w:val="00A12E84"/>
    <w:rsid w:val="00A13468"/>
    <w:rsid w:val="00A134A2"/>
    <w:rsid w:val="00A15244"/>
    <w:rsid w:val="00A157B9"/>
    <w:rsid w:val="00A158FB"/>
    <w:rsid w:val="00A15BF4"/>
    <w:rsid w:val="00A15F88"/>
    <w:rsid w:val="00A162DC"/>
    <w:rsid w:val="00A16EAA"/>
    <w:rsid w:val="00A1712E"/>
    <w:rsid w:val="00A17833"/>
    <w:rsid w:val="00A17F2D"/>
    <w:rsid w:val="00A205EC"/>
    <w:rsid w:val="00A2061C"/>
    <w:rsid w:val="00A20633"/>
    <w:rsid w:val="00A20667"/>
    <w:rsid w:val="00A20C16"/>
    <w:rsid w:val="00A22348"/>
    <w:rsid w:val="00A224CB"/>
    <w:rsid w:val="00A228FB"/>
    <w:rsid w:val="00A229E6"/>
    <w:rsid w:val="00A22A8D"/>
    <w:rsid w:val="00A22D13"/>
    <w:rsid w:val="00A22F87"/>
    <w:rsid w:val="00A232EF"/>
    <w:rsid w:val="00A23A1D"/>
    <w:rsid w:val="00A23CF5"/>
    <w:rsid w:val="00A243D6"/>
    <w:rsid w:val="00A24C62"/>
    <w:rsid w:val="00A24CAB"/>
    <w:rsid w:val="00A254EC"/>
    <w:rsid w:val="00A25EEB"/>
    <w:rsid w:val="00A25F51"/>
    <w:rsid w:val="00A26182"/>
    <w:rsid w:val="00A26C5E"/>
    <w:rsid w:val="00A27226"/>
    <w:rsid w:val="00A30382"/>
    <w:rsid w:val="00A30CEC"/>
    <w:rsid w:val="00A31CCA"/>
    <w:rsid w:val="00A32604"/>
    <w:rsid w:val="00A32EB7"/>
    <w:rsid w:val="00A32EF3"/>
    <w:rsid w:val="00A332C0"/>
    <w:rsid w:val="00A33959"/>
    <w:rsid w:val="00A33AAD"/>
    <w:rsid w:val="00A3426D"/>
    <w:rsid w:val="00A34819"/>
    <w:rsid w:val="00A34911"/>
    <w:rsid w:val="00A35312"/>
    <w:rsid w:val="00A353FA"/>
    <w:rsid w:val="00A354C8"/>
    <w:rsid w:val="00A36853"/>
    <w:rsid w:val="00A3685F"/>
    <w:rsid w:val="00A371AE"/>
    <w:rsid w:val="00A37323"/>
    <w:rsid w:val="00A401A2"/>
    <w:rsid w:val="00A401D8"/>
    <w:rsid w:val="00A407E6"/>
    <w:rsid w:val="00A40D06"/>
    <w:rsid w:val="00A417AE"/>
    <w:rsid w:val="00A42464"/>
    <w:rsid w:val="00A4310C"/>
    <w:rsid w:val="00A43345"/>
    <w:rsid w:val="00A447E6"/>
    <w:rsid w:val="00A44A25"/>
    <w:rsid w:val="00A45503"/>
    <w:rsid w:val="00A45840"/>
    <w:rsid w:val="00A463E3"/>
    <w:rsid w:val="00A4678B"/>
    <w:rsid w:val="00A46998"/>
    <w:rsid w:val="00A46F33"/>
    <w:rsid w:val="00A47D4D"/>
    <w:rsid w:val="00A5066F"/>
    <w:rsid w:val="00A50AD6"/>
    <w:rsid w:val="00A50BC1"/>
    <w:rsid w:val="00A50D0F"/>
    <w:rsid w:val="00A50E2B"/>
    <w:rsid w:val="00A51495"/>
    <w:rsid w:val="00A52D67"/>
    <w:rsid w:val="00A530F0"/>
    <w:rsid w:val="00A5387A"/>
    <w:rsid w:val="00A53BBB"/>
    <w:rsid w:val="00A54097"/>
    <w:rsid w:val="00A5479F"/>
    <w:rsid w:val="00A5496F"/>
    <w:rsid w:val="00A55678"/>
    <w:rsid w:val="00A559DF"/>
    <w:rsid w:val="00A574AC"/>
    <w:rsid w:val="00A57661"/>
    <w:rsid w:val="00A57A14"/>
    <w:rsid w:val="00A601F4"/>
    <w:rsid w:val="00A60905"/>
    <w:rsid w:val="00A60C73"/>
    <w:rsid w:val="00A60E34"/>
    <w:rsid w:val="00A6176C"/>
    <w:rsid w:val="00A617FE"/>
    <w:rsid w:val="00A61823"/>
    <w:rsid w:val="00A62074"/>
    <w:rsid w:val="00A62606"/>
    <w:rsid w:val="00A62EA7"/>
    <w:rsid w:val="00A635E1"/>
    <w:rsid w:val="00A6459E"/>
    <w:rsid w:val="00A64686"/>
    <w:rsid w:val="00A64CAE"/>
    <w:rsid w:val="00A64F5A"/>
    <w:rsid w:val="00A6578C"/>
    <w:rsid w:val="00A65B82"/>
    <w:rsid w:val="00A66680"/>
    <w:rsid w:val="00A66C2E"/>
    <w:rsid w:val="00A70AD7"/>
    <w:rsid w:val="00A7167A"/>
    <w:rsid w:val="00A71A0A"/>
    <w:rsid w:val="00A71FA2"/>
    <w:rsid w:val="00A72109"/>
    <w:rsid w:val="00A7215B"/>
    <w:rsid w:val="00A7215E"/>
    <w:rsid w:val="00A72227"/>
    <w:rsid w:val="00A726EA"/>
    <w:rsid w:val="00A729BD"/>
    <w:rsid w:val="00A72CC1"/>
    <w:rsid w:val="00A72CF3"/>
    <w:rsid w:val="00A73661"/>
    <w:rsid w:val="00A73A34"/>
    <w:rsid w:val="00A73E12"/>
    <w:rsid w:val="00A740DF"/>
    <w:rsid w:val="00A748F2"/>
    <w:rsid w:val="00A74939"/>
    <w:rsid w:val="00A75180"/>
    <w:rsid w:val="00A75743"/>
    <w:rsid w:val="00A75ABA"/>
    <w:rsid w:val="00A76AED"/>
    <w:rsid w:val="00A77845"/>
    <w:rsid w:val="00A77B52"/>
    <w:rsid w:val="00A77BE7"/>
    <w:rsid w:val="00A77FB9"/>
    <w:rsid w:val="00A80044"/>
    <w:rsid w:val="00A800AB"/>
    <w:rsid w:val="00A80E0F"/>
    <w:rsid w:val="00A81845"/>
    <w:rsid w:val="00A819DB"/>
    <w:rsid w:val="00A81A8B"/>
    <w:rsid w:val="00A81C46"/>
    <w:rsid w:val="00A81DF2"/>
    <w:rsid w:val="00A8271D"/>
    <w:rsid w:val="00A82B34"/>
    <w:rsid w:val="00A82CCE"/>
    <w:rsid w:val="00A83252"/>
    <w:rsid w:val="00A8330A"/>
    <w:rsid w:val="00A83611"/>
    <w:rsid w:val="00A83841"/>
    <w:rsid w:val="00A847B2"/>
    <w:rsid w:val="00A84B21"/>
    <w:rsid w:val="00A8580C"/>
    <w:rsid w:val="00A85A45"/>
    <w:rsid w:val="00A85B9B"/>
    <w:rsid w:val="00A85F3E"/>
    <w:rsid w:val="00A85F4B"/>
    <w:rsid w:val="00A86069"/>
    <w:rsid w:val="00A864C9"/>
    <w:rsid w:val="00A86A92"/>
    <w:rsid w:val="00A86CEB"/>
    <w:rsid w:val="00A86E30"/>
    <w:rsid w:val="00A90AA5"/>
    <w:rsid w:val="00A90C81"/>
    <w:rsid w:val="00A912BA"/>
    <w:rsid w:val="00A9141E"/>
    <w:rsid w:val="00A91929"/>
    <w:rsid w:val="00A924F3"/>
    <w:rsid w:val="00A92AF0"/>
    <w:rsid w:val="00A94369"/>
    <w:rsid w:val="00A94AD0"/>
    <w:rsid w:val="00A94F92"/>
    <w:rsid w:val="00A955F1"/>
    <w:rsid w:val="00A9562D"/>
    <w:rsid w:val="00A965A3"/>
    <w:rsid w:val="00A96A1D"/>
    <w:rsid w:val="00A96B13"/>
    <w:rsid w:val="00A96C88"/>
    <w:rsid w:val="00A97554"/>
    <w:rsid w:val="00A97923"/>
    <w:rsid w:val="00A97E0B"/>
    <w:rsid w:val="00AA0A69"/>
    <w:rsid w:val="00AA0C9F"/>
    <w:rsid w:val="00AA0DE0"/>
    <w:rsid w:val="00AA0E31"/>
    <w:rsid w:val="00AA13B6"/>
    <w:rsid w:val="00AA1803"/>
    <w:rsid w:val="00AA20EA"/>
    <w:rsid w:val="00AA2D6F"/>
    <w:rsid w:val="00AA317C"/>
    <w:rsid w:val="00AA31C9"/>
    <w:rsid w:val="00AA3B2A"/>
    <w:rsid w:val="00AA4074"/>
    <w:rsid w:val="00AA446F"/>
    <w:rsid w:val="00AA4C23"/>
    <w:rsid w:val="00AA59A6"/>
    <w:rsid w:val="00AA5F3D"/>
    <w:rsid w:val="00AA5FCE"/>
    <w:rsid w:val="00AA619F"/>
    <w:rsid w:val="00AA6C5C"/>
    <w:rsid w:val="00AA739B"/>
    <w:rsid w:val="00AA794A"/>
    <w:rsid w:val="00AB07AC"/>
    <w:rsid w:val="00AB0D80"/>
    <w:rsid w:val="00AB1425"/>
    <w:rsid w:val="00AB16D9"/>
    <w:rsid w:val="00AB1C49"/>
    <w:rsid w:val="00AB1FC8"/>
    <w:rsid w:val="00AB284D"/>
    <w:rsid w:val="00AB2F02"/>
    <w:rsid w:val="00AB304E"/>
    <w:rsid w:val="00AB4110"/>
    <w:rsid w:val="00AB445C"/>
    <w:rsid w:val="00AB4497"/>
    <w:rsid w:val="00AB6881"/>
    <w:rsid w:val="00AB6965"/>
    <w:rsid w:val="00AB6C17"/>
    <w:rsid w:val="00AB7B4D"/>
    <w:rsid w:val="00AB7F63"/>
    <w:rsid w:val="00AC0770"/>
    <w:rsid w:val="00AC0810"/>
    <w:rsid w:val="00AC0977"/>
    <w:rsid w:val="00AC0990"/>
    <w:rsid w:val="00AC0A9D"/>
    <w:rsid w:val="00AC0C9E"/>
    <w:rsid w:val="00AC0DFE"/>
    <w:rsid w:val="00AC0F0F"/>
    <w:rsid w:val="00AC20C0"/>
    <w:rsid w:val="00AC21FA"/>
    <w:rsid w:val="00AC25D1"/>
    <w:rsid w:val="00AC2876"/>
    <w:rsid w:val="00AC2F01"/>
    <w:rsid w:val="00AC3349"/>
    <w:rsid w:val="00AC33C8"/>
    <w:rsid w:val="00AC365E"/>
    <w:rsid w:val="00AC3ACE"/>
    <w:rsid w:val="00AC449A"/>
    <w:rsid w:val="00AC4C13"/>
    <w:rsid w:val="00AC4C74"/>
    <w:rsid w:val="00AC4CD2"/>
    <w:rsid w:val="00AC4E0E"/>
    <w:rsid w:val="00AC50B3"/>
    <w:rsid w:val="00AC5358"/>
    <w:rsid w:val="00AC5D5B"/>
    <w:rsid w:val="00AC6909"/>
    <w:rsid w:val="00AC6A7C"/>
    <w:rsid w:val="00AC6E83"/>
    <w:rsid w:val="00AC72B0"/>
    <w:rsid w:val="00AC7BE1"/>
    <w:rsid w:val="00AD059B"/>
    <w:rsid w:val="00AD0CAB"/>
    <w:rsid w:val="00AD102A"/>
    <w:rsid w:val="00AD1354"/>
    <w:rsid w:val="00AD1502"/>
    <w:rsid w:val="00AD1625"/>
    <w:rsid w:val="00AD1796"/>
    <w:rsid w:val="00AD1974"/>
    <w:rsid w:val="00AD1A9A"/>
    <w:rsid w:val="00AD1DF9"/>
    <w:rsid w:val="00AD2353"/>
    <w:rsid w:val="00AD239A"/>
    <w:rsid w:val="00AD26D4"/>
    <w:rsid w:val="00AD2947"/>
    <w:rsid w:val="00AD3102"/>
    <w:rsid w:val="00AD3EDC"/>
    <w:rsid w:val="00AD4BF1"/>
    <w:rsid w:val="00AD4C09"/>
    <w:rsid w:val="00AD505E"/>
    <w:rsid w:val="00AD5CCC"/>
    <w:rsid w:val="00AD5EC5"/>
    <w:rsid w:val="00AD5F1B"/>
    <w:rsid w:val="00AD6CC5"/>
    <w:rsid w:val="00AD713A"/>
    <w:rsid w:val="00AD7619"/>
    <w:rsid w:val="00AD78D5"/>
    <w:rsid w:val="00AD7943"/>
    <w:rsid w:val="00AD7E0B"/>
    <w:rsid w:val="00AE0769"/>
    <w:rsid w:val="00AE0E58"/>
    <w:rsid w:val="00AE1959"/>
    <w:rsid w:val="00AE2006"/>
    <w:rsid w:val="00AE324D"/>
    <w:rsid w:val="00AE3474"/>
    <w:rsid w:val="00AE43B4"/>
    <w:rsid w:val="00AE594A"/>
    <w:rsid w:val="00AE61D5"/>
    <w:rsid w:val="00AE676E"/>
    <w:rsid w:val="00AE7DFC"/>
    <w:rsid w:val="00AF0189"/>
    <w:rsid w:val="00AF061D"/>
    <w:rsid w:val="00AF12CE"/>
    <w:rsid w:val="00AF12F8"/>
    <w:rsid w:val="00AF1A84"/>
    <w:rsid w:val="00AF1F7A"/>
    <w:rsid w:val="00AF245B"/>
    <w:rsid w:val="00AF3FE0"/>
    <w:rsid w:val="00AF45EB"/>
    <w:rsid w:val="00AF4794"/>
    <w:rsid w:val="00AF5015"/>
    <w:rsid w:val="00AF5797"/>
    <w:rsid w:val="00AF5F12"/>
    <w:rsid w:val="00AF67F5"/>
    <w:rsid w:val="00AF695E"/>
    <w:rsid w:val="00AF7191"/>
    <w:rsid w:val="00AF73F5"/>
    <w:rsid w:val="00AF7464"/>
    <w:rsid w:val="00AF74C9"/>
    <w:rsid w:val="00AF7C74"/>
    <w:rsid w:val="00AF7DC4"/>
    <w:rsid w:val="00B001EB"/>
    <w:rsid w:val="00B004D7"/>
    <w:rsid w:val="00B00586"/>
    <w:rsid w:val="00B00678"/>
    <w:rsid w:val="00B00972"/>
    <w:rsid w:val="00B0098B"/>
    <w:rsid w:val="00B00A47"/>
    <w:rsid w:val="00B00E84"/>
    <w:rsid w:val="00B0147B"/>
    <w:rsid w:val="00B01F25"/>
    <w:rsid w:val="00B025F4"/>
    <w:rsid w:val="00B0271B"/>
    <w:rsid w:val="00B02760"/>
    <w:rsid w:val="00B03155"/>
    <w:rsid w:val="00B041BF"/>
    <w:rsid w:val="00B051D6"/>
    <w:rsid w:val="00B05288"/>
    <w:rsid w:val="00B052D3"/>
    <w:rsid w:val="00B06B70"/>
    <w:rsid w:val="00B07462"/>
    <w:rsid w:val="00B10B2A"/>
    <w:rsid w:val="00B11764"/>
    <w:rsid w:val="00B11B90"/>
    <w:rsid w:val="00B12489"/>
    <w:rsid w:val="00B12E91"/>
    <w:rsid w:val="00B13BC7"/>
    <w:rsid w:val="00B1431C"/>
    <w:rsid w:val="00B14903"/>
    <w:rsid w:val="00B15E56"/>
    <w:rsid w:val="00B16A33"/>
    <w:rsid w:val="00B16ABB"/>
    <w:rsid w:val="00B1736F"/>
    <w:rsid w:val="00B17787"/>
    <w:rsid w:val="00B17AC0"/>
    <w:rsid w:val="00B17B7B"/>
    <w:rsid w:val="00B17D30"/>
    <w:rsid w:val="00B17D41"/>
    <w:rsid w:val="00B206D0"/>
    <w:rsid w:val="00B20738"/>
    <w:rsid w:val="00B2084F"/>
    <w:rsid w:val="00B21333"/>
    <w:rsid w:val="00B21DD2"/>
    <w:rsid w:val="00B22993"/>
    <w:rsid w:val="00B2306E"/>
    <w:rsid w:val="00B249FA"/>
    <w:rsid w:val="00B24AD9"/>
    <w:rsid w:val="00B24B0D"/>
    <w:rsid w:val="00B24B31"/>
    <w:rsid w:val="00B25959"/>
    <w:rsid w:val="00B25D46"/>
    <w:rsid w:val="00B267CA"/>
    <w:rsid w:val="00B27280"/>
    <w:rsid w:val="00B30FEA"/>
    <w:rsid w:val="00B3103B"/>
    <w:rsid w:val="00B3222C"/>
    <w:rsid w:val="00B32687"/>
    <w:rsid w:val="00B32A7C"/>
    <w:rsid w:val="00B330C1"/>
    <w:rsid w:val="00B330CB"/>
    <w:rsid w:val="00B356F2"/>
    <w:rsid w:val="00B3572E"/>
    <w:rsid w:val="00B35B0C"/>
    <w:rsid w:val="00B3605C"/>
    <w:rsid w:val="00B36DFA"/>
    <w:rsid w:val="00B36FD3"/>
    <w:rsid w:val="00B40734"/>
    <w:rsid w:val="00B40963"/>
    <w:rsid w:val="00B40C90"/>
    <w:rsid w:val="00B4159F"/>
    <w:rsid w:val="00B4179B"/>
    <w:rsid w:val="00B41FAA"/>
    <w:rsid w:val="00B422F6"/>
    <w:rsid w:val="00B43280"/>
    <w:rsid w:val="00B439A5"/>
    <w:rsid w:val="00B44405"/>
    <w:rsid w:val="00B44EFF"/>
    <w:rsid w:val="00B4532E"/>
    <w:rsid w:val="00B45960"/>
    <w:rsid w:val="00B460B6"/>
    <w:rsid w:val="00B46F12"/>
    <w:rsid w:val="00B4707A"/>
    <w:rsid w:val="00B47642"/>
    <w:rsid w:val="00B476B1"/>
    <w:rsid w:val="00B47774"/>
    <w:rsid w:val="00B47FF4"/>
    <w:rsid w:val="00B500A8"/>
    <w:rsid w:val="00B504A4"/>
    <w:rsid w:val="00B5134D"/>
    <w:rsid w:val="00B516F5"/>
    <w:rsid w:val="00B51983"/>
    <w:rsid w:val="00B51BC4"/>
    <w:rsid w:val="00B520EB"/>
    <w:rsid w:val="00B525AC"/>
    <w:rsid w:val="00B53386"/>
    <w:rsid w:val="00B5413B"/>
    <w:rsid w:val="00B54341"/>
    <w:rsid w:val="00B54504"/>
    <w:rsid w:val="00B55628"/>
    <w:rsid w:val="00B559F2"/>
    <w:rsid w:val="00B55BD7"/>
    <w:rsid w:val="00B561DA"/>
    <w:rsid w:val="00B57130"/>
    <w:rsid w:val="00B57816"/>
    <w:rsid w:val="00B57D82"/>
    <w:rsid w:val="00B57F65"/>
    <w:rsid w:val="00B60223"/>
    <w:rsid w:val="00B6051D"/>
    <w:rsid w:val="00B6087C"/>
    <w:rsid w:val="00B6097B"/>
    <w:rsid w:val="00B60E4E"/>
    <w:rsid w:val="00B6164C"/>
    <w:rsid w:val="00B61973"/>
    <w:rsid w:val="00B61ED6"/>
    <w:rsid w:val="00B61F33"/>
    <w:rsid w:val="00B62691"/>
    <w:rsid w:val="00B62E41"/>
    <w:rsid w:val="00B63211"/>
    <w:rsid w:val="00B6403E"/>
    <w:rsid w:val="00B6446D"/>
    <w:rsid w:val="00B651D9"/>
    <w:rsid w:val="00B65702"/>
    <w:rsid w:val="00B65E5A"/>
    <w:rsid w:val="00B669C8"/>
    <w:rsid w:val="00B66C2A"/>
    <w:rsid w:val="00B6741C"/>
    <w:rsid w:val="00B7001A"/>
    <w:rsid w:val="00B70A5E"/>
    <w:rsid w:val="00B70AD6"/>
    <w:rsid w:val="00B710C6"/>
    <w:rsid w:val="00B712B5"/>
    <w:rsid w:val="00B71940"/>
    <w:rsid w:val="00B7274E"/>
    <w:rsid w:val="00B72ADC"/>
    <w:rsid w:val="00B72D36"/>
    <w:rsid w:val="00B7354A"/>
    <w:rsid w:val="00B735E5"/>
    <w:rsid w:val="00B73AE7"/>
    <w:rsid w:val="00B73BC7"/>
    <w:rsid w:val="00B73C33"/>
    <w:rsid w:val="00B73C94"/>
    <w:rsid w:val="00B73D8D"/>
    <w:rsid w:val="00B743E8"/>
    <w:rsid w:val="00B74866"/>
    <w:rsid w:val="00B7515C"/>
    <w:rsid w:val="00B75A35"/>
    <w:rsid w:val="00B75A57"/>
    <w:rsid w:val="00B75EBD"/>
    <w:rsid w:val="00B75FEC"/>
    <w:rsid w:val="00B76239"/>
    <w:rsid w:val="00B76AFF"/>
    <w:rsid w:val="00B76F9A"/>
    <w:rsid w:val="00B775F5"/>
    <w:rsid w:val="00B808E4"/>
    <w:rsid w:val="00B810C9"/>
    <w:rsid w:val="00B815E0"/>
    <w:rsid w:val="00B81A7D"/>
    <w:rsid w:val="00B8202E"/>
    <w:rsid w:val="00B823A3"/>
    <w:rsid w:val="00B82CA1"/>
    <w:rsid w:val="00B83729"/>
    <w:rsid w:val="00B839FB"/>
    <w:rsid w:val="00B83DFF"/>
    <w:rsid w:val="00B84A9F"/>
    <w:rsid w:val="00B85C12"/>
    <w:rsid w:val="00B861D8"/>
    <w:rsid w:val="00B8620B"/>
    <w:rsid w:val="00B86C3C"/>
    <w:rsid w:val="00B86EE5"/>
    <w:rsid w:val="00B872B0"/>
    <w:rsid w:val="00B8759E"/>
    <w:rsid w:val="00B877F9"/>
    <w:rsid w:val="00B87E9C"/>
    <w:rsid w:val="00B87FA0"/>
    <w:rsid w:val="00B909F2"/>
    <w:rsid w:val="00B9129C"/>
    <w:rsid w:val="00B914A7"/>
    <w:rsid w:val="00B918CE"/>
    <w:rsid w:val="00B9255E"/>
    <w:rsid w:val="00B92717"/>
    <w:rsid w:val="00B92814"/>
    <w:rsid w:val="00B928DE"/>
    <w:rsid w:val="00B928EA"/>
    <w:rsid w:val="00B92912"/>
    <w:rsid w:val="00B92BEA"/>
    <w:rsid w:val="00B9322C"/>
    <w:rsid w:val="00B9338A"/>
    <w:rsid w:val="00B94DDD"/>
    <w:rsid w:val="00B95605"/>
    <w:rsid w:val="00B968AA"/>
    <w:rsid w:val="00B96B6A"/>
    <w:rsid w:val="00B97678"/>
    <w:rsid w:val="00BA0943"/>
    <w:rsid w:val="00BA0C81"/>
    <w:rsid w:val="00BA0E55"/>
    <w:rsid w:val="00BA1EFE"/>
    <w:rsid w:val="00BA1F04"/>
    <w:rsid w:val="00BA21E1"/>
    <w:rsid w:val="00BA23ED"/>
    <w:rsid w:val="00BA423F"/>
    <w:rsid w:val="00BA5372"/>
    <w:rsid w:val="00BA64E8"/>
    <w:rsid w:val="00BA6512"/>
    <w:rsid w:val="00BA7265"/>
    <w:rsid w:val="00BA75BB"/>
    <w:rsid w:val="00BA7CD8"/>
    <w:rsid w:val="00BB018B"/>
    <w:rsid w:val="00BB0343"/>
    <w:rsid w:val="00BB05F1"/>
    <w:rsid w:val="00BB09F8"/>
    <w:rsid w:val="00BB0DDB"/>
    <w:rsid w:val="00BB1075"/>
    <w:rsid w:val="00BB203B"/>
    <w:rsid w:val="00BB235B"/>
    <w:rsid w:val="00BB27EB"/>
    <w:rsid w:val="00BB2A00"/>
    <w:rsid w:val="00BB3032"/>
    <w:rsid w:val="00BB344E"/>
    <w:rsid w:val="00BB375A"/>
    <w:rsid w:val="00BB3CBD"/>
    <w:rsid w:val="00BB433A"/>
    <w:rsid w:val="00BB4568"/>
    <w:rsid w:val="00BB458D"/>
    <w:rsid w:val="00BB5885"/>
    <w:rsid w:val="00BB59F9"/>
    <w:rsid w:val="00BB5CDE"/>
    <w:rsid w:val="00BB6000"/>
    <w:rsid w:val="00BB600D"/>
    <w:rsid w:val="00BB6D54"/>
    <w:rsid w:val="00BB72F4"/>
    <w:rsid w:val="00BB77EE"/>
    <w:rsid w:val="00BB7816"/>
    <w:rsid w:val="00BB7D5B"/>
    <w:rsid w:val="00BC0864"/>
    <w:rsid w:val="00BC0BB3"/>
    <w:rsid w:val="00BC0CC1"/>
    <w:rsid w:val="00BC0E8D"/>
    <w:rsid w:val="00BC10BC"/>
    <w:rsid w:val="00BC17C3"/>
    <w:rsid w:val="00BC1858"/>
    <w:rsid w:val="00BC1FDD"/>
    <w:rsid w:val="00BC23FB"/>
    <w:rsid w:val="00BC2458"/>
    <w:rsid w:val="00BC2996"/>
    <w:rsid w:val="00BC38FA"/>
    <w:rsid w:val="00BC4D67"/>
    <w:rsid w:val="00BC6254"/>
    <w:rsid w:val="00BD0142"/>
    <w:rsid w:val="00BD05FC"/>
    <w:rsid w:val="00BD0CD2"/>
    <w:rsid w:val="00BD15ED"/>
    <w:rsid w:val="00BD2A5B"/>
    <w:rsid w:val="00BD2B8D"/>
    <w:rsid w:val="00BD3325"/>
    <w:rsid w:val="00BD3421"/>
    <w:rsid w:val="00BD3834"/>
    <w:rsid w:val="00BD3AE5"/>
    <w:rsid w:val="00BD46E7"/>
    <w:rsid w:val="00BD4B32"/>
    <w:rsid w:val="00BD5923"/>
    <w:rsid w:val="00BD5BE5"/>
    <w:rsid w:val="00BD6750"/>
    <w:rsid w:val="00BD6A4C"/>
    <w:rsid w:val="00BD7018"/>
    <w:rsid w:val="00BD7A6B"/>
    <w:rsid w:val="00BD7AD5"/>
    <w:rsid w:val="00BD7D58"/>
    <w:rsid w:val="00BD7DD0"/>
    <w:rsid w:val="00BE0493"/>
    <w:rsid w:val="00BE2D1D"/>
    <w:rsid w:val="00BE30A5"/>
    <w:rsid w:val="00BE30EC"/>
    <w:rsid w:val="00BE3594"/>
    <w:rsid w:val="00BE3721"/>
    <w:rsid w:val="00BE3E20"/>
    <w:rsid w:val="00BE438C"/>
    <w:rsid w:val="00BE6321"/>
    <w:rsid w:val="00BE6BF5"/>
    <w:rsid w:val="00BE6FDF"/>
    <w:rsid w:val="00BE7ED9"/>
    <w:rsid w:val="00BF0B4A"/>
    <w:rsid w:val="00BF13E2"/>
    <w:rsid w:val="00BF1ADE"/>
    <w:rsid w:val="00BF26E3"/>
    <w:rsid w:val="00BF281B"/>
    <w:rsid w:val="00BF35CA"/>
    <w:rsid w:val="00BF3A1A"/>
    <w:rsid w:val="00BF4442"/>
    <w:rsid w:val="00BF487A"/>
    <w:rsid w:val="00BF48D5"/>
    <w:rsid w:val="00BF5446"/>
    <w:rsid w:val="00BF5494"/>
    <w:rsid w:val="00BF5642"/>
    <w:rsid w:val="00BF58FF"/>
    <w:rsid w:val="00BF640F"/>
    <w:rsid w:val="00BF6591"/>
    <w:rsid w:val="00BF6ADF"/>
    <w:rsid w:val="00BF6DE2"/>
    <w:rsid w:val="00BF70B7"/>
    <w:rsid w:val="00BF7129"/>
    <w:rsid w:val="00BF7FBE"/>
    <w:rsid w:val="00C0064F"/>
    <w:rsid w:val="00C01589"/>
    <w:rsid w:val="00C0222C"/>
    <w:rsid w:val="00C022AB"/>
    <w:rsid w:val="00C033E7"/>
    <w:rsid w:val="00C03522"/>
    <w:rsid w:val="00C04166"/>
    <w:rsid w:val="00C05DB8"/>
    <w:rsid w:val="00C07DE5"/>
    <w:rsid w:val="00C07DF4"/>
    <w:rsid w:val="00C07E79"/>
    <w:rsid w:val="00C102E1"/>
    <w:rsid w:val="00C10836"/>
    <w:rsid w:val="00C10DA3"/>
    <w:rsid w:val="00C10DD2"/>
    <w:rsid w:val="00C11FD0"/>
    <w:rsid w:val="00C122BA"/>
    <w:rsid w:val="00C123BE"/>
    <w:rsid w:val="00C12D78"/>
    <w:rsid w:val="00C13314"/>
    <w:rsid w:val="00C1367F"/>
    <w:rsid w:val="00C138FC"/>
    <w:rsid w:val="00C1399E"/>
    <w:rsid w:val="00C141DF"/>
    <w:rsid w:val="00C141F4"/>
    <w:rsid w:val="00C1459F"/>
    <w:rsid w:val="00C146EC"/>
    <w:rsid w:val="00C14885"/>
    <w:rsid w:val="00C15234"/>
    <w:rsid w:val="00C1541C"/>
    <w:rsid w:val="00C15A52"/>
    <w:rsid w:val="00C15E83"/>
    <w:rsid w:val="00C1632D"/>
    <w:rsid w:val="00C16789"/>
    <w:rsid w:val="00C16863"/>
    <w:rsid w:val="00C17020"/>
    <w:rsid w:val="00C170C0"/>
    <w:rsid w:val="00C17235"/>
    <w:rsid w:val="00C17DE9"/>
    <w:rsid w:val="00C17F90"/>
    <w:rsid w:val="00C204A6"/>
    <w:rsid w:val="00C20581"/>
    <w:rsid w:val="00C2197D"/>
    <w:rsid w:val="00C21C7E"/>
    <w:rsid w:val="00C229D3"/>
    <w:rsid w:val="00C22DAC"/>
    <w:rsid w:val="00C2352A"/>
    <w:rsid w:val="00C23BD1"/>
    <w:rsid w:val="00C24A48"/>
    <w:rsid w:val="00C26EE0"/>
    <w:rsid w:val="00C300E4"/>
    <w:rsid w:val="00C302DD"/>
    <w:rsid w:val="00C303A9"/>
    <w:rsid w:val="00C303F0"/>
    <w:rsid w:val="00C306A7"/>
    <w:rsid w:val="00C30CD3"/>
    <w:rsid w:val="00C30D01"/>
    <w:rsid w:val="00C30FB2"/>
    <w:rsid w:val="00C310C0"/>
    <w:rsid w:val="00C31569"/>
    <w:rsid w:val="00C31905"/>
    <w:rsid w:val="00C31AF7"/>
    <w:rsid w:val="00C32042"/>
    <w:rsid w:val="00C331EC"/>
    <w:rsid w:val="00C33661"/>
    <w:rsid w:val="00C33CFA"/>
    <w:rsid w:val="00C344E9"/>
    <w:rsid w:val="00C347CE"/>
    <w:rsid w:val="00C349AD"/>
    <w:rsid w:val="00C35F90"/>
    <w:rsid w:val="00C36BFD"/>
    <w:rsid w:val="00C37433"/>
    <w:rsid w:val="00C37B89"/>
    <w:rsid w:val="00C37C60"/>
    <w:rsid w:val="00C41462"/>
    <w:rsid w:val="00C42588"/>
    <w:rsid w:val="00C42B77"/>
    <w:rsid w:val="00C42FBD"/>
    <w:rsid w:val="00C434EA"/>
    <w:rsid w:val="00C43D1E"/>
    <w:rsid w:val="00C443EA"/>
    <w:rsid w:val="00C449C8"/>
    <w:rsid w:val="00C44F93"/>
    <w:rsid w:val="00C451D8"/>
    <w:rsid w:val="00C45B1B"/>
    <w:rsid w:val="00C4636A"/>
    <w:rsid w:val="00C4663F"/>
    <w:rsid w:val="00C4759E"/>
    <w:rsid w:val="00C47CCD"/>
    <w:rsid w:val="00C50877"/>
    <w:rsid w:val="00C51EEC"/>
    <w:rsid w:val="00C527CF"/>
    <w:rsid w:val="00C528FD"/>
    <w:rsid w:val="00C5303D"/>
    <w:rsid w:val="00C53328"/>
    <w:rsid w:val="00C53782"/>
    <w:rsid w:val="00C53B33"/>
    <w:rsid w:val="00C53BC4"/>
    <w:rsid w:val="00C54EDD"/>
    <w:rsid w:val="00C559D4"/>
    <w:rsid w:val="00C55A51"/>
    <w:rsid w:val="00C55A71"/>
    <w:rsid w:val="00C56DBA"/>
    <w:rsid w:val="00C608B8"/>
    <w:rsid w:val="00C610FD"/>
    <w:rsid w:val="00C6211D"/>
    <w:rsid w:val="00C62223"/>
    <w:rsid w:val="00C62967"/>
    <w:rsid w:val="00C62C5C"/>
    <w:rsid w:val="00C632AD"/>
    <w:rsid w:val="00C6348B"/>
    <w:rsid w:val="00C63620"/>
    <w:rsid w:val="00C6472F"/>
    <w:rsid w:val="00C64E9D"/>
    <w:rsid w:val="00C64F30"/>
    <w:rsid w:val="00C65C7D"/>
    <w:rsid w:val="00C66103"/>
    <w:rsid w:val="00C66648"/>
    <w:rsid w:val="00C66BC5"/>
    <w:rsid w:val="00C67434"/>
    <w:rsid w:val="00C678CA"/>
    <w:rsid w:val="00C70077"/>
    <w:rsid w:val="00C704AA"/>
    <w:rsid w:val="00C709D1"/>
    <w:rsid w:val="00C70CD4"/>
    <w:rsid w:val="00C71652"/>
    <w:rsid w:val="00C7184D"/>
    <w:rsid w:val="00C71864"/>
    <w:rsid w:val="00C7265E"/>
    <w:rsid w:val="00C72732"/>
    <w:rsid w:val="00C72D3C"/>
    <w:rsid w:val="00C72DC0"/>
    <w:rsid w:val="00C738E1"/>
    <w:rsid w:val="00C74CB2"/>
    <w:rsid w:val="00C74D88"/>
    <w:rsid w:val="00C74DD6"/>
    <w:rsid w:val="00C75653"/>
    <w:rsid w:val="00C757A4"/>
    <w:rsid w:val="00C76AC4"/>
    <w:rsid w:val="00C76B3A"/>
    <w:rsid w:val="00C7770E"/>
    <w:rsid w:val="00C77776"/>
    <w:rsid w:val="00C7799B"/>
    <w:rsid w:val="00C779B2"/>
    <w:rsid w:val="00C77EE9"/>
    <w:rsid w:val="00C77F54"/>
    <w:rsid w:val="00C8017E"/>
    <w:rsid w:val="00C80798"/>
    <w:rsid w:val="00C808A8"/>
    <w:rsid w:val="00C80966"/>
    <w:rsid w:val="00C818BD"/>
    <w:rsid w:val="00C81906"/>
    <w:rsid w:val="00C81B55"/>
    <w:rsid w:val="00C822E1"/>
    <w:rsid w:val="00C82687"/>
    <w:rsid w:val="00C82A5B"/>
    <w:rsid w:val="00C842E4"/>
    <w:rsid w:val="00C84499"/>
    <w:rsid w:val="00C84DE1"/>
    <w:rsid w:val="00C8517B"/>
    <w:rsid w:val="00C85CAB"/>
    <w:rsid w:val="00C85F05"/>
    <w:rsid w:val="00C865A9"/>
    <w:rsid w:val="00C8724B"/>
    <w:rsid w:val="00C872A0"/>
    <w:rsid w:val="00C90058"/>
    <w:rsid w:val="00C90CE3"/>
    <w:rsid w:val="00C90EE5"/>
    <w:rsid w:val="00C9126D"/>
    <w:rsid w:val="00C92B87"/>
    <w:rsid w:val="00C92FE7"/>
    <w:rsid w:val="00C93677"/>
    <w:rsid w:val="00C9397A"/>
    <w:rsid w:val="00C93DFD"/>
    <w:rsid w:val="00C94FA3"/>
    <w:rsid w:val="00C95685"/>
    <w:rsid w:val="00C9589E"/>
    <w:rsid w:val="00C95F1F"/>
    <w:rsid w:val="00C95FC8"/>
    <w:rsid w:val="00C96D35"/>
    <w:rsid w:val="00C9731B"/>
    <w:rsid w:val="00C97809"/>
    <w:rsid w:val="00C97DDC"/>
    <w:rsid w:val="00CA0782"/>
    <w:rsid w:val="00CA0DEE"/>
    <w:rsid w:val="00CA0FBD"/>
    <w:rsid w:val="00CA1131"/>
    <w:rsid w:val="00CA13C8"/>
    <w:rsid w:val="00CA1905"/>
    <w:rsid w:val="00CA1A15"/>
    <w:rsid w:val="00CA1C47"/>
    <w:rsid w:val="00CA2312"/>
    <w:rsid w:val="00CA2E36"/>
    <w:rsid w:val="00CA396C"/>
    <w:rsid w:val="00CA3D17"/>
    <w:rsid w:val="00CA3FDF"/>
    <w:rsid w:val="00CA4D31"/>
    <w:rsid w:val="00CA5380"/>
    <w:rsid w:val="00CA55CA"/>
    <w:rsid w:val="00CA58A6"/>
    <w:rsid w:val="00CA5ED3"/>
    <w:rsid w:val="00CA6223"/>
    <w:rsid w:val="00CA6397"/>
    <w:rsid w:val="00CA6589"/>
    <w:rsid w:val="00CA68CE"/>
    <w:rsid w:val="00CA79CD"/>
    <w:rsid w:val="00CB04A3"/>
    <w:rsid w:val="00CB07E5"/>
    <w:rsid w:val="00CB0B25"/>
    <w:rsid w:val="00CB19BE"/>
    <w:rsid w:val="00CB1B3B"/>
    <w:rsid w:val="00CB28CD"/>
    <w:rsid w:val="00CB2D7D"/>
    <w:rsid w:val="00CB3728"/>
    <w:rsid w:val="00CB46B0"/>
    <w:rsid w:val="00CB5257"/>
    <w:rsid w:val="00CB52E3"/>
    <w:rsid w:val="00CB540B"/>
    <w:rsid w:val="00CB546F"/>
    <w:rsid w:val="00CB57AE"/>
    <w:rsid w:val="00CB5A78"/>
    <w:rsid w:val="00CB5DB8"/>
    <w:rsid w:val="00CB6C45"/>
    <w:rsid w:val="00CB6F70"/>
    <w:rsid w:val="00CB7EDB"/>
    <w:rsid w:val="00CC014E"/>
    <w:rsid w:val="00CC08C3"/>
    <w:rsid w:val="00CC1054"/>
    <w:rsid w:val="00CC125E"/>
    <w:rsid w:val="00CC12B9"/>
    <w:rsid w:val="00CC22A8"/>
    <w:rsid w:val="00CC2382"/>
    <w:rsid w:val="00CC28A0"/>
    <w:rsid w:val="00CC4104"/>
    <w:rsid w:val="00CC4739"/>
    <w:rsid w:val="00CC4767"/>
    <w:rsid w:val="00CC4E2A"/>
    <w:rsid w:val="00CC5737"/>
    <w:rsid w:val="00CC5A82"/>
    <w:rsid w:val="00CC62F8"/>
    <w:rsid w:val="00CC665E"/>
    <w:rsid w:val="00CC6C87"/>
    <w:rsid w:val="00CC6DEC"/>
    <w:rsid w:val="00CC6E87"/>
    <w:rsid w:val="00CC7145"/>
    <w:rsid w:val="00CC79E0"/>
    <w:rsid w:val="00CC7BAF"/>
    <w:rsid w:val="00CD059B"/>
    <w:rsid w:val="00CD0986"/>
    <w:rsid w:val="00CD0FD3"/>
    <w:rsid w:val="00CD0FFF"/>
    <w:rsid w:val="00CD1147"/>
    <w:rsid w:val="00CD1748"/>
    <w:rsid w:val="00CD1D0D"/>
    <w:rsid w:val="00CD1E04"/>
    <w:rsid w:val="00CD229C"/>
    <w:rsid w:val="00CD251B"/>
    <w:rsid w:val="00CD25B8"/>
    <w:rsid w:val="00CD2759"/>
    <w:rsid w:val="00CD2852"/>
    <w:rsid w:val="00CD338E"/>
    <w:rsid w:val="00CD3A42"/>
    <w:rsid w:val="00CD3FA5"/>
    <w:rsid w:val="00CD40E6"/>
    <w:rsid w:val="00CD4404"/>
    <w:rsid w:val="00CD4485"/>
    <w:rsid w:val="00CD4E65"/>
    <w:rsid w:val="00CD4FBC"/>
    <w:rsid w:val="00CD566D"/>
    <w:rsid w:val="00CD5E06"/>
    <w:rsid w:val="00CD60B2"/>
    <w:rsid w:val="00CD670F"/>
    <w:rsid w:val="00CE0224"/>
    <w:rsid w:val="00CE0272"/>
    <w:rsid w:val="00CE0290"/>
    <w:rsid w:val="00CE02CA"/>
    <w:rsid w:val="00CE03C1"/>
    <w:rsid w:val="00CE0BF0"/>
    <w:rsid w:val="00CE0EF4"/>
    <w:rsid w:val="00CE0FA9"/>
    <w:rsid w:val="00CE1258"/>
    <w:rsid w:val="00CE2BEB"/>
    <w:rsid w:val="00CE3116"/>
    <w:rsid w:val="00CE3842"/>
    <w:rsid w:val="00CE3FB2"/>
    <w:rsid w:val="00CE4800"/>
    <w:rsid w:val="00CE48A2"/>
    <w:rsid w:val="00CE51EE"/>
    <w:rsid w:val="00CE57AA"/>
    <w:rsid w:val="00CE7F54"/>
    <w:rsid w:val="00CF005D"/>
    <w:rsid w:val="00CF03CC"/>
    <w:rsid w:val="00CF05AE"/>
    <w:rsid w:val="00CF0A55"/>
    <w:rsid w:val="00CF0BB6"/>
    <w:rsid w:val="00CF2BA3"/>
    <w:rsid w:val="00CF3423"/>
    <w:rsid w:val="00CF347F"/>
    <w:rsid w:val="00CF401E"/>
    <w:rsid w:val="00CF4C38"/>
    <w:rsid w:val="00CF55BB"/>
    <w:rsid w:val="00CF624D"/>
    <w:rsid w:val="00CF666D"/>
    <w:rsid w:val="00CF6731"/>
    <w:rsid w:val="00CF6AD6"/>
    <w:rsid w:val="00CF7EC2"/>
    <w:rsid w:val="00D00330"/>
    <w:rsid w:val="00D0089D"/>
    <w:rsid w:val="00D00FD6"/>
    <w:rsid w:val="00D01018"/>
    <w:rsid w:val="00D012B0"/>
    <w:rsid w:val="00D01A2E"/>
    <w:rsid w:val="00D02014"/>
    <w:rsid w:val="00D0267A"/>
    <w:rsid w:val="00D027E6"/>
    <w:rsid w:val="00D02836"/>
    <w:rsid w:val="00D02AAD"/>
    <w:rsid w:val="00D02E83"/>
    <w:rsid w:val="00D03079"/>
    <w:rsid w:val="00D03616"/>
    <w:rsid w:val="00D039CD"/>
    <w:rsid w:val="00D03F7E"/>
    <w:rsid w:val="00D046B7"/>
    <w:rsid w:val="00D04DB7"/>
    <w:rsid w:val="00D0526E"/>
    <w:rsid w:val="00D05663"/>
    <w:rsid w:val="00D05841"/>
    <w:rsid w:val="00D05AD3"/>
    <w:rsid w:val="00D05C27"/>
    <w:rsid w:val="00D05D30"/>
    <w:rsid w:val="00D05F8E"/>
    <w:rsid w:val="00D07005"/>
    <w:rsid w:val="00D07924"/>
    <w:rsid w:val="00D079C7"/>
    <w:rsid w:val="00D07BB7"/>
    <w:rsid w:val="00D07FBA"/>
    <w:rsid w:val="00D107F6"/>
    <w:rsid w:val="00D10BC0"/>
    <w:rsid w:val="00D10BDF"/>
    <w:rsid w:val="00D110CF"/>
    <w:rsid w:val="00D1186B"/>
    <w:rsid w:val="00D11B7E"/>
    <w:rsid w:val="00D11C10"/>
    <w:rsid w:val="00D11C8E"/>
    <w:rsid w:val="00D11D43"/>
    <w:rsid w:val="00D12435"/>
    <w:rsid w:val="00D12DCB"/>
    <w:rsid w:val="00D13246"/>
    <w:rsid w:val="00D132FA"/>
    <w:rsid w:val="00D136FF"/>
    <w:rsid w:val="00D13881"/>
    <w:rsid w:val="00D1415A"/>
    <w:rsid w:val="00D14329"/>
    <w:rsid w:val="00D144D9"/>
    <w:rsid w:val="00D147A7"/>
    <w:rsid w:val="00D148D7"/>
    <w:rsid w:val="00D14A08"/>
    <w:rsid w:val="00D150F1"/>
    <w:rsid w:val="00D15363"/>
    <w:rsid w:val="00D1582D"/>
    <w:rsid w:val="00D15D33"/>
    <w:rsid w:val="00D16082"/>
    <w:rsid w:val="00D168B7"/>
    <w:rsid w:val="00D16B93"/>
    <w:rsid w:val="00D170A1"/>
    <w:rsid w:val="00D1749C"/>
    <w:rsid w:val="00D17542"/>
    <w:rsid w:val="00D17A8F"/>
    <w:rsid w:val="00D17F6F"/>
    <w:rsid w:val="00D2003B"/>
    <w:rsid w:val="00D202A1"/>
    <w:rsid w:val="00D209FA"/>
    <w:rsid w:val="00D20CE3"/>
    <w:rsid w:val="00D214C1"/>
    <w:rsid w:val="00D2161F"/>
    <w:rsid w:val="00D21A65"/>
    <w:rsid w:val="00D228CE"/>
    <w:rsid w:val="00D23126"/>
    <w:rsid w:val="00D23477"/>
    <w:rsid w:val="00D23754"/>
    <w:rsid w:val="00D23A40"/>
    <w:rsid w:val="00D24728"/>
    <w:rsid w:val="00D25027"/>
    <w:rsid w:val="00D25288"/>
    <w:rsid w:val="00D254BA"/>
    <w:rsid w:val="00D256CC"/>
    <w:rsid w:val="00D2585B"/>
    <w:rsid w:val="00D25A6F"/>
    <w:rsid w:val="00D25EA1"/>
    <w:rsid w:val="00D2658B"/>
    <w:rsid w:val="00D2756E"/>
    <w:rsid w:val="00D2793B"/>
    <w:rsid w:val="00D305E7"/>
    <w:rsid w:val="00D31519"/>
    <w:rsid w:val="00D31E7C"/>
    <w:rsid w:val="00D32C28"/>
    <w:rsid w:val="00D333E2"/>
    <w:rsid w:val="00D3428F"/>
    <w:rsid w:val="00D3493F"/>
    <w:rsid w:val="00D34D18"/>
    <w:rsid w:val="00D34E70"/>
    <w:rsid w:val="00D35071"/>
    <w:rsid w:val="00D3666F"/>
    <w:rsid w:val="00D37497"/>
    <w:rsid w:val="00D37B8F"/>
    <w:rsid w:val="00D37D8A"/>
    <w:rsid w:val="00D40574"/>
    <w:rsid w:val="00D413CC"/>
    <w:rsid w:val="00D4189A"/>
    <w:rsid w:val="00D41A52"/>
    <w:rsid w:val="00D4206A"/>
    <w:rsid w:val="00D4274C"/>
    <w:rsid w:val="00D42F50"/>
    <w:rsid w:val="00D43B51"/>
    <w:rsid w:val="00D43D48"/>
    <w:rsid w:val="00D44789"/>
    <w:rsid w:val="00D44FF3"/>
    <w:rsid w:val="00D45323"/>
    <w:rsid w:val="00D46800"/>
    <w:rsid w:val="00D46C7E"/>
    <w:rsid w:val="00D46D6E"/>
    <w:rsid w:val="00D4756E"/>
    <w:rsid w:val="00D4786B"/>
    <w:rsid w:val="00D47B7F"/>
    <w:rsid w:val="00D50827"/>
    <w:rsid w:val="00D50B41"/>
    <w:rsid w:val="00D50E0E"/>
    <w:rsid w:val="00D510E9"/>
    <w:rsid w:val="00D51662"/>
    <w:rsid w:val="00D519B7"/>
    <w:rsid w:val="00D51D7E"/>
    <w:rsid w:val="00D52088"/>
    <w:rsid w:val="00D52C71"/>
    <w:rsid w:val="00D542AF"/>
    <w:rsid w:val="00D54814"/>
    <w:rsid w:val="00D54C49"/>
    <w:rsid w:val="00D55598"/>
    <w:rsid w:val="00D557BF"/>
    <w:rsid w:val="00D55C64"/>
    <w:rsid w:val="00D56517"/>
    <w:rsid w:val="00D56A11"/>
    <w:rsid w:val="00D571B4"/>
    <w:rsid w:val="00D60C9C"/>
    <w:rsid w:val="00D6121C"/>
    <w:rsid w:val="00D61629"/>
    <w:rsid w:val="00D61696"/>
    <w:rsid w:val="00D61D56"/>
    <w:rsid w:val="00D6289E"/>
    <w:rsid w:val="00D6337A"/>
    <w:rsid w:val="00D63C8B"/>
    <w:rsid w:val="00D63CFD"/>
    <w:rsid w:val="00D63EFC"/>
    <w:rsid w:val="00D641D6"/>
    <w:rsid w:val="00D64BF7"/>
    <w:rsid w:val="00D65126"/>
    <w:rsid w:val="00D65888"/>
    <w:rsid w:val="00D65FCB"/>
    <w:rsid w:val="00D66301"/>
    <w:rsid w:val="00D6714D"/>
    <w:rsid w:val="00D67601"/>
    <w:rsid w:val="00D67990"/>
    <w:rsid w:val="00D67D38"/>
    <w:rsid w:val="00D701DD"/>
    <w:rsid w:val="00D70467"/>
    <w:rsid w:val="00D70A5F"/>
    <w:rsid w:val="00D70B1F"/>
    <w:rsid w:val="00D70EE9"/>
    <w:rsid w:val="00D710FC"/>
    <w:rsid w:val="00D714C2"/>
    <w:rsid w:val="00D717AD"/>
    <w:rsid w:val="00D71F29"/>
    <w:rsid w:val="00D72659"/>
    <w:rsid w:val="00D72995"/>
    <w:rsid w:val="00D72C6E"/>
    <w:rsid w:val="00D72DDD"/>
    <w:rsid w:val="00D732BF"/>
    <w:rsid w:val="00D73A8E"/>
    <w:rsid w:val="00D74080"/>
    <w:rsid w:val="00D7419B"/>
    <w:rsid w:val="00D742B5"/>
    <w:rsid w:val="00D74D97"/>
    <w:rsid w:val="00D74E5F"/>
    <w:rsid w:val="00D7513B"/>
    <w:rsid w:val="00D75142"/>
    <w:rsid w:val="00D7547C"/>
    <w:rsid w:val="00D75499"/>
    <w:rsid w:val="00D756B7"/>
    <w:rsid w:val="00D7654E"/>
    <w:rsid w:val="00D767BE"/>
    <w:rsid w:val="00D76F3A"/>
    <w:rsid w:val="00D7775A"/>
    <w:rsid w:val="00D80209"/>
    <w:rsid w:val="00D8047B"/>
    <w:rsid w:val="00D81445"/>
    <w:rsid w:val="00D818D9"/>
    <w:rsid w:val="00D81F2E"/>
    <w:rsid w:val="00D81F80"/>
    <w:rsid w:val="00D81F9E"/>
    <w:rsid w:val="00D82509"/>
    <w:rsid w:val="00D825EA"/>
    <w:rsid w:val="00D826DD"/>
    <w:rsid w:val="00D829D0"/>
    <w:rsid w:val="00D82A17"/>
    <w:rsid w:val="00D83995"/>
    <w:rsid w:val="00D83CC0"/>
    <w:rsid w:val="00D83D8F"/>
    <w:rsid w:val="00D84607"/>
    <w:rsid w:val="00D84901"/>
    <w:rsid w:val="00D8607A"/>
    <w:rsid w:val="00D86250"/>
    <w:rsid w:val="00D8651C"/>
    <w:rsid w:val="00D86870"/>
    <w:rsid w:val="00D86879"/>
    <w:rsid w:val="00D8698E"/>
    <w:rsid w:val="00D87A17"/>
    <w:rsid w:val="00D87EFC"/>
    <w:rsid w:val="00D87F6B"/>
    <w:rsid w:val="00D90598"/>
    <w:rsid w:val="00D91258"/>
    <w:rsid w:val="00D91654"/>
    <w:rsid w:val="00D93891"/>
    <w:rsid w:val="00D93CB3"/>
    <w:rsid w:val="00D93ED1"/>
    <w:rsid w:val="00D953F8"/>
    <w:rsid w:val="00D95400"/>
    <w:rsid w:val="00D95665"/>
    <w:rsid w:val="00D969F1"/>
    <w:rsid w:val="00D96D6A"/>
    <w:rsid w:val="00D96F97"/>
    <w:rsid w:val="00D97421"/>
    <w:rsid w:val="00D97481"/>
    <w:rsid w:val="00D97C66"/>
    <w:rsid w:val="00D97CA2"/>
    <w:rsid w:val="00D97D27"/>
    <w:rsid w:val="00D97DAA"/>
    <w:rsid w:val="00DA07A5"/>
    <w:rsid w:val="00DA0A97"/>
    <w:rsid w:val="00DA10A4"/>
    <w:rsid w:val="00DA1AC4"/>
    <w:rsid w:val="00DA1B90"/>
    <w:rsid w:val="00DA1E6F"/>
    <w:rsid w:val="00DA1F67"/>
    <w:rsid w:val="00DA3836"/>
    <w:rsid w:val="00DA39A4"/>
    <w:rsid w:val="00DA3A0F"/>
    <w:rsid w:val="00DA42B5"/>
    <w:rsid w:val="00DA444D"/>
    <w:rsid w:val="00DA4B81"/>
    <w:rsid w:val="00DA4C2A"/>
    <w:rsid w:val="00DA4E51"/>
    <w:rsid w:val="00DA5227"/>
    <w:rsid w:val="00DA5B20"/>
    <w:rsid w:val="00DA6916"/>
    <w:rsid w:val="00DA6AAA"/>
    <w:rsid w:val="00DA6B24"/>
    <w:rsid w:val="00DA70B4"/>
    <w:rsid w:val="00DA78F5"/>
    <w:rsid w:val="00DB0CC6"/>
    <w:rsid w:val="00DB2136"/>
    <w:rsid w:val="00DB31F7"/>
    <w:rsid w:val="00DB32BF"/>
    <w:rsid w:val="00DB32DF"/>
    <w:rsid w:val="00DB3ABE"/>
    <w:rsid w:val="00DB3F65"/>
    <w:rsid w:val="00DB437E"/>
    <w:rsid w:val="00DB4582"/>
    <w:rsid w:val="00DB50CD"/>
    <w:rsid w:val="00DB5492"/>
    <w:rsid w:val="00DB54F1"/>
    <w:rsid w:val="00DB5B03"/>
    <w:rsid w:val="00DB6078"/>
    <w:rsid w:val="00DB63A4"/>
    <w:rsid w:val="00DB76D9"/>
    <w:rsid w:val="00DB7A60"/>
    <w:rsid w:val="00DB7A67"/>
    <w:rsid w:val="00DC0785"/>
    <w:rsid w:val="00DC0A29"/>
    <w:rsid w:val="00DC0B57"/>
    <w:rsid w:val="00DC0DF8"/>
    <w:rsid w:val="00DC0E99"/>
    <w:rsid w:val="00DC1422"/>
    <w:rsid w:val="00DC162F"/>
    <w:rsid w:val="00DC1CA8"/>
    <w:rsid w:val="00DC2622"/>
    <w:rsid w:val="00DC26AE"/>
    <w:rsid w:val="00DC2E09"/>
    <w:rsid w:val="00DC330A"/>
    <w:rsid w:val="00DC35D6"/>
    <w:rsid w:val="00DC3CCD"/>
    <w:rsid w:val="00DC3E67"/>
    <w:rsid w:val="00DC4A62"/>
    <w:rsid w:val="00DC4D2B"/>
    <w:rsid w:val="00DC4E74"/>
    <w:rsid w:val="00DC5889"/>
    <w:rsid w:val="00DC5BC8"/>
    <w:rsid w:val="00DC6387"/>
    <w:rsid w:val="00DC6559"/>
    <w:rsid w:val="00DC6563"/>
    <w:rsid w:val="00DC65AC"/>
    <w:rsid w:val="00DC6A5E"/>
    <w:rsid w:val="00DC7221"/>
    <w:rsid w:val="00DC7C55"/>
    <w:rsid w:val="00DD03F8"/>
    <w:rsid w:val="00DD0510"/>
    <w:rsid w:val="00DD0E27"/>
    <w:rsid w:val="00DD0F62"/>
    <w:rsid w:val="00DD16E9"/>
    <w:rsid w:val="00DD18E6"/>
    <w:rsid w:val="00DD20B7"/>
    <w:rsid w:val="00DD233A"/>
    <w:rsid w:val="00DD254F"/>
    <w:rsid w:val="00DD2820"/>
    <w:rsid w:val="00DD3139"/>
    <w:rsid w:val="00DD3FB7"/>
    <w:rsid w:val="00DD54CA"/>
    <w:rsid w:val="00DD57EB"/>
    <w:rsid w:val="00DD5888"/>
    <w:rsid w:val="00DD5BF7"/>
    <w:rsid w:val="00DD5DE3"/>
    <w:rsid w:val="00DD5F50"/>
    <w:rsid w:val="00DD7206"/>
    <w:rsid w:val="00DD7D54"/>
    <w:rsid w:val="00DE04F8"/>
    <w:rsid w:val="00DE069B"/>
    <w:rsid w:val="00DE096C"/>
    <w:rsid w:val="00DE0FBB"/>
    <w:rsid w:val="00DE1BF5"/>
    <w:rsid w:val="00DE1FFC"/>
    <w:rsid w:val="00DE2D03"/>
    <w:rsid w:val="00DE353D"/>
    <w:rsid w:val="00DE368D"/>
    <w:rsid w:val="00DE38DF"/>
    <w:rsid w:val="00DE397D"/>
    <w:rsid w:val="00DE3B47"/>
    <w:rsid w:val="00DE3D20"/>
    <w:rsid w:val="00DE4028"/>
    <w:rsid w:val="00DE43D9"/>
    <w:rsid w:val="00DE5186"/>
    <w:rsid w:val="00DE593C"/>
    <w:rsid w:val="00DE6CFB"/>
    <w:rsid w:val="00DE7017"/>
    <w:rsid w:val="00DE76B9"/>
    <w:rsid w:val="00DE7D19"/>
    <w:rsid w:val="00DE7FAE"/>
    <w:rsid w:val="00DF0540"/>
    <w:rsid w:val="00DF0E86"/>
    <w:rsid w:val="00DF11A3"/>
    <w:rsid w:val="00DF1356"/>
    <w:rsid w:val="00DF2A04"/>
    <w:rsid w:val="00DF38CA"/>
    <w:rsid w:val="00DF39E6"/>
    <w:rsid w:val="00DF45F0"/>
    <w:rsid w:val="00DF505B"/>
    <w:rsid w:val="00DF5216"/>
    <w:rsid w:val="00DF5344"/>
    <w:rsid w:val="00DF5C82"/>
    <w:rsid w:val="00DF631B"/>
    <w:rsid w:val="00DF6401"/>
    <w:rsid w:val="00DF67AE"/>
    <w:rsid w:val="00DF74C8"/>
    <w:rsid w:val="00DF78AE"/>
    <w:rsid w:val="00DF78FB"/>
    <w:rsid w:val="00E00533"/>
    <w:rsid w:val="00E005BB"/>
    <w:rsid w:val="00E006CC"/>
    <w:rsid w:val="00E00849"/>
    <w:rsid w:val="00E00CD1"/>
    <w:rsid w:val="00E00DEC"/>
    <w:rsid w:val="00E0131D"/>
    <w:rsid w:val="00E019D5"/>
    <w:rsid w:val="00E02095"/>
    <w:rsid w:val="00E020ED"/>
    <w:rsid w:val="00E02DBD"/>
    <w:rsid w:val="00E03D91"/>
    <w:rsid w:val="00E05350"/>
    <w:rsid w:val="00E05851"/>
    <w:rsid w:val="00E05AD0"/>
    <w:rsid w:val="00E06E63"/>
    <w:rsid w:val="00E0748B"/>
    <w:rsid w:val="00E10A02"/>
    <w:rsid w:val="00E111DD"/>
    <w:rsid w:val="00E11E01"/>
    <w:rsid w:val="00E11E94"/>
    <w:rsid w:val="00E11F9C"/>
    <w:rsid w:val="00E125C6"/>
    <w:rsid w:val="00E135B0"/>
    <w:rsid w:val="00E14A4E"/>
    <w:rsid w:val="00E14E6C"/>
    <w:rsid w:val="00E14F90"/>
    <w:rsid w:val="00E1525B"/>
    <w:rsid w:val="00E15EB9"/>
    <w:rsid w:val="00E1616C"/>
    <w:rsid w:val="00E162B6"/>
    <w:rsid w:val="00E163A9"/>
    <w:rsid w:val="00E164E0"/>
    <w:rsid w:val="00E1739F"/>
    <w:rsid w:val="00E1762B"/>
    <w:rsid w:val="00E17733"/>
    <w:rsid w:val="00E179DC"/>
    <w:rsid w:val="00E20610"/>
    <w:rsid w:val="00E20B8B"/>
    <w:rsid w:val="00E20ED8"/>
    <w:rsid w:val="00E21684"/>
    <w:rsid w:val="00E21A2D"/>
    <w:rsid w:val="00E21F29"/>
    <w:rsid w:val="00E235C3"/>
    <w:rsid w:val="00E23F05"/>
    <w:rsid w:val="00E24AAC"/>
    <w:rsid w:val="00E250F0"/>
    <w:rsid w:val="00E257F8"/>
    <w:rsid w:val="00E258BC"/>
    <w:rsid w:val="00E258E9"/>
    <w:rsid w:val="00E25C0A"/>
    <w:rsid w:val="00E25EE0"/>
    <w:rsid w:val="00E25FA3"/>
    <w:rsid w:val="00E261CD"/>
    <w:rsid w:val="00E269A6"/>
    <w:rsid w:val="00E2732C"/>
    <w:rsid w:val="00E274A4"/>
    <w:rsid w:val="00E300DD"/>
    <w:rsid w:val="00E30C19"/>
    <w:rsid w:val="00E3105D"/>
    <w:rsid w:val="00E3116D"/>
    <w:rsid w:val="00E31331"/>
    <w:rsid w:val="00E316A9"/>
    <w:rsid w:val="00E32320"/>
    <w:rsid w:val="00E338EF"/>
    <w:rsid w:val="00E341A2"/>
    <w:rsid w:val="00E343C1"/>
    <w:rsid w:val="00E35D89"/>
    <w:rsid w:val="00E37663"/>
    <w:rsid w:val="00E376D4"/>
    <w:rsid w:val="00E3787C"/>
    <w:rsid w:val="00E37C45"/>
    <w:rsid w:val="00E37E61"/>
    <w:rsid w:val="00E402DD"/>
    <w:rsid w:val="00E40D11"/>
    <w:rsid w:val="00E40E8F"/>
    <w:rsid w:val="00E40EB2"/>
    <w:rsid w:val="00E40FD5"/>
    <w:rsid w:val="00E41FBE"/>
    <w:rsid w:val="00E42CFE"/>
    <w:rsid w:val="00E43E68"/>
    <w:rsid w:val="00E44556"/>
    <w:rsid w:val="00E445D8"/>
    <w:rsid w:val="00E44893"/>
    <w:rsid w:val="00E44D46"/>
    <w:rsid w:val="00E454E2"/>
    <w:rsid w:val="00E458FF"/>
    <w:rsid w:val="00E45EBC"/>
    <w:rsid w:val="00E46472"/>
    <w:rsid w:val="00E46890"/>
    <w:rsid w:val="00E46ABB"/>
    <w:rsid w:val="00E46E66"/>
    <w:rsid w:val="00E4787F"/>
    <w:rsid w:val="00E47893"/>
    <w:rsid w:val="00E47961"/>
    <w:rsid w:val="00E47DAC"/>
    <w:rsid w:val="00E47DE4"/>
    <w:rsid w:val="00E50592"/>
    <w:rsid w:val="00E50A96"/>
    <w:rsid w:val="00E50ECC"/>
    <w:rsid w:val="00E5121B"/>
    <w:rsid w:val="00E51923"/>
    <w:rsid w:val="00E52375"/>
    <w:rsid w:val="00E523AE"/>
    <w:rsid w:val="00E52C90"/>
    <w:rsid w:val="00E52E82"/>
    <w:rsid w:val="00E52F76"/>
    <w:rsid w:val="00E537FF"/>
    <w:rsid w:val="00E5393A"/>
    <w:rsid w:val="00E53B76"/>
    <w:rsid w:val="00E556FA"/>
    <w:rsid w:val="00E557C1"/>
    <w:rsid w:val="00E564DE"/>
    <w:rsid w:val="00E565FB"/>
    <w:rsid w:val="00E566E6"/>
    <w:rsid w:val="00E56885"/>
    <w:rsid w:val="00E56AC9"/>
    <w:rsid w:val="00E56AFB"/>
    <w:rsid w:val="00E573D7"/>
    <w:rsid w:val="00E577BF"/>
    <w:rsid w:val="00E57958"/>
    <w:rsid w:val="00E579EA"/>
    <w:rsid w:val="00E57AA6"/>
    <w:rsid w:val="00E60868"/>
    <w:rsid w:val="00E60DC6"/>
    <w:rsid w:val="00E61206"/>
    <w:rsid w:val="00E61319"/>
    <w:rsid w:val="00E61C1A"/>
    <w:rsid w:val="00E62209"/>
    <w:rsid w:val="00E63387"/>
    <w:rsid w:val="00E643BA"/>
    <w:rsid w:val="00E64543"/>
    <w:rsid w:val="00E64795"/>
    <w:rsid w:val="00E64A91"/>
    <w:rsid w:val="00E65882"/>
    <w:rsid w:val="00E65DDE"/>
    <w:rsid w:val="00E65F7B"/>
    <w:rsid w:val="00E66027"/>
    <w:rsid w:val="00E6641F"/>
    <w:rsid w:val="00E669C4"/>
    <w:rsid w:val="00E66AF3"/>
    <w:rsid w:val="00E66EAD"/>
    <w:rsid w:val="00E670C2"/>
    <w:rsid w:val="00E6740C"/>
    <w:rsid w:val="00E674DB"/>
    <w:rsid w:val="00E7030A"/>
    <w:rsid w:val="00E70C3C"/>
    <w:rsid w:val="00E70DF0"/>
    <w:rsid w:val="00E70E21"/>
    <w:rsid w:val="00E70FCB"/>
    <w:rsid w:val="00E71027"/>
    <w:rsid w:val="00E71691"/>
    <w:rsid w:val="00E71BBA"/>
    <w:rsid w:val="00E71D99"/>
    <w:rsid w:val="00E71FB7"/>
    <w:rsid w:val="00E72201"/>
    <w:rsid w:val="00E72466"/>
    <w:rsid w:val="00E725B6"/>
    <w:rsid w:val="00E72CA7"/>
    <w:rsid w:val="00E72ED0"/>
    <w:rsid w:val="00E7323C"/>
    <w:rsid w:val="00E73987"/>
    <w:rsid w:val="00E74EC1"/>
    <w:rsid w:val="00E74EC9"/>
    <w:rsid w:val="00E74EE1"/>
    <w:rsid w:val="00E75113"/>
    <w:rsid w:val="00E759AB"/>
    <w:rsid w:val="00E75ACD"/>
    <w:rsid w:val="00E7606D"/>
    <w:rsid w:val="00E765CD"/>
    <w:rsid w:val="00E76ADF"/>
    <w:rsid w:val="00E77952"/>
    <w:rsid w:val="00E80A2C"/>
    <w:rsid w:val="00E81AA1"/>
    <w:rsid w:val="00E820BE"/>
    <w:rsid w:val="00E821BF"/>
    <w:rsid w:val="00E83386"/>
    <w:rsid w:val="00E835E9"/>
    <w:rsid w:val="00E839CD"/>
    <w:rsid w:val="00E840AA"/>
    <w:rsid w:val="00E85252"/>
    <w:rsid w:val="00E85665"/>
    <w:rsid w:val="00E858C0"/>
    <w:rsid w:val="00E8609B"/>
    <w:rsid w:val="00E8650A"/>
    <w:rsid w:val="00E8692D"/>
    <w:rsid w:val="00E86D11"/>
    <w:rsid w:val="00E87299"/>
    <w:rsid w:val="00E874AD"/>
    <w:rsid w:val="00E8758E"/>
    <w:rsid w:val="00E9089B"/>
    <w:rsid w:val="00E909DF"/>
    <w:rsid w:val="00E90A62"/>
    <w:rsid w:val="00E90EE0"/>
    <w:rsid w:val="00E91AEC"/>
    <w:rsid w:val="00E92647"/>
    <w:rsid w:val="00E9380D"/>
    <w:rsid w:val="00E93CE7"/>
    <w:rsid w:val="00E93D3D"/>
    <w:rsid w:val="00E940B0"/>
    <w:rsid w:val="00E94C2E"/>
    <w:rsid w:val="00E950BC"/>
    <w:rsid w:val="00E95510"/>
    <w:rsid w:val="00E9564A"/>
    <w:rsid w:val="00E9598B"/>
    <w:rsid w:val="00E95FC7"/>
    <w:rsid w:val="00EA0238"/>
    <w:rsid w:val="00EA1128"/>
    <w:rsid w:val="00EA120A"/>
    <w:rsid w:val="00EA1480"/>
    <w:rsid w:val="00EA257E"/>
    <w:rsid w:val="00EA27B9"/>
    <w:rsid w:val="00EA2ABA"/>
    <w:rsid w:val="00EA2E7A"/>
    <w:rsid w:val="00EA3360"/>
    <w:rsid w:val="00EA35FD"/>
    <w:rsid w:val="00EA3BAC"/>
    <w:rsid w:val="00EA4B05"/>
    <w:rsid w:val="00EA4B6B"/>
    <w:rsid w:val="00EA5046"/>
    <w:rsid w:val="00EA540F"/>
    <w:rsid w:val="00EA546C"/>
    <w:rsid w:val="00EA5531"/>
    <w:rsid w:val="00EA5653"/>
    <w:rsid w:val="00EA5B26"/>
    <w:rsid w:val="00EA5B42"/>
    <w:rsid w:val="00EA5EFE"/>
    <w:rsid w:val="00EA5FF2"/>
    <w:rsid w:val="00EA70FF"/>
    <w:rsid w:val="00EA722E"/>
    <w:rsid w:val="00EA7911"/>
    <w:rsid w:val="00EA7C36"/>
    <w:rsid w:val="00EB0CAE"/>
    <w:rsid w:val="00EB1EB7"/>
    <w:rsid w:val="00EB2062"/>
    <w:rsid w:val="00EB264B"/>
    <w:rsid w:val="00EB30C9"/>
    <w:rsid w:val="00EB31F4"/>
    <w:rsid w:val="00EB3277"/>
    <w:rsid w:val="00EB34CA"/>
    <w:rsid w:val="00EB34FF"/>
    <w:rsid w:val="00EB37BB"/>
    <w:rsid w:val="00EB4370"/>
    <w:rsid w:val="00EB46F7"/>
    <w:rsid w:val="00EB5A71"/>
    <w:rsid w:val="00EB6269"/>
    <w:rsid w:val="00EB6D36"/>
    <w:rsid w:val="00EB7878"/>
    <w:rsid w:val="00EC02C7"/>
    <w:rsid w:val="00EC1070"/>
    <w:rsid w:val="00EC119E"/>
    <w:rsid w:val="00EC1424"/>
    <w:rsid w:val="00EC1979"/>
    <w:rsid w:val="00EC1B1A"/>
    <w:rsid w:val="00EC26B0"/>
    <w:rsid w:val="00EC2DFA"/>
    <w:rsid w:val="00EC3160"/>
    <w:rsid w:val="00EC3320"/>
    <w:rsid w:val="00EC334F"/>
    <w:rsid w:val="00EC34E3"/>
    <w:rsid w:val="00EC3622"/>
    <w:rsid w:val="00EC3897"/>
    <w:rsid w:val="00EC3E42"/>
    <w:rsid w:val="00EC3E4C"/>
    <w:rsid w:val="00EC4745"/>
    <w:rsid w:val="00EC4FED"/>
    <w:rsid w:val="00EC5A36"/>
    <w:rsid w:val="00EC6B24"/>
    <w:rsid w:val="00EC6B3B"/>
    <w:rsid w:val="00EC7073"/>
    <w:rsid w:val="00EC7307"/>
    <w:rsid w:val="00EC7600"/>
    <w:rsid w:val="00EC7932"/>
    <w:rsid w:val="00EC7CD8"/>
    <w:rsid w:val="00ED0B5A"/>
    <w:rsid w:val="00ED3388"/>
    <w:rsid w:val="00ED3833"/>
    <w:rsid w:val="00ED3A27"/>
    <w:rsid w:val="00ED440C"/>
    <w:rsid w:val="00ED47F3"/>
    <w:rsid w:val="00ED49B5"/>
    <w:rsid w:val="00ED67DB"/>
    <w:rsid w:val="00ED715C"/>
    <w:rsid w:val="00ED7A68"/>
    <w:rsid w:val="00EE0270"/>
    <w:rsid w:val="00EE10C7"/>
    <w:rsid w:val="00EE15CE"/>
    <w:rsid w:val="00EE16AB"/>
    <w:rsid w:val="00EE1C69"/>
    <w:rsid w:val="00EE219E"/>
    <w:rsid w:val="00EE2BC4"/>
    <w:rsid w:val="00EE3379"/>
    <w:rsid w:val="00EE37D6"/>
    <w:rsid w:val="00EE4DDD"/>
    <w:rsid w:val="00EE52D6"/>
    <w:rsid w:val="00EE5833"/>
    <w:rsid w:val="00EE59F3"/>
    <w:rsid w:val="00EE6020"/>
    <w:rsid w:val="00EE611B"/>
    <w:rsid w:val="00EE6C9E"/>
    <w:rsid w:val="00EE6EC4"/>
    <w:rsid w:val="00EE77F7"/>
    <w:rsid w:val="00EE7DB4"/>
    <w:rsid w:val="00EF0195"/>
    <w:rsid w:val="00EF0347"/>
    <w:rsid w:val="00EF0435"/>
    <w:rsid w:val="00EF05C1"/>
    <w:rsid w:val="00EF0A7C"/>
    <w:rsid w:val="00EF0BDA"/>
    <w:rsid w:val="00EF11AE"/>
    <w:rsid w:val="00EF14FB"/>
    <w:rsid w:val="00EF1969"/>
    <w:rsid w:val="00EF2589"/>
    <w:rsid w:val="00EF25EC"/>
    <w:rsid w:val="00EF28D2"/>
    <w:rsid w:val="00EF31B4"/>
    <w:rsid w:val="00EF34B9"/>
    <w:rsid w:val="00EF383F"/>
    <w:rsid w:val="00EF4253"/>
    <w:rsid w:val="00EF42A8"/>
    <w:rsid w:val="00EF495E"/>
    <w:rsid w:val="00EF4F21"/>
    <w:rsid w:val="00EF5378"/>
    <w:rsid w:val="00EF573C"/>
    <w:rsid w:val="00EF5A42"/>
    <w:rsid w:val="00EF5CE6"/>
    <w:rsid w:val="00EF6541"/>
    <w:rsid w:val="00EF6550"/>
    <w:rsid w:val="00EF7650"/>
    <w:rsid w:val="00F005A5"/>
    <w:rsid w:val="00F009B8"/>
    <w:rsid w:val="00F01C75"/>
    <w:rsid w:val="00F02612"/>
    <w:rsid w:val="00F02B7B"/>
    <w:rsid w:val="00F037E7"/>
    <w:rsid w:val="00F04AAC"/>
    <w:rsid w:val="00F04DC8"/>
    <w:rsid w:val="00F050FD"/>
    <w:rsid w:val="00F05277"/>
    <w:rsid w:val="00F0546F"/>
    <w:rsid w:val="00F0678A"/>
    <w:rsid w:val="00F074BF"/>
    <w:rsid w:val="00F077A8"/>
    <w:rsid w:val="00F07B5E"/>
    <w:rsid w:val="00F102C8"/>
    <w:rsid w:val="00F102CD"/>
    <w:rsid w:val="00F1048B"/>
    <w:rsid w:val="00F10951"/>
    <w:rsid w:val="00F10B61"/>
    <w:rsid w:val="00F10BC9"/>
    <w:rsid w:val="00F10FFE"/>
    <w:rsid w:val="00F11E9E"/>
    <w:rsid w:val="00F1294E"/>
    <w:rsid w:val="00F12C40"/>
    <w:rsid w:val="00F12C6F"/>
    <w:rsid w:val="00F132A8"/>
    <w:rsid w:val="00F13703"/>
    <w:rsid w:val="00F1394D"/>
    <w:rsid w:val="00F13B77"/>
    <w:rsid w:val="00F142FD"/>
    <w:rsid w:val="00F1471B"/>
    <w:rsid w:val="00F153D6"/>
    <w:rsid w:val="00F15947"/>
    <w:rsid w:val="00F15AFE"/>
    <w:rsid w:val="00F15B57"/>
    <w:rsid w:val="00F15D83"/>
    <w:rsid w:val="00F17732"/>
    <w:rsid w:val="00F177C2"/>
    <w:rsid w:val="00F17993"/>
    <w:rsid w:val="00F201B9"/>
    <w:rsid w:val="00F2052B"/>
    <w:rsid w:val="00F20C48"/>
    <w:rsid w:val="00F21329"/>
    <w:rsid w:val="00F218B7"/>
    <w:rsid w:val="00F21A48"/>
    <w:rsid w:val="00F222E0"/>
    <w:rsid w:val="00F24D09"/>
    <w:rsid w:val="00F24E6F"/>
    <w:rsid w:val="00F25BBC"/>
    <w:rsid w:val="00F25CA4"/>
    <w:rsid w:val="00F26294"/>
    <w:rsid w:val="00F26DCD"/>
    <w:rsid w:val="00F3000D"/>
    <w:rsid w:val="00F3074B"/>
    <w:rsid w:val="00F31358"/>
    <w:rsid w:val="00F31BDD"/>
    <w:rsid w:val="00F33550"/>
    <w:rsid w:val="00F338E7"/>
    <w:rsid w:val="00F33973"/>
    <w:rsid w:val="00F33DE5"/>
    <w:rsid w:val="00F340B6"/>
    <w:rsid w:val="00F34CCD"/>
    <w:rsid w:val="00F351BF"/>
    <w:rsid w:val="00F353C3"/>
    <w:rsid w:val="00F354EA"/>
    <w:rsid w:val="00F35961"/>
    <w:rsid w:val="00F35CBE"/>
    <w:rsid w:val="00F35D4C"/>
    <w:rsid w:val="00F35F68"/>
    <w:rsid w:val="00F36278"/>
    <w:rsid w:val="00F36641"/>
    <w:rsid w:val="00F36CE8"/>
    <w:rsid w:val="00F36D3F"/>
    <w:rsid w:val="00F3765A"/>
    <w:rsid w:val="00F37BDD"/>
    <w:rsid w:val="00F40413"/>
    <w:rsid w:val="00F408DA"/>
    <w:rsid w:val="00F40A8B"/>
    <w:rsid w:val="00F40E31"/>
    <w:rsid w:val="00F410D7"/>
    <w:rsid w:val="00F425C4"/>
    <w:rsid w:val="00F42E3D"/>
    <w:rsid w:val="00F43653"/>
    <w:rsid w:val="00F43754"/>
    <w:rsid w:val="00F43B23"/>
    <w:rsid w:val="00F46374"/>
    <w:rsid w:val="00F476F1"/>
    <w:rsid w:val="00F5030C"/>
    <w:rsid w:val="00F528BE"/>
    <w:rsid w:val="00F52C95"/>
    <w:rsid w:val="00F5367B"/>
    <w:rsid w:val="00F5384F"/>
    <w:rsid w:val="00F5387B"/>
    <w:rsid w:val="00F5467E"/>
    <w:rsid w:val="00F54BA5"/>
    <w:rsid w:val="00F54BE0"/>
    <w:rsid w:val="00F54FF0"/>
    <w:rsid w:val="00F57758"/>
    <w:rsid w:val="00F57B4B"/>
    <w:rsid w:val="00F57CFE"/>
    <w:rsid w:val="00F60768"/>
    <w:rsid w:val="00F60A49"/>
    <w:rsid w:val="00F60BF8"/>
    <w:rsid w:val="00F60F45"/>
    <w:rsid w:val="00F61516"/>
    <w:rsid w:val="00F61BC9"/>
    <w:rsid w:val="00F62ACA"/>
    <w:rsid w:val="00F63864"/>
    <w:rsid w:val="00F6407E"/>
    <w:rsid w:val="00F6440F"/>
    <w:rsid w:val="00F658B2"/>
    <w:rsid w:val="00F667AF"/>
    <w:rsid w:val="00F66BF3"/>
    <w:rsid w:val="00F66D2D"/>
    <w:rsid w:val="00F66DAD"/>
    <w:rsid w:val="00F70AD6"/>
    <w:rsid w:val="00F70AF5"/>
    <w:rsid w:val="00F712C5"/>
    <w:rsid w:val="00F71596"/>
    <w:rsid w:val="00F71779"/>
    <w:rsid w:val="00F7399D"/>
    <w:rsid w:val="00F739E6"/>
    <w:rsid w:val="00F73E5E"/>
    <w:rsid w:val="00F74A5B"/>
    <w:rsid w:val="00F74C40"/>
    <w:rsid w:val="00F7551B"/>
    <w:rsid w:val="00F75A8F"/>
    <w:rsid w:val="00F76033"/>
    <w:rsid w:val="00F7618B"/>
    <w:rsid w:val="00F7699A"/>
    <w:rsid w:val="00F76EEA"/>
    <w:rsid w:val="00F77CE5"/>
    <w:rsid w:val="00F80B02"/>
    <w:rsid w:val="00F812B4"/>
    <w:rsid w:val="00F8218E"/>
    <w:rsid w:val="00F8252F"/>
    <w:rsid w:val="00F83631"/>
    <w:rsid w:val="00F8391F"/>
    <w:rsid w:val="00F83B13"/>
    <w:rsid w:val="00F84339"/>
    <w:rsid w:val="00F846A9"/>
    <w:rsid w:val="00F8554C"/>
    <w:rsid w:val="00F856E9"/>
    <w:rsid w:val="00F85F2D"/>
    <w:rsid w:val="00F862D0"/>
    <w:rsid w:val="00F86355"/>
    <w:rsid w:val="00F86692"/>
    <w:rsid w:val="00F86895"/>
    <w:rsid w:val="00F869A4"/>
    <w:rsid w:val="00F86C18"/>
    <w:rsid w:val="00F86D4B"/>
    <w:rsid w:val="00F87076"/>
    <w:rsid w:val="00F87B24"/>
    <w:rsid w:val="00F90081"/>
    <w:rsid w:val="00F90909"/>
    <w:rsid w:val="00F91089"/>
    <w:rsid w:val="00F9269B"/>
    <w:rsid w:val="00F92E06"/>
    <w:rsid w:val="00F93384"/>
    <w:rsid w:val="00F93B5C"/>
    <w:rsid w:val="00F94041"/>
    <w:rsid w:val="00F94116"/>
    <w:rsid w:val="00F94838"/>
    <w:rsid w:val="00F94D75"/>
    <w:rsid w:val="00F95126"/>
    <w:rsid w:val="00F957ED"/>
    <w:rsid w:val="00F95845"/>
    <w:rsid w:val="00F95B7B"/>
    <w:rsid w:val="00F95D6A"/>
    <w:rsid w:val="00F960B8"/>
    <w:rsid w:val="00F962F3"/>
    <w:rsid w:val="00F96371"/>
    <w:rsid w:val="00F96718"/>
    <w:rsid w:val="00F97621"/>
    <w:rsid w:val="00F97730"/>
    <w:rsid w:val="00FA04AD"/>
    <w:rsid w:val="00FA0A7B"/>
    <w:rsid w:val="00FA19CC"/>
    <w:rsid w:val="00FA1DC6"/>
    <w:rsid w:val="00FA2035"/>
    <w:rsid w:val="00FA296B"/>
    <w:rsid w:val="00FA2C37"/>
    <w:rsid w:val="00FA3120"/>
    <w:rsid w:val="00FA3518"/>
    <w:rsid w:val="00FA41CF"/>
    <w:rsid w:val="00FA467D"/>
    <w:rsid w:val="00FA52AF"/>
    <w:rsid w:val="00FA5635"/>
    <w:rsid w:val="00FA5D49"/>
    <w:rsid w:val="00FA5E32"/>
    <w:rsid w:val="00FA69A5"/>
    <w:rsid w:val="00FA6B86"/>
    <w:rsid w:val="00FA759D"/>
    <w:rsid w:val="00FB14E8"/>
    <w:rsid w:val="00FB17A3"/>
    <w:rsid w:val="00FB18AE"/>
    <w:rsid w:val="00FB1AC9"/>
    <w:rsid w:val="00FB1CE4"/>
    <w:rsid w:val="00FB1F8F"/>
    <w:rsid w:val="00FB2058"/>
    <w:rsid w:val="00FB2403"/>
    <w:rsid w:val="00FB2A45"/>
    <w:rsid w:val="00FB2C32"/>
    <w:rsid w:val="00FB37FF"/>
    <w:rsid w:val="00FB5436"/>
    <w:rsid w:val="00FB55B0"/>
    <w:rsid w:val="00FB56E7"/>
    <w:rsid w:val="00FB57A6"/>
    <w:rsid w:val="00FB580C"/>
    <w:rsid w:val="00FB5905"/>
    <w:rsid w:val="00FB751B"/>
    <w:rsid w:val="00FB79ED"/>
    <w:rsid w:val="00FB7C31"/>
    <w:rsid w:val="00FC0458"/>
    <w:rsid w:val="00FC0886"/>
    <w:rsid w:val="00FC0D89"/>
    <w:rsid w:val="00FC0FA3"/>
    <w:rsid w:val="00FC10FA"/>
    <w:rsid w:val="00FC15F4"/>
    <w:rsid w:val="00FC1D6D"/>
    <w:rsid w:val="00FC1E77"/>
    <w:rsid w:val="00FC207A"/>
    <w:rsid w:val="00FC2096"/>
    <w:rsid w:val="00FC3385"/>
    <w:rsid w:val="00FC3698"/>
    <w:rsid w:val="00FC3AFD"/>
    <w:rsid w:val="00FC3B7F"/>
    <w:rsid w:val="00FC40DD"/>
    <w:rsid w:val="00FC41C1"/>
    <w:rsid w:val="00FC4360"/>
    <w:rsid w:val="00FC4B6B"/>
    <w:rsid w:val="00FC53BD"/>
    <w:rsid w:val="00FC60DD"/>
    <w:rsid w:val="00FC6328"/>
    <w:rsid w:val="00FC65A5"/>
    <w:rsid w:val="00FC6FB3"/>
    <w:rsid w:val="00FC7E66"/>
    <w:rsid w:val="00FC7E9C"/>
    <w:rsid w:val="00FD0B7B"/>
    <w:rsid w:val="00FD1787"/>
    <w:rsid w:val="00FD20F9"/>
    <w:rsid w:val="00FD247E"/>
    <w:rsid w:val="00FD24B4"/>
    <w:rsid w:val="00FD2772"/>
    <w:rsid w:val="00FD31FF"/>
    <w:rsid w:val="00FD3597"/>
    <w:rsid w:val="00FD380F"/>
    <w:rsid w:val="00FD3BFE"/>
    <w:rsid w:val="00FD41D6"/>
    <w:rsid w:val="00FD41DA"/>
    <w:rsid w:val="00FD456C"/>
    <w:rsid w:val="00FD511A"/>
    <w:rsid w:val="00FE00B5"/>
    <w:rsid w:val="00FE0279"/>
    <w:rsid w:val="00FE027F"/>
    <w:rsid w:val="00FE08A7"/>
    <w:rsid w:val="00FE0C7D"/>
    <w:rsid w:val="00FE11A1"/>
    <w:rsid w:val="00FE1F83"/>
    <w:rsid w:val="00FE23D2"/>
    <w:rsid w:val="00FE2A8B"/>
    <w:rsid w:val="00FE2EE5"/>
    <w:rsid w:val="00FE32C0"/>
    <w:rsid w:val="00FE359B"/>
    <w:rsid w:val="00FE3835"/>
    <w:rsid w:val="00FE3B67"/>
    <w:rsid w:val="00FE4E09"/>
    <w:rsid w:val="00FE5174"/>
    <w:rsid w:val="00FE548E"/>
    <w:rsid w:val="00FE55C4"/>
    <w:rsid w:val="00FE6649"/>
    <w:rsid w:val="00FE6F63"/>
    <w:rsid w:val="00FE71B9"/>
    <w:rsid w:val="00FE76F1"/>
    <w:rsid w:val="00FF01BC"/>
    <w:rsid w:val="00FF08B5"/>
    <w:rsid w:val="00FF13CA"/>
    <w:rsid w:val="00FF15AD"/>
    <w:rsid w:val="00FF1AFE"/>
    <w:rsid w:val="00FF1BB7"/>
    <w:rsid w:val="00FF2778"/>
    <w:rsid w:val="00FF2B4B"/>
    <w:rsid w:val="00FF2BC5"/>
    <w:rsid w:val="00FF3188"/>
    <w:rsid w:val="00FF353A"/>
    <w:rsid w:val="00FF3C53"/>
    <w:rsid w:val="00FF42EA"/>
    <w:rsid w:val="00FF44AA"/>
    <w:rsid w:val="00FF4AE2"/>
    <w:rsid w:val="00FF50FC"/>
    <w:rsid w:val="00FF5766"/>
    <w:rsid w:val="00FF5AFD"/>
    <w:rsid w:val="00FF5B76"/>
    <w:rsid w:val="00FF6828"/>
    <w:rsid w:val="00FF6919"/>
    <w:rsid w:val="00FF7058"/>
    <w:rsid w:val="00FF738C"/>
    <w:rsid w:val="00FF7B28"/>
    <w:rsid w:val="00FF7DEE"/>
    <w:rsid w:val="0103152C"/>
    <w:rsid w:val="010AE03E"/>
    <w:rsid w:val="011C68B8"/>
    <w:rsid w:val="01332AAE"/>
    <w:rsid w:val="013D3B72"/>
    <w:rsid w:val="0158FFEB"/>
    <w:rsid w:val="01635F13"/>
    <w:rsid w:val="016ABC5D"/>
    <w:rsid w:val="017955BB"/>
    <w:rsid w:val="0197C8B5"/>
    <w:rsid w:val="0199276D"/>
    <w:rsid w:val="01993BE3"/>
    <w:rsid w:val="019AF057"/>
    <w:rsid w:val="01A0BB36"/>
    <w:rsid w:val="01A9D77B"/>
    <w:rsid w:val="01ABE99D"/>
    <w:rsid w:val="01B1E2D7"/>
    <w:rsid w:val="01BCFC9A"/>
    <w:rsid w:val="01D12B58"/>
    <w:rsid w:val="01D81F90"/>
    <w:rsid w:val="01D83A76"/>
    <w:rsid w:val="01DFCC0D"/>
    <w:rsid w:val="01E95A5F"/>
    <w:rsid w:val="02061E65"/>
    <w:rsid w:val="020C906C"/>
    <w:rsid w:val="022FFD85"/>
    <w:rsid w:val="02361E2F"/>
    <w:rsid w:val="0245BC30"/>
    <w:rsid w:val="024850C9"/>
    <w:rsid w:val="024A7D1F"/>
    <w:rsid w:val="025884EF"/>
    <w:rsid w:val="025D4BB5"/>
    <w:rsid w:val="02A6866C"/>
    <w:rsid w:val="02A92BF3"/>
    <w:rsid w:val="02BED438"/>
    <w:rsid w:val="02CFBABA"/>
    <w:rsid w:val="02F6142E"/>
    <w:rsid w:val="0316B1D3"/>
    <w:rsid w:val="031D8B6D"/>
    <w:rsid w:val="03436E7B"/>
    <w:rsid w:val="0355AEC9"/>
    <w:rsid w:val="035C666F"/>
    <w:rsid w:val="03730B32"/>
    <w:rsid w:val="03AC449E"/>
    <w:rsid w:val="03B35EC8"/>
    <w:rsid w:val="03E41D37"/>
    <w:rsid w:val="03FDCF10"/>
    <w:rsid w:val="04020117"/>
    <w:rsid w:val="04104ED2"/>
    <w:rsid w:val="0412A6CF"/>
    <w:rsid w:val="042E48E0"/>
    <w:rsid w:val="0465E8A6"/>
    <w:rsid w:val="0467F74D"/>
    <w:rsid w:val="04684F54"/>
    <w:rsid w:val="04775DCD"/>
    <w:rsid w:val="047E106A"/>
    <w:rsid w:val="04826E62"/>
    <w:rsid w:val="04849BE2"/>
    <w:rsid w:val="04A41CC0"/>
    <w:rsid w:val="04AB7103"/>
    <w:rsid w:val="04AFFDC7"/>
    <w:rsid w:val="04C9E7F7"/>
    <w:rsid w:val="04CEC9FD"/>
    <w:rsid w:val="04D0F040"/>
    <w:rsid w:val="04EB3BCA"/>
    <w:rsid w:val="0545CF94"/>
    <w:rsid w:val="0556C394"/>
    <w:rsid w:val="0574023E"/>
    <w:rsid w:val="05834BC3"/>
    <w:rsid w:val="0583C056"/>
    <w:rsid w:val="0593A69B"/>
    <w:rsid w:val="059CAB67"/>
    <w:rsid w:val="05F6B3EA"/>
    <w:rsid w:val="0602D7E2"/>
    <w:rsid w:val="06260A7B"/>
    <w:rsid w:val="0629BDA4"/>
    <w:rsid w:val="064C3B42"/>
    <w:rsid w:val="065690C6"/>
    <w:rsid w:val="065F2336"/>
    <w:rsid w:val="06D0F5E8"/>
    <w:rsid w:val="06FCD38D"/>
    <w:rsid w:val="06FCDAF3"/>
    <w:rsid w:val="0714C015"/>
    <w:rsid w:val="071A9801"/>
    <w:rsid w:val="0726E5DF"/>
    <w:rsid w:val="072B4BE0"/>
    <w:rsid w:val="07370CD4"/>
    <w:rsid w:val="073AC54B"/>
    <w:rsid w:val="073C63D9"/>
    <w:rsid w:val="0748220C"/>
    <w:rsid w:val="075A0BCA"/>
    <w:rsid w:val="076030EF"/>
    <w:rsid w:val="0760D205"/>
    <w:rsid w:val="07653057"/>
    <w:rsid w:val="076AF293"/>
    <w:rsid w:val="07B2993C"/>
    <w:rsid w:val="07B56303"/>
    <w:rsid w:val="07CC80BB"/>
    <w:rsid w:val="07E24395"/>
    <w:rsid w:val="07E8A2DD"/>
    <w:rsid w:val="07F75B7B"/>
    <w:rsid w:val="07FCE2B2"/>
    <w:rsid w:val="080CB439"/>
    <w:rsid w:val="081B283B"/>
    <w:rsid w:val="081FD4A0"/>
    <w:rsid w:val="08350D57"/>
    <w:rsid w:val="0835F888"/>
    <w:rsid w:val="085D20B0"/>
    <w:rsid w:val="08746BA1"/>
    <w:rsid w:val="0889A2B8"/>
    <w:rsid w:val="0892005B"/>
    <w:rsid w:val="0893A0E1"/>
    <w:rsid w:val="08A09C67"/>
    <w:rsid w:val="08BB5DA0"/>
    <w:rsid w:val="08CD476A"/>
    <w:rsid w:val="08EEF63B"/>
    <w:rsid w:val="0901511D"/>
    <w:rsid w:val="09055633"/>
    <w:rsid w:val="091815FA"/>
    <w:rsid w:val="091ED586"/>
    <w:rsid w:val="09209A96"/>
    <w:rsid w:val="0927D9CC"/>
    <w:rsid w:val="09369D71"/>
    <w:rsid w:val="0937003B"/>
    <w:rsid w:val="093BAB55"/>
    <w:rsid w:val="094E9442"/>
    <w:rsid w:val="096776BA"/>
    <w:rsid w:val="096843CE"/>
    <w:rsid w:val="097B8972"/>
    <w:rsid w:val="0980357A"/>
    <w:rsid w:val="0988DB22"/>
    <w:rsid w:val="0988F66F"/>
    <w:rsid w:val="09939770"/>
    <w:rsid w:val="09A460C5"/>
    <w:rsid w:val="09A9A3FF"/>
    <w:rsid w:val="09B6A9BB"/>
    <w:rsid w:val="09B79982"/>
    <w:rsid w:val="09D6C565"/>
    <w:rsid w:val="09E3B150"/>
    <w:rsid w:val="09FED29B"/>
    <w:rsid w:val="0A0691CD"/>
    <w:rsid w:val="0A46C271"/>
    <w:rsid w:val="0A602B2C"/>
    <w:rsid w:val="0A795566"/>
    <w:rsid w:val="0A825085"/>
    <w:rsid w:val="0A8CB471"/>
    <w:rsid w:val="0A95C58D"/>
    <w:rsid w:val="0AA0EA66"/>
    <w:rsid w:val="0AAB5199"/>
    <w:rsid w:val="0AC0CB1D"/>
    <w:rsid w:val="0AD7F3CB"/>
    <w:rsid w:val="0AD9EFC0"/>
    <w:rsid w:val="0AE1535E"/>
    <w:rsid w:val="0B03F3D8"/>
    <w:rsid w:val="0B069794"/>
    <w:rsid w:val="0B19D378"/>
    <w:rsid w:val="0B1D9DB1"/>
    <w:rsid w:val="0B26C943"/>
    <w:rsid w:val="0B2B57AD"/>
    <w:rsid w:val="0B380C92"/>
    <w:rsid w:val="0B44F540"/>
    <w:rsid w:val="0B649950"/>
    <w:rsid w:val="0B6E9603"/>
    <w:rsid w:val="0B7B703A"/>
    <w:rsid w:val="0B7DE80B"/>
    <w:rsid w:val="0B803A57"/>
    <w:rsid w:val="0B88E88E"/>
    <w:rsid w:val="0BB0D282"/>
    <w:rsid w:val="0BB5B1F4"/>
    <w:rsid w:val="0BBEDA6F"/>
    <w:rsid w:val="0BCB41A3"/>
    <w:rsid w:val="0BD52C00"/>
    <w:rsid w:val="0BD5CEED"/>
    <w:rsid w:val="0C070A06"/>
    <w:rsid w:val="0C3BD10A"/>
    <w:rsid w:val="0C410069"/>
    <w:rsid w:val="0C5406B8"/>
    <w:rsid w:val="0C66C351"/>
    <w:rsid w:val="0C6D809C"/>
    <w:rsid w:val="0C72A8D6"/>
    <w:rsid w:val="0C82F651"/>
    <w:rsid w:val="0CAF809B"/>
    <w:rsid w:val="0CCC7A82"/>
    <w:rsid w:val="0CF88F3C"/>
    <w:rsid w:val="0D0C8868"/>
    <w:rsid w:val="0D0D3DE2"/>
    <w:rsid w:val="0D187741"/>
    <w:rsid w:val="0D2E33D0"/>
    <w:rsid w:val="0D2EED44"/>
    <w:rsid w:val="0D500A1B"/>
    <w:rsid w:val="0D5D1D47"/>
    <w:rsid w:val="0D643579"/>
    <w:rsid w:val="0D7FC540"/>
    <w:rsid w:val="0DA3601E"/>
    <w:rsid w:val="0DA66D9F"/>
    <w:rsid w:val="0DA8B9EE"/>
    <w:rsid w:val="0DE90CBB"/>
    <w:rsid w:val="0DF0534E"/>
    <w:rsid w:val="0E05E631"/>
    <w:rsid w:val="0E0DA65A"/>
    <w:rsid w:val="0E1EC6B2"/>
    <w:rsid w:val="0E2051D2"/>
    <w:rsid w:val="0E230EF6"/>
    <w:rsid w:val="0E26F2EE"/>
    <w:rsid w:val="0E407898"/>
    <w:rsid w:val="0E473279"/>
    <w:rsid w:val="0E5DDF42"/>
    <w:rsid w:val="0E61BA99"/>
    <w:rsid w:val="0E63F495"/>
    <w:rsid w:val="0E6A304F"/>
    <w:rsid w:val="0E74B883"/>
    <w:rsid w:val="0E85BEE3"/>
    <w:rsid w:val="0E898941"/>
    <w:rsid w:val="0E92FE42"/>
    <w:rsid w:val="0E96986A"/>
    <w:rsid w:val="0EA03C67"/>
    <w:rsid w:val="0EB31071"/>
    <w:rsid w:val="0EE3F60F"/>
    <w:rsid w:val="0EE5AB69"/>
    <w:rsid w:val="0EEDE36A"/>
    <w:rsid w:val="0F12D642"/>
    <w:rsid w:val="0F21194F"/>
    <w:rsid w:val="0F4C5D60"/>
    <w:rsid w:val="0F5370E8"/>
    <w:rsid w:val="0F577EB1"/>
    <w:rsid w:val="0F625C0F"/>
    <w:rsid w:val="0F6260D6"/>
    <w:rsid w:val="0F85C692"/>
    <w:rsid w:val="0F941B26"/>
    <w:rsid w:val="0FC7E4B1"/>
    <w:rsid w:val="0FCB9EC3"/>
    <w:rsid w:val="0FDC0294"/>
    <w:rsid w:val="0FF50686"/>
    <w:rsid w:val="0FFA669C"/>
    <w:rsid w:val="100307F4"/>
    <w:rsid w:val="100421D4"/>
    <w:rsid w:val="100E18A4"/>
    <w:rsid w:val="10101B20"/>
    <w:rsid w:val="102AE97E"/>
    <w:rsid w:val="1030BBFC"/>
    <w:rsid w:val="104B644A"/>
    <w:rsid w:val="1059CADD"/>
    <w:rsid w:val="107EAAA2"/>
    <w:rsid w:val="10A7F3FC"/>
    <w:rsid w:val="10AEC79C"/>
    <w:rsid w:val="10BEB076"/>
    <w:rsid w:val="10C5F0B3"/>
    <w:rsid w:val="10C6F395"/>
    <w:rsid w:val="10D9F0FD"/>
    <w:rsid w:val="10E35A85"/>
    <w:rsid w:val="1116C5B7"/>
    <w:rsid w:val="1121826D"/>
    <w:rsid w:val="1136AE8F"/>
    <w:rsid w:val="113DFDD8"/>
    <w:rsid w:val="116AAFD2"/>
    <w:rsid w:val="1185E75A"/>
    <w:rsid w:val="1193D12F"/>
    <w:rsid w:val="11B0ACD4"/>
    <w:rsid w:val="11C7CA32"/>
    <w:rsid w:val="11C963EB"/>
    <w:rsid w:val="11FBA958"/>
    <w:rsid w:val="12027B7C"/>
    <w:rsid w:val="121D2E7D"/>
    <w:rsid w:val="12229821"/>
    <w:rsid w:val="1228AFAD"/>
    <w:rsid w:val="1228EB37"/>
    <w:rsid w:val="12321F4B"/>
    <w:rsid w:val="123B1407"/>
    <w:rsid w:val="124FF052"/>
    <w:rsid w:val="12640B45"/>
    <w:rsid w:val="1283089F"/>
    <w:rsid w:val="129F0E09"/>
    <w:rsid w:val="12B2EF8E"/>
    <w:rsid w:val="12DCCACE"/>
    <w:rsid w:val="130E7586"/>
    <w:rsid w:val="131D1C8B"/>
    <w:rsid w:val="1329D571"/>
    <w:rsid w:val="13550A83"/>
    <w:rsid w:val="136CE24B"/>
    <w:rsid w:val="136D8697"/>
    <w:rsid w:val="13737C88"/>
    <w:rsid w:val="137DB5CB"/>
    <w:rsid w:val="1389033B"/>
    <w:rsid w:val="13927D94"/>
    <w:rsid w:val="13A0546B"/>
    <w:rsid w:val="13A06E66"/>
    <w:rsid w:val="13B14852"/>
    <w:rsid w:val="13C93E52"/>
    <w:rsid w:val="13CDA939"/>
    <w:rsid w:val="13F6DFC0"/>
    <w:rsid w:val="141335D8"/>
    <w:rsid w:val="1415FDE4"/>
    <w:rsid w:val="142233C2"/>
    <w:rsid w:val="1459D5A8"/>
    <w:rsid w:val="14637E5B"/>
    <w:rsid w:val="147636EA"/>
    <w:rsid w:val="14770BE3"/>
    <w:rsid w:val="14896602"/>
    <w:rsid w:val="14946DD6"/>
    <w:rsid w:val="14A33A32"/>
    <w:rsid w:val="14A8C5DE"/>
    <w:rsid w:val="14E5A795"/>
    <w:rsid w:val="14EA44BB"/>
    <w:rsid w:val="14EB84CD"/>
    <w:rsid w:val="14ECCF00"/>
    <w:rsid w:val="15175DD9"/>
    <w:rsid w:val="152DA22B"/>
    <w:rsid w:val="153B894C"/>
    <w:rsid w:val="15724525"/>
    <w:rsid w:val="157B4037"/>
    <w:rsid w:val="157C2B03"/>
    <w:rsid w:val="159C6926"/>
    <w:rsid w:val="159C8B4B"/>
    <w:rsid w:val="15B35333"/>
    <w:rsid w:val="15D777BA"/>
    <w:rsid w:val="15D8CFB4"/>
    <w:rsid w:val="15E92927"/>
    <w:rsid w:val="15EB7299"/>
    <w:rsid w:val="16128E0E"/>
    <w:rsid w:val="163955FD"/>
    <w:rsid w:val="16401210"/>
    <w:rsid w:val="1661A39C"/>
    <w:rsid w:val="16697E2B"/>
    <w:rsid w:val="16828E5E"/>
    <w:rsid w:val="1690D34C"/>
    <w:rsid w:val="16994CFD"/>
    <w:rsid w:val="16BC9D61"/>
    <w:rsid w:val="16C77729"/>
    <w:rsid w:val="16CA69D6"/>
    <w:rsid w:val="16D6D325"/>
    <w:rsid w:val="16E1A391"/>
    <w:rsid w:val="16ECB4D7"/>
    <w:rsid w:val="16FA4F5F"/>
    <w:rsid w:val="172DF2A0"/>
    <w:rsid w:val="173D219D"/>
    <w:rsid w:val="1745D69E"/>
    <w:rsid w:val="17531788"/>
    <w:rsid w:val="17A969BF"/>
    <w:rsid w:val="17AB35AE"/>
    <w:rsid w:val="17B2D78B"/>
    <w:rsid w:val="17C227FA"/>
    <w:rsid w:val="17EE7415"/>
    <w:rsid w:val="1820B366"/>
    <w:rsid w:val="18310868"/>
    <w:rsid w:val="1854E70B"/>
    <w:rsid w:val="18625C41"/>
    <w:rsid w:val="188E3382"/>
    <w:rsid w:val="18A463CD"/>
    <w:rsid w:val="18A4B3CD"/>
    <w:rsid w:val="18C1E637"/>
    <w:rsid w:val="18C2CB47"/>
    <w:rsid w:val="18D78DF8"/>
    <w:rsid w:val="18DC9A6A"/>
    <w:rsid w:val="18F00193"/>
    <w:rsid w:val="18FAF977"/>
    <w:rsid w:val="191B09BA"/>
    <w:rsid w:val="192850EA"/>
    <w:rsid w:val="1937FD58"/>
    <w:rsid w:val="19491221"/>
    <w:rsid w:val="196AAFEF"/>
    <w:rsid w:val="19788C62"/>
    <w:rsid w:val="197C5AB7"/>
    <w:rsid w:val="198E77C2"/>
    <w:rsid w:val="198FC1F8"/>
    <w:rsid w:val="19928880"/>
    <w:rsid w:val="199E3158"/>
    <w:rsid w:val="19A9E8AF"/>
    <w:rsid w:val="19C3414A"/>
    <w:rsid w:val="19D09923"/>
    <w:rsid w:val="19D957A5"/>
    <w:rsid w:val="19DE9731"/>
    <w:rsid w:val="19EEAAED"/>
    <w:rsid w:val="19FFBCB5"/>
    <w:rsid w:val="1A05F332"/>
    <w:rsid w:val="1A2AD324"/>
    <w:rsid w:val="1A38DE6A"/>
    <w:rsid w:val="1A3E4173"/>
    <w:rsid w:val="1A637256"/>
    <w:rsid w:val="1A672AE2"/>
    <w:rsid w:val="1A73C316"/>
    <w:rsid w:val="1A85D715"/>
    <w:rsid w:val="1A9159AA"/>
    <w:rsid w:val="1AB5E0FF"/>
    <w:rsid w:val="1AC2278A"/>
    <w:rsid w:val="1AE28CF8"/>
    <w:rsid w:val="1AF5F138"/>
    <w:rsid w:val="1B0DF134"/>
    <w:rsid w:val="1B0DF1EA"/>
    <w:rsid w:val="1B165381"/>
    <w:rsid w:val="1B205257"/>
    <w:rsid w:val="1B289178"/>
    <w:rsid w:val="1B2D16B0"/>
    <w:rsid w:val="1B604366"/>
    <w:rsid w:val="1B628270"/>
    <w:rsid w:val="1B66094A"/>
    <w:rsid w:val="1B6EEAAF"/>
    <w:rsid w:val="1B8645CF"/>
    <w:rsid w:val="1B8B88FE"/>
    <w:rsid w:val="1B8D8EE3"/>
    <w:rsid w:val="1B9AD306"/>
    <w:rsid w:val="1BAE0FFF"/>
    <w:rsid w:val="1BB5F6E8"/>
    <w:rsid w:val="1BD3F5B1"/>
    <w:rsid w:val="1BD9C155"/>
    <w:rsid w:val="1BE84D64"/>
    <w:rsid w:val="1BED48FB"/>
    <w:rsid w:val="1C07541B"/>
    <w:rsid w:val="1C1103A6"/>
    <w:rsid w:val="1C18EEC9"/>
    <w:rsid w:val="1C26D70A"/>
    <w:rsid w:val="1C38A2F8"/>
    <w:rsid w:val="1C44D118"/>
    <w:rsid w:val="1C52497C"/>
    <w:rsid w:val="1C716B0C"/>
    <w:rsid w:val="1C73191B"/>
    <w:rsid w:val="1C7A7B04"/>
    <w:rsid w:val="1CA15452"/>
    <w:rsid w:val="1CAFBA95"/>
    <w:rsid w:val="1CBD138F"/>
    <w:rsid w:val="1CC0D134"/>
    <w:rsid w:val="1CC3A59C"/>
    <w:rsid w:val="1CCA5850"/>
    <w:rsid w:val="1CD40FF8"/>
    <w:rsid w:val="1CEE8230"/>
    <w:rsid w:val="1D080F2A"/>
    <w:rsid w:val="1D101F92"/>
    <w:rsid w:val="1D2247AA"/>
    <w:rsid w:val="1D253A80"/>
    <w:rsid w:val="1D3D7CEA"/>
    <w:rsid w:val="1D4BB604"/>
    <w:rsid w:val="1D5CC612"/>
    <w:rsid w:val="1D7155C2"/>
    <w:rsid w:val="1D82A019"/>
    <w:rsid w:val="1D881FFD"/>
    <w:rsid w:val="1D8909A3"/>
    <w:rsid w:val="1D8CDD0E"/>
    <w:rsid w:val="1D96A3E7"/>
    <w:rsid w:val="1DA31A2D"/>
    <w:rsid w:val="1DA6119B"/>
    <w:rsid w:val="1DD3D541"/>
    <w:rsid w:val="1DDF19A1"/>
    <w:rsid w:val="1DE1C9BE"/>
    <w:rsid w:val="1E0171D5"/>
    <w:rsid w:val="1E1D3462"/>
    <w:rsid w:val="1E1D9908"/>
    <w:rsid w:val="1E1EA561"/>
    <w:rsid w:val="1E26FB99"/>
    <w:rsid w:val="1E2929C1"/>
    <w:rsid w:val="1E2C88C7"/>
    <w:rsid w:val="1E313160"/>
    <w:rsid w:val="1E5494A0"/>
    <w:rsid w:val="1E607501"/>
    <w:rsid w:val="1E6AE9D8"/>
    <w:rsid w:val="1E7263FA"/>
    <w:rsid w:val="1E8921C7"/>
    <w:rsid w:val="1E8D9391"/>
    <w:rsid w:val="1E8FD191"/>
    <w:rsid w:val="1EA6FC8D"/>
    <w:rsid w:val="1EC8161D"/>
    <w:rsid w:val="1ECDF755"/>
    <w:rsid w:val="1ED60468"/>
    <w:rsid w:val="1EDDBF39"/>
    <w:rsid w:val="1EF47C2D"/>
    <w:rsid w:val="1F33F0EA"/>
    <w:rsid w:val="1F4028D4"/>
    <w:rsid w:val="1F49F2A9"/>
    <w:rsid w:val="1F5D722D"/>
    <w:rsid w:val="1F5DA4E3"/>
    <w:rsid w:val="1F67BC41"/>
    <w:rsid w:val="1F691E3C"/>
    <w:rsid w:val="1FB9522D"/>
    <w:rsid w:val="1FC07E56"/>
    <w:rsid w:val="1FDE377C"/>
    <w:rsid w:val="1FE6B7F2"/>
    <w:rsid w:val="1FF0F9C7"/>
    <w:rsid w:val="1FF1C06F"/>
    <w:rsid w:val="1FF23757"/>
    <w:rsid w:val="1FF60B36"/>
    <w:rsid w:val="1FF66535"/>
    <w:rsid w:val="1FFECACC"/>
    <w:rsid w:val="200C31C3"/>
    <w:rsid w:val="201DD6C0"/>
    <w:rsid w:val="202A2AB5"/>
    <w:rsid w:val="203527FD"/>
    <w:rsid w:val="204B6CD3"/>
    <w:rsid w:val="205D9914"/>
    <w:rsid w:val="20791AC1"/>
    <w:rsid w:val="2080FC1A"/>
    <w:rsid w:val="20878FB2"/>
    <w:rsid w:val="209157AA"/>
    <w:rsid w:val="209C3818"/>
    <w:rsid w:val="20B48E6C"/>
    <w:rsid w:val="20B61BEC"/>
    <w:rsid w:val="20B982D1"/>
    <w:rsid w:val="20E80605"/>
    <w:rsid w:val="20F024FA"/>
    <w:rsid w:val="20F13991"/>
    <w:rsid w:val="20F51899"/>
    <w:rsid w:val="21022A2B"/>
    <w:rsid w:val="2117657F"/>
    <w:rsid w:val="211E4648"/>
    <w:rsid w:val="21220769"/>
    <w:rsid w:val="214F84FC"/>
    <w:rsid w:val="2176CA7B"/>
    <w:rsid w:val="218C1995"/>
    <w:rsid w:val="218CAD57"/>
    <w:rsid w:val="2190E240"/>
    <w:rsid w:val="21B20980"/>
    <w:rsid w:val="21BD4FA9"/>
    <w:rsid w:val="21BEB4B5"/>
    <w:rsid w:val="21E96B71"/>
    <w:rsid w:val="21EA60B0"/>
    <w:rsid w:val="21EF9A00"/>
    <w:rsid w:val="21F121D5"/>
    <w:rsid w:val="220790A5"/>
    <w:rsid w:val="22194D70"/>
    <w:rsid w:val="221CFF45"/>
    <w:rsid w:val="2220FC3E"/>
    <w:rsid w:val="223F077D"/>
    <w:rsid w:val="223F494D"/>
    <w:rsid w:val="22468D6E"/>
    <w:rsid w:val="22476DDC"/>
    <w:rsid w:val="224DBFE7"/>
    <w:rsid w:val="2259EB73"/>
    <w:rsid w:val="225AC698"/>
    <w:rsid w:val="2266DB42"/>
    <w:rsid w:val="22890F17"/>
    <w:rsid w:val="2289422C"/>
    <w:rsid w:val="22941F75"/>
    <w:rsid w:val="22A357DA"/>
    <w:rsid w:val="22AD5098"/>
    <w:rsid w:val="22BDAB8E"/>
    <w:rsid w:val="22EAA187"/>
    <w:rsid w:val="22F9E729"/>
    <w:rsid w:val="22FAEFC5"/>
    <w:rsid w:val="23084AE2"/>
    <w:rsid w:val="231414CF"/>
    <w:rsid w:val="23173B44"/>
    <w:rsid w:val="2323FDC0"/>
    <w:rsid w:val="2327D5A6"/>
    <w:rsid w:val="2331E9E8"/>
    <w:rsid w:val="2345E688"/>
    <w:rsid w:val="234CC116"/>
    <w:rsid w:val="23561815"/>
    <w:rsid w:val="23805679"/>
    <w:rsid w:val="23907681"/>
    <w:rsid w:val="2390CB53"/>
    <w:rsid w:val="23A05174"/>
    <w:rsid w:val="23B05046"/>
    <w:rsid w:val="23C89A5A"/>
    <w:rsid w:val="23D261C3"/>
    <w:rsid w:val="23D9BF44"/>
    <w:rsid w:val="23F644AF"/>
    <w:rsid w:val="240170D9"/>
    <w:rsid w:val="241EF0D3"/>
    <w:rsid w:val="241F9628"/>
    <w:rsid w:val="242D04DA"/>
    <w:rsid w:val="243F213D"/>
    <w:rsid w:val="24470816"/>
    <w:rsid w:val="244ACE61"/>
    <w:rsid w:val="245E0C87"/>
    <w:rsid w:val="246366D5"/>
    <w:rsid w:val="24673C7F"/>
    <w:rsid w:val="2472D61A"/>
    <w:rsid w:val="24734606"/>
    <w:rsid w:val="2485B3F4"/>
    <w:rsid w:val="2491E7D1"/>
    <w:rsid w:val="2496DCE0"/>
    <w:rsid w:val="24A5C4AE"/>
    <w:rsid w:val="24AA6619"/>
    <w:rsid w:val="24C5D9F4"/>
    <w:rsid w:val="24CCD444"/>
    <w:rsid w:val="24E0D0AE"/>
    <w:rsid w:val="2505F872"/>
    <w:rsid w:val="252AAE1F"/>
    <w:rsid w:val="2545B4DD"/>
    <w:rsid w:val="255FBEE0"/>
    <w:rsid w:val="2565ABFF"/>
    <w:rsid w:val="25660A3C"/>
    <w:rsid w:val="2585E9D3"/>
    <w:rsid w:val="2587BDFD"/>
    <w:rsid w:val="2588A929"/>
    <w:rsid w:val="258931DD"/>
    <w:rsid w:val="25899FD0"/>
    <w:rsid w:val="258EC1EC"/>
    <w:rsid w:val="25B2AB95"/>
    <w:rsid w:val="25D2FE4E"/>
    <w:rsid w:val="25DA9C1C"/>
    <w:rsid w:val="25E64959"/>
    <w:rsid w:val="25E6C285"/>
    <w:rsid w:val="25F26E94"/>
    <w:rsid w:val="25FEB95A"/>
    <w:rsid w:val="260C0E02"/>
    <w:rsid w:val="2611B663"/>
    <w:rsid w:val="261E9D7A"/>
    <w:rsid w:val="2623D5AF"/>
    <w:rsid w:val="2630B27A"/>
    <w:rsid w:val="263A79E6"/>
    <w:rsid w:val="2644F343"/>
    <w:rsid w:val="26511755"/>
    <w:rsid w:val="2654CAF5"/>
    <w:rsid w:val="2656A35F"/>
    <w:rsid w:val="26654FEF"/>
    <w:rsid w:val="26762A5A"/>
    <w:rsid w:val="26884CC4"/>
    <w:rsid w:val="26E0C184"/>
    <w:rsid w:val="26E27649"/>
    <w:rsid w:val="26E70C4E"/>
    <w:rsid w:val="26E9559B"/>
    <w:rsid w:val="26FA7257"/>
    <w:rsid w:val="27280A25"/>
    <w:rsid w:val="27380BD9"/>
    <w:rsid w:val="273C03C5"/>
    <w:rsid w:val="274C5211"/>
    <w:rsid w:val="276088BE"/>
    <w:rsid w:val="27671611"/>
    <w:rsid w:val="276C1F70"/>
    <w:rsid w:val="278AB282"/>
    <w:rsid w:val="278AC356"/>
    <w:rsid w:val="27938029"/>
    <w:rsid w:val="27C436FD"/>
    <w:rsid w:val="27D4EC0B"/>
    <w:rsid w:val="27E0F4EF"/>
    <w:rsid w:val="27F0B97F"/>
    <w:rsid w:val="28016D6B"/>
    <w:rsid w:val="2818F2E5"/>
    <w:rsid w:val="288BFC6D"/>
    <w:rsid w:val="288E7CE2"/>
    <w:rsid w:val="28942627"/>
    <w:rsid w:val="28A1B399"/>
    <w:rsid w:val="28AB781F"/>
    <w:rsid w:val="28BB7A79"/>
    <w:rsid w:val="28BF278A"/>
    <w:rsid w:val="28C9D6D8"/>
    <w:rsid w:val="28D62054"/>
    <w:rsid w:val="28EC390D"/>
    <w:rsid w:val="28ECB35F"/>
    <w:rsid w:val="28FCA44B"/>
    <w:rsid w:val="29012728"/>
    <w:rsid w:val="290B0FB6"/>
    <w:rsid w:val="291768F5"/>
    <w:rsid w:val="293CD22F"/>
    <w:rsid w:val="294A9E5E"/>
    <w:rsid w:val="294DFB8E"/>
    <w:rsid w:val="294FA7B6"/>
    <w:rsid w:val="295989C3"/>
    <w:rsid w:val="296F5F72"/>
    <w:rsid w:val="2984705D"/>
    <w:rsid w:val="298767C4"/>
    <w:rsid w:val="2990863E"/>
    <w:rsid w:val="29A853DF"/>
    <w:rsid w:val="29DD7EFE"/>
    <w:rsid w:val="29E1F52B"/>
    <w:rsid w:val="29E9EEB7"/>
    <w:rsid w:val="29EA390E"/>
    <w:rsid w:val="2A0A0B38"/>
    <w:rsid w:val="2A1E0110"/>
    <w:rsid w:val="2A204758"/>
    <w:rsid w:val="2A29D249"/>
    <w:rsid w:val="2A3C2F9B"/>
    <w:rsid w:val="2A3EBD1A"/>
    <w:rsid w:val="2A402A19"/>
    <w:rsid w:val="2A51417F"/>
    <w:rsid w:val="2A5951C2"/>
    <w:rsid w:val="2A595AF6"/>
    <w:rsid w:val="2A902F77"/>
    <w:rsid w:val="2A953590"/>
    <w:rsid w:val="2AA23514"/>
    <w:rsid w:val="2AA26677"/>
    <w:rsid w:val="2AC23FE5"/>
    <w:rsid w:val="2ACC9449"/>
    <w:rsid w:val="2AF07F07"/>
    <w:rsid w:val="2AF2D18C"/>
    <w:rsid w:val="2B08AEBA"/>
    <w:rsid w:val="2B098A5F"/>
    <w:rsid w:val="2B18E1AD"/>
    <w:rsid w:val="2B23B541"/>
    <w:rsid w:val="2B30444D"/>
    <w:rsid w:val="2B333BB3"/>
    <w:rsid w:val="2B37989E"/>
    <w:rsid w:val="2B448ED1"/>
    <w:rsid w:val="2B5B3B10"/>
    <w:rsid w:val="2B5F7B3C"/>
    <w:rsid w:val="2B737C06"/>
    <w:rsid w:val="2B7D9C09"/>
    <w:rsid w:val="2B84211B"/>
    <w:rsid w:val="2B94A6A7"/>
    <w:rsid w:val="2BA2D769"/>
    <w:rsid w:val="2BACB46D"/>
    <w:rsid w:val="2BD5D1CA"/>
    <w:rsid w:val="2BD80A35"/>
    <w:rsid w:val="2BDA4D6E"/>
    <w:rsid w:val="2BF1070C"/>
    <w:rsid w:val="2BF10C74"/>
    <w:rsid w:val="2BFB19E3"/>
    <w:rsid w:val="2C15225D"/>
    <w:rsid w:val="2C1F9999"/>
    <w:rsid w:val="2C65D50D"/>
    <w:rsid w:val="2C80BBD8"/>
    <w:rsid w:val="2C8C6F88"/>
    <w:rsid w:val="2C9F1904"/>
    <w:rsid w:val="2CB03BD7"/>
    <w:rsid w:val="2CB2B220"/>
    <w:rsid w:val="2CB48D6D"/>
    <w:rsid w:val="2CBC5EC4"/>
    <w:rsid w:val="2CCA66EE"/>
    <w:rsid w:val="2CDC9176"/>
    <w:rsid w:val="2CDE159F"/>
    <w:rsid w:val="2CED5A3F"/>
    <w:rsid w:val="2CF7601B"/>
    <w:rsid w:val="2CFEC936"/>
    <w:rsid w:val="2CFF4A22"/>
    <w:rsid w:val="2D15F50E"/>
    <w:rsid w:val="2D1C0B06"/>
    <w:rsid w:val="2D284F99"/>
    <w:rsid w:val="2D41838F"/>
    <w:rsid w:val="2D4B6EE9"/>
    <w:rsid w:val="2D55CC63"/>
    <w:rsid w:val="2D6D1459"/>
    <w:rsid w:val="2D6F8FBF"/>
    <w:rsid w:val="2D732A63"/>
    <w:rsid w:val="2D77D73C"/>
    <w:rsid w:val="2DA6946C"/>
    <w:rsid w:val="2DB201D2"/>
    <w:rsid w:val="2DBD7591"/>
    <w:rsid w:val="2DC5E9C2"/>
    <w:rsid w:val="2DE04190"/>
    <w:rsid w:val="2DFFC2E8"/>
    <w:rsid w:val="2E01BFE3"/>
    <w:rsid w:val="2E0DBF36"/>
    <w:rsid w:val="2E0EB508"/>
    <w:rsid w:val="2E21F8E9"/>
    <w:rsid w:val="2E24EF16"/>
    <w:rsid w:val="2E30D930"/>
    <w:rsid w:val="2E3E870C"/>
    <w:rsid w:val="2E4E90CF"/>
    <w:rsid w:val="2E4EEDDF"/>
    <w:rsid w:val="2E5D0FF3"/>
    <w:rsid w:val="2E5FEC1F"/>
    <w:rsid w:val="2E6A69F1"/>
    <w:rsid w:val="2E83D920"/>
    <w:rsid w:val="2EAABE3E"/>
    <w:rsid w:val="2EAD3BC4"/>
    <w:rsid w:val="2EC7A17F"/>
    <w:rsid w:val="2ED84DC2"/>
    <w:rsid w:val="2EF6E231"/>
    <w:rsid w:val="2F108644"/>
    <w:rsid w:val="2F2FC00C"/>
    <w:rsid w:val="2F6F2E5D"/>
    <w:rsid w:val="2F8EE952"/>
    <w:rsid w:val="2FB3CA75"/>
    <w:rsid w:val="2FE1DE4A"/>
    <w:rsid w:val="2FE884DD"/>
    <w:rsid w:val="2FF2F935"/>
    <w:rsid w:val="30139FB4"/>
    <w:rsid w:val="3019798A"/>
    <w:rsid w:val="301A6872"/>
    <w:rsid w:val="3052C7D3"/>
    <w:rsid w:val="30550B87"/>
    <w:rsid w:val="305DD604"/>
    <w:rsid w:val="30628A78"/>
    <w:rsid w:val="306611ED"/>
    <w:rsid w:val="306FA897"/>
    <w:rsid w:val="30743EA6"/>
    <w:rsid w:val="307DB06D"/>
    <w:rsid w:val="30954512"/>
    <w:rsid w:val="30B4B489"/>
    <w:rsid w:val="30B72959"/>
    <w:rsid w:val="30B7ADB8"/>
    <w:rsid w:val="30C96E75"/>
    <w:rsid w:val="30EB8E14"/>
    <w:rsid w:val="31091F76"/>
    <w:rsid w:val="310991DD"/>
    <w:rsid w:val="310AB752"/>
    <w:rsid w:val="311DED1A"/>
    <w:rsid w:val="312622B0"/>
    <w:rsid w:val="31340B98"/>
    <w:rsid w:val="313B8661"/>
    <w:rsid w:val="314CCFCA"/>
    <w:rsid w:val="3151BFA1"/>
    <w:rsid w:val="316206DF"/>
    <w:rsid w:val="316C3304"/>
    <w:rsid w:val="3172F13B"/>
    <w:rsid w:val="318C626E"/>
    <w:rsid w:val="319CDF35"/>
    <w:rsid w:val="31AD176C"/>
    <w:rsid w:val="31C0A25B"/>
    <w:rsid w:val="31C915FC"/>
    <w:rsid w:val="31CD6A0C"/>
    <w:rsid w:val="31DB133D"/>
    <w:rsid w:val="31F7172C"/>
    <w:rsid w:val="3208CDB1"/>
    <w:rsid w:val="32127744"/>
    <w:rsid w:val="32244A82"/>
    <w:rsid w:val="32251D42"/>
    <w:rsid w:val="3236458E"/>
    <w:rsid w:val="32369E8E"/>
    <w:rsid w:val="323756A8"/>
    <w:rsid w:val="32394777"/>
    <w:rsid w:val="326819C1"/>
    <w:rsid w:val="3274A551"/>
    <w:rsid w:val="3275C7C7"/>
    <w:rsid w:val="328385AF"/>
    <w:rsid w:val="32854F0C"/>
    <w:rsid w:val="328B0C24"/>
    <w:rsid w:val="328B9EE8"/>
    <w:rsid w:val="3291F420"/>
    <w:rsid w:val="329D373A"/>
    <w:rsid w:val="32B36418"/>
    <w:rsid w:val="32BCEB28"/>
    <w:rsid w:val="32C7B93E"/>
    <w:rsid w:val="32E6195F"/>
    <w:rsid w:val="32E8BF65"/>
    <w:rsid w:val="32ED00C3"/>
    <w:rsid w:val="32F1CB55"/>
    <w:rsid w:val="32FF20C4"/>
    <w:rsid w:val="3307D691"/>
    <w:rsid w:val="3317BD30"/>
    <w:rsid w:val="3343F985"/>
    <w:rsid w:val="334CB5E8"/>
    <w:rsid w:val="336415F9"/>
    <w:rsid w:val="336E58B2"/>
    <w:rsid w:val="337CC5E1"/>
    <w:rsid w:val="337FD2B9"/>
    <w:rsid w:val="3386C106"/>
    <w:rsid w:val="3394CE84"/>
    <w:rsid w:val="33AD1137"/>
    <w:rsid w:val="33BEBB98"/>
    <w:rsid w:val="33BF3DE7"/>
    <w:rsid w:val="33C274D5"/>
    <w:rsid w:val="33F469CD"/>
    <w:rsid w:val="33FAF281"/>
    <w:rsid w:val="34187E3C"/>
    <w:rsid w:val="341CFA55"/>
    <w:rsid w:val="3424F92A"/>
    <w:rsid w:val="34334344"/>
    <w:rsid w:val="34412C7E"/>
    <w:rsid w:val="34492E71"/>
    <w:rsid w:val="34498960"/>
    <w:rsid w:val="3463D9AA"/>
    <w:rsid w:val="346DE35E"/>
    <w:rsid w:val="348C96E2"/>
    <w:rsid w:val="349143C6"/>
    <w:rsid w:val="349EB98F"/>
    <w:rsid w:val="34EA5E2F"/>
    <w:rsid w:val="34EDAD25"/>
    <w:rsid w:val="350FD812"/>
    <w:rsid w:val="351E104A"/>
    <w:rsid w:val="352476A1"/>
    <w:rsid w:val="353F813B"/>
    <w:rsid w:val="355203F4"/>
    <w:rsid w:val="3556C9A4"/>
    <w:rsid w:val="3589B29B"/>
    <w:rsid w:val="35A4A182"/>
    <w:rsid w:val="35AD9B48"/>
    <w:rsid w:val="35B2052F"/>
    <w:rsid w:val="35CD99AC"/>
    <w:rsid w:val="35CFF2B8"/>
    <w:rsid w:val="35D895C0"/>
    <w:rsid w:val="35DE9319"/>
    <w:rsid w:val="35E9AF6E"/>
    <w:rsid w:val="35FC3886"/>
    <w:rsid w:val="35FDA1B0"/>
    <w:rsid w:val="36289417"/>
    <w:rsid w:val="362D973C"/>
    <w:rsid w:val="364138D1"/>
    <w:rsid w:val="3645BD15"/>
    <w:rsid w:val="365FDDAE"/>
    <w:rsid w:val="36720343"/>
    <w:rsid w:val="368190D6"/>
    <w:rsid w:val="368D5039"/>
    <w:rsid w:val="36989E5B"/>
    <w:rsid w:val="36A7E0DA"/>
    <w:rsid w:val="36B0C573"/>
    <w:rsid w:val="36BFBD0D"/>
    <w:rsid w:val="36D8AA1A"/>
    <w:rsid w:val="36DB8F61"/>
    <w:rsid w:val="36EE2B0A"/>
    <w:rsid w:val="3703BD0B"/>
    <w:rsid w:val="370469FF"/>
    <w:rsid w:val="37353462"/>
    <w:rsid w:val="37515AB1"/>
    <w:rsid w:val="3752E2DC"/>
    <w:rsid w:val="378345F0"/>
    <w:rsid w:val="37969AC0"/>
    <w:rsid w:val="379AAF35"/>
    <w:rsid w:val="37A43E13"/>
    <w:rsid w:val="37B40221"/>
    <w:rsid w:val="37E5D6C9"/>
    <w:rsid w:val="37F68844"/>
    <w:rsid w:val="38084669"/>
    <w:rsid w:val="382AEC74"/>
    <w:rsid w:val="38381808"/>
    <w:rsid w:val="384ED51D"/>
    <w:rsid w:val="386A54CE"/>
    <w:rsid w:val="38703622"/>
    <w:rsid w:val="38800305"/>
    <w:rsid w:val="38BBCAA0"/>
    <w:rsid w:val="38C102A5"/>
    <w:rsid w:val="38C2E867"/>
    <w:rsid w:val="39477F2F"/>
    <w:rsid w:val="39B8A4E8"/>
    <w:rsid w:val="39BE2335"/>
    <w:rsid w:val="3A2A6F85"/>
    <w:rsid w:val="3A2AFE72"/>
    <w:rsid w:val="3A326C9C"/>
    <w:rsid w:val="3A338898"/>
    <w:rsid w:val="3A3B07E9"/>
    <w:rsid w:val="3A4947DA"/>
    <w:rsid w:val="3A76AFDD"/>
    <w:rsid w:val="3A8343ED"/>
    <w:rsid w:val="3AB030FE"/>
    <w:rsid w:val="3AB4540F"/>
    <w:rsid w:val="3AE388E8"/>
    <w:rsid w:val="3AEC4AAF"/>
    <w:rsid w:val="3AF7F028"/>
    <w:rsid w:val="3AF8178C"/>
    <w:rsid w:val="3B064921"/>
    <w:rsid w:val="3B1FAFD2"/>
    <w:rsid w:val="3B285AA4"/>
    <w:rsid w:val="3B381964"/>
    <w:rsid w:val="3B38E6C3"/>
    <w:rsid w:val="3B43A345"/>
    <w:rsid w:val="3B5464BC"/>
    <w:rsid w:val="3B84B868"/>
    <w:rsid w:val="3B91B89C"/>
    <w:rsid w:val="3B96B8DA"/>
    <w:rsid w:val="3B9C9807"/>
    <w:rsid w:val="3BA8B9C1"/>
    <w:rsid w:val="3BAE612D"/>
    <w:rsid w:val="3BBF97D2"/>
    <w:rsid w:val="3BD14ECC"/>
    <w:rsid w:val="3BE720E3"/>
    <w:rsid w:val="3BFC16AD"/>
    <w:rsid w:val="3C06E495"/>
    <w:rsid w:val="3C0722CF"/>
    <w:rsid w:val="3C0877B8"/>
    <w:rsid w:val="3C091A40"/>
    <w:rsid w:val="3C168CEC"/>
    <w:rsid w:val="3C2170B0"/>
    <w:rsid w:val="3C247213"/>
    <w:rsid w:val="3C303983"/>
    <w:rsid w:val="3C3D0C41"/>
    <w:rsid w:val="3C625518"/>
    <w:rsid w:val="3CAFC335"/>
    <w:rsid w:val="3CCE85E0"/>
    <w:rsid w:val="3CD189BD"/>
    <w:rsid w:val="3CEF12EB"/>
    <w:rsid w:val="3D1759FA"/>
    <w:rsid w:val="3D1D43A9"/>
    <w:rsid w:val="3D24239D"/>
    <w:rsid w:val="3D464E61"/>
    <w:rsid w:val="3D537C8D"/>
    <w:rsid w:val="3D74CE59"/>
    <w:rsid w:val="3D798939"/>
    <w:rsid w:val="3D8214FE"/>
    <w:rsid w:val="3D8A7F1F"/>
    <w:rsid w:val="3D925AE1"/>
    <w:rsid w:val="3D9B7DF7"/>
    <w:rsid w:val="3D9BA396"/>
    <w:rsid w:val="3DE7814A"/>
    <w:rsid w:val="3DEB6427"/>
    <w:rsid w:val="3DF1B3DB"/>
    <w:rsid w:val="3DF4E533"/>
    <w:rsid w:val="3E72852E"/>
    <w:rsid w:val="3E8659DB"/>
    <w:rsid w:val="3E8AA773"/>
    <w:rsid w:val="3E8CDCE1"/>
    <w:rsid w:val="3E97CB87"/>
    <w:rsid w:val="3EC7FFD0"/>
    <w:rsid w:val="3EC92156"/>
    <w:rsid w:val="3EE7CCC8"/>
    <w:rsid w:val="3EED27B9"/>
    <w:rsid w:val="3F0AED24"/>
    <w:rsid w:val="3F146D0F"/>
    <w:rsid w:val="3F1629C3"/>
    <w:rsid w:val="3F3082C5"/>
    <w:rsid w:val="3F38420F"/>
    <w:rsid w:val="3F38773B"/>
    <w:rsid w:val="3F5A99E6"/>
    <w:rsid w:val="3F720616"/>
    <w:rsid w:val="3F8254EA"/>
    <w:rsid w:val="3F88CC0B"/>
    <w:rsid w:val="3F8C3BC1"/>
    <w:rsid w:val="3F942577"/>
    <w:rsid w:val="3F999991"/>
    <w:rsid w:val="3F9EDA05"/>
    <w:rsid w:val="3FA00596"/>
    <w:rsid w:val="3FA15986"/>
    <w:rsid w:val="3FB6AFA4"/>
    <w:rsid w:val="3FD5DF73"/>
    <w:rsid w:val="3FF888C3"/>
    <w:rsid w:val="401A741D"/>
    <w:rsid w:val="401B0141"/>
    <w:rsid w:val="40272878"/>
    <w:rsid w:val="402BF490"/>
    <w:rsid w:val="40455D22"/>
    <w:rsid w:val="40576622"/>
    <w:rsid w:val="4094CFC8"/>
    <w:rsid w:val="409C2818"/>
    <w:rsid w:val="409E4485"/>
    <w:rsid w:val="40A04D2C"/>
    <w:rsid w:val="40A225DF"/>
    <w:rsid w:val="40A7F43E"/>
    <w:rsid w:val="40AC5D5E"/>
    <w:rsid w:val="40FE5CC5"/>
    <w:rsid w:val="41051A12"/>
    <w:rsid w:val="4120C969"/>
    <w:rsid w:val="414B891A"/>
    <w:rsid w:val="4160C394"/>
    <w:rsid w:val="41690099"/>
    <w:rsid w:val="416DCD47"/>
    <w:rsid w:val="4175CF0C"/>
    <w:rsid w:val="417ECAF0"/>
    <w:rsid w:val="419E8D8C"/>
    <w:rsid w:val="419EA848"/>
    <w:rsid w:val="41AA9116"/>
    <w:rsid w:val="41ACA60C"/>
    <w:rsid w:val="41ADE963"/>
    <w:rsid w:val="41BE8B4A"/>
    <w:rsid w:val="41C3A640"/>
    <w:rsid w:val="41C46079"/>
    <w:rsid w:val="41E9A8EF"/>
    <w:rsid w:val="41F859A7"/>
    <w:rsid w:val="41F97F64"/>
    <w:rsid w:val="42014BC2"/>
    <w:rsid w:val="42106319"/>
    <w:rsid w:val="421B7125"/>
    <w:rsid w:val="4233E418"/>
    <w:rsid w:val="423D4592"/>
    <w:rsid w:val="42473E08"/>
    <w:rsid w:val="424A984B"/>
    <w:rsid w:val="42605D8D"/>
    <w:rsid w:val="4263A7C3"/>
    <w:rsid w:val="42652392"/>
    <w:rsid w:val="426D7B35"/>
    <w:rsid w:val="428E078E"/>
    <w:rsid w:val="42963247"/>
    <w:rsid w:val="42B9A63C"/>
    <w:rsid w:val="42C28A6D"/>
    <w:rsid w:val="42C899C8"/>
    <w:rsid w:val="42E12486"/>
    <w:rsid w:val="42EC3D3F"/>
    <w:rsid w:val="42ED57C9"/>
    <w:rsid w:val="42FF0EBB"/>
    <w:rsid w:val="4308BFD0"/>
    <w:rsid w:val="430D1C06"/>
    <w:rsid w:val="431F4EC7"/>
    <w:rsid w:val="4335582B"/>
    <w:rsid w:val="433F6029"/>
    <w:rsid w:val="4348C64C"/>
    <w:rsid w:val="43779AA4"/>
    <w:rsid w:val="438211DC"/>
    <w:rsid w:val="439BD5BA"/>
    <w:rsid w:val="43AA763D"/>
    <w:rsid w:val="43B993D7"/>
    <w:rsid w:val="43D1F91D"/>
    <w:rsid w:val="43D9A798"/>
    <w:rsid w:val="43E1009B"/>
    <w:rsid w:val="43ED0C8A"/>
    <w:rsid w:val="43F56301"/>
    <w:rsid w:val="43FC5A6D"/>
    <w:rsid w:val="4415CD9E"/>
    <w:rsid w:val="441D64B9"/>
    <w:rsid w:val="44208EAB"/>
    <w:rsid w:val="442180E5"/>
    <w:rsid w:val="44240AA3"/>
    <w:rsid w:val="442F30EC"/>
    <w:rsid w:val="44327D46"/>
    <w:rsid w:val="44349B6A"/>
    <w:rsid w:val="4441CB79"/>
    <w:rsid w:val="4442D472"/>
    <w:rsid w:val="4456CE75"/>
    <w:rsid w:val="446D642A"/>
    <w:rsid w:val="4475583F"/>
    <w:rsid w:val="44768BEC"/>
    <w:rsid w:val="447AEC89"/>
    <w:rsid w:val="447BD4C0"/>
    <w:rsid w:val="447FDE0A"/>
    <w:rsid w:val="44A16B79"/>
    <w:rsid w:val="44B4EC9F"/>
    <w:rsid w:val="44B52123"/>
    <w:rsid w:val="44C039A4"/>
    <w:rsid w:val="44D161ED"/>
    <w:rsid w:val="44D4AFB7"/>
    <w:rsid w:val="44DE0519"/>
    <w:rsid w:val="44F379CD"/>
    <w:rsid w:val="44F95C9B"/>
    <w:rsid w:val="4507A059"/>
    <w:rsid w:val="450E4DD6"/>
    <w:rsid w:val="452A156B"/>
    <w:rsid w:val="45301126"/>
    <w:rsid w:val="454B0767"/>
    <w:rsid w:val="454CF0C9"/>
    <w:rsid w:val="45565183"/>
    <w:rsid w:val="4557C635"/>
    <w:rsid w:val="458BBE9D"/>
    <w:rsid w:val="45A1EFCA"/>
    <w:rsid w:val="45AF7226"/>
    <w:rsid w:val="45B0799D"/>
    <w:rsid w:val="45C20555"/>
    <w:rsid w:val="45D5D0ED"/>
    <w:rsid w:val="45E0BB93"/>
    <w:rsid w:val="45E818B8"/>
    <w:rsid w:val="462684B8"/>
    <w:rsid w:val="462B4C80"/>
    <w:rsid w:val="463DA53F"/>
    <w:rsid w:val="46400013"/>
    <w:rsid w:val="464CFDF9"/>
    <w:rsid w:val="464D770B"/>
    <w:rsid w:val="46598560"/>
    <w:rsid w:val="4661DBCB"/>
    <w:rsid w:val="4667F33C"/>
    <w:rsid w:val="466AF85B"/>
    <w:rsid w:val="466D8457"/>
    <w:rsid w:val="467DBFE4"/>
    <w:rsid w:val="467E6035"/>
    <w:rsid w:val="46AB4B4F"/>
    <w:rsid w:val="4703B556"/>
    <w:rsid w:val="47103990"/>
    <w:rsid w:val="4718E9A7"/>
    <w:rsid w:val="471AD49B"/>
    <w:rsid w:val="4735EA18"/>
    <w:rsid w:val="474CC04A"/>
    <w:rsid w:val="47675DED"/>
    <w:rsid w:val="476E393E"/>
    <w:rsid w:val="477671C0"/>
    <w:rsid w:val="478E9F4A"/>
    <w:rsid w:val="478F81EC"/>
    <w:rsid w:val="47A53142"/>
    <w:rsid w:val="47AF1922"/>
    <w:rsid w:val="47C90333"/>
    <w:rsid w:val="47CB9C96"/>
    <w:rsid w:val="47FE0FE7"/>
    <w:rsid w:val="48013FAC"/>
    <w:rsid w:val="480CD12E"/>
    <w:rsid w:val="48140262"/>
    <w:rsid w:val="481924C5"/>
    <w:rsid w:val="482743F9"/>
    <w:rsid w:val="4839A4E8"/>
    <w:rsid w:val="4846F112"/>
    <w:rsid w:val="4847680B"/>
    <w:rsid w:val="4865738B"/>
    <w:rsid w:val="487305D9"/>
    <w:rsid w:val="4876FC45"/>
    <w:rsid w:val="4884E405"/>
    <w:rsid w:val="488D27F8"/>
    <w:rsid w:val="48B7D191"/>
    <w:rsid w:val="48C3352F"/>
    <w:rsid w:val="48D1F7B9"/>
    <w:rsid w:val="48D4D723"/>
    <w:rsid w:val="48D7C9AE"/>
    <w:rsid w:val="48DA49AD"/>
    <w:rsid w:val="48EE27C1"/>
    <w:rsid w:val="48EF2BBF"/>
    <w:rsid w:val="48FC0C9D"/>
    <w:rsid w:val="49107BE4"/>
    <w:rsid w:val="493EC437"/>
    <w:rsid w:val="49439C43"/>
    <w:rsid w:val="494EE4D6"/>
    <w:rsid w:val="4955154C"/>
    <w:rsid w:val="4978F479"/>
    <w:rsid w:val="49794FAD"/>
    <w:rsid w:val="497EB303"/>
    <w:rsid w:val="498C8FED"/>
    <w:rsid w:val="499CF2A2"/>
    <w:rsid w:val="49A9EED1"/>
    <w:rsid w:val="49BAD884"/>
    <w:rsid w:val="49C9CD26"/>
    <w:rsid w:val="49D84AAD"/>
    <w:rsid w:val="49D983F3"/>
    <w:rsid w:val="49E1A99B"/>
    <w:rsid w:val="49FD3EA0"/>
    <w:rsid w:val="4A1A2541"/>
    <w:rsid w:val="4A22D0FE"/>
    <w:rsid w:val="4A254F0B"/>
    <w:rsid w:val="4A29F270"/>
    <w:rsid w:val="4A8BAE87"/>
    <w:rsid w:val="4A8BB25C"/>
    <w:rsid w:val="4A96F805"/>
    <w:rsid w:val="4AA7C28F"/>
    <w:rsid w:val="4AADD212"/>
    <w:rsid w:val="4B144EF9"/>
    <w:rsid w:val="4B3249DC"/>
    <w:rsid w:val="4B384AFC"/>
    <w:rsid w:val="4B559CC2"/>
    <w:rsid w:val="4B583953"/>
    <w:rsid w:val="4B59ED25"/>
    <w:rsid w:val="4B66E3C0"/>
    <w:rsid w:val="4B6A1012"/>
    <w:rsid w:val="4B73F135"/>
    <w:rsid w:val="4B7DC503"/>
    <w:rsid w:val="4B7FA433"/>
    <w:rsid w:val="4B82E54B"/>
    <w:rsid w:val="4B8827DE"/>
    <w:rsid w:val="4B90BA0D"/>
    <w:rsid w:val="4BA8BDF1"/>
    <w:rsid w:val="4BAE0A5B"/>
    <w:rsid w:val="4BBC4F12"/>
    <w:rsid w:val="4BC71A7B"/>
    <w:rsid w:val="4BCD7274"/>
    <w:rsid w:val="4BCF3032"/>
    <w:rsid w:val="4BDB37B9"/>
    <w:rsid w:val="4BE9E773"/>
    <w:rsid w:val="4C12E324"/>
    <w:rsid w:val="4C215E62"/>
    <w:rsid w:val="4C38F8BC"/>
    <w:rsid w:val="4C421490"/>
    <w:rsid w:val="4C556564"/>
    <w:rsid w:val="4C572C7D"/>
    <w:rsid w:val="4C5AC583"/>
    <w:rsid w:val="4C60149C"/>
    <w:rsid w:val="4C6235AE"/>
    <w:rsid w:val="4C7793FE"/>
    <w:rsid w:val="4C7DD674"/>
    <w:rsid w:val="4C9BD003"/>
    <w:rsid w:val="4CBA56E7"/>
    <w:rsid w:val="4CC0A0E9"/>
    <w:rsid w:val="4CE66FAF"/>
    <w:rsid w:val="4D01250D"/>
    <w:rsid w:val="4D045442"/>
    <w:rsid w:val="4D083B42"/>
    <w:rsid w:val="4D342219"/>
    <w:rsid w:val="4D3FE761"/>
    <w:rsid w:val="4D469AF0"/>
    <w:rsid w:val="4D5D3D76"/>
    <w:rsid w:val="4D84F81C"/>
    <w:rsid w:val="4D88CAB9"/>
    <w:rsid w:val="4D8A6650"/>
    <w:rsid w:val="4D979255"/>
    <w:rsid w:val="4D9DD6F1"/>
    <w:rsid w:val="4DA05464"/>
    <w:rsid w:val="4DAFEFC2"/>
    <w:rsid w:val="4DDB3790"/>
    <w:rsid w:val="4DF2934A"/>
    <w:rsid w:val="4DF42664"/>
    <w:rsid w:val="4E05099B"/>
    <w:rsid w:val="4E15E748"/>
    <w:rsid w:val="4E175290"/>
    <w:rsid w:val="4E28C044"/>
    <w:rsid w:val="4E4CA0C5"/>
    <w:rsid w:val="4E4E3BC4"/>
    <w:rsid w:val="4E527EC1"/>
    <w:rsid w:val="4E56EB2E"/>
    <w:rsid w:val="4E703FFB"/>
    <w:rsid w:val="4E891BC9"/>
    <w:rsid w:val="4E97E92A"/>
    <w:rsid w:val="4E9CD9BA"/>
    <w:rsid w:val="4E9EEF6F"/>
    <w:rsid w:val="4EA124A3"/>
    <w:rsid w:val="4EADF651"/>
    <w:rsid w:val="4ECCC8EA"/>
    <w:rsid w:val="4ED07ADC"/>
    <w:rsid w:val="4ED1CD43"/>
    <w:rsid w:val="4EE68521"/>
    <w:rsid w:val="4EEDD472"/>
    <w:rsid w:val="4F2584BF"/>
    <w:rsid w:val="4F786A45"/>
    <w:rsid w:val="4FBA0CB2"/>
    <w:rsid w:val="4FBCFCF0"/>
    <w:rsid w:val="4FCE92B2"/>
    <w:rsid w:val="4FE478F8"/>
    <w:rsid w:val="4FFD7CBB"/>
    <w:rsid w:val="500909D1"/>
    <w:rsid w:val="5017E751"/>
    <w:rsid w:val="50284CF4"/>
    <w:rsid w:val="5032CC4D"/>
    <w:rsid w:val="5038716E"/>
    <w:rsid w:val="50472154"/>
    <w:rsid w:val="5088F01D"/>
    <w:rsid w:val="509D57B9"/>
    <w:rsid w:val="50AB9F5D"/>
    <w:rsid w:val="50AC5A11"/>
    <w:rsid w:val="50BA3E30"/>
    <w:rsid w:val="50C03357"/>
    <w:rsid w:val="50C81BD6"/>
    <w:rsid w:val="50CBEDD7"/>
    <w:rsid w:val="50E313EA"/>
    <w:rsid w:val="50F7B5C9"/>
    <w:rsid w:val="5108AB94"/>
    <w:rsid w:val="5114567E"/>
    <w:rsid w:val="5118943F"/>
    <w:rsid w:val="5132921A"/>
    <w:rsid w:val="513F67F6"/>
    <w:rsid w:val="51433E2C"/>
    <w:rsid w:val="514CD2C3"/>
    <w:rsid w:val="5152AE70"/>
    <w:rsid w:val="51778909"/>
    <w:rsid w:val="517D2FF2"/>
    <w:rsid w:val="5180EF24"/>
    <w:rsid w:val="5185AAC7"/>
    <w:rsid w:val="5188849B"/>
    <w:rsid w:val="51BBC32A"/>
    <w:rsid w:val="51BC01E2"/>
    <w:rsid w:val="51C87476"/>
    <w:rsid w:val="51D76C2A"/>
    <w:rsid w:val="51DDAE4E"/>
    <w:rsid w:val="51E4A15B"/>
    <w:rsid w:val="51EEE8A7"/>
    <w:rsid w:val="51FAE4CB"/>
    <w:rsid w:val="520912A5"/>
    <w:rsid w:val="52225766"/>
    <w:rsid w:val="52375395"/>
    <w:rsid w:val="5246522E"/>
    <w:rsid w:val="5255CEAC"/>
    <w:rsid w:val="5270C9D0"/>
    <w:rsid w:val="5273DFBC"/>
    <w:rsid w:val="527CC7DE"/>
    <w:rsid w:val="52AB77B6"/>
    <w:rsid w:val="52B0E713"/>
    <w:rsid w:val="52B669C8"/>
    <w:rsid w:val="52BE513F"/>
    <w:rsid w:val="52DB5F87"/>
    <w:rsid w:val="52DEF310"/>
    <w:rsid w:val="52F4152B"/>
    <w:rsid w:val="52F663D8"/>
    <w:rsid w:val="52FFE3AA"/>
    <w:rsid w:val="530584F4"/>
    <w:rsid w:val="5316CA41"/>
    <w:rsid w:val="531D16BB"/>
    <w:rsid w:val="5328E728"/>
    <w:rsid w:val="532B4FB8"/>
    <w:rsid w:val="5348F3A6"/>
    <w:rsid w:val="5364621D"/>
    <w:rsid w:val="5366DE87"/>
    <w:rsid w:val="536A4AF8"/>
    <w:rsid w:val="53798426"/>
    <w:rsid w:val="537DA9D3"/>
    <w:rsid w:val="539E997A"/>
    <w:rsid w:val="53B1E3EC"/>
    <w:rsid w:val="53BC6227"/>
    <w:rsid w:val="53C4DBB0"/>
    <w:rsid w:val="53CAD0C2"/>
    <w:rsid w:val="53D2CD6A"/>
    <w:rsid w:val="53DAAC32"/>
    <w:rsid w:val="53F9D683"/>
    <w:rsid w:val="543765F1"/>
    <w:rsid w:val="544348B8"/>
    <w:rsid w:val="54446BA4"/>
    <w:rsid w:val="545604CE"/>
    <w:rsid w:val="545F8F7B"/>
    <w:rsid w:val="547D705C"/>
    <w:rsid w:val="5480DD2B"/>
    <w:rsid w:val="54858D6D"/>
    <w:rsid w:val="548C6B65"/>
    <w:rsid w:val="549A3941"/>
    <w:rsid w:val="54A0E75E"/>
    <w:rsid w:val="54A99F67"/>
    <w:rsid w:val="54A9EE20"/>
    <w:rsid w:val="54C01230"/>
    <w:rsid w:val="54C4A233"/>
    <w:rsid w:val="54CDBF14"/>
    <w:rsid w:val="54D06DE7"/>
    <w:rsid w:val="54F38942"/>
    <w:rsid w:val="55131A7D"/>
    <w:rsid w:val="5514892E"/>
    <w:rsid w:val="55152518"/>
    <w:rsid w:val="5522188C"/>
    <w:rsid w:val="55258004"/>
    <w:rsid w:val="554757A1"/>
    <w:rsid w:val="557BBE69"/>
    <w:rsid w:val="5588F55A"/>
    <w:rsid w:val="558F71E0"/>
    <w:rsid w:val="55906E42"/>
    <w:rsid w:val="55AF3361"/>
    <w:rsid w:val="55BAC008"/>
    <w:rsid w:val="55BB5911"/>
    <w:rsid w:val="55D0F67A"/>
    <w:rsid w:val="55E4C00C"/>
    <w:rsid w:val="5604B5F6"/>
    <w:rsid w:val="560A0238"/>
    <w:rsid w:val="560E23EF"/>
    <w:rsid w:val="56134596"/>
    <w:rsid w:val="56706D60"/>
    <w:rsid w:val="5684B111"/>
    <w:rsid w:val="5687EE28"/>
    <w:rsid w:val="568E609A"/>
    <w:rsid w:val="56D454D9"/>
    <w:rsid w:val="56D68530"/>
    <w:rsid w:val="56D83A55"/>
    <w:rsid w:val="56D8A0D9"/>
    <w:rsid w:val="56DF3643"/>
    <w:rsid w:val="56E28D49"/>
    <w:rsid w:val="56EB934B"/>
    <w:rsid w:val="56F0FE4A"/>
    <w:rsid w:val="57057B6A"/>
    <w:rsid w:val="57167686"/>
    <w:rsid w:val="572CC013"/>
    <w:rsid w:val="573B84C3"/>
    <w:rsid w:val="5743415F"/>
    <w:rsid w:val="57481753"/>
    <w:rsid w:val="5763D850"/>
    <w:rsid w:val="57664ED7"/>
    <w:rsid w:val="57ABA4C1"/>
    <w:rsid w:val="57CDF92E"/>
    <w:rsid w:val="57CE73BA"/>
    <w:rsid w:val="57D35320"/>
    <w:rsid w:val="57FEE0E6"/>
    <w:rsid w:val="5813ABEC"/>
    <w:rsid w:val="58230425"/>
    <w:rsid w:val="5836CD6C"/>
    <w:rsid w:val="5859F5C2"/>
    <w:rsid w:val="585F4E33"/>
    <w:rsid w:val="58632270"/>
    <w:rsid w:val="587B13D8"/>
    <w:rsid w:val="5885B7D0"/>
    <w:rsid w:val="588A564A"/>
    <w:rsid w:val="589391DA"/>
    <w:rsid w:val="589D44EB"/>
    <w:rsid w:val="58B64127"/>
    <w:rsid w:val="58BCEF00"/>
    <w:rsid w:val="58C36815"/>
    <w:rsid w:val="58D57074"/>
    <w:rsid w:val="58E12C91"/>
    <w:rsid w:val="58F7533E"/>
    <w:rsid w:val="58FC9290"/>
    <w:rsid w:val="590B4A57"/>
    <w:rsid w:val="592D92D3"/>
    <w:rsid w:val="594727A4"/>
    <w:rsid w:val="595D9BFC"/>
    <w:rsid w:val="59622107"/>
    <w:rsid w:val="59665520"/>
    <w:rsid w:val="5985C316"/>
    <w:rsid w:val="59A71D50"/>
    <w:rsid w:val="59BF975E"/>
    <w:rsid w:val="59C134BD"/>
    <w:rsid w:val="59C89C52"/>
    <w:rsid w:val="59D8A085"/>
    <w:rsid w:val="59E312F1"/>
    <w:rsid w:val="59E9708E"/>
    <w:rsid w:val="59F3F7E7"/>
    <w:rsid w:val="5A16C1D5"/>
    <w:rsid w:val="5A36AC47"/>
    <w:rsid w:val="5A7C27E1"/>
    <w:rsid w:val="5A949F8D"/>
    <w:rsid w:val="5AA63CD8"/>
    <w:rsid w:val="5AE260CF"/>
    <w:rsid w:val="5AE95D17"/>
    <w:rsid w:val="5B049B27"/>
    <w:rsid w:val="5B0E2407"/>
    <w:rsid w:val="5B28601D"/>
    <w:rsid w:val="5B380D3D"/>
    <w:rsid w:val="5B6388E4"/>
    <w:rsid w:val="5B64FF91"/>
    <w:rsid w:val="5B832445"/>
    <w:rsid w:val="5B8D431F"/>
    <w:rsid w:val="5B934E13"/>
    <w:rsid w:val="5B97DA44"/>
    <w:rsid w:val="5BAA4FD1"/>
    <w:rsid w:val="5BC6C87A"/>
    <w:rsid w:val="5BCD35B4"/>
    <w:rsid w:val="5BD6B1EB"/>
    <w:rsid w:val="5BDA6417"/>
    <w:rsid w:val="5BE2DDF2"/>
    <w:rsid w:val="5BF40370"/>
    <w:rsid w:val="5C0307A2"/>
    <w:rsid w:val="5C103932"/>
    <w:rsid w:val="5C3F3C7F"/>
    <w:rsid w:val="5C5E4E7A"/>
    <w:rsid w:val="5C8C0FB4"/>
    <w:rsid w:val="5C943F4C"/>
    <w:rsid w:val="5C959675"/>
    <w:rsid w:val="5CA7E50C"/>
    <w:rsid w:val="5CAAA5B4"/>
    <w:rsid w:val="5CC32596"/>
    <w:rsid w:val="5CD7542D"/>
    <w:rsid w:val="5CDDBBD8"/>
    <w:rsid w:val="5CE60A42"/>
    <w:rsid w:val="5CED7321"/>
    <w:rsid w:val="5D197541"/>
    <w:rsid w:val="5D5CCB7E"/>
    <w:rsid w:val="5D711FA1"/>
    <w:rsid w:val="5D8556D3"/>
    <w:rsid w:val="5DAAF9B9"/>
    <w:rsid w:val="5DADC866"/>
    <w:rsid w:val="5DD6BFD7"/>
    <w:rsid w:val="5DDE98A9"/>
    <w:rsid w:val="5DE0867D"/>
    <w:rsid w:val="5DE4D32B"/>
    <w:rsid w:val="5DEA3B9A"/>
    <w:rsid w:val="5DF59D46"/>
    <w:rsid w:val="5DFB61F3"/>
    <w:rsid w:val="5E0F4DC0"/>
    <w:rsid w:val="5E1E0738"/>
    <w:rsid w:val="5E3A35F6"/>
    <w:rsid w:val="5E557CDF"/>
    <w:rsid w:val="5E70AFD9"/>
    <w:rsid w:val="5E75610D"/>
    <w:rsid w:val="5E7ECAFD"/>
    <w:rsid w:val="5E82E374"/>
    <w:rsid w:val="5E841721"/>
    <w:rsid w:val="5E87FDE3"/>
    <w:rsid w:val="5E9EF5E8"/>
    <w:rsid w:val="5EA939D1"/>
    <w:rsid w:val="5EAFD38E"/>
    <w:rsid w:val="5EE18379"/>
    <w:rsid w:val="5F00F668"/>
    <w:rsid w:val="5F022472"/>
    <w:rsid w:val="5F19D86F"/>
    <w:rsid w:val="5F3462D4"/>
    <w:rsid w:val="5F383CD7"/>
    <w:rsid w:val="5F5DAF70"/>
    <w:rsid w:val="5F64AEC8"/>
    <w:rsid w:val="5F696E6C"/>
    <w:rsid w:val="5F6D2045"/>
    <w:rsid w:val="5F81A4B3"/>
    <w:rsid w:val="5F89A32C"/>
    <w:rsid w:val="5F954E60"/>
    <w:rsid w:val="5FAB1F1B"/>
    <w:rsid w:val="5FAEED10"/>
    <w:rsid w:val="5FB1BDD4"/>
    <w:rsid w:val="5FC2A773"/>
    <w:rsid w:val="5FC8837A"/>
    <w:rsid w:val="5FD407A4"/>
    <w:rsid w:val="5FE6E79B"/>
    <w:rsid w:val="5FE8CEF7"/>
    <w:rsid w:val="60125946"/>
    <w:rsid w:val="6012F73B"/>
    <w:rsid w:val="60194CF7"/>
    <w:rsid w:val="601EF36D"/>
    <w:rsid w:val="60242C78"/>
    <w:rsid w:val="6025451C"/>
    <w:rsid w:val="602607DE"/>
    <w:rsid w:val="6026780C"/>
    <w:rsid w:val="6061E773"/>
    <w:rsid w:val="608894EC"/>
    <w:rsid w:val="60913D12"/>
    <w:rsid w:val="60A55D7E"/>
    <w:rsid w:val="60B20B2F"/>
    <w:rsid w:val="60C92E8E"/>
    <w:rsid w:val="60CD3B7F"/>
    <w:rsid w:val="60DA9A9B"/>
    <w:rsid w:val="60E1BC8F"/>
    <w:rsid w:val="60FB023B"/>
    <w:rsid w:val="610127CF"/>
    <w:rsid w:val="610524FD"/>
    <w:rsid w:val="612559AA"/>
    <w:rsid w:val="61377631"/>
    <w:rsid w:val="613DC75C"/>
    <w:rsid w:val="61499B23"/>
    <w:rsid w:val="6151552A"/>
    <w:rsid w:val="61560A21"/>
    <w:rsid w:val="616C6159"/>
    <w:rsid w:val="618C6BB1"/>
    <w:rsid w:val="6196DE61"/>
    <w:rsid w:val="61A39774"/>
    <w:rsid w:val="61A59250"/>
    <w:rsid w:val="61AC3483"/>
    <w:rsid w:val="61B6F203"/>
    <w:rsid w:val="61C91E4F"/>
    <w:rsid w:val="61CA7D87"/>
    <w:rsid w:val="61D0E2B6"/>
    <w:rsid w:val="61D235B4"/>
    <w:rsid w:val="61D51934"/>
    <w:rsid w:val="61E35048"/>
    <w:rsid w:val="61E4EA0B"/>
    <w:rsid w:val="62114735"/>
    <w:rsid w:val="6211EEC9"/>
    <w:rsid w:val="6215D292"/>
    <w:rsid w:val="621AFE86"/>
    <w:rsid w:val="622B0D1E"/>
    <w:rsid w:val="623854BB"/>
    <w:rsid w:val="624C7CDD"/>
    <w:rsid w:val="6251210B"/>
    <w:rsid w:val="625F5747"/>
    <w:rsid w:val="62628651"/>
    <w:rsid w:val="6284B136"/>
    <w:rsid w:val="628D712A"/>
    <w:rsid w:val="62938B7A"/>
    <w:rsid w:val="62AE37BC"/>
    <w:rsid w:val="62B5B1C1"/>
    <w:rsid w:val="62BC37B5"/>
    <w:rsid w:val="62F34DAB"/>
    <w:rsid w:val="630AD046"/>
    <w:rsid w:val="63164A85"/>
    <w:rsid w:val="6317E37C"/>
    <w:rsid w:val="632D3814"/>
    <w:rsid w:val="633D5C8A"/>
    <w:rsid w:val="63517506"/>
    <w:rsid w:val="63771A85"/>
    <w:rsid w:val="637C3B7E"/>
    <w:rsid w:val="63AB3C16"/>
    <w:rsid w:val="63B7BF6F"/>
    <w:rsid w:val="63D9926B"/>
    <w:rsid w:val="63DA12D7"/>
    <w:rsid w:val="63DD1A17"/>
    <w:rsid w:val="63E1A402"/>
    <w:rsid w:val="63F0FB4C"/>
    <w:rsid w:val="63F2C99A"/>
    <w:rsid w:val="63F31ABD"/>
    <w:rsid w:val="640625FA"/>
    <w:rsid w:val="6423E044"/>
    <w:rsid w:val="642B5952"/>
    <w:rsid w:val="642F0F4C"/>
    <w:rsid w:val="6443BE55"/>
    <w:rsid w:val="647F7CE6"/>
    <w:rsid w:val="6496541E"/>
    <w:rsid w:val="64A3B332"/>
    <w:rsid w:val="64A57CA3"/>
    <w:rsid w:val="64ABA9A2"/>
    <w:rsid w:val="64C7D72D"/>
    <w:rsid w:val="64D1006D"/>
    <w:rsid w:val="64F243BB"/>
    <w:rsid w:val="6517C667"/>
    <w:rsid w:val="65315AE0"/>
    <w:rsid w:val="65328BCB"/>
    <w:rsid w:val="6536E872"/>
    <w:rsid w:val="65389816"/>
    <w:rsid w:val="6544C1EC"/>
    <w:rsid w:val="6548F13A"/>
    <w:rsid w:val="654CEB38"/>
    <w:rsid w:val="655A97EF"/>
    <w:rsid w:val="655CF3FD"/>
    <w:rsid w:val="65627920"/>
    <w:rsid w:val="6570E695"/>
    <w:rsid w:val="6579A9F8"/>
    <w:rsid w:val="6588F655"/>
    <w:rsid w:val="658D3EA8"/>
    <w:rsid w:val="658F89D2"/>
    <w:rsid w:val="6597111B"/>
    <w:rsid w:val="65BC184F"/>
    <w:rsid w:val="65C7480A"/>
    <w:rsid w:val="65D4DA01"/>
    <w:rsid w:val="65E0D240"/>
    <w:rsid w:val="65F80521"/>
    <w:rsid w:val="65F8128D"/>
    <w:rsid w:val="6600C90F"/>
    <w:rsid w:val="663E90EC"/>
    <w:rsid w:val="665AA3A9"/>
    <w:rsid w:val="66613F26"/>
    <w:rsid w:val="667E2D31"/>
    <w:rsid w:val="667F694A"/>
    <w:rsid w:val="6696E06A"/>
    <w:rsid w:val="669D7272"/>
    <w:rsid w:val="66A2E10D"/>
    <w:rsid w:val="66CBCC83"/>
    <w:rsid w:val="66D62540"/>
    <w:rsid w:val="66D86649"/>
    <w:rsid w:val="66DFF776"/>
    <w:rsid w:val="66E025F7"/>
    <w:rsid w:val="66EB82F7"/>
    <w:rsid w:val="66FF341E"/>
    <w:rsid w:val="67169666"/>
    <w:rsid w:val="67182CCD"/>
    <w:rsid w:val="671C2A8E"/>
    <w:rsid w:val="6722DBC5"/>
    <w:rsid w:val="672A89CC"/>
    <w:rsid w:val="672C19C1"/>
    <w:rsid w:val="6749F163"/>
    <w:rsid w:val="675710AF"/>
    <w:rsid w:val="675F79E4"/>
    <w:rsid w:val="67603DE0"/>
    <w:rsid w:val="6762B222"/>
    <w:rsid w:val="676D9494"/>
    <w:rsid w:val="6798421F"/>
    <w:rsid w:val="679F78D9"/>
    <w:rsid w:val="67C24715"/>
    <w:rsid w:val="67C53A53"/>
    <w:rsid w:val="67CF09C9"/>
    <w:rsid w:val="67DAE18C"/>
    <w:rsid w:val="67F0A285"/>
    <w:rsid w:val="67F2CF05"/>
    <w:rsid w:val="680E1C4F"/>
    <w:rsid w:val="681027DC"/>
    <w:rsid w:val="68238A38"/>
    <w:rsid w:val="6825DEB2"/>
    <w:rsid w:val="682D7170"/>
    <w:rsid w:val="682EB949"/>
    <w:rsid w:val="6839D476"/>
    <w:rsid w:val="683AC9BC"/>
    <w:rsid w:val="684C6202"/>
    <w:rsid w:val="6867C955"/>
    <w:rsid w:val="688F636A"/>
    <w:rsid w:val="6896B00B"/>
    <w:rsid w:val="6897CEE6"/>
    <w:rsid w:val="68AA6DF9"/>
    <w:rsid w:val="68B904E7"/>
    <w:rsid w:val="68CBC269"/>
    <w:rsid w:val="68DC6A6D"/>
    <w:rsid w:val="68E4BE84"/>
    <w:rsid w:val="690160B2"/>
    <w:rsid w:val="691926B5"/>
    <w:rsid w:val="691BFFDF"/>
    <w:rsid w:val="69479654"/>
    <w:rsid w:val="695D224E"/>
    <w:rsid w:val="696139CC"/>
    <w:rsid w:val="697E8944"/>
    <w:rsid w:val="6988BB2D"/>
    <w:rsid w:val="69A10372"/>
    <w:rsid w:val="69A28F12"/>
    <w:rsid w:val="69A62308"/>
    <w:rsid w:val="69C3AB99"/>
    <w:rsid w:val="69D54BD4"/>
    <w:rsid w:val="69EA7997"/>
    <w:rsid w:val="69EFFA7D"/>
    <w:rsid w:val="69F76273"/>
    <w:rsid w:val="6A090883"/>
    <w:rsid w:val="6A16C470"/>
    <w:rsid w:val="6A1BC6BC"/>
    <w:rsid w:val="6A1DCCAB"/>
    <w:rsid w:val="6A2152B1"/>
    <w:rsid w:val="6A21FC5D"/>
    <w:rsid w:val="6A28A3B8"/>
    <w:rsid w:val="6A2AD10B"/>
    <w:rsid w:val="6A2F307D"/>
    <w:rsid w:val="6A530219"/>
    <w:rsid w:val="6A537765"/>
    <w:rsid w:val="6A77F660"/>
    <w:rsid w:val="6A9AA57A"/>
    <w:rsid w:val="6AA9C2EF"/>
    <w:rsid w:val="6AB43BC4"/>
    <w:rsid w:val="6ACD3FB5"/>
    <w:rsid w:val="6AE5949D"/>
    <w:rsid w:val="6AE84394"/>
    <w:rsid w:val="6AE8712F"/>
    <w:rsid w:val="6AF2B4BD"/>
    <w:rsid w:val="6B04CF10"/>
    <w:rsid w:val="6B1AE15F"/>
    <w:rsid w:val="6B574D01"/>
    <w:rsid w:val="6B725B86"/>
    <w:rsid w:val="6B9854F4"/>
    <w:rsid w:val="6B9E5EF8"/>
    <w:rsid w:val="6BB3D8BA"/>
    <w:rsid w:val="6BB6B93C"/>
    <w:rsid w:val="6BBD54C2"/>
    <w:rsid w:val="6BBE4887"/>
    <w:rsid w:val="6BFA6840"/>
    <w:rsid w:val="6C01FD08"/>
    <w:rsid w:val="6C1081DB"/>
    <w:rsid w:val="6C1E5F7C"/>
    <w:rsid w:val="6C207702"/>
    <w:rsid w:val="6C27295F"/>
    <w:rsid w:val="6C35FFD4"/>
    <w:rsid w:val="6C706429"/>
    <w:rsid w:val="6C7368E0"/>
    <w:rsid w:val="6C7EAA21"/>
    <w:rsid w:val="6C9B847E"/>
    <w:rsid w:val="6CB50072"/>
    <w:rsid w:val="6CBA60F6"/>
    <w:rsid w:val="6CD3205A"/>
    <w:rsid w:val="6CF192B9"/>
    <w:rsid w:val="6CF962FE"/>
    <w:rsid w:val="6CFB8ED9"/>
    <w:rsid w:val="6D1571B7"/>
    <w:rsid w:val="6D1C8DD0"/>
    <w:rsid w:val="6D21799A"/>
    <w:rsid w:val="6D287D1A"/>
    <w:rsid w:val="6D2FA283"/>
    <w:rsid w:val="6D3D0AE2"/>
    <w:rsid w:val="6D538378"/>
    <w:rsid w:val="6D78E2C0"/>
    <w:rsid w:val="6D8CA46C"/>
    <w:rsid w:val="6DB6E82E"/>
    <w:rsid w:val="6DCA1DFD"/>
    <w:rsid w:val="6DDCC1BF"/>
    <w:rsid w:val="6DDFF0CC"/>
    <w:rsid w:val="6DF8312D"/>
    <w:rsid w:val="6DF8DFB3"/>
    <w:rsid w:val="6E01B657"/>
    <w:rsid w:val="6E0FF66A"/>
    <w:rsid w:val="6E10B34D"/>
    <w:rsid w:val="6E1A0C3B"/>
    <w:rsid w:val="6E1D0EF1"/>
    <w:rsid w:val="6E23044F"/>
    <w:rsid w:val="6E32D847"/>
    <w:rsid w:val="6E4A5E31"/>
    <w:rsid w:val="6E52CF39"/>
    <w:rsid w:val="6E5B07DA"/>
    <w:rsid w:val="6E710217"/>
    <w:rsid w:val="6E75570D"/>
    <w:rsid w:val="6E7B83FB"/>
    <w:rsid w:val="6E8D5623"/>
    <w:rsid w:val="6EA91B25"/>
    <w:rsid w:val="6EB26FC1"/>
    <w:rsid w:val="6EB869D8"/>
    <w:rsid w:val="6ED0237A"/>
    <w:rsid w:val="6EE2A24E"/>
    <w:rsid w:val="6EECDFA3"/>
    <w:rsid w:val="6F03398A"/>
    <w:rsid w:val="6F17442B"/>
    <w:rsid w:val="6F1DA171"/>
    <w:rsid w:val="6F264EFD"/>
    <w:rsid w:val="6F2E07AE"/>
    <w:rsid w:val="6F46E7B4"/>
    <w:rsid w:val="6F58D102"/>
    <w:rsid w:val="6F5FD447"/>
    <w:rsid w:val="6F7D3859"/>
    <w:rsid w:val="6F862728"/>
    <w:rsid w:val="6F86EFFE"/>
    <w:rsid w:val="6F8A94A9"/>
    <w:rsid w:val="6F9260E5"/>
    <w:rsid w:val="6FA6AD92"/>
    <w:rsid w:val="6FC2CA10"/>
    <w:rsid w:val="6FD2FDD8"/>
    <w:rsid w:val="6FE12C28"/>
    <w:rsid w:val="700567B6"/>
    <w:rsid w:val="700778B4"/>
    <w:rsid w:val="700B142F"/>
    <w:rsid w:val="700ED1D4"/>
    <w:rsid w:val="701CFE02"/>
    <w:rsid w:val="702B1F88"/>
    <w:rsid w:val="703E7255"/>
    <w:rsid w:val="704EF568"/>
    <w:rsid w:val="7050BD30"/>
    <w:rsid w:val="70829B48"/>
    <w:rsid w:val="7083A608"/>
    <w:rsid w:val="708F61DA"/>
    <w:rsid w:val="70A89BC8"/>
    <w:rsid w:val="70B33BA9"/>
    <w:rsid w:val="70B8FC5C"/>
    <w:rsid w:val="70DD106E"/>
    <w:rsid w:val="70EE921F"/>
    <w:rsid w:val="71168B4B"/>
    <w:rsid w:val="71414DB7"/>
    <w:rsid w:val="715EB804"/>
    <w:rsid w:val="71648B7C"/>
    <w:rsid w:val="717B92A8"/>
    <w:rsid w:val="717EA1A7"/>
    <w:rsid w:val="71829CCE"/>
    <w:rsid w:val="7195DB75"/>
    <w:rsid w:val="71AB830A"/>
    <w:rsid w:val="71AFB061"/>
    <w:rsid w:val="71B508C9"/>
    <w:rsid w:val="71DEA1E1"/>
    <w:rsid w:val="71ECE9DA"/>
    <w:rsid w:val="71F6151A"/>
    <w:rsid w:val="720E2941"/>
    <w:rsid w:val="721A5D69"/>
    <w:rsid w:val="72231F11"/>
    <w:rsid w:val="722AF8D3"/>
    <w:rsid w:val="722D6800"/>
    <w:rsid w:val="723020BF"/>
    <w:rsid w:val="7237C240"/>
    <w:rsid w:val="7248FE9D"/>
    <w:rsid w:val="72574B82"/>
    <w:rsid w:val="727477F0"/>
    <w:rsid w:val="72973773"/>
    <w:rsid w:val="7298C185"/>
    <w:rsid w:val="72A3375C"/>
    <w:rsid w:val="72EA3672"/>
    <w:rsid w:val="72FBFE75"/>
    <w:rsid w:val="73256F3D"/>
    <w:rsid w:val="732E2FEE"/>
    <w:rsid w:val="732E8B8D"/>
    <w:rsid w:val="7340945B"/>
    <w:rsid w:val="7349984C"/>
    <w:rsid w:val="735255E7"/>
    <w:rsid w:val="735C0A6C"/>
    <w:rsid w:val="736452F8"/>
    <w:rsid w:val="73A7935C"/>
    <w:rsid w:val="73A8335B"/>
    <w:rsid w:val="73AE7AC2"/>
    <w:rsid w:val="73B93F39"/>
    <w:rsid w:val="73BF3EF0"/>
    <w:rsid w:val="73C798BE"/>
    <w:rsid w:val="73EB80ED"/>
    <w:rsid w:val="73F07467"/>
    <w:rsid w:val="73F1616F"/>
    <w:rsid w:val="74095431"/>
    <w:rsid w:val="74129D18"/>
    <w:rsid w:val="74135F30"/>
    <w:rsid w:val="7428864D"/>
    <w:rsid w:val="743B5347"/>
    <w:rsid w:val="743F2E91"/>
    <w:rsid w:val="748B7242"/>
    <w:rsid w:val="749A2DE0"/>
    <w:rsid w:val="74AD7668"/>
    <w:rsid w:val="74B1BFB8"/>
    <w:rsid w:val="74B9876C"/>
    <w:rsid w:val="74BC6D1C"/>
    <w:rsid w:val="74BD076B"/>
    <w:rsid w:val="74C11E78"/>
    <w:rsid w:val="74C342C3"/>
    <w:rsid w:val="74D11928"/>
    <w:rsid w:val="74E566E4"/>
    <w:rsid w:val="74F5231E"/>
    <w:rsid w:val="7501F10E"/>
    <w:rsid w:val="751AB75B"/>
    <w:rsid w:val="752C54B5"/>
    <w:rsid w:val="75452283"/>
    <w:rsid w:val="7556A943"/>
    <w:rsid w:val="755ACE4E"/>
    <w:rsid w:val="755B14D2"/>
    <w:rsid w:val="75711506"/>
    <w:rsid w:val="75BC1B63"/>
    <w:rsid w:val="75CAA61A"/>
    <w:rsid w:val="75E26354"/>
    <w:rsid w:val="75F2B337"/>
    <w:rsid w:val="760F0DD8"/>
    <w:rsid w:val="76121C61"/>
    <w:rsid w:val="76159284"/>
    <w:rsid w:val="761BC8B9"/>
    <w:rsid w:val="761D10EA"/>
    <w:rsid w:val="7628ED55"/>
    <w:rsid w:val="764AF13F"/>
    <w:rsid w:val="764FC312"/>
    <w:rsid w:val="76654DCC"/>
    <w:rsid w:val="769BD1ED"/>
    <w:rsid w:val="76A880A0"/>
    <w:rsid w:val="76AA27BF"/>
    <w:rsid w:val="76AFA9D2"/>
    <w:rsid w:val="76B4B9B0"/>
    <w:rsid w:val="76BC210B"/>
    <w:rsid w:val="76C53705"/>
    <w:rsid w:val="76C75CB3"/>
    <w:rsid w:val="76CF3FE2"/>
    <w:rsid w:val="76DD2558"/>
    <w:rsid w:val="76E33D2E"/>
    <w:rsid w:val="76F6ED28"/>
    <w:rsid w:val="7723264D"/>
    <w:rsid w:val="776E9F61"/>
    <w:rsid w:val="77855FE0"/>
    <w:rsid w:val="77A2350F"/>
    <w:rsid w:val="77A93C39"/>
    <w:rsid w:val="77ADC5B3"/>
    <w:rsid w:val="77B6DE91"/>
    <w:rsid w:val="77C36095"/>
    <w:rsid w:val="77C7BEB1"/>
    <w:rsid w:val="77CB02E3"/>
    <w:rsid w:val="77EA00F2"/>
    <w:rsid w:val="77F48676"/>
    <w:rsid w:val="77F89C61"/>
    <w:rsid w:val="77FAE025"/>
    <w:rsid w:val="77FD5E38"/>
    <w:rsid w:val="78047F4D"/>
    <w:rsid w:val="7819B449"/>
    <w:rsid w:val="781A8450"/>
    <w:rsid w:val="781C2E2B"/>
    <w:rsid w:val="781CBAA6"/>
    <w:rsid w:val="78252DC2"/>
    <w:rsid w:val="785982A1"/>
    <w:rsid w:val="7897A8BF"/>
    <w:rsid w:val="789B7A4C"/>
    <w:rsid w:val="789E5F2D"/>
    <w:rsid w:val="78A50B55"/>
    <w:rsid w:val="78BADA27"/>
    <w:rsid w:val="78E76F9A"/>
    <w:rsid w:val="79050A16"/>
    <w:rsid w:val="79054A88"/>
    <w:rsid w:val="792CABA8"/>
    <w:rsid w:val="79571941"/>
    <w:rsid w:val="795C530B"/>
    <w:rsid w:val="797C1E9F"/>
    <w:rsid w:val="798FC067"/>
    <w:rsid w:val="79A2B2F1"/>
    <w:rsid w:val="79B57C0D"/>
    <w:rsid w:val="79BAAA9C"/>
    <w:rsid w:val="79CECCD8"/>
    <w:rsid w:val="79E344B5"/>
    <w:rsid w:val="79FEFE28"/>
    <w:rsid w:val="7A2D9166"/>
    <w:rsid w:val="7A442DE5"/>
    <w:rsid w:val="7A5E12B7"/>
    <w:rsid w:val="7A63C79E"/>
    <w:rsid w:val="7A6DA5C6"/>
    <w:rsid w:val="7A770C32"/>
    <w:rsid w:val="7A7DB32C"/>
    <w:rsid w:val="7A84DDBB"/>
    <w:rsid w:val="7AA2E035"/>
    <w:rsid w:val="7AAC6DA7"/>
    <w:rsid w:val="7AB9C096"/>
    <w:rsid w:val="7AD52529"/>
    <w:rsid w:val="7AEDCB26"/>
    <w:rsid w:val="7AFB9A9E"/>
    <w:rsid w:val="7B01CEFD"/>
    <w:rsid w:val="7B09F708"/>
    <w:rsid w:val="7B0DB34B"/>
    <w:rsid w:val="7B0F41D1"/>
    <w:rsid w:val="7B139A08"/>
    <w:rsid w:val="7B1550E5"/>
    <w:rsid w:val="7B2A2962"/>
    <w:rsid w:val="7B3EFAE6"/>
    <w:rsid w:val="7B4C4546"/>
    <w:rsid w:val="7B71222E"/>
    <w:rsid w:val="7B8EA464"/>
    <w:rsid w:val="7B9243E0"/>
    <w:rsid w:val="7BA2908C"/>
    <w:rsid w:val="7BB02F2E"/>
    <w:rsid w:val="7BBDA5A1"/>
    <w:rsid w:val="7BCDD5D9"/>
    <w:rsid w:val="7BE233A0"/>
    <w:rsid w:val="7C0CAC2B"/>
    <w:rsid w:val="7C10B1D9"/>
    <w:rsid w:val="7C149AB7"/>
    <w:rsid w:val="7C2CE730"/>
    <w:rsid w:val="7C2F7625"/>
    <w:rsid w:val="7C34EDF9"/>
    <w:rsid w:val="7C37EE8A"/>
    <w:rsid w:val="7C3B0F5A"/>
    <w:rsid w:val="7C4E0A05"/>
    <w:rsid w:val="7C50AE3A"/>
    <w:rsid w:val="7C6B9416"/>
    <w:rsid w:val="7C709285"/>
    <w:rsid w:val="7C78C165"/>
    <w:rsid w:val="7C8F1AA2"/>
    <w:rsid w:val="7C90CF60"/>
    <w:rsid w:val="7C95A77A"/>
    <w:rsid w:val="7CC63C3E"/>
    <w:rsid w:val="7CFAFBD5"/>
    <w:rsid w:val="7D1F119A"/>
    <w:rsid w:val="7D1F66D9"/>
    <w:rsid w:val="7D203097"/>
    <w:rsid w:val="7D256C7B"/>
    <w:rsid w:val="7D505D76"/>
    <w:rsid w:val="7D552B8E"/>
    <w:rsid w:val="7D5BB37C"/>
    <w:rsid w:val="7D5FEE65"/>
    <w:rsid w:val="7D74111F"/>
    <w:rsid w:val="7D864BC4"/>
    <w:rsid w:val="7DA46300"/>
    <w:rsid w:val="7DC7AFB8"/>
    <w:rsid w:val="7DEDDB9C"/>
    <w:rsid w:val="7DFC3D51"/>
    <w:rsid w:val="7E166EA2"/>
    <w:rsid w:val="7E18CE41"/>
    <w:rsid w:val="7E391F08"/>
    <w:rsid w:val="7E43DA4A"/>
    <w:rsid w:val="7E605C16"/>
    <w:rsid w:val="7E62D25F"/>
    <w:rsid w:val="7E64A72E"/>
    <w:rsid w:val="7E696A56"/>
    <w:rsid w:val="7E71BAE6"/>
    <w:rsid w:val="7E795E2F"/>
    <w:rsid w:val="7E7D7BE1"/>
    <w:rsid w:val="7E896001"/>
    <w:rsid w:val="7E8B3923"/>
    <w:rsid w:val="7EA94428"/>
    <w:rsid w:val="7EB73EB2"/>
    <w:rsid w:val="7EF0FE05"/>
    <w:rsid w:val="7EFB2FB9"/>
    <w:rsid w:val="7EFFD0B4"/>
    <w:rsid w:val="7F1E1A16"/>
    <w:rsid w:val="7F245A01"/>
    <w:rsid w:val="7F28B469"/>
    <w:rsid w:val="7F5A367A"/>
    <w:rsid w:val="7F69D492"/>
    <w:rsid w:val="7F935580"/>
    <w:rsid w:val="7FBD67D8"/>
    <w:rsid w:val="7FBF3419"/>
    <w:rsid w:val="7FD4221A"/>
    <w:rsid w:val="7FF3295A"/>
    <w:rsid w:val="7FF7B9DB"/>
    <w:rsid w:val="7FFC3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D94B8116-FEB1-4D25-81BC-A7D5F87E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04"/>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CF05AE"/>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7D61BA"/>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E1525B"/>
    <w:pPr>
      <w:keepNext/>
      <w:keepLines/>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84402C"/>
    <w:pPr>
      <w:keepNext/>
      <w:keepLines/>
      <w:spacing w:before="40"/>
      <w:jc w:val="center"/>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5AE"/>
    <w:rPr>
      <w:b/>
      <w:bCs/>
      <w:sz w:val="28"/>
      <w:szCs w:val="28"/>
    </w:rPr>
  </w:style>
  <w:style w:type="character" w:customStyle="1" w:styleId="Heading2Char">
    <w:name w:val="Heading 2 Char"/>
    <w:basedOn w:val="DefaultParagraphFont"/>
    <w:link w:val="Heading2"/>
    <w:uiPriority w:val="99"/>
    <w:locked/>
    <w:rsid w:val="007D61BA"/>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E1525B"/>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tabs>
        <w:tab w:val="num" w:pos="360"/>
      </w:tabs>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051F13"/>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986792"/>
    <w:pPr>
      <w:tabs>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84402C"/>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051F1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A22F8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1A680F"/>
    <w:rPr>
      <w:color w:val="605E5C"/>
      <w:shd w:val="clear" w:color="auto" w:fill="E1DFDD"/>
    </w:rPr>
  </w:style>
  <w:style w:type="character" w:customStyle="1" w:styleId="cf01">
    <w:name w:val="cf01"/>
    <w:basedOn w:val="DefaultParagraphFont"/>
    <w:rsid w:val="00FF2B4B"/>
    <w:rPr>
      <w:rFonts w:ascii="Segoe UI" w:hAnsi="Segoe UI" w:cs="Segoe UI" w:hint="default"/>
      <w:sz w:val="18"/>
      <w:szCs w:val="18"/>
    </w:rPr>
  </w:style>
  <w:style w:type="paragraph" w:customStyle="1" w:styleId="pf0">
    <w:name w:val="pf0"/>
    <w:basedOn w:val="Normal"/>
    <w:rsid w:val="006C21E1"/>
    <w:pPr>
      <w:widowControl/>
      <w:autoSpaceDE/>
      <w:autoSpaceDN/>
      <w:adjustRightInd/>
      <w:spacing w:before="100" w:beforeAutospacing="1" w:after="100" w:afterAutospacing="1"/>
    </w:pPr>
    <w:rPr>
      <w:rFonts w:ascii="Times New Roman" w:hAnsi="Times New Roman"/>
    </w:rPr>
  </w:style>
  <w:style w:type="character" w:customStyle="1" w:styleId="cf11">
    <w:name w:val="cf11"/>
    <w:basedOn w:val="DefaultParagraphFont"/>
    <w:rsid w:val="006C21E1"/>
    <w:rPr>
      <w:rFonts w:ascii="Segoe UI" w:hAnsi="Segoe UI" w:cs="Segoe UI" w:hint="default"/>
      <w:sz w:val="18"/>
      <w:szCs w:val="18"/>
      <w:u w:val="single"/>
    </w:rPr>
  </w:style>
  <w:style w:type="character" w:customStyle="1" w:styleId="normaltextrun">
    <w:name w:val="normaltextrun"/>
    <w:basedOn w:val="DefaultParagraphFont"/>
    <w:rsid w:val="004551FE"/>
  </w:style>
  <w:style w:type="character" w:customStyle="1" w:styleId="Mention1">
    <w:name w:val="Mention1"/>
    <w:basedOn w:val="DefaultParagraphFont"/>
    <w:uiPriority w:val="99"/>
    <w:unhideWhenUsed/>
    <w:rsid w:val="00503A43"/>
    <w:rPr>
      <w:color w:val="2B579A"/>
      <w:shd w:val="clear" w:color="auto" w:fill="E1DFDD"/>
    </w:rPr>
  </w:style>
  <w:style w:type="character" w:customStyle="1" w:styleId="UnresolvedMention2">
    <w:name w:val="Unresolved Mention2"/>
    <w:basedOn w:val="DefaultParagraphFont"/>
    <w:uiPriority w:val="99"/>
    <w:semiHidden/>
    <w:unhideWhenUsed/>
    <w:rsid w:val="00690BCD"/>
    <w:rPr>
      <w:color w:val="605E5C"/>
      <w:shd w:val="clear" w:color="auto" w:fill="E1DFDD"/>
    </w:rPr>
  </w:style>
  <w:style w:type="character" w:customStyle="1" w:styleId="Mention2">
    <w:name w:val="Mention2"/>
    <w:basedOn w:val="DefaultParagraphFont"/>
    <w:uiPriority w:val="99"/>
    <w:unhideWhenUsed/>
    <w:rsid w:val="00690B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663355822">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5773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r.ca.gov/dosh/DOSH-Recruitment-Hiring.html"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5f527-c7ed-4337-9c3b-d3541cbb08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00E495FDC05346A392541EA9DB2049" ma:contentTypeVersion="11" ma:contentTypeDescription="Create a new document." ma:contentTypeScope="" ma:versionID="e18edfab064cf82e38d0b947a8d1abbd">
  <xsd:schema xmlns:xsd="http://www.w3.org/2001/XMLSchema" xmlns:xs="http://www.w3.org/2001/XMLSchema" xmlns:p="http://schemas.microsoft.com/office/2006/metadata/properties" xmlns:ns2="0c15f527-c7ed-4337-9c3b-d3541cbb08fe" targetNamespace="http://schemas.microsoft.com/office/2006/metadata/properties" ma:root="true" ma:fieldsID="b4b97ff6f58bbb68b903082ff2f00008" ns2:_="">
    <xsd:import namespace="0c15f527-c7ed-4337-9c3b-d3541cbb08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f527-c7ed-4337-9c3b-d3541cbb0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230F3-44EB-4D1F-AAF2-A1A501FC9993}">
  <ds:schemaRefs>
    <ds:schemaRef ds:uri="http://schemas.openxmlformats.org/officeDocument/2006/bibliography"/>
  </ds:schemaRefs>
</ds:datastoreItem>
</file>

<file path=customXml/itemProps2.xml><?xml version="1.0" encoding="utf-8"?>
<ds:datastoreItem xmlns:ds="http://schemas.openxmlformats.org/officeDocument/2006/customXml" ds:itemID="{23D959CB-E102-4FA4-A39E-340A978D309B}">
  <ds:schemaRefs>
    <ds:schemaRef ds:uri="http://schemas.microsoft.com/office/2006/metadata/properties"/>
    <ds:schemaRef ds:uri="http://schemas.microsoft.com/office/infopath/2007/PartnerControls"/>
    <ds:schemaRef ds:uri="0c15f527-c7ed-4337-9c3b-d3541cbb08fe"/>
  </ds:schemaRefs>
</ds:datastoreItem>
</file>

<file path=customXml/itemProps3.xml><?xml version="1.0" encoding="utf-8"?>
<ds:datastoreItem xmlns:ds="http://schemas.openxmlformats.org/officeDocument/2006/customXml" ds:itemID="{C8C42DCE-B03D-44B6-8EE7-26AEDFEDD7F7}">
  <ds:schemaRefs>
    <ds:schemaRef ds:uri="http://schemas.microsoft.com/sharepoint/v3/contenttype/forms"/>
  </ds:schemaRefs>
</ds:datastoreItem>
</file>

<file path=customXml/itemProps4.xml><?xml version="1.0" encoding="utf-8"?>
<ds:datastoreItem xmlns:ds="http://schemas.openxmlformats.org/officeDocument/2006/customXml" ds:itemID="{9A7D257E-CA85-45D0-A848-17E6BE9B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f527-c7ed-4337-9c3b-d3541cbb0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6300</Words>
  <Characters>35665</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41882</CharactersWithSpaces>
  <SharedDoc>false</SharedDoc>
  <HLinks>
    <vt:vector size="66" baseType="variant">
      <vt:variant>
        <vt:i4>196692</vt:i4>
      </vt:variant>
      <vt:variant>
        <vt:i4>63</vt:i4>
      </vt:variant>
      <vt:variant>
        <vt:i4>0</vt:i4>
      </vt:variant>
      <vt:variant>
        <vt:i4>5</vt:i4>
      </vt:variant>
      <vt:variant>
        <vt:lpwstr>https://www.dir.ca.gov/dosh/DOSH-Recruitment-Hiring.html</vt:lpwstr>
      </vt:variant>
      <vt:variant>
        <vt:lpwstr/>
      </vt:variant>
      <vt:variant>
        <vt:i4>1507388</vt:i4>
      </vt:variant>
      <vt:variant>
        <vt:i4>56</vt:i4>
      </vt:variant>
      <vt:variant>
        <vt:i4>0</vt:i4>
      </vt:variant>
      <vt:variant>
        <vt:i4>5</vt:i4>
      </vt:variant>
      <vt:variant>
        <vt:lpwstr/>
      </vt:variant>
      <vt:variant>
        <vt:lpwstr>_Toc128053015</vt:lpwstr>
      </vt:variant>
      <vt:variant>
        <vt:i4>1507388</vt:i4>
      </vt:variant>
      <vt:variant>
        <vt:i4>50</vt:i4>
      </vt:variant>
      <vt:variant>
        <vt:i4>0</vt:i4>
      </vt:variant>
      <vt:variant>
        <vt:i4>5</vt:i4>
      </vt:variant>
      <vt:variant>
        <vt:lpwstr/>
      </vt:variant>
      <vt:variant>
        <vt:lpwstr>_Toc128053014</vt:lpwstr>
      </vt:variant>
      <vt:variant>
        <vt:i4>1507388</vt:i4>
      </vt:variant>
      <vt:variant>
        <vt:i4>44</vt:i4>
      </vt:variant>
      <vt:variant>
        <vt:i4>0</vt:i4>
      </vt:variant>
      <vt:variant>
        <vt:i4>5</vt:i4>
      </vt:variant>
      <vt:variant>
        <vt:lpwstr/>
      </vt:variant>
      <vt:variant>
        <vt:lpwstr>_Toc128053013</vt:lpwstr>
      </vt:variant>
      <vt:variant>
        <vt:i4>1507388</vt:i4>
      </vt:variant>
      <vt:variant>
        <vt:i4>38</vt:i4>
      </vt:variant>
      <vt:variant>
        <vt:i4>0</vt:i4>
      </vt:variant>
      <vt:variant>
        <vt:i4>5</vt:i4>
      </vt:variant>
      <vt:variant>
        <vt:lpwstr/>
      </vt:variant>
      <vt:variant>
        <vt:lpwstr>_Toc128053012</vt:lpwstr>
      </vt:variant>
      <vt:variant>
        <vt:i4>1507388</vt:i4>
      </vt:variant>
      <vt:variant>
        <vt:i4>32</vt:i4>
      </vt:variant>
      <vt:variant>
        <vt:i4>0</vt:i4>
      </vt:variant>
      <vt:variant>
        <vt:i4>5</vt:i4>
      </vt:variant>
      <vt:variant>
        <vt:lpwstr/>
      </vt:variant>
      <vt:variant>
        <vt:lpwstr>_Toc128053011</vt:lpwstr>
      </vt:variant>
      <vt:variant>
        <vt:i4>1507388</vt:i4>
      </vt:variant>
      <vt:variant>
        <vt:i4>26</vt:i4>
      </vt:variant>
      <vt:variant>
        <vt:i4>0</vt:i4>
      </vt:variant>
      <vt:variant>
        <vt:i4>5</vt:i4>
      </vt:variant>
      <vt:variant>
        <vt:lpwstr/>
      </vt:variant>
      <vt:variant>
        <vt:lpwstr>_Toc128053010</vt:lpwstr>
      </vt:variant>
      <vt:variant>
        <vt:i4>1441852</vt:i4>
      </vt:variant>
      <vt:variant>
        <vt:i4>20</vt:i4>
      </vt:variant>
      <vt:variant>
        <vt:i4>0</vt:i4>
      </vt:variant>
      <vt:variant>
        <vt:i4>5</vt:i4>
      </vt:variant>
      <vt:variant>
        <vt:lpwstr/>
      </vt:variant>
      <vt:variant>
        <vt:lpwstr>_Toc128053009</vt:lpwstr>
      </vt:variant>
      <vt:variant>
        <vt:i4>1441852</vt:i4>
      </vt:variant>
      <vt:variant>
        <vt:i4>14</vt:i4>
      </vt:variant>
      <vt:variant>
        <vt:i4>0</vt:i4>
      </vt:variant>
      <vt:variant>
        <vt:i4>5</vt:i4>
      </vt:variant>
      <vt:variant>
        <vt:lpwstr/>
      </vt:variant>
      <vt:variant>
        <vt:lpwstr>_Toc128053008</vt:lpwstr>
      </vt:variant>
      <vt:variant>
        <vt:i4>1441852</vt:i4>
      </vt:variant>
      <vt:variant>
        <vt:i4>8</vt:i4>
      </vt:variant>
      <vt:variant>
        <vt:i4>0</vt:i4>
      </vt:variant>
      <vt:variant>
        <vt:i4>5</vt:i4>
      </vt:variant>
      <vt:variant>
        <vt:lpwstr/>
      </vt:variant>
      <vt:variant>
        <vt:lpwstr>_Toc128053007</vt:lpwstr>
      </vt:variant>
      <vt:variant>
        <vt:i4>1441852</vt:i4>
      </vt:variant>
      <vt:variant>
        <vt:i4>2</vt:i4>
      </vt:variant>
      <vt:variant>
        <vt:i4>0</vt:i4>
      </vt:variant>
      <vt:variant>
        <vt:i4>5</vt:i4>
      </vt:variant>
      <vt:variant>
        <vt:lpwstr/>
      </vt:variant>
      <vt:variant>
        <vt:lpwstr>_Toc128053006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Wilsey, Peter - OSHA</dc:creator>
  <cp:keywords/>
  <cp:lastModifiedBy>Tanner, Paul - OSHA</cp:lastModifiedBy>
  <cp:revision>2</cp:revision>
  <dcterms:created xsi:type="dcterms:W3CDTF">2025-06-09T13:51:00Z</dcterms:created>
  <dcterms:modified xsi:type="dcterms:W3CDTF">2025-06-09T13:51:00Z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0x0101004F00E495FDC05346A392541EA9DB2049</vt:lpwstr>
  </property>
  <property fmtid="{D5CDD505-2E9C-101B-9397-08002B2CF9AE}" pid="3" name="MediaServiceImageTags">
    <vt:lpwstr/>
  </property>
</Properties>
</file>