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8035" w14:textId="0EBB1177" w:rsidR="00652E3D" w:rsidRPr="00366151" w:rsidRDefault="002A2FF1" w:rsidP="00366151">
      <w:pPr>
        <w:adjustRightInd/>
        <w:spacing w:before="73" w:line="368" w:lineRule="exact"/>
        <w:ind w:right="1677"/>
        <w:outlineLvl w:val="0"/>
        <w:rPr>
          <w:rFonts w:asciiTheme="minorHAnsi" w:hAnsiTheme="minorHAnsi" w:cstheme="minorHAnsi"/>
          <w:b/>
          <w:bCs/>
          <w:sz w:val="28"/>
          <w:szCs w:val="28"/>
        </w:rPr>
      </w:pPr>
      <w:r w:rsidRPr="00366151">
        <w:rPr>
          <w:rFonts w:asciiTheme="minorHAnsi" w:hAnsiTheme="minorHAnsi" w:cstheme="minorHAnsi"/>
          <w:b/>
          <w:bCs/>
          <w:sz w:val="28"/>
          <w:szCs w:val="28"/>
        </w:rPr>
        <w:t>FY</w:t>
      </w:r>
      <w:r w:rsidRPr="00366151">
        <w:rPr>
          <w:rFonts w:asciiTheme="minorHAnsi" w:hAnsiTheme="minorHAnsi" w:cstheme="minorHAnsi"/>
          <w:b/>
          <w:bCs/>
          <w:spacing w:val="-6"/>
          <w:sz w:val="28"/>
          <w:szCs w:val="28"/>
        </w:rPr>
        <w:t xml:space="preserve"> </w:t>
      </w:r>
      <w:r w:rsidRPr="00366151">
        <w:rPr>
          <w:rFonts w:asciiTheme="minorHAnsi" w:hAnsiTheme="minorHAnsi" w:cstheme="minorHAnsi"/>
          <w:b/>
          <w:bCs/>
          <w:sz w:val="28"/>
          <w:szCs w:val="28"/>
        </w:rPr>
        <w:t>202</w:t>
      </w:r>
      <w:r w:rsidR="00327D96">
        <w:rPr>
          <w:rFonts w:asciiTheme="minorHAnsi" w:hAnsiTheme="minorHAnsi" w:cstheme="minorHAnsi"/>
          <w:b/>
          <w:bCs/>
          <w:sz w:val="28"/>
          <w:szCs w:val="28"/>
        </w:rPr>
        <w:t>4</w:t>
      </w:r>
      <w:r w:rsidRPr="00366151">
        <w:rPr>
          <w:rFonts w:asciiTheme="minorHAnsi" w:hAnsiTheme="minorHAnsi" w:cstheme="minorHAnsi"/>
          <w:b/>
          <w:bCs/>
          <w:spacing w:val="-4"/>
          <w:sz w:val="28"/>
          <w:szCs w:val="28"/>
        </w:rPr>
        <w:t xml:space="preserve"> </w:t>
      </w:r>
      <w:r w:rsidRPr="00366151">
        <w:rPr>
          <w:rFonts w:asciiTheme="minorHAnsi" w:hAnsiTheme="minorHAnsi" w:cstheme="minorHAnsi"/>
          <w:b/>
          <w:bCs/>
          <w:spacing w:val="-2"/>
          <w:sz w:val="28"/>
          <w:szCs w:val="28"/>
        </w:rPr>
        <w:t>Follow-u</w:t>
      </w:r>
      <w:r w:rsidR="00366151" w:rsidRPr="00366151">
        <w:rPr>
          <w:rFonts w:asciiTheme="minorHAnsi" w:hAnsiTheme="minorHAnsi" w:cstheme="minorHAnsi"/>
          <w:b/>
          <w:bCs/>
          <w:spacing w:val="-2"/>
          <w:sz w:val="28"/>
          <w:szCs w:val="28"/>
        </w:rPr>
        <w:t xml:space="preserve">p </w:t>
      </w:r>
      <w:r w:rsidRPr="00366151">
        <w:rPr>
          <w:rFonts w:asciiTheme="minorHAnsi" w:hAnsiTheme="minorHAnsi" w:cstheme="minorHAnsi"/>
          <w:b/>
          <w:sz w:val="28"/>
          <w:szCs w:val="28"/>
        </w:rPr>
        <w:t>Federal</w:t>
      </w:r>
      <w:r w:rsidRPr="00366151">
        <w:rPr>
          <w:rFonts w:asciiTheme="minorHAnsi" w:hAnsiTheme="minorHAnsi" w:cstheme="minorHAnsi"/>
          <w:b/>
          <w:spacing w:val="-11"/>
          <w:sz w:val="28"/>
          <w:szCs w:val="28"/>
        </w:rPr>
        <w:t xml:space="preserve"> </w:t>
      </w:r>
      <w:r w:rsidRPr="00366151">
        <w:rPr>
          <w:rFonts w:asciiTheme="minorHAnsi" w:hAnsiTheme="minorHAnsi" w:cstheme="minorHAnsi"/>
          <w:b/>
          <w:sz w:val="28"/>
          <w:szCs w:val="28"/>
        </w:rPr>
        <w:t>Annual</w:t>
      </w:r>
      <w:r w:rsidRPr="00366151">
        <w:rPr>
          <w:rFonts w:asciiTheme="minorHAnsi" w:hAnsiTheme="minorHAnsi" w:cstheme="minorHAnsi"/>
          <w:b/>
          <w:spacing w:val="-10"/>
          <w:sz w:val="28"/>
          <w:szCs w:val="28"/>
        </w:rPr>
        <w:t xml:space="preserve"> </w:t>
      </w:r>
      <w:r w:rsidRPr="00366151">
        <w:rPr>
          <w:rFonts w:asciiTheme="minorHAnsi" w:hAnsiTheme="minorHAnsi" w:cstheme="minorHAnsi"/>
          <w:b/>
          <w:sz w:val="28"/>
          <w:szCs w:val="28"/>
        </w:rPr>
        <w:t>Monitoring</w:t>
      </w:r>
      <w:r w:rsidRPr="00366151">
        <w:rPr>
          <w:rFonts w:asciiTheme="minorHAnsi" w:hAnsiTheme="minorHAnsi" w:cstheme="minorHAnsi"/>
          <w:b/>
          <w:spacing w:val="-11"/>
          <w:sz w:val="28"/>
          <w:szCs w:val="28"/>
        </w:rPr>
        <w:t xml:space="preserve"> </w:t>
      </w:r>
      <w:r w:rsidRPr="00366151">
        <w:rPr>
          <w:rFonts w:asciiTheme="minorHAnsi" w:hAnsiTheme="minorHAnsi" w:cstheme="minorHAnsi"/>
          <w:b/>
          <w:sz w:val="28"/>
          <w:szCs w:val="28"/>
        </w:rPr>
        <w:t>Evaluation</w:t>
      </w:r>
      <w:r w:rsidRPr="00366151">
        <w:rPr>
          <w:rFonts w:asciiTheme="minorHAnsi" w:hAnsiTheme="minorHAnsi" w:cstheme="minorHAnsi"/>
          <w:b/>
          <w:spacing w:val="-12"/>
          <w:sz w:val="28"/>
          <w:szCs w:val="28"/>
        </w:rPr>
        <w:t xml:space="preserve"> </w:t>
      </w:r>
      <w:r w:rsidRPr="00366151">
        <w:rPr>
          <w:rFonts w:asciiTheme="minorHAnsi" w:hAnsiTheme="minorHAnsi" w:cstheme="minorHAnsi"/>
          <w:b/>
          <w:sz w:val="28"/>
          <w:szCs w:val="28"/>
        </w:rPr>
        <w:t>(FAME)</w:t>
      </w:r>
      <w:r w:rsidR="00366151" w:rsidRPr="00366151">
        <w:rPr>
          <w:rFonts w:asciiTheme="minorHAnsi" w:hAnsiTheme="minorHAnsi" w:cstheme="minorHAnsi"/>
          <w:b/>
          <w:spacing w:val="-12"/>
          <w:sz w:val="28"/>
          <w:szCs w:val="28"/>
        </w:rPr>
        <w:t xml:space="preserve"> </w:t>
      </w:r>
      <w:r w:rsidRPr="00366151">
        <w:rPr>
          <w:rFonts w:asciiTheme="minorHAnsi" w:hAnsiTheme="minorHAnsi" w:cstheme="minorHAnsi"/>
          <w:b/>
          <w:spacing w:val="-2"/>
          <w:sz w:val="28"/>
          <w:szCs w:val="28"/>
        </w:rPr>
        <w:t>Report</w:t>
      </w:r>
    </w:p>
    <w:p w14:paraId="0AB18036" w14:textId="0062F27F" w:rsidR="00652E3D" w:rsidRDefault="00652E3D">
      <w:pPr>
        <w:adjustRightInd/>
        <w:spacing w:before="4"/>
        <w:rPr>
          <w:rFonts w:asciiTheme="minorHAnsi" w:hAnsiTheme="minorHAnsi" w:cstheme="minorBidi"/>
        </w:rPr>
      </w:pPr>
    </w:p>
    <w:p w14:paraId="499DF427" w14:textId="77777777" w:rsidR="009C1E18" w:rsidRDefault="009C1E18">
      <w:pPr>
        <w:adjustRightInd/>
        <w:spacing w:before="4"/>
        <w:rPr>
          <w:rFonts w:asciiTheme="minorHAnsi" w:hAnsiTheme="minorHAnsi" w:cstheme="minorBidi"/>
        </w:rPr>
      </w:pPr>
    </w:p>
    <w:p w14:paraId="4E85C377" w14:textId="77777777" w:rsidR="00034E96" w:rsidRDefault="002A2FF1" w:rsidP="00366151">
      <w:pPr>
        <w:adjustRightInd/>
        <w:ind w:right="1676"/>
        <w:jc w:val="both"/>
        <w:rPr>
          <w:rFonts w:asciiTheme="minorHAnsi" w:hAnsiTheme="minorHAnsi" w:cstheme="minorHAnsi"/>
          <w:b/>
          <w:bCs/>
          <w:sz w:val="28"/>
          <w:szCs w:val="28"/>
        </w:rPr>
      </w:pPr>
      <w:r w:rsidRPr="00034E96">
        <w:rPr>
          <w:rFonts w:asciiTheme="minorHAnsi" w:hAnsiTheme="minorHAnsi" w:cstheme="minorHAnsi"/>
          <w:b/>
          <w:bCs/>
          <w:sz w:val="28"/>
          <w:szCs w:val="28"/>
        </w:rPr>
        <w:t>State</w:t>
      </w:r>
      <w:r w:rsidRPr="00034E96">
        <w:rPr>
          <w:rFonts w:asciiTheme="minorHAnsi" w:hAnsiTheme="minorHAnsi" w:cstheme="minorHAnsi"/>
          <w:b/>
          <w:bCs/>
          <w:spacing w:val="-3"/>
          <w:sz w:val="28"/>
          <w:szCs w:val="28"/>
        </w:rPr>
        <w:t xml:space="preserve"> </w:t>
      </w:r>
      <w:r w:rsidRPr="00034E96">
        <w:rPr>
          <w:rFonts w:asciiTheme="minorHAnsi" w:hAnsiTheme="minorHAnsi" w:cstheme="minorHAnsi"/>
          <w:b/>
          <w:bCs/>
          <w:sz w:val="28"/>
          <w:szCs w:val="28"/>
        </w:rPr>
        <w:t>of</w:t>
      </w:r>
      <w:r w:rsidRPr="00034E96">
        <w:rPr>
          <w:rFonts w:asciiTheme="minorHAnsi" w:hAnsiTheme="minorHAnsi" w:cstheme="minorHAnsi"/>
          <w:b/>
          <w:bCs/>
          <w:spacing w:val="-2"/>
          <w:sz w:val="28"/>
          <w:szCs w:val="28"/>
        </w:rPr>
        <w:t xml:space="preserve"> Alaska</w:t>
      </w:r>
      <w:r w:rsidR="00034E96">
        <w:rPr>
          <w:rFonts w:asciiTheme="minorHAnsi" w:hAnsiTheme="minorHAnsi" w:cstheme="minorHAnsi"/>
          <w:b/>
          <w:bCs/>
          <w:sz w:val="28"/>
          <w:szCs w:val="28"/>
        </w:rPr>
        <w:t xml:space="preserve"> </w:t>
      </w:r>
    </w:p>
    <w:p w14:paraId="793B8146" w14:textId="29EEF04F" w:rsidR="00366151" w:rsidRPr="00034E96" w:rsidRDefault="002A2FF1" w:rsidP="00366151">
      <w:pPr>
        <w:adjustRightInd/>
        <w:ind w:right="1676"/>
        <w:jc w:val="both"/>
        <w:rPr>
          <w:rFonts w:asciiTheme="minorHAnsi" w:hAnsiTheme="minorHAnsi" w:cstheme="minorHAnsi"/>
          <w:b/>
          <w:bCs/>
          <w:sz w:val="28"/>
          <w:szCs w:val="28"/>
        </w:rPr>
      </w:pPr>
      <w:r w:rsidRPr="00034E96">
        <w:rPr>
          <w:rFonts w:asciiTheme="minorHAnsi" w:hAnsiTheme="minorHAnsi" w:cstheme="minorHAnsi"/>
          <w:b/>
          <w:bCs/>
          <w:sz w:val="28"/>
          <w:szCs w:val="28"/>
        </w:rPr>
        <w:t>Department</w:t>
      </w:r>
      <w:r w:rsidRPr="00034E96">
        <w:rPr>
          <w:rFonts w:asciiTheme="minorHAnsi" w:hAnsiTheme="minorHAnsi" w:cstheme="minorHAnsi"/>
          <w:b/>
          <w:bCs/>
          <w:spacing w:val="-9"/>
          <w:sz w:val="28"/>
          <w:szCs w:val="28"/>
        </w:rPr>
        <w:t xml:space="preserve"> </w:t>
      </w:r>
      <w:r w:rsidRPr="00034E96">
        <w:rPr>
          <w:rFonts w:asciiTheme="minorHAnsi" w:hAnsiTheme="minorHAnsi" w:cstheme="minorHAnsi"/>
          <w:b/>
          <w:bCs/>
          <w:sz w:val="28"/>
          <w:szCs w:val="28"/>
        </w:rPr>
        <w:t>of</w:t>
      </w:r>
      <w:r w:rsidRPr="00034E96">
        <w:rPr>
          <w:rFonts w:asciiTheme="minorHAnsi" w:hAnsiTheme="minorHAnsi" w:cstheme="minorHAnsi"/>
          <w:b/>
          <w:bCs/>
          <w:spacing w:val="-8"/>
          <w:sz w:val="28"/>
          <w:szCs w:val="28"/>
        </w:rPr>
        <w:t xml:space="preserve"> </w:t>
      </w:r>
      <w:r w:rsidRPr="00034E96">
        <w:rPr>
          <w:rFonts w:asciiTheme="minorHAnsi" w:hAnsiTheme="minorHAnsi" w:cstheme="minorHAnsi"/>
          <w:b/>
          <w:bCs/>
          <w:sz w:val="28"/>
          <w:szCs w:val="28"/>
        </w:rPr>
        <w:t>Labor</w:t>
      </w:r>
      <w:r w:rsidRPr="00034E96">
        <w:rPr>
          <w:rFonts w:asciiTheme="minorHAnsi" w:hAnsiTheme="minorHAnsi" w:cstheme="minorHAnsi"/>
          <w:b/>
          <w:bCs/>
          <w:spacing w:val="-8"/>
          <w:sz w:val="28"/>
          <w:szCs w:val="28"/>
        </w:rPr>
        <w:t xml:space="preserve"> </w:t>
      </w:r>
      <w:r w:rsidRPr="00034E96">
        <w:rPr>
          <w:rFonts w:asciiTheme="minorHAnsi" w:hAnsiTheme="minorHAnsi" w:cstheme="minorHAnsi"/>
          <w:b/>
          <w:bCs/>
          <w:sz w:val="28"/>
          <w:szCs w:val="28"/>
        </w:rPr>
        <w:t>and</w:t>
      </w:r>
      <w:r w:rsidRPr="00034E96">
        <w:rPr>
          <w:rFonts w:asciiTheme="minorHAnsi" w:hAnsiTheme="minorHAnsi" w:cstheme="minorHAnsi"/>
          <w:b/>
          <w:bCs/>
          <w:spacing w:val="-7"/>
          <w:sz w:val="28"/>
          <w:szCs w:val="28"/>
        </w:rPr>
        <w:t xml:space="preserve"> </w:t>
      </w:r>
      <w:r w:rsidRPr="00034E96">
        <w:rPr>
          <w:rFonts w:asciiTheme="minorHAnsi" w:hAnsiTheme="minorHAnsi" w:cstheme="minorHAnsi"/>
          <w:b/>
          <w:bCs/>
          <w:sz w:val="28"/>
          <w:szCs w:val="28"/>
        </w:rPr>
        <w:t>Workforce</w:t>
      </w:r>
    </w:p>
    <w:p w14:paraId="4D7D5D95" w14:textId="46511729" w:rsidR="00366151" w:rsidRPr="00034E96" w:rsidRDefault="002A2FF1" w:rsidP="00366151">
      <w:pPr>
        <w:adjustRightInd/>
        <w:ind w:right="1676"/>
        <w:jc w:val="both"/>
        <w:rPr>
          <w:rFonts w:asciiTheme="minorHAnsi" w:hAnsiTheme="minorHAnsi" w:cstheme="minorHAnsi"/>
          <w:b/>
          <w:bCs/>
          <w:sz w:val="28"/>
          <w:szCs w:val="28"/>
        </w:rPr>
      </w:pPr>
      <w:r w:rsidRPr="00034E96">
        <w:rPr>
          <w:rFonts w:asciiTheme="minorHAnsi" w:hAnsiTheme="minorHAnsi" w:cstheme="minorHAnsi"/>
          <w:b/>
          <w:bCs/>
          <w:sz w:val="28"/>
          <w:szCs w:val="28"/>
        </w:rPr>
        <w:t>Development Labor Standards and Safety Division</w:t>
      </w:r>
    </w:p>
    <w:p w14:paraId="0AB18039" w14:textId="01FFCD8D" w:rsidR="00652E3D" w:rsidRDefault="002A2FF1" w:rsidP="00366151">
      <w:pPr>
        <w:adjustRightInd/>
        <w:ind w:right="1676"/>
        <w:jc w:val="both"/>
        <w:rPr>
          <w:rFonts w:asciiTheme="minorHAnsi" w:hAnsiTheme="minorHAnsi" w:cstheme="minorHAnsi"/>
          <w:b/>
          <w:bCs/>
          <w:spacing w:val="-2"/>
          <w:sz w:val="28"/>
          <w:szCs w:val="28"/>
        </w:rPr>
      </w:pPr>
      <w:r w:rsidRPr="00034E96">
        <w:rPr>
          <w:rFonts w:asciiTheme="minorHAnsi" w:hAnsiTheme="minorHAnsi" w:cstheme="minorHAnsi"/>
          <w:b/>
          <w:bCs/>
          <w:sz w:val="28"/>
          <w:szCs w:val="28"/>
        </w:rPr>
        <w:t>Alaska</w:t>
      </w:r>
      <w:r w:rsidRPr="00034E96">
        <w:rPr>
          <w:rFonts w:asciiTheme="minorHAnsi" w:hAnsiTheme="minorHAnsi" w:cstheme="minorHAnsi"/>
          <w:b/>
          <w:bCs/>
          <w:spacing w:val="-6"/>
          <w:sz w:val="28"/>
          <w:szCs w:val="28"/>
        </w:rPr>
        <w:t xml:space="preserve"> </w:t>
      </w:r>
      <w:r w:rsidRPr="00034E96">
        <w:rPr>
          <w:rFonts w:asciiTheme="minorHAnsi" w:hAnsiTheme="minorHAnsi" w:cstheme="minorHAnsi"/>
          <w:b/>
          <w:bCs/>
          <w:sz w:val="28"/>
          <w:szCs w:val="28"/>
        </w:rPr>
        <w:t>Occupational</w:t>
      </w:r>
      <w:r w:rsidRPr="00034E96">
        <w:rPr>
          <w:rFonts w:asciiTheme="minorHAnsi" w:hAnsiTheme="minorHAnsi" w:cstheme="minorHAnsi"/>
          <w:b/>
          <w:bCs/>
          <w:spacing w:val="-5"/>
          <w:sz w:val="28"/>
          <w:szCs w:val="28"/>
        </w:rPr>
        <w:t xml:space="preserve"> </w:t>
      </w:r>
      <w:r w:rsidRPr="00034E96">
        <w:rPr>
          <w:rFonts w:asciiTheme="minorHAnsi" w:hAnsiTheme="minorHAnsi" w:cstheme="minorHAnsi"/>
          <w:b/>
          <w:bCs/>
          <w:sz w:val="28"/>
          <w:szCs w:val="28"/>
        </w:rPr>
        <w:t>Safety</w:t>
      </w:r>
      <w:r w:rsidRPr="00034E96">
        <w:rPr>
          <w:rFonts w:asciiTheme="minorHAnsi" w:hAnsiTheme="minorHAnsi" w:cstheme="minorHAnsi"/>
          <w:b/>
          <w:bCs/>
          <w:spacing w:val="-8"/>
          <w:sz w:val="28"/>
          <w:szCs w:val="28"/>
        </w:rPr>
        <w:t xml:space="preserve"> </w:t>
      </w:r>
      <w:r w:rsidRPr="00034E96">
        <w:rPr>
          <w:rFonts w:asciiTheme="minorHAnsi" w:hAnsiTheme="minorHAnsi" w:cstheme="minorHAnsi"/>
          <w:b/>
          <w:bCs/>
          <w:sz w:val="28"/>
          <w:szCs w:val="28"/>
        </w:rPr>
        <w:t>and</w:t>
      </w:r>
      <w:r w:rsidRPr="00034E96">
        <w:rPr>
          <w:rFonts w:asciiTheme="minorHAnsi" w:hAnsiTheme="minorHAnsi" w:cstheme="minorHAnsi"/>
          <w:b/>
          <w:bCs/>
          <w:spacing w:val="-5"/>
          <w:sz w:val="28"/>
          <w:szCs w:val="28"/>
        </w:rPr>
        <w:t xml:space="preserve"> </w:t>
      </w:r>
      <w:r w:rsidRPr="00034E96">
        <w:rPr>
          <w:rFonts w:asciiTheme="minorHAnsi" w:hAnsiTheme="minorHAnsi" w:cstheme="minorHAnsi"/>
          <w:b/>
          <w:bCs/>
          <w:sz w:val="28"/>
          <w:szCs w:val="28"/>
        </w:rPr>
        <w:t>Health</w:t>
      </w:r>
      <w:r w:rsidRPr="00034E96">
        <w:rPr>
          <w:rFonts w:asciiTheme="minorHAnsi" w:hAnsiTheme="minorHAnsi" w:cstheme="minorHAnsi"/>
          <w:b/>
          <w:bCs/>
          <w:spacing w:val="-4"/>
          <w:sz w:val="28"/>
          <w:szCs w:val="28"/>
        </w:rPr>
        <w:t xml:space="preserve"> </w:t>
      </w:r>
      <w:r w:rsidRPr="00034E96">
        <w:rPr>
          <w:rFonts w:asciiTheme="minorHAnsi" w:hAnsiTheme="minorHAnsi" w:cstheme="minorHAnsi"/>
          <w:b/>
          <w:bCs/>
          <w:spacing w:val="-2"/>
          <w:sz w:val="28"/>
          <w:szCs w:val="28"/>
        </w:rPr>
        <w:t>(AKOSH)</w:t>
      </w:r>
    </w:p>
    <w:p w14:paraId="75D2BDD6" w14:textId="77777777" w:rsidR="00A55B09" w:rsidRPr="00034E96" w:rsidRDefault="00A55B09" w:rsidP="00366151">
      <w:pPr>
        <w:adjustRightInd/>
        <w:ind w:right="1676"/>
        <w:jc w:val="both"/>
        <w:rPr>
          <w:rFonts w:asciiTheme="minorHAnsi" w:hAnsiTheme="minorHAnsi" w:cstheme="minorHAnsi"/>
          <w:b/>
          <w:bCs/>
          <w:sz w:val="28"/>
          <w:szCs w:val="28"/>
        </w:rPr>
      </w:pPr>
    </w:p>
    <w:p w14:paraId="0AB1803A" w14:textId="51DCC690" w:rsidR="00652E3D" w:rsidRDefault="00652E3D">
      <w:pPr>
        <w:adjustRightInd/>
        <w:rPr>
          <w:rFonts w:asciiTheme="minorHAnsi" w:hAnsiTheme="minorHAnsi" w:cstheme="minorHAnsi"/>
          <w:sz w:val="20"/>
        </w:rPr>
      </w:pPr>
    </w:p>
    <w:p w14:paraId="0AB1803B" w14:textId="2A03DC1C" w:rsidR="00652E3D" w:rsidRDefault="004C6EE7">
      <w:pPr>
        <w:adjustRightInd/>
        <w:spacing w:before="8"/>
        <w:rPr>
          <w:rFonts w:asciiTheme="minorHAnsi" w:hAnsiTheme="minorHAnsi" w:cstheme="minorBidi"/>
          <w:sz w:val="26"/>
          <w:szCs w:val="26"/>
        </w:rPr>
      </w:pPr>
      <w:r>
        <w:rPr>
          <w:noProof/>
        </w:rPr>
        <w:drawing>
          <wp:inline distT="0" distB="0" distL="0" distR="0" wp14:anchorId="711FDC49" wp14:editId="6E52CC9C">
            <wp:extent cx="2107372" cy="2003729"/>
            <wp:effectExtent l="0" t="0" r="7620" b="0"/>
            <wp:docPr id="925588868" name="Picture 925588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88868" name="Picture 925588868">
                      <a:extLst>
                        <a:ext uri="{C183D7F6-B498-43B3-948B-1728B52AA6E4}">
                          <adec:decorative xmlns:adec="http://schemas.microsoft.com/office/drawing/2017/decorative" val="1"/>
                        </a:ext>
                      </a:extLst>
                    </pic:cNvPr>
                    <pic:cNvPicPr/>
                  </pic:nvPicPr>
                  <pic:blipFill>
                    <a:blip r:embed="rId11"/>
                    <a:stretch>
                      <a:fillRect/>
                    </a:stretch>
                  </pic:blipFill>
                  <pic:spPr>
                    <a:xfrm>
                      <a:off x="0" y="0"/>
                      <a:ext cx="2182765" cy="2075414"/>
                    </a:xfrm>
                    <a:prstGeom prst="rect">
                      <a:avLst/>
                    </a:prstGeom>
                  </pic:spPr>
                </pic:pic>
              </a:graphicData>
            </a:graphic>
          </wp:inline>
        </w:drawing>
      </w:r>
    </w:p>
    <w:p w14:paraId="0AB1803D" w14:textId="618C296C" w:rsidR="00652E3D" w:rsidRDefault="00652E3D">
      <w:pPr>
        <w:adjustRightInd/>
        <w:rPr>
          <w:rFonts w:asciiTheme="minorHAnsi" w:hAnsiTheme="minorHAnsi" w:cstheme="minorBidi"/>
        </w:rPr>
      </w:pPr>
    </w:p>
    <w:p w14:paraId="0AB1803E" w14:textId="553438AB" w:rsidR="00652E3D" w:rsidRPr="00366151" w:rsidRDefault="002A2FF1" w:rsidP="00366151">
      <w:pPr>
        <w:jc w:val="both"/>
        <w:rPr>
          <w:b/>
          <w:bCs/>
          <w:sz w:val="28"/>
          <w:szCs w:val="28"/>
        </w:rPr>
      </w:pPr>
      <w:bookmarkStart w:id="1" w:name="_Toc126075754"/>
      <w:r w:rsidRPr="00366151">
        <w:rPr>
          <w:b/>
          <w:bCs/>
          <w:sz w:val="28"/>
          <w:szCs w:val="28"/>
        </w:rPr>
        <w:t>Evaluation</w:t>
      </w:r>
      <w:r w:rsidRPr="00366151">
        <w:rPr>
          <w:b/>
          <w:bCs/>
          <w:spacing w:val="-5"/>
          <w:sz w:val="28"/>
          <w:szCs w:val="28"/>
        </w:rPr>
        <w:t xml:space="preserve"> </w:t>
      </w:r>
      <w:r w:rsidRPr="00366151">
        <w:rPr>
          <w:b/>
          <w:bCs/>
          <w:sz w:val="28"/>
          <w:szCs w:val="28"/>
        </w:rPr>
        <w:t>Period:</w:t>
      </w:r>
      <w:r w:rsidRPr="00366151">
        <w:rPr>
          <w:b/>
          <w:bCs/>
          <w:spacing w:val="-5"/>
          <w:sz w:val="28"/>
          <w:szCs w:val="28"/>
        </w:rPr>
        <w:t xml:space="preserve"> </w:t>
      </w:r>
      <w:r w:rsidRPr="00366151">
        <w:rPr>
          <w:b/>
          <w:bCs/>
          <w:sz w:val="28"/>
          <w:szCs w:val="28"/>
        </w:rPr>
        <w:t>October</w:t>
      </w:r>
      <w:r w:rsidRPr="00366151">
        <w:rPr>
          <w:b/>
          <w:bCs/>
          <w:spacing w:val="-4"/>
          <w:sz w:val="28"/>
          <w:szCs w:val="28"/>
        </w:rPr>
        <w:t xml:space="preserve"> </w:t>
      </w:r>
      <w:r w:rsidRPr="00366151">
        <w:rPr>
          <w:b/>
          <w:bCs/>
          <w:sz w:val="28"/>
          <w:szCs w:val="28"/>
        </w:rPr>
        <w:t>1,</w:t>
      </w:r>
      <w:r w:rsidRPr="00366151">
        <w:rPr>
          <w:b/>
          <w:bCs/>
          <w:spacing w:val="-7"/>
          <w:sz w:val="28"/>
          <w:szCs w:val="28"/>
        </w:rPr>
        <w:t xml:space="preserve"> </w:t>
      </w:r>
      <w:r w:rsidRPr="00366151">
        <w:rPr>
          <w:b/>
          <w:bCs/>
          <w:sz w:val="28"/>
          <w:szCs w:val="28"/>
        </w:rPr>
        <w:t>202</w:t>
      </w:r>
      <w:r w:rsidR="00327D96">
        <w:rPr>
          <w:b/>
          <w:bCs/>
          <w:sz w:val="28"/>
          <w:szCs w:val="28"/>
        </w:rPr>
        <w:t>3</w:t>
      </w:r>
      <w:r w:rsidRPr="00366151">
        <w:rPr>
          <w:b/>
          <w:bCs/>
          <w:spacing w:val="-2"/>
          <w:sz w:val="28"/>
          <w:szCs w:val="28"/>
        </w:rPr>
        <w:t xml:space="preserve"> </w:t>
      </w:r>
      <w:r w:rsidRPr="00366151">
        <w:rPr>
          <w:b/>
          <w:bCs/>
          <w:sz w:val="28"/>
          <w:szCs w:val="28"/>
        </w:rPr>
        <w:t>–</w:t>
      </w:r>
      <w:r w:rsidRPr="00366151">
        <w:rPr>
          <w:b/>
          <w:bCs/>
          <w:spacing w:val="-3"/>
          <w:sz w:val="28"/>
          <w:szCs w:val="28"/>
        </w:rPr>
        <w:t xml:space="preserve"> </w:t>
      </w:r>
      <w:r w:rsidRPr="00366151">
        <w:rPr>
          <w:b/>
          <w:bCs/>
          <w:sz w:val="28"/>
          <w:szCs w:val="28"/>
        </w:rPr>
        <w:t>September</w:t>
      </w:r>
      <w:r w:rsidRPr="00366151">
        <w:rPr>
          <w:b/>
          <w:bCs/>
          <w:spacing w:val="-4"/>
          <w:sz w:val="28"/>
          <w:szCs w:val="28"/>
        </w:rPr>
        <w:t xml:space="preserve"> </w:t>
      </w:r>
      <w:r w:rsidRPr="00366151">
        <w:rPr>
          <w:b/>
          <w:bCs/>
          <w:sz w:val="28"/>
          <w:szCs w:val="28"/>
        </w:rPr>
        <w:t>30,</w:t>
      </w:r>
      <w:r w:rsidRPr="00366151">
        <w:rPr>
          <w:b/>
          <w:bCs/>
          <w:spacing w:val="-4"/>
          <w:sz w:val="28"/>
          <w:szCs w:val="28"/>
        </w:rPr>
        <w:t xml:space="preserve"> </w:t>
      </w:r>
      <w:r w:rsidRPr="00366151">
        <w:rPr>
          <w:b/>
          <w:bCs/>
          <w:spacing w:val="-2"/>
          <w:sz w:val="28"/>
          <w:szCs w:val="28"/>
        </w:rPr>
        <w:t>202</w:t>
      </w:r>
      <w:r w:rsidR="00327D96">
        <w:rPr>
          <w:b/>
          <w:bCs/>
          <w:spacing w:val="-2"/>
          <w:sz w:val="28"/>
          <w:szCs w:val="28"/>
        </w:rPr>
        <w:t>4</w:t>
      </w:r>
      <w:bookmarkEnd w:id="1"/>
    </w:p>
    <w:p w14:paraId="0AB1803F" w14:textId="77777777" w:rsidR="00652E3D" w:rsidRDefault="00652E3D">
      <w:pPr>
        <w:adjustRightInd/>
        <w:jc w:val="center"/>
        <w:rPr>
          <w:rFonts w:asciiTheme="minorHAnsi" w:hAnsiTheme="minorHAnsi" w:cstheme="minorBidi"/>
          <w:b/>
          <w:sz w:val="30"/>
          <w:szCs w:val="30"/>
        </w:rPr>
      </w:pPr>
    </w:p>
    <w:p w14:paraId="2F52268B" w14:textId="7D9D75F6" w:rsidR="009C1E18" w:rsidRDefault="009C1E18">
      <w:pPr>
        <w:adjustRightInd/>
        <w:spacing w:before="10"/>
        <w:jc w:val="center"/>
        <w:rPr>
          <w:rFonts w:asciiTheme="minorHAnsi" w:hAnsiTheme="minorHAnsi" w:cstheme="minorBidi"/>
          <w:b/>
        </w:rPr>
      </w:pPr>
    </w:p>
    <w:p w14:paraId="1CC36BE9" w14:textId="77777777" w:rsidR="009C1E18" w:rsidRDefault="009C1E18" w:rsidP="009C1E18">
      <w:pPr>
        <w:adjustRightInd/>
        <w:spacing w:before="10"/>
        <w:rPr>
          <w:rFonts w:asciiTheme="minorHAnsi" w:hAnsiTheme="minorHAnsi" w:cstheme="minorBidi"/>
          <w:b/>
        </w:rPr>
      </w:pPr>
    </w:p>
    <w:p w14:paraId="0AB18041" w14:textId="77777777" w:rsidR="00652E3D" w:rsidRPr="00366151" w:rsidRDefault="002A2FF1" w:rsidP="00366151">
      <w:pPr>
        <w:adjustRightInd/>
        <w:ind w:right="1679"/>
        <w:rPr>
          <w:rFonts w:asciiTheme="minorHAnsi" w:hAnsiTheme="minorHAnsi" w:cstheme="minorBidi"/>
          <w:b/>
          <w:bCs/>
        </w:rPr>
      </w:pPr>
      <w:r w:rsidRPr="00366151">
        <w:rPr>
          <w:rFonts w:asciiTheme="minorHAnsi" w:hAnsiTheme="minorHAnsi" w:cstheme="minorBidi"/>
          <w:b/>
          <w:bCs/>
        </w:rPr>
        <w:t>Initial</w:t>
      </w:r>
      <w:r w:rsidRPr="00366151">
        <w:rPr>
          <w:rFonts w:asciiTheme="minorHAnsi" w:hAnsiTheme="minorHAnsi" w:cstheme="minorBidi"/>
          <w:b/>
          <w:bCs/>
          <w:spacing w:val="-7"/>
        </w:rPr>
        <w:t xml:space="preserve"> </w:t>
      </w:r>
      <w:r w:rsidRPr="00366151">
        <w:rPr>
          <w:rFonts w:asciiTheme="minorHAnsi" w:hAnsiTheme="minorHAnsi" w:cstheme="minorBidi"/>
          <w:b/>
          <w:bCs/>
        </w:rPr>
        <w:t>Approval</w:t>
      </w:r>
      <w:r w:rsidRPr="00366151">
        <w:rPr>
          <w:rFonts w:asciiTheme="minorHAnsi" w:hAnsiTheme="minorHAnsi" w:cstheme="minorBidi"/>
          <w:b/>
          <w:bCs/>
          <w:spacing w:val="-7"/>
        </w:rPr>
        <w:t xml:space="preserve"> </w:t>
      </w:r>
      <w:r w:rsidRPr="00366151">
        <w:rPr>
          <w:rFonts w:asciiTheme="minorHAnsi" w:hAnsiTheme="minorHAnsi" w:cstheme="minorBidi"/>
          <w:b/>
          <w:bCs/>
        </w:rPr>
        <w:t>Date:</w:t>
      </w:r>
      <w:r w:rsidRPr="00366151">
        <w:rPr>
          <w:rFonts w:asciiTheme="minorHAnsi" w:hAnsiTheme="minorHAnsi" w:cstheme="minorBidi"/>
          <w:b/>
          <w:bCs/>
          <w:spacing w:val="-6"/>
        </w:rPr>
        <w:t xml:space="preserve"> </w:t>
      </w:r>
      <w:r w:rsidRPr="00366151">
        <w:rPr>
          <w:rFonts w:asciiTheme="minorHAnsi" w:hAnsiTheme="minorHAnsi" w:cstheme="minorBidi"/>
          <w:b/>
          <w:bCs/>
        </w:rPr>
        <w:t>August</w:t>
      </w:r>
      <w:r w:rsidRPr="00366151">
        <w:rPr>
          <w:rFonts w:asciiTheme="minorHAnsi" w:hAnsiTheme="minorHAnsi" w:cstheme="minorBidi"/>
          <w:b/>
          <w:bCs/>
          <w:spacing w:val="-7"/>
        </w:rPr>
        <w:t xml:space="preserve"> </w:t>
      </w:r>
      <w:r w:rsidRPr="00366151">
        <w:rPr>
          <w:rFonts w:asciiTheme="minorHAnsi" w:hAnsiTheme="minorHAnsi" w:cstheme="minorBidi"/>
          <w:b/>
          <w:bCs/>
        </w:rPr>
        <w:t>10,</w:t>
      </w:r>
      <w:r w:rsidRPr="00366151">
        <w:rPr>
          <w:rFonts w:asciiTheme="minorHAnsi" w:hAnsiTheme="minorHAnsi" w:cstheme="minorBidi"/>
          <w:b/>
          <w:bCs/>
          <w:spacing w:val="-6"/>
        </w:rPr>
        <w:t xml:space="preserve"> </w:t>
      </w:r>
      <w:r w:rsidRPr="00366151">
        <w:rPr>
          <w:rFonts w:asciiTheme="minorHAnsi" w:hAnsiTheme="minorHAnsi" w:cstheme="minorBidi"/>
          <w:b/>
          <w:bCs/>
          <w:spacing w:val="-4"/>
        </w:rPr>
        <w:t>1973</w:t>
      </w:r>
    </w:p>
    <w:p w14:paraId="72CE09AF" w14:textId="77777777" w:rsidR="00366151" w:rsidRDefault="002A2FF1" w:rsidP="00366151">
      <w:pPr>
        <w:adjustRightInd/>
        <w:spacing w:line="242" w:lineRule="auto"/>
        <w:ind w:right="3041"/>
        <w:rPr>
          <w:rFonts w:asciiTheme="minorHAnsi" w:hAnsiTheme="minorHAnsi" w:cstheme="minorBidi"/>
          <w:b/>
          <w:bCs/>
        </w:rPr>
      </w:pPr>
      <w:r w:rsidRPr="00366151">
        <w:rPr>
          <w:rFonts w:asciiTheme="minorHAnsi" w:hAnsiTheme="minorHAnsi" w:cstheme="minorBidi"/>
          <w:b/>
          <w:bCs/>
        </w:rPr>
        <w:t>State</w:t>
      </w:r>
      <w:r w:rsidRPr="00366151">
        <w:rPr>
          <w:rFonts w:asciiTheme="minorHAnsi" w:hAnsiTheme="minorHAnsi" w:cstheme="minorBidi"/>
          <w:b/>
          <w:bCs/>
          <w:spacing w:val="-7"/>
        </w:rPr>
        <w:t xml:space="preserve"> </w:t>
      </w:r>
      <w:r w:rsidRPr="00366151">
        <w:rPr>
          <w:rFonts w:asciiTheme="minorHAnsi" w:hAnsiTheme="minorHAnsi" w:cstheme="minorBidi"/>
          <w:b/>
          <w:bCs/>
        </w:rPr>
        <w:t>Plan</w:t>
      </w:r>
      <w:r w:rsidRPr="00366151">
        <w:rPr>
          <w:rFonts w:asciiTheme="minorHAnsi" w:hAnsiTheme="minorHAnsi" w:cstheme="minorBidi"/>
          <w:b/>
          <w:bCs/>
          <w:spacing w:val="-6"/>
        </w:rPr>
        <w:t xml:space="preserve"> </w:t>
      </w:r>
      <w:r w:rsidRPr="00366151">
        <w:rPr>
          <w:rFonts w:asciiTheme="minorHAnsi" w:hAnsiTheme="minorHAnsi" w:cstheme="minorBidi"/>
          <w:b/>
          <w:bCs/>
        </w:rPr>
        <w:t>Certification</w:t>
      </w:r>
      <w:r w:rsidRPr="00366151">
        <w:rPr>
          <w:rFonts w:asciiTheme="minorHAnsi" w:hAnsiTheme="minorHAnsi" w:cstheme="minorBidi"/>
          <w:b/>
          <w:bCs/>
          <w:spacing w:val="-6"/>
        </w:rPr>
        <w:t xml:space="preserve"> </w:t>
      </w:r>
      <w:r w:rsidRPr="00366151">
        <w:rPr>
          <w:rFonts w:asciiTheme="minorHAnsi" w:hAnsiTheme="minorHAnsi" w:cstheme="minorBidi"/>
          <w:b/>
          <w:bCs/>
        </w:rPr>
        <w:t>Date:</w:t>
      </w:r>
      <w:r w:rsidRPr="00366151">
        <w:rPr>
          <w:rFonts w:asciiTheme="minorHAnsi" w:hAnsiTheme="minorHAnsi" w:cstheme="minorBidi"/>
          <w:b/>
          <w:bCs/>
          <w:spacing w:val="40"/>
        </w:rPr>
        <w:t xml:space="preserve"> </w:t>
      </w:r>
      <w:r w:rsidRPr="00366151">
        <w:rPr>
          <w:rFonts w:asciiTheme="minorHAnsi" w:hAnsiTheme="minorHAnsi" w:cstheme="minorBidi"/>
          <w:b/>
          <w:bCs/>
        </w:rPr>
        <w:t>September</w:t>
      </w:r>
      <w:r w:rsidRPr="00366151">
        <w:rPr>
          <w:rFonts w:asciiTheme="minorHAnsi" w:hAnsiTheme="minorHAnsi" w:cstheme="minorBidi"/>
          <w:b/>
          <w:bCs/>
          <w:spacing w:val="-7"/>
        </w:rPr>
        <w:t xml:space="preserve"> </w:t>
      </w:r>
      <w:r w:rsidRPr="00366151">
        <w:rPr>
          <w:rFonts w:asciiTheme="minorHAnsi" w:hAnsiTheme="minorHAnsi" w:cstheme="minorBidi"/>
          <w:b/>
          <w:bCs/>
        </w:rPr>
        <w:t>13,</w:t>
      </w:r>
      <w:r w:rsidRPr="00366151">
        <w:rPr>
          <w:rFonts w:asciiTheme="minorHAnsi" w:hAnsiTheme="minorHAnsi" w:cstheme="minorBidi"/>
          <w:b/>
          <w:bCs/>
          <w:spacing w:val="-6"/>
        </w:rPr>
        <w:t xml:space="preserve"> </w:t>
      </w:r>
      <w:r w:rsidRPr="00366151">
        <w:rPr>
          <w:rFonts w:asciiTheme="minorHAnsi" w:hAnsiTheme="minorHAnsi" w:cstheme="minorBidi"/>
          <w:b/>
          <w:bCs/>
        </w:rPr>
        <w:t xml:space="preserve">1977 </w:t>
      </w:r>
    </w:p>
    <w:p w14:paraId="0AB18042" w14:textId="3ECDA8B5" w:rsidR="00652E3D" w:rsidRPr="00366151" w:rsidRDefault="002A2FF1" w:rsidP="00366151">
      <w:pPr>
        <w:adjustRightInd/>
        <w:spacing w:line="242" w:lineRule="auto"/>
        <w:ind w:right="3041"/>
        <w:rPr>
          <w:rFonts w:asciiTheme="minorHAnsi" w:hAnsiTheme="minorHAnsi" w:cstheme="minorBidi"/>
          <w:b/>
          <w:bCs/>
        </w:rPr>
      </w:pPr>
      <w:r w:rsidRPr="00366151">
        <w:rPr>
          <w:rFonts w:asciiTheme="minorHAnsi" w:hAnsiTheme="minorHAnsi" w:cstheme="minorBidi"/>
          <w:b/>
          <w:bCs/>
        </w:rPr>
        <w:t>Final Approval Date:</w:t>
      </w:r>
      <w:r w:rsidRPr="00366151">
        <w:rPr>
          <w:rFonts w:asciiTheme="minorHAnsi" w:hAnsiTheme="minorHAnsi" w:cstheme="minorBidi"/>
          <w:b/>
          <w:bCs/>
          <w:spacing w:val="40"/>
        </w:rPr>
        <w:t xml:space="preserve"> </w:t>
      </w:r>
      <w:r w:rsidRPr="00366151">
        <w:rPr>
          <w:rFonts w:asciiTheme="minorHAnsi" w:hAnsiTheme="minorHAnsi" w:cstheme="minorBidi"/>
          <w:b/>
          <w:bCs/>
        </w:rPr>
        <w:t>September 28, 1984</w:t>
      </w:r>
    </w:p>
    <w:p w14:paraId="3DF217EA" w14:textId="77777777" w:rsidR="009C1E18" w:rsidRDefault="009C1E18">
      <w:pPr>
        <w:jc w:val="center"/>
        <w:rPr>
          <w:rFonts w:asciiTheme="minorHAnsi" w:hAnsiTheme="minorHAnsi" w:cstheme="minorBidi"/>
        </w:rPr>
      </w:pPr>
    </w:p>
    <w:p w14:paraId="3B7950FF" w14:textId="0B8C5270" w:rsidR="00366151" w:rsidRDefault="00366151" w:rsidP="009C1E18">
      <w:pPr>
        <w:rPr>
          <w:rFonts w:asciiTheme="minorHAnsi" w:hAnsiTheme="minorHAnsi" w:cstheme="minorBidi"/>
        </w:rPr>
      </w:pPr>
    </w:p>
    <w:p w14:paraId="214351C8" w14:textId="77777777" w:rsidR="009C1E18" w:rsidRDefault="009C1E18" w:rsidP="009C1E18">
      <w:pPr>
        <w:rPr>
          <w:rFonts w:asciiTheme="minorHAnsi" w:hAnsiTheme="minorHAnsi" w:cstheme="minorBidi"/>
        </w:rPr>
      </w:pPr>
    </w:p>
    <w:p w14:paraId="7FB52802" w14:textId="77777777" w:rsidR="00366151" w:rsidRDefault="00366151">
      <w:pPr>
        <w:jc w:val="center"/>
        <w:rPr>
          <w:rFonts w:asciiTheme="minorHAnsi" w:hAnsiTheme="minorHAnsi" w:cstheme="minorBidi"/>
        </w:rPr>
      </w:pPr>
    </w:p>
    <w:p w14:paraId="0AB18046" w14:textId="77777777" w:rsidR="00652E3D" w:rsidRPr="00366151" w:rsidRDefault="002A2FF1" w:rsidP="00366151">
      <w:pPr>
        <w:adjustRightInd/>
        <w:rPr>
          <w:rFonts w:asciiTheme="minorHAnsi" w:hAnsiTheme="minorHAnsi" w:cstheme="minorBidi"/>
          <w:b/>
          <w:bCs/>
        </w:rPr>
      </w:pPr>
      <w:r w:rsidRPr="00366151">
        <w:rPr>
          <w:rFonts w:asciiTheme="minorHAnsi" w:hAnsiTheme="minorHAnsi" w:cstheme="minorBidi"/>
          <w:b/>
          <w:bCs/>
        </w:rPr>
        <w:t>Prepared</w:t>
      </w:r>
      <w:r w:rsidRPr="00366151">
        <w:rPr>
          <w:rFonts w:asciiTheme="minorHAnsi" w:hAnsiTheme="minorHAnsi" w:cstheme="minorBidi"/>
          <w:b/>
          <w:bCs/>
          <w:spacing w:val="-15"/>
        </w:rPr>
        <w:t xml:space="preserve"> </w:t>
      </w:r>
      <w:r w:rsidRPr="00366151">
        <w:rPr>
          <w:rFonts w:asciiTheme="minorHAnsi" w:hAnsiTheme="minorHAnsi" w:cstheme="minorBidi"/>
          <w:b/>
          <w:bCs/>
          <w:spacing w:val="-5"/>
        </w:rPr>
        <w:t>by:</w:t>
      </w:r>
    </w:p>
    <w:p w14:paraId="6765671A" w14:textId="77777777" w:rsidR="00366151" w:rsidRPr="00366151" w:rsidRDefault="002A2FF1" w:rsidP="00366151">
      <w:pPr>
        <w:adjustRightInd/>
        <w:ind w:right="2938"/>
        <w:rPr>
          <w:rFonts w:asciiTheme="minorHAnsi" w:hAnsiTheme="minorHAnsi" w:cstheme="minorBidi"/>
          <w:b/>
          <w:bCs/>
        </w:rPr>
      </w:pPr>
      <w:r w:rsidRPr="00366151">
        <w:rPr>
          <w:rFonts w:asciiTheme="minorHAnsi" w:hAnsiTheme="minorHAnsi" w:cstheme="minorBidi"/>
          <w:b/>
          <w:bCs/>
        </w:rPr>
        <w:t xml:space="preserve">U. S. Department of Labor </w:t>
      </w:r>
    </w:p>
    <w:p w14:paraId="12BF4DF6" w14:textId="77777777" w:rsidR="00366151" w:rsidRPr="00366151" w:rsidRDefault="002A2FF1" w:rsidP="00366151">
      <w:pPr>
        <w:adjustRightInd/>
        <w:ind w:right="2938"/>
        <w:rPr>
          <w:rFonts w:asciiTheme="minorHAnsi" w:hAnsiTheme="minorHAnsi" w:cstheme="minorBidi"/>
          <w:b/>
          <w:bCs/>
        </w:rPr>
      </w:pPr>
      <w:r w:rsidRPr="00366151">
        <w:rPr>
          <w:rFonts w:asciiTheme="minorHAnsi" w:hAnsiTheme="minorHAnsi" w:cstheme="minorBidi"/>
          <w:b/>
          <w:bCs/>
        </w:rPr>
        <w:t>Occupational</w:t>
      </w:r>
      <w:r w:rsidRPr="00366151">
        <w:rPr>
          <w:rFonts w:asciiTheme="minorHAnsi" w:hAnsiTheme="minorHAnsi" w:cstheme="minorBidi"/>
          <w:b/>
          <w:bCs/>
          <w:spacing w:val="-9"/>
        </w:rPr>
        <w:t xml:space="preserve"> </w:t>
      </w:r>
      <w:r w:rsidRPr="00366151">
        <w:rPr>
          <w:rFonts w:asciiTheme="minorHAnsi" w:hAnsiTheme="minorHAnsi" w:cstheme="minorBidi"/>
          <w:b/>
          <w:bCs/>
        </w:rPr>
        <w:t>Safety</w:t>
      </w:r>
      <w:r w:rsidRPr="00366151">
        <w:rPr>
          <w:rFonts w:asciiTheme="minorHAnsi" w:hAnsiTheme="minorHAnsi" w:cstheme="minorBidi"/>
          <w:b/>
          <w:bCs/>
          <w:spacing w:val="-13"/>
        </w:rPr>
        <w:t xml:space="preserve"> </w:t>
      </w:r>
      <w:r w:rsidRPr="00366151">
        <w:rPr>
          <w:rFonts w:asciiTheme="minorHAnsi" w:hAnsiTheme="minorHAnsi" w:cstheme="minorBidi"/>
          <w:b/>
          <w:bCs/>
        </w:rPr>
        <w:t>and</w:t>
      </w:r>
      <w:r w:rsidRPr="00366151">
        <w:rPr>
          <w:rFonts w:asciiTheme="minorHAnsi" w:hAnsiTheme="minorHAnsi" w:cstheme="minorBidi"/>
          <w:b/>
          <w:bCs/>
          <w:spacing w:val="-7"/>
        </w:rPr>
        <w:t xml:space="preserve"> </w:t>
      </w:r>
      <w:r w:rsidRPr="00366151">
        <w:rPr>
          <w:rFonts w:asciiTheme="minorHAnsi" w:hAnsiTheme="minorHAnsi" w:cstheme="minorBidi"/>
          <w:b/>
          <w:bCs/>
        </w:rPr>
        <w:t>Health</w:t>
      </w:r>
      <w:r w:rsidRPr="00366151">
        <w:rPr>
          <w:rFonts w:asciiTheme="minorHAnsi" w:hAnsiTheme="minorHAnsi" w:cstheme="minorBidi"/>
          <w:b/>
          <w:bCs/>
          <w:spacing w:val="-9"/>
        </w:rPr>
        <w:t xml:space="preserve"> </w:t>
      </w:r>
      <w:r w:rsidRPr="00366151">
        <w:rPr>
          <w:rFonts w:asciiTheme="minorHAnsi" w:hAnsiTheme="minorHAnsi" w:cstheme="minorBidi"/>
          <w:b/>
          <w:bCs/>
        </w:rPr>
        <w:t>Administration</w:t>
      </w:r>
    </w:p>
    <w:p w14:paraId="631E96AE" w14:textId="3DF9732A" w:rsidR="00366151" w:rsidRPr="00366151" w:rsidRDefault="00327D96" w:rsidP="00366151">
      <w:pPr>
        <w:adjustRightInd/>
        <w:ind w:right="2938"/>
        <w:rPr>
          <w:rFonts w:asciiTheme="minorHAnsi" w:hAnsiTheme="minorHAnsi" w:cstheme="minorBidi"/>
          <w:b/>
          <w:bCs/>
        </w:rPr>
      </w:pPr>
      <w:r>
        <w:rPr>
          <w:rFonts w:asciiTheme="minorHAnsi" w:hAnsiTheme="minorHAnsi" w:cstheme="minorBidi"/>
          <w:b/>
          <w:bCs/>
        </w:rPr>
        <w:t>San Francisco Region</w:t>
      </w:r>
    </w:p>
    <w:p w14:paraId="0AB18048" w14:textId="25E8AE92" w:rsidR="00652E3D" w:rsidRDefault="002A2FF1" w:rsidP="00366151">
      <w:pPr>
        <w:adjustRightInd/>
        <w:ind w:right="2938"/>
        <w:rPr>
          <w:rFonts w:asciiTheme="minorHAnsi" w:hAnsiTheme="minorHAnsi" w:cstheme="minorBidi"/>
          <w:b/>
          <w:bCs/>
        </w:rPr>
      </w:pPr>
      <w:r w:rsidRPr="00366151">
        <w:rPr>
          <w:rFonts w:asciiTheme="minorHAnsi" w:hAnsiTheme="minorHAnsi" w:cstheme="minorBidi"/>
          <w:b/>
          <w:bCs/>
        </w:rPr>
        <w:t>S</w:t>
      </w:r>
      <w:r w:rsidR="00F35408">
        <w:rPr>
          <w:rFonts w:asciiTheme="minorHAnsi" w:hAnsiTheme="minorHAnsi" w:cstheme="minorBidi"/>
          <w:b/>
          <w:bCs/>
        </w:rPr>
        <w:t xml:space="preserve">an Francisco, CA </w:t>
      </w:r>
    </w:p>
    <w:p w14:paraId="0254B159" w14:textId="77777777" w:rsidR="00366151" w:rsidRPr="00366151" w:rsidRDefault="00366151" w:rsidP="00366151">
      <w:pPr>
        <w:adjustRightInd/>
        <w:ind w:right="2938"/>
        <w:rPr>
          <w:rFonts w:asciiTheme="minorHAnsi" w:hAnsiTheme="minorHAnsi" w:cstheme="minorBidi"/>
          <w:b/>
          <w:bCs/>
        </w:rPr>
      </w:pPr>
    </w:p>
    <w:p w14:paraId="0AB18049" w14:textId="30510DCB" w:rsidR="00652E3D" w:rsidRDefault="00652E3D">
      <w:pPr>
        <w:ind w:left="4468" w:right="4894" w:firstLine="124"/>
        <w:jc w:val="center"/>
        <w:rPr>
          <w:rFonts w:asciiTheme="minorHAnsi" w:hAnsiTheme="minorHAnsi" w:cstheme="minorBidi"/>
        </w:rPr>
      </w:pPr>
    </w:p>
    <w:p w14:paraId="0AB1804A" w14:textId="77777777" w:rsidR="00652E3D" w:rsidRDefault="002A2FF1" w:rsidP="00524993">
      <w:pPr>
        <w:adjustRightInd/>
        <w:spacing w:before="8"/>
        <w:jc w:val="center"/>
        <w:rPr>
          <w:rFonts w:ascii="Times New Roman" w:hAnsi="Times New Roman"/>
          <w:sz w:val="26"/>
          <w:szCs w:val="26"/>
        </w:rPr>
        <w:sectPr w:rsidR="00652E3D">
          <w:headerReference w:type="even" r:id="rId12"/>
          <w:headerReference w:type="default" r:id="rId13"/>
          <w:footerReference w:type="even" r:id="rId14"/>
          <w:footerReference w:type="default" r:id="rId15"/>
          <w:headerReference w:type="first" r:id="rId16"/>
          <w:footerReference w:type="first" r:id="rId17"/>
          <w:pgSz w:w="12240" w:h="15840"/>
          <w:pgMar w:top="1740" w:right="860" w:bottom="280" w:left="840" w:header="720" w:footer="720" w:gutter="0"/>
          <w:cols w:space="720"/>
        </w:sectPr>
      </w:pPr>
      <w:r>
        <w:rPr>
          <w:rFonts w:ascii="Times New Roman" w:hAnsi="Times New Roman"/>
          <w:noProof/>
        </w:rPr>
        <w:drawing>
          <wp:inline distT="0" distB="0" distL="0" distR="0" wp14:anchorId="0AB18306" wp14:editId="5282895D">
            <wp:extent cx="1397467" cy="734187"/>
            <wp:effectExtent l="0" t="0" r="0" b="8890"/>
            <wp:docPr id="3" name="image2.png" descr="OSH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1397467" cy="734187"/>
                    </a:xfrm>
                    <a:prstGeom prst="rect">
                      <a:avLst/>
                    </a:prstGeom>
                  </pic:spPr>
                </pic:pic>
              </a:graphicData>
            </a:graphic>
          </wp:inline>
        </w:drawing>
      </w:r>
    </w:p>
    <w:p w14:paraId="0AB1804B" w14:textId="77777777" w:rsidR="00652E3D" w:rsidRPr="00322340" w:rsidRDefault="00652E3D">
      <w:pPr>
        <w:rPr>
          <w:rFonts w:ascii="Times New Roman" w:hAnsi="Times New Roman"/>
          <w:b/>
          <w:bCs/>
          <w:sz w:val="32"/>
          <w:szCs w:val="32"/>
        </w:rPr>
      </w:pPr>
      <w:bookmarkStart w:id="2" w:name="_bookmark0"/>
      <w:bookmarkEnd w:id="2"/>
    </w:p>
    <w:p w14:paraId="0AB1804C" w14:textId="04CADFAD" w:rsidR="00652E3D" w:rsidRDefault="002A2FF1">
      <w:pPr>
        <w:widowControl/>
        <w:autoSpaceDE/>
        <w:autoSpaceDN/>
        <w:adjustRightInd/>
        <w:rPr>
          <w:rFonts w:cs="Calibri"/>
          <w:b/>
          <w:bCs/>
          <w:sz w:val="28"/>
          <w:szCs w:val="28"/>
        </w:rPr>
      </w:pPr>
      <w:r w:rsidRPr="7815D515">
        <w:rPr>
          <w:rFonts w:cs="Calibri"/>
          <w:b/>
          <w:bCs/>
          <w:sz w:val="28"/>
          <w:szCs w:val="28"/>
        </w:rPr>
        <w:t>Table of Contents</w:t>
      </w:r>
    </w:p>
    <w:p w14:paraId="7D2C3725" w14:textId="2056739E" w:rsidR="002D53FB" w:rsidRPr="00FC7FDD" w:rsidRDefault="002A2FF1" w:rsidP="00FC7FDD">
      <w:pPr>
        <w:pStyle w:val="TOC2"/>
        <w:rPr>
          <w:rFonts w:eastAsiaTheme="minorEastAsia" w:cstheme="minorBidi"/>
          <w:kern w:val="2"/>
          <w14:ligatures w14:val="standardContextual"/>
        </w:rPr>
      </w:pPr>
      <w:r w:rsidRPr="00FB6377">
        <w:rPr>
          <w:strike/>
          <w:szCs w:val="28"/>
        </w:rPr>
        <w:fldChar w:fldCharType="begin"/>
      </w:r>
      <w:r w:rsidRPr="00FB6377">
        <w:rPr>
          <w:strike/>
          <w:szCs w:val="28"/>
        </w:rPr>
        <w:instrText xml:space="preserve"> TOC \o "2-3" \h \z \u \t "Level 1,1" </w:instrText>
      </w:r>
      <w:r w:rsidRPr="00FB6377">
        <w:rPr>
          <w:strike/>
          <w:szCs w:val="28"/>
        </w:rPr>
        <w:fldChar w:fldCharType="separate"/>
      </w:r>
      <w:hyperlink w:anchor="_Toc187654004" w:history="1">
        <w:r w:rsidR="002D53FB" w:rsidRPr="00FC7FDD">
          <w:rPr>
            <w:rStyle w:val="Hyperlink"/>
          </w:rPr>
          <w:t>I.</w:t>
        </w:r>
        <w:r w:rsidR="002D53FB" w:rsidRPr="00FC7FDD">
          <w:rPr>
            <w:rFonts w:eastAsiaTheme="minorEastAsia" w:cstheme="minorBidi"/>
            <w:kern w:val="2"/>
            <w14:ligatures w14:val="standardContextual"/>
          </w:rPr>
          <w:tab/>
        </w:r>
        <w:r w:rsidR="002D53FB" w:rsidRPr="00FC7FDD">
          <w:rPr>
            <w:rStyle w:val="Hyperlink"/>
          </w:rPr>
          <w:t>Executive Summary</w:t>
        </w:r>
        <w:r w:rsidR="002D53FB" w:rsidRPr="00FC7FDD">
          <w:rPr>
            <w:webHidden/>
          </w:rPr>
          <w:tab/>
        </w:r>
        <w:r w:rsidR="002D53FB" w:rsidRPr="00FC7FDD">
          <w:rPr>
            <w:webHidden/>
          </w:rPr>
          <w:fldChar w:fldCharType="begin"/>
        </w:r>
        <w:r w:rsidR="002D53FB" w:rsidRPr="00FC7FDD">
          <w:rPr>
            <w:webHidden/>
          </w:rPr>
          <w:instrText xml:space="preserve"> PAGEREF _Toc187654004 \h </w:instrText>
        </w:r>
        <w:r w:rsidR="002D53FB" w:rsidRPr="00FC7FDD">
          <w:rPr>
            <w:webHidden/>
          </w:rPr>
        </w:r>
        <w:r w:rsidR="002D53FB" w:rsidRPr="00FC7FDD">
          <w:rPr>
            <w:webHidden/>
          </w:rPr>
          <w:fldChar w:fldCharType="separate"/>
        </w:r>
        <w:r w:rsidR="002D53FB" w:rsidRPr="00FC7FDD">
          <w:rPr>
            <w:webHidden/>
          </w:rPr>
          <w:t>3</w:t>
        </w:r>
        <w:r w:rsidR="002D53FB" w:rsidRPr="00FC7FDD">
          <w:rPr>
            <w:webHidden/>
          </w:rPr>
          <w:fldChar w:fldCharType="end"/>
        </w:r>
      </w:hyperlink>
    </w:p>
    <w:p w14:paraId="244C93FC" w14:textId="0C814F7E" w:rsidR="002D53FB" w:rsidRPr="00FB6377" w:rsidRDefault="002D53FB" w:rsidP="00FC7FDD">
      <w:pPr>
        <w:pStyle w:val="TOC2"/>
        <w:rPr>
          <w:rFonts w:eastAsiaTheme="minorEastAsia" w:cstheme="minorBidi"/>
          <w:kern w:val="2"/>
          <w14:ligatures w14:val="standardContextual"/>
        </w:rPr>
      </w:pPr>
      <w:hyperlink w:anchor="_Toc187654005" w:history="1">
        <w:r w:rsidRPr="00FB6377">
          <w:rPr>
            <w:rStyle w:val="Hyperlink"/>
            <w:szCs w:val="28"/>
          </w:rPr>
          <w:t>II.</w:t>
        </w:r>
        <w:r w:rsidRPr="00FB6377">
          <w:rPr>
            <w:rFonts w:eastAsiaTheme="minorEastAsia" w:cstheme="minorBidi"/>
            <w:kern w:val="2"/>
            <w14:ligatures w14:val="standardContextual"/>
          </w:rPr>
          <w:tab/>
        </w:r>
        <w:r w:rsidRPr="00FB6377">
          <w:rPr>
            <w:rStyle w:val="Hyperlink"/>
            <w:szCs w:val="28"/>
          </w:rPr>
          <w:t>State Plan Background</w:t>
        </w:r>
        <w:r w:rsidRPr="00FB6377">
          <w:rPr>
            <w:webHidden/>
          </w:rPr>
          <w:tab/>
        </w:r>
        <w:r w:rsidRPr="00FB6377">
          <w:rPr>
            <w:webHidden/>
          </w:rPr>
          <w:fldChar w:fldCharType="begin"/>
        </w:r>
        <w:r w:rsidRPr="00FB6377">
          <w:rPr>
            <w:webHidden/>
          </w:rPr>
          <w:instrText xml:space="preserve"> PAGEREF _Toc187654005 \h </w:instrText>
        </w:r>
        <w:r w:rsidRPr="00FB6377">
          <w:rPr>
            <w:webHidden/>
          </w:rPr>
        </w:r>
        <w:r w:rsidRPr="00FB6377">
          <w:rPr>
            <w:webHidden/>
          </w:rPr>
          <w:fldChar w:fldCharType="separate"/>
        </w:r>
        <w:r w:rsidRPr="00FB6377">
          <w:rPr>
            <w:webHidden/>
          </w:rPr>
          <w:t>3</w:t>
        </w:r>
        <w:r w:rsidRPr="00FB6377">
          <w:rPr>
            <w:webHidden/>
          </w:rPr>
          <w:fldChar w:fldCharType="end"/>
        </w:r>
      </w:hyperlink>
    </w:p>
    <w:p w14:paraId="28D5E2AB" w14:textId="4D0504C1" w:rsidR="002D53FB" w:rsidRPr="00FB6377" w:rsidRDefault="002D53FB" w:rsidP="00FC7FDD">
      <w:pPr>
        <w:pStyle w:val="TOC2"/>
        <w:rPr>
          <w:rFonts w:eastAsiaTheme="minorEastAsia" w:cstheme="minorBidi"/>
          <w:kern w:val="2"/>
          <w14:ligatures w14:val="standardContextual"/>
        </w:rPr>
      </w:pPr>
      <w:hyperlink w:anchor="_Toc187654006" w:history="1">
        <w:r w:rsidRPr="00FB6377">
          <w:rPr>
            <w:rStyle w:val="Hyperlink"/>
            <w:szCs w:val="28"/>
          </w:rPr>
          <w:t>III.</w:t>
        </w:r>
        <w:r w:rsidRPr="00FB6377">
          <w:rPr>
            <w:rFonts w:eastAsiaTheme="minorEastAsia" w:cstheme="minorBidi"/>
            <w:kern w:val="2"/>
            <w14:ligatures w14:val="standardContextual"/>
          </w:rPr>
          <w:tab/>
        </w:r>
        <w:r w:rsidRPr="00FB6377">
          <w:rPr>
            <w:rStyle w:val="Hyperlink"/>
            <w:szCs w:val="28"/>
          </w:rPr>
          <w:t>Assessment of State Plan Progress and Performance</w:t>
        </w:r>
        <w:r w:rsidRPr="00FB6377">
          <w:rPr>
            <w:webHidden/>
          </w:rPr>
          <w:tab/>
        </w:r>
        <w:r w:rsidRPr="00FB6377">
          <w:rPr>
            <w:webHidden/>
          </w:rPr>
          <w:fldChar w:fldCharType="begin"/>
        </w:r>
        <w:r w:rsidRPr="00FB6377">
          <w:rPr>
            <w:webHidden/>
          </w:rPr>
          <w:instrText xml:space="preserve"> PAGEREF _Toc187654006 \h </w:instrText>
        </w:r>
        <w:r w:rsidRPr="00FB6377">
          <w:rPr>
            <w:webHidden/>
          </w:rPr>
        </w:r>
        <w:r w:rsidRPr="00FB6377">
          <w:rPr>
            <w:webHidden/>
          </w:rPr>
          <w:fldChar w:fldCharType="separate"/>
        </w:r>
        <w:r w:rsidRPr="00FB6377">
          <w:rPr>
            <w:webHidden/>
          </w:rPr>
          <w:t>5</w:t>
        </w:r>
        <w:r w:rsidRPr="00FB6377">
          <w:rPr>
            <w:webHidden/>
          </w:rPr>
          <w:fldChar w:fldCharType="end"/>
        </w:r>
      </w:hyperlink>
    </w:p>
    <w:p w14:paraId="306595D6" w14:textId="33A0C08A" w:rsidR="002D53FB" w:rsidRPr="00FB6377" w:rsidRDefault="002D53FB" w:rsidP="00524993">
      <w:pPr>
        <w:pStyle w:val="TOC3"/>
        <w:tabs>
          <w:tab w:val="clear" w:pos="720"/>
          <w:tab w:val="left" w:pos="900"/>
        </w:tabs>
        <w:ind w:left="450"/>
        <w:rPr>
          <w:rFonts w:eastAsiaTheme="minorEastAsia" w:cstheme="minorBidi"/>
          <w:noProof/>
          <w:kern w:val="2"/>
          <w:sz w:val="28"/>
          <w:szCs w:val="28"/>
          <w14:ligatures w14:val="standardContextual"/>
        </w:rPr>
      </w:pPr>
      <w:hyperlink w:anchor="_Toc187654007" w:history="1">
        <w:r w:rsidRPr="00FB6377">
          <w:rPr>
            <w:rStyle w:val="Hyperlink"/>
            <w:rFonts w:ascii="Calibri" w:hAnsi="Calibri"/>
            <w:noProof/>
            <w:sz w:val="28"/>
            <w:szCs w:val="28"/>
          </w:rPr>
          <w:t>A.</w:t>
        </w:r>
        <w:r w:rsidRPr="00FB6377">
          <w:rPr>
            <w:rFonts w:eastAsiaTheme="minorEastAsia" w:cstheme="minorBidi"/>
            <w:noProof/>
            <w:kern w:val="2"/>
            <w:sz w:val="28"/>
            <w:szCs w:val="28"/>
            <w14:ligatures w14:val="standardContextual"/>
          </w:rPr>
          <w:tab/>
        </w:r>
        <w:r w:rsidRPr="00FB6377">
          <w:rPr>
            <w:rStyle w:val="Hyperlink"/>
            <w:noProof/>
            <w:sz w:val="28"/>
            <w:szCs w:val="28"/>
          </w:rPr>
          <w:t>Data and Methodology</w:t>
        </w:r>
        <w:r w:rsidRPr="00FB6377">
          <w:rPr>
            <w:noProof/>
            <w:webHidden/>
            <w:sz w:val="28"/>
            <w:szCs w:val="28"/>
          </w:rPr>
          <w:tab/>
        </w:r>
        <w:r w:rsidRPr="00FB6377">
          <w:rPr>
            <w:noProof/>
            <w:webHidden/>
            <w:sz w:val="28"/>
            <w:szCs w:val="28"/>
          </w:rPr>
          <w:fldChar w:fldCharType="begin"/>
        </w:r>
        <w:r w:rsidRPr="00FB6377">
          <w:rPr>
            <w:noProof/>
            <w:webHidden/>
            <w:sz w:val="28"/>
            <w:szCs w:val="28"/>
          </w:rPr>
          <w:instrText xml:space="preserve"> PAGEREF _Toc187654007 \h </w:instrText>
        </w:r>
        <w:r w:rsidRPr="00FB6377">
          <w:rPr>
            <w:noProof/>
            <w:webHidden/>
            <w:sz w:val="28"/>
            <w:szCs w:val="28"/>
          </w:rPr>
        </w:r>
        <w:r w:rsidRPr="00FB6377">
          <w:rPr>
            <w:noProof/>
            <w:webHidden/>
            <w:sz w:val="28"/>
            <w:szCs w:val="28"/>
          </w:rPr>
          <w:fldChar w:fldCharType="separate"/>
        </w:r>
        <w:r w:rsidRPr="00FB6377">
          <w:rPr>
            <w:noProof/>
            <w:webHidden/>
            <w:sz w:val="28"/>
            <w:szCs w:val="28"/>
          </w:rPr>
          <w:t>5</w:t>
        </w:r>
        <w:r w:rsidRPr="00FB6377">
          <w:rPr>
            <w:noProof/>
            <w:webHidden/>
            <w:sz w:val="28"/>
            <w:szCs w:val="28"/>
          </w:rPr>
          <w:fldChar w:fldCharType="end"/>
        </w:r>
      </w:hyperlink>
    </w:p>
    <w:p w14:paraId="4431F2CE" w14:textId="4A1802B6" w:rsidR="002D53FB" w:rsidRPr="00FB6377" w:rsidRDefault="002D53FB" w:rsidP="00524993">
      <w:pPr>
        <w:pStyle w:val="TOC3"/>
        <w:tabs>
          <w:tab w:val="clear" w:pos="720"/>
          <w:tab w:val="left" w:pos="900"/>
        </w:tabs>
        <w:ind w:left="450"/>
        <w:rPr>
          <w:rFonts w:eastAsiaTheme="minorEastAsia" w:cstheme="minorBidi"/>
          <w:noProof/>
          <w:kern w:val="2"/>
          <w:sz w:val="28"/>
          <w:szCs w:val="28"/>
          <w14:ligatures w14:val="standardContextual"/>
        </w:rPr>
      </w:pPr>
      <w:hyperlink w:anchor="_Toc187654008" w:history="1">
        <w:r w:rsidRPr="00FB6377">
          <w:rPr>
            <w:rStyle w:val="Hyperlink"/>
            <w:rFonts w:ascii="Calibri" w:hAnsi="Calibri"/>
            <w:noProof/>
            <w:sz w:val="28"/>
            <w:szCs w:val="28"/>
          </w:rPr>
          <w:t>B.</w:t>
        </w:r>
        <w:r w:rsidRPr="00FB6377">
          <w:rPr>
            <w:rFonts w:eastAsiaTheme="minorEastAsia" w:cstheme="minorBidi"/>
            <w:noProof/>
            <w:kern w:val="2"/>
            <w:sz w:val="28"/>
            <w:szCs w:val="28"/>
            <w14:ligatures w14:val="standardContextual"/>
          </w:rPr>
          <w:tab/>
        </w:r>
        <w:r w:rsidRPr="00FB6377">
          <w:rPr>
            <w:rStyle w:val="Hyperlink"/>
            <w:noProof/>
            <w:sz w:val="28"/>
            <w:szCs w:val="28"/>
          </w:rPr>
          <w:t>Findings and Observations</w:t>
        </w:r>
        <w:r w:rsidRPr="00FB6377">
          <w:rPr>
            <w:noProof/>
            <w:webHidden/>
            <w:sz w:val="28"/>
            <w:szCs w:val="28"/>
          </w:rPr>
          <w:tab/>
        </w:r>
        <w:r w:rsidRPr="00FB6377">
          <w:rPr>
            <w:noProof/>
            <w:webHidden/>
            <w:sz w:val="28"/>
            <w:szCs w:val="28"/>
          </w:rPr>
          <w:fldChar w:fldCharType="begin"/>
        </w:r>
        <w:r w:rsidRPr="00FB6377">
          <w:rPr>
            <w:noProof/>
            <w:webHidden/>
            <w:sz w:val="28"/>
            <w:szCs w:val="28"/>
          </w:rPr>
          <w:instrText xml:space="preserve"> PAGEREF _Toc187654008 \h </w:instrText>
        </w:r>
        <w:r w:rsidRPr="00FB6377">
          <w:rPr>
            <w:noProof/>
            <w:webHidden/>
            <w:sz w:val="28"/>
            <w:szCs w:val="28"/>
          </w:rPr>
        </w:r>
        <w:r w:rsidRPr="00FB6377">
          <w:rPr>
            <w:noProof/>
            <w:webHidden/>
            <w:sz w:val="28"/>
            <w:szCs w:val="28"/>
          </w:rPr>
          <w:fldChar w:fldCharType="separate"/>
        </w:r>
        <w:r w:rsidRPr="00FB6377">
          <w:rPr>
            <w:noProof/>
            <w:webHidden/>
            <w:sz w:val="28"/>
            <w:szCs w:val="28"/>
          </w:rPr>
          <w:t>5</w:t>
        </w:r>
        <w:r w:rsidRPr="00FB6377">
          <w:rPr>
            <w:noProof/>
            <w:webHidden/>
            <w:sz w:val="28"/>
            <w:szCs w:val="28"/>
          </w:rPr>
          <w:fldChar w:fldCharType="end"/>
        </w:r>
      </w:hyperlink>
    </w:p>
    <w:p w14:paraId="4B3CAE4A" w14:textId="58C461E7" w:rsidR="002D53FB" w:rsidRPr="00FB6377" w:rsidRDefault="002D53FB" w:rsidP="00524993">
      <w:pPr>
        <w:pStyle w:val="TOC3"/>
        <w:tabs>
          <w:tab w:val="clear" w:pos="720"/>
          <w:tab w:val="left" w:pos="900"/>
        </w:tabs>
        <w:ind w:left="450"/>
        <w:rPr>
          <w:rFonts w:eastAsiaTheme="minorEastAsia" w:cstheme="minorBidi"/>
          <w:noProof/>
          <w:kern w:val="2"/>
          <w:sz w:val="28"/>
          <w:szCs w:val="28"/>
          <w14:ligatures w14:val="standardContextual"/>
        </w:rPr>
      </w:pPr>
      <w:hyperlink w:anchor="_Toc187654009" w:history="1">
        <w:r w:rsidRPr="00FB6377">
          <w:rPr>
            <w:rStyle w:val="Hyperlink"/>
            <w:rFonts w:ascii="Calibri" w:hAnsi="Calibri"/>
            <w:noProof/>
            <w:sz w:val="28"/>
            <w:szCs w:val="28"/>
          </w:rPr>
          <w:t>C.</w:t>
        </w:r>
        <w:r w:rsidRPr="00FB6377">
          <w:rPr>
            <w:rFonts w:eastAsiaTheme="minorEastAsia" w:cstheme="minorBidi"/>
            <w:noProof/>
            <w:kern w:val="2"/>
            <w:sz w:val="28"/>
            <w:szCs w:val="28"/>
            <w14:ligatures w14:val="standardContextual"/>
          </w:rPr>
          <w:tab/>
        </w:r>
        <w:r w:rsidRPr="00FB6377">
          <w:rPr>
            <w:rStyle w:val="Hyperlink"/>
            <w:noProof/>
            <w:sz w:val="28"/>
            <w:szCs w:val="28"/>
          </w:rPr>
          <w:t>State Activity Mandated Measures (SAMM) Highlights</w:t>
        </w:r>
        <w:r w:rsidRPr="00FB6377">
          <w:rPr>
            <w:noProof/>
            <w:webHidden/>
            <w:sz w:val="28"/>
            <w:szCs w:val="28"/>
          </w:rPr>
          <w:tab/>
        </w:r>
        <w:r w:rsidRPr="00FB6377">
          <w:rPr>
            <w:noProof/>
            <w:webHidden/>
            <w:sz w:val="28"/>
            <w:szCs w:val="28"/>
          </w:rPr>
          <w:fldChar w:fldCharType="begin"/>
        </w:r>
        <w:r w:rsidRPr="00FB6377">
          <w:rPr>
            <w:noProof/>
            <w:webHidden/>
            <w:sz w:val="28"/>
            <w:szCs w:val="28"/>
          </w:rPr>
          <w:instrText xml:space="preserve"> PAGEREF _Toc187654009 \h </w:instrText>
        </w:r>
        <w:r w:rsidRPr="00FB6377">
          <w:rPr>
            <w:noProof/>
            <w:webHidden/>
            <w:sz w:val="28"/>
            <w:szCs w:val="28"/>
          </w:rPr>
        </w:r>
        <w:r w:rsidRPr="00FB6377">
          <w:rPr>
            <w:noProof/>
            <w:webHidden/>
            <w:sz w:val="28"/>
            <w:szCs w:val="28"/>
          </w:rPr>
          <w:fldChar w:fldCharType="separate"/>
        </w:r>
        <w:r w:rsidRPr="00FB6377">
          <w:rPr>
            <w:noProof/>
            <w:webHidden/>
            <w:sz w:val="28"/>
            <w:szCs w:val="28"/>
          </w:rPr>
          <w:t>9</w:t>
        </w:r>
        <w:r w:rsidRPr="00FB6377">
          <w:rPr>
            <w:noProof/>
            <w:webHidden/>
            <w:sz w:val="28"/>
            <w:szCs w:val="28"/>
          </w:rPr>
          <w:fldChar w:fldCharType="end"/>
        </w:r>
      </w:hyperlink>
    </w:p>
    <w:p w14:paraId="71F72479" w14:textId="3AF84381" w:rsidR="002D53FB" w:rsidRPr="00FB6377" w:rsidRDefault="002D53FB" w:rsidP="00261D78">
      <w:pPr>
        <w:pStyle w:val="TOC3"/>
        <w:tabs>
          <w:tab w:val="clear" w:pos="720"/>
          <w:tab w:val="left" w:pos="900"/>
        </w:tabs>
        <w:ind w:left="0"/>
        <w:rPr>
          <w:rFonts w:eastAsiaTheme="minorEastAsia" w:cstheme="minorBidi"/>
          <w:noProof/>
          <w:kern w:val="2"/>
          <w:sz w:val="28"/>
          <w:szCs w:val="28"/>
          <w14:ligatures w14:val="standardContextual"/>
        </w:rPr>
      </w:pPr>
      <w:hyperlink w:anchor="_Toc187654010" w:history="1">
        <w:r w:rsidRPr="00FB6377">
          <w:rPr>
            <w:rStyle w:val="Hyperlink"/>
            <w:noProof/>
            <w:sz w:val="28"/>
            <w:szCs w:val="28"/>
          </w:rPr>
          <w:t>Appendix A – New and Continued Findings and Recommendations</w:t>
        </w:r>
        <w:r w:rsidRPr="00FB6377">
          <w:rPr>
            <w:noProof/>
            <w:webHidden/>
            <w:sz w:val="28"/>
            <w:szCs w:val="28"/>
          </w:rPr>
          <w:tab/>
        </w:r>
        <w:r w:rsidRPr="00FB6377">
          <w:rPr>
            <w:noProof/>
            <w:webHidden/>
            <w:sz w:val="28"/>
            <w:szCs w:val="28"/>
          </w:rPr>
          <w:fldChar w:fldCharType="begin"/>
        </w:r>
        <w:r w:rsidRPr="00FB6377">
          <w:rPr>
            <w:noProof/>
            <w:webHidden/>
            <w:sz w:val="28"/>
            <w:szCs w:val="28"/>
          </w:rPr>
          <w:instrText xml:space="preserve"> PAGEREF _Toc187654010 \h </w:instrText>
        </w:r>
        <w:r w:rsidRPr="00FB6377">
          <w:rPr>
            <w:noProof/>
            <w:webHidden/>
            <w:sz w:val="28"/>
            <w:szCs w:val="28"/>
          </w:rPr>
        </w:r>
        <w:r w:rsidRPr="00FB6377">
          <w:rPr>
            <w:noProof/>
            <w:webHidden/>
            <w:sz w:val="28"/>
            <w:szCs w:val="28"/>
          </w:rPr>
          <w:fldChar w:fldCharType="separate"/>
        </w:r>
        <w:r w:rsidRPr="00FB6377">
          <w:rPr>
            <w:noProof/>
            <w:webHidden/>
            <w:sz w:val="28"/>
            <w:szCs w:val="28"/>
          </w:rPr>
          <w:t>13</w:t>
        </w:r>
        <w:r w:rsidRPr="00FB6377">
          <w:rPr>
            <w:noProof/>
            <w:webHidden/>
            <w:sz w:val="28"/>
            <w:szCs w:val="28"/>
          </w:rPr>
          <w:fldChar w:fldCharType="end"/>
        </w:r>
      </w:hyperlink>
    </w:p>
    <w:p w14:paraId="313F1CC3" w14:textId="4BF4F5FF" w:rsidR="002D53FB" w:rsidRPr="00FB6377" w:rsidRDefault="002D53FB" w:rsidP="00261D78">
      <w:pPr>
        <w:pStyle w:val="TOC3"/>
        <w:tabs>
          <w:tab w:val="clear" w:pos="720"/>
          <w:tab w:val="left" w:pos="900"/>
        </w:tabs>
        <w:ind w:left="0"/>
        <w:rPr>
          <w:rFonts w:eastAsiaTheme="minorEastAsia" w:cstheme="minorBidi"/>
          <w:noProof/>
          <w:kern w:val="2"/>
          <w:sz w:val="28"/>
          <w:szCs w:val="28"/>
          <w14:ligatures w14:val="standardContextual"/>
        </w:rPr>
      </w:pPr>
      <w:hyperlink w:anchor="_Toc187654011" w:history="1">
        <w:r w:rsidRPr="00FB6377">
          <w:rPr>
            <w:rStyle w:val="Hyperlink"/>
            <w:noProof/>
            <w:sz w:val="28"/>
            <w:szCs w:val="28"/>
          </w:rPr>
          <w:t>Appendix B – Observations Subject to Continued Monitoring</w:t>
        </w:r>
        <w:r w:rsidRPr="00FB6377">
          <w:rPr>
            <w:noProof/>
            <w:webHidden/>
            <w:sz w:val="28"/>
            <w:szCs w:val="28"/>
          </w:rPr>
          <w:tab/>
        </w:r>
        <w:r w:rsidRPr="00FB6377">
          <w:rPr>
            <w:noProof/>
            <w:webHidden/>
            <w:sz w:val="28"/>
            <w:szCs w:val="28"/>
          </w:rPr>
          <w:fldChar w:fldCharType="begin"/>
        </w:r>
        <w:r w:rsidRPr="00FB6377">
          <w:rPr>
            <w:noProof/>
            <w:webHidden/>
            <w:sz w:val="28"/>
            <w:szCs w:val="28"/>
          </w:rPr>
          <w:instrText xml:space="preserve"> PAGEREF _Toc187654011 \h </w:instrText>
        </w:r>
        <w:r w:rsidRPr="00FB6377">
          <w:rPr>
            <w:noProof/>
            <w:webHidden/>
            <w:sz w:val="28"/>
            <w:szCs w:val="28"/>
          </w:rPr>
        </w:r>
        <w:r w:rsidRPr="00FB6377">
          <w:rPr>
            <w:noProof/>
            <w:webHidden/>
            <w:sz w:val="28"/>
            <w:szCs w:val="28"/>
          </w:rPr>
          <w:fldChar w:fldCharType="separate"/>
        </w:r>
        <w:r w:rsidRPr="00FB6377">
          <w:rPr>
            <w:noProof/>
            <w:webHidden/>
            <w:sz w:val="28"/>
            <w:szCs w:val="28"/>
          </w:rPr>
          <w:t>14</w:t>
        </w:r>
        <w:r w:rsidRPr="00FB6377">
          <w:rPr>
            <w:noProof/>
            <w:webHidden/>
            <w:sz w:val="28"/>
            <w:szCs w:val="28"/>
          </w:rPr>
          <w:fldChar w:fldCharType="end"/>
        </w:r>
      </w:hyperlink>
    </w:p>
    <w:p w14:paraId="5D3F2068" w14:textId="3B4A9C40" w:rsidR="002D53FB" w:rsidRPr="00FB6377" w:rsidRDefault="002D53FB" w:rsidP="00261D78">
      <w:pPr>
        <w:pStyle w:val="TOC3"/>
        <w:tabs>
          <w:tab w:val="clear" w:pos="720"/>
          <w:tab w:val="left" w:pos="900"/>
        </w:tabs>
        <w:ind w:left="0"/>
        <w:rPr>
          <w:rFonts w:eastAsiaTheme="minorEastAsia" w:cstheme="minorBidi"/>
          <w:noProof/>
          <w:kern w:val="2"/>
          <w:sz w:val="28"/>
          <w:szCs w:val="28"/>
          <w14:ligatures w14:val="standardContextual"/>
        </w:rPr>
      </w:pPr>
      <w:hyperlink w:anchor="_Toc187654012" w:history="1">
        <w:r w:rsidRPr="00FB6377">
          <w:rPr>
            <w:rStyle w:val="Hyperlink"/>
            <w:noProof/>
            <w:sz w:val="28"/>
            <w:szCs w:val="28"/>
          </w:rPr>
          <w:t>Appendix C - Status of FY 2023 Findings and Recommendations</w:t>
        </w:r>
        <w:r w:rsidRPr="00FB6377">
          <w:rPr>
            <w:noProof/>
            <w:webHidden/>
            <w:sz w:val="28"/>
            <w:szCs w:val="28"/>
          </w:rPr>
          <w:tab/>
        </w:r>
        <w:r w:rsidRPr="00FB6377">
          <w:rPr>
            <w:noProof/>
            <w:webHidden/>
            <w:sz w:val="28"/>
            <w:szCs w:val="28"/>
          </w:rPr>
          <w:fldChar w:fldCharType="begin"/>
        </w:r>
        <w:r w:rsidRPr="00FB6377">
          <w:rPr>
            <w:noProof/>
            <w:webHidden/>
            <w:sz w:val="28"/>
            <w:szCs w:val="28"/>
          </w:rPr>
          <w:instrText xml:space="preserve"> PAGEREF _Toc187654012 \h </w:instrText>
        </w:r>
        <w:r w:rsidRPr="00FB6377">
          <w:rPr>
            <w:noProof/>
            <w:webHidden/>
            <w:sz w:val="28"/>
            <w:szCs w:val="28"/>
          </w:rPr>
        </w:r>
        <w:r w:rsidRPr="00FB6377">
          <w:rPr>
            <w:noProof/>
            <w:webHidden/>
            <w:sz w:val="28"/>
            <w:szCs w:val="28"/>
          </w:rPr>
          <w:fldChar w:fldCharType="separate"/>
        </w:r>
        <w:r w:rsidRPr="00FB6377">
          <w:rPr>
            <w:noProof/>
            <w:webHidden/>
            <w:sz w:val="28"/>
            <w:szCs w:val="28"/>
          </w:rPr>
          <w:t>16</w:t>
        </w:r>
        <w:r w:rsidRPr="00FB6377">
          <w:rPr>
            <w:noProof/>
            <w:webHidden/>
            <w:sz w:val="28"/>
            <w:szCs w:val="28"/>
          </w:rPr>
          <w:fldChar w:fldCharType="end"/>
        </w:r>
      </w:hyperlink>
    </w:p>
    <w:p w14:paraId="59CB1F21" w14:textId="071808C9" w:rsidR="002D53FB" w:rsidRPr="00FB6377" w:rsidRDefault="002D53FB" w:rsidP="00261D78">
      <w:pPr>
        <w:pStyle w:val="TOC3"/>
        <w:tabs>
          <w:tab w:val="clear" w:pos="720"/>
          <w:tab w:val="left" w:pos="900"/>
        </w:tabs>
        <w:ind w:left="0"/>
        <w:rPr>
          <w:rFonts w:eastAsiaTheme="minorEastAsia" w:cstheme="minorBidi"/>
          <w:noProof/>
          <w:kern w:val="2"/>
          <w:sz w:val="28"/>
          <w:szCs w:val="28"/>
          <w14:ligatures w14:val="standardContextual"/>
        </w:rPr>
      </w:pPr>
      <w:hyperlink w:anchor="_Toc187654013" w:history="1">
        <w:r w:rsidRPr="00FB6377">
          <w:rPr>
            <w:rStyle w:val="Hyperlink"/>
            <w:noProof/>
            <w:sz w:val="28"/>
            <w:szCs w:val="28"/>
          </w:rPr>
          <w:t>Appendix D – FY 2024 State Activity Mandated Measures (SAMM) Report</w:t>
        </w:r>
        <w:r w:rsidRPr="00FB6377">
          <w:rPr>
            <w:noProof/>
            <w:webHidden/>
            <w:sz w:val="28"/>
            <w:szCs w:val="28"/>
          </w:rPr>
          <w:tab/>
        </w:r>
        <w:r w:rsidRPr="00FB6377">
          <w:rPr>
            <w:noProof/>
            <w:webHidden/>
            <w:sz w:val="28"/>
            <w:szCs w:val="28"/>
          </w:rPr>
          <w:fldChar w:fldCharType="begin"/>
        </w:r>
        <w:r w:rsidRPr="00FB6377">
          <w:rPr>
            <w:noProof/>
            <w:webHidden/>
            <w:sz w:val="28"/>
            <w:szCs w:val="28"/>
          </w:rPr>
          <w:instrText xml:space="preserve"> PAGEREF _Toc187654013 \h </w:instrText>
        </w:r>
        <w:r w:rsidRPr="00FB6377">
          <w:rPr>
            <w:noProof/>
            <w:webHidden/>
            <w:sz w:val="28"/>
            <w:szCs w:val="28"/>
          </w:rPr>
        </w:r>
        <w:r w:rsidRPr="00FB6377">
          <w:rPr>
            <w:noProof/>
            <w:webHidden/>
            <w:sz w:val="28"/>
            <w:szCs w:val="28"/>
          </w:rPr>
          <w:fldChar w:fldCharType="separate"/>
        </w:r>
        <w:r w:rsidRPr="00FB6377">
          <w:rPr>
            <w:noProof/>
            <w:webHidden/>
            <w:sz w:val="28"/>
            <w:szCs w:val="28"/>
          </w:rPr>
          <w:t>17</w:t>
        </w:r>
        <w:r w:rsidRPr="00FB6377">
          <w:rPr>
            <w:noProof/>
            <w:webHidden/>
            <w:sz w:val="28"/>
            <w:szCs w:val="28"/>
          </w:rPr>
          <w:fldChar w:fldCharType="end"/>
        </w:r>
      </w:hyperlink>
    </w:p>
    <w:p w14:paraId="0AB18057" w14:textId="60761DA9" w:rsidR="00652E3D" w:rsidRPr="00BA53BB" w:rsidRDefault="002A2FF1">
      <w:r w:rsidRPr="00FB6377">
        <w:rPr>
          <w:strike/>
          <w:sz w:val="28"/>
          <w:szCs w:val="28"/>
        </w:rPr>
        <w:fldChar w:fldCharType="end"/>
      </w:r>
      <w:r w:rsidRPr="00BA53BB">
        <w:br w:type="page"/>
      </w:r>
    </w:p>
    <w:p w14:paraId="0AB18058" w14:textId="77777777" w:rsidR="00652E3D" w:rsidRDefault="002A2FF1" w:rsidP="00353B45">
      <w:pPr>
        <w:pStyle w:val="Heading2"/>
      </w:pPr>
      <w:bookmarkStart w:id="3" w:name="_Toc338764303"/>
      <w:bookmarkStart w:id="4" w:name="_Toc118900170"/>
      <w:bookmarkStart w:id="5" w:name="_Toc118905009"/>
      <w:bookmarkStart w:id="6" w:name="_Toc187654004"/>
      <w:r>
        <w:t>Executive Summary</w:t>
      </w:r>
      <w:bookmarkEnd w:id="3"/>
      <w:bookmarkEnd w:id="4"/>
      <w:bookmarkEnd w:id="5"/>
      <w:bookmarkEnd w:id="6"/>
    </w:p>
    <w:p w14:paraId="0AB18059" w14:textId="77777777" w:rsidR="00652E3D" w:rsidRDefault="00652E3D">
      <w:pPr>
        <w:widowControl/>
        <w:autoSpaceDE/>
        <w:autoSpaceDN/>
        <w:adjustRightInd/>
        <w:rPr>
          <w:rFonts w:cs="Calibri"/>
          <w:b/>
        </w:rPr>
      </w:pPr>
    </w:p>
    <w:p w14:paraId="0AB1805A" w14:textId="0FC0686B" w:rsidR="00652E3D" w:rsidRDefault="002A2FF1">
      <w:pPr>
        <w:widowControl/>
        <w:autoSpaceDE/>
        <w:autoSpaceDN/>
        <w:adjustRightInd/>
        <w:rPr>
          <w:rFonts w:cs="Calibri"/>
        </w:rPr>
      </w:pPr>
      <w:r>
        <w:rPr>
          <w:rFonts w:cs="Calibri"/>
        </w:rPr>
        <w:t>The purpose of this report is to assess Alaska Occupational Safety and Health’s (AKOSH) performance during Fiscal Year (FY) 202</w:t>
      </w:r>
      <w:r w:rsidR="00B1551B">
        <w:rPr>
          <w:rFonts w:cs="Calibri"/>
        </w:rPr>
        <w:t>4</w:t>
      </w:r>
      <w:r>
        <w:rPr>
          <w:rFonts w:cs="Calibri"/>
        </w:rPr>
        <w:t xml:space="preserve"> regarding activities mandated by the Occupational Safety and Health Administration (OSHA), and to gauge the State Plan’s progress toward resolving outstanding findings from the FY 202</w:t>
      </w:r>
      <w:r w:rsidR="00B1551B">
        <w:rPr>
          <w:rFonts w:cs="Calibri"/>
        </w:rPr>
        <w:t>3</w:t>
      </w:r>
      <w:r>
        <w:rPr>
          <w:rFonts w:cs="Calibri"/>
        </w:rPr>
        <w:t xml:space="preserve"> Comprehensive Federal Annual Monitoring and Evaluation (FAME) Report.</w:t>
      </w:r>
    </w:p>
    <w:p w14:paraId="0AB1805B" w14:textId="77777777" w:rsidR="00652E3D" w:rsidRDefault="00652E3D">
      <w:pPr>
        <w:widowControl/>
        <w:autoSpaceDE/>
        <w:autoSpaceDN/>
        <w:adjustRightInd/>
        <w:rPr>
          <w:rFonts w:cs="Calibri"/>
        </w:rPr>
      </w:pPr>
    </w:p>
    <w:p w14:paraId="0AB1805C" w14:textId="799FE4F2" w:rsidR="00652E3D" w:rsidRDefault="47F9C17C">
      <w:pPr>
        <w:widowControl/>
        <w:autoSpaceDE/>
        <w:autoSpaceDN/>
        <w:adjustRightInd/>
        <w:rPr>
          <w:rFonts w:cs="Calibri"/>
          <w:color w:val="FF0000"/>
        </w:rPr>
      </w:pPr>
      <w:r w:rsidRPr="03E25CAA">
        <w:rPr>
          <w:rFonts w:cs="Calibri"/>
        </w:rPr>
        <w:t xml:space="preserve">Throughout </w:t>
      </w:r>
      <w:r w:rsidR="432C1469" w:rsidRPr="03E25CAA">
        <w:rPr>
          <w:rFonts w:cs="Calibri"/>
        </w:rPr>
        <w:t>FY 2024</w:t>
      </w:r>
      <w:r w:rsidRPr="03E25CAA">
        <w:rPr>
          <w:rFonts w:cs="Calibri"/>
        </w:rPr>
        <w:t xml:space="preserve">, </w:t>
      </w:r>
      <w:r w:rsidR="002A2FF1" w:rsidRPr="03E25CAA">
        <w:rPr>
          <w:rFonts w:cs="Calibri"/>
        </w:rPr>
        <w:t>AKOSH</w:t>
      </w:r>
      <w:r w:rsidR="353C5668" w:rsidRPr="03E25CAA">
        <w:rPr>
          <w:rFonts w:cs="Calibri"/>
        </w:rPr>
        <w:t>’s</w:t>
      </w:r>
      <w:r w:rsidR="002A2FF1" w:rsidRPr="03E25CAA">
        <w:rPr>
          <w:rFonts w:cs="Calibri"/>
        </w:rPr>
        <w:t xml:space="preserve"> </w:t>
      </w:r>
      <w:r w:rsidR="2DA7DA87" w:rsidRPr="03E25CAA">
        <w:rPr>
          <w:rFonts w:cs="Calibri"/>
        </w:rPr>
        <w:t>staffing fluctuated with departures</w:t>
      </w:r>
      <w:r w:rsidR="353C5668" w:rsidRPr="03E25CAA">
        <w:rPr>
          <w:rFonts w:cs="Calibri"/>
        </w:rPr>
        <w:t>,</w:t>
      </w:r>
      <w:r w:rsidR="2DA7DA87" w:rsidRPr="03E25CAA">
        <w:rPr>
          <w:rFonts w:cs="Calibri"/>
        </w:rPr>
        <w:t xml:space="preserve"> but the State Plan </w:t>
      </w:r>
      <w:r w:rsidR="002A2FF1" w:rsidRPr="03E25CAA">
        <w:rPr>
          <w:rFonts w:cs="Calibri"/>
        </w:rPr>
        <w:t>continued to hire new staff</w:t>
      </w:r>
      <w:r w:rsidR="2DA7DA87" w:rsidRPr="03E25CAA">
        <w:rPr>
          <w:rFonts w:cs="Calibri"/>
        </w:rPr>
        <w:t xml:space="preserve"> members</w:t>
      </w:r>
      <w:r w:rsidR="432C1469" w:rsidRPr="03E25CAA">
        <w:rPr>
          <w:rFonts w:cs="Calibri"/>
        </w:rPr>
        <w:t xml:space="preserve"> and</w:t>
      </w:r>
      <w:r w:rsidR="301E7619" w:rsidRPr="03E25CAA">
        <w:rPr>
          <w:rFonts w:cs="Calibri"/>
        </w:rPr>
        <w:t xml:space="preserve"> </w:t>
      </w:r>
      <w:r w:rsidR="002A2FF1" w:rsidRPr="03E25CAA">
        <w:rPr>
          <w:rFonts w:cs="Calibri"/>
        </w:rPr>
        <w:t xml:space="preserve">provide </w:t>
      </w:r>
      <w:r w:rsidR="57C33FAA" w:rsidRPr="03E25CAA">
        <w:rPr>
          <w:rFonts w:cs="Calibri"/>
        </w:rPr>
        <w:t xml:space="preserve">technical </w:t>
      </w:r>
      <w:r w:rsidR="002A2FF1" w:rsidRPr="03E25CAA">
        <w:rPr>
          <w:rFonts w:cs="Calibri"/>
        </w:rPr>
        <w:t xml:space="preserve">training </w:t>
      </w:r>
      <w:r w:rsidR="74BDD1F3" w:rsidRPr="03E25CAA">
        <w:rPr>
          <w:rFonts w:cs="Calibri"/>
        </w:rPr>
        <w:t xml:space="preserve">to ensure the quality of </w:t>
      </w:r>
      <w:r w:rsidR="5C65E3A9" w:rsidRPr="03E25CAA">
        <w:rPr>
          <w:rFonts w:cs="Calibri"/>
        </w:rPr>
        <w:t>services provided.</w:t>
      </w:r>
      <w:r w:rsidR="002A2FF1" w:rsidRPr="03E25CAA">
        <w:rPr>
          <w:rFonts w:cs="Calibri"/>
        </w:rPr>
        <w:t xml:space="preserve"> </w:t>
      </w:r>
      <w:r w:rsidR="2D977776" w:rsidRPr="03E25CAA">
        <w:rPr>
          <w:rFonts w:cs="Calibri"/>
        </w:rPr>
        <w:t xml:space="preserve"> </w:t>
      </w:r>
      <w:r w:rsidR="62648E84" w:rsidRPr="03E25CAA">
        <w:rPr>
          <w:rFonts w:cs="Calibri"/>
        </w:rPr>
        <w:t>AKOSH</w:t>
      </w:r>
      <w:r w:rsidR="14000BF5" w:rsidRPr="03E25CAA">
        <w:rPr>
          <w:rFonts w:cs="Calibri"/>
        </w:rPr>
        <w:t xml:space="preserve"> focused on </w:t>
      </w:r>
      <w:r w:rsidR="575BF358" w:rsidRPr="03E25CAA">
        <w:rPr>
          <w:rFonts w:cs="Calibri"/>
        </w:rPr>
        <w:t>reducing</w:t>
      </w:r>
      <w:r w:rsidR="41372576" w:rsidRPr="03E25CAA">
        <w:rPr>
          <w:rFonts w:cs="Calibri"/>
        </w:rPr>
        <w:t xml:space="preserve"> worker</w:t>
      </w:r>
      <w:r w:rsidR="575BF358" w:rsidRPr="03E25CAA">
        <w:rPr>
          <w:rFonts w:cs="Calibri"/>
        </w:rPr>
        <w:t xml:space="preserve"> injuries and illnesses </w:t>
      </w:r>
      <w:r w:rsidR="3D831915" w:rsidRPr="03E25CAA">
        <w:rPr>
          <w:rFonts w:cs="Calibri"/>
        </w:rPr>
        <w:t>in construction, healthcare, seafood processing, transportation and warehousing, and state and local government workplaces</w:t>
      </w:r>
      <w:r w:rsidR="3D1B8306" w:rsidRPr="03E25CAA">
        <w:rPr>
          <w:rFonts w:cs="Calibri"/>
        </w:rPr>
        <w:t>; promoting safety and health culture in the Alaskan workplace through compliance assistance, cooperative programs, and consultation assistance; and securing public confidence through excellence in the dev</w:t>
      </w:r>
      <w:r w:rsidR="3DBD0DC9" w:rsidRPr="03E25CAA">
        <w:rPr>
          <w:rFonts w:cs="Calibri"/>
        </w:rPr>
        <w:t>elopment and delivery of enforcement and consultation services</w:t>
      </w:r>
      <w:r w:rsidR="3D831915" w:rsidRPr="03E25CAA">
        <w:rPr>
          <w:rFonts w:cs="Calibri"/>
        </w:rPr>
        <w:t xml:space="preserve">.  </w:t>
      </w:r>
      <w:r w:rsidR="331964AD" w:rsidRPr="03E25CAA">
        <w:rPr>
          <w:rFonts w:cs="Calibri"/>
        </w:rPr>
        <w:t xml:space="preserve">Successes included exceeding the total number of safety inspections </w:t>
      </w:r>
      <w:r w:rsidR="57F41D0E" w:rsidRPr="03E25CAA">
        <w:rPr>
          <w:rFonts w:cs="Calibri"/>
        </w:rPr>
        <w:t xml:space="preserve">conducted </w:t>
      </w:r>
      <w:r w:rsidR="331964AD" w:rsidRPr="03E25CAA">
        <w:rPr>
          <w:rFonts w:cs="Calibri"/>
        </w:rPr>
        <w:t xml:space="preserve">in private sector and total inspections in state and local government workplaces, although </w:t>
      </w:r>
      <w:r w:rsidR="009765A6" w:rsidRPr="03E25CAA">
        <w:rPr>
          <w:rFonts w:cs="Calibri"/>
        </w:rPr>
        <w:t>falling</w:t>
      </w:r>
      <w:r w:rsidR="519AE271" w:rsidRPr="03E25CAA">
        <w:rPr>
          <w:rFonts w:cs="Calibri"/>
        </w:rPr>
        <w:t xml:space="preserve"> short in achieving total projected inspections</w:t>
      </w:r>
      <w:r w:rsidR="57F41D0E" w:rsidRPr="03E25CAA">
        <w:rPr>
          <w:rFonts w:cs="Calibri"/>
        </w:rPr>
        <w:t>.  Additionally, AKOSH</w:t>
      </w:r>
      <w:r w:rsidR="009765A6" w:rsidRPr="03E25CAA">
        <w:rPr>
          <w:rFonts w:cs="Calibri"/>
        </w:rPr>
        <w:t xml:space="preserve"> ma</w:t>
      </w:r>
      <w:r w:rsidR="57F41D0E" w:rsidRPr="03E25CAA">
        <w:rPr>
          <w:rFonts w:cs="Calibri"/>
        </w:rPr>
        <w:t>de</w:t>
      </w:r>
      <w:r w:rsidR="2FB57FF0" w:rsidRPr="03E25CAA">
        <w:rPr>
          <w:rFonts w:cs="Calibri"/>
        </w:rPr>
        <w:t xml:space="preserve"> significant progress to reduce </w:t>
      </w:r>
      <w:r w:rsidR="57F41D0E" w:rsidRPr="03E25CAA">
        <w:rPr>
          <w:rFonts w:cs="Calibri"/>
        </w:rPr>
        <w:t xml:space="preserve">the </w:t>
      </w:r>
      <w:r w:rsidR="2FB57FF0" w:rsidRPr="03E25CAA">
        <w:rPr>
          <w:rFonts w:cs="Calibri"/>
        </w:rPr>
        <w:t xml:space="preserve">average days pending </w:t>
      </w:r>
      <w:r w:rsidR="44ABE3B4" w:rsidRPr="03E25CAA">
        <w:rPr>
          <w:rFonts w:cs="Calibri"/>
        </w:rPr>
        <w:t xml:space="preserve">for whistleblower retaliation </w:t>
      </w:r>
      <w:r w:rsidR="2FB57FF0" w:rsidRPr="03E25CAA">
        <w:rPr>
          <w:rFonts w:cs="Calibri"/>
        </w:rPr>
        <w:t xml:space="preserve">cases </w:t>
      </w:r>
      <w:r w:rsidR="57F41D0E" w:rsidRPr="03E25CAA">
        <w:rPr>
          <w:rFonts w:cs="Calibri"/>
        </w:rPr>
        <w:t xml:space="preserve">down </w:t>
      </w:r>
      <w:r w:rsidR="2FB57FF0" w:rsidRPr="03E25CAA">
        <w:rPr>
          <w:rFonts w:cs="Calibri"/>
        </w:rPr>
        <w:t xml:space="preserve">to zero by the end of the </w:t>
      </w:r>
      <w:r w:rsidR="57F41D0E" w:rsidRPr="03E25CAA">
        <w:rPr>
          <w:rFonts w:cs="Calibri"/>
        </w:rPr>
        <w:t>review period</w:t>
      </w:r>
      <w:r w:rsidR="2FB57FF0" w:rsidRPr="03E25CAA">
        <w:rPr>
          <w:rFonts w:cs="Calibri"/>
        </w:rPr>
        <w:t xml:space="preserve">.  </w:t>
      </w:r>
      <w:r w:rsidR="002A2FF1" w:rsidRPr="03E25CAA">
        <w:rPr>
          <w:rFonts w:cs="Calibri"/>
        </w:rPr>
        <w:t>AKOSH continue</w:t>
      </w:r>
      <w:r w:rsidR="26B37461" w:rsidRPr="03E25CAA">
        <w:rPr>
          <w:rFonts w:cs="Calibri"/>
        </w:rPr>
        <w:t>d</w:t>
      </w:r>
      <w:r w:rsidR="002A2FF1" w:rsidRPr="03E25CAA">
        <w:rPr>
          <w:rFonts w:cs="Calibri"/>
        </w:rPr>
        <w:t xml:space="preserve"> to </w:t>
      </w:r>
      <w:r w:rsidR="5973D6CC" w:rsidRPr="03E25CAA">
        <w:rPr>
          <w:rFonts w:cs="Calibri"/>
        </w:rPr>
        <w:t xml:space="preserve">maintain a high level of performance </w:t>
      </w:r>
      <w:r w:rsidR="34DDB58A" w:rsidRPr="03E25CAA">
        <w:rPr>
          <w:rFonts w:cs="Calibri"/>
        </w:rPr>
        <w:t xml:space="preserve">and </w:t>
      </w:r>
      <w:r w:rsidR="3846F729" w:rsidRPr="03E25CAA">
        <w:rPr>
          <w:rFonts w:cs="Calibri"/>
        </w:rPr>
        <w:t>provid</w:t>
      </w:r>
      <w:r w:rsidR="34DDB58A" w:rsidRPr="03E25CAA">
        <w:rPr>
          <w:rFonts w:cs="Calibri"/>
        </w:rPr>
        <w:t>e</w:t>
      </w:r>
      <w:r w:rsidR="3846F729" w:rsidRPr="03E25CAA">
        <w:rPr>
          <w:rFonts w:cs="Calibri"/>
        </w:rPr>
        <w:t xml:space="preserve"> </w:t>
      </w:r>
      <w:r w:rsidR="32AF8AF7" w:rsidRPr="03E25CAA">
        <w:rPr>
          <w:rFonts w:cs="Calibri"/>
        </w:rPr>
        <w:t>data metrics and reports for quarterly monitoring meetings with OSHA</w:t>
      </w:r>
      <w:r w:rsidR="002A2FF1" w:rsidRPr="03E25CAA">
        <w:rPr>
          <w:rFonts w:cs="Calibri"/>
        </w:rPr>
        <w:t xml:space="preserve">. </w:t>
      </w:r>
    </w:p>
    <w:p w14:paraId="0AB1805D" w14:textId="77777777" w:rsidR="00652E3D" w:rsidRPr="00D17514" w:rsidRDefault="00652E3D">
      <w:pPr>
        <w:widowControl/>
        <w:autoSpaceDE/>
        <w:autoSpaceDN/>
        <w:adjustRightInd/>
        <w:rPr>
          <w:rFonts w:cs="Calibri"/>
        </w:rPr>
      </w:pPr>
    </w:p>
    <w:p w14:paraId="3C067B0E" w14:textId="77777777" w:rsidR="00792F9B" w:rsidRDefault="003313F8">
      <w:pPr>
        <w:widowControl/>
        <w:rPr>
          <w:rFonts w:cs="Calibri"/>
        </w:rPr>
      </w:pPr>
      <w:r w:rsidRPr="00D17514">
        <w:rPr>
          <w:rFonts w:cs="Calibri"/>
        </w:rPr>
        <w:t xml:space="preserve">During the review period, </w:t>
      </w:r>
      <w:r w:rsidR="725C0801" w:rsidRPr="00D17514">
        <w:rPr>
          <w:rFonts w:cs="Calibri"/>
        </w:rPr>
        <w:t>AKOSH implement</w:t>
      </w:r>
      <w:r w:rsidR="000B3F30" w:rsidRPr="00D17514">
        <w:rPr>
          <w:rFonts w:cs="Calibri"/>
        </w:rPr>
        <w:t>ed</w:t>
      </w:r>
      <w:r w:rsidR="00076005" w:rsidRPr="00D17514">
        <w:rPr>
          <w:rFonts w:cs="Calibri"/>
        </w:rPr>
        <w:t xml:space="preserve"> one new federal program change, </w:t>
      </w:r>
      <w:r w:rsidR="0035405F" w:rsidRPr="00D17514">
        <w:rPr>
          <w:rFonts w:cs="Calibri"/>
        </w:rPr>
        <w:t xml:space="preserve">the </w:t>
      </w:r>
      <w:r w:rsidR="00A7704B" w:rsidRPr="00D17514">
        <w:rPr>
          <w:rFonts w:cs="Calibri"/>
        </w:rPr>
        <w:t>Consultation Policies and Procedures Manual</w:t>
      </w:r>
      <w:r w:rsidR="00512E1C" w:rsidRPr="00D17514">
        <w:rPr>
          <w:rFonts w:cs="Calibri"/>
        </w:rPr>
        <w:t xml:space="preserve">, and continued to </w:t>
      </w:r>
      <w:r w:rsidR="497E8874" w:rsidRPr="00D17514">
        <w:rPr>
          <w:rFonts w:cs="Calibri"/>
        </w:rPr>
        <w:t xml:space="preserve">update and revise </w:t>
      </w:r>
      <w:r w:rsidR="00490AA6" w:rsidRPr="00D17514">
        <w:rPr>
          <w:rFonts w:cs="Calibri"/>
        </w:rPr>
        <w:t xml:space="preserve">the </w:t>
      </w:r>
      <w:r w:rsidR="497E8874" w:rsidRPr="00D17514">
        <w:rPr>
          <w:rFonts w:cs="Calibri"/>
        </w:rPr>
        <w:t xml:space="preserve">Whistleblower </w:t>
      </w:r>
      <w:r w:rsidR="00F507E9" w:rsidRPr="00D17514">
        <w:rPr>
          <w:rFonts w:cs="Calibri"/>
        </w:rPr>
        <w:t>Investigation Manual</w:t>
      </w:r>
      <w:r w:rsidR="497E8874" w:rsidRPr="00D17514">
        <w:rPr>
          <w:rFonts w:cs="Calibri"/>
        </w:rPr>
        <w:t xml:space="preserve">.  </w:t>
      </w:r>
      <w:r w:rsidR="005A24BE" w:rsidRPr="00D17514">
        <w:rPr>
          <w:rFonts w:cs="Calibri"/>
        </w:rPr>
        <w:t>Finally</w:t>
      </w:r>
      <w:r w:rsidR="002A2FF1" w:rsidRPr="00D17514">
        <w:rPr>
          <w:rFonts w:cs="Calibri"/>
        </w:rPr>
        <w:t xml:space="preserve">, AKOSH management continued to conduct </w:t>
      </w:r>
      <w:r w:rsidR="00FE7A2E">
        <w:rPr>
          <w:rFonts w:cs="Calibri"/>
        </w:rPr>
        <w:t xml:space="preserve">frequent </w:t>
      </w:r>
      <w:r w:rsidR="00D17514">
        <w:rPr>
          <w:rFonts w:cs="Calibri"/>
        </w:rPr>
        <w:t xml:space="preserve">self-evaluations </w:t>
      </w:r>
      <w:r w:rsidR="002A2FF1" w:rsidRPr="00D17514">
        <w:rPr>
          <w:rFonts w:cs="Calibri"/>
        </w:rPr>
        <w:t>to address FY 202</w:t>
      </w:r>
      <w:r w:rsidR="00BF75EF" w:rsidRPr="00D17514">
        <w:rPr>
          <w:rFonts w:cs="Calibri"/>
        </w:rPr>
        <w:t>3</w:t>
      </w:r>
      <w:r w:rsidR="002A2FF1" w:rsidRPr="00D17514">
        <w:rPr>
          <w:rFonts w:cs="Calibri"/>
        </w:rPr>
        <w:t xml:space="preserve"> findings and observations. </w:t>
      </w:r>
      <w:r w:rsidR="001D784D" w:rsidRPr="00D17514">
        <w:rPr>
          <w:rFonts w:cs="Calibri"/>
        </w:rPr>
        <w:t xml:space="preserve"> </w:t>
      </w:r>
    </w:p>
    <w:p w14:paraId="58080067" w14:textId="77777777" w:rsidR="00792F9B" w:rsidRDefault="00792F9B">
      <w:pPr>
        <w:widowControl/>
        <w:rPr>
          <w:rFonts w:cs="Calibri"/>
        </w:rPr>
      </w:pPr>
    </w:p>
    <w:p w14:paraId="0AB1805E" w14:textId="1AF4D1F7" w:rsidR="00652E3D" w:rsidRPr="00D17514" w:rsidRDefault="000D006C">
      <w:pPr>
        <w:widowControl/>
        <w:rPr>
          <w:rFonts w:cs="Calibri"/>
        </w:rPr>
      </w:pPr>
      <w:r>
        <w:rPr>
          <w:rFonts w:cs="Calibri"/>
        </w:rPr>
        <w:t>T</w:t>
      </w:r>
      <w:r w:rsidR="002F6774">
        <w:rPr>
          <w:rFonts w:cs="Calibri"/>
        </w:rPr>
        <w:t xml:space="preserve">he Alaska State Plan </w:t>
      </w:r>
      <w:r w:rsidR="00E729AC">
        <w:rPr>
          <w:rFonts w:cs="Calibri"/>
        </w:rPr>
        <w:t xml:space="preserve">made progress to close </w:t>
      </w:r>
      <w:r w:rsidR="00C17EED">
        <w:rPr>
          <w:rFonts w:cs="Calibri"/>
        </w:rPr>
        <w:t>three</w:t>
      </w:r>
      <w:r w:rsidR="00E729AC">
        <w:rPr>
          <w:rFonts w:cs="Calibri"/>
        </w:rPr>
        <w:t xml:space="preserve"> observation</w:t>
      </w:r>
      <w:r w:rsidR="00E84C30">
        <w:rPr>
          <w:rFonts w:cs="Calibri"/>
        </w:rPr>
        <w:t>s</w:t>
      </w:r>
      <w:r w:rsidR="00E729AC">
        <w:rPr>
          <w:rFonts w:cs="Calibri"/>
        </w:rPr>
        <w:t xml:space="preserve"> </w:t>
      </w:r>
      <w:r w:rsidR="00792F9B">
        <w:rPr>
          <w:rFonts w:cs="Calibri"/>
        </w:rPr>
        <w:t xml:space="preserve">from the FY 2023 Comprehensive FAME </w:t>
      </w:r>
      <w:r w:rsidR="00F1498B">
        <w:rPr>
          <w:rFonts w:cs="Calibri"/>
        </w:rPr>
        <w:t>R</w:t>
      </w:r>
      <w:r w:rsidR="00792F9B">
        <w:rPr>
          <w:rFonts w:cs="Calibri"/>
        </w:rPr>
        <w:t xml:space="preserve">eport.  </w:t>
      </w:r>
      <w:r w:rsidR="008016A3">
        <w:rPr>
          <w:rFonts w:cs="Calibri"/>
        </w:rPr>
        <w:t xml:space="preserve">There were no new findings or observations resulting from this review period.  </w:t>
      </w:r>
      <w:r w:rsidR="00E729AC">
        <w:rPr>
          <w:rFonts w:cs="Calibri"/>
        </w:rPr>
        <w:t>However, there were t</w:t>
      </w:r>
      <w:r w:rsidR="00FE7A2E">
        <w:rPr>
          <w:rFonts w:cs="Calibri"/>
        </w:rPr>
        <w:t xml:space="preserve">wo </w:t>
      </w:r>
      <w:r w:rsidR="0C2B7204" w:rsidRPr="00D17514">
        <w:rPr>
          <w:rFonts w:cs="Calibri"/>
        </w:rPr>
        <w:t>continued</w:t>
      </w:r>
      <w:r w:rsidR="002A2FF1" w:rsidRPr="00D17514">
        <w:rPr>
          <w:rFonts w:cs="Calibri"/>
        </w:rPr>
        <w:t xml:space="preserve"> finding</w:t>
      </w:r>
      <w:r w:rsidR="00FE7A2E">
        <w:rPr>
          <w:rFonts w:cs="Calibri"/>
        </w:rPr>
        <w:t xml:space="preserve">s and </w:t>
      </w:r>
      <w:r w:rsidR="00C17EED">
        <w:rPr>
          <w:rFonts w:cs="Calibri"/>
        </w:rPr>
        <w:t>seven</w:t>
      </w:r>
      <w:r w:rsidR="00E729AC" w:rsidRPr="00D17514">
        <w:rPr>
          <w:rFonts w:cs="Calibri"/>
        </w:rPr>
        <w:t xml:space="preserve"> </w:t>
      </w:r>
      <w:r w:rsidR="003F65DF" w:rsidRPr="00D17514">
        <w:rPr>
          <w:rFonts w:cs="Calibri"/>
        </w:rPr>
        <w:t>continued</w:t>
      </w:r>
      <w:r w:rsidR="002A2FF1" w:rsidRPr="00D17514">
        <w:rPr>
          <w:rFonts w:cs="Calibri"/>
        </w:rPr>
        <w:t xml:space="preserve"> observations</w:t>
      </w:r>
      <w:r w:rsidR="00A03072">
        <w:rPr>
          <w:rFonts w:cs="Calibri"/>
        </w:rPr>
        <w:t xml:space="preserve"> </w:t>
      </w:r>
      <w:r w:rsidR="00E729AC">
        <w:rPr>
          <w:rFonts w:cs="Calibri"/>
        </w:rPr>
        <w:t xml:space="preserve">that </w:t>
      </w:r>
      <w:r w:rsidR="005459B6">
        <w:rPr>
          <w:rFonts w:cs="Calibri"/>
        </w:rPr>
        <w:t xml:space="preserve">will be the focus </w:t>
      </w:r>
      <w:r w:rsidR="00716868">
        <w:rPr>
          <w:rFonts w:cs="Calibri"/>
        </w:rPr>
        <w:t>for</w:t>
      </w:r>
      <w:r w:rsidR="005459B6">
        <w:rPr>
          <w:rFonts w:cs="Calibri"/>
        </w:rPr>
        <w:t xml:space="preserve"> FY 2025</w:t>
      </w:r>
      <w:r w:rsidR="0079470F" w:rsidRPr="00D17514">
        <w:rPr>
          <w:rFonts w:cs="Calibri"/>
        </w:rPr>
        <w:t>.</w:t>
      </w:r>
      <w:r w:rsidR="002A2FF1" w:rsidRPr="00D17514">
        <w:rPr>
          <w:rFonts w:cs="Calibri"/>
        </w:rPr>
        <w:t xml:space="preserve"> </w:t>
      </w:r>
    </w:p>
    <w:p w14:paraId="0AB1805F" w14:textId="77777777" w:rsidR="00652E3D" w:rsidRDefault="00652E3D">
      <w:pPr>
        <w:widowControl/>
        <w:autoSpaceDE/>
        <w:autoSpaceDN/>
        <w:adjustRightInd/>
        <w:rPr>
          <w:rFonts w:cs="Calibri"/>
          <w:color w:val="0070C0"/>
        </w:rPr>
      </w:pPr>
    </w:p>
    <w:p w14:paraId="0AB18060" w14:textId="77777777" w:rsidR="00652E3D" w:rsidRDefault="002A2FF1" w:rsidP="00353B45">
      <w:pPr>
        <w:pStyle w:val="Heading2"/>
      </w:pPr>
      <w:bookmarkStart w:id="7" w:name="_Toc118900171"/>
      <w:bookmarkStart w:id="8" w:name="_Toc118905010"/>
      <w:bookmarkStart w:id="9" w:name="_Toc187654005"/>
      <w:r>
        <w:t>State Plan Background</w:t>
      </w:r>
      <w:bookmarkEnd w:id="7"/>
      <w:bookmarkEnd w:id="8"/>
      <w:bookmarkEnd w:id="9"/>
    </w:p>
    <w:p w14:paraId="0AB18061" w14:textId="77777777" w:rsidR="00652E3D" w:rsidRDefault="00652E3D">
      <w:pPr>
        <w:widowControl/>
        <w:autoSpaceDE/>
        <w:autoSpaceDN/>
        <w:adjustRightInd/>
        <w:rPr>
          <w:rFonts w:cs="Calibri"/>
          <w:i/>
        </w:rPr>
      </w:pPr>
    </w:p>
    <w:p w14:paraId="0AB18062" w14:textId="37FB1296" w:rsidR="00652E3D" w:rsidRDefault="002A2FF1">
      <w:pPr>
        <w:widowControl/>
        <w:autoSpaceDE/>
        <w:autoSpaceDN/>
        <w:adjustRightInd/>
        <w:rPr>
          <w:rFonts w:cs="Calibri"/>
          <w:iCs/>
        </w:rPr>
      </w:pPr>
      <w:r>
        <w:rPr>
          <w:rFonts w:cs="Calibri"/>
          <w:iCs/>
        </w:rPr>
        <w:t xml:space="preserve">The State of Alaska, in accordance with Section 18 of the Occupational Safety and Health Act of 1970, operated an occupational safety and health program through its Department of Labor and Workforce Development, Labor Standards and Safety Division, Occupational Safety and Health. </w:t>
      </w:r>
      <w:r w:rsidR="002E118D">
        <w:rPr>
          <w:rFonts w:cs="Calibri"/>
          <w:iCs/>
        </w:rPr>
        <w:t xml:space="preserve"> </w:t>
      </w:r>
      <w:r>
        <w:rPr>
          <w:rFonts w:cs="Calibri"/>
          <w:iCs/>
        </w:rPr>
        <w:t xml:space="preserve">Alaska received approval for the </w:t>
      </w:r>
      <w:r w:rsidR="000D006C">
        <w:rPr>
          <w:rFonts w:cs="Calibri"/>
          <w:iCs/>
        </w:rPr>
        <w:t>S</w:t>
      </w:r>
      <w:r>
        <w:rPr>
          <w:rFonts w:cs="Calibri"/>
          <w:iCs/>
        </w:rPr>
        <w:t xml:space="preserve">tate </w:t>
      </w:r>
      <w:r w:rsidR="000D006C">
        <w:rPr>
          <w:rFonts w:cs="Calibri"/>
          <w:iCs/>
        </w:rPr>
        <w:t>P</w:t>
      </w:r>
      <w:r>
        <w:rPr>
          <w:rFonts w:cs="Calibri"/>
          <w:iCs/>
        </w:rPr>
        <w:t xml:space="preserve">lan on August 10, 1973. </w:t>
      </w:r>
      <w:r w:rsidR="00FD4ED0">
        <w:rPr>
          <w:rFonts w:cs="Calibri"/>
          <w:iCs/>
        </w:rPr>
        <w:t xml:space="preserve"> </w:t>
      </w:r>
      <w:r>
        <w:rPr>
          <w:rFonts w:cs="Calibri"/>
          <w:iCs/>
        </w:rPr>
        <w:t>On</w:t>
      </w:r>
      <w:bookmarkStart w:id="10" w:name="_bookmark2"/>
      <w:bookmarkEnd w:id="10"/>
      <w:r>
        <w:rPr>
          <w:rFonts w:cs="Calibri"/>
          <w:iCs/>
        </w:rPr>
        <w:t xml:space="preserve"> September 13, 1977, OSHA certified that all developmental steps were completed as specified in its plan and final approval was granted on September 28, 1984.</w:t>
      </w:r>
    </w:p>
    <w:p w14:paraId="0AB18063" w14:textId="77777777" w:rsidR="00652E3D" w:rsidRDefault="00652E3D">
      <w:pPr>
        <w:widowControl/>
        <w:autoSpaceDE/>
        <w:autoSpaceDN/>
        <w:adjustRightInd/>
        <w:rPr>
          <w:rFonts w:cs="Calibri"/>
          <w:iCs/>
        </w:rPr>
      </w:pPr>
    </w:p>
    <w:p w14:paraId="0AB18064" w14:textId="0018F17D" w:rsidR="00652E3D" w:rsidRDefault="002A2FF1">
      <w:pPr>
        <w:widowControl/>
        <w:autoSpaceDE/>
        <w:autoSpaceDN/>
        <w:adjustRightInd/>
        <w:rPr>
          <w:rFonts w:cs="Calibri"/>
          <w:iCs/>
        </w:rPr>
      </w:pPr>
      <w:r>
        <w:rPr>
          <w:rFonts w:cs="Calibri"/>
          <w:iCs/>
        </w:rPr>
        <w:t xml:space="preserve">The </w:t>
      </w:r>
      <w:r w:rsidR="0099231A">
        <w:rPr>
          <w:rFonts w:cs="Calibri"/>
          <w:iCs/>
        </w:rPr>
        <w:t>AKOSH</w:t>
      </w:r>
      <w:r>
        <w:rPr>
          <w:rFonts w:cs="Calibri"/>
          <w:iCs/>
        </w:rPr>
        <w:t xml:space="preserve"> Program is part of the Alaska Department of Labor and Workforce Development, which falls under the Division of Labor Standards and Safety. </w:t>
      </w:r>
      <w:r w:rsidR="00272C0A">
        <w:rPr>
          <w:rFonts w:cs="Calibri"/>
          <w:iCs/>
        </w:rPr>
        <w:t xml:space="preserve"> </w:t>
      </w:r>
      <w:r w:rsidR="000D006C">
        <w:rPr>
          <w:rFonts w:cs="Calibri"/>
          <w:iCs/>
        </w:rPr>
        <w:t xml:space="preserve">During the period of this report, </w:t>
      </w:r>
      <w:r w:rsidR="002244DC">
        <w:rPr>
          <w:rFonts w:cs="Calibri"/>
          <w:iCs/>
        </w:rPr>
        <w:t>k</w:t>
      </w:r>
      <w:r>
        <w:rPr>
          <w:rFonts w:cs="Calibri"/>
          <w:iCs/>
        </w:rPr>
        <w:t>ey leadership positions include</w:t>
      </w:r>
      <w:r w:rsidR="00343AD5">
        <w:rPr>
          <w:rFonts w:cs="Calibri"/>
          <w:iCs/>
        </w:rPr>
        <w:t>d</w:t>
      </w:r>
      <w:r>
        <w:rPr>
          <w:rFonts w:cs="Calibri"/>
          <w:iCs/>
        </w:rPr>
        <w:t xml:space="preserve"> the Commissioner, </w:t>
      </w:r>
      <w:r w:rsidR="00D829BC">
        <w:t xml:space="preserve">Catherine </w:t>
      </w:r>
      <w:r w:rsidR="009E25EE" w:rsidRPr="001C305F">
        <w:t>Muñoz</w:t>
      </w:r>
      <w:r>
        <w:rPr>
          <w:rFonts w:cs="Calibri"/>
          <w:iCs/>
        </w:rPr>
        <w:t xml:space="preserve">, who </w:t>
      </w:r>
      <w:r w:rsidR="00343AD5">
        <w:rPr>
          <w:rFonts w:cs="Calibri"/>
          <w:iCs/>
        </w:rPr>
        <w:t>was the State Plan Designee</w:t>
      </w:r>
      <w:r w:rsidR="007E6029">
        <w:rPr>
          <w:rFonts w:cs="Calibri"/>
          <w:iCs/>
        </w:rPr>
        <w:t>.</w:t>
      </w:r>
      <w:r w:rsidR="00343AD5">
        <w:rPr>
          <w:rFonts w:cs="Calibri"/>
          <w:iCs/>
        </w:rPr>
        <w:t xml:space="preserve"> </w:t>
      </w:r>
      <w:r w:rsidR="006B488F">
        <w:rPr>
          <w:rFonts w:cs="Calibri"/>
          <w:iCs/>
        </w:rPr>
        <w:t xml:space="preserve"> </w:t>
      </w:r>
      <w:r w:rsidR="00343AD5">
        <w:rPr>
          <w:rFonts w:cs="Calibri"/>
          <w:iCs/>
        </w:rPr>
        <w:t>The</w:t>
      </w:r>
      <w:r>
        <w:rPr>
          <w:rFonts w:cs="Calibri"/>
          <w:iCs/>
        </w:rPr>
        <w:t xml:space="preserve"> Division Director</w:t>
      </w:r>
      <w:r w:rsidR="00343AD5">
        <w:rPr>
          <w:rFonts w:cs="Calibri"/>
          <w:iCs/>
        </w:rPr>
        <w:t>,</w:t>
      </w:r>
      <w:r>
        <w:rPr>
          <w:rFonts w:cs="Calibri"/>
          <w:iCs/>
        </w:rPr>
        <w:t xml:space="preserve"> </w:t>
      </w:r>
      <w:r>
        <w:rPr>
          <w:bCs/>
        </w:rPr>
        <w:t>Tanya Keith</w:t>
      </w:r>
      <w:r>
        <w:rPr>
          <w:rFonts w:cs="Calibri"/>
          <w:iCs/>
        </w:rPr>
        <w:t>, head</w:t>
      </w:r>
      <w:r w:rsidR="000D006C">
        <w:rPr>
          <w:rFonts w:cs="Calibri"/>
          <w:iCs/>
        </w:rPr>
        <w:t>ed</w:t>
      </w:r>
      <w:r>
        <w:rPr>
          <w:rFonts w:cs="Calibri"/>
          <w:iCs/>
        </w:rPr>
        <w:t xml:space="preserve"> the Labor Standards and Safety Division. </w:t>
      </w:r>
      <w:r w:rsidR="00272C0A">
        <w:rPr>
          <w:rFonts w:cs="Calibri"/>
          <w:iCs/>
        </w:rPr>
        <w:t xml:space="preserve"> </w:t>
      </w:r>
      <w:r>
        <w:rPr>
          <w:rFonts w:cs="Calibri"/>
          <w:iCs/>
        </w:rPr>
        <w:t>AKOSH is divided into two sections: Enforcement and Consultation and Training</w:t>
      </w:r>
      <w:r w:rsidR="006B488F">
        <w:rPr>
          <w:rFonts w:cs="Calibri"/>
          <w:iCs/>
        </w:rPr>
        <w:t xml:space="preserve"> (C&amp;T)</w:t>
      </w:r>
      <w:r>
        <w:rPr>
          <w:rFonts w:cs="Calibri"/>
          <w:iCs/>
        </w:rPr>
        <w:t xml:space="preserve">. </w:t>
      </w:r>
      <w:r w:rsidR="00FD4ED0">
        <w:rPr>
          <w:rFonts w:cs="Calibri"/>
          <w:iCs/>
        </w:rPr>
        <w:t xml:space="preserve"> </w:t>
      </w:r>
      <w:r w:rsidR="003553F8">
        <w:rPr>
          <w:rFonts w:cs="Calibri"/>
          <w:iCs/>
        </w:rPr>
        <w:t>Dale Williamson served as the Chief of Enforcement</w:t>
      </w:r>
      <w:r w:rsidR="003A6A69">
        <w:rPr>
          <w:rFonts w:cs="Calibri"/>
          <w:iCs/>
        </w:rPr>
        <w:t xml:space="preserve"> and had oversight over the</w:t>
      </w:r>
      <w:r w:rsidR="003553F8">
        <w:rPr>
          <w:rFonts w:cs="Calibri"/>
          <w:iCs/>
        </w:rPr>
        <w:t xml:space="preserve"> </w:t>
      </w:r>
      <w:r w:rsidR="0081291F">
        <w:rPr>
          <w:rFonts w:cs="Calibri"/>
          <w:iCs/>
        </w:rPr>
        <w:t>e</w:t>
      </w:r>
      <w:r>
        <w:rPr>
          <w:rFonts w:cs="Calibri"/>
          <w:iCs/>
        </w:rPr>
        <w:t xml:space="preserve">nforcement </w:t>
      </w:r>
      <w:r w:rsidR="0081291F">
        <w:rPr>
          <w:rFonts w:cs="Calibri"/>
          <w:iCs/>
        </w:rPr>
        <w:t>division</w:t>
      </w:r>
      <w:r w:rsidR="003A6A69">
        <w:rPr>
          <w:rFonts w:cs="Calibri"/>
          <w:iCs/>
        </w:rPr>
        <w:t xml:space="preserve"> and</w:t>
      </w:r>
      <w:r w:rsidR="00675D59">
        <w:rPr>
          <w:rFonts w:cs="Calibri"/>
          <w:iCs/>
        </w:rPr>
        <w:t xml:space="preserve"> </w:t>
      </w:r>
      <w:r w:rsidR="0081291F">
        <w:rPr>
          <w:rFonts w:cs="Calibri"/>
          <w:iCs/>
        </w:rPr>
        <w:t>whistleblower retaliation program</w:t>
      </w:r>
      <w:r w:rsidR="003A6A69">
        <w:rPr>
          <w:rFonts w:cs="Calibri"/>
          <w:iCs/>
        </w:rPr>
        <w:t>.</w:t>
      </w:r>
      <w:r w:rsidR="005459B6">
        <w:rPr>
          <w:rFonts w:cs="Calibri"/>
          <w:iCs/>
        </w:rPr>
        <w:t xml:space="preserve"> </w:t>
      </w:r>
      <w:r w:rsidR="009975B6">
        <w:rPr>
          <w:rFonts w:cs="Calibri"/>
          <w:iCs/>
        </w:rPr>
        <w:t xml:space="preserve"> </w:t>
      </w:r>
      <w:r w:rsidR="003A6A69">
        <w:rPr>
          <w:rFonts w:cs="Calibri"/>
          <w:iCs/>
        </w:rPr>
        <w:t xml:space="preserve">Elaine Banda served as the Chief of </w:t>
      </w:r>
      <w:r w:rsidR="008E3B05">
        <w:rPr>
          <w:rFonts w:cs="Calibri"/>
          <w:iCs/>
        </w:rPr>
        <w:t xml:space="preserve">C&amp;T </w:t>
      </w:r>
      <w:r w:rsidR="0060058B">
        <w:rPr>
          <w:rFonts w:cs="Calibri"/>
          <w:iCs/>
        </w:rPr>
        <w:t xml:space="preserve">through </w:t>
      </w:r>
      <w:r w:rsidR="00BF64BA">
        <w:rPr>
          <w:rFonts w:cs="Calibri"/>
          <w:iCs/>
        </w:rPr>
        <w:t>July 2024</w:t>
      </w:r>
      <w:r w:rsidR="0060058B">
        <w:rPr>
          <w:rFonts w:cs="Calibri"/>
          <w:iCs/>
        </w:rPr>
        <w:t xml:space="preserve">, </w:t>
      </w:r>
      <w:r w:rsidR="003A6A69">
        <w:rPr>
          <w:rFonts w:cs="Calibri"/>
          <w:iCs/>
        </w:rPr>
        <w:t xml:space="preserve">and then </w:t>
      </w:r>
      <w:r w:rsidR="00E0530F">
        <w:rPr>
          <w:rFonts w:cs="Calibri"/>
          <w:iCs/>
        </w:rPr>
        <w:t>Mitch Wallace</w:t>
      </w:r>
      <w:r w:rsidR="00F532F3">
        <w:rPr>
          <w:rFonts w:cs="Calibri"/>
          <w:iCs/>
        </w:rPr>
        <w:t xml:space="preserve"> as Acting Chief of C&amp;T</w:t>
      </w:r>
      <w:r w:rsidR="00E0530F">
        <w:rPr>
          <w:rFonts w:cs="Calibri"/>
          <w:iCs/>
        </w:rPr>
        <w:t xml:space="preserve"> through the remainder of the </w:t>
      </w:r>
      <w:r w:rsidR="0072700F">
        <w:rPr>
          <w:rFonts w:cs="Calibri"/>
          <w:iCs/>
        </w:rPr>
        <w:t>evaluation period</w:t>
      </w:r>
      <w:r>
        <w:rPr>
          <w:rFonts w:cs="Calibri"/>
          <w:iCs/>
        </w:rPr>
        <w:t xml:space="preserve">. </w:t>
      </w:r>
    </w:p>
    <w:p w14:paraId="501FABE4" w14:textId="77777777" w:rsidR="00F87333" w:rsidRDefault="00F87333">
      <w:pPr>
        <w:widowControl/>
        <w:autoSpaceDE/>
        <w:autoSpaceDN/>
        <w:adjustRightInd/>
        <w:rPr>
          <w:rFonts w:cs="Calibri"/>
          <w:iCs/>
        </w:rPr>
      </w:pPr>
    </w:p>
    <w:p w14:paraId="3A56A4DC" w14:textId="06382EB3" w:rsidR="008518F2" w:rsidRPr="00F87333" w:rsidRDefault="008518F2" w:rsidP="00F87333">
      <w:pPr>
        <w:widowControl/>
        <w:autoSpaceDE/>
        <w:autoSpaceDN/>
        <w:adjustRightInd/>
        <w:rPr>
          <w:rFonts w:cs="Calibri"/>
          <w:iCs/>
        </w:rPr>
      </w:pPr>
      <w:r w:rsidRPr="70748B7B">
        <w:rPr>
          <w:rFonts w:asciiTheme="minorHAnsi" w:eastAsia="Calibri" w:hAnsiTheme="minorHAnsi" w:cstheme="minorBidi"/>
        </w:rPr>
        <w:t xml:space="preserve">The </w:t>
      </w:r>
      <w:proofErr w:type="gramStart"/>
      <w:r w:rsidRPr="70748B7B">
        <w:rPr>
          <w:rFonts w:asciiTheme="minorHAnsi" w:eastAsia="Calibri" w:hAnsiTheme="minorHAnsi" w:cstheme="minorBidi"/>
        </w:rPr>
        <w:t>23(g) grant</w:t>
      </w:r>
      <w:proofErr w:type="gramEnd"/>
      <w:r w:rsidRPr="70748B7B">
        <w:rPr>
          <w:rFonts w:asciiTheme="minorHAnsi" w:eastAsia="Calibri" w:hAnsiTheme="minorHAnsi" w:cstheme="minorBidi"/>
        </w:rPr>
        <w:t xml:space="preserve"> provided funding for a staff comprised of </w:t>
      </w:r>
      <w:r w:rsidR="00C47439" w:rsidRPr="70748B7B">
        <w:rPr>
          <w:rFonts w:asciiTheme="minorHAnsi" w:eastAsia="Calibri" w:hAnsiTheme="minorHAnsi" w:cstheme="minorBidi"/>
        </w:rPr>
        <w:t>1.98</w:t>
      </w:r>
      <w:r w:rsidRPr="70748B7B">
        <w:rPr>
          <w:rFonts w:asciiTheme="minorHAnsi" w:eastAsia="Calibri" w:hAnsiTheme="minorHAnsi" w:cstheme="minorBidi"/>
        </w:rPr>
        <w:t xml:space="preserve"> </w:t>
      </w:r>
      <w:r w:rsidR="002244DC">
        <w:rPr>
          <w:rFonts w:asciiTheme="minorHAnsi" w:eastAsia="Calibri" w:hAnsiTheme="minorHAnsi" w:cstheme="minorBidi"/>
        </w:rPr>
        <w:t>full-time equivalent (</w:t>
      </w:r>
      <w:r w:rsidRPr="70748B7B">
        <w:rPr>
          <w:rFonts w:asciiTheme="minorHAnsi" w:eastAsia="Calibri" w:hAnsiTheme="minorHAnsi" w:cstheme="minorBidi"/>
        </w:rPr>
        <w:t>FTE</w:t>
      </w:r>
      <w:r w:rsidR="002244DC">
        <w:rPr>
          <w:rFonts w:asciiTheme="minorHAnsi" w:eastAsia="Calibri" w:hAnsiTheme="minorHAnsi" w:cstheme="minorBidi"/>
        </w:rPr>
        <w:t>)</w:t>
      </w:r>
      <w:r w:rsidRPr="70748B7B">
        <w:rPr>
          <w:rFonts w:asciiTheme="minorHAnsi" w:eastAsia="Calibri" w:hAnsiTheme="minorHAnsi" w:cstheme="minorBidi"/>
        </w:rPr>
        <w:t xml:space="preserve"> managers, </w:t>
      </w:r>
      <w:r w:rsidR="00C47439" w:rsidRPr="70748B7B">
        <w:rPr>
          <w:rFonts w:asciiTheme="minorHAnsi" w:eastAsia="Calibri" w:hAnsiTheme="minorHAnsi" w:cstheme="minorBidi"/>
        </w:rPr>
        <w:t>2.46</w:t>
      </w:r>
      <w:r w:rsidRPr="70748B7B">
        <w:rPr>
          <w:rFonts w:asciiTheme="minorHAnsi" w:eastAsia="Calibri" w:hAnsiTheme="minorHAnsi" w:cstheme="minorBidi"/>
        </w:rPr>
        <w:t xml:space="preserve"> FTE first-line supervisors, </w:t>
      </w:r>
      <w:r w:rsidR="00A87BA2" w:rsidRPr="70748B7B" w:rsidDel="003B3036">
        <w:rPr>
          <w:rFonts w:asciiTheme="minorHAnsi" w:eastAsia="Calibri" w:hAnsiTheme="minorHAnsi" w:cstheme="minorBidi"/>
        </w:rPr>
        <w:t>6</w:t>
      </w:r>
      <w:r w:rsidR="00CF4912" w:rsidRPr="70748B7B">
        <w:rPr>
          <w:rFonts w:asciiTheme="minorHAnsi" w:eastAsia="Calibri" w:hAnsiTheme="minorHAnsi" w:cstheme="minorBidi"/>
        </w:rPr>
        <w:t>.00</w:t>
      </w:r>
      <w:r w:rsidRPr="70748B7B">
        <w:rPr>
          <w:rFonts w:asciiTheme="minorHAnsi" w:eastAsia="Calibri" w:hAnsiTheme="minorHAnsi" w:cstheme="minorBidi"/>
        </w:rPr>
        <w:t xml:space="preserve"> FTE safety compliance officers, </w:t>
      </w:r>
      <w:r w:rsidR="00A87BA2" w:rsidRPr="70748B7B" w:rsidDel="003B3036">
        <w:rPr>
          <w:rFonts w:asciiTheme="minorHAnsi" w:eastAsia="Calibri" w:hAnsiTheme="minorHAnsi" w:cstheme="minorBidi"/>
        </w:rPr>
        <w:t>5</w:t>
      </w:r>
      <w:r w:rsidR="00CF4912" w:rsidRPr="70748B7B">
        <w:rPr>
          <w:rFonts w:asciiTheme="minorHAnsi" w:eastAsia="Calibri" w:hAnsiTheme="minorHAnsi" w:cstheme="minorBidi"/>
        </w:rPr>
        <w:t>.00</w:t>
      </w:r>
      <w:r w:rsidRPr="70748B7B">
        <w:rPr>
          <w:rFonts w:asciiTheme="minorHAnsi" w:eastAsia="Calibri" w:hAnsiTheme="minorHAnsi" w:cstheme="minorBidi"/>
        </w:rPr>
        <w:t xml:space="preserve"> </w:t>
      </w:r>
      <w:r w:rsidR="007F26A9" w:rsidRPr="70748B7B">
        <w:rPr>
          <w:rFonts w:asciiTheme="minorHAnsi" w:eastAsia="Calibri" w:hAnsiTheme="minorHAnsi" w:cstheme="minorBidi"/>
        </w:rPr>
        <w:t>FTE health</w:t>
      </w:r>
      <w:r w:rsidRPr="70748B7B">
        <w:rPr>
          <w:rFonts w:asciiTheme="minorHAnsi" w:eastAsia="Calibri" w:hAnsiTheme="minorHAnsi" w:cstheme="minorBidi"/>
        </w:rPr>
        <w:t xml:space="preserve"> compliance officers, </w:t>
      </w:r>
      <w:r w:rsidR="00CF4912" w:rsidRPr="70748B7B">
        <w:rPr>
          <w:rFonts w:asciiTheme="minorHAnsi" w:eastAsia="Calibri" w:hAnsiTheme="minorHAnsi" w:cstheme="minorBidi"/>
        </w:rPr>
        <w:t>1.00</w:t>
      </w:r>
      <w:r w:rsidRPr="70748B7B">
        <w:rPr>
          <w:rFonts w:asciiTheme="minorHAnsi" w:eastAsia="Calibri" w:hAnsiTheme="minorHAnsi" w:cstheme="minorBidi"/>
        </w:rPr>
        <w:t xml:space="preserve"> FTE whistleblower retaliation investigator, </w:t>
      </w:r>
      <w:r w:rsidR="005D619C" w:rsidRPr="70748B7B">
        <w:rPr>
          <w:rFonts w:asciiTheme="minorHAnsi" w:eastAsia="Calibri" w:hAnsiTheme="minorHAnsi" w:cstheme="minorBidi"/>
        </w:rPr>
        <w:t>5.52</w:t>
      </w:r>
      <w:r w:rsidRPr="70748B7B">
        <w:rPr>
          <w:rFonts w:asciiTheme="minorHAnsi" w:eastAsia="Calibri" w:hAnsiTheme="minorHAnsi" w:cstheme="minorBidi"/>
        </w:rPr>
        <w:t xml:space="preserve"> FTE clerical/administrative staff.  </w:t>
      </w:r>
      <w:r w:rsidR="00F87333" w:rsidRPr="70748B7B">
        <w:rPr>
          <w:rFonts w:asciiTheme="minorHAnsi" w:eastAsia="Calibri" w:hAnsiTheme="minorHAnsi" w:cstheme="minorBidi"/>
        </w:rPr>
        <w:t xml:space="preserve">AKOSH funded </w:t>
      </w:r>
      <w:r w:rsidR="00E310B4" w:rsidRPr="70748B7B">
        <w:rPr>
          <w:rFonts w:asciiTheme="minorHAnsi" w:eastAsia="Calibri" w:hAnsiTheme="minorHAnsi" w:cstheme="minorBidi"/>
        </w:rPr>
        <w:t>1.25</w:t>
      </w:r>
      <w:r w:rsidR="00F87333" w:rsidRPr="70748B7B">
        <w:rPr>
          <w:rFonts w:asciiTheme="minorHAnsi" w:eastAsia="Calibri" w:hAnsiTheme="minorHAnsi" w:cstheme="minorBidi"/>
        </w:rPr>
        <w:t xml:space="preserve"> FTE safety consultant positions and 0.</w:t>
      </w:r>
      <w:r w:rsidR="00E310B4" w:rsidRPr="70748B7B">
        <w:rPr>
          <w:rFonts w:asciiTheme="minorHAnsi" w:eastAsia="Calibri" w:hAnsiTheme="minorHAnsi" w:cstheme="minorBidi"/>
        </w:rPr>
        <w:t>8</w:t>
      </w:r>
      <w:r w:rsidR="00F87333" w:rsidRPr="70748B7B">
        <w:rPr>
          <w:rFonts w:asciiTheme="minorHAnsi" w:eastAsia="Calibri" w:hAnsiTheme="minorHAnsi" w:cstheme="minorBidi"/>
        </w:rPr>
        <w:t xml:space="preserve">0 FTE health consultant positions as state and local government consultants under the 23(g) grant.  </w:t>
      </w:r>
      <w:r w:rsidR="00FA5D30" w:rsidRPr="70748B7B">
        <w:rPr>
          <w:rFonts w:asciiTheme="minorHAnsi" w:eastAsia="Calibri" w:hAnsiTheme="minorHAnsi" w:cstheme="minorBidi"/>
        </w:rPr>
        <w:t>An additional 1.00</w:t>
      </w:r>
      <w:r w:rsidR="00F87333" w:rsidRPr="70748B7B">
        <w:rPr>
          <w:rFonts w:asciiTheme="minorHAnsi" w:eastAsia="Calibri" w:hAnsiTheme="minorHAnsi" w:cstheme="minorBidi"/>
        </w:rPr>
        <w:t xml:space="preserve"> FTE was funded for compliance assistance activities and </w:t>
      </w:r>
      <w:r w:rsidR="00F87333" w:rsidRPr="53EF6331">
        <w:rPr>
          <w:rFonts w:asciiTheme="minorHAnsi" w:eastAsia="Calibri" w:hAnsiTheme="minorHAnsi" w:cstheme="minorBidi"/>
        </w:rPr>
        <w:t>was</w:t>
      </w:r>
      <w:r w:rsidR="00F87333" w:rsidRPr="70748B7B">
        <w:rPr>
          <w:rFonts w:asciiTheme="minorHAnsi" w:eastAsia="Calibri" w:hAnsiTheme="minorHAnsi" w:cstheme="minorBidi"/>
        </w:rPr>
        <w:t xml:space="preserve"> split between several safety and health consultant positions.  </w:t>
      </w:r>
      <w:r w:rsidR="00F87333">
        <w:rPr>
          <w:rFonts w:cs="Calibri"/>
          <w:iCs/>
        </w:rPr>
        <w:t xml:space="preserve">The remainder of the consultation program activities and FTEs were funded by the 21(d) Cooperative Agreement and were evaluated in the FY 2024 Regional Annual Consultation Evaluation Report (RACER).  </w:t>
      </w:r>
    </w:p>
    <w:p w14:paraId="28C75B3E" w14:textId="77777777" w:rsidR="00F87333" w:rsidRDefault="00F87333">
      <w:pPr>
        <w:widowControl/>
        <w:autoSpaceDE/>
        <w:autoSpaceDN/>
        <w:adjustRightInd/>
        <w:rPr>
          <w:rFonts w:cs="Calibri"/>
          <w:iCs/>
        </w:rPr>
      </w:pPr>
    </w:p>
    <w:p w14:paraId="0AB18067" w14:textId="7888879C" w:rsidR="00652E3D" w:rsidRPr="0047795E" w:rsidRDefault="002A2FF1">
      <w:pPr>
        <w:widowControl/>
        <w:autoSpaceDE/>
        <w:autoSpaceDN/>
        <w:adjustRightInd/>
        <w:rPr>
          <w:rFonts w:cs="Calibri"/>
          <w:iCs/>
        </w:rPr>
      </w:pPr>
      <w:r w:rsidRPr="0047795E">
        <w:rPr>
          <w:rFonts w:cs="Calibri"/>
          <w:iCs/>
        </w:rPr>
        <w:t xml:space="preserve">AKOSH exercises jurisdiction over all private sector employers </w:t>
      </w:r>
      <w:r w:rsidR="004F6E96" w:rsidRPr="0047795E">
        <w:rPr>
          <w:rFonts w:cs="Calibri"/>
          <w:iCs/>
        </w:rPr>
        <w:t>except for</w:t>
      </w:r>
      <w:r w:rsidRPr="0047795E">
        <w:rPr>
          <w:rFonts w:cs="Calibri"/>
          <w:iCs/>
        </w:rPr>
        <w:t xml:space="preserve"> </w:t>
      </w:r>
      <w:r w:rsidR="002D1DA0" w:rsidRPr="0047795E">
        <w:rPr>
          <w:rFonts w:cs="Calibri"/>
          <w:iCs/>
        </w:rPr>
        <w:t xml:space="preserve">employers at </w:t>
      </w:r>
      <w:r w:rsidRPr="0047795E">
        <w:rPr>
          <w:rFonts w:cs="Calibri"/>
          <w:iCs/>
        </w:rPr>
        <w:t xml:space="preserve">Denali National Park, Metlakatla Indian Reservation, maritime industries, federal government-owned and contractor-operated (GOCO) native health care facilities, artificial islands, </w:t>
      </w:r>
      <w:r w:rsidR="00FB2E6C" w:rsidRPr="0047795E">
        <w:rPr>
          <w:rFonts w:cs="Calibri"/>
          <w:iCs/>
        </w:rPr>
        <w:t xml:space="preserve">and </w:t>
      </w:r>
      <w:r w:rsidRPr="0047795E">
        <w:rPr>
          <w:rFonts w:cs="Calibri"/>
          <w:iCs/>
        </w:rPr>
        <w:t>select military installations</w:t>
      </w:r>
      <w:r w:rsidR="00FB2E6C" w:rsidRPr="0047795E">
        <w:rPr>
          <w:rFonts w:cs="Calibri"/>
          <w:iCs/>
        </w:rPr>
        <w:t xml:space="preserve">. </w:t>
      </w:r>
      <w:r w:rsidR="00FD4ED0" w:rsidRPr="0047795E">
        <w:rPr>
          <w:rFonts w:cs="Calibri"/>
          <w:iCs/>
        </w:rPr>
        <w:t xml:space="preserve"> </w:t>
      </w:r>
      <w:r w:rsidR="00BC0039" w:rsidRPr="0047795E">
        <w:rPr>
          <w:rFonts w:cs="Calibri"/>
          <w:iCs/>
        </w:rPr>
        <w:t>The program</w:t>
      </w:r>
      <w:r w:rsidR="00FB2E6C" w:rsidRPr="0047795E">
        <w:rPr>
          <w:rFonts w:cs="Calibri"/>
          <w:iCs/>
        </w:rPr>
        <w:t xml:space="preserve"> does not cover</w:t>
      </w:r>
      <w:r w:rsidR="007A79C5" w:rsidRPr="0047795E">
        <w:rPr>
          <w:rFonts w:cs="Calibri"/>
          <w:iCs/>
        </w:rPr>
        <w:t xml:space="preserve"> </w:t>
      </w:r>
      <w:r w:rsidRPr="0047795E">
        <w:rPr>
          <w:rFonts w:cs="Calibri"/>
          <w:iCs/>
        </w:rPr>
        <w:t xml:space="preserve">federal agencies and federal employees. </w:t>
      </w:r>
      <w:r w:rsidR="00FD4ED0" w:rsidRPr="0047795E">
        <w:rPr>
          <w:rFonts w:cs="Calibri"/>
          <w:iCs/>
        </w:rPr>
        <w:t xml:space="preserve"> </w:t>
      </w:r>
      <w:r w:rsidRPr="0047795E">
        <w:rPr>
          <w:rFonts w:cs="Calibri"/>
          <w:iCs/>
        </w:rPr>
        <w:t>AKOSH retains jurisdiction in state and local government</w:t>
      </w:r>
      <w:r w:rsidR="00FB2E6C" w:rsidRPr="0047795E">
        <w:rPr>
          <w:rFonts w:cs="Calibri"/>
          <w:iCs/>
        </w:rPr>
        <w:t xml:space="preserve"> </w:t>
      </w:r>
      <w:r w:rsidR="00BC0039" w:rsidRPr="0047795E">
        <w:rPr>
          <w:rFonts w:cs="Calibri"/>
          <w:iCs/>
        </w:rPr>
        <w:t>w</w:t>
      </w:r>
      <w:r w:rsidRPr="0047795E">
        <w:rPr>
          <w:rFonts w:cs="Calibri"/>
          <w:iCs/>
        </w:rPr>
        <w:t>orkplaces</w:t>
      </w:r>
      <w:r w:rsidR="00BC0039" w:rsidRPr="0047795E">
        <w:rPr>
          <w:rFonts w:cs="Calibri"/>
          <w:iCs/>
        </w:rPr>
        <w:t xml:space="preserve">. </w:t>
      </w:r>
      <w:r w:rsidRPr="0047795E">
        <w:rPr>
          <w:rFonts w:cs="Calibri"/>
          <w:iCs/>
        </w:rPr>
        <w:t xml:space="preserve"> </w:t>
      </w:r>
      <w:r w:rsidR="003F0B7A" w:rsidRPr="0047795E">
        <w:rPr>
          <w:rFonts w:cs="Calibri"/>
          <w:iCs/>
        </w:rPr>
        <w:t>AKOSH has</w:t>
      </w:r>
      <w:r w:rsidR="00BC0039" w:rsidRPr="0047795E">
        <w:rPr>
          <w:rFonts w:cs="Calibri"/>
          <w:iCs/>
        </w:rPr>
        <w:t xml:space="preserve"> developed and adopted</w:t>
      </w:r>
      <w:r w:rsidRPr="0047795E">
        <w:rPr>
          <w:rFonts w:cs="Calibri"/>
          <w:iCs/>
        </w:rPr>
        <w:t xml:space="preserve"> state</w:t>
      </w:r>
      <w:r w:rsidR="002D1DA0" w:rsidRPr="0047795E">
        <w:rPr>
          <w:rFonts w:cs="Calibri"/>
          <w:iCs/>
        </w:rPr>
        <w:t>-</w:t>
      </w:r>
      <w:r w:rsidRPr="0047795E">
        <w:rPr>
          <w:rFonts w:cs="Calibri"/>
          <w:iCs/>
        </w:rPr>
        <w:t>specific standards for several hazardous operations in general industry and construction</w:t>
      </w:r>
      <w:r w:rsidR="007345D8" w:rsidRPr="0047795E">
        <w:rPr>
          <w:rFonts w:cs="Calibri"/>
          <w:iCs/>
        </w:rPr>
        <w:t>,</w:t>
      </w:r>
      <w:r w:rsidRPr="0047795E">
        <w:rPr>
          <w:rFonts w:cs="Calibri"/>
          <w:iCs/>
        </w:rPr>
        <w:t xml:space="preserve"> including oil and gas operations</w:t>
      </w:r>
      <w:r w:rsidR="00936A5E" w:rsidRPr="0047795E">
        <w:rPr>
          <w:rFonts w:cs="Calibri"/>
          <w:iCs/>
        </w:rPr>
        <w:t>;</w:t>
      </w:r>
      <w:r w:rsidRPr="0047795E">
        <w:rPr>
          <w:rFonts w:cs="Calibri"/>
          <w:iCs/>
        </w:rPr>
        <w:t xml:space="preserve"> logging</w:t>
      </w:r>
      <w:r w:rsidR="00936A5E" w:rsidRPr="0047795E">
        <w:rPr>
          <w:rFonts w:cs="Calibri"/>
          <w:iCs/>
        </w:rPr>
        <w:t>;</w:t>
      </w:r>
      <w:r w:rsidRPr="0047795E">
        <w:rPr>
          <w:rFonts w:cs="Calibri"/>
          <w:iCs/>
        </w:rPr>
        <w:t xml:space="preserve"> telecommunications</w:t>
      </w:r>
      <w:r w:rsidR="00936A5E" w:rsidRPr="0047795E">
        <w:rPr>
          <w:rFonts w:cs="Calibri"/>
          <w:iCs/>
        </w:rPr>
        <w:t>;</w:t>
      </w:r>
      <w:r w:rsidRPr="0047795E">
        <w:rPr>
          <w:rFonts w:cs="Calibri"/>
          <w:iCs/>
        </w:rPr>
        <w:t xml:space="preserve"> and electric power generation, transmission, and distribution.</w:t>
      </w:r>
    </w:p>
    <w:p w14:paraId="0AB18068" w14:textId="77777777" w:rsidR="00652E3D" w:rsidRPr="0047795E" w:rsidRDefault="00652E3D">
      <w:pPr>
        <w:widowControl/>
        <w:autoSpaceDE/>
        <w:autoSpaceDN/>
        <w:adjustRightInd/>
        <w:rPr>
          <w:rFonts w:cs="Calibri"/>
          <w:iCs/>
        </w:rPr>
      </w:pPr>
    </w:p>
    <w:p w14:paraId="0AB18069" w14:textId="444C61E3" w:rsidR="00652E3D" w:rsidRPr="0047795E" w:rsidRDefault="002A2FF1" w:rsidP="5F4A84C9">
      <w:pPr>
        <w:widowControl/>
        <w:autoSpaceDE/>
        <w:autoSpaceDN/>
        <w:adjustRightInd/>
        <w:rPr>
          <w:rFonts w:asciiTheme="minorHAnsi" w:hAnsiTheme="minorHAnsi" w:cstheme="minorHAnsi"/>
          <w:strike/>
        </w:rPr>
      </w:pPr>
      <w:r w:rsidRPr="0047795E">
        <w:rPr>
          <w:rFonts w:asciiTheme="minorHAnsi" w:hAnsiTheme="minorHAnsi" w:cstheme="minorHAnsi"/>
        </w:rPr>
        <w:t>According to the demographic profile in the FY 202</w:t>
      </w:r>
      <w:r w:rsidR="006E7BBB" w:rsidRPr="0047795E">
        <w:rPr>
          <w:rFonts w:asciiTheme="minorHAnsi" w:hAnsiTheme="minorHAnsi" w:cstheme="minorHAnsi"/>
        </w:rPr>
        <w:t>4</w:t>
      </w:r>
      <w:r w:rsidRPr="0047795E">
        <w:rPr>
          <w:rFonts w:asciiTheme="minorHAnsi" w:hAnsiTheme="minorHAnsi" w:cstheme="minorHAnsi"/>
        </w:rPr>
        <w:t xml:space="preserve"> 23(g) grant application, there were approximately 3</w:t>
      </w:r>
      <w:r w:rsidR="00592EF8" w:rsidRPr="0047795E">
        <w:rPr>
          <w:rFonts w:asciiTheme="minorHAnsi" w:hAnsiTheme="minorHAnsi" w:cstheme="minorHAnsi"/>
        </w:rPr>
        <w:t>0</w:t>
      </w:r>
      <w:r w:rsidR="005375D1" w:rsidRPr="0047795E">
        <w:rPr>
          <w:rFonts w:asciiTheme="minorHAnsi" w:hAnsiTheme="minorHAnsi" w:cstheme="minorHAnsi"/>
        </w:rPr>
        <w:t>3,722</w:t>
      </w:r>
      <w:r w:rsidRPr="0047795E">
        <w:rPr>
          <w:rFonts w:asciiTheme="minorHAnsi" w:hAnsiTheme="minorHAnsi" w:cstheme="minorHAnsi"/>
        </w:rPr>
        <w:t xml:space="preserve"> workers employed in 2</w:t>
      </w:r>
      <w:r w:rsidR="005375D1" w:rsidRPr="0047795E">
        <w:rPr>
          <w:rFonts w:asciiTheme="minorHAnsi" w:hAnsiTheme="minorHAnsi" w:cstheme="minorHAnsi"/>
        </w:rPr>
        <w:t>4,144</w:t>
      </w:r>
      <w:r w:rsidRPr="0047795E">
        <w:rPr>
          <w:rFonts w:asciiTheme="minorHAnsi" w:hAnsiTheme="minorHAnsi" w:cstheme="minorHAnsi"/>
        </w:rPr>
        <w:t xml:space="preserve"> establishments. </w:t>
      </w:r>
      <w:r w:rsidR="00FD4ED0" w:rsidRPr="0047795E">
        <w:rPr>
          <w:rFonts w:asciiTheme="minorHAnsi" w:hAnsiTheme="minorHAnsi" w:cstheme="minorHAnsi"/>
        </w:rPr>
        <w:t xml:space="preserve"> </w:t>
      </w:r>
      <w:r w:rsidR="009B370F" w:rsidRPr="0047795E">
        <w:rPr>
          <w:rFonts w:asciiTheme="minorHAnsi" w:hAnsiTheme="minorHAnsi" w:cstheme="minorHAnsi"/>
        </w:rPr>
        <w:t>The initial award was $3,</w:t>
      </w:r>
      <w:r w:rsidR="4F6DBF3D" w:rsidRPr="0047795E">
        <w:rPr>
          <w:rFonts w:asciiTheme="minorHAnsi" w:hAnsiTheme="minorHAnsi" w:cstheme="minorHAnsi"/>
        </w:rPr>
        <w:t>648,780</w:t>
      </w:r>
      <w:r w:rsidR="009B370F" w:rsidRPr="0047795E">
        <w:rPr>
          <w:rFonts w:asciiTheme="minorHAnsi" w:hAnsiTheme="minorHAnsi" w:cstheme="minorHAnsi"/>
        </w:rPr>
        <w:t xml:space="preserve"> ($1,</w:t>
      </w:r>
      <w:r w:rsidR="7B0B11B7" w:rsidRPr="0047795E">
        <w:rPr>
          <w:rFonts w:asciiTheme="minorHAnsi" w:hAnsiTheme="minorHAnsi" w:cstheme="minorHAnsi"/>
        </w:rPr>
        <w:t>681</w:t>
      </w:r>
      <w:r w:rsidR="009B370F" w:rsidRPr="0047795E">
        <w:rPr>
          <w:rFonts w:asciiTheme="minorHAnsi" w:hAnsiTheme="minorHAnsi" w:cstheme="minorHAnsi"/>
        </w:rPr>
        <w:t>,</w:t>
      </w:r>
      <w:r w:rsidR="3F84BB06" w:rsidRPr="0047795E">
        <w:rPr>
          <w:rFonts w:asciiTheme="minorHAnsi" w:hAnsiTheme="minorHAnsi" w:cstheme="minorHAnsi"/>
        </w:rPr>
        <w:t>6</w:t>
      </w:r>
      <w:r w:rsidR="009B370F" w:rsidRPr="0047795E">
        <w:rPr>
          <w:rFonts w:asciiTheme="minorHAnsi" w:hAnsiTheme="minorHAnsi" w:cstheme="minorHAnsi"/>
        </w:rPr>
        <w:t>00 federal, $1,</w:t>
      </w:r>
      <w:r w:rsidR="66B49200" w:rsidRPr="0047795E">
        <w:rPr>
          <w:rFonts w:asciiTheme="minorHAnsi" w:hAnsiTheme="minorHAnsi" w:cstheme="minorHAnsi"/>
        </w:rPr>
        <w:t>9</w:t>
      </w:r>
      <w:r w:rsidR="137008CF" w:rsidRPr="0047795E">
        <w:rPr>
          <w:rFonts w:asciiTheme="minorHAnsi" w:hAnsiTheme="minorHAnsi" w:cstheme="minorHAnsi"/>
        </w:rPr>
        <w:t>6</w:t>
      </w:r>
      <w:r w:rsidR="66B49200" w:rsidRPr="0047795E">
        <w:rPr>
          <w:rFonts w:asciiTheme="minorHAnsi" w:hAnsiTheme="minorHAnsi" w:cstheme="minorHAnsi"/>
        </w:rPr>
        <w:t>7,18</w:t>
      </w:r>
      <w:r w:rsidR="702E837D" w:rsidRPr="0047795E">
        <w:rPr>
          <w:rFonts w:asciiTheme="minorHAnsi" w:hAnsiTheme="minorHAnsi" w:cstheme="minorHAnsi"/>
        </w:rPr>
        <w:t>0</w:t>
      </w:r>
      <w:r w:rsidR="009B370F" w:rsidRPr="0047795E">
        <w:rPr>
          <w:rFonts w:asciiTheme="minorHAnsi" w:hAnsiTheme="minorHAnsi" w:cstheme="minorHAnsi"/>
        </w:rPr>
        <w:t xml:space="preserve"> state funds).  </w:t>
      </w:r>
      <w:r w:rsidR="14D5F1B6" w:rsidRPr="0047795E">
        <w:rPr>
          <w:rFonts w:asciiTheme="minorHAnsi" w:hAnsiTheme="minorHAnsi" w:cstheme="minorHAnsi"/>
        </w:rPr>
        <w:t>Due to the fund</w:t>
      </w:r>
      <w:r w:rsidR="00AC73F5">
        <w:rPr>
          <w:rFonts w:asciiTheme="minorHAnsi" w:hAnsiTheme="minorHAnsi" w:cstheme="minorHAnsi"/>
        </w:rPr>
        <w:t>ing</w:t>
      </w:r>
      <w:r w:rsidR="14D5F1B6" w:rsidRPr="0047795E">
        <w:rPr>
          <w:rFonts w:asciiTheme="minorHAnsi" w:hAnsiTheme="minorHAnsi" w:cstheme="minorHAnsi"/>
        </w:rPr>
        <w:t xml:space="preserve"> reduction </w:t>
      </w:r>
      <w:r w:rsidR="0A2583D6" w:rsidRPr="0047795E">
        <w:rPr>
          <w:rFonts w:asciiTheme="minorHAnsi" w:hAnsiTheme="minorHAnsi" w:cstheme="minorHAnsi"/>
        </w:rPr>
        <w:t>of all OSHA 23(g) programs, federal funds were decreased by $</w:t>
      </w:r>
      <w:r w:rsidR="0EAA29E3" w:rsidRPr="0047795E">
        <w:rPr>
          <w:rFonts w:asciiTheme="minorHAnsi" w:hAnsiTheme="minorHAnsi" w:cstheme="minorHAnsi"/>
        </w:rPr>
        <w:t xml:space="preserve">61,000 in August 2024.  </w:t>
      </w:r>
      <w:r w:rsidR="009B370F" w:rsidRPr="0047795E">
        <w:rPr>
          <w:rFonts w:asciiTheme="minorHAnsi" w:hAnsiTheme="minorHAnsi" w:cstheme="minorHAnsi"/>
        </w:rPr>
        <w:t>The State Plan did not accept a</w:t>
      </w:r>
      <w:r w:rsidR="168FC8FC" w:rsidRPr="0047795E">
        <w:rPr>
          <w:rFonts w:asciiTheme="minorHAnsi" w:hAnsiTheme="minorHAnsi" w:cstheme="minorHAnsi"/>
        </w:rPr>
        <w:t>ny one-time only funds during the</w:t>
      </w:r>
      <w:r w:rsidR="006E798E">
        <w:rPr>
          <w:rFonts w:asciiTheme="minorHAnsi" w:hAnsiTheme="minorHAnsi" w:cstheme="minorHAnsi"/>
        </w:rPr>
        <w:t xml:space="preserve"> </w:t>
      </w:r>
      <w:r w:rsidR="000D006C">
        <w:rPr>
          <w:rFonts w:asciiTheme="minorHAnsi" w:hAnsiTheme="minorHAnsi" w:cstheme="minorHAnsi"/>
        </w:rPr>
        <w:t>fiscal year</w:t>
      </w:r>
      <w:r w:rsidR="168FC8FC" w:rsidRPr="0047795E">
        <w:rPr>
          <w:rFonts w:asciiTheme="minorHAnsi" w:hAnsiTheme="minorHAnsi" w:cstheme="minorHAnsi"/>
        </w:rPr>
        <w:t>.</w:t>
      </w:r>
      <w:r w:rsidR="009B370F" w:rsidRPr="0047795E">
        <w:rPr>
          <w:rFonts w:asciiTheme="minorHAnsi" w:hAnsiTheme="minorHAnsi" w:cstheme="minorHAnsi"/>
        </w:rPr>
        <w:t xml:space="preserve"> </w:t>
      </w:r>
      <w:r w:rsidR="00FD4ED0" w:rsidRPr="0047795E">
        <w:rPr>
          <w:rFonts w:asciiTheme="minorHAnsi" w:hAnsiTheme="minorHAnsi" w:cstheme="minorHAnsi"/>
        </w:rPr>
        <w:t xml:space="preserve"> </w:t>
      </w:r>
      <w:r w:rsidR="009B370F" w:rsidRPr="0047795E">
        <w:rPr>
          <w:rFonts w:asciiTheme="minorHAnsi" w:hAnsiTheme="minorHAnsi" w:cstheme="minorHAnsi"/>
        </w:rPr>
        <w:t xml:space="preserve">The state reported final expenditures </w:t>
      </w:r>
      <w:r w:rsidR="00FB058A">
        <w:rPr>
          <w:rFonts w:asciiTheme="minorHAnsi" w:hAnsiTheme="minorHAnsi" w:cstheme="minorHAnsi"/>
        </w:rPr>
        <w:t xml:space="preserve">of </w:t>
      </w:r>
      <w:r w:rsidR="009B370F" w:rsidRPr="0047795E">
        <w:rPr>
          <w:rFonts w:asciiTheme="minorHAnsi" w:hAnsiTheme="minorHAnsi" w:cstheme="minorHAnsi"/>
        </w:rPr>
        <w:t>$3,</w:t>
      </w:r>
      <w:r w:rsidR="401956A7" w:rsidRPr="0047795E">
        <w:rPr>
          <w:rFonts w:asciiTheme="minorHAnsi" w:hAnsiTheme="minorHAnsi" w:cstheme="minorHAnsi"/>
        </w:rPr>
        <w:t>3</w:t>
      </w:r>
      <w:r w:rsidR="009B370F" w:rsidRPr="0047795E">
        <w:rPr>
          <w:rFonts w:asciiTheme="minorHAnsi" w:hAnsiTheme="minorHAnsi" w:cstheme="minorHAnsi"/>
        </w:rPr>
        <w:t>9</w:t>
      </w:r>
      <w:r w:rsidR="4F5C5596" w:rsidRPr="0047795E">
        <w:rPr>
          <w:rFonts w:asciiTheme="minorHAnsi" w:hAnsiTheme="minorHAnsi" w:cstheme="minorHAnsi"/>
        </w:rPr>
        <w:t>7,833.78</w:t>
      </w:r>
      <w:r w:rsidR="009B370F" w:rsidRPr="0047795E">
        <w:rPr>
          <w:rFonts w:asciiTheme="minorHAnsi" w:hAnsiTheme="minorHAnsi" w:cstheme="minorHAnsi"/>
        </w:rPr>
        <w:t xml:space="preserve"> ($1,</w:t>
      </w:r>
      <w:r w:rsidR="72D8FF1A" w:rsidRPr="0047795E">
        <w:rPr>
          <w:rFonts w:asciiTheme="minorHAnsi" w:hAnsiTheme="minorHAnsi" w:cstheme="minorHAnsi"/>
        </w:rPr>
        <w:t>620</w:t>
      </w:r>
      <w:r w:rsidR="009B370F" w:rsidRPr="0047795E">
        <w:rPr>
          <w:rFonts w:asciiTheme="minorHAnsi" w:hAnsiTheme="minorHAnsi" w:cstheme="minorHAnsi"/>
        </w:rPr>
        <w:t>,</w:t>
      </w:r>
      <w:r w:rsidR="7347E6C2" w:rsidRPr="0047795E">
        <w:rPr>
          <w:rFonts w:asciiTheme="minorHAnsi" w:hAnsiTheme="minorHAnsi" w:cstheme="minorHAnsi"/>
        </w:rPr>
        <w:t>6</w:t>
      </w:r>
      <w:r w:rsidR="009B370F" w:rsidRPr="0047795E">
        <w:rPr>
          <w:rFonts w:asciiTheme="minorHAnsi" w:hAnsiTheme="minorHAnsi" w:cstheme="minorHAnsi"/>
        </w:rPr>
        <w:t>00 federal, $1,</w:t>
      </w:r>
      <w:r w:rsidR="038F461F" w:rsidRPr="0047795E">
        <w:rPr>
          <w:rFonts w:asciiTheme="minorHAnsi" w:hAnsiTheme="minorHAnsi" w:cstheme="minorHAnsi"/>
        </w:rPr>
        <w:t>777</w:t>
      </w:r>
      <w:r w:rsidR="009B370F" w:rsidRPr="0047795E">
        <w:rPr>
          <w:rFonts w:asciiTheme="minorHAnsi" w:hAnsiTheme="minorHAnsi" w:cstheme="minorHAnsi"/>
        </w:rPr>
        <w:t>,2</w:t>
      </w:r>
      <w:r w:rsidR="35E8B87C" w:rsidRPr="0047795E">
        <w:rPr>
          <w:rFonts w:asciiTheme="minorHAnsi" w:hAnsiTheme="minorHAnsi" w:cstheme="minorHAnsi"/>
        </w:rPr>
        <w:t>33</w:t>
      </w:r>
      <w:r w:rsidR="52B1DF91" w:rsidRPr="0047795E">
        <w:rPr>
          <w:rFonts w:asciiTheme="minorHAnsi" w:hAnsiTheme="minorHAnsi" w:cstheme="minorHAnsi"/>
        </w:rPr>
        <w:t>.78</w:t>
      </w:r>
      <w:r w:rsidR="009B370F" w:rsidRPr="0047795E">
        <w:rPr>
          <w:rFonts w:asciiTheme="minorHAnsi" w:hAnsiTheme="minorHAnsi" w:cstheme="minorHAnsi"/>
        </w:rPr>
        <w:t xml:space="preserve"> state funds).</w:t>
      </w:r>
      <w:r w:rsidRPr="0047795E">
        <w:rPr>
          <w:rFonts w:asciiTheme="minorHAnsi" w:hAnsiTheme="minorHAnsi" w:cstheme="minorHAnsi"/>
        </w:rPr>
        <w:t xml:space="preserve"> </w:t>
      </w:r>
    </w:p>
    <w:p w14:paraId="0AB1806A" w14:textId="77777777" w:rsidR="00652E3D" w:rsidRDefault="00652E3D">
      <w:pPr>
        <w:widowControl/>
        <w:autoSpaceDE/>
        <w:autoSpaceDN/>
        <w:adjustRightInd/>
        <w:rPr>
          <w:rFonts w:cs="Calibri"/>
        </w:rPr>
      </w:pPr>
    </w:p>
    <w:p w14:paraId="0AB1806C" w14:textId="77777777" w:rsidR="00652E3D" w:rsidRDefault="002A2FF1">
      <w:pPr>
        <w:widowControl/>
        <w:autoSpaceDE/>
        <w:autoSpaceDN/>
        <w:adjustRightInd/>
        <w:contextualSpacing/>
        <w:rPr>
          <w:rFonts w:cs="Calibri"/>
          <w:b/>
        </w:rPr>
      </w:pPr>
      <w:r>
        <w:rPr>
          <w:rFonts w:cs="Calibri"/>
          <w:b/>
        </w:rPr>
        <w:t>New Issues</w:t>
      </w:r>
    </w:p>
    <w:p w14:paraId="0AB1806D" w14:textId="77777777" w:rsidR="00652E3D" w:rsidRDefault="00652E3D">
      <w:pPr>
        <w:ind w:left="720"/>
        <w:contextualSpacing/>
        <w:rPr>
          <w:rFonts w:cs="Calibri"/>
        </w:rPr>
      </w:pPr>
    </w:p>
    <w:p w14:paraId="753E5333" w14:textId="58AB3D1B" w:rsidR="00BF430D" w:rsidRDefault="00572F41">
      <w:pPr>
        <w:widowControl/>
        <w:autoSpaceDE/>
        <w:autoSpaceDN/>
        <w:adjustRightInd/>
        <w:rPr>
          <w:rFonts w:asciiTheme="minorHAnsi" w:hAnsiTheme="minorHAnsi" w:cstheme="minorHAnsi"/>
        </w:rPr>
      </w:pPr>
      <w:r>
        <w:rPr>
          <w:rFonts w:asciiTheme="minorHAnsi" w:hAnsiTheme="minorHAnsi" w:cstheme="minorHAnsi"/>
        </w:rPr>
        <w:t xml:space="preserve">There </w:t>
      </w:r>
      <w:r w:rsidR="00B60F4F">
        <w:rPr>
          <w:rFonts w:asciiTheme="minorHAnsi" w:hAnsiTheme="minorHAnsi" w:cstheme="minorHAnsi"/>
        </w:rPr>
        <w:t>were</w:t>
      </w:r>
      <w:r>
        <w:rPr>
          <w:rFonts w:asciiTheme="minorHAnsi" w:hAnsiTheme="minorHAnsi" w:cstheme="minorHAnsi"/>
        </w:rPr>
        <w:t xml:space="preserve"> no </w:t>
      </w:r>
      <w:r w:rsidR="0090796B">
        <w:rPr>
          <w:rFonts w:asciiTheme="minorHAnsi" w:hAnsiTheme="minorHAnsi" w:cstheme="minorHAnsi"/>
        </w:rPr>
        <w:t xml:space="preserve">new </w:t>
      </w:r>
      <w:r w:rsidR="00C95668">
        <w:rPr>
          <w:rFonts w:asciiTheme="minorHAnsi" w:hAnsiTheme="minorHAnsi" w:cstheme="minorHAnsi"/>
        </w:rPr>
        <w:t>Complaint</w:t>
      </w:r>
      <w:r w:rsidR="00B60F4F">
        <w:rPr>
          <w:rFonts w:asciiTheme="minorHAnsi" w:hAnsiTheme="minorHAnsi" w:cstheme="minorHAnsi"/>
        </w:rPr>
        <w:t>s</w:t>
      </w:r>
      <w:r w:rsidR="00C95668">
        <w:rPr>
          <w:rFonts w:asciiTheme="minorHAnsi" w:hAnsiTheme="minorHAnsi" w:cstheme="minorHAnsi"/>
        </w:rPr>
        <w:t xml:space="preserve"> </w:t>
      </w:r>
      <w:r w:rsidR="00601CD3">
        <w:rPr>
          <w:rFonts w:asciiTheme="minorHAnsi" w:hAnsiTheme="minorHAnsi" w:cstheme="minorHAnsi"/>
        </w:rPr>
        <w:t>A</w:t>
      </w:r>
      <w:r w:rsidR="00C95668">
        <w:rPr>
          <w:rFonts w:asciiTheme="minorHAnsi" w:hAnsiTheme="minorHAnsi" w:cstheme="minorHAnsi"/>
        </w:rPr>
        <w:t>bout State Program Administration (CASPA</w:t>
      </w:r>
      <w:r w:rsidR="002545E9">
        <w:rPr>
          <w:rFonts w:asciiTheme="minorHAnsi" w:hAnsiTheme="minorHAnsi" w:cstheme="minorHAnsi"/>
        </w:rPr>
        <w:t>s</w:t>
      </w:r>
      <w:r w:rsidR="00C95668">
        <w:rPr>
          <w:rFonts w:asciiTheme="minorHAnsi" w:hAnsiTheme="minorHAnsi" w:cstheme="minorHAnsi"/>
        </w:rPr>
        <w:t xml:space="preserve">) </w:t>
      </w:r>
      <w:r w:rsidR="001C450A">
        <w:rPr>
          <w:rFonts w:asciiTheme="minorHAnsi" w:hAnsiTheme="minorHAnsi" w:cstheme="minorHAnsi"/>
        </w:rPr>
        <w:t xml:space="preserve">accepted during the evaluation period.  However, CASPA </w:t>
      </w:r>
      <w:r w:rsidR="00EF25C9" w:rsidRPr="0031498C">
        <w:rPr>
          <w:rFonts w:asciiTheme="minorHAnsi" w:hAnsiTheme="minorHAnsi" w:cstheme="minorHAnsi"/>
        </w:rPr>
        <w:t>AK</w:t>
      </w:r>
      <w:r w:rsidR="004978ED">
        <w:rPr>
          <w:rFonts w:asciiTheme="minorHAnsi" w:hAnsiTheme="minorHAnsi" w:cstheme="minorHAnsi"/>
        </w:rPr>
        <w:t>-</w:t>
      </w:r>
      <w:r w:rsidR="00EF25C9" w:rsidRPr="0031498C">
        <w:rPr>
          <w:rFonts w:asciiTheme="minorHAnsi" w:hAnsiTheme="minorHAnsi" w:cstheme="minorHAnsi"/>
        </w:rPr>
        <w:t>2023-02</w:t>
      </w:r>
      <w:r w:rsidR="001C450A">
        <w:rPr>
          <w:rFonts w:asciiTheme="minorHAnsi" w:hAnsiTheme="minorHAnsi" w:cstheme="minorHAnsi"/>
        </w:rPr>
        <w:t xml:space="preserve">, which was </w:t>
      </w:r>
      <w:r w:rsidR="00601CD3">
        <w:rPr>
          <w:rFonts w:asciiTheme="minorHAnsi" w:hAnsiTheme="minorHAnsi" w:cstheme="minorHAnsi"/>
        </w:rPr>
        <w:t>accepted and initiated</w:t>
      </w:r>
      <w:r w:rsidR="00C95668">
        <w:rPr>
          <w:rFonts w:asciiTheme="minorHAnsi" w:hAnsiTheme="minorHAnsi" w:cstheme="minorHAnsi"/>
        </w:rPr>
        <w:t xml:space="preserve"> in FY 2023</w:t>
      </w:r>
      <w:r w:rsidR="00361164">
        <w:rPr>
          <w:rFonts w:asciiTheme="minorHAnsi" w:hAnsiTheme="minorHAnsi" w:cstheme="minorHAnsi"/>
        </w:rPr>
        <w:t xml:space="preserve"> and discussed in the FY 2023 Comprehensive FAME</w:t>
      </w:r>
      <w:r w:rsidR="001C450A">
        <w:rPr>
          <w:rFonts w:asciiTheme="minorHAnsi" w:hAnsiTheme="minorHAnsi" w:cstheme="minorHAnsi"/>
        </w:rPr>
        <w:t>,</w:t>
      </w:r>
      <w:r w:rsidR="00601CD3">
        <w:rPr>
          <w:rFonts w:asciiTheme="minorHAnsi" w:hAnsiTheme="minorHAnsi" w:cstheme="minorHAnsi"/>
        </w:rPr>
        <w:t xml:space="preserve"> </w:t>
      </w:r>
      <w:r w:rsidR="001C450A">
        <w:rPr>
          <w:rFonts w:asciiTheme="minorHAnsi" w:hAnsiTheme="minorHAnsi" w:cstheme="minorHAnsi"/>
        </w:rPr>
        <w:t>remained under investigation</w:t>
      </w:r>
      <w:r w:rsidR="001B6AEA">
        <w:rPr>
          <w:rFonts w:asciiTheme="minorHAnsi" w:hAnsiTheme="minorHAnsi" w:cstheme="minorHAnsi"/>
        </w:rPr>
        <w:t xml:space="preserve"> throughout the</w:t>
      </w:r>
      <w:r w:rsidR="006E798E">
        <w:rPr>
          <w:rFonts w:asciiTheme="minorHAnsi" w:hAnsiTheme="minorHAnsi" w:cstheme="minorHAnsi"/>
        </w:rPr>
        <w:t xml:space="preserve"> review period</w:t>
      </w:r>
      <w:r w:rsidR="000537FD">
        <w:rPr>
          <w:rFonts w:asciiTheme="minorHAnsi" w:hAnsiTheme="minorHAnsi" w:cstheme="minorHAnsi"/>
        </w:rPr>
        <w:t>.</w:t>
      </w:r>
      <w:r w:rsidR="001B6AEA">
        <w:rPr>
          <w:rFonts w:asciiTheme="minorHAnsi" w:hAnsiTheme="minorHAnsi" w:cstheme="minorHAnsi"/>
        </w:rPr>
        <w:t xml:space="preserve">  </w:t>
      </w:r>
    </w:p>
    <w:p w14:paraId="093B4151" w14:textId="77777777" w:rsidR="00A6215F" w:rsidRPr="00D83022" w:rsidRDefault="00A6215F" w:rsidP="00A6215F">
      <w:pPr>
        <w:widowControl/>
        <w:autoSpaceDE/>
        <w:autoSpaceDN/>
        <w:adjustRightInd/>
        <w:rPr>
          <w:rFonts w:asciiTheme="minorHAnsi" w:hAnsiTheme="minorHAnsi" w:cstheme="minorHAnsi"/>
        </w:rPr>
      </w:pPr>
    </w:p>
    <w:p w14:paraId="7324943A" w14:textId="06200DF0" w:rsidR="00366151" w:rsidRDefault="00DC0CBB">
      <w:pPr>
        <w:widowControl/>
        <w:autoSpaceDE/>
        <w:autoSpaceDN/>
        <w:adjustRightInd/>
        <w:rPr>
          <w:rFonts w:cs="Calibri"/>
        </w:rPr>
      </w:pPr>
      <w:r w:rsidRPr="5BF715BB">
        <w:rPr>
          <w:rFonts w:asciiTheme="minorHAnsi" w:hAnsiTheme="minorHAnsi" w:cstheme="minorBidi"/>
        </w:rPr>
        <w:t xml:space="preserve">During FY 2024, </w:t>
      </w:r>
      <w:r w:rsidR="006B218B" w:rsidRPr="5BF715BB">
        <w:rPr>
          <w:rFonts w:asciiTheme="minorHAnsi" w:hAnsiTheme="minorHAnsi" w:cstheme="minorBidi"/>
        </w:rPr>
        <w:t>A</w:t>
      </w:r>
      <w:r w:rsidR="00FD7248" w:rsidRPr="5BF715BB">
        <w:rPr>
          <w:rFonts w:asciiTheme="minorHAnsi" w:hAnsiTheme="minorHAnsi" w:cstheme="minorBidi"/>
        </w:rPr>
        <w:t>KOSH</w:t>
      </w:r>
      <w:r w:rsidRPr="5BF715BB">
        <w:rPr>
          <w:rFonts w:asciiTheme="minorHAnsi" w:hAnsiTheme="minorHAnsi" w:cstheme="minorBidi"/>
        </w:rPr>
        <w:t xml:space="preserve"> revised its </w:t>
      </w:r>
      <w:r w:rsidR="007E5FD9" w:rsidRPr="5BF715BB">
        <w:rPr>
          <w:rFonts w:asciiTheme="minorHAnsi" w:hAnsiTheme="minorHAnsi" w:cstheme="minorBidi"/>
        </w:rPr>
        <w:t xml:space="preserve">state-initiated change </w:t>
      </w:r>
      <w:r w:rsidR="00CE583A" w:rsidRPr="5BF715BB">
        <w:rPr>
          <w:rFonts w:asciiTheme="minorHAnsi" w:hAnsiTheme="minorHAnsi" w:cstheme="minorBidi"/>
        </w:rPr>
        <w:t>for</w:t>
      </w:r>
      <w:r w:rsidR="007E5FD9" w:rsidRPr="5BF715BB">
        <w:rPr>
          <w:rFonts w:asciiTheme="minorHAnsi" w:hAnsiTheme="minorHAnsi" w:cstheme="minorBidi"/>
        </w:rPr>
        <w:t xml:space="preserve"> the </w:t>
      </w:r>
      <w:r w:rsidR="00901C13" w:rsidRPr="5BF715BB">
        <w:rPr>
          <w:rFonts w:asciiTheme="minorHAnsi" w:hAnsiTheme="minorHAnsi" w:cstheme="minorBidi"/>
        </w:rPr>
        <w:t>“</w:t>
      </w:r>
      <w:r w:rsidR="008219DD" w:rsidRPr="5BF715BB">
        <w:rPr>
          <w:rFonts w:asciiTheme="minorHAnsi" w:hAnsiTheme="minorHAnsi" w:cstheme="minorBidi"/>
        </w:rPr>
        <w:t>Diversionary Program for Inspections with Initial Citations</w:t>
      </w:r>
      <w:r w:rsidR="00901C13" w:rsidRPr="5BF715BB">
        <w:rPr>
          <w:rFonts w:asciiTheme="minorHAnsi" w:hAnsiTheme="minorHAnsi" w:cstheme="minorBidi"/>
        </w:rPr>
        <w:t>”</w:t>
      </w:r>
      <w:r w:rsidR="008219DD" w:rsidRPr="5BF715BB">
        <w:rPr>
          <w:rFonts w:asciiTheme="minorHAnsi" w:hAnsiTheme="minorHAnsi" w:cstheme="minorBidi"/>
        </w:rPr>
        <w:t xml:space="preserve"> </w:t>
      </w:r>
      <w:r w:rsidR="006B218B" w:rsidRPr="5BF715BB">
        <w:rPr>
          <w:rFonts w:asciiTheme="minorHAnsi" w:hAnsiTheme="minorHAnsi" w:cstheme="minorBidi"/>
        </w:rPr>
        <w:t>policy</w:t>
      </w:r>
      <w:r w:rsidR="006804CD" w:rsidRPr="5BF715BB">
        <w:rPr>
          <w:rFonts w:asciiTheme="minorHAnsi" w:hAnsiTheme="minorHAnsi" w:cstheme="minorBidi"/>
        </w:rPr>
        <w:t xml:space="preserve">. </w:t>
      </w:r>
      <w:r w:rsidR="00D94816" w:rsidRPr="5BF715BB">
        <w:rPr>
          <w:rFonts w:asciiTheme="minorHAnsi" w:hAnsiTheme="minorHAnsi" w:cstheme="minorBidi"/>
        </w:rPr>
        <w:t xml:space="preserve"> This program is currently being evaluated by OSHA</w:t>
      </w:r>
      <w:r w:rsidR="00010B37" w:rsidRPr="5BF715BB">
        <w:rPr>
          <w:rFonts w:asciiTheme="minorHAnsi" w:hAnsiTheme="minorHAnsi" w:cstheme="minorBidi"/>
        </w:rPr>
        <w:t xml:space="preserve"> and has not yet been approved</w:t>
      </w:r>
      <w:r w:rsidR="00D94816" w:rsidRPr="5BF715BB">
        <w:rPr>
          <w:rFonts w:asciiTheme="minorHAnsi" w:hAnsiTheme="minorHAnsi" w:cstheme="minorBidi"/>
        </w:rPr>
        <w:t xml:space="preserve">. </w:t>
      </w:r>
      <w:r w:rsidR="006804CD" w:rsidRPr="5BF715BB">
        <w:rPr>
          <w:rFonts w:asciiTheme="minorHAnsi" w:hAnsiTheme="minorHAnsi" w:cstheme="minorBidi"/>
        </w:rPr>
        <w:t xml:space="preserve"> Under this </w:t>
      </w:r>
      <w:r w:rsidR="006F6A70" w:rsidRPr="5BF715BB">
        <w:rPr>
          <w:rFonts w:asciiTheme="minorHAnsi" w:hAnsiTheme="minorHAnsi" w:cstheme="minorBidi"/>
        </w:rPr>
        <w:t>program</w:t>
      </w:r>
      <w:r w:rsidR="006804CD" w:rsidRPr="5BF715BB">
        <w:rPr>
          <w:rFonts w:asciiTheme="minorHAnsi" w:hAnsiTheme="minorHAnsi" w:cstheme="minorBidi"/>
        </w:rPr>
        <w:t xml:space="preserve">, </w:t>
      </w:r>
      <w:r w:rsidR="0083563A" w:rsidRPr="5BF715BB">
        <w:rPr>
          <w:rFonts w:asciiTheme="minorHAnsi" w:hAnsiTheme="minorHAnsi" w:cstheme="minorBidi"/>
        </w:rPr>
        <w:t>AKOSH</w:t>
      </w:r>
      <w:r w:rsidR="001F3AAD" w:rsidRPr="5BF715BB">
        <w:rPr>
          <w:rFonts w:asciiTheme="minorHAnsi" w:hAnsiTheme="minorHAnsi" w:cstheme="minorBidi"/>
        </w:rPr>
        <w:t xml:space="preserve">’s Chief of Enforcement (or </w:t>
      </w:r>
      <w:r w:rsidR="0047795E" w:rsidRPr="5BF715BB">
        <w:rPr>
          <w:rFonts w:asciiTheme="minorHAnsi" w:hAnsiTheme="minorHAnsi" w:cstheme="minorBidi"/>
        </w:rPr>
        <w:t>d</w:t>
      </w:r>
      <w:r w:rsidR="001F3AAD" w:rsidRPr="5BF715BB">
        <w:rPr>
          <w:rFonts w:asciiTheme="minorHAnsi" w:hAnsiTheme="minorHAnsi" w:cstheme="minorBidi"/>
        </w:rPr>
        <w:t>esignee)</w:t>
      </w:r>
      <w:r w:rsidR="0083563A" w:rsidRPr="5BF715BB">
        <w:rPr>
          <w:rFonts w:asciiTheme="minorHAnsi" w:hAnsiTheme="minorHAnsi" w:cstheme="minorBidi"/>
        </w:rPr>
        <w:t xml:space="preserve"> may use discretion to </w:t>
      </w:r>
      <w:r w:rsidR="00BE1668" w:rsidRPr="5BF715BB">
        <w:rPr>
          <w:rFonts w:asciiTheme="minorHAnsi" w:hAnsiTheme="minorHAnsi" w:cstheme="minorBidi"/>
        </w:rPr>
        <w:t>reduce</w:t>
      </w:r>
      <w:r w:rsidR="0083563A" w:rsidRPr="5BF715BB">
        <w:rPr>
          <w:rFonts w:asciiTheme="minorHAnsi" w:hAnsiTheme="minorHAnsi" w:cstheme="minorBidi"/>
        </w:rPr>
        <w:t xml:space="preserve"> penalties for employe</w:t>
      </w:r>
      <w:r w:rsidR="00FE2DF0" w:rsidRPr="5BF715BB">
        <w:rPr>
          <w:rFonts w:asciiTheme="minorHAnsi" w:hAnsiTheme="minorHAnsi" w:cstheme="minorBidi"/>
        </w:rPr>
        <w:t>r</w:t>
      </w:r>
      <w:r w:rsidR="0083563A" w:rsidRPr="5BF715BB">
        <w:rPr>
          <w:rFonts w:asciiTheme="minorHAnsi" w:hAnsiTheme="minorHAnsi" w:cstheme="minorBidi"/>
        </w:rPr>
        <w:t xml:space="preserve">s </w:t>
      </w:r>
      <w:r w:rsidR="00FE2DF0" w:rsidRPr="5BF715BB">
        <w:rPr>
          <w:rFonts w:asciiTheme="minorHAnsi" w:hAnsiTheme="minorHAnsi" w:cstheme="minorBidi"/>
        </w:rPr>
        <w:t xml:space="preserve">who </w:t>
      </w:r>
      <w:r w:rsidR="003C6717" w:rsidRPr="5BF715BB">
        <w:rPr>
          <w:rFonts w:asciiTheme="minorHAnsi" w:hAnsiTheme="minorHAnsi" w:cstheme="minorBidi"/>
        </w:rPr>
        <w:t xml:space="preserve">agree to undergo a limited or comprehensive scope </w:t>
      </w:r>
      <w:r w:rsidR="00333916" w:rsidRPr="5BF715BB">
        <w:rPr>
          <w:rFonts w:asciiTheme="minorHAnsi" w:hAnsiTheme="minorHAnsi" w:cstheme="minorBidi"/>
        </w:rPr>
        <w:t>C&amp;T</w:t>
      </w:r>
      <w:r w:rsidR="003C6717" w:rsidRPr="5BF715BB">
        <w:rPr>
          <w:rFonts w:asciiTheme="minorHAnsi" w:hAnsiTheme="minorHAnsi" w:cstheme="minorBidi"/>
        </w:rPr>
        <w:t xml:space="preserve"> visit </w:t>
      </w:r>
      <w:r w:rsidR="001330BC" w:rsidRPr="5BF715BB">
        <w:rPr>
          <w:rFonts w:asciiTheme="minorHAnsi" w:hAnsiTheme="minorHAnsi" w:cstheme="minorBidi"/>
        </w:rPr>
        <w:t xml:space="preserve">during </w:t>
      </w:r>
      <w:r w:rsidR="0053590D" w:rsidRPr="5BF715BB">
        <w:rPr>
          <w:rFonts w:asciiTheme="minorHAnsi" w:hAnsiTheme="minorHAnsi" w:cstheme="minorBidi"/>
        </w:rPr>
        <w:t xml:space="preserve">the inspection’s </w:t>
      </w:r>
      <w:r w:rsidR="001330BC" w:rsidRPr="5BF715BB">
        <w:rPr>
          <w:rFonts w:asciiTheme="minorHAnsi" w:hAnsiTheme="minorHAnsi" w:cstheme="minorBidi"/>
        </w:rPr>
        <w:t xml:space="preserve">informal settlement agreement (ISA) negotiations.  To participate in the program, employers must </w:t>
      </w:r>
      <w:r w:rsidR="00A511D3" w:rsidRPr="5BF715BB">
        <w:rPr>
          <w:rFonts w:asciiTheme="minorHAnsi" w:hAnsiTheme="minorHAnsi" w:cstheme="minorBidi"/>
        </w:rPr>
        <w:t>h</w:t>
      </w:r>
      <w:r w:rsidR="00BE1668" w:rsidRPr="5BF715BB">
        <w:rPr>
          <w:rFonts w:asciiTheme="minorHAnsi" w:hAnsiTheme="minorHAnsi" w:cstheme="minorBidi"/>
        </w:rPr>
        <w:t xml:space="preserve">ave </w:t>
      </w:r>
      <w:r w:rsidR="00A511D3" w:rsidRPr="5BF715BB">
        <w:rPr>
          <w:rFonts w:asciiTheme="minorHAnsi" w:hAnsiTheme="minorHAnsi" w:cstheme="minorBidi"/>
        </w:rPr>
        <w:t>no</w:t>
      </w:r>
      <w:r w:rsidR="00BE1668" w:rsidRPr="5BF715BB">
        <w:rPr>
          <w:rFonts w:asciiTheme="minorHAnsi" w:hAnsiTheme="minorHAnsi" w:cstheme="minorBidi"/>
        </w:rPr>
        <w:t xml:space="preserve"> </w:t>
      </w:r>
      <w:r w:rsidR="0083563A" w:rsidRPr="5BF715BB">
        <w:rPr>
          <w:rFonts w:asciiTheme="minorHAnsi" w:hAnsiTheme="minorHAnsi" w:cstheme="minorBidi"/>
        </w:rPr>
        <w:t>inspection history</w:t>
      </w:r>
      <w:r w:rsidR="001453C8" w:rsidRPr="5BF715BB">
        <w:rPr>
          <w:rFonts w:asciiTheme="minorHAnsi" w:hAnsiTheme="minorHAnsi" w:cstheme="minorBidi"/>
        </w:rPr>
        <w:t xml:space="preserve"> or </w:t>
      </w:r>
      <w:r w:rsidR="0095260C" w:rsidRPr="5BF715BB">
        <w:rPr>
          <w:rFonts w:asciiTheme="minorHAnsi" w:hAnsiTheme="minorHAnsi" w:cstheme="minorBidi"/>
        </w:rPr>
        <w:t>a previous inspection that resulted in no alleged violations</w:t>
      </w:r>
      <w:r w:rsidR="001453C8" w:rsidRPr="5BF715BB">
        <w:rPr>
          <w:rFonts w:asciiTheme="minorHAnsi" w:hAnsiTheme="minorHAnsi" w:cstheme="minorBidi"/>
        </w:rPr>
        <w:t>,</w:t>
      </w:r>
      <w:r w:rsidR="0083563A" w:rsidRPr="5BF715BB">
        <w:rPr>
          <w:rFonts w:asciiTheme="minorHAnsi" w:hAnsiTheme="minorHAnsi" w:cstheme="minorBidi"/>
        </w:rPr>
        <w:t xml:space="preserve"> and </w:t>
      </w:r>
      <w:r w:rsidR="00FE2DF0" w:rsidRPr="5BF715BB">
        <w:rPr>
          <w:rFonts w:asciiTheme="minorHAnsi" w:hAnsiTheme="minorHAnsi" w:cstheme="minorBidi"/>
        </w:rPr>
        <w:t>they demonstrated</w:t>
      </w:r>
      <w:r w:rsidR="0083563A" w:rsidRPr="5BF715BB">
        <w:rPr>
          <w:rFonts w:asciiTheme="minorHAnsi" w:hAnsiTheme="minorHAnsi" w:cstheme="minorBidi"/>
        </w:rPr>
        <w:t xml:space="preserve"> concerted efforts to achieve abatement immediately following an inspection.  </w:t>
      </w:r>
      <w:r w:rsidR="00D81A2E" w:rsidRPr="5BF715BB">
        <w:rPr>
          <w:rFonts w:asciiTheme="minorHAnsi" w:hAnsiTheme="minorHAnsi" w:cstheme="minorBidi"/>
        </w:rPr>
        <w:t xml:space="preserve">Following successful completion of the C&amp;T visit, AKOSH </w:t>
      </w:r>
      <w:r w:rsidR="00B21E86" w:rsidRPr="5BF715BB">
        <w:rPr>
          <w:rFonts w:asciiTheme="minorHAnsi" w:hAnsiTheme="minorHAnsi" w:cstheme="minorBidi"/>
        </w:rPr>
        <w:t xml:space="preserve">may reduce up to 50% of monetary penalties for a limited-scope visit or </w:t>
      </w:r>
      <w:r w:rsidR="00572F41" w:rsidRPr="5BF715BB">
        <w:rPr>
          <w:rFonts w:asciiTheme="minorHAnsi" w:hAnsiTheme="minorHAnsi" w:cstheme="minorBidi"/>
        </w:rPr>
        <w:t xml:space="preserve">up to a 100% for a comprehensive-scope visit.  </w:t>
      </w:r>
      <w:r w:rsidR="006F6A70" w:rsidRPr="5BF715BB">
        <w:rPr>
          <w:rFonts w:asciiTheme="minorHAnsi" w:hAnsiTheme="minorHAnsi" w:cstheme="minorBidi"/>
        </w:rPr>
        <w:t>According to AKOSH, a</w:t>
      </w:r>
      <w:r w:rsidR="00DB6419" w:rsidRPr="5BF715BB">
        <w:rPr>
          <w:rFonts w:asciiTheme="minorHAnsi" w:hAnsiTheme="minorHAnsi" w:cstheme="minorBidi"/>
        </w:rPr>
        <w:t xml:space="preserve">t the conclusion of </w:t>
      </w:r>
      <w:r w:rsidR="006C60E0" w:rsidRPr="5BF715BB">
        <w:rPr>
          <w:rFonts w:asciiTheme="minorHAnsi" w:hAnsiTheme="minorHAnsi" w:cstheme="minorBidi"/>
        </w:rPr>
        <w:t>FY 2024, 37 employers participated in the Diversionary Program</w:t>
      </w:r>
      <w:r w:rsidR="00C755E3" w:rsidRPr="5BF715BB">
        <w:rPr>
          <w:rFonts w:asciiTheme="minorHAnsi" w:hAnsiTheme="minorHAnsi" w:cstheme="minorBidi"/>
        </w:rPr>
        <w:t xml:space="preserve">.  </w:t>
      </w:r>
      <w:r w:rsidR="00D95C3B" w:rsidRPr="5BF715BB">
        <w:rPr>
          <w:rFonts w:asciiTheme="minorHAnsi" w:hAnsiTheme="minorHAnsi" w:cstheme="minorBidi"/>
        </w:rPr>
        <w:t>According to AKOSH, 23</w:t>
      </w:r>
      <w:r w:rsidR="00C755E3" w:rsidRPr="5BF715BB">
        <w:rPr>
          <w:rFonts w:asciiTheme="minorHAnsi" w:hAnsiTheme="minorHAnsi" w:cstheme="minorBidi"/>
        </w:rPr>
        <w:t xml:space="preserve"> of these </w:t>
      </w:r>
      <w:r w:rsidR="0042109C" w:rsidRPr="5BF715BB">
        <w:rPr>
          <w:rFonts w:asciiTheme="minorHAnsi" w:hAnsiTheme="minorHAnsi" w:cstheme="minorBidi"/>
        </w:rPr>
        <w:t>successfully complet</w:t>
      </w:r>
      <w:r w:rsidR="00C755E3" w:rsidRPr="5BF715BB">
        <w:rPr>
          <w:rFonts w:asciiTheme="minorHAnsi" w:hAnsiTheme="minorHAnsi" w:cstheme="minorBidi"/>
        </w:rPr>
        <w:t xml:space="preserve">ed </w:t>
      </w:r>
      <w:r w:rsidR="002F330F" w:rsidRPr="5BF715BB">
        <w:rPr>
          <w:rFonts w:asciiTheme="minorHAnsi" w:hAnsiTheme="minorHAnsi" w:cstheme="minorBidi"/>
        </w:rPr>
        <w:t>C&amp;T visits a</w:t>
      </w:r>
      <w:r w:rsidR="004C240B" w:rsidRPr="5BF715BB">
        <w:rPr>
          <w:rFonts w:asciiTheme="minorHAnsi" w:hAnsiTheme="minorHAnsi" w:cstheme="minorBidi"/>
        </w:rPr>
        <w:t>nd</w:t>
      </w:r>
      <w:r w:rsidR="006C60E0" w:rsidRPr="5BF715BB">
        <w:rPr>
          <w:rFonts w:asciiTheme="minorHAnsi" w:hAnsiTheme="minorHAnsi" w:cstheme="minorBidi"/>
        </w:rPr>
        <w:t xml:space="preserve"> 87% of penalties </w:t>
      </w:r>
      <w:r w:rsidR="004C240B" w:rsidRPr="5BF715BB">
        <w:rPr>
          <w:rFonts w:asciiTheme="minorHAnsi" w:hAnsiTheme="minorHAnsi" w:cstheme="minorBidi"/>
        </w:rPr>
        <w:t xml:space="preserve">issued </w:t>
      </w:r>
      <w:r w:rsidR="006C60E0" w:rsidRPr="5BF715BB">
        <w:rPr>
          <w:rFonts w:asciiTheme="minorHAnsi" w:hAnsiTheme="minorHAnsi" w:cstheme="minorBidi"/>
        </w:rPr>
        <w:t>were reduced</w:t>
      </w:r>
      <w:r w:rsidR="004C240B" w:rsidRPr="5BF715BB">
        <w:rPr>
          <w:rFonts w:asciiTheme="minorHAnsi" w:hAnsiTheme="minorHAnsi" w:cstheme="minorBidi"/>
        </w:rPr>
        <w:t xml:space="preserve">. </w:t>
      </w:r>
      <w:r w:rsidR="002F330F" w:rsidRPr="5BF715BB">
        <w:rPr>
          <w:rFonts w:asciiTheme="minorHAnsi" w:hAnsiTheme="minorHAnsi" w:cstheme="minorBidi"/>
        </w:rPr>
        <w:t xml:space="preserve"> There were eight employers that did not </w:t>
      </w:r>
      <w:r w:rsidR="00DE172B" w:rsidRPr="5BF715BB">
        <w:rPr>
          <w:rFonts w:asciiTheme="minorHAnsi" w:hAnsiTheme="minorHAnsi" w:cstheme="minorBidi"/>
        </w:rPr>
        <w:t xml:space="preserve">complete a C&amp;T visit and had their penalties reinstated.  </w:t>
      </w:r>
    </w:p>
    <w:p w14:paraId="599E53D1" w14:textId="77777777" w:rsidR="00366151" w:rsidRDefault="00366151">
      <w:pPr>
        <w:widowControl/>
        <w:autoSpaceDE/>
        <w:autoSpaceDN/>
        <w:adjustRightInd/>
        <w:rPr>
          <w:rFonts w:cs="Calibri"/>
          <w:iCs/>
        </w:rPr>
      </w:pPr>
    </w:p>
    <w:p w14:paraId="0AB18072" w14:textId="52E3B2CE" w:rsidR="00652E3D" w:rsidRDefault="002A2FF1" w:rsidP="00353B45">
      <w:pPr>
        <w:pStyle w:val="Heading2"/>
      </w:pPr>
      <w:bookmarkStart w:id="11" w:name="_Toc118900172"/>
      <w:bookmarkStart w:id="12" w:name="_Toc118905011"/>
      <w:bookmarkStart w:id="13" w:name="_Toc187654006"/>
      <w:r>
        <w:t>Assessment of State Plan Progress and Performance</w:t>
      </w:r>
      <w:bookmarkEnd w:id="11"/>
      <w:bookmarkEnd w:id="12"/>
      <w:bookmarkEnd w:id="13"/>
    </w:p>
    <w:p w14:paraId="044F60BB" w14:textId="3AD20754" w:rsidR="00652E3D" w:rsidRDefault="00652E3D" w:rsidP="00353B45"/>
    <w:p w14:paraId="0AB18075" w14:textId="10708738" w:rsidR="00652E3D" w:rsidRPr="00DC20DB" w:rsidRDefault="002A2FF1" w:rsidP="009657AD">
      <w:pPr>
        <w:pStyle w:val="Heading3"/>
      </w:pPr>
      <w:bookmarkStart w:id="14" w:name="_Toc118900173"/>
      <w:bookmarkStart w:id="15" w:name="_Toc118905012"/>
      <w:bookmarkStart w:id="16" w:name="_Toc187654007"/>
      <w:r w:rsidRPr="0076169A">
        <w:t>Data</w:t>
      </w:r>
      <w:r w:rsidRPr="00E95D59">
        <w:t xml:space="preserve"> and Methodology</w:t>
      </w:r>
      <w:bookmarkEnd w:id="14"/>
      <w:bookmarkEnd w:id="15"/>
      <w:bookmarkEnd w:id="16"/>
    </w:p>
    <w:p w14:paraId="60B655AA" w14:textId="77777777" w:rsidR="0002362E" w:rsidRDefault="0002362E">
      <w:pPr>
        <w:widowControl/>
        <w:autoSpaceDE/>
        <w:autoSpaceDN/>
        <w:adjustRightInd/>
        <w:rPr>
          <w:rFonts w:cs="Calibri"/>
          <w:bCs/>
        </w:rPr>
      </w:pPr>
    </w:p>
    <w:p w14:paraId="0AB18078" w14:textId="261A7990" w:rsidR="00652E3D" w:rsidRDefault="002A2FF1">
      <w:pPr>
        <w:widowControl/>
        <w:autoSpaceDE/>
        <w:autoSpaceDN/>
        <w:adjustRightInd/>
        <w:rPr>
          <w:rFonts w:cs="Calibri"/>
          <w:bCs/>
        </w:rPr>
      </w:pPr>
      <w:r>
        <w:rPr>
          <w:rFonts w:cs="Calibri"/>
          <w:bCs/>
        </w:rPr>
        <w:t>OSHA has established a two-year cycle for the FAME process.  This is the follow-up year, and as such, OSHA did not perform an on-site case file review associated with a comprehensive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0AB18079" w14:textId="77777777" w:rsidR="00652E3D" w:rsidRDefault="00652E3D">
      <w:pPr>
        <w:widowControl/>
        <w:autoSpaceDE/>
        <w:autoSpaceDN/>
        <w:adjustRightInd/>
        <w:rPr>
          <w:rFonts w:cs="Calibri"/>
          <w:bCs/>
        </w:rPr>
      </w:pPr>
    </w:p>
    <w:p w14:paraId="0AB1807A" w14:textId="7D6EA1E9" w:rsidR="00652E3D" w:rsidRDefault="002A2FF1">
      <w:pPr>
        <w:pStyle w:val="ListParagraph"/>
        <w:numPr>
          <w:ilvl w:val="0"/>
          <w:numId w:val="7"/>
        </w:numPr>
        <w:spacing w:after="0" w:line="240" w:lineRule="auto"/>
        <w:rPr>
          <w:bCs/>
        </w:rPr>
      </w:pPr>
      <w:r>
        <w:rPr>
          <w:bCs/>
          <w:sz w:val="24"/>
          <w:szCs w:val="24"/>
        </w:rPr>
        <w:t>State Activity Mandated Measures (SAMM) Report</w:t>
      </w:r>
      <w:r w:rsidR="0085402B">
        <w:rPr>
          <w:bCs/>
          <w:sz w:val="24"/>
          <w:szCs w:val="24"/>
        </w:rPr>
        <w:t xml:space="preserve"> </w:t>
      </w:r>
      <w:r w:rsidR="0085402B" w:rsidRPr="45A38A98">
        <w:rPr>
          <w:sz w:val="24"/>
          <w:szCs w:val="24"/>
        </w:rPr>
        <w:t>(Appendix D</w:t>
      </w:r>
      <w:r w:rsidR="003A4676">
        <w:rPr>
          <w:sz w:val="24"/>
          <w:szCs w:val="24"/>
        </w:rPr>
        <w:t>)</w:t>
      </w:r>
      <w:r w:rsidR="0085402B" w:rsidRPr="45A38A98">
        <w:rPr>
          <w:sz w:val="24"/>
          <w:szCs w:val="24"/>
        </w:rPr>
        <w:t xml:space="preserve"> dated 11/</w:t>
      </w:r>
      <w:r w:rsidR="00FD2349">
        <w:rPr>
          <w:sz w:val="24"/>
          <w:szCs w:val="24"/>
        </w:rPr>
        <w:t>12</w:t>
      </w:r>
      <w:r w:rsidR="0085402B" w:rsidRPr="45A38A98">
        <w:rPr>
          <w:sz w:val="24"/>
          <w:szCs w:val="24"/>
        </w:rPr>
        <w:t>/202</w:t>
      </w:r>
      <w:r w:rsidR="0085402B">
        <w:rPr>
          <w:sz w:val="24"/>
          <w:szCs w:val="24"/>
        </w:rPr>
        <w:t>4</w:t>
      </w:r>
    </w:p>
    <w:p w14:paraId="0AB1807B" w14:textId="3C235C00" w:rsidR="00652E3D" w:rsidRDefault="002A2FF1">
      <w:pPr>
        <w:pStyle w:val="ListParagraph"/>
        <w:numPr>
          <w:ilvl w:val="0"/>
          <w:numId w:val="7"/>
        </w:numPr>
        <w:spacing w:after="0" w:line="240" w:lineRule="auto"/>
        <w:rPr>
          <w:bCs/>
        </w:rPr>
      </w:pPr>
      <w:r>
        <w:rPr>
          <w:bCs/>
          <w:sz w:val="24"/>
          <w:szCs w:val="24"/>
        </w:rPr>
        <w:t>State Information Report (SIR</w:t>
      </w:r>
      <w:r w:rsidR="00D0026A">
        <w:rPr>
          <w:bCs/>
          <w:sz w:val="24"/>
          <w:szCs w:val="24"/>
        </w:rPr>
        <w:t>)</w:t>
      </w:r>
      <w:r w:rsidR="00DA6618">
        <w:rPr>
          <w:bCs/>
          <w:sz w:val="24"/>
          <w:szCs w:val="24"/>
        </w:rPr>
        <w:t xml:space="preserve"> </w:t>
      </w:r>
      <w:r w:rsidR="00DA6618" w:rsidRPr="00DA6618">
        <w:rPr>
          <w:bCs/>
          <w:sz w:val="24"/>
          <w:szCs w:val="24"/>
        </w:rPr>
        <w:t>dated 11/</w:t>
      </w:r>
      <w:r w:rsidR="00FD2349">
        <w:rPr>
          <w:bCs/>
          <w:sz w:val="24"/>
          <w:szCs w:val="24"/>
        </w:rPr>
        <w:t>12</w:t>
      </w:r>
      <w:r w:rsidR="00DA6618" w:rsidRPr="00DA6618">
        <w:rPr>
          <w:bCs/>
          <w:sz w:val="24"/>
          <w:szCs w:val="24"/>
        </w:rPr>
        <w:t>/2024</w:t>
      </w:r>
    </w:p>
    <w:p w14:paraId="671A848D" w14:textId="404E4CB7" w:rsidR="00B20649" w:rsidRPr="007337E8" w:rsidRDefault="00764CDF" w:rsidP="00764CDF">
      <w:pPr>
        <w:pStyle w:val="ListParagraph"/>
        <w:numPr>
          <w:ilvl w:val="0"/>
          <w:numId w:val="7"/>
        </w:numPr>
        <w:rPr>
          <w:sz w:val="24"/>
          <w:szCs w:val="24"/>
        </w:rPr>
      </w:pPr>
      <w:r w:rsidRPr="00764CDF">
        <w:rPr>
          <w:sz w:val="24"/>
          <w:szCs w:val="24"/>
        </w:rPr>
        <w:t>Whistleblower Application in the OSHA IT Support System (OITSS)</w:t>
      </w:r>
    </w:p>
    <w:p w14:paraId="0AB1807E" w14:textId="77777777" w:rsidR="00652E3D" w:rsidRDefault="002A2FF1">
      <w:pPr>
        <w:pStyle w:val="ListParagraph"/>
        <w:numPr>
          <w:ilvl w:val="0"/>
          <w:numId w:val="7"/>
        </w:numPr>
        <w:spacing w:after="0" w:line="240" w:lineRule="auto"/>
        <w:rPr>
          <w:bCs/>
        </w:rPr>
      </w:pPr>
      <w:r>
        <w:rPr>
          <w:bCs/>
          <w:sz w:val="24"/>
          <w:szCs w:val="24"/>
        </w:rPr>
        <w:t>State OSHA Annual Report (SOAR)</w:t>
      </w:r>
    </w:p>
    <w:p w14:paraId="0AB1807F" w14:textId="017B6A8B" w:rsidR="00652E3D" w:rsidRPr="00DC20DB" w:rsidRDefault="002A2FF1">
      <w:pPr>
        <w:pStyle w:val="ListParagraph"/>
        <w:numPr>
          <w:ilvl w:val="0"/>
          <w:numId w:val="7"/>
        </w:numPr>
        <w:spacing w:after="0" w:line="240" w:lineRule="auto"/>
      </w:pPr>
      <w:r>
        <w:rPr>
          <w:bCs/>
          <w:sz w:val="24"/>
          <w:szCs w:val="24"/>
        </w:rPr>
        <w:t>State Plan Annual Performance Plan (APP)</w:t>
      </w:r>
    </w:p>
    <w:p w14:paraId="76B2F810" w14:textId="5CA0741F" w:rsidR="004E17D5" w:rsidRDefault="004E17D5">
      <w:pPr>
        <w:pStyle w:val="ListParagraph"/>
        <w:numPr>
          <w:ilvl w:val="0"/>
          <w:numId w:val="7"/>
        </w:numPr>
        <w:spacing w:after="0" w:line="240" w:lineRule="auto"/>
        <w:rPr>
          <w:bCs/>
        </w:rPr>
      </w:pPr>
      <w:r>
        <w:rPr>
          <w:bCs/>
          <w:sz w:val="24"/>
          <w:szCs w:val="24"/>
        </w:rPr>
        <w:t>OSHA Information System Reports (OIS)</w:t>
      </w:r>
    </w:p>
    <w:p w14:paraId="0AB18080" w14:textId="6BB525C1" w:rsidR="00652E3D" w:rsidRPr="006949C1" w:rsidRDefault="002A2FF1">
      <w:pPr>
        <w:pStyle w:val="ListParagraph"/>
        <w:numPr>
          <w:ilvl w:val="0"/>
          <w:numId w:val="7"/>
        </w:numPr>
        <w:spacing w:after="0" w:line="240" w:lineRule="auto"/>
        <w:rPr>
          <w:bCs/>
          <w:sz w:val="24"/>
          <w:szCs w:val="24"/>
        </w:rPr>
      </w:pPr>
      <w:r w:rsidRPr="006949C1">
        <w:rPr>
          <w:bCs/>
          <w:sz w:val="24"/>
          <w:szCs w:val="24"/>
        </w:rPr>
        <w:t xml:space="preserve">State Plan </w:t>
      </w:r>
      <w:r w:rsidR="00E00087" w:rsidRPr="006949C1">
        <w:rPr>
          <w:bCs/>
          <w:sz w:val="24"/>
          <w:szCs w:val="24"/>
        </w:rPr>
        <w:t xml:space="preserve">23(g) </w:t>
      </w:r>
      <w:r w:rsidRPr="006949C1">
        <w:rPr>
          <w:bCs/>
          <w:sz w:val="24"/>
          <w:szCs w:val="24"/>
        </w:rPr>
        <w:t xml:space="preserve">Grant Application </w:t>
      </w:r>
    </w:p>
    <w:p w14:paraId="0AB18081" w14:textId="77777777" w:rsidR="00652E3D" w:rsidRPr="006949C1" w:rsidRDefault="002A2FF1">
      <w:pPr>
        <w:pStyle w:val="ListParagraph"/>
        <w:numPr>
          <w:ilvl w:val="0"/>
          <w:numId w:val="7"/>
        </w:numPr>
        <w:spacing w:after="0" w:line="240" w:lineRule="auto"/>
        <w:rPr>
          <w:bCs/>
          <w:sz w:val="24"/>
          <w:szCs w:val="24"/>
        </w:rPr>
      </w:pPr>
      <w:r w:rsidRPr="006949C1">
        <w:rPr>
          <w:bCs/>
          <w:sz w:val="24"/>
          <w:szCs w:val="24"/>
        </w:rPr>
        <w:t>Quarterly monitoring meetings between OSHA and the State Plan</w:t>
      </w:r>
    </w:p>
    <w:p w14:paraId="0779F0BC" w14:textId="0D8D693F" w:rsidR="00B7450F" w:rsidRPr="006949C1" w:rsidRDefault="00744260">
      <w:pPr>
        <w:pStyle w:val="ListParagraph"/>
        <w:numPr>
          <w:ilvl w:val="0"/>
          <w:numId w:val="7"/>
        </w:numPr>
        <w:spacing w:after="0" w:line="240" w:lineRule="auto"/>
        <w:rPr>
          <w:bCs/>
          <w:sz w:val="24"/>
          <w:szCs w:val="24"/>
        </w:rPr>
      </w:pPr>
      <w:r w:rsidRPr="006949C1">
        <w:rPr>
          <w:bCs/>
          <w:sz w:val="24"/>
          <w:szCs w:val="24"/>
        </w:rPr>
        <w:t>State Plan Application (SPA)</w:t>
      </w:r>
    </w:p>
    <w:p w14:paraId="0AB18084" w14:textId="77777777" w:rsidR="00652E3D" w:rsidRDefault="00652E3D">
      <w:pPr>
        <w:widowControl/>
        <w:autoSpaceDE/>
        <w:autoSpaceDN/>
        <w:adjustRightInd/>
        <w:rPr>
          <w:rFonts w:cs="Calibri"/>
          <w:bCs/>
          <w:i/>
        </w:rPr>
      </w:pPr>
    </w:p>
    <w:p w14:paraId="0AB18085" w14:textId="4FF47139" w:rsidR="00652E3D" w:rsidRPr="00774F13" w:rsidRDefault="002A2FF1" w:rsidP="009657AD">
      <w:pPr>
        <w:pStyle w:val="Heading3"/>
      </w:pPr>
      <w:bookmarkStart w:id="17" w:name="_Toc118900174"/>
      <w:bookmarkStart w:id="18" w:name="_Toc118905013"/>
      <w:bookmarkStart w:id="19" w:name="_Toc187654008"/>
      <w:r w:rsidRPr="00F84DF9">
        <w:t>Findings and Observations</w:t>
      </w:r>
      <w:bookmarkEnd w:id="17"/>
      <w:bookmarkEnd w:id="18"/>
      <w:bookmarkEnd w:id="19"/>
    </w:p>
    <w:p w14:paraId="0B430C36" w14:textId="77777777" w:rsidR="0002362E" w:rsidRDefault="0002362E">
      <w:pPr>
        <w:widowControl/>
        <w:autoSpaceDE/>
        <w:autoSpaceDN/>
        <w:adjustRightInd/>
        <w:rPr>
          <w:rFonts w:cs="Calibri"/>
        </w:rPr>
      </w:pPr>
    </w:p>
    <w:p w14:paraId="15A9C779" w14:textId="6AD35ACD" w:rsidR="00215866" w:rsidRPr="00366151" w:rsidRDefault="00215866" w:rsidP="00215866">
      <w:r>
        <w:t xml:space="preserve">The Alaska State Plan made progress to </w:t>
      </w:r>
      <w:r w:rsidRPr="00975A58">
        <w:t xml:space="preserve">address </w:t>
      </w:r>
      <w:r w:rsidR="00D8531E">
        <w:t>two</w:t>
      </w:r>
      <w:r w:rsidRPr="00975A58">
        <w:t xml:space="preserve"> findings and </w:t>
      </w:r>
      <w:r w:rsidR="00D8531E">
        <w:t>ten</w:t>
      </w:r>
      <w:r w:rsidRPr="00975A58">
        <w:t xml:space="preserve"> observations from</w:t>
      </w:r>
      <w:r>
        <w:t xml:space="preserve"> the FY 2023 Comprehensive FAME </w:t>
      </w:r>
      <w:r w:rsidR="006949C1">
        <w:t>R</w:t>
      </w:r>
      <w:r>
        <w:t xml:space="preserve">eport.  As a result, </w:t>
      </w:r>
      <w:r w:rsidR="00C17EED">
        <w:t>three</w:t>
      </w:r>
      <w:r>
        <w:t xml:space="preserve"> observation</w:t>
      </w:r>
      <w:r w:rsidR="006777D9">
        <w:t>s</w:t>
      </w:r>
      <w:r>
        <w:t xml:space="preserve"> </w:t>
      </w:r>
      <w:r w:rsidR="006777D9">
        <w:t>are</w:t>
      </w:r>
      <w:r>
        <w:t xml:space="preserve"> closed</w:t>
      </w:r>
      <w:r w:rsidR="00AC73F5">
        <w:t>,</w:t>
      </w:r>
      <w:r>
        <w:t xml:space="preserve"> but two findings and </w:t>
      </w:r>
      <w:r w:rsidR="00E84C30">
        <w:t xml:space="preserve">the remaining </w:t>
      </w:r>
      <w:r w:rsidR="00C17EED">
        <w:t>seven</w:t>
      </w:r>
      <w:r>
        <w:t xml:space="preserve"> </w:t>
      </w:r>
      <w:r w:rsidR="00E84C30">
        <w:t>observations</w:t>
      </w:r>
      <w:r>
        <w:t xml:space="preserve"> are continued and will be re-evaluated during the FY 2025 Comprehensive FAME</w:t>
      </w:r>
      <w:r w:rsidR="00D8531E">
        <w:t xml:space="preserve"> due to the need for a full case file review</w:t>
      </w:r>
      <w:r>
        <w:t>.  There were no new findings or observations that resulted from this review period.  Appendix A describes the new and continued findings and recommendations.  Appendix B describes observations subject to continued monitoring and the related federal monitoring plan.  Appendix C describes the status of each FY 2023 finding and recommendation in detail.</w:t>
      </w:r>
    </w:p>
    <w:p w14:paraId="305DB306" w14:textId="77777777" w:rsidR="00215866" w:rsidRDefault="00215866">
      <w:pPr>
        <w:widowControl/>
        <w:autoSpaceDE/>
        <w:autoSpaceDN/>
        <w:adjustRightInd/>
        <w:rPr>
          <w:rFonts w:cs="Calibri"/>
        </w:rPr>
      </w:pPr>
    </w:p>
    <w:p w14:paraId="0AB1808B" w14:textId="7B8A87CE" w:rsidR="00652E3D" w:rsidRDefault="000362F4" w:rsidP="007760D5">
      <w:pPr>
        <w:pStyle w:val="Heading4"/>
      </w:pPr>
      <w:r>
        <w:t>Findings (</w:t>
      </w:r>
      <w:r w:rsidR="002A2FF1">
        <w:t xml:space="preserve">Status of Previous and New </w:t>
      </w:r>
      <w:r>
        <w:t>Items)</w:t>
      </w:r>
    </w:p>
    <w:p w14:paraId="4574F1EE" w14:textId="77777777" w:rsidR="00F6539E" w:rsidRDefault="00F6539E">
      <w:pPr>
        <w:widowControl/>
        <w:autoSpaceDE/>
        <w:autoSpaceDN/>
        <w:adjustRightInd/>
        <w:rPr>
          <w:rFonts w:cs="Calibri"/>
          <w:b/>
          <w:bCs/>
        </w:rPr>
      </w:pPr>
    </w:p>
    <w:p w14:paraId="026FE3C3" w14:textId="25740BAD" w:rsidR="001D784D" w:rsidRDefault="00926814">
      <w:pPr>
        <w:widowControl/>
        <w:autoSpaceDE/>
        <w:autoSpaceDN/>
        <w:adjustRightInd/>
        <w:rPr>
          <w:rFonts w:cs="Calibri"/>
        </w:rPr>
      </w:pPr>
      <w:r>
        <w:rPr>
          <w:rFonts w:cs="Calibri"/>
          <w:b/>
          <w:bCs/>
        </w:rPr>
        <w:t>Completed Findings</w:t>
      </w:r>
    </w:p>
    <w:p w14:paraId="33EF34BB" w14:textId="72A02BFE" w:rsidR="00926814" w:rsidRDefault="00926814">
      <w:pPr>
        <w:widowControl/>
        <w:autoSpaceDE/>
        <w:autoSpaceDN/>
        <w:adjustRightInd/>
        <w:rPr>
          <w:rFonts w:cs="Calibri"/>
        </w:rPr>
      </w:pPr>
    </w:p>
    <w:p w14:paraId="05C4928F" w14:textId="6D21B9C8" w:rsidR="00926814" w:rsidRDefault="00DC5BD4">
      <w:pPr>
        <w:widowControl/>
        <w:autoSpaceDE/>
        <w:autoSpaceDN/>
        <w:adjustRightInd/>
        <w:rPr>
          <w:rFonts w:cs="Calibri"/>
        </w:rPr>
      </w:pPr>
      <w:r>
        <w:rPr>
          <w:rFonts w:cs="Calibri"/>
        </w:rPr>
        <w:t>There were no</w:t>
      </w:r>
      <w:r w:rsidR="00926814">
        <w:rPr>
          <w:rFonts w:cs="Calibri"/>
        </w:rPr>
        <w:t xml:space="preserve"> findings completed in FY 202</w:t>
      </w:r>
      <w:r w:rsidR="00940994">
        <w:rPr>
          <w:rFonts w:cs="Calibri"/>
        </w:rPr>
        <w:t>4</w:t>
      </w:r>
      <w:r w:rsidR="00926814">
        <w:rPr>
          <w:rFonts w:cs="Calibri"/>
        </w:rPr>
        <w:t>.</w:t>
      </w:r>
    </w:p>
    <w:p w14:paraId="095A5683" w14:textId="77777777" w:rsidR="00926814" w:rsidRPr="00FD4ED0" w:rsidRDefault="00926814">
      <w:pPr>
        <w:widowControl/>
        <w:autoSpaceDE/>
        <w:autoSpaceDN/>
        <w:adjustRightInd/>
        <w:rPr>
          <w:rFonts w:cs="Calibri"/>
        </w:rPr>
      </w:pPr>
    </w:p>
    <w:p w14:paraId="0A4A1CDA" w14:textId="7DA91C4C" w:rsidR="00630012" w:rsidRDefault="00630012">
      <w:pPr>
        <w:widowControl/>
        <w:autoSpaceDE/>
        <w:autoSpaceDN/>
        <w:adjustRightInd/>
        <w:rPr>
          <w:rFonts w:cs="Calibri"/>
          <w:b/>
          <w:bCs/>
        </w:rPr>
      </w:pPr>
      <w:r>
        <w:rPr>
          <w:rFonts w:cs="Calibri"/>
          <w:b/>
          <w:bCs/>
        </w:rPr>
        <w:t>Closed Findings</w:t>
      </w:r>
    </w:p>
    <w:p w14:paraId="76B48CC2" w14:textId="77777777" w:rsidR="00630012" w:rsidRDefault="00630012">
      <w:pPr>
        <w:widowControl/>
        <w:autoSpaceDE/>
        <w:autoSpaceDN/>
        <w:adjustRightInd/>
        <w:rPr>
          <w:rFonts w:cs="Calibri"/>
          <w:b/>
          <w:bCs/>
        </w:rPr>
      </w:pPr>
    </w:p>
    <w:p w14:paraId="2A170819" w14:textId="4878E080" w:rsidR="00630012" w:rsidRPr="00630012" w:rsidRDefault="00630012">
      <w:pPr>
        <w:widowControl/>
        <w:autoSpaceDE/>
        <w:autoSpaceDN/>
        <w:adjustRightInd/>
        <w:rPr>
          <w:rFonts w:cs="Calibri"/>
        </w:rPr>
      </w:pPr>
      <w:r>
        <w:rPr>
          <w:rFonts w:cs="Calibri"/>
        </w:rPr>
        <w:t>There were no findings closed in FY 2024.</w:t>
      </w:r>
    </w:p>
    <w:p w14:paraId="65EA74B9" w14:textId="77777777" w:rsidR="00630012" w:rsidRPr="00FD4ED0" w:rsidRDefault="00630012">
      <w:pPr>
        <w:widowControl/>
        <w:autoSpaceDE/>
        <w:autoSpaceDN/>
        <w:adjustRightInd/>
        <w:rPr>
          <w:rFonts w:cs="Calibri"/>
        </w:rPr>
      </w:pPr>
    </w:p>
    <w:p w14:paraId="0AB1808D" w14:textId="5C6055D6" w:rsidR="00652E3D" w:rsidRPr="00A03A35" w:rsidRDefault="002A2FF1">
      <w:pPr>
        <w:widowControl/>
        <w:autoSpaceDE/>
        <w:autoSpaceDN/>
        <w:adjustRightInd/>
        <w:rPr>
          <w:rFonts w:cs="Calibri"/>
          <w:b/>
          <w:bCs/>
          <w:i/>
        </w:rPr>
      </w:pPr>
      <w:r w:rsidRPr="00A03A35">
        <w:rPr>
          <w:rFonts w:cs="Calibri"/>
          <w:b/>
          <w:bCs/>
        </w:rPr>
        <w:t xml:space="preserve">Continued Findings </w:t>
      </w:r>
    </w:p>
    <w:p w14:paraId="0AB1808E" w14:textId="77777777" w:rsidR="00652E3D" w:rsidRDefault="00652E3D">
      <w:pPr>
        <w:widowControl/>
        <w:tabs>
          <w:tab w:val="center" w:pos="270"/>
          <w:tab w:val="left" w:pos="360"/>
        </w:tabs>
        <w:autoSpaceDE/>
        <w:autoSpaceDN/>
        <w:adjustRightInd/>
        <w:rPr>
          <w:rFonts w:eastAsia="Calibri" w:cs="Calibri"/>
          <w:b/>
          <w:bCs/>
        </w:rPr>
      </w:pPr>
    </w:p>
    <w:p w14:paraId="3AEE3217" w14:textId="3A3AC8D4" w:rsidR="004D7D98" w:rsidRDefault="004D7D98" w:rsidP="004D7D98">
      <w:pPr>
        <w:rPr>
          <w:rFonts w:asciiTheme="minorHAnsi" w:hAnsiTheme="minorHAnsi" w:cstheme="minorBidi"/>
        </w:rPr>
      </w:pPr>
      <w:r w:rsidRPr="004D7D98">
        <w:rPr>
          <w:rFonts w:asciiTheme="minorHAnsi" w:hAnsiTheme="minorHAnsi" w:cstheme="minorBidi"/>
          <w:b/>
        </w:rPr>
        <w:t>Finding FY 202</w:t>
      </w:r>
      <w:r>
        <w:rPr>
          <w:rFonts w:asciiTheme="minorHAnsi" w:hAnsiTheme="minorHAnsi" w:cstheme="minorBidi"/>
          <w:b/>
        </w:rPr>
        <w:t>4</w:t>
      </w:r>
      <w:r w:rsidRPr="004D7D98">
        <w:rPr>
          <w:rFonts w:asciiTheme="minorHAnsi" w:hAnsiTheme="minorHAnsi" w:cstheme="minorBidi"/>
          <w:b/>
        </w:rPr>
        <w:t>-01</w:t>
      </w:r>
      <w:r w:rsidR="00A61D54">
        <w:rPr>
          <w:rFonts w:asciiTheme="minorHAnsi" w:hAnsiTheme="minorHAnsi" w:cstheme="minorBidi"/>
          <w:b/>
        </w:rPr>
        <w:t xml:space="preserve"> (FY 2023-</w:t>
      </w:r>
      <w:r w:rsidR="00215761">
        <w:rPr>
          <w:rFonts w:asciiTheme="minorHAnsi" w:hAnsiTheme="minorHAnsi" w:cstheme="minorBidi"/>
          <w:b/>
        </w:rPr>
        <w:t>01)</w:t>
      </w:r>
      <w:r w:rsidRPr="004D7D98">
        <w:rPr>
          <w:rFonts w:asciiTheme="minorHAnsi" w:hAnsiTheme="minorHAnsi" w:cstheme="minorBidi"/>
          <w:b/>
        </w:rPr>
        <w:t>:</w:t>
      </w:r>
      <w:r w:rsidRPr="004D7D98">
        <w:rPr>
          <w:rFonts w:asciiTheme="minorHAnsi" w:hAnsiTheme="minorHAnsi" w:cstheme="minorBidi"/>
        </w:rPr>
        <w:t xml:space="preserve"> In FY 2023, in 16 out of 53 case files (30%) there were no employee interviews documented. </w:t>
      </w:r>
    </w:p>
    <w:p w14:paraId="51F98114" w14:textId="77777777" w:rsidR="004D7D98" w:rsidRDefault="004D7D98" w:rsidP="004D7D98">
      <w:pPr>
        <w:rPr>
          <w:rFonts w:asciiTheme="minorHAnsi" w:hAnsiTheme="minorHAnsi" w:cstheme="minorBidi"/>
        </w:rPr>
      </w:pPr>
    </w:p>
    <w:p w14:paraId="334F2F18" w14:textId="11F2A68C" w:rsidR="004D7D98" w:rsidRPr="004D7D98" w:rsidRDefault="004D7D98" w:rsidP="004D7D98">
      <w:pPr>
        <w:rPr>
          <w:rFonts w:asciiTheme="minorHAnsi" w:hAnsiTheme="minorHAnsi" w:cstheme="minorBidi"/>
        </w:rPr>
      </w:pPr>
      <w:r>
        <w:rPr>
          <w:rFonts w:asciiTheme="minorHAnsi" w:hAnsiTheme="minorHAnsi" w:cstheme="minorBidi"/>
          <w:b/>
          <w:bCs/>
        </w:rPr>
        <w:t>Status</w:t>
      </w:r>
      <w:r>
        <w:rPr>
          <w:rFonts w:asciiTheme="minorHAnsi" w:hAnsiTheme="minorHAnsi" w:cstheme="minorBidi"/>
        </w:rPr>
        <w:t xml:space="preserve">: </w:t>
      </w:r>
      <w:r w:rsidR="0022634F">
        <w:rPr>
          <w:rFonts w:asciiTheme="minorHAnsi" w:hAnsiTheme="minorHAnsi" w:cstheme="minorBidi"/>
        </w:rPr>
        <w:t xml:space="preserve">AKOSH has </w:t>
      </w:r>
      <w:r w:rsidR="000F1D54">
        <w:rPr>
          <w:rFonts w:asciiTheme="minorHAnsi" w:hAnsiTheme="minorHAnsi" w:cstheme="minorBidi"/>
        </w:rPr>
        <w:t>instructed the enforcement staff to ensure interviews are conducted for all on-site inspections.  However, a</w:t>
      </w:r>
      <w:r>
        <w:rPr>
          <w:rFonts w:asciiTheme="minorHAnsi" w:hAnsiTheme="minorHAnsi" w:cstheme="minorBidi"/>
        </w:rPr>
        <w:t xml:space="preserve"> case file review is necessary to </w:t>
      </w:r>
      <w:r w:rsidR="00307447">
        <w:rPr>
          <w:rFonts w:asciiTheme="minorHAnsi" w:hAnsiTheme="minorHAnsi" w:cstheme="minorBidi"/>
        </w:rPr>
        <w:t xml:space="preserve">gather the facts needed to </w:t>
      </w:r>
      <w:r>
        <w:rPr>
          <w:rFonts w:asciiTheme="minorHAnsi" w:hAnsiTheme="minorHAnsi" w:cstheme="minorBidi"/>
        </w:rPr>
        <w:t xml:space="preserve">evaluate progress on this finding.  This finding will be a focus during the FY 2025 </w:t>
      </w:r>
      <w:r w:rsidR="00311696">
        <w:rPr>
          <w:rFonts w:asciiTheme="minorHAnsi" w:hAnsiTheme="minorHAnsi" w:cstheme="minorBidi"/>
        </w:rPr>
        <w:t xml:space="preserve">comprehensive FAME </w:t>
      </w:r>
      <w:r w:rsidR="00C501B0">
        <w:rPr>
          <w:rFonts w:asciiTheme="minorHAnsi" w:hAnsiTheme="minorHAnsi" w:cstheme="minorBidi"/>
        </w:rPr>
        <w:t xml:space="preserve">on-site case </w:t>
      </w:r>
      <w:r w:rsidR="00311696">
        <w:rPr>
          <w:rFonts w:asciiTheme="minorHAnsi" w:hAnsiTheme="minorHAnsi" w:cstheme="minorBidi"/>
        </w:rPr>
        <w:t>file review</w:t>
      </w:r>
      <w:r w:rsidR="00C501B0">
        <w:rPr>
          <w:rFonts w:asciiTheme="minorHAnsi" w:hAnsiTheme="minorHAnsi" w:cstheme="minorBidi"/>
        </w:rPr>
        <w:t xml:space="preserve"> </w:t>
      </w:r>
      <w:r w:rsidR="00311696">
        <w:rPr>
          <w:rFonts w:asciiTheme="minorHAnsi" w:hAnsiTheme="minorHAnsi" w:cstheme="minorBidi"/>
        </w:rPr>
        <w:t xml:space="preserve">and remains open.  </w:t>
      </w:r>
    </w:p>
    <w:p w14:paraId="42A27F9D" w14:textId="77777777" w:rsidR="004D7D98" w:rsidRDefault="004D7D98">
      <w:pPr>
        <w:widowControl/>
        <w:rPr>
          <w:rFonts w:cs="Calibri"/>
          <w:b/>
          <w:bCs/>
        </w:rPr>
      </w:pPr>
    </w:p>
    <w:p w14:paraId="22D248B7" w14:textId="2E15910A" w:rsidR="00121E0B" w:rsidRPr="00121E0B" w:rsidRDefault="00121E0B" w:rsidP="00121E0B">
      <w:pPr>
        <w:tabs>
          <w:tab w:val="left" w:pos="1170"/>
        </w:tabs>
        <w:rPr>
          <w:rStyle w:val="normaltextrun"/>
          <w:rFonts w:asciiTheme="minorHAnsi" w:hAnsiTheme="minorHAnsi" w:cstheme="minorBidi"/>
        </w:rPr>
      </w:pPr>
      <w:r w:rsidRPr="00121E0B">
        <w:rPr>
          <w:rStyle w:val="normaltextrun"/>
          <w:rFonts w:asciiTheme="minorHAnsi" w:hAnsiTheme="minorHAnsi" w:cstheme="minorBidi"/>
          <w:b/>
          <w:bCs/>
        </w:rPr>
        <w:t>Finding FY 202</w:t>
      </w:r>
      <w:r>
        <w:rPr>
          <w:rStyle w:val="normaltextrun"/>
          <w:rFonts w:asciiTheme="minorHAnsi" w:hAnsiTheme="minorHAnsi" w:cstheme="minorBidi"/>
          <w:b/>
          <w:bCs/>
        </w:rPr>
        <w:t>4</w:t>
      </w:r>
      <w:r w:rsidRPr="00121E0B">
        <w:rPr>
          <w:rStyle w:val="normaltextrun"/>
          <w:rFonts w:asciiTheme="minorHAnsi" w:hAnsiTheme="minorHAnsi" w:cstheme="minorBidi"/>
          <w:b/>
          <w:bCs/>
        </w:rPr>
        <w:t>-02</w:t>
      </w:r>
      <w:r w:rsidR="00215761">
        <w:rPr>
          <w:rStyle w:val="normaltextrun"/>
          <w:rFonts w:asciiTheme="minorHAnsi" w:hAnsiTheme="minorHAnsi" w:cstheme="minorBidi"/>
          <w:b/>
          <w:bCs/>
        </w:rPr>
        <w:t xml:space="preserve"> (FY 2023-02)</w:t>
      </w:r>
      <w:r w:rsidRPr="00121E0B">
        <w:rPr>
          <w:rStyle w:val="normaltextrun"/>
          <w:rFonts w:asciiTheme="minorHAnsi" w:hAnsiTheme="minorHAnsi" w:cstheme="minorBidi"/>
          <w:b/>
          <w:bCs/>
        </w:rPr>
        <w:t>:</w:t>
      </w:r>
      <w:r w:rsidRPr="00121E0B">
        <w:rPr>
          <w:rStyle w:val="normaltextrun"/>
          <w:rFonts w:asciiTheme="minorHAnsi" w:hAnsiTheme="minorHAnsi" w:cstheme="minorBidi"/>
        </w:rPr>
        <w:t xml:space="preserve">  In FY 2023, in 18 of 24 (75%) of inspections with citations where an informal conference was held, there was insufficient documentation for justification of penalty reductions for inspections in which willful, repeat serious, serious high gravity citations and disabling injuries occurred.  </w:t>
      </w:r>
    </w:p>
    <w:p w14:paraId="5EB05750" w14:textId="77777777" w:rsidR="00DB0A43" w:rsidRDefault="00DB0A43">
      <w:pPr>
        <w:widowControl/>
        <w:rPr>
          <w:rFonts w:cs="Calibri"/>
          <w:b/>
          <w:bCs/>
        </w:rPr>
      </w:pPr>
    </w:p>
    <w:p w14:paraId="475EA717" w14:textId="227AC2C1" w:rsidR="00121E0B" w:rsidRPr="004D7D98" w:rsidRDefault="00121E0B" w:rsidP="00121E0B">
      <w:pPr>
        <w:rPr>
          <w:rFonts w:asciiTheme="minorHAnsi" w:hAnsiTheme="minorHAnsi" w:cstheme="minorBidi"/>
        </w:rPr>
      </w:pPr>
      <w:r>
        <w:rPr>
          <w:rFonts w:asciiTheme="minorHAnsi" w:hAnsiTheme="minorHAnsi" w:cstheme="minorBidi"/>
          <w:b/>
          <w:bCs/>
        </w:rPr>
        <w:t>Status</w:t>
      </w:r>
      <w:r>
        <w:rPr>
          <w:rFonts w:asciiTheme="minorHAnsi" w:hAnsiTheme="minorHAnsi" w:cstheme="minorBidi"/>
        </w:rPr>
        <w:t xml:space="preserve">: </w:t>
      </w:r>
      <w:r w:rsidR="00137817">
        <w:rPr>
          <w:rFonts w:asciiTheme="minorHAnsi" w:hAnsiTheme="minorHAnsi" w:cstheme="minorBidi"/>
        </w:rPr>
        <w:t>AKOSH</w:t>
      </w:r>
      <w:r w:rsidR="00AC692D">
        <w:rPr>
          <w:rFonts w:asciiTheme="minorHAnsi" w:hAnsiTheme="minorHAnsi" w:cstheme="minorBidi"/>
        </w:rPr>
        <w:t>’s action plan included document</w:t>
      </w:r>
      <w:r w:rsidR="0054294E">
        <w:rPr>
          <w:rFonts w:asciiTheme="minorHAnsi" w:hAnsiTheme="minorHAnsi" w:cstheme="minorBidi"/>
        </w:rPr>
        <w:t xml:space="preserve">ing </w:t>
      </w:r>
      <w:r w:rsidR="00AC692D">
        <w:rPr>
          <w:rFonts w:asciiTheme="minorHAnsi" w:hAnsiTheme="minorHAnsi" w:cstheme="minorBidi"/>
        </w:rPr>
        <w:t>the rationale for citation and penalty adjustments</w:t>
      </w:r>
      <w:r w:rsidR="00933812">
        <w:rPr>
          <w:rFonts w:asciiTheme="minorHAnsi" w:hAnsiTheme="minorHAnsi" w:cstheme="minorBidi"/>
        </w:rPr>
        <w:t>, including employers participating in the Diversionary Program</w:t>
      </w:r>
      <w:r w:rsidR="00AC692D">
        <w:rPr>
          <w:rFonts w:asciiTheme="minorHAnsi" w:hAnsiTheme="minorHAnsi" w:cstheme="minorBidi"/>
        </w:rPr>
        <w:t xml:space="preserve">. </w:t>
      </w:r>
      <w:r w:rsidR="00933812">
        <w:rPr>
          <w:rFonts w:asciiTheme="minorHAnsi" w:hAnsiTheme="minorHAnsi" w:cstheme="minorBidi"/>
        </w:rPr>
        <w:t xml:space="preserve"> However, a</w:t>
      </w:r>
      <w:r>
        <w:rPr>
          <w:rFonts w:asciiTheme="minorHAnsi" w:hAnsiTheme="minorHAnsi" w:cstheme="minorBidi"/>
        </w:rPr>
        <w:t xml:space="preserve"> case file review is necessary to </w:t>
      </w:r>
      <w:r w:rsidR="002876CE">
        <w:rPr>
          <w:rFonts w:asciiTheme="minorHAnsi" w:hAnsiTheme="minorHAnsi" w:cstheme="minorBidi"/>
        </w:rPr>
        <w:t xml:space="preserve">gather the facts needed to </w:t>
      </w:r>
      <w:r>
        <w:rPr>
          <w:rFonts w:asciiTheme="minorHAnsi" w:hAnsiTheme="minorHAnsi" w:cstheme="minorBidi"/>
        </w:rPr>
        <w:t xml:space="preserve">evaluate progress on this finding.  This finding will be a focus during the FY 2025 </w:t>
      </w:r>
      <w:r w:rsidR="00720BE1">
        <w:rPr>
          <w:rFonts w:asciiTheme="minorHAnsi" w:hAnsiTheme="minorHAnsi" w:cstheme="minorBidi"/>
        </w:rPr>
        <w:t>C</w:t>
      </w:r>
      <w:r>
        <w:rPr>
          <w:rFonts w:asciiTheme="minorHAnsi" w:hAnsiTheme="minorHAnsi" w:cstheme="minorBidi"/>
        </w:rPr>
        <w:t xml:space="preserve">omprehensive FAME on-site case file review and remains open.  </w:t>
      </w:r>
    </w:p>
    <w:p w14:paraId="594F19A2" w14:textId="16AB3AE7" w:rsidR="00926814" w:rsidRDefault="00926814">
      <w:pPr>
        <w:widowControl/>
        <w:autoSpaceDE/>
        <w:autoSpaceDN/>
        <w:adjustRightInd/>
        <w:rPr>
          <w:rFonts w:cs="Calibri"/>
        </w:rPr>
      </w:pPr>
    </w:p>
    <w:p w14:paraId="1C60E173" w14:textId="11AFC676" w:rsidR="00926814" w:rsidRDefault="00926814" w:rsidP="00926814">
      <w:pPr>
        <w:widowControl/>
        <w:autoSpaceDE/>
        <w:autoSpaceDN/>
        <w:adjustRightInd/>
        <w:rPr>
          <w:rFonts w:cs="Calibri"/>
        </w:rPr>
      </w:pPr>
      <w:r>
        <w:rPr>
          <w:rFonts w:cs="Calibri"/>
          <w:b/>
          <w:bCs/>
        </w:rPr>
        <w:t>New Findings</w:t>
      </w:r>
    </w:p>
    <w:p w14:paraId="4BB5B206" w14:textId="132B0A36" w:rsidR="00926814" w:rsidRDefault="00926814" w:rsidP="00926814">
      <w:pPr>
        <w:widowControl/>
        <w:autoSpaceDE/>
        <w:autoSpaceDN/>
        <w:adjustRightInd/>
        <w:rPr>
          <w:rFonts w:cs="Calibri"/>
        </w:rPr>
      </w:pPr>
    </w:p>
    <w:p w14:paraId="147B6154" w14:textId="56637EC5" w:rsidR="00926814" w:rsidRPr="00520D0B" w:rsidRDefault="004766DB" w:rsidP="00926814">
      <w:pPr>
        <w:widowControl/>
        <w:autoSpaceDE/>
        <w:autoSpaceDN/>
        <w:adjustRightInd/>
        <w:rPr>
          <w:rFonts w:cs="Calibri"/>
        </w:rPr>
      </w:pPr>
      <w:r>
        <w:rPr>
          <w:rFonts w:cs="Calibri"/>
        </w:rPr>
        <w:t>There were n</w:t>
      </w:r>
      <w:r w:rsidR="00926814">
        <w:rPr>
          <w:rFonts w:cs="Calibri"/>
        </w:rPr>
        <w:t>o new findings identified in FY 202</w:t>
      </w:r>
      <w:r w:rsidR="008E28EE">
        <w:rPr>
          <w:rFonts w:cs="Calibri"/>
        </w:rPr>
        <w:t>4</w:t>
      </w:r>
      <w:r w:rsidR="00926814">
        <w:rPr>
          <w:rFonts w:cs="Calibri"/>
        </w:rPr>
        <w:t>.</w:t>
      </w:r>
    </w:p>
    <w:p w14:paraId="0AB1809A" w14:textId="3223DB3F" w:rsidR="00652E3D" w:rsidRDefault="00652E3D">
      <w:pPr>
        <w:rPr>
          <w:highlight w:val="yellow"/>
        </w:rPr>
      </w:pPr>
      <w:bookmarkStart w:id="20" w:name="_Toc118900176"/>
      <w:bookmarkStart w:id="21" w:name="_Toc118905015"/>
    </w:p>
    <w:p w14:paraId="5011F635" w14:textId="77777777" w:rsidR="007375ED" w:rsidRDefault="007375ED">
      <w:pPr>
        <w:rPr>
          <w:highlight w:val="yellow"/>
        </w:rPr>
      </w:pPr>
    </w:p>
    <w:bookmarkEnd w:id="20"/>
    <w:bookmarkEnd w:id="21"/>
    <w:p w14:paraId="59941F3B" w14:textId="31CF100A" w:rsidR="00802917" w:rsidRPr="00802917" w:rsidRDefault="00802917">
      <w:pPr>
        <w:widowControl/>
        <w:autoSpaceDE/>
        <w:autoSpaceDN/>
        <w:adjustRightInd/>
        <w:rPr>
          <w:rFonts w:cs="Calibri"/>
          <w:b/>
          <w:bCs/>
        </w:rPr>
      </w:pPr>
      <w:r>
        <w:rPr>
          <w:rFonts w:cs="Calibri"/>
          <w:b/>
          <w:bCs/>
        </w:rPr>
        <w:t>Observations</w:t>
      </w:r>
      <w:r w:rsidR="00961324">
        <w:rPr>
          <w:rFonts w:cs="Calibri"/>
          <w:b/>
          <w:bCs/>
        </w:rPr>
        <w:t xml:space="preserve"> (Status of Previous and New</w:t>
      </w:r>
      <w:r w:rsidR="00F30350">
        <w:rPr>
          <w:rFonts w:cs="Calibri"/>
          <w:b/>
          <w:bCs/>
        </w:rPr>
        <w:t xml:space="preserve"> Items</w:t>
      </w:r>
      <w:r w:rsidR="00961324">
        <w:rPr>
          <w:rFonts w:cs="Calibri"/>
          <w:b/>
          <w:bCs/>
        </w:rPr>
        <w:t>)</w:t>
      </w:r>
    </w:p>
    <w:p w14:paraId="036189B0" w14:textId="77777777" w:rsidR="00802917" w:rsidRDefault="00802917">
      <w:pPr>
        <w:widowControl/>
        <w:autoSpaceDE/>
        <w:autoSpaceDN/>
        <w:adjustRightInd/>
        <w:rPr>
          <w:rFonts w:cs="Calibri"/>
          <w:b/>
          <w:bCs/>
        </w:rPr>
      </w:pPr>
    </w:p>
    <w:p w14:paraId="55ADA3B2" w14:textId="6A4305D8" w:rsidR="00334059" w:rsidRDefault="00334059">
      <w:pPr>
        <w:widowControl/>
        <w:autoSpaceDE/>
        <w:autoSpaceDN/>
        <w:adjustRightInd/>
        <w:rPr>
          <w:rFonts w:cs="Calibri"/>
          <w:b/>
          <w:bCs/>
        </w:rPr>
      </w:pPr>
      <w:r>
        <w:rPr>
          <w:rFonts w:cs="Calibri"/>
          <w:b/>
          <w:bCs/>
        </w:rPr>
        <w:t>Completed Observations</w:t>
      </w:r>
    </w:p>
    <w:p w14:paraId="039D4D4B" w14:textId="77777777" w:rsidR="008C2844" w:rsidRDefault="008C2844">
      <w:pPr>
        <w:widowControl/>
        <w:autoSpaceDE/>
        <w:autoSpaceDN/>
        <w:adjustRightInd/>
        <w:rPr>
          <w:rFonts w:cs="Calibri"/>
          <w:b/>
          <w:bCs/>
        </w:rPr>
      </w:pPr>
    </w:p>
    <w:p w14:paraId="5D1C2D32" w14:textId="677172E1" w:rsidR="008C2844" w:rsidRPr="008C2844" w:rsidRDefault="008C2844">
      <w:pPr>
        <w:widowControl/>
        <w:autoSpaceDE/>
        <w:autoSpaceDN/>
        <w:adjustRightInd/>
        <w:rPr>
          <w:rFonts w:cs="Calibri"/>
        </w:rPr>
      </w:pPr>
      <w:r w:rsidRPr="0064469F">
        <w:rPr>
          <w:rFonts w:cs="Calibri"/>
        </w:rPr>
        <w:t>There were</w:t>
      </w:r>
      <w:r w:rsidR="00404BAF" w:rsidRPr="0064469F">
        <w:rPr>
          <w:rFonts w:cs="Calibri"/>
        </w:rPr>
        <w:t xml:space="preserve"> no</w:t>
      </w:r>
      <w:r w:rsidRPr="0064469F">
        <w:rPr>
          <w:rFonts w:cs="Calibri"/>
        </w:rPr>
        <w:t xml:space="preserve"> completed observations in FY 2024</w:t>
      </w:r>
      <w:r w:rsidR="00B71E77" w:rsidRPr="0064469F">
        <w:rPr>
          <w:rFonts w:cs="Calibri"/>
        </w:rPr>
        <w:t>.</w:t>
      </w:r>
    </w:p>
    <w:p w14:paraId="7D66110E" w14:textId="77777777" w:rsidR="008C2844" w:rsidRDefault="008C2844">
      <w:pPr>
        <w:widowControl/>
        <w:autoSpaceDE/>
        <w:autoSpaceDN/>
        <w:adjustRightInd/>
        <w:rPr>
          <w:rFonts w:cs="Calibri"/>
          <w:b/>
          <w:bCs/>
        </w:rPr>
      </w:pPr>
    </w:p>
    <w:p w14:paraId="20ABCAD8" w14:textId="205D5B99" w:rsidR="006A78C5" w:rsidRDefault="006A78C5">
      <w:pPr>
        <w:widowControl/>
        <w:autoSpaceDE/>
        <w:autoSpaceDN/>
        <w:adjustRightInd/>
        <w:rPr>
          <w:rFonts w:cs="Calibri"/>
          <w:b/>
          <w:bCs/>
        </w:rPr>
      </w:pPr>
      <w:r>
        <w:rPr>
          <w:rFonts w:cs="Calibri"/>
          <w:b/>
          <w:bCs/>
        </w:rPr>
        <w:t>Closed Observations</w:t>
      </w:r>
    </w:p>
    <w:p w14:paraId="7B454269" w14:textId="77777777" w:rsidR="006A78C5" w:rsidRDefault="006A78C5" w:rsidP="00BA7D04">
      <w:pPr>
        <w:widowControl/>
        <w:autoSpaceDE/>
        <w:autoSpaceDN/>
        <w:adjustRightInd/>
        <w:rPr>
          <w:rFonts w:cs="Calibri"/>
          <w:b/>
          <w:bCs/>
        </w:rPr>
      </w:pPr>
    </w:p>
    <w:p w14:paraId="4C3729BD" w14:textId="3A6B451E" w:rsidR="00B539CF" w:rsidRPr="005F1192" w:rsidRDefault="00B539CF" w:rsidP="00BA7D04">
      <w:pPr>
        <w:pStyle w:val="BodyText"/>
        <w:spacing w:after="0"/>
        <w:rPr>
          <w:rFonts w:asciiTheme="minorHAnsi" w:hAnsiTheme="minorHAnsi" w:cstheme="minorHAnsi"/>
        </w:rPr>
      </w:pPr>
      <w:r w:rsidRPr="005F1192">
        <w:rPr>
          <w:rStyle w:val="normaltextrun"/>
          <w:rFonts w:asciiTheme="minorHAnsi" w:hAnsiTheme="minorHAnsi" w:cstheme="minorHAnsi"/>
          <w:b/>
          <w:bCs/>
        </w:rPr>
        <w:t>Observation FY 202</w:t>
      </w:r>
      <w:r>
        <w:rPr>
          <w:rStyle w:val="normaltextrun"/>
          <w:rFonts w:asciiTheme="minorHAnsi" w:hAnsiTheme="minorHAnsi" w:cstheme="minorHAnsi"/>
          <w:b/>
          <w:bCs/>
        </w:rPr>
        <w:t>3</w:t>
      </w:r>
      <w:r w:rsidRPr="005F1192">
        <w:rPr>
          <w:rStyle w:val="normaltextrun"/>
          <w:rFonts w:asciiTheme="minorHAnsi" w:hAnsiTheme="minorHAnsi" w:cstheme="minorHAnsi"/>
          <w:b/>
          <w:bCs/>
        </w:rPr>
        <w:t>-</w:t>
      </w:r>
      <w:r w:rsidRPr="004D357F">
        <w:rPr>
          <w:rStyle w:val="normaltextrun"/>
          <w:rFonts w:asciiTheme="minorHAnsi" w:hAnsiTheme="minorHAnsi" w:cstheme="minorHAnsi"/>
          <w:b/>
          <w:bCs/>
        </w:rPr>
        <w:t>OB-01</w:t>
      </w:r>
      <w:r w:rsidRPr="005F1192">
        <w:rPr>
          <w:rStyle w:val="normaltextrun"/>
          <w:rFonts w:asciiTheme="minorHAnsi" w:hAnsiTheme="minorHAnsi" w:cstheme="minorHAnsi"/>
          <w:b/>
          <w:bCs/>
        </w:rPr>
        <w:t xml:space="preserve">:  </w:t>
      </w:r>
      <w:r w:rsidR="00020347" w:rsidRPr="00BA7D04">
        <w:rPr>
          <w:rFonts w:asciiTheme="minorHAnsi" w:hAnsiTheme="minorHAnsi" w:cstheme="minorHAnsi"/>
        </w:rPr>
        <w:t>In FY 2023, the average workdays to respond to complaints was four days, which is above the negotiated goal of one day.</w:t>
      </w:r>
    </w:p>
    <w:p w14:paraId="7B4918B0" w14:textId="77777777" w:rsidR="00B539CF" w:rsidRDefault="00B539CF" w:rsidP="00BA7D04">
      <w:pPr>
        <w:pStyle w:val="BodyText"/>
        <w:spacing w:after="0"/>
        <w:rPr>
          <w:rStyle w:val="normaltextrun"/>
          <w:rFonts w:asciiTheme="minorHAnsi" w:hAnsiTheme="minorHAnsi" w:cstheme="minorHAnsi"/>
          <w:b/>
          <w:bCs/>
        </w:rPr>
      </w:pPr>
    </w:p>
    <w:p w14:paraId="3E4520C2" w14:textId="6EF06569" w:rsidR="00B539CF" w:rsidRPr="00D75A70" w:rsidRDefault="00B539CF" w:rsidP="00BA7D04">
      <w:pPr>
        <w:pStyle w:val="BodyText"/>
        <w:spacing w:after="0"/>
        <w:rPr>
          <w:rStyle w:val="normaltextrun"/>
          <w:rFonts w:asciiTheme="minorHAnsi" w:hAnsiTheme="minorHAnsi" w:cstheme="minorHAnsi"/>
          <w:b/>
          <w:bCs/>
        </w:rPr>
      </w:pPr>
      <w:r w:rsidRPr="00D75A70">
        <w:rPr>
          <w:rStyle w:val="normaltextrun"/>
          <w:rFonts w:asciiTheme="minorHAnsi" w:hAnsiTheme="minorHAnsi" w:cstheme="minorHAnsi"/>
          <w:b/>
          <w:bCs/>
        </w:rPr>
        <w:t xml:space="preserve">Status: </w:t>
      </w:r>
      <w:r>
        <w:rPr>
          <w:rStyle w:val="normaltextrun"/>
          <w:rFonts w:asciiTheme="minorHAnsi" w:hAnsiTheme="minorHAnsi" w:cstheme="minorHAnsi"/>
          <w:b/>
          <w:bCs/>
        </w:rPr>
        <w:t xml:space="preserve"> </w:t>
      </w:r>
      <w:r w:rsidR="00D972D8">
        <w:rPr>
          <w:rStyle w:val="normaltextrun"/>
          <w:rFonts w:asciiTheme="minorHAnsi" w:hAnsiTheme="minorHAnsi" w:cstheme="minorHAnsi"/>
        </w:rPr>
        <w:t>This observation was related to the average work</w:t>
      </w:r>
      <w:r w:rsidR="00691618">
        <w:rPr>
          <w:rStyle w:val="normaltextrun"/>
          <w:rFonts w:asciiTheme="minorHAnsi" w:hAnsiTheme="minorHAnsi" w:cstheme="minorHAnsi"/>
        </w:rPr>
        <w:t>ing</w:t>
      </w:r>
      <w:r w:rsidR="008F4201">
        <w:rPr>
          <w:rStyle w:val="normaltextrun"/>
          <w:rFonts w:asciiTheme="minorHAnsi" w:hAnsiTheme="minorHAnsi" w:cstheme="minorHAnsi"/>
        </w:rPr>
        <w:t xml:space="preserve"> </w:t>
      </w:r>
      <w:r w:rsidR="00D972D8">
        <w:rPr>
          <w:rStyle w:val="normaltextrun"/>
          <w:rFonts w:asciiTheme="minorHAnsi" w:hAnsiTheme="minorHAnsi" w:cstheme="minorHAnsi"/>
        </w:rPr>
        <w:t xml:space="preserve">days for initiating complaint investigations (SAMM 2a).  </w:t>
      </w:r>
      <w:r w:rsidRPr="00D9157A">
        <w:rPr>
          <w:rFonts w:asciiTheme="minorHAnsi" w:hAnsiTheme="minorHAnsi" w:cstheme="minorHAnsi"/>
        </w:rPr>
        <w:t xml:space="preserve">The </w:t>
      </w:r>
      <w:r>
        <w:rPr>
          <w:rFonts w:asciiTheme="minorHAnsi" w:hAnsiTheme="minorHAnsi" w:cstheme="minorHAnsi"/>
        </w:rPr>
        <w:t>FRL</w:t>
      </w:r>
      <w:r w:rsidRPr="00D9157A">
        <w:rPr>
          <w:rFonts w:asciiTheme="minorHAnsi" w:hAnsiTheme="minorHAnsi" w:cstheme="minorHAnsi"/>
        </w:rPr>
        <w:t xml:space="preserve"> </w:t>
      </w:r>
      <w:r>
        <w:rPr>
          <w:rFonts w:asciiTheme="minorHAnsi" w:hAnsiTheme="minorHAnsi" w:cstheme="minorHAnsi"/>
        </w:rPr>
        <w:t xml:space="preserve">was one working day and </w:t>
      </w:r>
      <w:r w:rsidRPr="00D9157A">
        <w:rPr>
          <w:rFonts w:asciiTheme="minorHAnsi" w:hAnsiTheme="minorHAnsi" w:cstheme="minorHAnsi"/>
        </w:rPr>
        <w:t xml:space="preserve">was negotiated by OSHA and </w:t>
      </w:r>
      <w:r>
        <w:rPr>
          <w:rFonts w:asciiTheme="minorHAnsi" w:hAnsiTheme="minorHAnsi" w:cstheme="minorHAnsi"/>
        </w:rPr>
        <w:t>AKOSH</w:t>
      </w:r>
      <w:r w:rsidRPr="00D9157A">
        <w:rPr>
          <w:rFonts w:asciiTheme="minorHAnsi" w:hAnsiTheme="minorHAnsi" w:cstheme="minorHAnsi"/>
        </w:rPr>
        <w:t xml:space="preserve"> through the</w:t>
      </w:r>
      <w:r>
        <w:rPr>
          <w:rFonts w:asciiTheme="minorHAnsi" w:hAnsiTheme="minorHAnsi" w:cstheme="minorHAnsi"/>
        </w:rPr>
        <w:t xml:space="preserve"> </w:t>
      </w:r>
      <w:proofErr w:type="gramStart"/>
      <w:r>
        <w:rPr>
          <w:rFonts w:asciiTheme="minorHAnsi" w:hAnsiTheme="minorHAnsi" w:cstheme="minorHAnsi"/>
        </w:rPr>
        <w:t xml:space="preserve">23(g) </w:t>
      </w:r>
      <w:r w:rsidRPr="00D9157A">
        <w:rPr>
          <w:rFonts w:asciiTheme="minorHAnsi" w:hAnsiTheme="minorHAnsi" w:cstheme="minorHAnsi"/>
        </w:rPr>
        <w:t>grant</w:t>
      </w:r>
      <w:proofErr w:type="gramEnd"/>
      <w:r w:rsidRPr="00D9157A">
        <w:rPr>
          <w:rFonts w:asciiTheme="minorHAnsi" w:hAnsiTheme="minorHAnsi" w:cstheme="minorHAnsi"/>
        </w:rPr>
        <w:t xml:space="preserve"> application. </w:t>
      </w:r>
      <w:r>
        <w:rPr>
          <w:rFonts w:asciiTheme="minorHAnsi" w:hAnsiTheme="minorHAnsi" w:cstheme="minorHAnsi"/>
        </w:rPr>
        <w:t xml:space="preserve"> </w:t>
      </w:r>
      <w:r>
        <w:rPr>
          <w:rFonts w:cs="Calibri"/>
          <w:bCs/>
        </w:rPr>
        <w:t xml:space="preserve">According to Appendix D, in FY 2024, the average number of workdays to initiate complaint investigations </w:t>
      </w:r>
      <w:r w:rsidR="008F4201">
        <w:rPr>
          <w:rFonts w:cs="Calibri"/>
          <w:bCs/>
        </w:rPr>
        <w:t>was</w:t>
      </w:r>
      <w:r>
        <w:rPr>
          <w:rFonts w:cs="Calibri"/>
          <w:bCs/>
        </w:rPr>
        <w:t xml:space="preserve"> 5.80, an increase from </w:t>
      </w:r>
      <w:r w:rsidR="00707E04">
        <w:rPr>
          <w:rFonts w:cs="Calibri"/>
          <w:bCs/>
        </w:rPr>
        <w:t>four</w:t>
      </w:r>
      <w:r>
        <w:rPr>
          <w:rFonts w:cs="Calibri"/>
          <w:bCs/>
        </w:rPr>
        <w:t xml:space="preserve"> in FY 2023. </w:t>
      </w:r>
      <w:r w:rsidRPr="009D5104">
        <w:rPr>
          <w:rFonts w:cs="Calibri"/>
          <w:bCs/>
        </w:rPr>
        <w:t xml:space="preserve"> </w:t>
      </w:r>
      <w:r>
        <w:rPr>
          <w:rFonts w:asciiTheme="minorHAnsi" w:hAnsiTheme="minorHAnsi" w:cstheme="minorHAnsi"/>
        </w:rPr>
        <w:t xml:space="preserve">AKOSH </w:t>
      </w:r>
      <w:r>
        <w:rPr>
          <w:rFonts w:cs="Calibri"/>
          <w:bCs/>
        </w:rPr>
        <w:t xml:space="preserve">believed this increase was due to waiting for additional information from complainants prior to initiating an investigation and OIS reflecting the complaint as valid prior to the necessary information received, thus skewing the response time.  AKOSH’s procedure was to validate complaints once satisfactory information was received from a complainant.  </w:t>
      </w:r>
      <w:r w:rsidR="004926C5">
        <w:rPr>
          <w:rFonts w:cs="Calibri"/>
          <w:bCs/>
        </w:rPr>
        <w:t xml:space="preserve">OSHA will monitor this information </w:t>
      </w:r>
      <w:r w:rsidR="00B341E7">
        <w:rPr>
          <w:rFonts w:cs="Calibri"/>
          <w:bCs/>
        </w:rPr>
        <w:t xml:space="preserve">in the next review period </w:t>
      </w:r>
      <w:r w:rsidR="004926C5">
        <w:rPr>
          <w:rFonts w:cs="Calibri"/>
          <w:bCs/>
        </w:rPr>
        <w:t xml:space="preserve">as part of the new, </w:t>
      </w:r>
      <w:r w:rsidR="008F4201">
        <w:rPr>
          <w:rFonts w:cs="Calibri"/>
          <w:bCs/>
        </w:rPr>
        <w:t xml:space="preserve">re-negotiated </w:t>
      </w:r>
      <w:r w:rsidR="00BA0FC0">
        <w:rPr>
          <w:rFonts w:cs="Calibri"/>
          <w:bCs/>
        </w:rPr>
        <w:t xml:space="preserve">FY 2025 </w:t>
      </w:r>
      <w:r w:rsidR="004926C5">
        <w:rPr>
          <w:rFonts w:cs="Calibri"/>
          <w:bCs/>
        </w:rPr>
        <w:t>SAMM</w:t>
      </w:r>
      <w:r w:rsidR="00BA0FC0">
        <w:rPr>
          <w:rFonts w:cs="Calibri"/>
          <w:bCs/>
        </w:rPr>
        <w:t xml:space="preserve"> </w:t>
      </w:r>
      <w:r w:rsidR="003527B7">
        <w:rPr>
          <w:rFonts w:cs="Calibri"/>
          <w:bCs/>
        </w:rPr>
        <w:t>further review levels (FRLs)</w:t>
      </w:r>
      <w:r w:rsidR="00BA0FC0">
        <w:rPr>
          <w:rFonts w:cs="Calibri"/>
          <w:bCs/>
        </w:rPr>
        <w:t>.</w:t>
      </w:r>
      <w:r w:rsidR="004926C5">
        <w:rPr>
          <w:rFonts w:cs="Calibri"/>
          <w:bCs/>
        </w:rPr>
        <w:t xml:space="preserve">  </w:t>
      </w:r>
      <w:r>
        <w:rPr>
          <w:rFonts w:cs="Calibri"/>
          <w:bCs/>
        </w:rPr>
        <w:t>This observation</w:t>
      </w:r>
      <w:r w:rsidR="004926C5">
        <w:rPr>
          <w:rFonts w:cs="Calibri"/>
          <w:bCs/>
        </w:rPr>
        <w:t xml:space="preserve"> is closed</w:t>
      </w:r>
      <w:r>
        <w:rPr>
          <w:rFonts w:cs="Calibri"/>
          <w:bCs/>
        </w:rPr>
        <w:t xml:space="preserve">. </w:t>
      </w:r>
    </w:p>
    <w:p w14:paraId="00AD965B" w14:textId="77777777" w:rsidR="00B539CF" w:rsidRDefault="00B539CF" w:rsidP="00BA7D04">
      <w:pPr>
        <w:widowControl/>
        <w:autoSpaceDE/>
        <w:autoSpaceDN/>
        <w:adjustRightInd/>
        <w:rPr>
          <w:rFonts w:cs="Calibri"/>
          <w:b/>
          <w:bCs/>
        </w:rPr>
      </w:pPr>
    </w:p>
    <w:p w14:paraId="4C938A20" w14:textId="4C1BD899" w:rsidR="006A78C5" w:rsidRPr="00695C52" w:rsidRDefault="006A78C5" w:rsidP="00BA7D04">
      <w:pPr>
        <w:pStyle w:val="BodyText"/>
        <w:spacing w:after="0"/>
        <w:rPr>
          <w:rFonts w:asciiTheme="minorHAnsi" w:hAnsiTheme="minorHAnsi" w:cstheme="minorHAnsi"/>
        </w:rPr>
      </w:pPr>
      <w:r w:rsidRPr="00695C52">
        <w:rPr>
          <w:rStyle w:val="normaltextrun"/>
          <w:rFonts w:asciiTheme="minorHAnsi" w:hAnsiTheme="minorHAnsi" w:cstheme="minorHAnsi"/>
          <w:b/>
          <w:bCs/>
        </w:rPr>
        <w:t xml:space="preserve">Observation </w:t>
      </w:r>
      <w:r w:rsidRPr="004D357F">
        <w:rPr>
          <w:rStyle w:val="normaltextrun"/>
          <w:rFonts w:asciiTheme="minorHAnsi" w:hAnsiTheme="minorHAnsi" w:cstheme="minorHAnsi"/>
          <w:b/>
          <w:bCs/>
        </w:rPr>
        <w:t xml:space="preserve">FY 2023-OB-03:  </w:t>
      </w:r>
      <w:r w:rsidRPr="004D357F">
        <w:rPr>
          <w:rStyle w:val="normaltextrun"/>
          <w:rFonts w:asciiTheme="minorHAnsi" w:hAnsiTheme="minorHAnsi" w:cstheme="minorHAnsi"/>
        </w:rPr>
        <w:t>In FY 2023,</w:t>
      </w:r>
      <w:r w:rsidRPr="004D357F">
        <w:rPr>
          <w:rStyle w:val="normaltextrun"/>
          <w:rFonts w:asciiTheme="minorHAnsi" w:hAnsiTheme="minorHAnsi" w:cstheme="minorHAnsi"/>
          <w:b/>
          <w:bCs/>
        </w:rPr>
        <w:t xml:space="preserve"> </w:t>
      </w:r>
      <w:r w:rsidRPr="004D357F">
        <w:rPr>
          <w:rFonts w:asciiTheme="minorHAnsi" w:hAnsiTheme="minorHAnsi" w:cstheme="minorHAnsi"/>
        </w:rPr>
        <w:t>one of four (25%) fatalities in AKOSH’s jurisdiction was not ope</w:t>
      </w:r>
      <w:r w:rsidRPr="00695C52">
        <w:rPr>
          <w:rFonts w:asciiTheme="minorHAnsi" w:hAnsiTheme="minorHAnsi" w:cstheme="minorHAnsi"/>
        </w:rPr>
        <w:t>ned as an inspection or investigation within one day as mandated (SAMM 10).</w:t>
      </w:r>
    </w:p>
    <w:p w14:paraId="5326C3B7" w14:textId="77777777" w:rsidR="006A78C5" w:rsidRDefault="006A78C5" w:rsidP="00BA7D04">
      <w:pPr>
        <w:widowControl/>
        <w:autoSpaceDE/>
        <w:autoSpaceDN/>
        <w:adjustRightInd/>
        <w:rPr>
          <w:rFonts w:cs="Calibri"/>
          <w:b/>
          <w:bCs/>
          <w:i/>
          <w:iCs/>
          <w:color w:val="8064A2" w:themeColor="accent4"/>
        </w:rPr>
      </w:pPr>
    </w:p>
    <w:p w14:paraId="112F385F" w14:textId="62580D57" w:rsidR="006A78C5" w:rsidRPr="003633D7" w:rsidRDefault="006A78C5" w:rsidP="00BA7D04">
      <w:pPr>
        <w:widowControl/>
        <w:autoSpaceDE/>
        <w:autoSpaceDN/>
        <w:adjustRightInd/>
        <w:rPr>
          <w:rFonts w:cs="Calibri"/>
        </w:rPr>
      </w:pPr>
      <w:r w:rsidRPr="003633D7">
        <w:rPr>
          <w:rFonts w:cs="Calibri"/>
          <w:b/>
          <w:bCs/>
        </w:rPr>
        <w:t>Status:</w:t>
      </w:r>
      <w:r>
        <w:rPr>
          <w:rFonts w:cs="Calibri"/>
        </w:rPr>
        <w:t xml:space="preserve">  According to Appendix D, during FY 2024, one of five (20%) fatalities was not initiated as an inspection within one working day.  The FRL for this measure is fixed at 100% for all state plans.  </w:t>
      </w:r>
      <w:r w:rsidR="004D1B6C">
        <w:rPr>
          <w:rFonts w:cs="Calibri"/>
        </w:rPr>
        <w:t xml:space="preserve">This was </w:t>
      </w:r>
      <w:r>
        <w:rPr>
          <w:rFonts w:cs="Calibri"/>
        </w:rPr>
        <w:t xml:space="preserve">attributed to </w:t>
      </w:r>
      <w:r w:rsidR="002403B8">
        <w:rPr>
          <w:rFonts w:cs="Calibri"/>
        </w:rPr>
        <w:t xml:space="preserve">factors outside of AKOSH’s control, including </w:t>
      </w:r>
      <w:r>
        <w:rPr>
          <w:rFonts w:cs="Calibri"/>
        </w:rPr>
        <w:t>the worksite located in an area of the state that was geographically challenging to travel to with limited flight schedules available.  In these remote areas, vehicle rentals could also be difficult.  OSHA will continue to monitor this data through the SAMM report during the next evaluation period.  This observation is closed.</w:t>
      </w:r>
    </w:p>
    <w:p w14:paraId="5E9AF6BF" w14:textId="77777777" w:rsidR="006A78C5" w:rsidRDefault="006A78C5" w:rsidP="00BA7D04">
      <w:pPr>
        <w:widowControl/>
        <w:autoSpaceDE/>
        <w:autoSpaceDN/>
        <w:adjustRightInd/>
        <w:rPr>
          <w:rFonts w:cs="Calibri"/>
          <w:b/>
          <w:bCs/>
        </w:rPr>
      </w:pPr>
    </w:p>
    <w:p w14:paraId="15C9A6AD" w14:textId="4E925132" w:rsidR="00E94068" w:rsidRPr="000E6E94" w:rsidRDefault="00E94068" w:rsidP="00BA7D04">
      <w:pPr>
        <w:pStyle w:val="BodyText"/>
        <w:spacing w:after="0"/>
        <w:rPr>
          <w:rFonts w:asciiTheme="minorHAnsi" w:hAnsiTheme="minorHAnsi" w:cstheme="minorHAnsi"/>
        </w:rPr>
      </w:pPr>
      <w:r w:rsidRPr="000E6E94">
        <w:rPr>
          <w:rFonts w:asciiTheme="minorHAnsi" w:hAnsiTheme="minorHAnsi" w:cstheme="minorHAnsi"/>
          <w:b/>
        </w:rPr>
        <w:t>Observation</w:t>
      </w:r>
      <w:r w:rsidRPr="000E6E94">
        <w:rPr>
          <w:rFonts w:asciiTheme="minorHAnsi" w:hAnsiTheme="minorHAnsi" w:cstheme="minorHAnsi"/>
          <w:b/>
          <w:spacing w:val="-1"/>
        </w:rPr>
        <w:t xml:space="preserve"> </w:t>
      </w:r>
      <w:r w:rsidRPr="000E6E94">
        <w:rPr>
          <w:rStyle w:val="normaltextrun"/>
          <w:rFonts w:asciiTheme="minorHAnsi" w:hAnsiTheme="minorHAnsi" w:cstheme="minorHAnsi"/>
          <w:b/>
          <w:bCs/>
        </w:rPr>
        <w:t>FY 20</w:t>
      </w:r>
      <w:r>
        <w:rPr>
          <w:rStyle w:val="normaltextrun"/>
          <w:rFonts w:asciiTheme="minorHAnsi" w:hAnsiTheme="minorHAnsi" w:cstheme="minorHAnsi"/>
          <w:b/>
          <w:bCs/>
        </w:rPr>
        <w:t>23</w:t>
      </w:r>
      <w:r w:rsidRPr="000E6E94">
        <w:rPr>
          <w:rStyle w:val="normaltextrun"/>
          <w:rFonts w:asciiTheme="minorHAnsi" w:hAnsiTheme="minorHAnsi" w:cstheme="minorHAnsi"/>
          <w:b/>
          <w:bCs/>
        </w:rPr>
        <w:t>-OB</w:t>
      </w:r>
      <w:r w:rsidRPr="004D357F">
        <w:rPr>
          <w:rStyle w:val="normaltextrun"/>
          <w:rFonts w:asciiTheme="minorHAnsi" w:hAnsiTheme="minorHAnsi" w:cstheme="minorHAnsi"/>
          <w:b/>
          <w:bCs/>
        </w:rPr>
        <w:t>-0</w:t>
      </w:r>
      <w:r>
        <w:rPr>
          <w:rStyle w:val="normaltextrun"/>
          <w:rFonts w:asciiTheme="minorHAnsi" w:hAnsiTheme="minorHAnsi" w:cstheme="minorHAnsi"/>
          <w:b/>
          <w:bCs/>
        </w:rPr>
        <w:t>4</w:t>
      </w:r>
      <w:r w:rsidRPr="004D357F">
        <w:rPr>
          <w:rStyle w:val="normaltextrun"/>
          <w:rFonts w:asciiTheme="minorHAnsi" w:hAnsiTheme="minorHAnsi" w:cstheme="minorHAnsi"/>
          <w:b/>
          <w:bCs/>
        </w:rPr>
        <w:t xml:space="preserve">:  </w:t>
      </w:r>
      <w:r w:rsidRPr="007C7967">
        <w:rPr>
          <w:rFonts w:asciiTheme="minorHAnsi" w:hAnsiTheme="minorHAnsi" w:cstheme="minorHAnsi"/>
          <w:iCs/>
        </w:rPr>
        <w:t>In FY 2023, the inspection goals were not met.  The percentage of safety inspections conducted was 21% below the state negotiated goal. The percentage of health inspection</w:t>
      </w:r>
      <w:r w:rsidR="004668AF">
        <w:rPr>
          <w:rFonts w:asciiTheme="minorHAnsi" w:hAnsiTheme="minorHAnsi" w:cstheme="minorHAnsi"/>
          <w:iCs/>
        </w:rPr>
        <w:t>s</w:t>
      </w:r>
      <w:r w:rsidRPr="007C7967">
        <w:rPr>
          <w:rFonts w:asciiTheme="minorHAnsi" w:hAnsiTheme="minorHAnsi" w:cstheme="minorHAnsi"/>
          <w:iCs/>
        </w:rPr>
        <w:t xml:space="preserve"> conducted was 38% below the state negotiated goal.</w:t>
      </w:r>
    </w:p>
    <w:p w14:paraId="740C0B2B" w14:textId="77777777" w:rsidR="00E94068" w:rsidRDefault="00E94068" w:rsidP="00BA7D04">
      <w:pPr>
        <w:widowControl/>
        <w:autoSpaceDE/>
        <w:autoSpaceDN/>
        <w:adjustRightInd/>
        <w:rPr>
          <w:rFonts w:cs="Calibri"/>
          <w:b/>
          <w:bCs/>
        </w:rPr>
      </w:pPr>
    </w:p>
    <w:p w14:paraId="37CD2029" w14:textId="00559865" w:rsidR="00E94068" w:rsidRDefault="00E94068" w:rsidP="00BA7D04">
      <w:pPr>
        <w:widowControl/>
        <w:autoSpaceDE/>
        <w:autoSpaceDN/>
        <w:adjustRightInd/>
        <w:rPr>
          <w:rFonts w:cs="Calibri"/>
          <w:b/>
          <w:bCs/>
        </w:rPr>
      </w:pPr>
      <w:r>
        <w:rPr>
          <w:rFonts w:cs="Calibri"/>
          <w:b/>
          <w:bCs/>
        </w:rPr>
        <w:t xml:space="preserve">Status: </w:t>
      </w:r>
      <w:r>
        <w:rPr>
          <w:rFonts w:cs="Calibri"/>
        </w:rPr>
        <w:t xml:space="preserve"> For FY 2024, the FRL for planned versus actual inspections for safety (SAMM 7a) and health (SAMM 7b) is +/-5% of 215 and 160, respectively, which was negotiated by OSHA and the State Plan through the </w:t>
      </w:r>
      <w:proofErr w:type="gramStart"/>
      <w:r>
        <w:rPr>
          <w:rFonts w:cs="Calibri"/>
        </w:rPr>
        <w:t>23(g) grant</w:t>
      </w:r>
      <w:proofErr w:type="gramEnd"/>
      <w:r>
        <w:rPr>
          <w:rFonts w:cs="Calibri"/>
        </w:rPr>
        <w:t xml:space="preserve"> application.  This provides a range of 204 to 226 safety inspections and 152 to 168 for health.  AKOSH conducted 245 (114%) safety and 112 (70%) health inspections, which was an increase from 208 safety and 89 health in the previous review period.  AKOSH was above the FRL for safety inspections and was able to enforce </w:t>
      </w:r>
      <w:r w:rsidR="005D5D3D">
        <w:rPr>
          <w:rFonts w:cs="Calibri"/>
        </w:rPr>
        <w:t>safety</w:t>
      </w:r>
      <w:r w:rsidR="00681F31">
        <w:rPr>
          <w:rFonts w:cs="Calibri"/>
        </w:rPr>
        <w:t xml:space="preserve"> </w:t>
      </w:r>
      <w:r w:rsidR="005D5D3D">
        <w:rPr>
          <w:rFonts w:cs="Calibri"/>
        </w:rPr>
        <w:t>in more workplaces than anticipated.</w:t>
      </w:r>
      <w:r>
        <w:rPr>
          <w:rFonts w:cs="Calibri"/>
        </w:rPr>
        <w:t xml:space="preserve"> </w:t>
      </w:r>
      <w:r w:rsidR="002F675A">
        <w:rPr>
          <w:rFonts w:cs="Calibri"/>
        </w:rPr>
        <w:t xml:space="preserve"> </w:t>
      </w:r>
      <w:r w:rsidR="00681F31">
        <w:rPr>
          <w:rFonts w:cs="Calibri"/>
        </w:rPr>
        <w:t>However, t</w:t>
      </w:r>
      <w:r w:rsidR="002F675A">
        <w:rPr>
          <w:rFonts w:cs="Calibri"/>
        </w:rPr>
        <w:t xml:space="preserve">he limited number of trained health compliance officers in the field for a portion of the year affected AKOSH’s ability to meet the projected health </w:t>
      </w:r>
      <w:r w:rsidR="00A34A06">
        <w:rPr>
          <w:rFonts w:cs="Calibri"/>
        </w:rPr>
        <w:t>inspections</w:t>
      </w:r>
      <w:r w:rsidR="002F675A">
        <w:rPr>
          <w:rFonts w:cs="Calibri"/>
        </w:rPr>
        <w:t xml:space="preserve">.  </w:t>
      </w:r>
      <w:r w:rsidR="00681F31">
        <w:rPr>
          <w:rFonts w:cs="Calibri"/>
        </w:rPr>
        <w:t>Overall</w:t>
      </w:r>
      <w:r w:rsidR="00A34A06">
        <w:rPr>
          <w:rFonts w:cs="Calibri"/>
        </w:rPr>
        <w:t>, Alaska accomplished 95% of its total inspection goal</w:t>
      </w:r>
      <w:r w:rsidR="00681F31">
        <w:rPr>
          <w:rFonts w:cs="Calibri"/>
        </w:rPr>
        <w:t xml:space="preserve"> and maintained an above-average enforcement presence (SAMM 17)</w:t>
      </w:r>
      <w:r w:rsidR="00A34A06">
        <w:rPr>
          <w:rFonts w:cs="Calibri"/>
        </w:rPr>
        <w:t xml:space="preserve">.  OSHA will continue to monitor this </w:t>
      </w:r>
      <w:r w:rsidR="00681F31">
        <w:rPr>
          <w:rFonts w:cs="Calibri"/>
        </w:rPr>
        <w:t>metric</w:t>
      </w:r>
      <w:r w:rsidR="00A34A06">
        <w:rPr>
          <w:rFonts w:cs="Calibri"/>
        </w:rPr>
        <w:t xml:space="preserve"> through the next review period</w:t>
      </w:r>
      <w:r>
        <w:rPr>
          <w:rFonts w:cs="Calibri"/>
        </w:rPr>
        <w:t>.  This observation is closed.</w:t>
      </w:r>
    </w:p>
    <w:p w14:paraId="64A7D600" w14:textId="77777777" w:rsidR="00E94068" w:rsidRDefault="00E94068" w:rsidP="00BA7D04">
      <w:pPr>
        <w:widowControl/>
        <w:autoSpaceDE/>
        <w:autoSpaceDN/>
        <w:adjustRightInd/>
        <w:rPr>
          <w:rFonts w:cs="Calibri"/>
          <w:b/>
          <w:bCs/>
        </w:rPr>
      </w:pPr>
    </w:p>
    <w:p w14:paraId="4BF99132" w14:textId="63D37F1F" w:rsidR="000B5C6E" w:rsidRDefault="006E07EF" w:rsidP="00BA7D04">
      <w:pPr>
        <w:widowControl/>
        <w:autoSpaceDE/>
        <w:autoSpaceDN/>
        <w:adjustRightInd/>
        <w:rPr>
          <w:b/>
          <w:bCs/>
        </w:rPr>
      </w:pPr>
      <w:r w:rsidRPr="00C16A19">
        <w:rPr>
          <w:b/>
          <w:bCs/>
        </w:rPr>
        <w:t xml:space="preserve">Continued </w:t>
      </w:r>
      <w:r w:rsidRPr="007D30D6">
        <w:rPr>
          <w:b/>
          <w:bCs/>
        </w:rPr>
        <w:t>Observations</w:t>
      </w:r>
    </w:p>
    <w:p w14:paraId="318DEADA" w14:textId="77777777" w:rsidR="007D6596" w:rsidRDefault="007D6596" w:rsidP="00BA7D04">
      <w:pPr>
        <w:pStyle w:val="BodyText"/>
        <w:spacing w:after="0"/>
        <w:rPr>
          <w:rStyle w:val="normaltextrun"/>
          <w:rFonts w:asciiTheme="minorHAnsi" w:hAnsiTheme="minorHAnsi" w:cstheme="minorHAnsi"/>
          <w:b/>
          <w:bCs/>
        </w:rPr>
      </w:pPr>
    </w:p>
    <w:p w14:paraId="0F4EDE3A" w14:textId="0BD6D471" w:rsidR="007D6596" w:rsidRPr="007D6596" w:rsidRDefault="007D6596" w:rsidP="00BA7D04">
      <w:pPr>
        <w:pStyle w:val="BodyText"/>
        <w:spacing w:after="0"/>
        <w:rPr>
          <w:rFonts w:asciiTheme="minorHAnsi" w:hAnsiTheme="minorHAnsi" w:cstheme="minorHAnsi"/>
        </w:rPr>
      </w:pPr>
      <w:r w:rsidRPr="007D6596">
        <w:rPr>
          <w:rStyle w:val="normaltextrun"/>
          <w:rFonts w:asciiTheme="minorHAnsi" w:hAnsiTheme="minorHAnsi" w:cstheme="minorHAnsi"/>
          <w:b/>
          <w:bCs/>
        </w:rPr>
        <w:t>Observation FY 202</w:t>
      </w:r>
      <w:r w:rsidR="004863B2">
        <w:rPr>
          <w:rStyle w:val="normaltextrun"/>
          <w:rFonts w:asciiTheme="minorHAnsi" w:hAnsiTheme="minorHAnsi" w:cstheme="minorHAnsi"/>
          <w:b/>
          <w:bCs/>
        </w:rPr>
        <w:t>4</w:t>
      </w:r>
      <w:r w:rsidRPr="007D6596">
        <w:rPr>
          <w:rStyle w:val="normaltextrun"/>
          <w:rFonts w:asciiTheme="minorHAnsi" w:hAnsiTheme="minorHAnsi" w:cstheme="minorHAnsi"/>
          <w:b/>
          <w:bCs/>
        </w:rPr>
        <w:t>-</w:t>
      </w:r>
      <w:r w:rsidRPr="004D357F">
        <w:rPr>
          <w:rStyle w:val="normaltextrun"/>
          <w:rFonts w:asciiTheme="minorHAnsi" w:hAnsiTheme="minorHAnsi" w:cstheme="minorHAnsi"/>
          <w:b/>
          <w:bCs/>
        </w:rPr>
        <w:t>OB-</w:t>
      </w:r>
      <w:r w:rsidR="001F53D1" w:rsidRPr="004D357F">
        <w:rPr>
          <w:rStyle w:val="normaltextrun"/>
          <w:rFonts w:asciiTheme="minorHAnsi" w:hAnsiTheme="minorHAnsi" w:cstheme="minorHAnsi"/>
          <w:b/>
          <w:bCs/>
        </w:rPr>
        <w:t>0</w:t>
      </w:r>
      <w:r w:rsidR="00B341E7">
        <w:rPr>
          <w:rStyle w:val="normaltextrun"/>
          <w:rFonts w:asciiTheme="minorHAnsi" w:hAnsiTheme="minorHAnsi" w:cstheme="minorHAnsi"/>
          <w:b/>
          <w:bCs/>
        </w:rPr>
        <w:t>1</w:t>
      </w:r>
      <w:r w:rsidRPr="007D6596">
        <w:rPr>
          <w:rStyle w:val="normaltextrun"/>
          <w:rFonts w:asciiTheme="minorHAnsi" w:hAnsiTheme="minorHAnsi" w:cstheme="minorHAnsi"/>
          <w:b/>
          <w:bCs/>
        </w:rPr>
        <w:t xml:space="preserve">:  </w:t>
      </w:r>
      <w:r w:rsidRPr="007D6596">
        <w:rPr>
          <w:rStyle w:val="normaltextrun"/>
          <w:rFonts w:asciiTheme="minorHAnsi" w:hAnsiTheme="minorHAnsi" w:cstheme="minorHAnsi"/>
        </w:rPr>
        <w:t xml:space="preserve">In FY 2023, three of four (75%) fatality inspection files were missing the investigative summary. </w:t>
      </w:r>
      <w:r w:rsidR="001F53D1">
        <w:rPr>
          <w:rStyle w:val="normaltextrun"/>
          <w:rFonts w:asciiTheme="minorHAnsi" w:hAnsiTheme="minorHAnsi" w:cstheme="minorHAnsi"/>
        </w:rPr>
        <w:t xml:space="preserve"> </w:t>
      </w:r>
      <w:r w:rsidRPr="007D6596">
        <w:rPr>
          <w:rStyle w:val="normaltextrun"/>
          <w:rFonts w:asciiTheme="minorHAnsi" w:hAnsiTheme="minorHAnsi" w:cstheme="minorHAnsi"/>
        </w:rPr>
        <w:t xml:space="preserve">Three of three (100%) </w:t>
      </w:r>
      <w:r w:rsidR="00AA0DE4">
        <w:rPr>
          <w:rStyle w:val="normaltextrun"/>
          <w:rFonts w:asciiTheme="minorHAnsi" w:hAnsiTheme="minorHAnsi" w:cstheme="minorHAnsi"/>
        </w:rPr>
        <w:t>unprogrammed activities (</w:t>
      </w:r>
      <w:r w:rsidRPr="007D6596">
        <w:rPr>
          <w:rStyle w:val="normaltextrun"/>
          <w:rFonts w:asciiTheme="minorHAnsi" w:hAnsiTheme="minorHAnsi" w:cstheme="minorHAnsi"/>
        </w:rPr>
        <w:t>UPAs</w:t>
      </w:r>
      <w:r w:rsidR="00AA0DE4">
        <w:rPr>
          <w:rStyle w:val="normaltextrun"/>
          <w:rFonts w:asciiTheme="minorHAnsi" w:hAnsiTheme="minorHAnsi" w:cstheme="minorHAnsi"/>
        </w:rPr>
        <w:t>)</w:t>
      </w:r>
      <w:r w:rsidRPr="007D6596">
        <w:rPr>
          <w:rStyle w:val="normaltextrun"/>
          <w:rFonts w:asciiTheme="minorHAnsi" w:hAnsiTheme="minorHAnsi" w:cstheme="minorHAnsi"/>
        </w:rPr>
        <w:t xml:space="preserve"> not inspected did not have the fatality/catastrophe report, were missing supporting documentation, the contact sheet, and official cause of death.</w:t>
      </w:r>
    </w:p>
    <w:p w14:paraId="5FAFFD48" w14:textId="77777777" w:rsidR="007D6596" w:rsidRDefault="007D6596" w:rsidP="00BA7D04">
      <w:pPr>
        <w:widowControl/>
        <w:autoSpaceDE/>
        <w:autoSpaceDN/>
        <w:adjustRightInd/>
        <w:rPr>
          <w:rFonts w:cs="Calibri"/>
          <w:b/>
          <w:bCs/>
          <w:i/>
          <w:iCs/>
          <w:color w:val="8064A2" w:themeColor="accent4"/>
        </w:rPr>
      </w:pPr>
    </w:p>
    <w:p w14:paraId="7D94A56B" w14:textId="3862E142" w:rsidR="007D6596" w:rsidRPr="00C05D4F" w:rsidRDefault="007D6596" w:rsidP="00BA7D04">
      <w:pPr>
        <w:widowControl/>
        <w:autoSpaceDE/>
        <w:autoSpaceDN/>
        <w:adjustRightInd/>
        <w:rPr>
          <w:rFonts w:cs="Calibri"/>
          <w:color w:val="8064A2" w:themeColor="accent4"/>
        </w:rPr>
      </w:pPr>
      <w:r w:rsidRPr="00C05D4F">
        <w:rPr>
          <w:rFonts w:cs="Calibri"/>
          <w:b/>
          <w:bCs/>
        </w:rPr>
        <w:t xml:space="preserve">Status: </w:t>
      </w:r>
      <w:r w:rsidR="00C841AF">
        <w:rPr>
          <w:rFonts w:cs="Calibri"/>
          <w:b/>
          <w:bCs/>
        </w:rPr>
        <w:t xml:space="preserve"> </w:t>
      </w:r>
      <w:r>
        <w:rPr>
          <w:rFonts w:cs="Calibri"/>
        </w:rPr>
        <w:t>A case file review</w:t>
      </w:r>
      <w:r w:rsidR="0093463C">
        <w:rPr>
          <w:rFonts w:cs="Calibri"/>
        </w:rPr>
        <w:t xml:space="preserve"> </w:t>
      </w:r>
      <w:r>
        <w:rPr>
          <w:rFonts w:cs="Calibri"/>
        </w:rPr>
        <w:t xml:space="preserve">is necessary to </w:t>
      </w:r>
      <w:r w:rsidR="003C0249">
        <w:rPr>
          <w:rFonts w:cs="Calibri"/>
        </w:rPr>
        <w:t xml:space="preserve">gather the facts needed to </w:t>
      </w:r>
      <w:r>
        <w:rPr>
          <w:rFonts w:cs="Calibri"/>
        </w:rPr>
        <w:t>evaluate progress on this observation</w:t>
      </w:r>
      <w:r w:rsidR="007140E3">
        <w:rPr>
          <w:rFonts w:cs="Calibri"/>
        </w:rPr>
        <w:t xml:space="preserve"> related to fatality</w:t>
      </w:r>
      <w:r w:rsidR="00BB10BA">
        <w:rPr>
          <w:rFonts w:cs="Calibri"/>
        </w:rPr>
        <w:t>/</w:t>
      </w:r>
      <w:r w:rsidR="007140E3">
        <w:rPr>
          <w:rFonts w:cs="Calibri"/>
        </w:rPr>
        <w:t>catastrophe documentation</w:t>
      </w:r>
      <w:r w:rsidR="00C841AF">
        <w:rPr>
          <w:rFonts w:cs="Calibri"/>
        </w:rPr>
        <w:t>.</w:t>
      </w:r>
      <w:r>
        <w:rPr>
          <w:rFonts w:cs="Calibri"/>
        </w:rPr>
        <w:t xml:space="preserve">  This area will be a focus during the FY 2025 </w:t>
      </w:r>
      <w:r w:rsidR="00720BE1">
        <w:rPr>
          <w:rFonts w:cs="Calibri"/>
        </w:rPr>
        <w:t>C</w:t>
      </w:r>
      <w:r>
        <w:rPr>
          <w:rFonts w:cs="Calibri"/>
        </w:rPr>
        <w:t xml:space="preserve">omprehensive FAME on-site case file review and remains open. </w:t>
      </w:r>
    </w:p>
    <w:p w14:paraId="1B291B0E" w14:textId="77777777" w:rsidR="00511BA7" w:rsidRDefault="00511BA7" w:rsidP="00BA7D04">
      <w:pPr>
        <w:widowControl/>
        <w:autoSpaceDE/>
        <w:autoSpaceDN/>
        <w:adjustRightInd/>
        <w:rPr>
          <w:rFonts w:cs="Calibri"/>
          <w:b/>
          <w:bCs/>
        </w:rPr>
      </w:pPr>
    </w:p>
    <w:p w14:paraId="6A5885E3" w14:textId="378D0D0B" w:rsidR="00006360" w:rsidRDefault="00006360" w:rsidP="00BA7D04">
      <w:pPr>
        <w:pStyle w:val="BodyText"/>
        <w:spacing w:after="0"/>
        <w:rPr>
          <w:rFonts w:asciiTheme="minorHAnsi" w:hAnsiTheme="minorHAnsi" w:cstheme="minorHAnsi"/>
        </w:rPr>
      </w:pPr>
      <w:r w:rsidRPr="00006360">
        <w:rPr>
          <w:rFonts w:asciiTheme="minorHAnsi" w:hAnsiTheme="minorHAnsi" w:cstheme="minorHAnsi"/>
          <w:b/>
        </w:rPr>
        <w:t>Observation</w:t>
      </w:r>
      <w:r w:rsidRPr="00006360">
        <w:rPr>
          <w:rFonts w:asciiTheme="minorHAnsi" w:hAnsiTheme="minorHAnsi" w:cstheme="minorHAnsi"/>
          <w:b/>
          <w:spacing w:val="-1"/>
        </w:rPr>
        <w:t xml:space="preserve"> </w:t>
      </w:r>
      <w:r w:rsidRPr="00006360">
        <w:rPr>
          <w:rStyle w:val="normaltextrun"/>
          <w:rFonts w:asciiTheme="minorHAnsi" w:hAnsiTheme="minorHAnsi" w:cstheme="minorHAnsi"/>
          <w:b/>
          <w:bCs/>
        </w:rPr>
        <w:t>FY 202</w:t>
      </w:r>
      <w:r>
        <w:rPr>
          <w:rStyle w:val="normaltextrun"/>
          <w:rFonts w:asciiTheme="minorHAnsi" w:hAnsiTheme="minorHAnsi" w:cstheme="minorHAnsi"/>
          <w:b/>
          <w:bCs/>
        </w:rPr>
        <w:t>4</w:t>
      </w:r>
      <w:r w:rsidRPr="00006360">
        <w:rPr>
          <w:rStyle w:val="normaltextrun"/>
          <w:rFonts w:asciiTheme="minorHAnsi" w:hAnsiTheme="minorHAnsi" w:cstheme="minorHAnsi"/>
          <w:b/>
          <w:bCs/>
        </w:rPr>
        <w:t>-</w:t>
      </w:r>
      <w:r w:rsidRPr="004D357F">
        <w:rPr>
          <w:rStyle w:val="normaltextrun"/>
          <w:rFonts w:asciiTheme="minorHAnsi" w:hAnsiTheme="minorHAnsi" w:cstheme="minorHAnsi"/>
          <w:b/>
          <w:bCs/>
        </w:rPr>
        <w:t>OB-</w:t>
      </w:r>
      <w:r w:rsidR="005227F6" w:rsidRPr="004D357F">
        <w:rPr>
          <w:rStyle w:val="normaltextrun"/>
          <w:rFonts w:asciiTheme="minorHAnsi" w:hAnsiTheme="minorHAnsi" w:cstheme="minorHAnsi"/>
          <w:b/>
          <w:bCs/>
        </w:rPr>
        <w:t>0</w:t>
      </w:r>
      <w:r w:rsidR="00B341E7">
        <w:rPr>
          <w:rStyle w:val="normaltextrun"/>
          <w:rFonts w:asciiTheme="minorHAnsi" w:hAnsiTheme="minorHAnsi" w:cstheme="minorHAnsi"/>
          <w:b/>
          <w:bCs/>
        </w:rPr>
        <w:t>2</w:t>
      </w:r>
      <w:r w:rsidRPr="00006360">
        <w:rPr>
          <w:rStyle w:val="normaltextrun"/>
          <w:rFonts w:asciiTheme="minorHAnsi" w:hAnsiTheme="minorHAnsi" w:cstheme="minorHAnsi"/>
          <w:b/>
          <w:bCs/>
        </w:rPr>
        <w:t xml:space="preserve">:  </w:t>
      </w:r>
      <w:r w:rsidRPr="00006360">
        <w:rPr>
          <w:rStyle w:val="normaltextrun"/>
          <w:rFonts w:asciiTheme="minorHAnsi" w:hAnsiTheme="minorHAnsi" w:cstheme="minorHAnsi"/>
        </w:rPr>
        <w:t>In FY 2023,</w:t>
      </w:r>
      <w:r w:rsidRPr="00006360">
        <w:rPr>
          <w:rStyle w:val="normaltextrun"/>
          <w:rFonts w:asciiTheme="minorHAnsi" w:hAnsiTheme="minorHAnsi" w:cstheme="minorHAnsi"/>
          <w:b/>
          <w:bCs/>
        </w:rPr>
        <w:t xml:space="preserve"> </w:t>
      </w:r>
      <w:r w:rsidRPr="00006360">
        <w:rPr>
          <w:rFonts w:asciiTheme="minorHAnsi" w:hAnsiTheme="minorHAnsi" w:cstheme="minorHAnsi"/>
        </w:rPr>
        <w:t>in 12 out of 53 (22.6%) of inspection case files reviewed, there was no evidence of</w:t>
      </w:r>
      <w:r w:rsidRPr="00006360">
        <w:rPr>
          <w:rFonts w:asciiTheme="minorHAnsi" w:hAnsiTheme="minorHAnsi" w:cstheme="minorHAnsi"/>
          <w:spacing w:val="-4"/>
        </w:rPr>
        <w:t xml:space="preserve"> </w:t>
      </w:r>
      <w:r w:rsidRPr="00006360">
        <w:rPr>
          <w:rFonts w:asciiTheme="minorHAnsi" w:hAnsiTheme="minorHAnsi" w:cstheme="minorHAnsi"/>
        </w:rPr>
        <w:t>abatement</w:t>
      </w:r>
      <w:r w:rsidRPr="00006360">
        <w:rPr>
          <w:rFonts w:asciiTheme="minorHAnsi" w:hAnsiTheme="minorHAnsi" w:cstheme="minorHAnsi"/>
          <w:spacing w:val="-3"/>
        </w:rPr>
        <w:t xml:space="preserve"> </w:t>
      </w:r>
      <w:r w:rsidRPr="00006360">
        <w:rPr>
          <w:rFonts w:asciiTheme="minorHAnsi" w:hAnsiTheme="minorHAnsi" w:cstheme="minorHAnsi"/>
        </w:rPr>
        <w:t>in</w:t>
      </w:r>
      <w:r w:rsidRPr="00006360">
        <w:rPr>
          <w:rFonts w:asciiTheme="minorHAnsi" w:hAnsiTheme="minorHAnsi" w:cstheme="minorHAnsi"/>
          <w:spacing w:val="-3"/>
        </w:rPr>
        <w:t xml:space="preserve"> </w:t>
      </w:r>
      <w:r w:rsidRPr="00006360">
        <w:rPr>
          <w:rFonts w:asciiTheme="minorHAnsi" w:hAnsiTheme="minorHAnsi" w:cstheme="minorHAnsi"/>
        </w:rPr>
        <w:t>the</w:t>
      </w:r>
      <w:r w:rsidRPr="00006360">
        <w:rPr>
          <w:rFonts w:asciiTheme="minorHAnsi" w:hAnsiTheme="minorHAnsi" w:cstheme="minorHAnsi"/>
          <w:spacing w:val="-2"/>
        </w:rPr>
        <w:t xml:space="preserve"> </w:t>
      </w:r>
      <w:r w:rsidRPr="00006360">
        <w:rPr>
          <w:rFonts w:asciiTheme="minorHAnsi" w:hAnsiTheme="minorHAnsi" w:cstheme="minorHAnsi"/>
        </w:rPr>
        <w:t>case</w:t>
      </w:r>
      <w:r w:rsidRPr="00006360">
        <w:rPr>
          <w:rFonts w:asciiTheme="minorHAnsi" w:hAnsiTheme="minorHAnsi" w:cstheme="minorHAnsi"/>
          <w:spacing w:val="-2"/>
        </w:rPr>
        <w:t xml:space="preserve"> </w:t>
      </w:r>
      <w:r w:rsidRPr="00006360">
        <w:rPr>
          <w:rFonts w:asciiTheme="minorHAnsi" w:hAnsiTheme="minorHAnsi" w:cstheme="minorHAnsi"/>
        </w:rPr>
        <w:t>files.</w:t>
      </w:r>
    </w:p>
    <w:p w14:paraId="2F979267" w14:textId="77777777" w:rsidR="00006360" w:rsidRDefault="00006360" w:rsidP="00BA7D04">
      <w:pPr>
        <w:pStyle w:val="BodyText"/>
        <w:spacing w:after="0"/>
        <w:rPr>
          <w:rFonts w:asciiTheme="minorHAnsi" w:hAnsiTheme="minorHAnsi" w:cstheme="minorHAnsi"/>
        </w:rPr>
      </w:pPr>
    </w:p>
    <w:p w14:paraId="60F6468F" w14:textId="49966A48" w:rsidR="00006360" w:rsidRPr="00006360" w:rsidRDefault="00006360" w:rsidP="00BA7D04">
      <w:pPr>
        <w:pStyle w:val="BodyText"/>
        <w:spacing w:after="0"/>
        <w:rPr>
          <w:rFonts w:asciiTheme="minorHAnsi" w:hAnsiTheme="minorHAnsi" w:cstheme="minorHAnsi"/>
          <w:b/>
          <w:bCs/>
        </w:rPr>
      </w:pPr>
      <w:r w:rsidRPr="00006360">
        <w:rPr>
          <w:rFonts w:asciiTheme="minorHAnsi" w:hAnsiTheme="minorHAnsi" w:cstheme="minorHAnsi"/>
          <w:b/>
          <w:bCs/>
        </w:rPr>
        <w:t>Status:</w:t>
      </w:r>
      <w:r>
        <w:rPr>
          <w:rFonts w:asciiTheme="minorHAnsi" w:hAnsiTheme="minorHAnsi" w:cstheme="minorHAnsi"/>
          <w:b/>
          <w:bCs/>
        </w:rPr>
        <w:t xml:space="preserve">  </w:t>
      </w:r>
      <w:r>
        <w:rPr>
          <w:rFonts w:cs="Calibri"/>
        </w:rPr>
        <w:t xml:space="preserve">A case file review is necessary </w:t>
      </w:r>
      <w:r w:rsidR="00691C51">
        <w:rPr>
          <w:rFonts w:cs="Calibri"/>
        </w:rPr>
        <w:t xml:space="preserve">gather the facts needed </w:t>
      </w:r>
      <w:r>
        <w:rPr>
          <w:rFonts w:cs="Calibri"/>
        </w:rPr>
        <w:t>to evaluate progress on this observation</w:t>
      </w:r>
      <w:r w:rsidR="003F1A55">
        <w:rPr>
          <w:rFonts w:cs="Calibri"/>
        </w:rPr>
        <w:t xml:space="preserve"> related to abatement documentation</w:t>
      </w:r>
      <w:r>
        <w:rPr>
          <w:rFonts w:cs="Calibri"/>
        </w:rPr>
        <w:t xml:space="preserve">.  This area will be a focus during the FY 2025 </w:t>
      </w:r>
      <w:r w:rsidR="00372D9E">
        <w:rPr>
          <w:rFonts w:cs="Calibri"/>
        </w:rPr>
        <w:t>C</w:t>
      </w:r>
      <w:r>
        <w:rPr>
          <w:rFonts w:cs="Calibri"/>
        </w:rPr>
        <w:t>omprehensive FAME on-site case file review and remains open.</w:t>
      </w:r>
    </w:p>
    <w:p w14:paraId="52E82D71" w14:textId="77777777" w:rsidR="00006360" w:rsidRDefault="00006360" w:rsidP="00BA7D04">
      <w:pPr>
        <w:widowControl/>
        <w:autoSpaceDE/>
        <w:autoSpaceDN/>
        <w:adjustRightInd/>
        <w:rPr>
          <w:rFonts w:cs="Calibri"/>
          <w:b/>
          <w:bCs/>
        </w:rPr>
      </w:pPr>
    </w:p>
    <w:p w14:paraId="536D1A85" w14:textId="0952BF0A" w:rsidR="00404BAF" w:rsidRDefault="00404BAF" w:rsidP="00BA7D04">
      <w:pPr>
        <w:pStyle w:val="BodyText"/>
        <w:spacing w:after="0"/>
        <w:rPr>
          <w:rFonts w:asciiTheme="minorHAnsi" w:hAnsiTheme="minorHAnsi" w:cstheme="minorHAnsi"/>
        </w:rPr>
      </w:pPr>
      <w:r w:rsidRPr="00BC047F">
        <w:rPr>
          <w:rFonts w:asciiTheme="minorHAnsi" w:hAnsiTheme="minorHAnsi" w:cstheme="minorHAnsi"/>
          <w:b/>
        </w:rPr>
        <w:t>Observation</w:t>
      </w:r>
      <w:r w:rsidRPr="00BC047F">
        <w:rPr>
          <w:rFonts w:asciiTheme="minorHAnsi" w:hAnsiTheme="minorHAnsi" w:cstheme="minorHAnsi"/>
          <w:b/>
          <w:spacing w:val="-1"/>
        </w:rPr>
        <w:t xml:space="preserve"> </w:t>
      </w:r>
      <w:r>
        <w:rPr>
          <w:rFonts w:asciiTheme="minorHAnsi" w:hAnsiTheme="minorHAnsi" w:cstheme="minorHAnsi"/>
          <w:b/>
          <w:spacing w:val="-1"/>
        </w:rPr>
        <w:t>FY 2024-</w:t>
      </w:r>
      <w:r w:rsidRPr="004D357F">
        <w:rPr>
          <w:rFonts w:asciiTheme="minorHAnsi" w:hAnsiTheme="minorHAnsi" w:cstheme="minorHAnsi"/>
          <w:b/>
          <w:spacing w:val="-1"/>
        </w:rPr>
        <w:t>OB-</w:t>
      </w:r>
      <w:r w:rsidR="00150CDF" w:rsidRPr="004D357F">
        <w:rPr>
          <w:rFonts w:asciiTheme="minorHAnsi" w:hAnsiTheme="minorHAnsi" w:cstheme="minorHAnsi"/>
          <w:b/>
          <w:spacing w:val="-1"/>
        </w:rPr>
        <w:t>0</w:t>
      </w:r>
      <w:r w:rsidR="00B341E7">
        <w:rPr>
          <w:rFonts w:asciiTheme="minorHAnsi" w:hAnsiTheme="minorHAnsi" w:cstheme="minorHAnsi"/>
          <w:b/>
          <w:spacing w:val="-1"/>
        </w:rPr>
        <w:t>3</w:t>
      </w:r>
      <w:r w:rsidRPr="00BC047F">
        <w:rPr>
          <w:rStyle w:val="normaltextrun"/>
          <w:rFonts w:asciiTheme="minorHAnsi" w:hAnsiTheme="minorHAnsi" w:cstheme="minorHAnsi"/>
          <w:b/>
          <w:bCs/>
        </w:rPr>
        <w:t xml:space="preserve">:  </w:t>
      </w:r>
      <w:r w:rsidRPr="00BC047F">
        <w:rPr>
          <w:rStyle w:val="normaltextrun"/>
          <w:rFonts w:asciiTheme="minorHAnsi" w:hAnsiTheme="minorHAnsi" w:cstheme="minorHAnsi"/>
        </w:rPr>
        <w:t>In FY 202</w:t>
      </w:r>
      <w:r w:rsidR="00DD668D">
        <w:rPr>
          <w:rStyle w:val="normaltextrun"/>
          <w:rFonts w:asciiTheme="minorHAnsi" w:hAnsiTheme="minorHAnsi" w:cstheme="minorHAnsi"/>
        </w:rPr>
        <w:t>4</w:t>
      </w:r>
      <w:r w:rsidRPr="00BC047F">
        <w:rPr>
          <w:rStyle w:val="normaltextrun"/>
          <w:rFonts w:asciiTheme="minorHAnsi" w:hAnsiTheme="minorHAnsi" w:cstheme="minorHAnsi"/>
        </w:rPr>
        <w:t xml:space="preserve">, the penalty retention rate was </w:t>
      </w:r>
      <w:r w:rsidR="00DD668D">
        <w:rPr>
          <w:rStyle w:val="normaltextrun"/>
          <w:rFonts w:asciiTheme="minorHAnsi" w:hAnsiTheme="minorHAnsi" w:cstheme="minorHAnsi"/>
        </w:rPr>
        <w:t>29.41</w:t>
      </w:r>
      <w:r w:rsidRPr="00BC047F">
        <w:rPr>
          <w:rStyle w:val="normaltextrun"/>
          <w:rFonts w:asciiTheme="minorHAnsi" w:hAnsiTheme="minorHAnsi" w:cstheme="minorHAnsi"/>
        </w:rPr>
        <w:t>%</w:t>
      </w:r>
      <w:r w:rsidRPr="00BC047F">
        <w:rPr>
          <w:rFonts w:asciiTheme="minorHAnsi" w:hAnsiTheme="minorHAnsi" w:cstheme="minorHAnsi"/>
        </w:rPr>
        <w:t>.</w:t>
      </w:r>
    </w:p>
    <w:p w14:paraId="1B9F3211" w14:textId="77777777" w:rsidR="00404BAF" w:rsidRPr="00BC047F" w:rsidRDefault="00404BAF" w:rsidP="00404BAF">
      <w:pPr>
        <w:pStyle w:val="BodyText"/>
        <w:spacing w:after="0"/>
        <w:rPr>
          <w:rFonts w:asciiTheme="minorHAnsi" w:hAnsiTheme="minorHAnsi" w:cstheme="minorHAnsi"/>
        </w:rPr>
      </w:pPr>
    </w:p>
    <w:p w14:paraId="4550702C" w14:textId="2E2732B0" w:rsidR="00404BAF" w:rsidRPr="00125610" w:rsidRDefault="0CF050B0" w:rsidP="00404BAF">
      <w:pPr>
        <w:pStyle w:val="BodyText"/>
        <w:spacing w:after="0"/>
        <w:rPr>
          <w:rFonts w:cs="Calibri"/>
        </w:rPr>
      </w:pPr>
      <w:r w:rsidRPr="5BF715BB">
        <w:rPr>
          <w:rFonts w:asciiTheme="minorHAnsi" w:hAnsiTheme="minorHAnsi" w:cstheme="minorBidi"/>
          <w:b/>
          <w:bCs/>
        </w:rPr>
        <w:t xml:space="preserve">Status: </w:t>
      </w:r>
      <w:r w:rsidRPr="5BF715BB">
        <w:rPr>
          <w:rFonts w:asciiTheme="minorHAnsi" w:hAnsiTheme="minorHAnsi" w:cstheme="minorBidi"/>
        </w:rPr>
        <w:t xml:space="preserve"> According to Appendix D, in FY 2024, </w:t>
      </w:r>
      <w:r w:rsidRPr="5BF715BB">
        <w:rPr>
          <w:rFonts w:cs="Calibri"/>
        </w:rPr>
        <w:t>AKOSH retained 29.41% of penalties assessed to employers, compared to 31% the previous year.  The FRL for percent penalty retained is +/- 15% of 70.81%, which was based on a three-year national average and provides a range of 60.19</w:t>
      </w:r>
      <w:r w:rsidR="0246C09F" w:rsidRPr="5BF715BB">
        <w:rPr>
          <w:rFonts w:cs="Calibri"/>
        </w:rPr>
        <w:t>%</w:t>
      </w:r>
      <w:r w:rsidRPr="5BF715BB">
        <w:rPr>
          <w:rFonts w:cs="Calibri"/>
        </w:rPr>
        <w:t xml:space="preserve"> to 81.44%.  AKOSH’s low percent of penalties retained was attributed</w:t>
      </w:r>
      <w:r w:rsidR="79B64AAF" w:rsidRPr="5BF715BB">
        <w:rPr>
          <w:rFonts w:cs="Calibri"/>
        </w:rPr>
        <w:t xml:space="preserve"> in part</w:t>
      </w:r>
      <w:r w:rsidRPr="5BF715BB">
        <w:rPr>
          <w:rFonts w:cs="Calibri"/>
        </w:rPr>
        <w:t xml:space="preserve"> to the Diversionary Program where initial penalties may be reduced up to 100% for employers who have not had an inspection </w:t>
      </w:r>
      <w:r w:rsidR="6551970C" w:rsidRPr="5BF715BB">
        <w:rPr>
          <w:rFonts w:cs="Calibri"/>
        </w:rPr>
        <w:t>history or</w:t>
      </w:r>
      <w:r w:rsidRPr="5BF715BB">
        <w:rPr>
          <w:rFonts w:cs="Calibri"/>
        </w:rPr>
        <w:t xml:space="preserve"> had a previous inspection that resulted in no citations, with the caveat that they must undergo a limited or full-scope consultation visit.  This information was discussed at quarterly meetings with OSHA.  At the end of FY 2024, AKOSH reported that 37 employers ha</w:t>
      </w:r>
      <w:r w:rsidR="1399D0DF" w:rsidRPr="5BF715BB">
        <w:rPr>
          <w:rFonts w:cs="Calibri"/>
        </w:rPr>
        <w:t>d</w:t>
      </w:r>
      <w:r w:rsidRPr="5BF715BB">
        <w:rPr>
          <w:rFonts w:cs="Calibri"/>
        </w:rPr>
        <w:t xml:space="preserve"> used the Diversionary Program</w:t>
      </w:r>
      <w:r w:rsidR="151429AC" w:rsidRPr="5BF715BB">
        <w:rPr>
          <w:rFonts w:cs="Calibri"/>
        </w:rPr>
        <w:t>,</w:t>
      </w:r>
      <w:r w:rsidRPr="5BF715BB">
        <w:rPr>
          <w:rFonts w:cs="Calibri"/>
        </w:rPr>
        <w:t xml:space="preserve"> and penalties were reduced by 87% under this program.  </w:t>
      </w:r>
      <w:r w:rsidR="06311867" w:rsidRPr="5BF715BB">
        <w:rPr>
          <w:rFonts w:eastAsia="Calibri" w:cs="Calibri"/>
          <w:color w:val="000000" w:themeColor="text1"/>
        </w:rPr>
        <w:t xml:space="preserve">There were eight employers that did not complete a C&amp;T visit and had their penalties reinstated. </w:t>
      </w:r>
      <w:r>
        <w:t xml:space="preserve"> </w:t>
      </w:r>
      <w:r w:rsidR="0A59123D" w:rsidRPr="5BF715BB">
        <w:rPr>
          <w:rFonts w:cs="Calibri"/>
        </w:rPr>
        <w:t xml:space="preserve">Another factor was the Chief of Enforcement </w:t>
      </w:r>
      <w:r w:rsidR="00E965A1">
        <w:rPr>
          <w:rFonts w:cs="Calibri"/>
        </w:rPr>
        <w:t xml:space="preserve">had discretion </w:t>
      </w:r>
      <w:r w:rsidR="0A59123D" w:rsidRPr="5BF715BB">
        <w:rPr>
          <w:rFonts w:cs="Calibri"/>
        </w:rPr>
        <w:t xml:space="preserve">to </w:t>
      </w:r>
      <w:r w:rsidR="094DF03E" w:rsidRPr="5BF715BB">
        <w:rPr>
          <w:rFonts w:cs="Calibri"/>
        </w:rPr>
        <w:t xml:space="preserve">reduce penalties to the </w:t>
      </w:r>
      <w:r w:rsidR="5565C29F" w:rsidRPr="5BF715BB">
        <w:rPr>
          <w:rFonts w:cs="Calibri"/>
        </w:rPr>
        <w:t xml:space="preserve">maximum extent.  An example </w:t>
      </w:r>
      <w:r w:rsidR="18102CB8" w:rsidRPr="5BF715BB">
        <w:rPr>
          <w:rFonts w:cs="Calibri"/>
        </w:rPr>
        <w:t xml:space="preserve">was penalties related to </w:t>
      </w:r>
      <w:r w:rsidR="40FAF6FA" w:rsidRPr="5BF715BB">
        <w:rPr>
          <w:rFonts w:cs="Calibri"/>
        </w:rPr>
        <w:t>recordkeeping</w:t>
      </w:r>
      <w:r w:rsidR="0EF12966" w:rsidRPr="5BF715BB">
        <w:rPr>
          <w:rFonts w:cs="Calibri"/>
        </w:rPr>
        <w:t xml:space="preserve"> </w:t>
      </w:r>
      <w:r w:rsidR="18102CB8" w:rsidRPr="5BF715BB">
        <w:rPr>
          <w:rFonts w:cs="Calibri"/>
        </w:rPr>
        <w:t xml:space="preserve">or </w:t>
      </w:r>
      <w:r w:rsidR="0EF12966" w:rsidRPr="5BF715BB">
        <w:rPr>
          <w:rFonts w:cs="Calibri"/>
        </w:rPr>
        <w:t>reporting</w:t>
      </w:r>
      <w:r w:rsidR="18102CB8" w:rsidRPr="5BF715BB">
        <w:rPr>
          <w:rFonts w:cs="Calibri"/>
        </w:rPr>
        <w:t xml:space="preserve"> violations</w:t>
      </w:r>
      <w:r w:rsidR="40FAF6FA" w:rsidRPr="5BF715BB">
        <w:rPr>
          <w:rFonts w:cs="Calibri"/>
        </w:rPr>
        <w:t xml:space="preserve">.  </w:t>
      </w:r>
      <w:r w:rsidR="002279F1">
        <w:rPr>
          <w:rFonts w:cs="Calibri"/>
        </w:rPr>
        <w:t xml:space="preserve">The Diversionary Program </w:t>
      </w:r>
      <w:r w:rsidR="00CE583A" w:rsidRPr="5BF715BB">
        <w:rPr>
          <w:rFonts w:cs="Calibri"/>
        </w:rPr>
        <w:t xml:space="preserve">is </w:t>
      </w:r>
      <w:r w:rsidR="002279F1">
        <w:rPr>
          <w:rFonts w:cs="Calibri"/>
        </w:rPr>
        <w:t>being evaluated by OSHA</w:t>
      </w:r>
      <w:r w:rsidR="00CE583A" w:rsidRPr="5BF715BB">
        <w:rPr>
          <w:rFonts w:cs="Calibri"/>
        </w:rPr>
        <w:t xml:space="preserve"> and </w:t>
      </w:r>
      <w:r w:rsidR="00B35520">
        <w:rPr>
          <w:rFonts w:cs="Calibri"/>
        </w:rPr>
        <w:t xml:space="preserve">has not been approved.  </w:t>
      </w:r>
      <w:r w:rsidRPr="5BF715BB">
        <w:rPr>
          <w:rFonts w:cs="Calibri"/>
        </w:rPr>
        <w:t xml:space="preserve">OSHA </w:t>
      </w:r>
      <w:r w:rsidR="40FAF6FA" w:rsidRPr="5BF715BB">
        <w:rPr>
          <w:rFonts w:cs="Calibri"/>
        </w:rPr>
        <w:t xml:space="preserve">will </w:t>
      </w:r>
      <w:r w:rsidRPr="5BF715BB">
        <w:rPr>
          <w:rFonts w:cs="Calibri"/>
        </w:rPr>
        <w:t>continue to monitor this</w:t>
      </w:r>
      <w:r w:rsidR="40FAF6FA" w:rsidRPr="5BF715BB">
        <w:rPr>
          <w:rFonts w:cs="Calibri"/>
        </w:rPr>
        <w:t xml:space="preserve"> data</w:t>
      </w:r>
      <w:r w:rsidRPr="5BF715BB">
        <w:rPr>
          <w:rFonts w:cs="Calibri"/>
        </w:rPr>
        <w:t xml:space="preserve"> and engage in frequent discussions with AKOSH.  </w:t>
      </w:r>
      <w:r w:rsidR="5847B201" w:rsidRPr="5BF715BB">
        <w:rPr>
          <w:rFonts w:cs="Calibri"/>
        </w:rPr>
        <w:t xml:space="preserve">A case file review is necessary to </w:t>
      </w:r>
      <w:r w:rsidR="4C6B1356" w:rsidRPr="5BF715BB">
        <w:rPr>
          <w:rFonts w:cs="Calibri"/>
        </w:rPr>
        <w:t>gather facts needed to</w:t>
      </w:r>
      <w:r w:rsidR="5847B201" w:rsidRPr="5BF715BB">
        <w:rPr>
          <w:rFonts w:cs="Calibri"/>
        </w:rPr>
        <w:t xml:space="preserve"> evaluate the progress on this observation </w:t>
      </w:r>
      <w:r w:rsidR="4C6B1356" w:rsidRPr="5BF715BB">
        <w:rPr>
          <w:rFonts w:cs="Calibri"/>
        </w:rPr>
        <w:t xml:space="preserve">related to penalty retention.  This </w:t>
      </w:r>
      <w:r w:rsidR="5847B201" w:rsidRPr="5BF715BB">
        <w:rPr>
          <w:rFonts w:cs="Calibri"/>
        </w:rPr>
        <w:t xml:space="preserve">will be a focus in the FY 2025 </w:t>
      </w:r>
      <w:r w:rsidR="31973C3C" w:rsidRPr="5BF715BB">
        <w:rPr>
          <w:rFonts w:cs="Calibri"/>
        </w:rPr>
        <w:t>C</w:t>
      </w:r>
      <w:r w:rsidR="5847B201" w:rsidRPr="5BF715BB">
        <w:rPr>
          <w:rFonts w:cs="Calibri"/>
        </w:rPr>
        <w:t xml:space="preserve">omprehensive FAME </w:t>
      </w:r>
      <w:r w:rsidR="2A3818B9" w:rsidRPr="5BF715BB">
        <w:rPr>
          <w:rFonts w:cs="Calibri"/>
        </w:rPr>
        <w:t xml:space="preserve">case file review.  </w:t>
      </w:r>
      <w:r w:rsidRPr="5BF715BB">
        <w:rPr>
          <w:rFonts w:cs="Calibri"/>
        </w:rPr>
        <w:t xml:space="preserve">This observation remains open. </w:t>
      </w:r>
    </w:p>
    <w:p w14:paraId="6E3C40D8" w14:textId="77777777" w:rsidR="00404BAF" w:rsidRDefault="00404BAF">
      <w:pPr>
        <w:widowControl/>
        <w:autoSpaceDE/>
        <w:autoSpaceDN/>
        <w:adjustRightInd/>
        <w:rPr>
          <w:rFonts w:cs="Calibri"/>
          <w:b/>
          <w:bCs/>
        </w:rPr>
      </w:pPr>
    </w:p>
    <w:p w14:paraId="4F602B69" w14:textId="74C0C219" w:rsidR="00006360" w:rsidRPr="00006360" w:rsidRDefault="00006360" w:rsidP="00006360">
      <w:pPr>
        <w:contextualSpacing/>
        <w:rPr>
          <w:rFonts w:eastAsia="Calibri" w:cs="Calibri"/>
        </w:rPr>
      </w:pPr>
      <w:r w:rsidRPr="00006360">
        <w:rPr>
          <w:rFonts w:eastAsia="Calibri" w:cs="Calibri"/>
          <w:b/>
          <w:bCs/>
        </w:rPr>
        <w:t>Observation FY 202</w:t>
      </w:r>
      <w:r w:rsidR="004863B2">
        <w:rPr>
          <w:rFonts w:eastAsia="Calibri" w:cs="Calibri"/>
          <w:b/>
          <w:bCs/>
        </w:rPr>
        <w:t>4</w:t>
      </w:r>
      <w:r w:rsidRPr="00006360">
        <w:rPr>
          <w:rFonts w:eastAsia="Calibri" w:cs="Calibri"/>
          <w:b/>
          <w:bCs/>
        </w:rPr>
        <w:t>-</w:t>
      </w:r>
      <w:r w:rsidRPr="004D357F">
        <w:rPr>
          <w:rFonts w:eastAsia="Calibri" w:cs="Calibri"/>
          <w:b/>
          <w:bCs/>
        </w:rPr>
        <w:t>OB-</w:t>
      </w:r>
      <w:r w:rsidR="00150CDF" w:rsidRPr="004D357F">
        <w:rPr>
          <w:rFonts w:eastAsia="Calibri" w:cs="Calibri"/>
          <w:b/>
          <w:bCs/>
        </w:rPr>
        <w:t>0</w:t>
      </w:r>
      <w:r w:rsidR="00B341E7">
        <w:rPr>
          <w:rFonts w:eastAsia="Calibri" w:cs="Calibri"/>
          <w:b/>
          <w:bCs/>
        </w:rPr>
        <w:t>4</w:t>
      </w:r>
      <w:r w:rsidRPr="00006360">
        <w:rPr>
          <w:rFonts w:eastAsia="Calibri" w:cs="Calibri"/>
        </w:rPr>
        <w:t>:  In FY 2023, 33% (25 of 76) of retaliation case files lacked the required documentation, specifically proof of delivery of official letters.</w:t>
      </w:r>
      <w:r w:rsidRPr="00006360">
        <w:t xml:space="preserve"> </w:t>
      </w:r>
      <w:r w:rsidRPr="00006360">
        <w:rPr>
          <w:rFonts w:eastAsia="Calibri" w:cs="Calibri"/>
        </w:rPr>
        <w:t xml:space="preserve"> </w:t>
      </w:r>
    </w:p>
    <w:p w14:paraId="376E3D87" w14:textId="77777777" w:rsidR="00006360" w:rsidRDefault="00006360" w:rsidP="00006360">
      <w:pPr>
        <w:widowControl/>
        <w:autoSpaceDE/>
        <w:autoSpaceDN/>
        <w:adjustRightInd/>
        <w:rPr>
          <w:rFonts w:cs="Calibri"/>
          <w:b/>
          <w:bCs/>
        </w:rPr>
      </w:pPr>
    </w:p>
    <w:p w14:paraId="71923157" w14:textId="58F4FDA1" w:rsidR="00006360" w:rsidRPr="00006360" w:rsidRDefault="00006360" w:rsidP="00006360">
      <w:pPr>
        <w:pStyle w:val="BodyText"/>
        <w:spacing w:after="0"/>
        <w:rPr>
          <w:rFonts w:asciiTheme="minorHAnsi" w:hAnsiTheme="minorHAnsi" w:cstheme="minorHAnsi"/>
          <w:b/>
          <w:bCs/>
        </w:rPr>
      </w:pPr>
      <w:r w:rsidRPr="00006360">
        <w:rPr>
          <w:rFonts w:asciiTheme="minorHAnsi" w:hAnsiTheme="minorHAnsi" w:cstheme="minorHAnsi"/>
          <w:b/>
          <w:bCs/>
        </w:rPr>
        <w:t>Status:</w:t>
      </w:r>
      <w:r>
        <w:rPr>
          <w:rFonts w:asciiTheme="minorHAnsi" w:hAnsiTheme="minorHAnsi" w:cstheme="minorHAnsi"/>
          <w:b/>
          <w:bCs/>
        </w:rPr>
        <w:t xml:space="preserve">  </w:t>
      </w:r>
      <w:r>
        <w:rPr>
          <w:rFonts w:cs="Calibri"/>
        </w:rPr>
        <w:t xml:space="preserve">A case file review is necessary to </w:t>
      </w:r>
      <w:r w:rsidR="004641AD">
        <w:rPr>
          <w:rFonts w:cs="Calibri"/>
        </w:rPr>
        <w:t xml:space="preserve">gather facts needed to </w:t>
      </w:r>
      <w:r>
        <w:rPr>
          <w:rFonts w:cs="Calibri"/>
        </w:rPr>
        <w:t>evaluate progress on this observation</w:t>
      </w:r>
      <w:r w:rsidR="006F4FB5">
        <w:rPr>
          <w:rFonts w:cs="Calibri"/>
        </w:rPr>
        <w:t xml:space="preserve"> related to required documentation in retaliation files</w:t>
      </w:r>
      <w:r>
        <w:rPr>
          <w:rFonts w:cs="Calibri"/>
        </w:rPr>
        <w:t xml:space="preserve">.  This area will be a focus during the FY 2025 consultation </w:t>
      </w:r>
      <w:r w:rsidR="002076AF">
        <w:rPr>
          <w:rFonts w:cs="Calibri"/>
        </w:rPr>
        <w:t>on-site review</w:t>
      </w:r>
      <w:r>
        <w:rPr>
          <w:rFonts w:cs="Calibri"/>
        </w:rPr>
        <w:t xml:space="preserve"> and remains open.</w:t>
      </w:r>
    </w:p>
    <w:p w14:paraId="6E7F8B7D" w14:textId="77777777" w:rsidR="00006360" w:rsidRPr="00006360" w:rsidRDefault="00006360" w:rsidP="00006360">
      <w:pPr>
        <w:widowControl/>
        <w:autoSpaceDE/>
        <w:autoSpaceDN/>
        <w:adjustRightInd/>
        <w:rPr>
          <w:rFonts w:cs="Calibri"/>
          <w:b/>
          <w:bCs/>
        </w:rPr>
      </w:pPr>
    </w:p>
    <w:p w14:paraId="1B3B2A7A" w14:textId="264469D1" w:rsidR="00006360" w:rsidRDefault="00006360" w:rsidP="00006360">
      <w:pPr>
        <w:widowControl/>
        <w:tabs>
          <w:tab w:val="left" w:pos="450"/>
          <w:tab w:val="left" w:pos="1350"/>
        </w:tabs>
        <w:autoSpaceDE/>
        <w:autoSpaceDN/>
        <w:adjustRightInd/>
        <w:contextualSpacing/>
        <w:rPr>
          <w:rFonts w:asciiTheme="minorHAnsi" w:hAnsiTheme="minorHAnsi" w:cstheme="minorHAnsi"/>
        </w:rPr>
      </w:pPr>
      <w:r w:rsidRPr="00006360">
        <w:rPr>
          <w:rFonts w:asciiTheme="minorHAnsi" w:hAnsiTheme="minorHAnsi" w:cstheme="minorHAnsi"/>
          <w:b/>
          <w:bCs/>
        </w:rPr>
        <w:t>Observation FY 202</w:t>
      </w:r>
      <w:r w:rsidR="004863B2">
        <w:rPr>
          <w:rFonts w:asciiTheme="minorHAnsi" w:hAnsiTheme="minorHAnsi" w:cstheme="minorHAnsi"/>
          <w:b/>
          <w:bCs/>
        </w:rPr>
        <w:t>4</w:t>
      </w:r>
      <w:r w:rsidRPr="00006360">
        <w:rPr>
          <w:rFonts w:asciiTheme="minorHAnsi" w:hAnsiTheme="minorHAnsi" w:cstheme="minorHAnsi"/>
          <w:b/>
          <w:bCs/>
        </w:rPr>
        <w:t>-</w:t>
      </w:r>
      <w:r w:rsidRPr="004D357F">
        <w:rPr>
          <w:rFonts w:asciiTheme="minorHAnsi" w:hAnsiTheme="minorHAnsi" w:cstheme="minorHAnsi"/>
          <w:b/>
          <w:bCs/>
        </w:rPr>
        <w:t>OB-</w:t>
      </w:r>
      <w:r w:rsidR="00150CDF" w:rsidRPr="004D357F">
        <w:rPr>
          <w:rFonts w:asciiTheme="minorHAnsi" w:hAnsiTheme="minorHAnsi" w:cstheme="minorHAnsi"/>
          <w:b/>
          <w:bCs/>
        </w:rPr>
        <w:t>0</w:t>
      </w:r>
      <w:r w:rsidR="00B341E7">
        <w:rPr>
          <w:rFonts w:asciiTheme="minorHAnsi" w:hAnsiTheme="minorHAnsi" w:cstheme="minorHAnsi"/>
          <w:b/>
          <w:bCs/>
        </w:rPr>
        <w:t>5</w:t>
      </w:r>
      <w:r w:rsidRPr="00006360">
        <w:rPr>
          <w:rFonts w:asciiTheme="minorHAnsi" w:hAnsiTheme="minorHAnsi" w:cstheme="minorHAnsi"/>
          <w:b/>
          <w:bCs/>
        </w:rPr>
        <w:t>:</w:t>
      </w:r>
      <w:r w:rsidRPr="00006360">
        <w:rPr>
          <w:rFonts w:asciiTheme="minorHAnsi" w:hAnsiTheme="minorHAnsi" w:cstheme="minorHAnsi"/>
        </w:rPr>
        <w:t xml:space="preserve">  In FY 2023, five of 11 (45%) state and local government consultation visit files, did not use appropriate emphasis codes.</w:t>
      </w:r>
    </w:p>
    <w:p w14:paraId="6CCDAF01" w14:textId="77777777" w:rsidR="002076AF" w:rsidRDefault="002076AF" w:rsidP="00006360">
      <w:pPr>
        <w:widowControl/>
        <w:tabs>
          <w:tab w:val="left" w:pos="450"/>
          <w:tab w:val="left" w:pos="1350"/>
        </w:tabs>
        <w:autoSpaceDE/>
        <w:autoSpaceDN/>
        <w:adjustRightInd/>
        <w:contextualSpacing/>
        <w:rPr>
          <w:rFonts w:asciiTheme="minorHAnsi" w:hAnsiTheme="minorHAnsi" w:cstheme="minorHAnsi"/>
        </w:rPr>
      </w:pPr>
    </w:p>
    <w:p w14:paraId="4DCB4B65" w14:textId="1AEB2FE7" w:rsidR="002076AF" w:rsidRPr="00006360" w:rsidRDefault="002076AF" w:rsidP="002076AF">
      <w:pPr>
        <w:pStyle w:val="BodyText"/>
        <w:spacing w:after="0"/>
        <w:rPr>
          <w:rFonts w:asciiTheme="minorHAnsi" w:hAnsiTheme="minorHAnsi" w:cstheme="minorHAnsi"/>
          <w:b/>
          <w:bCs/>
        </w:rPr>
      </w:pPr>
      <w:r w:rsidRPr="00006360">
        <w:rPr>
          <w:rFonts w:asciiTheme="minorHAnsi" w:hAnsiTheme="minorHAnsi" w:cstheme="minorHAnsi"/>
          <w:b/>
          <w:bCs/>
        </w:rPr>
        <w:t>Status:</w:t>
      </w:r>
      <w:r>
        <w:rPr>
          <w:rFonts w:asciiTheme="minorHAnsi" w:hAnsiTheme="minorHAnsi" w:cstheme="minorHAnsi"/>
          <w:b/>
          <w:bCs/>
        </w:rPr>
        <w:t xml:space="preserve">  </w:t>
      </w:r>
      <w:r w:rsidR="002F1BD3">
        <w:rPr>
          <w:rFonts w:asciiTheme="minorHAnsi" w:hAnsiTheme="minorHAnsi" w:cstheme="minorHAnsi"/>
        </w:rPr>
        <w:t xml:space="preserve">AKOSH management conducted training to </w:t>
      </w:r>
      <w:r w:rsidR="00FF3C48">
        <w:rPr>
          <w:rFonts w:asciiTheme="minorHAnsi" w:hAnsiTheme="minorHAnsi" w:cstheme="minorHAnsi"/>
        </w:rPr>
        <w:t xml:space="preserve">the </w:t>
      </w:r>
      <w:r w:rsidR="002F1BD3">
        <w:rPr>
          <w:rFonts w:asciiTheme="minorHAnsi" w:hAnsiTheme="minorHAnsi" w:cstheme="minorHAnsi"/>
        </w:rPr>
        <w:t xml:space="preserve">consultation staff on the proper use of OIS emphasis coding.  </w:t>
      </w:r>
      <w:r w:rsidR="00FF3C48">
        <w:rPr>
          <w:rFonts w:asciiTheme="minorHAnsi" w:hAnsiTheme="minorHAnsi" w:cstheme="minorHAnsi"/>
        </w:rPr>
        <w:t>In additi</w:t>
      </w:r>
      <w:r w:rsidR="005605FA">
        <w:rPr>
          <w:rFonts w:asciiTheme="minorHAnsi" w:hAnsiTheme="minorHAnsi" w:cstheme="minorHAnsi"/>
        </w:rPr>
        <w:t xml:space="preserve">on, </w:t>
      </w:r>
      <w:r w:rsidR="00EF1FD5">
        <w:rPr>
          <w:rFonts w:asciiTheme="minorHAnsi" w:hAnsiTheme="minorHAnsi" w:cstheme="minorHAnsi"/>
        </w:rPr>
        <w:t>management conducted periodic reviews of files to ensure</w:t>
      </w:r>
      <w:r w:rsidR="005605FA">
        <w:rPr>
          <w:rFonts w:asciiTheme="minorHAnsi" w:hAnsiTheme="minorHAnsi" w:cstheme="minorHAnsi"/>
        </w:rPr>
        <w:t xml:space="preserve"> visit files</w:t>
      </w:r>
      <w:r w:rsidR="00EF1FD5">
        <w:rPr>
          <w:rFonts w:asciiTheme="minorHAnsi" w:hAnsiTheme="minorHAnsi" w:cstheme="minorHAnsi"/>
        </w:rPr>
        <w:t xml:space="preserve"> contained </w:t>
      </w:r>
      <w:r w:rsidR="005605FA">
        <w:rPr>
          <w:rFonts w:asciiTheme="minorHAnsi" w:hAnsiTheme="minorHAnsi" w:cstheme="minorHAnsi"/>
        </w:rPr>
        <w:t xml:space="preserve">proper emphasis coding.  </w:t>
      </w:r>
      <w:r>
        <w:rPr>
          <w:rFonts w:cs="Calibri"/>
        </w:rPr>
        <w:t xml:space="preserve">A case file review is necessary to </w:t>
      </w:r>
      <w:r w:rsidR="004641AD">
        <w:rPr>
          <w:rFonts w:cs="Calibri"/>
        </w:rPr>
        <w:t xml:space="preserve">gather facts needed to </w:t>
      </w:r>
      <w:r>
        <w:rPr>
          <w:rFonts w:cs="Calibri"/>
        </w:rPr>
        <w:t>evaluate progress on this observation</w:t>
      </w:r>
      <w:r w:rsidR="00816268">
        <w:rPr>
          <w:rFonts w:cs="Calibri"/>
        </w:rPr>
        <w:t xml:space="preserve"> related to </w:t>
      </w:r>
      <w:r w:rsidR="006F4FB5">
        <w:rPr>
          <w:rFonts w:cs="Calibri"/>
        </w:rPr>
        <w:t>emphasis coding</w:t>
      </w:r>
      <w:r>
        <w:rPr>
          <w:rFonts w:cs="Calibri"/>
        </w:rPr>
        <w:t>.  This area will be a focus during the FY 2025 consultation on-site review and remains open.</w:t>
      </w:r>
    </w:p>
    <w:p w14:paraId="47D95A45" w14:textId="77777777" w:rsidR="00006360" w:rsidRPr="00006360" w:rsidRDefault="00006360" w:rsidP="00006360">
      <w:pPr>
        <w:widowControl/>
        <w:autoSpaceDE/>
        <w:autoSpaceDN/>
        <w:adjustRightInd/>
        <w:rPr>
          <w:rFonts w:cs="Calibri"/>
          <w:b/>
          <w:bCs/>
        </w:rPr>
      </w:pPr>
    </w:p>
    <w:p w14:paraId="7868DBA2" w14:textId="6CD06100" w:rsidR="00006360" w:rsidRDefault="00006360" w:rsidP="00006360">
      <w:pPr>
        <w:widowControl/>
        <w:tabs>
          <w:tab w:val="left" w:pos="1350"/>
        </w:tabs>
        <w:autoSpaceDE/>
        <w:autoSpaceDN/>
        <w:adjustRightInd/>
        <w:contextualSpacing/>
        <w:rPr>
          <w:rFonts w:asciiTheme="minorHAnsi" w:hAnsiTheme="minorHAnsi" w:cstheme="minorHAnsi"/>
        </w:rPr>
      </w:pPr>
      <w:r w:rsidRPr="00006360">
        <w:rPr>
          <w:rFonts w:asciiTheme="minorHAnsi" w:hAnsiTheme="minorHAnsi" w:cstheme="minorHAnsi"/>
          <w:b/>
          <w:bCs/>
        </w:rPr>
        <w:t xml:space="preserve">Observation </w:t>
      </w:r>
      <w:r w:rsidR="004863B2">
        <w:rPr>
          <w:rFonts w:asciiTheme="minorHAnsi" w:hAnsiTheme="minorHAnsi" w:cstheme="minorHAnsi"/>
          <w:b/>
          <w:bCs/>
        </w:rPr>
        <w:t>FY 2024</w:t>
      </w:r>
      <w:r w:rsidR="004863B2" w:rsidRPr="004D357F">
        <w:rPr>
          <w:rFonts w:asciiTheme="minorHAnsi" w:hAnsiTheme="minorHAnsi" w:cstheme="minorHAnsi"/>
          <w:b/>
          <w:bCs/>
        </w:rPr>
        <w:t>-OB-</w:t>
      </w:r>
      <w:r w:rsidR="00150CDF" w:rsidRPr="004D357F">
        <w:rPr>
          <w:rFonts w:asciiTheme="minorHAnsi" w:hAnsiTheme="minorHAnsi" w:cstheme="minorHAnsi"/>
          <w:b/>
          <w:bCs/>
        </w:rPr>
        <w:t>0</w:t>
      </w:r>
      <w:r w:rsidR="00B341E7">
        <w:rPr>
          <w:rFonts w:asciiTheme="minorHAnsi" w:hAnsiTheme="minorHAnsi" w:cstheme="minorHAnsi"/>
          <w:b/>
          <w:bCs/>
        </w:rPr>
        <w:t>6</w:t>
      </w:r>
      <w:r w:rsidRPr="00006360">
        <w:rPr>
          <w:rFonts w:asciiTheme="minorHAnsi" w:hAnsiTheme="minorHAnsi" w:cstheme="minorHAnsi"/>
          <w:b/>
          <w:bCs/>
        </w:rPr>
        <w:t>:</w:t>
      </w:r>
      <w:r w:rsidRPr="00006360">
        <w:rPr>
          <w:rFonts w:asciiTheme="minorHAnsi" w:hAnsiTheme="minorHAnsi" w:cstheme="minorHAnsi"/>
        </w:rPr>
        <w:t xml:space="preserve">  In FY 2023, three of 11 (27%) state and local government consultation files had incorrect OSHA standards for hazards identified.</w:t>
      </w:r>
    </w:p>
    <w:p w14:paraId="087961B3" w14:textId="77777777" w:rsidR="002076AF" w:rsidRDefault="002076AF" w:rsidP="00006360">
      <w:pPr>
        <w:widowControl/>
        <w:tabs>
          <w:tab w:val="left" w:pos="1350"/>
        </w:tabs>
        <w:autoSpaceDE/>
        <w:autoSpaceDN/>
        <w:adjustRightInd/>
        <w:contextualSpacing/>
        <w:rPr>
          <w:rFonts w:asciiTheme="minorHAnsi" w:hAnsiTheme="minorHAnsi" w:cstheme="minorHAnsi"/>
        </w:rPr>
      </w:pPr>
    </w:p>
    <w:p w14:paraId="51E8EDDF" w14:textId="295C31A2" w:rsidR="002076AF" w:rsidRPr="00006360" w:rsidRDefault="002076AF" w:rsidP="002076AF">
      <w:pPr>
        <w:pStyle w:val="BodyText"/>
        <w:spacing w:after="0"/>
        <w:rPr>
          <w:rFonts w:asciiTheme="minorHAnsi" w:hAnsiTheme="minorHAnsi" w:cstheme="minorHAnsi"/>
          <w:b/>
          <w:bCs/>
        </w:rPr>
      </w:pPr>
      <w:r w:rsidRPr="00006360">
        <w:rPr>
          <w:rFonts w:asciiTheme="minorHAnsi" w:hAnsiTheme="minorHAnsi" w:cstheme="minorHAnsi"/>
          <w:b/>
          <w:bCs/>
        </w:rPr>
        <w:t>Status:</w:t>
      </w:r>
      <w:r>
        <w:rPr>
          <w:rFonts w:asciiTheme="minorHAnsi" w:hAnsiTheme="minorHAnsi" w:cstheme="minorHAnsi"/>
          <w:b/>
          <w:bCs/>
        </w:rPr>
        <w:t xml:space="preserve">  </w:t>
      </w:r>
      <w:r w:rsidR="006907EE">
        <w:rPr>
          <w:rFonts w:asciiTheme="minorHAnsi" w:hAnsiTheme="minorHAnsi" w:cstheme="minorHAnsi"/>
        </w:rPr>
        <w:t>AKOSH management provided training on the proper use of OSHA standards</w:t>
      </w:r>
      <w:r w:rsidR="00DF6F26">
        <w:rPr>
          <w:rFonts w:asciiTheme="minorHAnsi" w:hAnsiTheme="minorHAnsi" w:cstheme="minorHAnsi"/>
        </w:rPr>
        <w:t xml:space="preserve">, specifically </w:t>
      </w:r>
      <w:r w:rsidR="00A9044A">
        <w:rPr>
          <w:rFonts w:asciiTheme="minorHAnsi" w:hAnsiTheme="minorHAnsi" w:cstheme="minorHAnsi"/>
        </w:rPr>
        <w:t xml:space="preserve">to </w:t>
      </w:r>
      <w:r w:rsidR="00DF6F26">
        <w:rPr>
          <w:rFonts w:asciiTheme="minorHAnsi" w:hAnsiTheme="minorHAnsi" w:cstheme="minorHAnsi"/>
        </w:rPr>
        <w:t>th</w:t>
      </w:r>
      <w:r w:rsidR="00A9044A">
        <w:rPr>
          <w:rFonts w:asciiTheme="minorHAnsi" w:hAnsiTheme="minorHAnsi" w:cstheme="minorHAnsi"/>
        </w:rPr>
        <w:t>e staff that</w:t>
      </w:r>
      <w:r w:rsidR="00DF6F26">
        <w:rPr>
          <w:rFonts w:asciiTheme="minorHAnsi" w:hAnsiTheme="minorHAnsi" w:cstheme="minorHAnsi"/>
        </w:rPr>
        <w:t xml:space="preserve"> w</w:t>
      </w:r>
      <w:r w:rsidR="00A9044A">
        <w:rPr>
          <w:rFonts w:asciiTheme="minorHAnsi" w:hAnsiTheme="minorHAnsi" w:cstheme="minorHAnsi"/>
        </w:rPr>
        <w:t>as</w:t>
      </w:r>
      <w:r w:rsidR="00DF6F26">
        <w:rPr>
          <w:rFonts w:asciiTheme="minorHAnsi" w:hAnsiTheme="minorHAnsi" w:cstheme="minorHAnsi"/>
        </w:rPr>
        <w:t xml:space="preserve"> new to the consultation program.  </w:t>
      </w:r>
      <w:r w:rsidR="00E561AF">
        <w:rPr>
          <w:rFonts w:asciiTheme="minorHAnsi" w:hAnsiTheme="minorHAnsi" w:cstheme="minorHAnsi"/>
        </w:rPr>
        <w:t>Management also dedicated additional attention</w:t>
      </w:r>
      <w:r w:rsidR="00F71515">
        <w:rPr>
          <w:rFonts w:asciiTheme="minorHAnsi" w:hAnsiTheme="minorHAnsi" w:cstheme="minorHAnsi"/>
        </w:rPr>
        <w:t xml:space="preserve"> to reviewing </w:t>
      </w:r>
      <w:r w:rsidR="00E561AF">
        <w:rPr>
          <w:rFonts w:asciiTheme="minorHAnsi" w:hAnsiTheme="minorHAnsi" w:cstheme="minorHAnsi"/>
        </w:rPr>
        <w:t xml:space="preserve">the applicable </w:t>
      </w:r>
      <w:r w:rsidR="00F71515">
        <w:rPr>
          <w:rFonts w:asciiTheme="minorHAnsi" w:hAnsiTheme="minorHAnsi" w:cstheme="minorHAnsi"/>
        </w:rPr>
        <w:t xml:space="preserve">OSHA standards as they related to hazards identified during visits.  </w:t>
      </w:r>
      <w:r>
        <w:rPr>
          <w:rFonts w:cs="Calibri"/>
        </w:rPr>
        <w:t xml:space="preserve">A case file review is necessary to </w:t>
      </w:r>
      <w:r w:rsidR="004641AD">
        <w:rPr>
          <w:rFonts w:cs="Calibri"/>
        </w:rPr>
        <w:t xml:space="preserve">gather facts needed to </w:t>
      </w:r>
      <w:r>
        <w:rPr>
          <w:rFonts w:cs="Calibri"/>
        </w:rPr>
        <w:t>evaluate progress on this observation</w:t>
      </w:r>
      <w:r w:rsidR="006F4FB5">
        <w:rPr>
          <w:rFonts w:cs="Calibri"/>
        </w:rPr>
        <w:t xml:space="preserve"> related to </w:t>
      </w:r>
      <w:r w:rsidR="00992D56">
        <w:rPr>
          <w:rFonts w:cs="Calibri"/>
        </w:rPr>
        <w:t>proper use of OSHA standards</w:t>
      </w:r>
      <w:r w:rsidR="004641AD">
        <w:rPr>
          <w:rFonts w:cs="Calibri"/>
        </w:rPr>
        <w:t xml:space="preserve"> in state and local government consultation files</w:t>
      </w:r>
      <w:r>
        <w:rPr>
          <w:rFonts w:cs="Calibri"/>
        </w:rPr>
        <w:t>.  This area will be a focus during the FY 2025 consultation on-site review and remains open.</w:t>
      </w:r>
    </w:p>
    <w:p w14:paraId="013BD2BB" w14:textId="77777777" w:rsidR="002076AF" w:rsidRPr="00006360" w:rsidRDefault="002076AF" w:rsidP="00006360">
      <w:pPr>
        <w:widowControl/>
        <w:tabs>
          <w:tab w:val="left" w:pos="1350"/>
        </w:tabs>
        <w:autoSpaceDE/>
        <w:autoSpaceDN/>
        <w:adjustRightInd/>
        <w:contextualSpacing/>
        <w:rPr>
          <w:rFonts w:asciiTheme="minorHAnsi" w:hAnsiTheme="minorHAnsi" w:cstheme="minorHAnsi"/>
        </w:rPr>
      </w:pPr>
    </w:p>
    <w:p w14:paraId="5A1DDDB6" w14:textId="03939F3B" w:rsidR="00006360" w:rsidRPr="00006360" w:rsidRDefault="00006360" w:rsidP="00006360">
      <w:pPr>
        <w:widowControl/>
        <w:tabs>
          <w:tab w:val="left" w:pos="1350"/>
        </w:tabs>
        <w:autoSpaceDE/>
        <w:autoSpaceDN/>
        <w:adjustRightInd/>
        <w:contextualSpacing/>
        <w:rPr>
          <w:rFonts w:asciiTheme="minorHAnsi" w:hAnsiTheme="minorHAnsi" w:cstheme="minorHAnsi"/>
        </w:rPr>
      </w:pPr>
      <w:r w:rsidRPr="00006360">
        <w:rPr>
          <w:rFonts w:asciiTheme="minorHAnsi" w:hAnsiTheme="minorHAnsi" w:cstheme="minorHAnsi"/>
          <w:b/>
          <w:bCs/>
        </w:rPr>
        <w:t xml:space="preserve">Observation </w:t>
      </w:r>
      <w:r w:rsidR="004863B2">
        <w:rPr>
          <w:rFonts w:asciiTheme="minorHAnsi" w:hAnsiTheme="minorHAnsi" w:cstheme="minorHAnsi"/>
          <w:b/>
          <w:bCs/>
        </w:rPr>
        <w:t>FY 2024-</w:t>
      </w:r>
      <w:r w:rsidR="004863B2" w:rsidRPr="004D357F">
        <w:rPr>
          <w:rFonts w:asciiTheme="minorHAnsi" w:hAnsiTheme="minorHAnsi" w:cstheme="minorHAnsi"/>
          <w:b/>
          <w:bCs/>
        </w:rPr>
        <w:t>OB-</w:t>
      </w:r>
      <w:r w:rsidR="006A78C5">
        <w:rPr>
          <w:rFonts w:asciiTheme="minorHAnsi" w:hAnsiTheme="minorHAnsi" w:cstheme="minorHAnsi"/>
          <w:b/>
          <w:bCs/>
        </w:rPr>
        <w:t>0</w:t>
      </w:r>
      <w:r w:rsidR="00B341E7">
        <w:rPr>
          <w:rFonts w:asciiTheme="minorHAnsi" w:hAnsiTheme="minorHAnsi" w:cstheme="minorHAnsi"/>
          <w:b/>
          <w:bCs/>
        </w:rPr>
        <w:t>7</w:t>
      </w:r>
      <w:r w:rsidRPr="00006360">
        <w:rPr>
          <w:rFonts w:asciiTheme="minorHAnsi" w:hAnsiTheme="minorHAnsi" w:cstheme="minorHAnsi"/>
          <w:b/>
          <w:bCs/>
        </w:rPr>
        <w:t>:</w:t>
      </w:r>
      <w:r w:rsidRPr="00006360">
        <w:rPr>
          <w:rFonts w:asciiTheme="minorHAnsi" w:hAnsiTheme="minorHAnsi" w:cstheme="minorHAnsi"/>
        </w:rPr>
        <w:t xml:space="preserve">  In FY 2023, in seven of nine (78%) state and local government consultation visit files, the consultant did not provide the list of hazards to the employee representative at union sites.</w:t>
      </w:r>
    </w:p>
    <w:p w14:paraId="3EFFB659" w14:textId="77777777" w:rsidR="00006360" w:rsidRDefault="00006360">
      <w:pPr>
        <w:widowControl/>
        <w:autoSpaceDE/>
        <w:autoSpaceDN/>
        <w:adjustRightInd/>
        <w:rPr>
          <w:rFonts w:cs="Calibri"/>
          <w:b/>
          <w:bCs/>
        </w:rPr>
      </w:pPr>
    </w:p>
    <w:p w14:paraId="3175FEF4" w14:textId="4640FBE2" w:rsidR="002076AF" w:rsidRPr="00006360" w:rsidRDefault="002076AF" w:rsidP="002076AF">
      <w:pPr>
        <w:pStyle w:val="BodyText"/>
        <w:spacing w:after="0"/>
        <w:rPr>
          <w:rFonts w:asciiTheme="minorHAnsi" w:hAnsiTheme="minorHAnsi" w:cstheme="minorHAnsi"/>
          <w:b/>
          <w:bCs/>
        </w:rPr>
      </w:pPr>
      <w:r w:rsidRPr="00006360">
        <w:rPr>
          <w:rFonts w:asciiTheme="minorHAnsi" w:hAnsiTheme="minorHAnsi" w:cstheme="minorHAnsi"/>
          <w:b/>
          <w:bCs/>
        </w:rPr>
        <w:t>Status:</w:t>
      </w:r>
      <w:r>
        <w:rPr>
          <w:rFonts w:asciiTheme="minorHAnsi" w:hAnsiTheme="minorHAnsi" w:cstheme="minorHAnsi"/>
          <w:b/>
          <w:bCs/>
        </w:rPr>
        <w:t xml:space="preserve">  </w:t>
      </w:r>
      <w:r w:rsidR="00E561AF">
        <w:rPr>
          <w:rFonts w:asciiTheme="minorHAnsi" w:hAnsiTheme="minorHAnsi" w:cstheme="minorHAnsi"/>
        </w:rPr>
        <w:t xml:space="preserve">AKOSH management </w:t>
      </w:r>
      <w:r w:rsidR="00D46A63">
        <w:rPr>
          <w:rFonts w:asciiTheme="minorHAnsi" w:hAnsiTheme="minorHAnsi" w:cstheme="minorHAnsi"/>
        </w:rPr>
        <w:t xml:space="preserve">reiterated the importance of proper data entry as it related to union representation </w:t>
      </w:r>
      <w:r w:rsidR="000504CE">
        <w:rPr>
          <w:rFonts w:asciiTheme="minorHAnsi" w:hAnsiTheme="minorHAnsi" w:cstheme="minorHAnsi"/>
        </w:rPr>
        <w:t xml:space="preserve">involved in a consultation visit.  This included verifying the accuracy of information in the written report to the employer and in OIS.  </w:t>
      </w:r>
      <w:r>
        <w:rPr>
          <w:rFonts w:cs="Calibri"/>
        </w:rPr>
        <w:t xml:space="preserve">A case file review is necessary to </w:t>
      </w:r>
      <w:r w:rsidR="004641AD">
        <w:rPr>
          <w:rFonts w:cs="Calibri"/>
        </w:rPr>
        <w:t>gather facts needed to</w:t>
      </w:r>
      <w:r>
        <w:rPr>
          <w:rFonts w:cs="Calibri"/>
        </w:rPr>
        <w:t xml:space="preserve"> evaluate progress on this observation</w:t>
      </w:r>
      <w:r w:rsidR="00992D56">
        <w:rPr>
          <w:rFonts w:cs="Calibri"/>
        </w:rPr>
        <w:t xml:space="preserve"> related to the </w:t>
      </w:r>
      <w:r w:rsidR="004641AD">
        <w:rPr>
          <w:rFonts w:cs="Calibri"/>
        </w:rPr>
        <w:t xml:space="preserve">consultation </w:t>
      </w:r>
      <w:r w:rsidR="00992D56">
        <w:rPr>
          <w:rFonts w:cs="Calibri"/>
        </w:rPr>
        <w:t>list of hazards provided to employee representatives</w:t>
      </w:r>
      <w:r>
        <w:rPr>
          <w:rFonts w:cs="Calibri"/>
        </w:rPr>
        <w:t>.  This area will be a focus during the FY 2025 consultation on-site review and remains open.</w:t>
      </w:r>
    </w:p>
    <w:p w14:paraId="3C8BA07D" w14:textId="77777777" w:rsidR="00006360" w:rsidRDefault="00006360">
      <w:pPr>
        <w:widowControl/>
        <w:autoSpaceDE/>
        <w:autoSpaceDN/>
        <w:adjustRightInd/>
        <w:rPr>
          <w:rFonts w:cs="Calibri"/>
          <w:b/>
          <w:bCs/>
        </w:rPr>
      </w:pPr>
    </w:p>
    <w:p w14:paraId="4548D533" w14:textId="77777777" w:rsidR="00E965A1" w:rsidRDefault="00E965A1">
      <w:pPr>
        <w:widowControl/>
        <w:autoSpaceDE/>
        <w:autoSpaceDN/>
        <w:adjustRightInd/>
        <w:rPr>
          <w:rFonts w:cs="Calibri"/>
          <w:b/>
          <w:bCs/>
        </w:rPr>
      </w:pPr>
    </w:p>
    <w:p w14:paraId="09FA1306" w14:textId="6E146B93" w:rsidR="00CD5CA3" w:rsidRDefault="00CD5CA3">
      <w:pPr>
        <w:widowControl/>
        <w:autoSpaceDE/>
        <w:autoSpaceDN/>
        <w:adjustRightInd/>
        <w:rPr>
          <w:rFonts w:cs="Calibri"/>
          <w:b/>
          <w:bCs/>
        </w:rPr>
      </w:pPr>
      <w:r>
        <w:rPr>
          <w:rFonts w:cs="Calibri"/>
          <w:b/>
          <w:bCs/>
        </w:rPr>
        <w:t>New Observations</w:t>
      </w:r>
    </w:p>
    <w:p w14:paraId="78D31AA5" w14:textId="77777777" w:rsidR="00CD5CA3" w:rsidRPr="00CD5CA3" w:rsidRDefault="00CD5CA3">
      <w:pPr>
        <w:widowControl/>
        <w:autoSpaceDE/>
        <w:autoSpaceDN/>
        <w:adjustRightInd/>
        <w:rPr>
          <w:rFonts w:cs="Calibri"/>
          <w:b/>
          <w:bCs/>
        </w:rPr>
      </w:pPr>
    </w:p>
    <w:p w14:paraId="4FBC5D5E" w14:textId="129634D5" w:rsidR="005A7EA2" w:rsidRDefault="005A7EA2" w:rsidP="005A7EA2">
      <w:pPr>
        <w:widowControl/>
        <w:autoSpaceDE/>
        <w:autoSpaceDN/>
        <w:adjustRightInd/>
        <w:rPr>
          <w:rFonts w:cs="Calibri"/>
        </w:rPr>
      </w:pPr>
      <w:r>
        <w:rPr>
          <w:rFonts w:cs="Calibri"/>
        </w:rPr>
        <w:t>No new observations were identified in FY 2024.</w:t>
      </w:r>
    </w:p>
    <w:p w14:paraId="588BD039" w14:textId="77777777" w:rsidR="00961324" w:rsidRPr="00520D0B" w:rsidRDefault="00961324" w:rsidP="005A7EA2">
      <w:pPr>
        <w:widowControl/>
        <w:autoSpaceDE/>
        <w:autoSpaceDN/>
        <w:adjustRightInd/>
        <w:rPr>
          <w:rFonts w:cs="Calibri"/>
        </w:rPr>
      </w:pPr>
    </w:p>
    <w:p w14:paraId="0AB180F9" w14:textId="4B6B9651" w:rsidR="00652E3D" w:rsidRDefault="002A2FF1" w:rsidP="009657AD">
      <w:pPr>
        <w:pStyle w:val="Heading3"/>
      </w:pPr>
      <w:bookmarkStart w:id="22" w:name="_Toc118900177"/>
      <w:bookmarkStart w:id="23" w:name="_Toc118905016"/>
      <w:bookmarkStart w:id="24" w:name="_Toc187654009"/>
      <w:r>
        <w:t>State Activity Mandated Measures (SAMM) Highlights</w:t>
      </w:r>
      <w:bookmarkEnd w:id="22"/>
      <w:bookmarkEnd w:id="23"/>
      <w:bookmarkEnd w:id="24"/>
    </w:p>
    <w:p w14:paraId="0AB180FA" w14:textId="77777777" w:rsidR="00652E3D" w:rsidRDefault="00652E3D">
      <w:pPr>
        <w:widowControl/>
        <w:autoSpaceDE/>
        <w:adjustRightInd/>
        <w:rPr>
          <w:rFonts w:cs="Calibri"/>
          <w:i/>
        </w:rPr>
      </w:pPr>
    </w:p>
    <w:p w14:paraId="1DCD76B8" w14:textId="70481F6B" w:rsidR="001A7DB6" w:rsidRPr="00F60233" w:rsidRDefault="002A2FF1">
      <w:pPr>
        <w:widowControl/>
        <w:autoSpaceDE/>
        <w:adjustRightInd/>
      </w:pPr>
      <w:r w:rsidRPr="00F60233">
        <w:rPr>
          <w:rFonts w:cs="Calibri"/>
        </w:rPr>
        <w:t>Each SAMM has an agreed upon FRL which can be either a single number, or a range of numbers above and below the national average.  State Plan SAMM data that falls outside the FRL triggers a closer look at the underlying performance of the mandatory activity.  Appendix D presents the State Plan’s FY 202</w:t>
      </w:r>
      <w:r w:rsidR="00546314" w:rsidRPr="00F60233">
        <w:rPr>
          <w:rFonts w:cs="Calibri"/>
        </w:rPr>
        <w:t>4</w:t>
      </w:r>
      <w:r w:rsidRPr="00F60233">
        <w:rPr>
          <w:rFonts w:cs="Calibri"/>
        </w:rPr>
        <w:t xml:space="preserve"> State Activity Mandated Measures (SAMM) Report and includes the FRLs for each measure. </w:t>
      </w:r>
      <w:r w:rsidRPr="00F60233">
        <w:t xml:space="preserve"> </w:t>
      </w:r>
    </w:p>
    <w:p w14:paraId="140B68EF" w14:textId="77777777" w:rsidR="001A7DB6" w:rsidRPr="00F60233" w:rsidRDefault="001A7DB6">
      <w:pPr>
        <w:widowControl/>
        <w:autoSpaceDE/>
        <w:adjustRightInd/>
      </w:pPr>
    </w:p>
    <w:p w14:paraId="683F6BBF" w14:textId="24AF87A7" w:rsidR="001A7DB6" w:rsidRPr="00F60233" w:rsidRDefault="001A7DB6">
      <w:pPr>
        <w:widowControl/>
        <w:autoSpaceDE/>
        <w:adjustRightInd/>
      </w:pPr>
      <w:r w:rsidRPr="00F60233">
        <w:t xml:space="preserve">It should be noted that OSHA is in the final stages of transitioning from the OITSS, a legacy data system, to the Whistleblower module in OIS, a modern data system.  </w:t>
      </w:r>
      <w:r w:rsidR="00C34B05">
        <w:t>A</w:t>
      </w:r>
      <w:r w:rsidR="00DE04D8">
        <w:t xml:space="preserve">KOSH transitioned to </w:t>
      </w:r>
      <w:r w:rsidR="006C49DC">
        <w:t xml:space="preserve">OIS for retaliation cases during the previous evaluation period.  However, </w:t>
      </w:r>
      <w:r w:rsidRPr="00F60233">
        <w:t>OSHA encountered challenges in combining the report that generates SAMM 14, 15, and 16 from both systems.  As such, OSHA will not be relying on SAMMs 14, 15, or 16 in their evaluation of the State Plans whistleblower programs for FY 202</w:t>
      </w:r>
      <w:r w:rsidR="00546314" w:rsidRPr="00F60233">
        <w:t>4</w:t>
      </w:r>
      <w:r w:rsidRPr="00F60233">
        <w:t>.</w:t>
      </w:r>
    </w:p>
    <w:p w14:paraId="6709AABF" w14:textId="77777777" w:rsidR="001A7DB6" w:rsidRDefault="001A7DB6">
      <w:pPr>
        <w:widowControl/>
        <w:autoSpaceDE/>
        <w:adjustRightInd/>
        <w:rPr>
          <w:sz w:val="23"/>
          <w:szCs w:val="23"/>
        </w:rPr>
      </w:pPr>
    </w:p>
    <w:p w14:paraId="696DBF10" w14:textId="20A0B83A" w:rsidR="005F5759" w:rsidRPr="001C1E47" w:rsidRDefault="005F5759" w:rsidP="005F5759">
      <w:pPr>
        <w:widowControl/>
        <w:autoSpaceDE/>
        <w:adjustRightInd/>
        <w:rPr>
          <w:rFonts w:cs="Calibri"/>
        </w:rPr>
      </w:pPr>
      <w:r w:rsidRPr="001C1E47">
        <w:rPr>
          <w:rFonts w:cs="Calibri"/>
        </w:rPr>
        <w:t xml:space="preserve">The </w:t>
      </w:r>
      <w:r>
        <w:rPr>
          <w:rFonts w:cs="Calibri"/>
        </w:rPr>
        <w:t xml:space="preserve">Alaska </w:t>
      </w:r>
      <w:r w:rsidRPr="001C1E47">
        <w:rPr>
          <w:rFonts w:cs="Calibri"/>
        </w:rPr>
        <w:t>State Plan was outside the FRL on the following SAMMs</w:t>
      </w:r>
      <w:r>
        <w:rPr>
          <w:rFonts w:cs="Calibri"/>
        </w:rPr>
        <w:t xml:space="preserve"> </w:t>
      </w:r>
      <w:r w:rsidR="00F67056">
        <w:rPr>
          <w:rFonts w:cs="Calibri"/>
        </w:rPr>
        <w:t>which were</w:t>
      </w:r>
      <w:r>
        <w:rPr>
          <w:rFonts w:cs="Calibri"/>
        </w:rPr>
        <w:t xml:space="preserve"> not previously addressed in this report</w:t>
      </w:r>
      <w:r w:rsidRPr="001C1E47">
        <w:rPr>
          <w:rFonts w:cs="Calibri"/>
        </w:rPr>
        <w:t>:</w:t>
      </w:r>
    </w:p>
    <w:p w14:paraId="0AB180FC" w14:textId="77777777" w:rsidR="00652E3D" w:rsidRDefault="00652E3D">
      <w:pPr>
        <w:widowControl/>
        <w:autoSpaceDE/>
        <w:adjustRightInd/>
        <w:rPr>
          <w:rFonts w:cs="Calibri"/>
          <w:b/>
          <w:u w:val="single"/>
        </w:rPr>
      </w:pPr>
    </w:p>
    <w:p w14:paraId="0AB18111" w14:textId="2851EF09" w:rsidR="00652E3D" w:rsidRPr="002E63A9" w:rsidRDefault="002A2FF1">
      <w:pPr>
        <w:pStyle w:val="Default"/>
        <w:rPr>
          <w:rFonts w:asciiTheme="minorHAnsi" w:hAnsiTheme="minorHAnsi" w:cstheme="minorHAnsi"/>
          <w:b/>
          <w:bCs/>
        </w:rPr>
      </w:pPr>
      <w:r w:rsidRPr="002E63A9">
        <w:rPr>
          <w:rFonts w:asciiTheme="minorHAnsi" w:hAnsiTheme="minorHAnsi" w:cstheme="minorHAnsi"/>
          <w:b/>
          <w:bCs/>
        </w:rPr>
        <w:t xml:space="preserve">SAMM 6 – Percent of total </w:t>
      </w:r>
      <w:r w:rsidR="0000014F">
        <w:rPr>
          <w:rFonts w:asciiTheme="minorHAnsi" w:hAnsiTheme="minorHAnsi" w:cstheme="minorHAnsi"/>
          <w:b/>
          <w:bCs/>
        </w:rPr>
        <w:t>i</w:t>
      </w:r>
      <w:r w:rsidRPr="002E63A9">
        <w:rPr>
          <w:rFonts w:asciiTheme="minorHAnsi" w:hAnsiTheme="minorHAnsi" w:cstheme="minorHAnsi"/>
          <w:b/>
          <w:bCs/>
        </w:rPr>
        <w:t xml:space="preserve">nspections in state and local government workplaces </w:t>
      </w:r>
    </w:p>
    <w:p w14:paraId="0AB18112" w14:textId="77777777" w:rsidR="00652E3D" w:rsidRDefault="00652E3D">
      <w:pPr>
        <w:pStyle w:val="Default"/>
        <w:rPr>
          <w:sz w:val="23"/>
          <w:szCs w:val="23"/>
        </w:rPr>
      </w:pPr>
    </w:p>
    <w:p w14:paraId="0AB18113" w14:textId="181E3F78" w:rsidR="00652E3D" w:rsidRPr="00D9157A" w:rsidRDefault="002A2FF1">
      <w:pPr>
        <w:pStyle w:val="Default"/>
        <w:rPr>
          <w:rFonts w:asciiTheme="minorHAnsi" w:hAnsiTheme="minorHAnsi" w:cstheme="minorHAnsi"/>
        </w:rPr>
      </w:pPr>
      <w:r w:rsidRPr="00EB0837">
        <w:rPr>
          <w:rFonts w:asciiTheme="minorHAnsi" w:hAnsiTheme="minorHAnsi" w:cstheme="minorHAnsi"/>
          <w:b/>
          <w:bCs/>
        </w:rPr>
        <w:t xml:space="preserve">Discussion of </w:t>
      </w:r>
      <w:r w:rsidR="00B42F99">
        <w:rPr>
          <w:rFonts w:asciiTheme="minorHAnsi" w:hAnsiTheme="minorHAnsi" w:cstheme="minorHAnsi"/>
          <w:b/>
          <w:bCs/>
        </w:rPr>
        <w:t>AKOSH’s</w:t>
      </w:r>
      <w:r w:rsidRPr="00EB0837">
        <w:rPr>
          <w:rFonts w:asciiTheme="minorHAnsi" w:hAnsiTheme="minorHAnsi" w:cstheme="minorHAnsi"/>
          <w:b/>
          <w:bCs/>
        </w:rPr>
        <w:t xml:space="preserve"> data and FRL:</w:t>
      </w:r>
      <w:r w:rsidRPr="00D9157A">
        <w:rPr>
          <w:rFonts w:asciiTheme="minorHAnsi" w:hAnsiTheme="minorHAnsi" w:cstheme="minorHAnsi"/>
        </w:rPr>
        <w:t xml:space="preserve"> The </w:t>
      </w:r>
      <w:r w:rsidR="0048605F">
        <w:rPr>
          <w:rFonts w:asciiTheme="minorHAnsi" w:hAnsiTheme="minorHAnsi" w:cstheme="minorHAnsi"/>
        </w:rPr>
        <w:t>FRL</w:t>
      </w:r>
      <w:r w:rsidRPr="00D9157A">
        <w:rPr>
          <w:rFonts w:asciiTheme="minorHAnsi" w:hAnsiTheme="minorHAnsi" w:cstheme="minorHAnsi"/>
        </w:rPr>
        <w:t xml:space="preserve"> was negotiated by OSHA and the State Plan through the </w:t>
      </w:r>
      <w:r w:rsidR="008D03C2">
        <w:rPr>
          <w:rFonts w:asciiTheme="minorHAnsi" w:hAnsiTheme="minorHAnsi" w:cstheme="minorHAnsi"/>
        </w:rPr>
        <w:t xml:space="preserve">FY 2024 23(g) </w:t>
      </w:r>
      <w:r w:rsidRPr="00D9157A">
        <w:rPr>
          <w:rFonts w:asciiTheme="minorHAnsi" w:hAnsiTheme="minorHAnsi" w:cstheme="minorHAnsi"/>
        </w:rPr>
        <w:t xml:space="preserve">grant application. </w:t>
      </w:r>
      <w:r w:rsidR="00FD4ED0">
        <w:rPr>
          <w:rFonts w:asciiTheme="minorHAnsi" w:hAnsiTheme="minorHAnsi" w:cstheme="minorHAnsi"/>
        </w:rPr>
        <w:t xml:space="preserve"> </w:t>
      </w:r>
      <w:r w:rsidRPr="00D9157A">
        <w:rPr>
          <w:rFonts w:asciiTheme="minorHAnsi" w:hAnsiTheme="minorHAnsi" w:cstheme="minorHAnsi"/>
        </w:rPr>
        <w:t xml:space="preserve">The range of acceptable data not requiring further review was </w:t>
      </w:r>
      <w:r w:rsidR="00DB540F">
        <w:rPr>
          <w:rFonts w:asciiTheme="minorHAnsi" w:hAnsiTheme="minorHAnsi" w:cstheme="minorHAnsi"/>
        </w:rPr>
        <w:t>between</w:t>
      </w:r>
      <w:r w:rsidRPr="00D9157A">
        <w:rPr>
          <w:rFonts w:asciiTheme="minorHAnsi" w:hAnsiTheme="minorHAnsi" w:cstheme="minorHAnsi"/>
        </w:rPr>
        <w:t xml:space="preserve"> </w:t>
      </w:r>
      <w:r w:rsidR="006A628F">
        <w:rPr>
          <w:rFonts w:asciiTheme="minorHAnsi" w:hAnsiTheme="minorHAnsi" w:cstheme="minorHAnsi"/>
        </w:rPr>
        <w:t>6.33</w:t>
      </w:r>
      <w:r w:rsidRPr="00D9157A">
        <w:rPr>
          <w:rFonts w:asciiTheme="minorHAnsi" w:hAnsiTheme="minorHAnsi" w:cstheme="minorHAnsi"/>
        </w:rPr>
        <w:t xml:space="preserve">% to </w:t>
      </w:r>
      <w:r w:rsidR="006A628F">
        <w:rPr>
          <w:rFonts w:asciiTheme="minorHAnsi" w:hAnsiTheme="minorHAnsi" w:cstheme="minorHAnsi"/>
        </w:rPr>
        <w:t>7.00</w:t>
      </w:r>
      <w:r w:rsidRPr="00D9157A">
        <w:rPr>
          <w:rFonts w:asciiTheme="minorHAnsi" w:hAnsiTheme="minorHAnsi" w:cstheme="minorHAnsi"/>
        </w:rPr>
        <w:t>%</w:t>
      </w:r>
      <w:r w:rsidR="00190BFD">
        <w:rPr>
          <w:rFonts w:asciiTheme="minorHAnsi" w:hAnsiTheme="minorHAnsi" w:cstheme="minorHAnsi"/>
        </w:rPr>
        <w:t>.</w:t>
      </w:r>
      <w:r w:rsidRPr="00D9157A">
        <w:rPr>
          <w:rFonts w:asciiTheme="minorHAnsi" w:hAnsiTheme="minorHAnsi" w:cstheme="minorHAnsi"/>
        </w:rPr>
        <w:t xml:space="preserve"> </w:t>
      </w:r>
      <w:r w:rsidR="00FD4ED0">
        <w:rPr>
          <w:rFonts w:asciiTheme="minorHAnsi" w:hAnsiTheme="minorHAnsi" w:cstheme="minorHAnsi"/>
        </w:rPr>
        <w:t xml:space="preserve"> </w:t>
      </w:r>
      <w:r w:rsidR="00DB540F">
        <w:rPr>
          <w:rFonts w:asciiTheme="minorHAnsi" w:hAnsiTheme="minorHAnsi" w:cstheme="minorHAnsi"/>
        </w:rPr>
        <w:t>AKOSH</w:t>
      </w:r>
      <w:r w:rsidRPr="00D9157A">
        <w:rPr>
          <w:rFonts w:asciiTheme="minorHAnsi" w:hAnsiTheme="minorHAnsi" w:cstheme="minorHAnsi"/>
        </w:rPr>
        <w:t xml:space="preserve"> conducted </w:t>
      </w:r>
      <w:r w:rsidR="006A628F">
        <w:rPr>
          <w:rFonts w:asciiTheme="minorHAnsi" w:hAnsiTheme="minorHAnsi" w:cstheme="minorHAnsi"/>
        </w:rPr>
        <w:t>19.61</w:t>
      </w:r>
      <w:r w:rsidR="00933FFD" w:rsidRPr="009E5338">
        <w:rPr>
          <w:rFonts w:asciiTheme="minorHAnsi" w:hAnsiTheme="minorHAnsi" w:cstheme="minorHAnsi"/>
        </w:rPr>
        <w:t>%</w:t>
      </w:r>
      <w:r w:rsidRPr="009E5338">
        <w:rPr>
          <w:rFonts w:asciiTheme="minorHAnsi" w:hAnsiTheme="minorHAnsi" w:cstheme="minorHAnsi"/>
        </w:rPr>
        <w:t xml:space="preserve"> </w:t>
      </w:r>
      <w:r w:rsidR="00511A6C">
        <w:rPr>
          <w:rFonts w:asciiTheme="minorHAnsi" w:hAnsiTheme="minorHAnsi" w:cstheme="minorHAnsi"/>
        </w:rPr>
        <w:t>of</w:t>
      </w:r>
      <w:r w:rsidR="00672BBA">
        <w:rPr>
          <w:rFonts w:asciiTheme="minorHAnsi" w:hAnsiTheme="minorHAnsi" w:cstheme="minorHAnsi"/>
        </w:rPr>
        <w:t xml:space="preserve"> </w:t>
      </w:r>
      <w:r w:rsidR="00C80B07">
        <w:rPr>
          <w:rFonts w:asciiTheme="minorHAnsi" w:hAnsiTheme="minorHAnsi" w:cstheme="minorHAnsi"/>
        </w:rPr>
        <w:t xml:space="preserve">its total </w:t>
      </w:r>
      <w:r w:rsidRPr="00D9157A">
        <w:rPr>
          <w:rFonts w:asciiTheme="minorHAnsi" w:hAnsiTheme="minorHAnsi" w:cstheme="minorHAnsi"/>
        </w:rPr>
        <w:t>inspections in state and local government</w:t>
      </w:r>
      <w:r w:rsidR="007A79C5">
        <w:rPr>
          <w:rFonts w:asciiTheme="minorHAnsi" w:hAnsiTheme="minorHAnsi" w:cstheme="minorHAnsi"/>
        </w:rPr>
        <w:t xml:space="preserve"> </w:t>
      </w:r>
      <w:r w:rsidRPr="00D9157A">
        <w:rPr>
          <w:rFonts w:asciiTheme="minorHAnsi" w:hAnsiTheme="minorHAnsi" w:cstheme="minorHAnsi"/>
        </w:rPr>
        <w:t>workplaces</w:t>
      </w:r>
      <w:r w:rsidR="00C80B07">
        <w:rPr>
          <w:rFonts w:asciiTheme="minorHAnsi" w:hAnsiTheme="minorHAnsi" w:cstheme="minorHAnsi"/>
        </w:rPr>
        <w:t>, exceeding the FRL.</w:t>
      </w:r>
    </w:p>
    <w:p w14:paraId="0AB18114" w14:textId="77777777" w:rsidR="00652E3D" w:rsidRPr="00D9157A" w:rsidRDefault="00652E3D">
      <w:pPr>
        <w:pStyle w:val="Default"/>
        <w:rPr>
          <w:rFonts w:asciiTheme="minorHAnsi" w:hAnsiTheme="minorHAnsi" w:cstheme="minorHAnsi"/>
        </w:rPr>
      </w:pPr>
    </w:p>
    <w:p w14:paraId="0AB18115" w14:textId="77099450" w:rsidR="00652E3D" w:rsidRPr="009E5338" w:rsidRDefault="002A2FF1">
      <w:pPr>
        <w:rPr>
          <w:rFonts w:asciiTheme="minorHAnsi" w:hAnsiTheme="minorHAnsi" w:cstheme="minorBidi"/>
        </w:rPr>
      </w:pPr>
      <w:r w:rsidRPr="29FC4FA2">
        <w:rPr>
          <w:rFonts w:asciiTheme="minorHAnsi" w:hAnsiTheme="minorHAnsi" w:cstheme="minorBidi"/>
          <w:b/>
        </w:rPr>
        <w:t xml:space="preserve">Explanation: </w:t>
      </w:r>
      <w:r w:rsidR="00F57F60" w:rsidRPr="29FC4FA2">
        <w:rPr>
          <w:rFonts w:asciiTheme="minorHAnsi" w:hAnsiTheme="minorHAnsi" w:cstheme="minorBidi"/>
        </w:rPr>
        <w:t>AKOSH</w:t>
      </w:r>
      <w:r w:rsidR="000341AB" w:rsidRPr="29FC4FA2">
        <w:rPr>
          <w:rFonts w:asciiTheme="minorHAnsi" w:hAnsiTheme="minorHAnsi" w:cstheme="minorBidi"/>
        </w:rPr>
        <w:t xml:space="preserve"> set an annual performance goal to conduct 5% of </w:t>
      </w:r>
      <w:r w:rsidR="009B72B5" w:rsidRPr="29FC4FA2">
        <w:rPr>
          <w:rFonts w:asciiTheme="minorHAnsi" w:hAnsiTheme="minorHAnsi" w:cstheme="minorBidi"/>
        </w:rPr>
        <w:t xml:space="preserve">inspections toward state and local government workplaces.  </w:t>
      </w:r>
      <w:r w:rsidR="00ED74C3" w:rsidRPr="29FC4FA2">
        <w:rPr>
          <w:rFonts w:asciiTheme="minorHAnsi" w:hAnsiTheme="minorHAnsi" w:cstheme="minorBidi"/>
        </w:rPr>
        <w:t xml:space="preserve">However, </w:t>
      </w:r>
      <w:r w:rsidR="00DA4F04" w:rsidRPr="29FC4FA2">
        <w:rPr>
          <w:rFonts w:asciiTheme="minorHAnsi" w:hAnsiTheme="minorHAnsi" w:cstheme="minorBidi"/>
        </w:rPr>
        <w:t xml:space="preserve">they </w:t>
      </w:r>
      <w:r w:rsidR="00ED74C3" w:rsidRPr="29FC4FA2">
        <w:rPr>
          <w:rFonts w:asciiTheme="minorHAnsi" w:hAnsiTheme="minorHAnsi" w:cstheme="minorBidi"/>
        </w:rPr>
        <w:t xml:space="preserve">conducted 70 of 357 </w:t>
      </w:r>
      <w:r w:rsidR="00BE56D7" w:rsidRPr="29FC4FA2">
        <w:rPr>
          <w:rFonts w:asciiTheme="minorHAnsi" w:hAnsiTheme="minorHAnsi" w:cstheme="minorBidi"/>
        </w:rPr>
        <w:t xml:space="preserve">(19.61%) </w:t>
      </w:r>
      <w:r w:rsidR="00ED74C3" w:rsidRPr="29FC4FA2">
        <w:rPr>
          <w:rFonts w:asciiTheme="minorHAnsi" w:hAnsiTheme="minorHAnsi" w:cstheme="minorBidi"/>
        </w:rPr>
        <w:t>inspections with state and local government employers</w:t>
      </w:r>
      <w:r w:rsidR="00C80B07" w:rsidRPr="29FC4FA2">
        <w:rPr>
          <w:rFonts w:asciiTheme="minorHAnsi" w:hAnsiTheme="minorHAnsi" w:cstheme="minorBidi"/>
        </w:rPr>
        <w:t>.</w:t>
      </w:r>
      <w:r w:rsidR="00ED74C3" w:rsidRPr="29FC4FA2">
        <w:rPr>
          <w:rFonts w:asciiTheme="minorHAnsi" w:hAnsiTheme="minorHAnsi" w:cstheme="minorBidi"/>
        </w:rPr>
        <w:t xml:space="preserve">  </w:t>
      </w:r>
      <w:r w:rsidR="00BE56D7" w:rsidRPr="29FC4FA2">
        <w:rPr>
          <w:rFonts w:asciiTheme="minorHAnsi" w:hAnsiTheme="minorHAnsi" w:cstheme="minorBidi"/>
        </w:rPr>
        <w:t>One attributor was one UPA</w:t>
      </w:r>
      <w:r w:rsidR="00B47EE0" w:rsidRPr="29FC4FA2">
        <w:rPr>
          <w:rFonts w:asciiTheme="minorHAnsi" w:hAnsiTheme="minorHAnsi" w:cstheme="minorBidi"/>
        </w:rPr>
        <w:t xml:space="preserve"> result</w:t>
      </w:r>
      <w:r w:rsidR="001947F0" w:rsidRPr="29FC4FA2">
        <w:rPr>
          <w:rFonts w:asciiTheme="minorHAnsi" w:hAnsiTheme="minorHAnsi" w:cstheme="minorBidi"/>
        </w:rPr>
        <w:t>ing</w:t>
      </w:r>
      <w:r w:rsidR="00662E2E">
        <w:rPr>
          <w:rFonts w:asciiTheme="minorHAnsi" w:hAnsiTheme="minorHAnsi" w:cstheme="minorBidi"/>
        </w:rPr>
        <w:t xml:space="preserve"> in</w:t>
      </w:r>
      <w:r w:rsidR="00B47EE0" w:rsidRPr="29FC4FA2">
        <w:rPr>
          <w:rFonts w:asciiTheme="minorHAnsi" w:hAnsiTheme="minorHAnsi" w:cstheme="minorBidi"/>
        </w:rPr>
        <w:t xml:space="preserve"> </w:t>
      </w:r>
      <w:r w:rsidR="00CE48E9">
        <w:rPr>
          <w:rFonts w:asciiTheme="minorHAnsi" w:hAnsiTheme="minorHAnsi" w:cstheme="minorBidi"/>
        </w:rPr>
        <w:t>a high volume of</w:t>
      </w:r>
      <w:r w:rsidR="00CE48E9" w:rsidRPr="29FC4FA2">
        <w:rPr>
          <w:rFonts w:asciiTheme="minorHAnsi" w:hAnsiTheme="minorHAnsi" w:cstheme="minorBidi"/>
        </w:rPr>
        <w:t xml:space="preserve"> </w:t>
      </w:r>
      <w:r w:rsidR="00B47EE0" w:rsidRPr="29FC4FA2">
        <w:rPr>
          <w:rFonts w:asciiTheme="minorHAnsi" w:hAnsiTheme="minorHAnsi" w:cstheme="minorBidi"/>
        </w:rPr>
        <w:t>inspections</w:t>
      </w:r>
      <w:r w:rsidR="00CE48E9">
        <w:rPr>
          <w:rFonts w:asciiTheme="minorHAnsi" w:hAnsiTheme="minorHAnsi" w:cstheme="minorBidi"/>
        </w:rPr>
        <w:t xml:space="preserve"> at various locations</w:t>
      </w:r>
      <w:r w:rsidR="00B47EE0" w:rsidRPr="29FC4FA2">
        <w:rPr>
          <w:rFonts w:asciiTheme="minorHAnsi" w:hAnsiTheme="minorHAnsi" w:cstheme="minorBidi"/>
        </w:rPr>
        <w:t xml:space="preserve">.  </w:t>
      </w:r>
      <w:r w:rsidR="006E04A9" w:rsidRPr="29FC4FA2">
        <w:rPr>
          <w:rFonts w:asciiTheme="minorHAnsi" w:hAnsiTheme="minorHAnsi" w:cstheme="minorBidi"/>
        </w:rPr>
        <w:t xml:space="preserve">Performance on this metric </w:t>
      </w:r>
      <w:r w:rsidR="6DDBB4BA" w:rsidRPr="29FC4FA2">
        <w:rPr>
          <w:rFonts w:asciiTheme="minorHAnsi" w:hAnsiTheme="minorHAnsi" w:cstheme="minorBidi"/>
        </w:rPr>
        <w:t xml:space="preserve">indicates </w:t>
      </w:r>
      <w:r w:rsidR="006E04A9" w:rsidRPr="29FC4FA2">
        <w:rPr>
          <w:rFonts w:asciiTheme="minorHAnsi" w:hAnsiTheme="minorHAnsi" w:cstheme="minorBidi"/>
        </w:rPr>
        <w:t>that</w:t>
      </w:r>
      <w:r w:rsidR="000824AE" w:rsidRPr="29FC4FA2">
        <w:rPr>
          <w:rFonts w:asciiTheme="minorHAnsi" w:hAnsiTheme="minorHAnsi" w:cstheme="minorBidi"/>
        </w:rPr>
        <w:t xml:space="preserve"> </w:t>
      </w:r>
      <w:r w:rsidR="00DE7A6F" w:rsidRPr="29FC4FA2">
        <w:rPr>
          <w:rFonts w:asciiTheme="minorHAnsi" w:hAnsiTheme="minorHAnsi" w:cstheme="minorBidi"/>
        </w:rPr>
        <w:t>A</w:t>
      </w:r>
      <w:r w:rsidR="004B0A6C" w:rsidRPr="29FC4FA2">
        <w:rPr>
          <w:rFonts w:asciiTheme="minorHAnsi" w:hAnsiTheme="minorHAnsi" w:cstheme="minorBidi"/>
        </w:rPr>
        <w:t xml:space="preserve">KOSH </w:t>
      </w:r>
      <w:r w:rsidR="1350F70A" w:rsidRPr="29FC4FA2">
        <w:rPr>
          <w:rFonts w:asciiTheme="minorHAnsi" w:hAnsiTheme="minorHAnsi" w:cstheme="minorBidi"/>
        </w:rPr>
        <w:t xml:space="preserve">conducted </w:t>
      </w:r>
      <w:r w:rsidR="0CF780CE" w:rsidRPr="29FC4FA2">
        <w:rPr>
          <w:rFonts w:asciiTheme="minorHAnsi" w:hAnsiTheme="minorHAnsi" w:cstheme="minorBidi"/>
        </w:rPr>
        <w:t xml:space="preserve">a higher number of </w:t>
      </w:r>
      <w:r w:rsidR="6070F9B0" w:rsidRPr="29FC4FA2">
        <w:rPr>
          <w:rFonts w:asciiTheme="minorHAnsi" w:hAnsiTheme="minorHAnsi" w:cstheme="minorBidi"/>
        </w:rPr>
        <w:t>inspections</w:t>
      </w:r>
      <w:r w:rsidR="008A4F18" w:rsidRPr="29FC4FA2">
        <w:rPr>
          <w:rFonts w:asciiTheme="minorHAnsi" w:hAnsiTheme="minorHAnsi" w:cstheme="minorBidi"/>
        </w:rPr>
        <w:t xml:space="preserve"> at</w:t>
      </w:r>
      <w:r w:rsidR="004B0A6C" w:rsidRPr="29FC4FA2">
        <w:rPr>
          <w:rFonts w:asciiTheme="minorHAnsi" w:hAnsiTheme="minorHAnsi" w:cstheme="minorBidi"/>
        </w:rPr>
        <w:t xml:space="preserve"> state and local government workplaces than anticipated.  </w:t>
      </w:r>
      <w:r w:rsidR="6489D4E6" w:rsidRPr="29FC4FA2">
        <w:rPr>
          <w:rFonts w:asciiTheme="minorHAnsi" w:hAnsiTheme="minorHAnsi" w:cstheme="minorBidi"/>
        </w:rPr>
        <w:t xml:space="preserve">This was discussed during quarterly meetings with AKOSH and was an unusual circumstance.  </w:t>
      </w:r>
    </w:p>
    <w:p w14:paraId="0AB18116" w14:textId="77777777" w:rsidR="00652E3D" w:rsidRPr="009E5338" w:rsidRDefault="00652E3D">
      <w:pPr>
        <w:widowControl/>
        <w:rPr>
          <w:rFonts w:asciiTheme="minorHAnsi" w:hAnsiTheme="minorHAnsi" w:cstheme="minorHAnsi"/>
        </w:rPr>
      </w:pPr>
    </w:p>
    <w:p w14:paraId="08DED046" w14:textId="1D5C8EEE" w:rsidR="00FE3503" w:rsidRDefault="00FE3503">
      <w:pPr>
        <w:widowControl/>
        <w:rPr>
          <w:rFonts w:cs="Calibri"/>
          <w:b/>
          <w:bCs/>
        </w:rPr>
      </w:pPr>
      <w:r w:rsidRPr="00C52BC6">
        <w:rPr>
          <w:rFonts w:cs="Calibri"/>
          <w:b/>
          <w:bCs/>
        </w:rPr>
        <w:t>SAMM</w:t>
      </w:r>
      <w:r>
        <w:rPr>
          <w:rFonts w:cs="Calibri"/>
          <w:b/>
          <w:bCs/>
        </w:rPr>
        <w:t xml:space="preserve"> 8</w:t>
      </w:r>
      <w:r w:rsidR="009E31BA">
        <w:rPr>
          <w:rFonts w:cs="Calibri"/>
          <w:b/>
          <w:bCs/>
        </w:rPr>
        <w:t xml:space="preserve"> – Average current </w:t>
      </w:r>
      <w:r w:rsidR="00E87FE7">
        <w:rPr>
          <w:rFonts w:cs="Calibri"/>
          <w:b/>
          <w:bCs/>
        </w:rPr>
        <w:t xml:space="preserve">serious penalty </w:t>
      </w:r>
      <w:r w:rsidR="0017018A">
        <w:rPr>
          <w:rFonts w:cs="Calibri"/>
          <w:b/>
          <w:bCs/>
        </w:rPr>
        <w:t>in private sector</w:t>
      </w:r>
      <w:r w:rsidR="00DE6DD2">
        <w:rPr>
          <w:rFonts w:cs="Calibri"/>
          <w:b/>
          <w:bCs/>
        </w:rPr>
        <w:t xml:space="preserve"> </w:t>
      </w:r>
      <w:r w:rsidR="00AF3030">
        <w:rPr>
          <w:rFonts w:cs="Calibri"/>
          <w:b/>
          <w:bCs/>
        </w:rPr>
        <w:t>– total (1 to greater than 250 workers)</w:t>
      </w:r>
    </w:p>
    <w:p w14:paraId="5A429992" w14:textId="77777777" w:rsidR="0017018A" w:rsidRDefault="0017018A">
      <w:pPr>
        <w:widowControl/>
        <w:rPr>
          <w:rFonts w:cs="Calibri"/>
          <w:b/>
          <w:bCs/>
        </w:rPr>
      </w:pPr>
    </w:p>
    <w:p w14:paraId="519B9133" w14:textId="0DCB62D9" w:rsidR="00DE6DD2" w:rsidRPr="001C071A" w:rsidRDefault="00DE6DD2" w:rsidP="00DE6DD2">
      <w:pPr>
        <w:widowControl/>
        <w:rPr>
          <w:rFonts w:cs="Calibri"/>
        </w:rPr>
      </w:pPr>
      <w:r w:rsidRPr="00EB0837">
        <w:rPr>
          <w:rFonts w:cs="Calibri"/>
          <w:b/>
          <w:bCs/>
        </w:rPr>
        <w:t xml:space="preserve">Discussion of </w:t>
      </w:r>
      <w:r w:rsidR="00B42F99">
        <w:rPr>
          <w:rFonts w:cs="Calibri"/>
          <w:b/>
          <w:bCs/>
        </w:rPr>
        <w:t>AKOSH’s</w:t>
      </w:r>
      <w:r w:rsidRPr="00EB0837">
        <w:rPr>
          <w:rFonts w:cs="Calibri"/>
          <w:b/>
          <w:bCs/>
        </w:rPr>
        <w:t xml:space="preserve"> data and FRL:</w:t>
      </w:r>
      <w:r w:rsidRPr="009E5338">
        <w:rPr>
          <w:rFonts w:cs="Calibri"/>
        </w:rPr>
        <w:t xml:space="preserve"> </w:t>
      </w:r>
      <w:r w:rsidRPr="00A7132E">
        <w:rPr>
          <w:rFonts w:cs="Calibri"/>
        </w:rPr>
        <w:t xml:space="preserve">The FRL for </w:t>
      </w:r>
      <w:r w:rsidR="006C647A">
        <w:rPr>
          <w:rFonts w:cs="Calibri"/>
        </w:rPr>
        <w:t>the average current penalty for 1-25</w:t>
      </w:r>
      <w:r w:rsidR="00831773">
        <w:rPr>
          <w:rFonts w:cs="Calibri"/>
        </w:rPr>
        <w:t xml:space="preserve">0+ </w:t>
      </w:r>
      <w:r w:rsidR="006C647A">
        <w:rPr>
          <w:rFonts w:cs="Calibri"/>
        </w:rPr>
        <w:t>workers was</w:t>
      </w:r>
      <w:r w:rsidRPr="00A7132E">
        <w:rPr>
          <w:rFonts w:cs="Calibri"/>
        </w:rPr>
        <w:t xml:space="preserve"> +/- </w:t>
      </w:r>
      <w:r w:rsidR="00A7132E">
        <w:rPr>
          <w:rFonts w:cs="Calibri"/>
        </w:rPr>
        <w:t>2</w:t>
      </w:r>
      <w:r w:rsidRPr="00A7132E">
        <w:rPr>
          <w:rFonts w:cs="Calibri"/>
        </w:rPr>
        <w:t>5%</w:t>
      </w:r>
      <w:r w:rsidR="00A7132E">
        <w:rPr>
          <w:rFonts w:cs="Calibri"/>
        </w:rPr>
        <w:t xml:space="preserve"> </w:t>
      </w:r>
      <w:r w:rsidR="004B260C">
        <w:rPr>
          <w:rFonts w:cs="Calibri"/>
        </w:rPr>
        <w:t xml:space="preserve">of </w:t>
      </w:r>
      <w:r w:rsidR="00F3058C">
        <w:rPr>
          <w:rFonts w:cs="Calibri"/>
        </w:rPr>
        <w:t>$</w:t>
      </w:r>
      <w:r w:rsidR="001D497C">
        <w:rPr>
          <w:rFonts w:cs="Calibri"/>
        </w:rPr>
        <w:t>3,793.81</w:t>
      </w:r>
      <w:r w:rsidR="00F3058C">
        <w:rPr>
          <w:rFonts w:cs="Calibri"/>
        </w:rPr>
        <w:t xml:space="preserve">, which was based on a three-year national average and provides a range of </w:t>
      </w:r>
      <w:r w:rsidR="007358E2">
        <w:rPr>
          <w:rFonts w:cs="Calibri"/>
        </w:rPr>
        <w:t>$</w:t>
      </w:r>
      <w:r w:rsidR="009302B9">
        <w:rPr>
          <w:rFonts w:cs="Calibri"/>
        </w:rPr>
        <w:t>2,845</w:t>
      </w:r>
      <w:r w:rsidR="00B4183B">
        <w:rPr>
          <w:rFonts w:cs="Calibri"/>
        </w:rPr>
        <w:t>.36</w:t>
      </w:r>
      <w:r w:rsidR="007358E2">
        <w:rPr>
          <w:rFonts w:cs="Calibri"/>
        </w:rPr>
        <w:t xml:space="preserve"> to $</w:t>
      </w:r>
      <w:r w:rsidR="00B4183B">
        <w:rPr>
          <w:rFonts w:cs="Calibri"/>
        </w:rPr>
        <w:t>4,742.27</w:t>
      </w:r>
      <w:r w:rsidR="005A66D4">
        <w:rPr>
          <w:rFonts w:cs="Calibri"/>
        </w:rPr>
        <w:t xml:space="preserve">. </w:t>
      </w:r>
      <w:r w:rsidR="00D12A05">
        <w:rPr>
          <w:rFonts w:cs="Calibri"/>
        </w:rPr>
        <w:t xml:space="preserve"> In Alaska, e</w:t>
      </w:r>
      <w:r w:rsidR="00EB7F64">
        <w:rPr>
          <w:rFonts w:cs="Calibri"/>
        </w:rPr>
        <w:t>mployers with 1-25</w:t>
      </w:r>
      <w:r w:rsidR="00944E19">
        <w:rPr>
          <w:rFonts w:cs="Calibri"/>
        </w:rPr>
        <w:t>0+</w:t>
      </w:r>
      <w:r w:rsidR="00EB7F64">
        <w:rPr>
          <w:rFonts w:cs="Calibri"/>
        </w:rPr>
        <w:t xml:space="preserve"> workers were p</w:t>
      </w:r>
      <w:r w:rsidR="00063B7F">
        <w:rPr>
          <w:rFonts w:cs="Calibri"/>
        </w:rPr>
        <w:t xml:space="preserve">enalized at an average of </w:t>
      </w:r>
      <w:r w:rsidR="00E07652">
        <w:rPr>
          <w:rFonts w:cs="Calibri"/>
        </w:rPr>
        <w:t>$</w:t>
      </w:r>
      <w:r w:rsidR="00690A5B">
        <w:rPr>
          <w:rFonts w:cs="Calibri"/>
        </w:rPr>
        <w:t>4,811.80</w:t>
      </w:r>
      <w:r w:rsidR="00A245D9">
        <w:rPr>
          <w:rFonts w:cs="Calibri"/>
        </w:rPr>
        <w:t xml:space="preserve"> per serious violation</w:t>
      </w:r>
      <w:r w:rsidR="00B46C3A">
        <w:rPr>
          <w:rFonts w:cs="Calibri"/>
        </w:rPr>
        <w:t xml:space="preserve">, which </w:t>
      </w:r>
      <w:r w:rsidR="00EB3A8C">
        <w:rPr>
          <w:rFonts w:cs="Calibri"/>
        </w:rPr>
        <w:t xml:space="preserve">was </w:t>
      </w:r>
      <w:r w:rsidR="00E9753F">
        <w:rPr>
          <w:rFonts w:cs="Calibri"/>
        </w:rPr>
        <w:t xml:space="preserve">slightly </w:t>
      </w:r>
      <w:r w:rsidR="007F1167">
        <w:rPr>
          <w:rFonts w:cs="Calibri"/>
        </w:rPr>
        <w:t xml:space="preserve">above </w:t>
      </w:r>
      <w:r w:rsidR="00EB3A8C">
        <w:rPr>
          <w:rFonts w:cs="Calibri"/>
        </w:rPr>
        <w:t xml:space="preserve">the </w:t>
      </w:r>
      <w:r w:rsidR="00A245D9">
        <w:rPr>
          <w:rFonts w:cs="Calibri"/>
        </w:rPr>
        <w:t xml:space="preserve">FRL range.  </w:t>
      </w:r>
    </w:p>
    <w:p w14:paraId="581E35EE" w14:textId="77777777" w:rsidR="00DE6DD2" w:rsidRDefault="00DE6DD2" w:rsidP="00DE6DD2">
      <w:pPr>
        <w:widowControl/>
        <w:rPr>
          <w:rFonts w:cs="Calibri"/>
          <w:color w:val="FF0000"/>
        </w:rPr>
      </w:pPr>
    </w:p>
    <w:p w14:paraId="1A07D497" w14:textId="64D78451" w:rsidR="00DE6DD2" w:rsidRPr="001C071A" w:rsidRDefault="00DE6DD2" w:rsidP="00DE6DD2">
      <w:pPr>
        <w:rPr>
          <w:rFonts w:cs="Calibri"/>
        </w:rPr>
      </w:pPr>
      <w:r w:rsidRPr="00EB0837">
        <w:rPr>
          <w:rFonts w:cs="Calibri"/>
          <w:b/>
          <w:bCs/>
        </w:rPr>
        <w:t>Explanation:</w:t>
      </w:r>
      <w:r w:rsidRPr="001C071A">
        <w:rPr>
          <w:rFonts w:cs="Calibri"/>
        </w:rPr>
        <w:t xml:space="preserve">  </w:t>
      </w:r>
      <w:r w:rsidR="00A35CF2">
        <w:rPr>
          <w:rFonts w:cs="Calibri"/>
        </w:rPr>
        <w:t>AKOSH</w:t>
      </w:r>
      <w:r w:rsidR="00F06D58">
        <w:rPr>
          <w:rFonts w:cs="Calibri"/>
        </w:rPr>
        <w:t>’s average</w:t>
      </w:r>
      <w:r w:rsidR="00F6408B">
        <w:rPr>
          <w:rFonts w:cs="Calibri"/>
        </w:rPr>
        <w:t xml:space="preserve"> current</w:t>
      </w:r>
      <w:r w:rsidR="00F06D58">
        <w:rPr>
          <w:rFonts w:cs="Calibri"/>
        </w:rPr>
        <w:t xml:space="preserve"> </w:t>
      </w:r>
      <w:r w:rsidR="00F6408B">
        <w:rPr>
          <w:rFonts w:cs="Calibri"/>
        </w:rPr>
        <w:t xml:space="preserve">total </w:t>
      </w:r>
      <w:r w:rsidR="00F06D58">
        <w:rPr>
          <w:rFonts w:cs="Calibri"/>
        </w:rPr>
        <w:t>penalty for serious citations in private sector was slightly greater than the national average</w:t>
      </w:r>
      <w:r w:rsidR="00A64FDB">
        <w:rPr>
          <w:rFonts w:cs="Calibri"/>
        </w:rPr>
        <w:t xml:space="preserve"> and not a cause for concern.  OSHA will continue to monitor this metric during quarterly meetings.  </w:t>
      </w:r>
    </w:p>
    <w:p w14:paraId="54C81136" w14:textId="77777777" w:rsidR="00FE3503" w:rsidRDefault="00FE3503">
      <w:pPr>
        <w:widowControl/>
        <w:rPr>
          <w:rFonts w:cs="Calibri"/>
          <w:b/>
          <w:bCs/>
        </w:rPr>
      </w:pPr>
    </w:p>
    <w:p w14:paraId="2DE2E25E" w14:textId="39D0EE9A" w:rsidR="00D0737D" w:rsidRDefault="00D0737D" w:rsidP="00D0737D">
      <w:pPr>
        <w:widowControl/>
        <w:rPr>
          <w:rFonts w:cs="Calibri"/>
          <w:b/>
          <w:bCs/>
        </w:rPr>
      </w:pPr>
      <w:r w:rsidRPr="00C52BC6">
        <w:rPr>
          <w:rFonts w:cs="Calibri"/>
          <w:b/>
          <w:bCs/>
        </w:rPr>
        <w:t>SAMM</w:t>
      </w:r>
      <w:r>
        <w:rPr>
          <w:rFonts w:cs="Calibri"/>
          <w:b/>
          <w:bCs/>
        </w:rPr>
        <w:t xml:space="preserve"> 8c – Average current serious penalty in private sector (1</w:t>
      </w:r>
      <w:r w:rsidR="004B260C">
        <w:rPr>
          <w:rFonts w:cs="Calibri"/>
          <w:b/>
          <w:bCs/>
        </w:rPr>
        <w:t>01-250 workers)</w:t>
      </w:r>
    </w:p>
    <w:p w14:paraId="74130DE2" w14:textId="77777777" w:rsidR="00D0737D" w:rsidRDefault="00D0737D" w:rsidP="00D0737D">
      <w:pPr>
        <w:widowControl/>
        <w:rPr>
          <w:rFonts w:cs="Calibri"/>
          <w:b/>
          <w:bCs/>
        </w:rPr>
      </w:pPr>
    </w:p>
    <w:p w14:paraId="1A0879DC" w14:textId="63A9A395" w:rsidR="00D0737D" w:rsidRPr="001C071A" w:rsidRDefault="00D0737D" w:rsidP="00D0737D">
      <w:pPr>
        <w:widowControl/>
        <w:rPr>
          <w:rFonts w:cs="Calibri"/>
        </w:rPr>
      </w:pPr>
      <w:r w:rsidRPr="00EB0837">
        <w:rPr>
          <w:rFonts w:cs="Calibri"/>
          <w:b/>
          <w:bCs/>
        </w:rPr>
        <w:t xml:space="preserve">Discussion of </w:t>
      </w:r>
      <w:r w:rsidR="004F1D0C">
        <w:rPr>
          <w:rFonts w:cs="Calibri"/>
          <w:b/>
          <w:bCs/>
        </w:rPr>
        <w:t>AKOSH’s</w:t>
      </w:r>
      <w:r w:rsidRPr="00EB0837">
        <w:rPr>
          <w:rFonts w:cs="Calibri"/>
          <w:b/>
          <w:bCs/>
        </w:rPr>
        <w:t xml:space="preserve"> data and FRL:</w:t>
      </w:r>
      <w:r w:rsidRPr="009E5338">
        <w:rPr>
          <w:rFonts w:cs="Calibri"/>
        </w:rPr>
        <w:t xml:space="preserve"> </w:t>
      </w:r>
      <w:r w:rsidRPr="00A7132E">
        <w:rPr>
          <w:rFonts w:cs="Calibri"/>
        </w:rPr>
        <w:t xml:space="preserve">The FRL for </w:t>
      </w:r>
      <w:r>
        <w:rPr>
          <w:rFonts w:cs="Calibri"/>
        </w:rPr>
        <w:t>the average current penalty for 1</w:t>
      </w:r>
      <w:r w:rsidR="004B260C">
        <w:rPr>
          <w:rFonts w:cs="Calibri"/>
        </w:rPr>
        <w:t>01</w:t>
      </w:r>
      <w:r>
        <w:rPr>
          <w:rFonts w:cs="Calibri"/>
        </w:rPr>
        <w:t>-250 workers was</w:t>
      </w:r>
      <w:r w:rsidRPr="00A7132E">
        <w:rPr>
          <w:rFonts w:cs="Calibri"/>
        </w:rPr>
        <w:t xml:space="preserve"> +/- </w:t>
      </w:r>
      <w:r>
        <w:rPr>
          <w:rFonts w:cs="Calibri"/>
        </w:rPr>
        <w:t>2</w:t>
      </w:r>
      <w:r w:rsidRPr="00A7132E">
        <w:rPr>
          <w:rFonts w:cs="Calibri"/>
        </w:rPr>
        <w:t>5%</w:t>
      </w:r>
      <w:r w:rsidR="004B260C">
        <w:rPr>
          <w:rFonts w:cs="Calibri"/>
        </w:rPr>
        <w:t xml:space="preserve"> of </w:t>
      </w:r>
      <w:r>
        <w:rPr>
          <w:rFonts w:cs="Calibri"/>
        </w:rPr>
        <w:t>$</w:t>
      </w:r>
      <w:r w:rsidR="000C16FD">
        <w:rPr>
          <w:rFonts w:cs="Calibri"/>
        </w:rPr>
        <w:t>6,114.84</w:t>
      </w:r>
      <w:r>
        <w:rPr>
          <w:rFonts w:cs="Calibri"/>
        </w:rPr>
        <w:t>, which was based on a three-year national average and provides a range of $</w:t>
      </w:r>
      <w:r w:rsidR="00CA1EAE">
        <w:rPr>
          <w:rFonts w:cs="Calibri"/>
        </w:rPr>
        <w:t>4,586.13</w:t>
      </w:r>
      <w:r>
        <w:rPr>
          <w:rFonts w:cs="Calibri"/>
        </w:rPr>
        <w:t xml:space="preserve"> to $</w:t>
      </w:r>
      <w:r w:rsidR="00752C77">
        <w:rPr>
          <w:rFonts w:cs="Calibri"/>
        </w:rPr>
        <w:t>7,643.55</w:t>
      </w:r>
      <w:r>
        <w:rPr>
          <w:rFonts w:cs="Calibri"/>
        </w:rPr>
        <w:t xml:space="preserve">.  </w:t>
      </w:r>
      <w:r w:rsidR="00D12A05">
        <w:rPr>
          <w:rFonts w:cs="Calibri"/>
        </w:rPr>
        <w:t>In Alaska, e</w:t>
      </w:r>
      <w:r>
        <w:rPr>
          <w:rFonts w:cs="Calibri"/>
        </w:rPr>
        <w:t>mployers with 1</w:t>
      </w:r>
      <w:r w:rsidR="00752C77">
        <w:rPr>
          <w:rFonts w:cs="Calibri"/>
        </w:rPr>
        <w:t>01</w:t>
      </w:r>
      <w:r>
        <w:rPr>
          <w:rFonts w:cs="Calibri"/>
        </w:rPr>
        <w:t>-250 workers were penalized at an average of $</w:t>
      </w:r>
      <w:r w:rsidR="00752C77">
        <w:rPr>
          <w:rFonts w:cs="Calibri"/>
        </w:rPr>
        <w:t>3,131.77</w:t>
      </w:r>
      <w:r>
        <w:rPr>
          <w:rFonts w:cs="Calibri"/>
        </w:rPr>
        <w:t xml:space="preserve"> per serious violation, which was </w:t>
      </w:r>
      <w:r w:rsidR="00752C77">
        <w:rPr>
          <w:rFonts w:cs="Calibri"/>
        </w:rPr>
        <w:t>below</w:t>
      </w:r>
      <w:r>
        <w:rPr>
          <w:rFonts w:cs="Calibri"/>
        </w:rPr>
        <w:t xml:space="preserve"> the FRL range.  </w:t>
      </w:r>
    </w:p>
    <w:p w14:paraId="5237AFFB" w14:textId="77777777" w:rsidR="00D0737D" w:rsidRDefault="00D0737D" w:rsidP="00D0737D">
      <w:pPr>
        <w:widowControl/>
        <w:rPr>
          <w:rFonts w:cs="Calibri"/>
          <w:color w:val="FF0000"/>
        </w:rPr>
      </w:pPr>
    </w:p>
    <w:p w14:paraId="3D671FD4" w14:textId="29A8522A" w:rsidR="00D0737D" w:rsidRPr="001C071A" w:rsidRDefault="00D0737D" w:rsidP="00D0737D">
      <w:pPr>
        <w:rPr>
          <w:rFonts w:cs="Calibri"/>
        </w:rPr>
      </w:pPr>
      <w:r w:rsidRPr="00EB0837">
        <w:rPr>
          <w:rFonts w:cs="Calibri"/>
          <w:b/>
          <w:bCs/>
        </w:rPr>
        <w:t>Explanation:</w:t>
      </w:r>
      <w:r w:rsidRPr="001C071A">
        <w:rPr>
          <w:rFonts w:cs="Calibri"/>
        </w:rPr>
        <w:t xml:space="preserve">  </w:t>
      </w:r>
      <w:r w:rsidR="00BA32F4">
        <w:rPr>
          <w:rFonts w:cs="Calibri"/>
        </w:rPr>
        <w:t xml:space="preserve">AKOSH explained that in the State of Alaska, </w:t>
      </w:r>
      <w:r w:rsidR="00237E9E">
        <w:rPr>
          <w:rFonts w:cs="Calibri"/>
        </w:rPr>
        <w:t xml:space="preserve">there was a limited number of </w:t>
      </w:r>
      <w:r w:rsidR="00BA32F4">
        <w:rPr>
          <w:rFonts w:cs="Calibri"/>
        </w:rPr>
        <w:t>employers with 101-250</w:t>
      </w:r>
      <w:r w:rsidR="00237E9E">
        <w:rPr>
          <w:rFonts w:cs="Calibri"/>
        </w:rPr>
        <w:t xml:space="preserve"> employees</w:t>
      </w:r>
      <w:r w:rsidR="000E40CD">
        <w:rPr>
          <w:rFonts w:cs="Calibri"/>
        </w:rPr>
        <w:t xml:space="preserve">, as </w:t>
      </w:r>
      <w:r w:rsidR="00FE50A4">
        <w:rPr>
          <w:rFonts w:cs="Calibri"/>
        </w:rPr>
        <w:t>most</w:t>
      </w:r>
      <w:r w:rsidR="000E40CD">
        <w:rPr>
          <w:rFonts w:cs="Calibri"/>
        </w:rPr>
        <w:t xml:space="preserve"> are small</w:t>
      </w:r>
      <w:r w:rsidR="00FE50A4">
        <w:rPr>
          <w:rFonts w:cs="Calibri"/>
        </w:rPr>
        <w:t xml:space="preserve"> employers</w:t>
      </w:r>
      <w:r w:rsidR="00AE7566">
        <w:rPr>
          <w:rFonts w:cs="Calibri"/>
        </w:rPr>
        <w:t xml:space="preserve">.  Therefore, it was more difficult to meet this metric.  </w:t>
      </w:r>
      <w:r w:rsidR="0081205E">
        <w:rPr>
          <w:rFonts w:cs="Calibri"/>
        </w:rPr>
        <w:t xml:space="preserve">Although this </w:t>
      </w:r>
      <w:r w:rsidR="00DC7E96">
        <w:rPr>
          <w:rFonts w:cs="Calibri"/>
        </w:rPr>
        <w:t>category for average penalty was lower, p</w:t>
      </w:r>
      <w:r w:rsidR="00BD6E9D">
        <w:rPr>
          <w:rFonts w:cs="Calibri"/>
        </w:rPr>
        <w:t xml:space="preserve">enalties in Alaska were </w:t>
      </w:r>
      <w:r w:rsidR="00DC7E96">
        <w:rPr>
          <w:rFonts w:cs="Calibri"/>
        </w:rPr>
        <w:t xml:space="preserve">generally </w:t>
      </w:r>
      <w:r w:rsidR="00BD6E9D">
        <w:rPr>
          <w:rFonts w:cs="Calibri"/>
        </w:rPr>
        <w:t xml:space="preserve">within or slightly above the FRL.  </w:t>
      </w:r>
      <w:r w:rsidR="00AE7566">
        <w:rPr>
          <w:rFonts w:cs="Calibri"/>
        </w:rPr>
        <w:t xml:space="preserve">OSHA will continue to monitor this metric during quarterly meetings. </w:t>
      </w:r>
    </w:p>
    <w:p w14:paraId="11226D27" w14:textId="77777777" w:rsidR="00D0737D" w:rsidRDefault="00D0737D">
      <w:pPr>
        <w:widowControl/>
        <w:rPr>
          <w:rFonts w:cs="Calibri"/>
          <w:b/>
          <w:bCs/>
        </w:rPr>
      </w:pPr>
    </w:p>
    <w:p w14:paraId="4F38E135" w14:textId="14F5B1E1" w:rsidR="00552277" w:rsidRDefault="00552277" w:rsidP="00552277">
      <w:pPr>
        <w:widowControl/>
        <w:rPr>
          <w:rFonts w:cs="Calibri"/>
          <w:b/>
          <w:bCs/>
        </w:rPr>
      </w:pPr>
      <w:r w:rsidRPr="00C52BC6">
        <w:rPr>
          <w:rFonts w:cs="Calibri"/>
          <w:b/>
          <w:bCs/>
        </w:rPr>
        <w:t>SAMM</w:t>
      </w:r>
      <w:r>
        <w:rPr>
          <w:rFonts w:cs="Calibri"/>
          <w:b/>
          <w:bCs/>
        </w:rPr>
        <w:t xml:space="preserve"> 8d – Average current serious penalty in private sector (</w:t>
      </w:r>
      <w:r w:rsidR="00095282">
        <w:rPr>
          <w:rFonts w:cs="Calibri"/>
          <w:b/>
          <w:bCs/>
        </w:rPr>
        <w:t xml:space="preserve">greater than 250 </w:t>
      </w:r>
      <w:r>
        <w:rPr>
          <w:rFonts w:cs="Calibri"/>
          <w:b/>
          <w:bCs/>
        </w:rPr>
        <w:t>workers)</w:t>
      </w:r>
    </w:p>
    <w:p w14:paraId="54247D27" w14:textId="77777777" w:rsidR="00552277" w:rsidRDefault="00552277" w:rsidP="00552277">
      <w:pPr>
        <w:widowControl/>
        <w:rPr>
          <w:rFonts w:cs="Calibri"/>
          <w:b/>
          <w:bCs/>
        </w:rPr>
      </w:pPr>
    </w:p>
    <w:p w14:paraId="16E22546" w14:textId="095383FF" w:rsidR="00552277" w:rsidRPr="001C071A" w:rsidRDefault="00552277" w:rsidP="00552277">
      <w:pPr>
        <w:widowControl/>
        <w:rPr>
          <w:rFonts w:cs="Calibri"/>
        </w:rPr>
      </w:pPr>
      <w:r w:rsidRPr="00510361">
        <w:rPr>
          <w:rFonts w:cs="Calibri"/>
          <w:b/>
          <w:bCs/>
        </w:rPr>
        <w:t xml:space="preserve">Discussion of </w:t>
      </w:r>
      <w:r w:rsidR="004F1D0C">
        <w:rPr>
          <w:rFonts w:cs="Calibri"/>
          <w:b/>
          <w:bCs/>
        </w:rPr>
        <w:t>AKOSH’s</w:t>
      </w:r>
      <w:r w:rsidRPr="00510361">
        <w:rPr>
          <w:rFonts w:cs="Calibri"/>
          <w:b/>
          <w:bCs/>
        </w:rPr>
        <w:t xml:space="preserve"> data and FRL:</w:t>
      </w:r>
      <w:r w:rsidRPr="009E5338">
        <w:rPr>
          <w:rFonts w:cs="Calibri"/>
        </w:rPr>
        <w:t xml:space="preserve"> </w:t>
      </w:r>
      <w:r w:rsidRPr="00A7132E">
        <w:rPr>
          <w:rFonts w:cs="Calibri"/>
        </w:rPr>
        <w:t xml:space="preserve">The FRL for </w:t>
      </w:r>
      <w:r>
        <w:rPr>
          <w:rFonts w:cs="Calibri"/>
        </w:rPr>
        <w:t>the average current penalty fo</w:t>
      </w:r>
      <w:r w:rsidR="00095282">
        <w:rPr>
          <w:rFonts w:cs="Calibri"/>
        </w:rPr>
        <w:t>r 250+</w:t>
      </w:r>
      <w:r>
        <w:rPr>
          <w:rFonts w:cs="Calibri"/>
        </w:rPr>
        <w:t xml:space="preserve"> workers was</w:t>
      </w:r>
      <w:r w:rsidRPr="00A7132E">
        <w:rPr>
          <w:rFonts w:cs="Calibri"/>
        </w:rPr>
        <w:t xml:space="preserve"> +/- </w:t>
      </w:r>
      <w:r>
        <w:rPr>
          <w:rFonts w:cs="Calibri"/>
        </w:rPr>
        <w:t>2</w:t>
      </w:r>
      <w:r w:rsidRPr="00A7132E">
        <w:rPr>
          <w:rFonts w:cs="Calibri"/>
        </w:rPr>
        <w:t>5%</w:t>
      </w:r>
      <w:r>
        <w:rPr>
          <w:rFonts w:cs="Calibri"/>
        </w:rPr>
        <w:t xml:space="preserve"> of $</w:t>
      </w:r>
      <w:r w:rsidR="00095282">
        <w:rPr>
          <w:rFonts w:cs="Calibri"/>
        </w:rPr>
        <w:t>7,533.58</w:t>
      </w:r>
      <w:r>
        <w:rPr>
          <w:rFonts w:cs="Calibri"/>
        </w:rPr>
        <w:t>, which was based on a three-year national average and provides a range of $</w:t>
      </w:r>
      <w:r w:rsidR="000954EF">
        <w:rPr>
          <w:rFonts w:cs="Calibri"/>
        </w:rPr>
        <w:t xml:space="preserve">5,650.19 </w:t>
      </w:r>
      <w:r>
        <w:rPr>
          <w:rFonts w:cs="Calibri"/>
        </w:rPr>
        <w:t>to $</w:t>
      </w:r>
      <w:r w:rsidR="000954EF">
        <w:rPr>
          <w:rFonts w:cs="Calibri"/>
        </w:rPr>
        <w:t>9,416.98</w:t>
      </w:r>
      <w:r>
        <w:rPr>
          <w:rFonts w:cs="Calibri"/>
        </w:rPr>
        <w:t xml:space="preserve">.  </w:t>
      </w:r>
      <w:r w:rsidR="00013E89">
        <w:rPr>
          <w:rFonts w:cs="Calibri"/>
        </w:rPr>
        <w:t>In Alaska, e</w:t>
      </w:r>
      <w:r>
        <w:rPr>
          <w:rFonts w:cs="Calibri"/>
        </w:rPr>
        <w:t xml:space="preserve">mployers with </w:t>
      </w:r>
      <w:r w:rsidR="000954EF">
        <w:rPr>
          <w:rFonts w:cs="Calibri"/>
        </w:rPr>
        <w:t xml:space="preserve">greater than </w:t>
      </w:r>
      <w:r>
        <w:rPr>
          <w:rFonts w:cs="Calibri"/>
        </w:rPr>
        <w:t>250 workers were penalized at an average of $</w:t>
      </w:r>
      <w:r w:rsidR="000954EF">
        <w:rPr>
          <w:rFonts w:cs="Calibri"/>
        </w:rPr>
        <w:t>10,153.92</w:t>
      </w:r>
      <w:r>
        <w:rPr>
          <w:rFonts w:cs="Calibri"/>
        </w:rPr>
        <w:t xml:space="preserve"> per serious violation, which was </w:t>
      </w:r>
      <w:r w:rsidR="000954EF">
        <w:rPr>
          <w:rFonts w:cs="Calibri"/>
        </w:rPr>
        <w:t>above</w:t>
      </w:r>
      <w:r>
        <w:rPr>
          <w:rFonts w:cs="Calibri"/>
        </w:rPr>
        <w:t xml:space="preserve"> the FRL range.  </w:t>
      </w:r>
    </w:p>
    <w:p w14:paraId="7CBCBBAD" w14:textId="77777777" w:rsidR="00552277" w:rsidRDefault="00552277" w:rsidP="00552277">
      <w:pPr>
        <w:widowControl/>
        <w:rPr>
          <w:rFonts w:cs="Calibri"/>
          <w:color w:val="FF0000"/>
        </w:rPr>
      </w:pPr>
    </w:p>
    <w:p w14:paraId="6F78E676" w14:textId="1C745EF1" w:rsidR="00552277" w:rsidRPr="001C071A" w:rsidRDefault="00552277" w:rsidP="00552277">
      <w:pPr>
        <w:rPr>
          <w:rFonts w:cs="Calibri"/>
        </w:rPr>
      </w:pPr>
      <w:r w:rsidRPr="00510361">
        <w:rPr>
          <w:rFonts w:cs="Calibri"/>
          <w:b/>
          <w:bCs/>
        </w:rPr>
        <w:t>Explanation:</w:t>
      </w:r>
      <w:r w:rsidRPr="001C071A">
        <w:rPr>
          <w:rFonts w:cs="Calibri"/>
        </w:rPr>
        <w:t xml:space="preserve">  </w:t>
      </w:r>
      <w:r w:rsidR="00F6408B">
        <w:rPr>
          <w:rFonts w:cs="Calibri"/>
        </w:rPr>
        <w:t xml:space="preserve">AKOSH’s average current penalty for serious citations </w:t>
      </w:r>
      <w:r w:rsidR="006D5585">
        <w:rPr>
          <w:rFonts w:cs="Calibri"/>
        </w:rPr>
        <w:t xml:space="preserve">for private sector employers with over 250 workers </w:t>
      </w:r>
      <w:r w:rsidR="00F6408B">
        <w:rPr>
          <w:rFonts w:cs="Calibri"/>
        </w:rPr>
        <w:t>was slightly greater than the national average</w:t>
      </w:r>
      <w:r w:rsidR="00780AF8">
        <w:rPr>
          <w:rFonts w:cs="Calibri"/>
        </w:rPr>
        <w:t xml:space="preserve">.  This employer population size was limited, which contributed to </w:t>
      </w:r>
      <w:r w:rsidR="000C6C78">
        <w:rPr>
          <w:rFonts w:cs="Calibri"/>
        </w:rPr>
        <w:t xml:space="preserve">being above the FRL.  This </w:t>
      </w:r>
      <w:r w:rsidR="00023EA7">
        <w:rPr>
          <w:rFonts w:cs="Calibri"/>
        </w:rPr>
        <w:t>was</w:t>
      </w:r>
      <w:r w:rsidR="00F6408B">
        <w:rPr>
          <w:rFonts w:cs="Calibri"/>
        </w:rPr>
        <w:t xml:space="preserve"> not a cause for concern.  OSHA will continue to monitor this metric </w:t>
      </w:r>
      <w:r w:rsidR="000C6C78">
        <w:rPr>
          <w:rFonts w:cs="Calibri"/>
        </w:rPr>
        <w:t>through the SAMM report</w:t>
      </w:r>
      <w:r w:rsidR="00F6408B">
        <w:rPr>
          <w:rFonts w:cs="Calibri"/>
        </w:rPr>
        <w:t xml:space="preserve">.  </w:t>
      </w:r>
    </w:p>
    <w:p w14:paraId="360AEBBF" w14:textId="77777777" w:rsidR="00552277" w:rsidRDefault="00552277">
      <w:pPr>
        <w:widowControl/>
        <w:rPr>
          <w:rFonts w:cs="Calibri"/>
          <w:b/>
          <w:bCs/>
        </w:rPr>
      </w:pPr>
    </w:p>
    <w:p w14:paraId="345C1289" w14:textId="21853203" w:rsidR="00D0737D" w:rsidRDefault="00752C77">
      <w:pPr>
        <w:widowControl/>
        <w:rPr>
          <w:rFonts w:cs="Calibri"/>
          <w:b/>
          <w:bCs/>
        </w:rPr>
      </w:pPr>
      <w:r>
        <w:rPr>
          <w:rFonts w:cs="Calibri"/>
        </w:rPr>
        <w:t>AKOSH’s penalties in relation to the FRL for each category of employer sizes is provided in Appendix D under SAMM 8</w:t>
      </w:r>
      <w:r w:rsidR="00552277">
        <w:rPr>
          <w:rFonts w:cs="Calibri"/>
        </w:rPr>
        <w:t xml:space="preserve">.  </w:t>
      </w:r>
    </w:p>
    <w:p w14:paraId="6609D653" w14:textId="77777777" w:rsidR="008A036B" w:rsidRDefault="008A036B">
      <w:pPr>
        <w:widowControl/>
        <w:rPr>
          <w:rFonts w:cs="Calibri"/>
        </w:rPr>
      </w:pPr>
    </w:p>
    <w:p w14:paraId="0AB18162" w14:textId="77777777" w:rsidR="00652E3D" w:rsidRDefault="002A2FF1">
      <w:pPr>
        <w:rPr>
          <w:rFonts w:cs="Calibri"/>
          <w:b/>
          <w:bCs/>
        </w:rPr>
      </w:pPr>
      <w:r>
        <w:rPr>
          <w:rFonts w:cs="Calibri"/>
          <w:b/>
          <w:bCs/>
        </w:rPr>
        <w:t>SAMM 13 – Percent of initial inspections with worker walk around representation or worker interview</w:t>
      </w:r>
    </w:p>
    <w:p w14:paraId="0AB18163" w14:textId="77777777" w:rsidR="00652E3D" w:rsidRDefault="00652E3D">
      <w:pPr>
        <w:rPr>
          <w:rFonts w:cs="Calibri"/>
          <w:u w:val="single"/>
        </w:rPr>
      </w:pPr>
    </w:p>
    <w:p w14:paraId="0AB18164" w14:textId="735E409A" w:rsidR="00652E3D" w:rsidRPr="00B93EB8" w:rsidRDefault="002A2FF1">
      <w:pPr>
        <w:rPr>
          <w:rFonts w:cs="Calibri"/>
          <w:color w:val="FF0000"/>
        </w:rPr>
      </w:pPr>
      <w:r w:rsidRPr="58E56772">
        <w:rPr>
          <w:rFonts w:cs="Calibri"/>
          <w:b/>
          <w:bCs/>
        </w:rPr>
        <w:t xml:space="preserve">Discussion of </w:t>
      </w:r>
      <w:r w:rsidR="004F1D0C">
        <w:rPr>
          <w:rFonts w:cs="Calibri"/>
          <w:b/>
          <w:bCs/>
        </w:rPr>
        <w:t>AKOSH’s</w:t>
      </w:r>
      <w:r w:rsidRPr="58E56772">
        <w:rPr>
          <w:rFonts w:cs="Calibri"/>
          <w:b/>
          <w:bCs/>
        </w:rPr>
        <w:t xml:space="preserve"> data and FRL:</w:t>
      </w:r>
      <w:r w:rsidRPr="00B93EB8">
        <w:rPr>
          <w:rFonts w:cs="Calibri"/>
        </w:rPr>
        <w:t xml:space="preserve"> </w:t>
      </w:r>
      <w:r w:rsidR="00EE1D56" w:rsidRPr="00B93EB8">
        <w:rPr>
          <w:rFonts w:cs="Calibri"/>
        </w:rPr>
        <w:t xml:space="preserve">The FRL is fixed at 100% for all </w:t>
      </w:r>
      <w:r w:rsidR="00F4481A">
        <w:rPr>
          <w:rFonts w:cs="Calibri"/>
        </w:rPr>
        <w:t>s</w:t>
      </w:r>
      <w:r w:rsidR="00EE1D56" w:rsidRPr="00B93EB8">
        <w:rPr>
          <w:rFonts w:cs="Calibri"/>
        </w:rPr>
        <w:t xml:space="preserve">tate </w:t>
      </w:r>
      <w:r w:rsidR="00F4481A">
        <w:rPr>
          <w:rFonts w:cs="Calibri"/>
        </w:rPr>
        <w:t>p</w:t>
      </w:r>
      <w:r w:rsidR="00F4481A" w:rsidRPr="00B93EB8">
        <w:rPr>
          <w:rFonts w:cs="Calibri"/>
        </w:rPr>
        <w:t>lans</w:t>
      </w:r>
      <w:r w:rsidR="00EE1D56" w:rsidRPr="00B93EB8">
        <w:rPr>
          <w:rFonts w:cs="Calibri"/>
        </w:rPr>
        <w:t>.</w:t>
      </w:r>
      <w:r w:rsidRPr="00B93EB8">
        <w:rPr>
          <w:rFonts w:cs="Calibri"/>
        </w:rPr>
        <w:t xml:space="preserve"> </w:t>
      </w:r>
      <w:r w:rsidR="00EE1D56" w:rsidRPr="00B93EB8">
        <w:rPr>
          <w:rFonts w:cs="Calibri"/>
        </w:rPr>
        <w:t xml:space="preserve"> </w:t>
      </w:r>
      <w:r w:rsidRPr="00B93EB8">
        <w:rPr>
          <w:rFonts w:cs="Calibri"/>
        </w:rPr>
        <w:t>AKOSH’s percent of initial inspections with employee walk</w:t>
      </w:r>
      <w:r w:rsidR="05D119CD" w:rsidRPr="58E56772">
        <w:rPr>
          <w:rFonts w:cs="Calibri"/>
        </w:rPr>
        <w:t>-</w:t>
      </w:r>
      <w:r w:rsidRPr="00B93EB8">
        <w:rPr>
          <w:rFonts w:cs="Calibri"/>
        </w:rPr>
        <w:t>around representation or employee interview was</w:t>
      </w:r>
      <w:r w:rsidR="003A250C" w:rsidRPr="00B93EB8">
        <w:rPr>
          <w:rFonts w:cs="Calibri"/>
        </w:rPr>
        <w:t xml:space="preserve"> </w:t>
      </w:r>
      <w:r w:rsidR="002F2D58" w:rsidRPr="00B93EB8">
        <w:rPr>
          <w:rFonts w:cs="Calibri"/>
        </w:rPr>
        <w:t>94.40</w:t>
      </w:r>
      <w:r w:rsidR="003A250C" w:rsidRPr="00B93EB8">
        <w:rPr>
          <w:rFonts w:cs="Calibri"/>
        </w:rPr>
        <w:t>%</w:t>
      </w:r>
      <w:r w:rsidRPr="00B93EB8">
        <w:rPr>
          <w:rFonts w:cs="Calibri"/>
        </w:rPr>
        <w:t>, which was below the FRL</w:t>
      </w:r>
      <w:r w:rsidR="00EE1D56" w:rsidRPr="00B93EB8">
        <w:rPr>
          <w:rFonts w:cs="Calibri"/>
        </w:rPr>
        <w:t>.</w:t>
      </w:r>
    </w:p>
    <w:p w14:paraId="0AB18165" w14:textId="77777777" w:rsidR="00652E3D" w:rsidRPr="00B93EB8" w:rsidRDefault="00652E3D">
      <w:pPr>
        <w:rPr>
          <w:rFonts w:cs="Calibri"/>
          <w:color w:val="FF0000"/>
        </w:rPr>
      </w:pPr>
    </w:p>
    <w:p w14:paraId="0AB18166" w14:textId="6C7919C1" w:rsidR="00652E3D" w:rsidRPr="001749AB" w:rsidRDefault="002A2FF1">
      <w:pPr>
        <w:rPr>
          <w:rFonts w:cs="Calibri"/>
        </w:rPr>
      </w:pPr>
      <w:r w:rsidRPr="00510361">
        <w:rPr>
          <w:rFonts w:cs="Calibri"/>
          <w:b/>
          <w:bCs/>
        </w:rPr>
        <w:t>Explanation:</w:t>
      </w:r>
      <w:r w:rsidRPr="001749AB">
        <w:rPr>
          <w:rFonts w:cs="Calibri"/>
        </w:rPr>
        <w:t xml:space="preserve"> AKOSH explained that</w:t>
      </w:r>
      <w:r w:rsidR="00367F39">
        <w:rPr>
          <w:rFonts w:cs="Calibri"/>
        </w:rPr>
        <w:t xml:space="preserve"> outliers </w:t>
      </w:r>
      <w:r w:rsidR="00EE0CFA">
        <w:rPr>
          <w:rFonts w:cs="Calibri"/>
        </w:rPr>
        <w:t>could be attributed to</w:t>
      </w:r>
      <w:r w:rsidR="00367F39">
        <w:rPr>
          <w:rFonts w:cs="Calibri"/>
        </w:rPr>
        <w:t xml:space="preserve"> </w:t>
      </w:r>
      <w:r w:rsidR="000C6C78">
        <w:rPr>
          <w:rFonts w:cs="Calibri"/>
        </w:rPr>
        <w:t>recordkeeping and reporting</w:t>
      </w:r>
      <w:r w:rsidR="00E34F38">
        <w:rPr>
          <w:rFonts w:cs="Calibri"/>
        </w:rPr>
        <w:t>-related</w:t>
      </w:r>
      <w:r w:rsidR="00367F39">
        <w:rPr>
          <w:rFonts w:cs="Calibri"/>
        </w:rPr>
        <w:t xml:space="preserve"> inspection</w:t>
      </w:r>
      <w:r w:rsidR="008E75E3">
        <w:rPr>
          <w:rFonts w:cs="Calibri"/>
        </w:rPr>
        <w:t>s</w:t>
      </w:r>
      <w:r w:rsidR="002B28C5">
        <w:rPr>
          <w:rFonts w:cs="Calibri"/>
        </w:rPr>
        <w:t>,</w:t>
      </w:r>
      <w:r w:rsidR="00773864">
        <w:rPr>
          <w:rFonts w:cs="Calibri"/>
        </w:rPr>
        <w:t xml:space="preserve"> </w:t>
      </w:r>
      <w:r w:rsidR="00E34F38">
        <w:rPr>
          <w:rFonts w:cs="Calibri"/>
        </w:rPr>
        <w:t>such as</w:t>
      </w:r>
      <w:r w:rsidR="00773864">
        <w:rPr>
          <w:rFonts w:cs="Calibri"/>
        </w:rPr>
        <w:t xml:space="preserve"> an employer fail</w:t>
      </w:r>
      <w:r w:rsidR="00E34F38">
        <w:rPr>
          <w:rFonts w:cs="Calibri"/>
        </w:rPr>
        <w:t>ing</w:t>
      </w:r>
      <w:r w:rsidR="00773864">
        <w:rPr>
          <w:rFonts w:cs="Calibri"/>
        </w:rPr>
        <w:t xml:space="preserve"> to report an injury, and an inspection was initiated over the phone.  In these instances, AKOSH would </w:t>
      </w:r>
      <w:r w:rsidR="00BF6406">
        <w:rPr>
          <w:rFonts w:cs="Calibri"/>
        </w:rPr>
        <w:t xml:space="preserve">not interview any employee other than the employer representative.  </w:t>
      </w:r>
      <w:r w:rsidR="00C44E07">
        <w:rPr>
          <w:rFonts w:cs="Calibri"/>
        </w:rPr>
        <w:t xml:space="preserve">This does not rise to the level of an observation at this time and </w:t>
      </w:r>
      <w:r w:rsidR="00BF6406">
        <w:rPr>
          <w:rFonts w:cs="Calibri"/>
        </w:rPr>
        <w:t xml:space="preserve">will continue to be monitored by OSHA.  </w:t>
      </w:r>
    </w:p>
    <w:p w14:paraId="0AB18167" w14:textId="77777777" w:rsidR="00652E3D" w:rsidRDefault="00652E3D">
      <w:pPr>
        <w:rPr>
          <w:rFonts w:cs="Calibri"/>
          <w:color w:val="FF0000"/>
        </w:rPr>
      </w:pPr>
    </w:p>
    <w:p w14:paraId="5F791E9C" w14:textId="5BE12D6B" w:rsidR="005E78C6" w:rsidRDefault="005E78C6" w:rsidP="005E78C6">
      <w:pPr>
        <w:rPr>
          <w:rFonts w:cs="Calibri"/>
          <w:b/>
          <w:bCs/>
        </w:rPr>
      </w:pPr>
      <w:r>
        <w:rPr>
          <w:rFonts w:cs="Calibri"/>
          <w:b/>
          <w:bCs/>
        </w:rPr>
        <w:t>SAMM 17 – Percent of enforcement presence</w:t>
      </w:r>
    </w:p>
    <w:p w14:paraId="44982C80" w14:textId="77777777" w:rsidR="005E78C6" w:rsidRDefault="005E78C6" w:rsidP="005E78C6">
      <w:pPr>
        <w:rPr>
          <w:rFonts w:cs="Calibri"/>
          <w:u w:val="single"/>
        </w:rPr>
      </w:pPr>
    </w:p>
    <w:p w14:paraId="6B9969D4" w14:textId="7AD0EFF0" w:rsidR="005C3E86" w:rsidRDefault="007E38ED" w:rsidP="007E38ED">
      <w:pPr>
        <w:widowControl/>
        <w:rPr>
          <w:rFonts w:cs="Calibri"/>
        </w:rPr>
      </w:pPr>
      <w:r w:rsidRPr="00510361">
        <w:rPr>
          <w:rFonts w:cs="Calibri"/>
          <w:b/>
          <w:bCs/>
        </w:rPr>
        <w:t xml:space="preserve">Discussion of </w:t>
      </w:r>
      <w:r w:rsidR="004F1D0C">
        <w:rPr>
          <w:rFonts w:cs="Calibri"/>
          <w:b/>
          <w:bCs/>
        </w:rPr>
        <w:t>AKOSH’s</w:t>
      </w:r>
      <w:r w:rsidRPr="00510361">
        <w:rPr>
          <w:rFonts w:cs="Calibri"/>
          <w:b/>
          <w:bCs/>
        </w:rPr>
        <w:t xml:space="preserve"> Data and FRL:</w:t>
      </w:r>
      <w:r w:rsidRPr="007E38ED">
        <w:rPr>
          <w:rFonts w:cs="Calibri"/>
        </w:rPr>
        <w:t xml:space="preserve">  </w:t>
      </w:r>
      <w:r w:rsidR="005C3E86">
        <w:rPr>
          <w:rFonts w:cs="Calibri"/>
        </w:rPr>
        <w:t xml:space="preserve">The FRL for percent of enforcement presence is +/- </w:t>
      </w:r>
      <w:r w:rsidR="00C61F45">
        <w:rPr>
          <w:rFonts w:cs="Calibri"/>
        </w:rPr>
        <w:t>2</w:t>
      </w:r>
      <w:r w:rsidR="005C3E86">
        <w:rPr>
          <w:rFonts w:cs="Calibri"/>
        </w:rPr>
        <w:t xml:space="preserve">5% of </w:t>
      </w:r>
      <w:r w:rsidR="00C61F45">
        <w:rPr>
          <w:rFonts w:cs="Calibri"/>
        </w:rPr>
        <w:t>1.00</w:t>
      </w:r>
      <w:r w:rsidR="005C3E86">
        <w:rPr>
          <w:rFonts w:cs="Calibri"/>
        </w:rPr>
        <w:t xml:space="preserve">%, which was based on a three-year national average and provides a range of </w:t>
      </w:r>
      <w:r w:rsidR="00C61F45">
        <w:rPr>
          <w:rFonts w:cs="Calibri"/>
        </w:rPr>
        <w:t>0.75%</w:t>
      </w:r>
      <w:r w:rsidR="005C3E86">
        <w:rPr>
          <w:rFonts w:cs="Calibri"/>
        </w:rPr>
        <w:t xml:space="preserve"> to </w:t>
      </w:r>
      <w:r w:rsidR="00C61F45">
        <w:rPr>
          <w:rFonts w:cs="Calibri"/>
        </w:rPr>
        <w:t>1.25%</w:t>
      </w:r>
      <w:r w:rsidR="005C3E86">
        <w:rPr>
          <w:rFonts w:cs="Calibri"/>
        </w:rPr>
        <w:t>.  According to Appendix D, AKOSH</w:t>
      </w:r>
      <w:r w:rsidR="00C61F45">
        <w:rPr>
          <w:rFonts w:cs="Calibri"/>
        </w:rPr>
        <w:t xml:space="preserve">’s enforcement presence was 1.56% and above the FRL. </w:t>
      </w:r>
    </w:p>
    <w:p w14:paraId="14179D74" w14:textId="77777777" w:rsidR="007E38ED" w:rsidRPr="007E38ED" w:rsidRDefault="007E38ED" w:rsidP="007E38ED">
      <w:pPr>
        <w:widowControl/>
        <w:rPr>
          <w:rFonts w:cs="Calibri"/>
        </w:rPr>
      </w:pPr>
      <w:r w:rsidRPr="007E38ED">
        <w:rPr>
          <w:rFonts w:cs="Calibri"/>
        </w:rPr>
        <w:t>  </w:t>
      </w:r>
    </w:p>
    <w:p w14:paraId="69002582" w14:textId="4057A84A" w:rsidR="007E38ED" w:rsidRPr="007E38ED" w:rsidRDefault="007E38ED" w:rsidP="007E38ED">
      <w:pPr>
        <w:widowControl/>
        <w:rPr>
          <w:rFonts w:cs="Calibri"/>
        </w:rPr>
      </w:pPr>
      <w:r w:rsidRPr="00510361">
        <w:rPr>
          <w:rFonts w:cs="Calibri"/>
          <w:b/>
          <w:bCs/>
        </w:rPr>
        <w:t>Explanation:</w:t>
      </w:r>
      <w:r w:rsidRPr="007E38ED">
        <w:rPr>
          <w:rFonts w:cs="Calibri"/>
        </w:rPr>
        <w:t>  The percent of enforcement presence describes the number of safety and health inspections conducted compared to the number of employer establishments in the state.  In FY 2024</w:t>
      </w:r>
      <w:r w:rsidR="6BAC32B7" w:rsidRPr="7152EC0E">
        <w:rPr>
          <w:rFonts w:cs="Calibri"/>
        </w:rPr>
        <w:t>,</w:t>
      </w:r>
      <w:r w:rsidRPr="007E38ED">
        <w:rPr>
          <w:rFonts w:cs="Calibri"/>
        </w:rPr>
        <w:t xml:space="preserve"> </w:t>
      </w:r>
      <w:r w:rsidR="00A32EC5">
        <w:rPr>
          <w:rFonts w:cs="Calibri"/>
        </w:rPr>
        <w:t>Alaska’s</w:t>
      </w:r>
      <w:r w:rsidRPr="007E38ED">
        <w:rPr>
          <w:rFonts w:cs="Calibri"/>
        </w:rPr>
        <w:t xml:space="preserve"> enforcement presence was </w:t>
      </w:r>
      <w:r w:rsidR="007A4860">
        <w:rPr>
          <w:rFonts w:cs="Calibri"/>
        </w:rPr>
        <w:t>1.56%</w:t>
      </w:r>
      <w:r w:rsidRPr="007E38ED">
        <w:rPr>
          <w:rFonts w:cs="Calibri"/>
        </w:rPr>
        <w:t xml:space="preserve"> and </w:t>
      </w:r>
      <w:r w:rsidR="007A4860">
        <w:rPr>
          <w:rFonts w:cs="Calibri"/>
        </w:rPr>
        <w:t>above</w:t>
      </w:r>
      <w:r w:rsidRPr="007E38ED">
        <w:rPr>
          <w:rFonts w:cs="Calibri"/>
        </w:rPr>
        <w:t xml:space="preserve"> the FRL.  </w:t>
      </w:r>
      <w:r w:rsidR="00E94AD1">
        <w:rPr>
          <w:rFonts w:cs="Calibri"/>
        </w:rPr>
        <w:t xml:space="preserve">AKOSH explained that if there were resources available, they would likely conduct an inspection in lieu of an </w:t>
      </w:r>
      <w:r w:rsidR="001D6733">
        <w:rPr>
          <w:rFonts w:cs="Calibri"/>
        </w:rPr>
        <w:t>investigation</w:t>
      </w:r>
      <w:r w:rsidR="00E94AD1">
        <w:rPr>
          <w:rFonts w:cs="Calibri"/>
        </w:rPr>
        <w:t xml:space="preserve">.  </w:t>
      </w:r>
      <w:r w:rsidRPr="007E38ED">
        <w:rPr>
          <w:rFonts w:cs="Calibri"/>
        </w:rPr>
        <w:t xml:space="preserve">This </w:t>
      </w:r>
      <w:r w:rsidR="006F0F28">
        <w:rPr>
          <w:rFonts w:cs="Calibri"/>
        </w:rPr>
        <w:t>wa</w:t>
      </w:r>
      <w:r w:rsidRPr="007E38ED">
        <w:rPr>
          <w:rFonts w:cs="Calibri"/>
        </w:rPr>
        <w:t xml:space="preserve">s </w:t>
      </w:r>
      <w:r w:rsidR="00C82D91">
        <w:rPr>
          <w:rFonts w:cs="Calibri"/>
        </w:rPr>
        <w:t>an increase</w:t>
      </w:r>
      <w:r w:rsidRPr="007E38ED">
        <w:rPr>
          <w:rFonts w:cs="Calibri"/>
        </w:rPr>
        <w:t xml:space="preserve"> from </w:t>
      </w:r>
      <w:r w:rsidR="00C82D91">
        <w:rPr>
          <w:rFonts w:cs="Calibri"/>
        </w:rPr>
        <w:t>1.52</w:t>
      </w:r>
      <w:r w:rsidRPr="007E38ED">
        <w:rPr>
          <w:rFonts w:cs="Calibri"/>
        </w:rPr>
        <w:t>% in FY 2023</w:t>
      </w:r>
      <w:r w:rsidR="006F0F28">
        <w:rPr>
          <w:rFonts w:cs="Calibri"/>
        </w:rPr>
        <w:t xml:space="preserve"> and indicates</w:t>
      </w:r>
      <w:r w:rsidRPr="007E38ED">
        <w:rPr>
          <w:rFonts w:cs="Calibri"/>
        </w:rPr>
        <w:t xml:space="preserve"> that A</w:t>
      </w:r>
      <w:r w:rsidR="00395516">
        <w:rPr>
          <w:rFonts w:cs="Calibri"/>
        </w:rPr>
        <w:t>K</w:t>
      </w:r>
      <w:r w:rsidRPr="007E38ED">
        <w:rPr>
          <w:rFonts w:cs="Calibri"/>
        </w:rPr>
        <w:t xml:space="preserve">OSH reached </w:t>
      </w:r>
      <w:r w:rsidR="00395516">
        <w:rPr>
          <w:rFonts w:cs="Calibri"/>
        </w:rPr>
        <w:t>more</w:t>
      </w:r>
      <w:r w:rsidRPr="007E38ED">
        <w:rPr>
          <w:rFonts w:cs="Calibri"/>
        </w:rPr>
        <w:t xml:space="preserve"> employers with enforcement activity than the national average.  </w:t>
      </w:r>
    </w:p>
    <w:p w14:paraId="28F32B35" w14:textId="77777777" w:rsidR="00652E3D" w:rsidDel="00FE4CF4" w:rsidRDefault="00652E3D">
      <w:pPr>
        <w:widowControl/>
        <w:autoSpaceDE/>
        <w:autoSpaceDN/>
        <w:adjustRightInd/>
        <w:rPr>
          <w:rFonts w:cs="Calibri"/>
        </w:rPr>
        <w:sectPr w:rsidR="00652E3D" w:rsidDel="00FE4CF4" w:rsidSect="00BA0DFE">
          <w:footerReference w:type="default" r:id="rId19"/>
          <w:footerReference w:type="first" r:id="rId20"/>
          <w:pgSz w:w="12240" w:h="15840"/>
          <w:pgMar w:top="1440" w:right="1440" w:bottom="1440" w:left="1440" w:header="720" w:footer="720" w:gutter="0"/>
          <w:pgNumType w:start="2"/>
          <w:cols w:space="720"/>
          <w:titlePg/>
          <w:docGrid w:linePitch="360"/>
        </w:sectPr>
      </w:pPr>
    </w:p>
    <w:p w14:paraId="0AB1816D" w14:textId="77777777" w:rsidR="00652E3D" w:rsidRDefault="002A2FF1" w:rsidP="009657AD">
      <w:pPr>
        <w:pStyle w:val="Heading3"/>
      </w:pPr>
      <w:bookmarkStart w:id="25" w:name="_Toc118905017"/>
      <w:bookmarkStart w:id="26" w:name="_Toc187654010"/>
      <w:r>
        <w:t>Appendix A – New and Continued Findings and Recommendations</w:t>
      </w:r>
      <w:bookmarkEnd w:id="25"/>
      <w:bookmarkEnd w:id="26"/>
    </w:p>
    <w:p w14:paraId="0AB1816E" w14:textId="59351A95" w:rsidR="00652E3D" w:rsidRDefault="002A2FF1">
      <w:r>
        <w:t>FY 202</w:t>
      </w:r>
      <w:r w:rsidR="00184497">
        <w:t>4</w:t>
      </w:r>
      <w:r>
        <w:t xml:space="preserve"> A</w:t>
      </w:r>
      <w:r w:rsidR="194CC525">
        <w:t>laska Occupational Safety and Health</w:t>
      </w:r>
      <w:r>
        <w:t xml:space="preserve"> Follow-up FAME Report</w:t>
      </w:r>
    </w:p>
    <w:p w14:paraId="0AB1816F" w14:textId="77777777" w:rsidR="00652E3D" w:rsidRDefault="00652E3D">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652E3D" w14:paraId="0AB18175" w14:textId="77777777">
        <w:trPr>
          <w:trHeight w:val="350"/>
        </w:trPr>
        <w:tc>
          <w:tcPr>
            <w:tcW w:w="1440" w:type="dxa"/>
          </w:tcPr>
          <w:p w14:paraId="0AB18170" w14:textId="669F6B85" w:rsidR="00652E3D" w:rsidRPr="00E81D1D" w:rsidRDefault="002A2FF1" w:rsidP="00C633A3">
            <w:pPr>
              <w:widowControl/>
              <w:autoSpaceDE/>
              <w:autoSpaceDN/>
              <w:adjustRightInd/>
              <w:rPr>
                <w:rFonts w:cs="Calibri"/>
                <w:b/>
                <w:sz w:val="22"/>
                <w:szCs w:val="22"/>
              </w:rPr>
            </w:pPr>
            <w:r w:rsidRPr="00E81D1D">
              <w:rPr>
                <w:rFonts w:cs="Calibri"/>
                <w:b/>
                <w:sz w:val="22"/>
                <w:szCs w:val="22"/>
              </w:rPr>
              <w:t>FY 202</w:t>
            </w:r>
            <w:r w:rsidR="009D55A1" w:rsidRPr="00E81D1D">
              <w:rPr>
                <w:rFonts w:cs="Calibri"/>
                <w:b/>
                <w:sz w:val="22"/>
                <w:szCs w:val="22"/>
              </w:rPr>
              <w:t>4</w:t>
            </w:r>
            <w:r w:rsidRPr="00E81D1D">
              <w:rPr>
                <w:rFonts w:cs="Calibri"/>
                <w:b/>
                <w:sz w:val="22"/>
                <w:szCs w:val="22"/>
              </w:rPr>
              <w:t>-#</w:t>
            </w:r>
            <w:r w:rsidR="005A023E">
              <w:rPr>
                <w:rFonts w:cs="Calibri"/>
                <w:b/>
                <w:sz w:val="22"/>
                <w:szCs w:val="22"/>
              </w:rPr>
              <w:t>#</w:t>
            </w:r>
          </w:p>
        </w:tc>
        <w:tc>
          <w:tcPr>
            <w:tcW w:w="4721" w:type="dxa"/>
          </w:tcPr>
          <w:p w14:paraId="0AB18171" w14:textId="77777777" w:rsidR="00652E3D" w:rsidRPr="00E81D1D" w:rsidRDefault="002A2FF1" w:rsidP="00C633A3">
            <w:pPr>
              <w:widowControl/>
              <w:autoSpaceDE/>
              <w:autoSpaceDN/>
              <w:adjustRightInd/>
              <w:rPr>
                <w:rFonts w:cs="Calibri"/>
                <w:b/>
                <w:sz w:val="22"/>
                <w:szCs w:val="22"/>
              </w:rPr>
            </w:pPr>
            <w:r w:rsidRPr="00E81D1D">
              <w:rPr>
                <w:rFonts w:cs="Calibri"/>
                <w:b/>
                <w:sz w:val="22"/>
                <w:szCs w:val="22"/>
              </w:rPr>
              <w:t>Finding</w:t>
            </w:r>
          </w:p>
        </w:tc>
        <w:tc>
          <w:tcPr>
            <w:tcW w:w="4819" w:type="dxa"/>
          </w:tcPr>
          <w:p w14:paraId="0AB18172" w14:textId="77777777" w:rsidR="00652E3D" w:rsidRPr="00E81D1D" w:rsidRDefault="002A2FF1" w:rsidP="00C633A3">
            <w:pPr>
              <w:widowControl/>
              <w:autoSpaceDE/>
              <w:autoSpaceDN/>
              <w:adjustRightInd/>
              <w:rPr>
                <w:rFonts w:cs="Calibri"/>
                <w:b/>
                <w:sz w:val="22"/>
                <w:szCs w:val="22"/>
              </w:rPr>
            </w:pPr>
            <w:r w:rsidRPr="00E81D1D">
              <w:rPr>
                <w:rFonts w:cs="Calibri"/>
                <w:b/>
                <w:sz w:val="22"/>
                <w:szCs w:val="22"/>
              </w:rPr>
              <w:t>Recommendation</w:t>
            </w:r>
          </w:p>
        </w:tc>
        <w:tc>
          <w:tcPr>
            <w:tcW w:w="1890" w:type="dxa"/>
          </w:tcPr>
          <w:p w14:paraId="6EBC64A7" w14:textId="77777777" w:rsidR="00C633A3" w:rsidRPr="00E81D1D" w:rsidRDefault="002A2FF1" w:rsidP="00C633A3">
            <w:pPr>
              <w:widowControl/>
              <w:autoSpaceDE/>
              <w:autoSpaceDN/>
              <w:adjustRightInd/>
              <w:rPr>
                <w:rFonts w:cs="Calibri"/>
                <w:b/>
                <w:sz w:val="22"/>
                <w:szCs w:val="22"/>
              </w:rPr>
            </w:pPr>
            <w:r w:rsidRPr="00E81D1D">
              <w:rPr>
                <w:rFonts w:cs="Calibri"/>
                <w:b/>
                <w:sz w:val="22"/>
                <w:szCs w:val="22"/>
              </w:rPr>
              <w:t xml:space="preserve">FY </w:t>
            </w:r>
            <w:r w:rsidR="00063C24" w:rsidRPr="00E81D1D">
              <w:rPr>
                <w:rFonts w:cs="Calibri"/>
                <w:b/>
                <w:sz w:val="22"/>
                <w:szCs w:val="22"/>
              </w:rPr>
              <w:t>202</w:t>
            </w:r>
            <w:r w:rsidR="009D55A1" w:rsidRPr="00E81D1D">
              <w:rPr>
                <w:rFonts w:cs="Calibri"/>
                <w:b/>
                <w:sz w:val="22"/>
                <w:szCs w:val="22"/>
              </w:rPr>
              <w:t>3</w:t>
            </w:r>
            <w:r w:rsidRPr="00E81D1D">
              <w:rPr>
                <w:rFonts w:cs="Calibri"/>
                <w:b/>
                <w:sz w:val="22"/>
                <w:szCs w:val="22"/>
              </w:rPr>
              <w:t xml:space="preserve">-# or </w:t>
            </w:r>
          </w:p>
          <w:p w14:paraId="0AB18174" w14:textId="3C681F63" w:rsidR="00652E3D" w:rsidRPr="00E81D1D" w:rsidRDefault="002A2FF1" w:rsidP="00C633A3">
            <w:pPr>
              <w:widowControl/>
              <w:autoSpaceDE/>
              <w:autoSpaceDN/>
              <w:adjustRightInd/>
              <w:rPr>
                <w:rFonts w:cs="Calibri"/>
                <w:b/>
                <w:sz w:val="22"/>
                <w:szCs w:val="22"/>
              </w:rPr>
            </w:pPr>
            <w:r w:rsidRPr="00E81D1D">
              <w:rPr>
                <w:rFonts w:cs="Calibri"/>
                <w:b/>
                <w:sz w:val="22"/>
                <w:szCs w:val="22"/>
              </w:rPr>
              <w:t xml:space="preserve">FY </w:t>
            </w:r>
            <w:r w:rsidR="00063C24" w:rsidRPr="00E81D1D">
              <w:rPr>
                <w:rFonts w:cs="Calibri"/>
                <w:b/>
                <w:sz w:val="22"/>
                <w:szCs w:val="22"/>
              </w:rPr>
              <w:t>202</w:t>
            </w:r>
            <w:r w:rsidR="009D55A1" w:rsidRPr="00E81D1D">
              <w:rPr>
                <w:rFonts w:cs="Calibri"/>
                <w:b/>
                <w:sz w:val="22"/>
                <w:szCs w:val="22"/>
              </w:rPr>
              <w:t>3</w:t>
            </w:r>
            <w:r w:rsidRPr="00E81D1D">
              <w:rPr>
                <w:rFonts w:cs="Calibri"/>
                <w:b/>
                <w:sz w:val="22"/>
                <w:szCs w:val="22"/>
              </w:rPr>
              <w:t>-OB-#</w:t>
            </w:r>
          </w:p>
        </w:tc>
      </w:tr>
      <w:tr w:rsidR="00082371" w14:paraId="0AB1817C" w14:textId="77777777">
        <w:tc>
          <w:tcPr>
            <w:tcW w:w="1440" w:type="dxa"/>
          </w:tcPr>
          <w:p w14:paraId="0AB18177" w14:textId="7235E009" w:rsidR="00082371" w:rsidRPr="00E81D1D" w:rsidRDefault="00082371" w:rsidP="00082371">
            <w:pPr>
              <w:widowControl/>
              <w:autoSpaceDE/>
              <w:autoSpaceDN/>
              <w:adjustRightInd/>
              <w:rPr>
                <w:rFonts w:cs="Calibri"/>
                <w:sz w:val="22"/>
                <w:szCs w:val="22"/>
                <w:highlight w:val="yellow"/>
              </w:rPr>
            </w:pPr>
            <w:r w:rsidRPr="00E81D1D">
              <w:rPr>
                <w:rFonts w:asciiTheme="minorHAnsi" w:hAnsiTheme="minorHAnsi" w:cstheme="minorHAnsi"/>
                <w:sz w:val="22"/>
                <w:szCs w:val="22"/>
              </w:rPr>
              <w:t>FY 2024-01</w:t>
            </w:r>
          </w:p>
        </w:tc>
        <w:tc>
          <w:tcPr>
            <w:tcW w:w="4721" w:type="dxa"/>
          </w:tcPr>
          <w:p w14:paraId="0AB18178" w14:textId="53C94813" w:rsidR="00082371" w:rsidRPr="00E81D1D" w:rsidRDefault="00082371" w:rsidP="00082371">
            <w:pPr>
              <w:widowControl/>
              <w:autoSpaceDE/>
              <w:autoSpaceDN/>
              <w:adjustRightInd/>
              <w:rPr>
                <w:rFonts w:cs="Calibri"/>
                <w:sz w:val="22"/>
                <w:szCs w:val="22"/>
              </w:rPr>
            </w:pPr>
            <w:r w:rsidRPr="00E81D1D">
              <w:rPr>
                <w:rFonts w:asciiTheme="minorHAnsi" w:hAnsiTheme="minorHAnsi" w:cstheme="minorHAnsi"/>
                <w:sz w:val="22"/>
                <w:szCs w:val="22"/>
              </w:rPr>
              <w:t>In FY 2023, in 16 out of 53 case files (30%) there were no employee interviews documented.</w:t>
            </w:r>
          </w:p>
        </w:tc>
        <w:tc>
          <w:tcPr>
            <w:tcW w:w="4819" w:type="dxa"/>
          </w:tcPr>
          <w:p w14:paraId="0AB18179" w14:textId="4CC169F1" w:rsidR="00082371" w:rsidRPr="00E81D1D" w:rsidRDefault="00082371" w:rsidP="00082371">
            <w:pPr>
              <w:widowControl/>
              <w:autoSpaceDE/>
              <w:autoSpaceDN/>
              <w:adjustRightInd/>
              <w:rPr>
                <w:rFonts w:cs="Calibri"/>
                <w:sz w:val="22"/>
                <w:szCs w:val="22"/>
              </w:rPr>
            </w:pPr>
            <w:r w:rsidRPr="00E81D1D">
              <w:rPr>
                <w:rFonts w:asciiTheme="minorHAnsi" w:hAnsiTheme="minorHAnsi" w:cstheme="minorHAnsi"/>
                <w:sz w:val="22"/>
                <w:szCs w:val="22"/>
              </w:rPr>
              <w:t>AKOSH should ensure that the inspection site is visited and workplace exposure to hazards including worker involvement is documented in high hazard industries, where injury has occurred, and where NEP and state emphasis programs are coded.</w:t>
            </w:r>
            <w:r w:rsidR="00E438D9">
              <w:rPr>
                <w:rFonts w:asciiTheme="minorHAnsi" w:hAnsiTheme="minorHAnsi" w:cstheme="minorHAnsi"/>
                <w:sz w:val="22"/>
                <w:szCs w:val="22"/>
              </w:rPr>
              <w:t xml:space="preserve"> Corrective action complete, awaiting verification.</w:t>
            </w:r>
          </w:p>
        </w:tc>
        <w:tc>
          <w:tcPr>
            <w:tcW w:w="1890" w:type="dxa"/>
          </w:tcPr>
          <w:p w14:paraId="0AB1817B" w14:textId="0302CA5A" w:rsidR="00082371" w:rsidRPr="00E81D1D" w:rsidRDefault="00082371" w:rsidP="00FD7441">
            <w:pPr>
              <w:widowControl/>
              <w:autoSpaceDE/>
              <w:autoSpaceDN/>
              <w:adjustRightInd/>
              <w:ind w:left="-19"/>
              <w:rPr>
                <w:rFonts w:cs="Calibri"/>
                <w:sz w:val="22"/>
                <w:szCs w:val="22"/>
              </w:rPr>
            </w:pPr>
            <w:r w:rsidRPr="00E81D1D">
              <w:rPr>
                <w:rFonts w:asciiTheme="minorHAnsi" w:hAnsiTheme="minorHAnsi" w:cstheme="minorHAnsi"/>
                <w:sz w:val="22"/>
                <w:szCs w:val="22"/>
              </w:rPr>
              <w:t>FY 2023-01</w:t>
            </w:r>
          </w:p>
        </w:tc>
      </w:tr>
      <w:tr w:rsidR="00DD6E8A" w14:paraId="14152AB5" w14:textId="77777777">
        <w:tc>
          <w:tcPr>
            <w:tcW w:w="1440" w:type="dxa"/>
          </w:tcPr>
          <w:p w14:paraId="669AC933" w14:textId="05CF781E" w:rsidR="00DD6E8A" w:rsidRPr="00E81D1D" w:rsidRDefault="00DD6E8A" w:rsidP="00DD6E8A">
            <w:pPr>
              <w:widowControl/>
              <w:autoSpaceDE/>
              <w:autoSpaceDN/>
              <w:adjustRightInd/>
              <w:rPr>
                <w:rFonts w:cs="Calibri"/>
                <w:sz w:val="22"/>
                <w:szCs w:val="22"/>
              </w:rPr>
            </w:pPr>
            <w:r w:rsidRPr="00E81D1D">
              <w:rPr>
                <w:rFonts w:asciiTheme="minorHAnsi" w:hAnsiTheme="minorHAnsi" w:cstheme="minorHAnsi"/>
                <w:sz w:val="22"/>
                <w:szCs w:val="22"/>
              </w:rPr>
              <w:t>FY 2024-02</w:t>
            </w:r>
          </w:p>
        </w:tc>
        <w:tc>
          <w:tcPr>
            <w:tcW w:w="4721" w:type="dxa"/>
          </w:tcPr>
          <w:p w14:paraId="5B25A04A" w14:textId="0E604153" w:rsidR="00DD6E8A" w:rsidRPr="00E81D1D" w:rsidRDefault="00DD6E8A" w:rsidP="00DD6E8A">
            <w:pPr>
              <w:widowControl/>
              <w:autoSpaceDE/>
              <w:autoSpaceDN/>
              <w:adjustRightInd/>
              <w:rPr>
                <w:rFonts w:cs="Calibri"/>
                <w:sz w:val="22"/>
                <w:szCs w:val="22"/>
              </w:rPr>
            </w:pPr>
            <w:r w:rsidRPr="00E81D1D">
              <w:rPr>
                <w:rFonts w:asciiTheme="minorHAnsi" w:hAnsiTheme="minorHAnsi" w:cstheme="minorHAnsi"/>
                <w:sz w:val="22"/>
                <w:szCs w:val="22"/>
              </w:rPr>
              <w:t xml:space="preserve">In FY 2023, in 18 of 24 (75%) of inspections with citations where an informal conference was held, there was insufficient documentation for justification of penalty reductions for inspections in which willful, repeat serious, serious high gravity citations and disabling injuries occurred.  </w:t>
            </w:r>
          </w:p>
        </w:tc>
        <w:tc>
          <w:tcPr>
            <w:tcW w:w="4819" w:type="dxa"/>
          </w:tcPr>
          <w:p w14:paraId="1DB6D10A" w14:textId="1F47607A" w:rsidR="00DD6E8A" w:rsidRPr="00E81D1D" w:rsidRDefault="00DD6E8A" w:rsidP="00DD6E8A">
            <w:pPr>
              <w:pStyle w:val="ListParagraph"/>
              <w:tabs>
                <w:tab w:val="left" w:pos="28"/>
              </w:tabs>
              <w:spacing w:after="0" w:line="240" w:lineRule="auto"/>
              <w:ind w:left="28"/>
              <w:rPr>
                <w:rFonts w:asciiTheme="minorHAnsi" w:hAnsiTheme="minorHAnsi" w:cstheme="minorHAnsi"/>
                <w:spacing w:val="-2"/>
              </w:rPr>
            </w:pPr>
            <w:r w:rsidRPr="00E81D1D">
              <w:rPr>
                <w:rFonts w:asciiTheme="minorHAnsi" w:hAnsiTheme="minorHAnsi" w:cstheme="minorHAnsi"/>
              </w:rPr>
              <w:t>AKOSH</w:t>
            </w:r>
            <w:r w:rsidRPr="00E81D1D">
              <w:rPr>
                <w:rFonts w:asciiTheme="minorHAnsi" w:hAnsiTheme="minorHAnsi" w:cstheme="minorHAnsi"/>
                <w:spacing w:val="-3"/>
              </w:rPr>
              <w:t xml:space="preserve"> </w:t>
            </w:r>
            <w:r w:rsidRPr="00E81D1D">
              <w:rPr>
                <w:rFonts w:asciiTheme="minorHAnsi" w:hAnsiTheme="minorHAnsi" w:cstheme="minorHAnsi"/>
              </w:rPr>
              <w:t>should ensure that penalty modifications and withdrawals are adequately documented in the case file as required by the AKOSH FOM</w:t>
            </w:r>
            <w:r w:rsidRPr="00E81D1D">
              <w:rPr>
                <w:rFonts w:asciiTheme="minorHAnsi" w:hAnsiTheme="minorHAnsi" w:cstheme="minorHAnsi"/>
                <w:spacing w:val="-2"/>
              </w:rPr>
              <w:t>.</w:t>
            </w:r>
            <w:r w:rsidR="00E438D9">
              <w:rPr>
                <w:rFonts w:asciiTheme="minorHAnsi" w:hAnsiTheme="minorHAnsi" w:cstheme="minorHAnsi"/>
                <w:spacing w:val="-2"/>
              </w:rPr>
              <w:t xml:space="preserve"> </w:t>
            </w:r>
            <w:r w:rsidR="00E438D9">
              <w:rPr>
                <w:rFonts w:asciiTheme="minorHAnsi" w:hAnsiTheme="minorHAnsi" w:cstheme="minorHAnsi"/>
              </w:rPr>
              <w:t>Corrective action complete, awaiting verification.</w:t>
            </w:r>
          </w:p>
          <w:p w14:paraId="4D830CE6" w14:textId="77777777" w:rsidR="00DD6E8A" w:rsidRPr="00E81D1D" w:rsidRDefault="00DD6E8A" w:rsidP="00DD6E8A">
            <w:pPr>
              <w:widowControl/>
              <w:autoSpaceDE/>
              <w:autoSpaceDN/>
              <w:adjustRightInd/>
              <w:rPr>
                <w:rFonts w:cs="Calibri"/>
                <w:sz w:val="22"/>
                <w:szCs w:val="22"/>
              </w:rPr>
            </w:pPr>
          </w:p>
        </w:tc>
        <w:tc>
          <w:tcPr>
            <w:tcW w:w="1890" w:type="dxa"/>
          </w:tcPr>
          <w:p w14:paraId="4007483F" w14:textId="22B9E1C0" w:rsidR="0081045D" w:rsidRPr="00E81D1D" w:rsidRDefault="00DD6E8A" w:rsidP="00FD7441">
            <w:pPr>
              <w:widowControl/>
              <w:autoSpaceDE/>
              <w:autoSpaceDN/>
              <w:adjustRightInd/>
              <w:ind w:left="-19"/>
              <w:rPr>
                <w:rFonts w:cs="Calibri"/>
                <w:sz w:val="22"/>
                <w:szCs w:val="22"/>
              </w:rPr>
            </w:pPr>
            <w:r w:rsidRPr="00E81D1D">
              <w:rPr>
                <w:rFonts w:cs="Calibri"/>
                <w:sz w:val="22"/>
                <w:szCs w:val="22"/>
              </w:rPr>
              <w:t>FY 2023-02</w:t>
            </w:r>
          </w:p>
          <w:p w14:paraId="3792C17A" w14:textId="63B57FBD" w:rsidR="00DD6E8A" w:rsidRPr="00E81D1D" w:rsidRDefault="00DD6E8A" w:rsidP="00FD7441">
            <w:pPr>
              <w:widowControl/>
              <w:autoSpaceDE/>
              <w:autoSpaceDN/>
              <w:adjustRightInd/>
              <w:ind w:left="-19"/>
              <w:rPr>
                <w:rFonts w:cs="Calibri"/>
                <w:sz w:val="22"/>
                <w:szCs w:val="22"/>
              </w:rPr>
            </w:pPr>
          </w:p>
        </w:tc>
      </w:tr>
    </w:tbl>
    <w:p w14:paraId="0AB1817D" w14:textId="77777777" w:rsidR="00652E3D" w:rsidRDefault="00652E3D">
      <w:pPr>
        <w:widowControl/>
        <w:autoSpaceDE/>
        <w:autoSpaceDN/>
        <w:adjustRightInd/>
        <w:rPr>
          <w:rFonts w:cs="Calibri"/>
        </w:rPr>
      </w:pPr>
    </w:p>
    <w:p w14:paraId="0AB1817E" w14:textId="77777777" w:rsidR="00652E3D" w:rsidRDefault="00652E3D">
      <w:pPr>
        <w:widowControl/>
        <w:autoSpaceDE/>
        <w:autoSpaceDN/>
        <w:adjustRightInd/>
        <w:rPr>
          <w:rFonts w:cs="Calibri"/>
          <w:i/>
        </w:rPr>
      </w:pPr>
    </w:p>
    <w:p w14:paraId="0AB1817F" w14:textId="77777777" w:rsidR="00652E3D" w:rsidRDefault="00652E3D">
      <w:pPr>
        <w:widowControl/>
        <w:autoSpaceDE/>
        <w:autoSpaceDN/>
        <w:adjustRightInd/>
        <w:rPr>
          <w:rFonts w:cs="Calibri"/>
          <w:i/>
        </w:rPr>
      </w:pPr>
    </w:p>
    <w:p w14:paraId="0AB18180" w14:textId="77777777" w:rsidR="00652E3D" w:rsidRDefault="00652E3D">
      <w:pPr>
        <w:widowControl/>
        <w:autoSpaceDE/>
        <w:autoSpaceDN/>
        <w:adjustRightInd/>
        <w:rPr>
          <w:rFonts w:cs="Calibri"/>
          <w:i/>
        </w:rPr>
        <w:sectPr w:rsidR="00652E3D" w:rsidSect="0029455F">
          <w:headerReference w:type="default" r:id="rId21"/>
          <w:footerReference w:type="default" r:id="rId22"/>
          <w:headerReference w:type="first" r:id="rId23"/>
          <w:footerReference w:type="first" r:id="rId24"/>
          <w:pgSz w:w="15840" w:h="12240" w:orient="landscape"/>
          <w:pgMar w:top="720" w:right="720" w:bottom="720" w:left="720" w:header="720" w:footer="720" w:gutter="0"/>
          <w:cols w:space="720"/>
          <w:titlePg/>
          <w:docGrid w:linePitch="360"/>
        </w:sectPr>
      </w:pPr>
    </w:p>
    <w:p w14:paraId="0AB18181" w14:textId="77777777" w:rsidR="00652E3D" w:rsidRDefault="00652E3D">
      <w:pPr>
        <w:widowControl/>
        <w:autoSpaceDE/>
        <w:autoSpaceDN/>
        <w:adjustRightInd/>
        <w:rPr>
          <w:rFonts w:cs="Calibri"/>
          <w:i/>
        </w:rPr>
      </w:pPr>
    </w:p>
    <w:p w14:paraId="0AB18182" w14:textId="77777777" w:rsidR="00652E3D" w:rsidRDefault="002A2FF1">
      <w:pPr>
        <w:widowControl/>
        <w:autoSpaceDE/>
        <w:autoSpaceDN/>
        <w:adjustRightInd/>
        <w:rPr>
          <w:rFonts w:asciiTheme="minorHAnsi" w:hAnsiTheme="minorHAnsi" w:cstheme="minorHAnsi"/>
          <w:b/>
          <w:bCs/>
          <w:sz w:val="28"/>
          <w:szCs w:val="28"/>
        </w:rPr>
      </w:pPr>
      <w:bookmarkStart w:id="27" w:name="_Toc118905018"/>
      <w:r>
        <w:br w:type="page"/>
      </w:r>
    </w:p>
    <w:p w14:paraId="0AB18183" w14:textId="77777777" w:rsidR="00652E3D" w:rsidRDefault="002A2FF1" w:rsidP="009657AD">
      <w:pPr>
        <w:pStyle w:val="Heading3"/>
      </w:pPr>
      <w:bookmarkStart w:id="28" w:name="_Toc187654011"/>
      <w:r>
        <w:t>Appendix B – Observations Subject to Continued Monitoring</w:t>
      </w:r>
      <w:bookmarkEnd w:id="27"/>
      <w:bookmarkEnd w:id="28"/>
    </w:p>
    <w:p w14:paraId="36B276BB" w14:textId="59351A95" w:rsidR="36E43919" w:rsidRDefault="36E43919">
      <w:r>
        <w:t>FY 2024 Alaska Occupational Safety and Health Follow-up FAME Report</w:t>
      </w:r>
    </w:p>
    <w:p w14:paraId="0AB18185" w14:textId="77777777" w:rsidR="00652E3D" w:rsidRDefault="00652E3D">
      <w:pPr>
        <w:adjustRightInd/>
        <w:rPr>
          <w:rFonts w:asciiTheme="minorHAnsi" w:hAnsiTheme="minorHAnsi" w:cstheme="minorHAnsi"/>
          <w:sz w:val="20"/>
        </w:rPr>
      </w:pPr>
    </w:p>
    <w:p w14:paraId="0AB18186" w14:textId="77777777" w:rsidR="00652E3D" w:rsidRDefault="00652E3D">
      <w:pPr>
        <w:adjustRightInd/>
        <w:spacing w:before="9"/>
        <w:rPr>
          <w:rFonts w:asciiTheme="minorHAnsi" w:hAnsiTheme="minorHAnsi" w:cstheme="minorHAnsi"/>
          <w:sz w:val="15"/>
        </w:rPr>
      </w:pPr>
    </w:p>
    <w:tbl>
      <w:tblPr>
        <w:tblStyle w:val="TableGridLight"/>
        <w:tblW w:w="13680" w:type="dxa"/>
        <w:tblLayout w:type="fixed"/>
        <w:tblLook w:val="01E0" w:firstRow="1" w:lastRow="1" w:firstColumn="1" w:lastColumn="1" w:noHBand="0" w:noVBand="0"/>
      </w:tblPr>
      <w:tblGrid>
        <w:gridCol w:w="1795"/>
        <w:gridCol w:w="1805"/>
        <w:gridCol w:w="4680"/>
        <w:gridCol w:w="3960"/>
        <w:gridCol w:w="1440"/>
      </w:tblGrid>
      <w:tr w:rsidR="00652E3D" w:rsidRPr="00E81D1D" w14:paraId="0AB1818C" w14:textId="77777777" w:rsidTr="006777D9">
        <w:trPr>
          <w:cantSplit/>
          <w:trHeight w:val="829"/>
          <w:tblHeader/>
        </w:trPr>
        <w:tc>
          <w:tcPr>
            <w:tcW w:w="1795" w:type="dxa"/>
          </w:tcPr>
          <w:p w14:paraId="219399B1" w14:textId="77777777" w:rsidR="004836A9" w:rsidRDefault="002A2FF1" w:rsidP="00DD6E8A">
            <w:pPr>
              <w:adjustRightInd/>
              <w:rPr>
                <w:rFonts w:asciiTheme="minorHAnsi" w:hAnsiTheme="minorHAnsi" w:cstheme="minorHAnsi"/>
                <w:b/>
                <w:bCs/>
                <w:sz w:val="22"/>
                <w:szCs w:val="22"/>
              </w:rPr>
            </w:pPr>
            <w:r w:rsidRPr="00E81D1D">
              <w:rPr>
                <w:rFonts w:asciiTheme="minorHAnsi" w:hAnsiTheme="minorHAnsi" w:cstheme="minorHAnsi"/>
                <w:b/>
                <w:bCs/>
                <w:sz w:val="22"/>
                <w:szCs w:val="22"/>
              </w:rPr>
              <w:t>Observation</w:t>
            </w:r>
            <w:r w:rsidRPr="00E81D1D">
              <w:rPr>
                <w:rFonts w:asciiTheme="minorHAnsi" w:hAnsiTheme="minorHAnsi" w:cstheme="minorHAnsi"/>
                <w:b/>
                <w:bCs/>
                <w:spacing w:val="-15"/>
                <w:sz w:val="22"/>
                <w:szCs w:val="22"/>
              </w:rPr>
              <w:t xml:space="preserve"> </w:t>
            </w:r>
            <w:r w:rsidRPr="00E81D1D">
              <w:rPr>
                <w:rFonts w:asciiTheme="minorHAnsi" w:hAnsiTheme="minorHAnsi" w:cstheme="minorHAnsi"/>
                <w:b/>
                <w:bCs/>
                <w:sz w:val="22"/>
                <w:szCs w:val="22"/>
              </w:rPr>
              <w:t>#</w:t>
            </w:r>
          </w:p>
          <w:p w14:paraId="0AB18187" w14:textId="367BCE8D" w:rsidR="00652E3D" w:rsidRPr="00E81D1D" w:rsidRDefault="002A2FF1" w:rsidP="00DD6E8A">
            <w:pPr>
              <w:adjustRightInd/>
              <w:rPr>
                <w:rFonts w:asciiTheme="minorHAnsi" w:hAnsiTheme="minorHAnsi" w:cstheme="minorHAnsi"/>
                <w:b/>
                <w:bCs/>
                <w:sz w:val="22"/>
                <w:szCs w:val="22"/>
              </w:rPr>
            </w:pPr>
            <w:r w:rsidRPr="00E81D1D">
              <w:rPr>
                <w:rFonts w:asciiTheme="minorHAnsi" w:hAnsiTheme="minorHAnsi" w:cstheme="minorHAnsi"/>
                <w:b/>
                <w:bCs/>
                <w:spacing w:val="-2"/>
                <w:sz w:val="22"/>
                <w:szCs w:val="22"/>
              </w:rPr>
              <w:t>FY</w:t>
            </w:r>
            <w:r w:rsidRPr="00E81D1D">
              <w:rPr>
                <w:rFonts w:asciiTheme="minorHAnsi" w:hAnsiTheme="minorHAnsi" w:cstheme="minorHAnsi"/>
                <w:b/>
                <w:bCs/>
                <w:spacing w:val="-4"/>
                <w:sz w:val="22"/>
                <w:szCs w:val="22"/>
              </w:rPr>
              <w:t xml:space="preserve"> </w:t>
            </w:r>
            <w:r w:rsidRPr="00E81D1D">
              <w:rPr>
                <w:rFonts w:asciiTheme="minorHAnsi" w:hAnsiTheme="minorHAnsi" w:cstheme="minorHAnsi"/>
                <w:b/>
                <w:bCs/>
                <w:spacing w:val="-2"/>
                <w:sz w:val="22"/>
                <w:szCs w:val="22"/>
              </w:rPr>
              <w:t>202</w:t>
            </w:r>
            <w:r w:rsidR="009D55A1" w:rsidRPr="00E81D1D">
              <w:rPr>
                <w:rFonts w:asciiTheme="minorHAnsi" w:hAnsiTheme="minorHAnsi" w:cstheme="minorHAnsi"/>
                <w:b/>
                <w:bCs/>
                <w:spacing w:val="-2"/>
                <w:sz w:val="22"/>
                <w:szCs w:val="22"/>
              </w:rPr>
              <w:t>4</w:t>
            </w:r>
            <w:r w:rsidRPr="00E81D1D">
              <w:rPr>
                <w:rFonts w:asciiTheme="minorHAnsi" w:hAnsiTheme="minorHAnsi" w:cstheme="minorHAnsi"/>
                <w:b/>
                <w:bCs/>
                <w:spacing w:val="-2"/>
                <w:sz w:val="22"/>
                <w:szCs w:val="22"/>
              </w:rPr>
              <w:t>-OB-</w:t>
            </w:r>
            <w:r w:rsidRPr="00E81D1D">
              <w:rPr>
                <w:rFonts w:asciiTheme="minorHAnsi" w:hAnsiTheme="minorHAnsi" w:cstheme="minorHAnsi"/>
                <w:b/>
                <w:bCs/>
                <w:spacing w:val="-10"/>
                <w:sz w:val="22"/>
                <w:szCs w:val="22"/>
              </w:rPr>
              <w:t>#</w:t>
            </w:r>
          </w:p>
        </w:tc>
        <w:tc>
          <w:tcPr>
            <w:tcW w:w="1805" w:type="dxa"/>
          </w:tcPr>
          <w:p w14:paraId="0AB18188" w14:textId="32719F31" w:rsidR="00652E3D" w:rsidRPr="00E81D1D" w:rsidRDefault="002A2FF1" w:rsidP="00C633A3">
            <w:pPr>
              <w:adjustRightInd/>
              <w:spacing w:line="276" w:lineRule="exact"/>
              <w:ind w:right="133"/>
              <w:rPr>
                <w:rFonts w:asciiTheme="minorHAnsi" w:hAnsiTheme="minorHAnsi" w:cstheme="minorHAnsi"/>
                <w:b/>
                <w:bCs/>
                <w:sz w:val="22"/>
                <w:szCs w:val="22"/>
              </w:rPr>
            </w:pPr>
            <w:r w:rsidRPr="00E81D1D">
              <w:rPr>
                <w:rFonts w:asciiTheme="minorHAnsi" w:hAnsiTheme="minorHAnsi" w:cstheme="minorHAnsi"/>
                <w:b/>
                <w:bCs/>
                <w:spacing w:val="-2"/>
                <w:sz w:val="22"/>
                <w:szCs w:val="22"/>
              </w:rPr>
              <w:t>Observation</w:t>
            </w:r>
            <w:r w:rsidR="009F519A">
              <w:rPr>
                <w:rFonts w:asciiTheme="minorHAnsi" w:hAnsiTheme="minorHAnsi" w:cstheme="minorHAnsi"/>
                <w:b/>
                <w:bCs/>
                <w:spacing w:val="-2"/>
                <w:sz w:val="22"/>
                <w:szCs w:val="22"/>
              </w:rPr>
              <w:t xml:space="preserve"> </w:t>
            </w:r>
            <w:r w:rsidRPr="00E81D1D">
              <w:rPr>
                <w:rFonts w:asciiTheme="minorHAnsi" w:hAnsiTheme="minorHAnsi" w:cstheme="minorHAnsi"/>
                <w:b/>
                <w:bCs/>
                <w:spacing w:val="-2"/>
                <w:sz w:val="22"/>
                <w:szCs w:val="22"/>
              </w:rPr>
              <w:t xml:space="preserve"># </w:t>
            </w:r>
            <w:r w:rsidRPr="00E81D1D">
              <w:rPr>
                <w:rFonts w:asciiTheme="minorHAnsi" w:hAnsiTheme="minorHAnsi" w:cstheme="minorHAnsi"/>
                <w:b/>
                <w:bCs/>
                <w:sz w:val="22"/>
                <w:szCs w:val="22"/>
              </w:rPr>
              <w:t>FY</w:t>
            </w:r>
            <w:r w:rsidRPr="00E81D1D">
              <w:rPr>
                <w:rFonts w:asciiTheme="minorHAnsi" w:hAnsiTheme="minorHAnsi" w:cstheme="minorHAnsi"/>
                <w:b/>
                <w:bCs/>
                <w:spacing w:val="-15"/>
                <w:sz w:val="22"/>
                <w:szCs w:val="22"/>
              </w:rPr>
              <w:t xml:space="preserve"> </w:t>
            </w:r>
            <w:r w:rsidRPr="00E81D1D">
              <w:rPr>
                <w:rFonts w:asciiTheme="minorHAnsi" w:hAnsiTheme="minorHAnsi" w:cstheme="minorHAnsi"/>
                <w:b/>
                <w:bCs/>
                <w:sz w:val="22"/>
                <w:szCs w:val="22"/>
              </w:rPr>
              <w:t>202</w:t>
            </w:r>
            <w:r w:rsidR="009D55A1" w:rsidRPr="00E81D1D">
              <w:rPr>
                <w:rFonts w:asciiTheme="minorHAnsi" w:hAnsiTheme="minorHAnsi" w:cstheme="minorHAnsi"/>
                <w:b/>
                <w:bCs/>
                <w:sz w:val="22"/>
                <w:szCs w:val="22"/>
              </w:rPr>
              <w:t>3</w:t>
            </w:r>
            <w:r w:rsidRPr="00E81D1D">
              <w:rPr>
                <w:rFonts w:asciiTheme="minorHAnsi" w:hAnsiTheme="minorHAnsi" w:cstheme="minorHAnsi"/>
                <w:b/>
                <w:bCs/>
                <w:sz w:val="22"/>
                <w:szCs w:val="22"/>
              </w:rPr>
              <w:t xml:space="preserve">-OB-# </w:t>
            </w:r>
            <w:r w:rsidRPr="00E81D1D">
              <w:rPr>
                <w:rFonts w:asciiTheme="minorHAnsi" w:hAnsiTheme="minorHAnsi" w:cstheme="minorHAnsi"/>
                <w:b/>
                <w:bCs/>
                <w:i/>
                <w:iCs/>
                <w:sz w:val="22"/>
                <w:szCs w:val="22"/>
              </w:rPr>
              <w:t xml:space="preserve">or </w:t>
            </w:r>
            <w:r w:rsidRPr="00E81D1D">
              <w:rPr>
                <w:rFonts w:asciiTheme="minorHAnsi" w:hAnsiTheme="minorHAnsi" w:cstheme="minorHAnsi"/>
                <w:b/>
                <w:bCs/>
                <w:sz w:val="22"/>
                <w:szCs w:val="22"/>
              </w:rPr>
              <w:t>FY 202</w:t>
            </w:r>
            <w:r w:rsidR="009D55A1" w:rsidRPr="00E81D1D">
              <w:rPr>
                <w:rFonts w:asciiTheme="minorHAnsi" w:hAnsiTheme="minorHAnsi" w:cstheme="minorHAnsi"/>
                <w:b/>
                <w:bCs/>
                <w:sz w:val="22"/>
                <w:szCs w:val="22"/>
              </w:rPr>
              <w:t>3</w:t>
            </w:r>
            <w:r w:rsidRPr="00E81D1D">
              <w:rPr>
                <w:rFonts w:asciiTheme="minorHAnsi" w:hAnsiTheme="minorHAnsi" w:cstheme="minorHAnsi"/>
                <w:b/>
                <w:bCs/>
                <w:sz w:val="22"/>
                <w:szCs w:val="22"/>
              </w:rPr>
              <w:t>-#</w:t>
            </w:r>
          </w:p>
        </w:tc>
        <w:tc>
          <w:tcPr>
            <w:tcW w:w="4680" w:type="dxa"/>
          </w:tcPr>
          <w:p w14:paraId="0AB18189" w14:textId="1E7DDB69" w:rsidR="00652E3D" w:rsidRPr="00E81D1D" w:rsidRDefault="002A2FF1" w:rsidP="00C633A3">
            <w:pPr>
              <w:adjustRightInd/>
              <w:spacing w:line="275" w:lineRule="exact"/>
              <w:ind w:right="1350"/>
              <w:rPr>
                <w:rFonts w:asciiTheme="minorHAnsi" w:hAnsiTheme="minorHAnsi" w:cstheme="minorHAnsi"/>
                <w:b/>
                <w:sz w:val="22"/>
                <w:szCs w:val="22"/>
              </w:rPr>
            </w:pPr>
            <w:r w:rsidRPr="00E81D1D">
              <w:rPr>
                <w:rFonts w:asciiTheme="minorHAnsi" w:hAnsiTheme="minorHAnsi" w:cstheme="minorHAnsi"/>
                <w:b/>
                <w:spacing w:val="-2"/>
                <w:sz w:val="22"/>
                <w:szCs w:val="22"/>
              </w:rPr>
              <w:t>Observation</w:t>
            </w:r>
          </w:p>
        </w:tc>
        <w:tc>
          <w:tcPr>
            <w:tcW w:w="3960" w:type="dxa"/>
          </w:tcPr>
          <w:p w14:paraId="0AB1818A" w14:textId="62A71A4B" w:rsidR="00652E3D" w:rsidRPr="00E81D1D" w:rsidRDefault="002A2FF1" w:rsidP="00C633A3">
            <w:pPr>
              <w:adjustRightInd/>
              <w:spacing w:line="275" w:lineRule="exact"/>
              <w:rPr>
                <w:rFonts w:asciiTheme="minorHAnsi" w:hAnsiTheme="minorHAnsi" w:cstheme="minorHAnsi"/>
                <w:b/>
                <w:bCs/>
                <w:sz w:val="22"/>
                <w:szCs w:val="22"/>
              </w:rPr>
            </w:pPr>
            <w:r w:rsidRPr="00E81D1D">
              <w:rPr>
                <w:rFonts w:asciiTheme="minorHAnsi" w:hAnsiTheme="minorHAnsi" w:cstheme="minorHAnsi"/>
                <w:b/>
                <w:bCs/>
                <w:sz w:val="22"/>
                <w:szCs w:val="22"/>
              </w:rPr>
              <w:t>Federal</w:t>
            </w:r>
            <w:r w:rsidRPr="00E81D1D">
              <w:rPr>
                <w:rFonts w:asciiTheme="minorHAnsi" w:hAnsiTheme="minorHAnsi" w:cstheme="minorHAnsi"/>
                <w:b/>
                <w:bCs/>
                <w:spacing w:val="-6"/>
                <w:sz w:val="22"/>
                <w:szCs w:val="22"/>
              </w:rPr>
              <w:t xml:space="preserve"> </w:t>
            </w:r>
            <w:r w:rsidRPr="00E81D1D">
              <w:rPr>
                <w:rFonts w:asciiTheme="minorHAnsi" w:hAnsiTheme="minorHAnsi" w:cstheme="minorHAnsi"/>
                <w:b/>
                <w:bCs/>
                <w:sz w:val="22"/>
                <w:szCs w:val="22"/>
              </w:rPr>
              <w:t>Monitoring</w:t>
            </w:r>
            <w:r w:rsidRPr="00E81D1D">
              <w:rPr>
                <w:rFonts w:asciiTheme="minorHAnsi" w:hAnsiTheme="minorHAnsi" w:cstheme="minorHAnsi"/>
                <w:b/>
                <w:bCs/>
                <w:spacing w:val="-5"/>
                <w:sz w:val="22"/>
                <w:szCs w:val="22"/>
              </w:rPr>
              <w:t xml:space="preserve"> </w:t>
            </w:r>
            <w:r w:rsidRPr="00E81D1D">
              <w:rPr>
                <w:rFonts w:asciiTheme="minorHAnsi" w:hAnsiTheme="minorHAnsi" w:cstheme="minorHAnsi"/>
                <w:b/>
                <w:bCs/>
                <w:spacing w:val="-4"/>
                <w:sz w:val="22"/>
                <w:szCs w:val="22"/>
              </w:rPr>
              <w:t>Plan</w:t>
            </w:r>
          </w:p>
        </w:tc>
        <w:tc>
          <w:tcPr>
            <w:tcW w:w="1440" w:type="dxa"/>
          </w:tcPr>
          <w:p w14:paraId="0AB1818B" w14:textId="77777777" w:rsidR="00652E3D" w:rsidRPr="00E81D1D" w:rsidRDefault="002A2FF1" w:rsidP="00C633A3">
            <w:pPr>
              <w:adjustRightInd/>
              <w:ind w:right="129"/>
              <w:rPr>
                <w:rFonts w:asciiTheme="minorHAnsi" w:hAnsiTheme="minorHAnsi" w:cstheme="minorHAnsi"/>
                <w:b/>
                <w:bCs/>
                <w:sz w:val="22"/>
                <w:szCs w:val="22"/>
              </w:rPr>
            </w:pPr>
            <w:r w:rsidRPr="00E81D1D">
              <w:rPr>
                <w:rFonts w:asciiTheme="minorHAnsi" w:hAnsiTheme="minorHAnsi" w:cstheme="minorHAnsi"/>
                <w:b/>
                <w:bCs/>
                <w:spacing w:val="-2"/>
                <w:sz w:val="22"/>
                <w:szCs w:val="22"/>
              </w:rPr>
              <w:t>Current Status</w:t>
            </w:r>
          </w:p>
        </w:tc>
      </w:tr>
      <w:tr w:rsidR="00D64143" w:rsidRPr="00E81D1D" w14:paraId="0AB1819E" w14:textId="77777777" w:rsidTr="009F519A">
        <w:trPr>
          <w:trHeight w:val="1012"/>
        </w:trPr>
        <w:tc>
          <w:tcPr>
            <w:tcW w:w="1795" w:type="dxa"/>
          </w:tcPr>
          <w:p w14:paraId="0AB18197" w14:textId="1A385E37" w:rsidR="00D64143" w:rsidRPr="00E81D1D" w:rsidRDefault="00C633A3" w:rsidP="00626633">
            <w:pPr>
              <w:tabs>
                <w:tab w:val="left" w:pos="962"/>
              </w:tabs>
              <w:adjustRightInd/>
              <w:spacing w:line="247" w:lineRule="exact"/>
              <w:ind w:right="68"/>
              <w:rPr>
                <w:rFonts w:asciiTheme="minorHAnsi" w:hAnsiTheme="minorHAnsi" w:cstheme="minorHAnsi"/>
                <w:sz w:val="22"/>
                <w:szCs w:val="22"/>
              </w:rPr>
            </w:pPr>
            <w:r w:rsidRPr="00E81D1D">
              <w:rPr>
                <w:rFonts w:asciiTheme="minorHAnsi" w:hAnsiTheme="minorHAnsi" w:cstheme="minorHAnsi"/>
                <w:sz w:val="22"/>
                <w:szCs w:val="22"/>
              </w:rPr>
              <w:t>FY 2024-OB-</w:t>
            </w:r>
            <w:r w:rsidR="00D012BC" w:rsidRPr="00E81D1D">
              <w:rPr>
                <w:rFonts w:asciiTheme="minorHAnsi" w:hAnsiTheme="minorHAnsi" w:cstheme="minorHAnsi"/>
                <w:sz w:val="22"/>
                <w:szCs w:val="22"/>
              </w:rPr>
              <w:t>0</w:t>
            </w:r>
            <w:r w:rsidR="001B6C46">
              <w:rPr>
                <w:rFonts w:asciiTheme="minorHAnsi" w:hAnsiTheme="minorHAnsi" w:cstheme="minorHAnsi"/>
                <w:sz w:val="22"/>
                <w:szCs w:val="22"/>
              </w:rPr>
              <w:t>1</w:t>
            </w:r>
          </w:p>
        </w:tc>
        <w:tc>
          <w:tcPr>
            <w:tcW w:w="1805" w:type="dxa"/>
          </w:tcPr>
          <w:p w14:paraId="0AB18198" w14:textId="34FF738B" w:rsidR="00D64143" w:rsidRPr="00E81D1D" w:rsidRDefault="00D64143" w:rsidP="00D64143">
            <w:pPr>
              <w:adjustRightInd/>
              <w:rPr>
                <w:rFonts w:asciiTheme="minorHAnsi" w:hAnsiTheme="minorHAnsi" w:cstheme="minorHAnsi"/>
                <w:sz w:val="22"/>
                <w:szCs w:val="22"/>
              </w:rPr>
            </w:pPr>
            <w:r w:rsidRPr="00E81D1D">
              <w:rPr>
                <w:rStyle w:val="normaltextrun"/>
                <w:rFonts w:asciiTheme="minorHAnsi" w:hAnsiTheme="minorHAnsi" w:cstheme="minorHAnsi"/>
                <w:sz w:val="22"/>
                <w:szCs w:val="22"/>
              </w:rPr>
              <w:t>FY 2023-OB-02</w:t>
            </w:r>
          </w:p>
        </w:tc>
        <w:tc>
          <w:tcPr>
            <w:tcW w:w="4680" w:type="dxa"/>
          </w:tcPr>
          <w:p w14:paraId="0AB1819A" w14:textId="6DAB9655" w:rsidR="00D64143" w:rsidRPr="00E81D1D" w:rsidRDefault="00D64143" w:rsidP="00BD14BC">
            <w:pPr>
              <w:adjustRightInd/>
              <w:rPr>
                <w:rFonts w:asciiTheme="minorHAnsi" w:hAnsiTheme="minorHAnsi" w:cstheme="minorHAnsi"/>
                <w:sz w:val="22"/>
                <w:szCs w:val="22"/>
              </w:rPr>
            </w:pPr>
            <w:r w:rsidRPr="00E81D1D">
              <w:rPr>
                <w:rFonts w:asciiTheme="minorHAnsi" w:hAnsiTheme="minorHAnsi" w:cstheme="minorHAnsi"/>
                <w:sz w:val="22"/>
                <w:szCs w:val="22"/>
              </w:rPr>
              <w:t>In FY 2023, three of four (75%) fatality inspection files were missing the investigative summary. Three of three (100%)</w:t>
            </w:r>
            <w:r w:rsidR="00AA0DE4">
              <w:rPr>
                <w:rFonts w:asciiTheme="minorHAnsi" w:hAnsiTheme="minorHAnsi" w:cstheme="minorHAnsi"/>
                <w:sz w:val="22"/>
                <w:szCs w:val="22"/>
              </w:rPr>
              <w:t xml:space="preserve"> unprogrammed activities</w:t>
            </w:r>
            <w:r w:rsidRPr="00E81D1D">
              <w:rPr>
                <w:rFonts w:asciiTheme="minorHAnsi" w:hAnsiTheme="minorHAnsi" w:cstheme="minorHAnsi"/>
                <w:sz w:val="22"/>
                <w:szCs w:val="22"/>
              </w:rPr>
              <w:t xml:space="preserve"> </w:t>
            </w:r>
            <w:r w:rsidR="00AA0DE4">
              <w:rPr>
                <w:rFonts w:asciiTheme="minorHAnsi" w:hAnsiTheme="minorHAnsi" w:cstheme="minorHAnsi"/>
                <w:sz w:val="22"/>
                <w:szCs w:val="22"/>
              </w:rPr>
              <w:t>(</w:t>
            </w:r>
            <w:r w:rsidRPr="00E81D1D">
              <w:rPr>
                <w:rFonts w:asciiTheme="minorHAnsi" w:hAnsiTheme="minorHAnsi" w:cstheme="minorHAnsi"/>
                <w:sz w:val="22"/>
                <w:szCs w:val="22"/>
              </w:rPr>
              <w:t>UPAs</w:t>
            </w:r>
            <w:r w:rsidR="00AA0DE4">
              <w:rPr>
                <w:rFonts w:asciiTheme="minorHAnsi" w:hAnsiTheme="minorHAnsi" w:cstheme="minorHAnsi"/>
                <w:sz w:val="22"/>
                <w:szCs w:val="22"/>
              </w:rPr>
              <w:t>)</w:t>
            </w:r>
            <w:r w:rsidRPr="00E81D1D">
              <w:rPr>
                <w:rFonts w:asciiTheme="minorHAnsi" w:hAnsiTheme="minorHAnsi" w:cstheme="minorHAnsi"/>
                <w:sz w:val="22"/>
                <w:szCs w:val="22"/>
              </w:rPr>
              <w:t xml:space="preserve"> not inspected did not have the fatality/catastrophe report, were missing supporting documentation, the contact sheet, and official cause of death.</w:t>
            </w:r>
          </w:p>
        </w:tc>
        <w:tc>
          <w:tcPr>
            <w:tcW w:w="3960" w:type="dxa"/>
          </w:tcPr>
          <w:p w14:paraId="36A07CAB" w14:textId="77777777" w:rsidR="00D64143" w:rsidRPr="00E81D1D" w:rsidRDefault="00D64143" w:rsidP="00D64143">
            <w:pPr>
              <w:pStyle w:val="BodyText"/>
              <w:rPr>
                <w:rFonts w:asciiTheme="minorHAnsi" w:hAnsiTheme="minorHAnsi" w:cstheme="minorHAnsi"/>
                <w:sz w:val="22"/>
                <w:szCs w:val="22"/>
              </w:rPr>
            </w:pPr>
            <w:r w:rsidRPr="00E81D1D">
              <w:rPr>
                <w:rFonts w:asciiTheme="minorHAnsi" w:hAnsiTheme="minorHAnsi" w:cstheme="minorHAnsi"/>
                <w:sz w:val="22"/>
                <w:szCs w:val="22"/>
              </w:rPr>
              <w:t>OSHA</w:t>
            </w:r>
            <w:r w:rsidRPr="00E81D1D">
              <w:rPr>
                <w:rFonts w:asciiTheme="minorHAnsi" w:hAnsiTheme="minorHAnsi" w:cstheme="minorHAnsi"/>
                <w:spacing w:val="-5"/>
                <w:sz w:val="22"/>
                <w:szCs w:val="22"/>
              </w:rPr>
              <w:t xml:space="preserve"> </w:t>
            </w:r>
            <w:r w:rsidRPr="00E81D1D">
              <w:rPr>
                <w:rFonts w:asciiTheme="minorHAnsi" w:hAnsiTheme="minorHAnsi" w:cstheme="minorHAnsi"/>
                <w:sz w:val="22"/>
                <w:szCs w:val="22"/>
              </w:rPr>
              <w:t>will</w:t>
            </w:r>
            <w:r w:rsidRPr="00E81D1D">
              <w:rPr>
                <w:rFonts w:asciiTheme="minorHAnsi" w:hAnsiTheme="minorHAnsi" w:cstheme="minorHAnsi"/>
                <w:spacing w:val="-4"/>
                <w:sz w:val="22"/>
                <w:szCs w:val="22"/>
              </w:rPr>
              <w:t xml:space="preserve"> continue to </w:t>
            </w:r>
            <w:r w:rsidRPr="00E81D1D">
              <w:rPr>
                <w:rFonts w:asciiTheme="minorHAnsi" w:hAnsiTheme="minorHAnsi" w:cstheme="minorHAnsi"/>
                <w:sz w:val="22"/>
                <w:szCs w:val="22"/>
              </w:rPr>
              <w:t>monitor</w:t>
            </w:r>
            <w:r w:rsidRPr="00E81D1D">
              <w:rPr>
                <w:rFonts w:asciiTheme="minorHAnsi" w:hAnsiTheme="minorHAnsi" w:cstheme="minorHAnsi"/>
                <w:spacing w:val="-5"/>
                <w:sz w:val="22"/>
                <w:szCs w:val="22"/>
              </w:rPr>
              <w:t xml:space="preserve"> </w:t>
            </w:r>
            <w:r w:rsidRPr="00E81D1D">
              <w:rPr>
                <w:rFonts w:asciiTheme="minorHAnsi" w:hAnsiTheme="minorHAnsi" w:cstheme="minorHAnsi"/>
                <w:sz w:val="22"/>
                <w:szCs w:val="22"/>
              </w:rPr>
              <w:t>quarterly and encourage the state to conduct training and periodic evaluations of Fatality investigation casefile development and management.</w:t>
            </w:r>
          </w:p>
          <w:p w14:paraId="0AB1819B" w14:textId="07E06618" w:rsidR="00D64143" w:rsidRPr="00E81D1D" w:rsidRDefault="00D64143" w:rsidP="00D64143">
            <w:pPr>
              <w:adjustRightInd/>
              <w:ind w:left="109" w:right="169"/>
              <w:rPr>
                <w:rFonts w:asciiTheme="minorHAnsi" w:hAnsiTheme="minorHAnsi" w:cstheme="minorHAnsi"/>
                <w:sz w:val="22"/>
                <w:szCs w:val="22"/>
              </w:rPr>
            </w:pPr>
          </w:p>
        </w:tc>
        <w:tc>
          <w:tcPr>
            <w:tcW w:w="1440" w:type="dxa"/>
          </w:tcPr>
          <w:p w14:paraId="3C1109BF" w14:textId="5DDC9FFE" w:rsidR="00D64143" w:rsidRPr="00E81D1D" w:rsidRDefault="00D64143" w:rsidP="00C633A3">
            <w:pPr>
              <w:adjustRightInd/>
              <w:spacing w:line="246" w:lineRule="exact"/>
              <w:rPr>
                <w:rFonts w:asciiTheme="minorHAnsi" w:hAnsiTheme="minorHAnsi" w:cstheme="minorHAnsi"/>
                <w:sz w:val="22"/>
                <w:szCs w:val="22"/>
              </w:rPr>
            </w:pPr>
            <w:r w:rsidRPr="00E81D1D">
              <w:rPr>
                <w:rFonts w:asciiTheme="minorHAnsi" w:hAnsiTheme="minorHAnsi" w:cstheme="minorHAnsi"/>
                <w:sz w:val="22"/>
                <w:szCs w:val="22"/>
              </w:rPr>
              <w:t xml:space="preserve">Continued </w:t>
            </w:r>
          </w:p>
          <w:p w14:paraId="0AB1819D" w14:textId="77777777" w:rsidR="00D64143" w:rsidRPr="00E81D1D" w:rsidRDefault="00D64143" w:rsidP="00D64143">
            <w:pPr>
              <w:adjustRightInd/>
              <w:spacing w:line="246" w:lineRule="exact"/>
              <w:ind w:left="111" w:hanging="3"/>
              <w:rPr>
                <w:rFonts w:asciiTheme="minorHAnsi" w:hAnsiTheme="minorHAnsi" w:cstheme="minorHAnsi"/>
                <w:color w:val="FF0000"/>
                <w:sz w:val="22"/>
                <w:szCs w:val="22"/>
              </w:rPr>
            </w:pPr>
          </w:p>
        </w:tc>
      </w:tr>
      <w:tr w:rsidR="009316ED" w:rsidRPr="00E81D1D" w14:paraId="0AB181BA" w14:textId="77777777" w:rsidTr="009F519A">
        <w:trPr>
          <w:trHeight w:val="1264"/>
        </w:trPr>
        <w:tc>
          <w:tcPr>
            <w:tcW w:w="1795" w:type="dxa"/>
          </w:tcPr>
          <w:p w14:paraId="0AB181B3" w14:textId="64A0443B" w:rsidR="009316ED" w:rsidRPr="00E81D1D" w:rsidRDefault="00C633A3" w:rsidP="00626633">
            <w:pPr>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FY 2024-OB-</w:t>
            </w:r>
            <w:r w:rsidR="00983542" w:rsidRPr="00E81D1D">
              <w:rPr>
                <w:rFonts w:asciiTheme="minorHAnsi" w:hAnsiTheme="minorHAnsi" w:cstheme="minorHAnsi"/>
                <w:sz w:val="22"/>
                <w:szCs w:val="22"/>
              </w:rPr>
              <w:t>0</w:t>
            </w:r>
            <w:r w:rsidR="001B6C46">
              <w:rPr>
                <w:rFonts w:asciiTheme="minorHAnsi" w:hAnsiTheme="minorHAnsi" w:cstheme="minorHAnsi"/>
                <w:sz w:val="22"/>
                <w:szCs w:val="22"/>
              </w:rPr>
              <w:t>2</w:t>
            </w:r>
          </w:p>
        </w:tc>
        <w:tc>
          <w:tcPr>
            <w:tcW w:w="1805" w:type="dxa"/>
          </w:tcPr>
          <w:p w14:paraId="0AB181B4" w14:textId="51C9BDB5" w:rsidR="009316ED" w:rsidRPr="00E81D1D" w:rsidRDefault="009316ED" w:rsidP="009316ED">
            <w:pPr>
              <w:adjustRightInd/>
              <w:rPr>
                <w:rFonts w:asciiTheme="minorHAnsi" w:hAnsiTheme="minorHAnsi" w:cstheme="minorHAnsi"/>
                <w:sz w:val="22"/>
                <w:szCs w:val="22"/>
              </w:rPr>
            </w:pPr>
            <w:r w:rsidRPr="00E81D1D">
              <w:rPr>
                <w:rStyle w:val="normaltextrun"/>
                <w:rFonts w:asciiTheme="minorHAnsi" w:hAnsiTheme="minorHAnsi" w:cstheme="minorHAnsi"/>
                <w:sz w:val="22"/>
                <w:szCs w:val="22"/>
              </w:rPr>
              <w:t>FY 2023-OB-05</w:t>
            </w:r>
          </w:p>
        </w:tc>
        <w:tc>
          <w:tcPr>
            <w:tcW w:w="4680" w:type="dxa"/>
          </w:tcPr>
          <w:p w14:paraId="0AB181B5" w14:textId="25342FAE" w:rsidR="009316ED" w:rsidRPr="00E81D1D" w:rsidRDefault="009316ED" w:rsidP="00C633A3">
            <w:pPr>
              <w:adjustRightInd/>
              <w:ind w:right="133"/>
              <w:rPr>
                <w:rFonts w:asciiTheme="minorHAnsi" w:hAnsiTheme="minorHAnsi" w:cstheme="minorHAnsi"/>
                <w:sz w:val="22"/>
                <w:szCs w:val="22"/>
              </w:rPr>
            </w:pPr>
            <w:r w:rsidRPr="00E81D1D">
              <w:rPr>
                <w:rFonts w:asciiTheme="minorHAnsi" w:hAnsiTheme="minorHAnsi" w:cstheme="minorHAnsi"/>
                <w:iCs/>
                <w:sz w:val="22"/>
                <w:szCs w:val="22"/>
              </w:rPr>
              <w:t>In FY 2023, in 12 out of 53 (22.6%) of inspection case files reviewed, there was no evidence of abatement in the case files.</w:t>
            </w:r>
          </w:p>
        </w:tc>
        <w:tc>
          <w:tcPr>
            <w:tcW w:w="3960" w:type="dxa"/>
          </w:tcPr>
          <w:p w14:paraId="0AB181B7" w14:textId="7D9598EC" w:rsidR="009316ED" w:rsidRPr="00E81D1D" w:rsidRDefault="009316ED" w:rsidP="00C633A3">
            <w:pPr>
              <w:adjustRightInd/>
              <w:ind w:right="137"/>
              <w:rPr>
                <w:rFonts w:asciiTheme="minorHAnsi" w:hAnsiTheme="minorHAnsi" w:cstheme="minorHAnsi"/>
                <w:sz w:val="22"/>
                <w:szCs w:val="22"/>
              </w:rPr>
            </w:pPr>
            <w:r w:rsidRPr="00E81D1D">
              <w:rPr>
                <w:rFonts w:asciiTheme="minorHAnsi" w:hAnsiTheme="minorHAnsi" w:cstheme="minorHAnsi"/>
                <w:sz w:val="22"/>
                <w:szCs w:val="22"/>
              </w:rPr>
              <w:t>OSHA</w:t>
            </w:r>
            <w:r w:rsidRPr="00E81D1D">
              <w:rPr>
                <w:rFonts w:asciiTheme="minorHAnsi" w:hAnsiTheme="minorHAnsi" w:cstheme="minorHAnsi"/>
                <w:spacing w:val="-5"/>
                <w:sz w:val="22"/>
                <w:szCs w:val="22"/>
              </w:rPr>
              <w:t xml:space="preserve"> </w:t>
            </w:r>
            <w:r w:rsidRPr="00E81D1D">
              <w:rPr>
                <w:rFonts w:asciiTheme="minorHAnsi" w:hAnsiTheme="minorHAnsi" w:cstheme="minorHAnsi"/>
                <w:sz w:val="22"/>
                <w:szCs w:val="22"/>
              </w:rPr>
              <w:t>will</w:t>
            </w:r>
            <w:r w:rsidRPr="00E81D1D">
              <w:rPr>
                <w:rFonts w:asciiTheme="minorHAnsi" w:hAnsiTheme="minorHAnsi" w:cstheme="minorHAnsi"/>
                <w:spacing w:val="-4"/>
                <w:sz w:val="22"/>
                <w:szCs w:val="22"/>
              </w:rPr>
              <w:t xml:space="preserve"> continue to </w:t>
            </w:r>
            <w:r w:rsidRPr="00E81D1D">
              <w:rPr>
                <w:rFonts w:asciiTheme="minorHAnsi" w:hAnsiTheme="minorHAnsi" w:cstheme="minorHAnsi"/>
                <w:sz w:val="22"/>
                <w:szCs w:val="22"/>
              </w:rPr>
              <w:t>monitor</w:t>
            </w:r>
            <w:r w:rsidRPr="00E81D1D">
              <w:rPr>
                <w:rFonts w:asciiTheme="minorHAnsi" w:hAnsiTheme="minorHAnsi" w:cstheme="minorHAnsi"/>
                <w:spacing w:val="-5"/>
                <w:sz w:val="22"/>
                <w:szCs w:val="22"/>
              </w:rPr>
              <w:t xml:space="preserve"> </w:t>
            </w:r>
            <w:r w:rsidRPr="00E81D1D">
              <w:rPr>
                <w:rFonts w:asciiTheme="minorHAnsi" w:hAnsiTheme="minorHAnsi" w:cstheme="minorHAnsi"/>
                <w:sz w:val="22"/>
                <w:szCs w:val="22"/>
              </w:rPr>
              <w:t>quarterly and encourage the state to conduct training and periodic evaluations to evaluate case files for abatement.</w:t>
            </w:r>
          </w:p>
        </w:tc>
        <w:tc>
          <w:tcPr>
            <w:tcW w:w="1440" w:type="dxa"/>
          </w:tcPr>
          <w:p w14:paraId="0AB181B9" w14:textId="27BD4BDB" w:rsidR="009316ED" w:rsidRPr="00E81D1D" w:rsidRDefault="009316ED" w:rsidP="00C633A3">
            <w:pPr>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 xml:space="preserve">Continued </w:t>
            </w:r>
          </w:p>
        </w:tc>
      </w:tr>
      <w:tr w:rsidR="009316ED" w:rsidRPr="00E81D1D" w14:paraId="0AB181C3" w14:textId="77777777" w:rsidTr="009F519A">
        <w:trPr>
          <w:trHeight w:val="413"/>
        </w:trPr>
        <w:tc>
          <w:tcPr>
            <w:tcW w:w="1795" w:type="dxa"/>
          </w:tcPr>
          <w:p w14:paraId="0AB181BC" w14:textId="3F8F0352" w:rsidR="009316ED" w:rsidRPr="00E81D1D" w:rsidRDefault="00C633A3" w:rsidP="00626633">
            <w:pPr>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FY 2024-OB-</w:t>
            </w:r>
            <w:r w:rsidR="00983542" w:rsidRPr="00E81D1D">
              <w:rPr>
                <w:rFonts w:asciiTheme="minorHAnsi" w:hAnsiTheme="minorHAnsi" w:cstheme="minorHAnsi"/>
                <w:sz w:val="22"/>
                <w:szCs w:val="22"/>
              </w:rPr>
              <w:t>0</w:t>
            </w:r>
            <w:r w:rsidR="001B6C46">
              <w:rPr>
                <w:rFonts w:asciiTheme="minorHAnsi" w:hAnsiTheme="minorHAnsi" w:cstheme="minorHAnsi"/>
                <w:sz w:val="22"/>
                <w:szCs w:val="22"/>
              </w:rPr>
              <w:t>3</w:t>
            </w:r>
          </w:p>
        </w:tc>
        <w:tc>
          <w:tcPr>
            <w:tcW w:w="1805" w:type="dxa"/>
          </w:tcPr>
          <w:p w14:paraId="0AB181BD" w14:textId="6CF77A36" w:rsidR="009316ED" w:rsidRPr="00E81D1D" w:rsidRDefault="009316ED" w:rsidP="009316ED">
            <w:pPr>
              <w:adjustRightInd/>
              <w:rPr>
                <w:rFonts w:asciiTheme="minorHAnsi" w:hAnsiTheme="minorHAnsi" w:cstheme="minorHAnsi"/>
                <w:sz w:val="22"/>
                <w:szCs w:val="22"/>
              </w:rPr>
            </w:pPr>
            <w:r w:rsidRPr="00E81D1D">
              <w:rPr>
                <w:rStyle w:val="normaltextrun"/>
                <w:rFonts w:asciiTheme="minorHAnsi" w:hAnsiTheme="minorHAnsi" w:cstheme="minorHAnsi"/>
                <w:sz w:val="22"/>
                <w:szCs w:val="22"/>
              </w:rPr>
              <w:t>FY 2023-OB-06</w:t>
            </w:r>
          </w:p>
        </w:tc>
        <w:tc>
          <w:tcPr>
            <w:tcW w:w="4680" w:type="dxa"/>
          </w:tcPr>
          <w:p w14:paraId="759344FC" w14:textId="77777777" w:rsidR="005B7D21" w:rsidRPr="00E81D1D" w:rsidRDefault="005B7D21" w:rsidP="005B7D21">
            <w:pPr>
              <w:pStyle w:val="BodyText"/>
              <w:spacing w:after="0"/>
              <w:rPr>
                <w:rFonts w:asciiTheme="minorHAnsi" w:hAnsiTheme="minorHAnsi" w:cstheme="minorHAnsi"/>
                <w:sz w:val="22"/>
                <w:szCs w:val="22"/>
              </w:rPr>
            </w:pPr>
            <w:r w:rsidRPr="00E81D1D">
              <w:rPr>
                <w:rStyle w:val="normaltextrun"/>
                <w:rFonts w:asciiTheme="minorHAnsi" w:hAnsiTheme="minorHAnsi" w:cstheme="minorHAnsi"/>
                <w:sz w:val="22"/>
                <w:szCs w:val="22"/>
              </w:rPr>
              <w:t>In FY 2024, the penalty retention rate was 29.41%</w:t>
            </w:r>
            <w:r w:rsidRPr="00E81D1D">
              <w:rPr>
                <w:rFonts w:asciiTheme="minorHAnsi" w:hAnsiTheme="minorHAnsi" w:cstheme="minorHAnsi"/>
                <w:sz w:val="22"/>
                <w:szCs w:val="22"/>
              </w:rPr>
              <w:t>.</w:t>
            </w:r>
          </w:p>
          <w:p w14:paraId="0AB181BE" w14:textId="19B8F040" w:rsidR="009316ED" w:rsidRPr="00E81D1D" w:rsidRDefault="009316ED" w:rsidP="00C633A3">
            <w:pPr>
              <w:adjustRightInd/>
              <w:ind w:right="97"/>
              <w:rPr>
                <w:rFonts w:asciiTheme="minorHAnsi" w:hAnsiTheme="minorHAnsi" w:cstheme="minorHAnsi"/>
                <w:sz w:val="22"/>
                <w:szCs w:val="22"/>
              </w:rPr>
            </w:pPr>
          </w:p>
        </w:tc>
        <w:tc>
          <w:tcPr>
            <w:tcW w:w="3960" w:type="dxa"/>
          </w:tcPr>
          <w:p w14:paraId="0AB181C0" w14:textId="3BD15D64" w:rsidR="009316ED" w:rsidRPr="00E81D1D" w:rsidRDefault="009316ED" w:rsidP="00C633A3">
            <w:pPr>
              <w:adjustRightInd/>
              <w:ind w:right="137"/>
              <w:rPr>
                <w:rFonts w:asciiTheme="minorHAnsi" w:hAnsiTheme="minorHAnsi" w:cstheme="minorHAnsi"/>
                <w:sz w:val="22"/>
                <w:szCs w:val="22"/>
              </w:rPr>
            </w:pPr>
            <w:r w:rsidRPr="00E81D1D">
              <w:rPr>
                <w:rFonts w:asciiTheme="minorHAnsi" w:hAnsiTheme="minorHAnsi" w:cstheme="minorHAnsi"/>
                <w:sz w:val="22"/>
                <w:szCs w:val="22"/>
              </w:rPr>
              <w:t>OSHA</w:t>
            </w:r>
            <w:r w:rsidRPr="00E81D1D">
              <w:rPr>
                <w:rFonts w:asciiTheme="minorHAnsi" w:hAnsiTheme="minorHAnsi" w:cstheme="minorHAnsi"/>
                <w:spacing w:val="-5"/>
                <w:sz w:val="22"/>
                <w:szCs w:val="22"/>
              </w:rPr>
              <w:t xml:space="preserve"> </w:t>
            </w:r>
            <w:r w:rsidRPr="00E81D1D">
              <w:rPr>
                <w:rFonts w:asciiTheme="minorHAnsi" w:hAnsiTheme="minorHAnsi" w:cstheme="minorHAnsi"/>
                <w:sz w:val="22"/>
                <w:szCs w:val="22"/>
              </w:rPr>
              <w:t>will</w:t>
            </w:r>
            <w:r w:rsidRPr="00E81D1D">
              <w:rPr>
                <w:rFonts w:asciiTheme="minorHAnsi" w:hAnsiTheme="minorHAnsi" w:cstheme="minorHAnsi"/>
                <w:spacing w:val="-4"/>
                <w:sz w:val="22"/>
                <w:szCs w:val="22"/>
              </w:rPr>
              <w:t xml:space="preserve"> continue to </w:t>
            </w:r>
            <w:r w:rsidRPr="00E81D1D">
              <w:rPr>
                <w:rFonts w:asciiTheme="minorHAnsi" w:hAnsiTheme="minorHAnsi" w:cstheme="minorHAnsi"/>
                <w:sz w:val="22"/>
                <w:szCs w:val="22"/>
              </w:rPr>
              <w:t>monitor</w:t>
            </w:r>
            <w:r w:rsidRPr="00E81D1D">
              <w:rPr>
                <w:rFonts w:asciiTheme="minorHAnsi" w:hAnsiTheme="minorHAnsi" w:cstheme="minorHAnsi"/>
                <w:spacing w:val="-5"/>
                <w:sz w:val="22"/>
                <w:szCs w:val="22"/>
              </w:rPr>
              <w:t xml:space="preserve"> </w:t>
            </w:r>
            <w:r w:rsidRPr="00E81D1D">
              <w:rPr>
                <w:rFonts w:asciiTheme="minorHAnsi" w:hAnsiTheme="minorHAnsi" w:cstheme="minorHAnsi"/>
                <w:sz w:val="22"/>
                <w:szCs w:val="22"/>
              </w:rPr>
              <w:t>quarterly and encourage the state to conduct training or change policies on penalty retention especially in cases where injuries have occurred and where high gravity serious violations are issued.</w:t>
            </w:r>
          </w:p>
        </w:tc>
        <w:tc>
          <w:tcPr>
            <w:tcW w:w="1440" w:type="dxa"/>
          </w:tcPr>
          <w:p w14:paraId="0AB181C2" w14:textId="08EE9710" w:rsidR="009316ED" w:rsidRPr="00E81D1D" w:rsidRDefault="009316ED" w:rsidP="00C633A3">
            <w:pPr>
              <w:adjustRightInd/>
              <w:spacing w:line="246" w:lineRule="exact"/>
              <w:rPr>
                <w:rFonts w:asciiTheme="minorHAnsi" w:hAnsiTheme="minorHAnsi" w:cstheme="minorHAnsi"/>
                <w:sz w:val="22"/>
                <w:szCs w:val="22"/>
              </w:rPr>
            </w:pPr>
            <w:r w:rsidRPr="00E81D1D">
              <w:rPr>
                <w:rFonts w:asciiTheme="minorHAnsi" w:hAnsiTheme="minorHAnsi" w:cstheme="minorHAnsi"/>
                <w:sz w:val="22"/>
                <w:szCs w:val="22"/>
              </w:rPr>
              <w:t xml:space="preserve">Continued </w:t>
            </w:r>
          </w:p>
        </w:tc>
      </w:tr>
      <w:tr w:rsidR="00F6729B" w:rsidRPr="00E81D1D" w14:paraId="0AB181CC" w14:textId="77777777" w:rsidTr="009F519A">
        <w:trPr>
          <w:trHeight w:val="1012"/>
        </w:trPr>
        <w:tc>
          <w:tcPr>
            <w:tcW w:w="1795" w:type="dxa"/>
          </w:tcPr>
          <w:p w14:paraId="0AB181C5" w14:textId="65192544" w:rsidR="00F6729B" w:rsidRPr="00E81D1D" w:rsidRDefault="00C633A3" w:rsidP="00626633">
            <w:pPr>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FY 2024-OB-</w:t>
            </w:r>
            <w:r w:rsidR="00983542" w:rsidRPr="00E81D1D">
              <w:rPr>
                <w:rFonts w:asciiTheme="minorHAnsi" w:hAnsiTheme="minorHAnsi" w:cstheme="minorHAnsi"/>
                <w:sz w:val="22"/>
                <w:szCs w:val="22"/>
              </w:rPr>
              <w:t>0</w:t>
            </w:r>
            <w:r w:rsidR="001B6C46">
              <w:rPr>
                <w:rFonts w:asciiTheme="minorHAnsi" w:hAnsiTheme="minorHAnsi" w:cstheme="minorHAnsi"/>
                <w:sz w:val="22"/>
                <w:szCs w:val="22"/>
              </w:rPr>
              <w:t>4</w:t>
            </w:r>
          </w:p>
        </w:tc>
        <w:tc>
          <w:tcPr>
            <w:tcW w:w="1805" w:type="dxa"/>
          </w:tcPr>
          <w:p w14:paraId="0AB181C6" w14:textId="44AAB6F4" w:rsidR="00F6729B" w:rsidRPr="00E81D1D" w:rsidRDefault="00F6729B" w:rsidP="00F6729B">
            <w:pPr>
              <w:adjustRightInd/>
              <w:rPr>
                <w:rFonts w:asciiTheme="minorHAnsi" w:hAnsiTheme="minorHAnsi" w:cstheme="minorHAnsi"/>
                <w:sz w:val="22"/>
                <w:szCs w:val="22"/>
              </w:rPr>
            </w:pPr>
            <w:r w:rsidRPr="00E81D1D">
              <w:rPr>
                <w:rStyle w:val="normaltextrun"/>
                <w:rFonts w:asciiTheme="minorHAnsi" w:hAnsiTheme="minorHAnsi" w:cstheme="minorHAnsi"/>
                <w:sz w:val="22"/>
                <w:szCs w:val="22"/>
              </w:rPr>
              <w:t>FY 2023-OB-07</w:t>
            </w:r>
          </w:p>
        </w:tc>
        <w:tc>
          <w:tcPr>
            <w:tcW w:w="4680" w:type="dxa"/>
          </w:tcPr>
          <w:p w14:paraId="0AB181C8" w14:textId="34585611" w:rsidR="00F6729B" w:rsidRPr="00E81D1D" w:rsidRDefault="00F6729B" w:rsidP="00BD14BC">
            <w:pPr>
              <w:adjustRightInd/>
              <w:rPr>
                <w:rFonts w:asciiTheme="minorHAnsi" w:hAnsiTheme="minorHAnsi" w:cstheme="minorHAnsi"/>
                <w:sz w:val="22"/>
                <w:szCs w:val="22"/>
              </w:rPr>
            </w:pPr>
            <w:r w:rsidRPr="00E81D1D">
              <w:rPr>
                <w:rFonts w:asciiTheme="minorHAnsi" w:hAnsiTheme="minorHAnsi" w:cstheme="minorHAnsi"/>
                <w:iCs/>
                <w:sz w:val="22"/>
                <w:szCs w:val="22"/>
              </w:rPr>
              <w:t>In FY 2023, 33% (25 of 76) of retaliation case files lacked the required documentation, specifically proof of delivery of official letters.</w:t>
            </w:r>
          </w:p>
        </w:tc>
        <w:tc>
          <w:tcPr>
            <w:tcW w:w="3960" w:type="dxa"/>
          </w:tcPr>
          <w:p w14:paraId="0AB181C9" w14:textId="39A0D7BE" w:rsidR="00F6729B" w:rsidRPr="00E81D1D" w:rsidRDefault="00F6729B" w:rsidP="00C633A3">
            <w:pPr>
              <w:adjustRightInd/>
              <w:ind w:right="137"/>
              <w:rPr>
                <w:rFonts w:asciiTheme="minorHAnsi" w:hAnsiTheme="minorHAnsi" w:cstheme="minorHAnsi"/>
                <w:sz w:val="22"/>
                <w:szCs w:val="22"/>
              </w:rPr>
            </w:pPr>
            <w:r w:rsidRPr="00E81D1D">
              <w:rPr>
                <w:rFonts w:asciiTheme="minorHAnsi" w:hAnsiTheme="minorHAnsi" w:cstheme="minorHAnsi"/>
                <w:sz w:val="22"/>
                <w:szCs w:val="22"/>
              </w:rPr>
              <w:t>OSHA will monitor the lack of required documentation during quarterly meetings with AKOSH.</w:t>
            </w:r>
          </w:p>
        </w:tc>
        <w:tc>
          <w:tcPr>
            <w:tcW w:w="1440" w:type="dxa"/>
          </w:tcPr>
          <w:p w14:paraId="0AB181CB" w14:textId="5F60E483" w:rsidR="00F6729B" w:rsidRPr="00E81D1D" w:rsidRDefault="00F6729B" w:rsidP="00C633A3">
            <w:pPr>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 xml:space="preserve">Continued </w:t>
            </w:r>
          </w:p>
        </w:tc>
      </w:tr>
      <w:tr w:rsidR="00F6729B" w:rsidRPr="00E81D1D" w14:paraId="0AB181D5" w14:textId="77777777" w:rsidTr="009F519A">
        <w:trPr>
          <w:trHeight w:val="1012"/>
        </w:trPr>
        <w:tc>
          <w:tcPr>
            <w:tcW w:w="1795" w:type="dxa"/>
          </w:tcPr>
          <w:p w14:paraId="0AB181CE" w14:textId="6CDFB493" w:rsidR="00F6729B" w:rsidRPr="00E81D1D" w:rsidRDefault="00C633A3" w:rsidP="00626633">
            <w:pPr>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FY 2024-OB-</w:t>
            </w:r>
            <w:r w:rsidR="00983542" w:rsidRPr="00E81D1D">
              <w:rPr>
                <w:rFonts w:asciiTheme="minorHAnsi" w:hAnsiTheme="minorHAnsi" w:cstheme="minorHAnsi"/>
                <w:sz w:val="22"/>
                <w:szCs w:val="22"/>
              </w:rPr>
              <w:t>0</w:t>
            </w:r>
            <w:r w:rsidR="001B6C46">
              <w:rPr>
                <w:rFonts w:asciiTheme="minorHAnsi" w:hAnsiTheme="minorHAnsi" w:cstheme="minorHAnsi"/>
                <w:sz w:val="22"/>
                <w:szCs w:val="22"/>
              </w:rPr>
              <w:t>5</w:t>
            </w:r>
          </w:p>
        </w:tc>
        <w:tc>
          <w:tcPr>
            <w:tcW w:w="1805" w:type="dxa"/>
          </w:tcPr>
          <w:p w14:paraId="0AB181CF" w14:textId="58DD84A5" w:rsidR="00F6729B" w:rsidRPr="00E81D1D" w:rsidRDefault="00F6729B" w:rsidP="00F6729B">
            <w:pPr>
              <w:adjustRightInd/>
              <w:rPr>
                <w:rFonts w:asciiTheme="minorHAnsi" w:hAnsiTheme="minorHAnsi" w:cstheme="minorHAnsi"/>
                <w:sz w:val="22"/>
                <w:szCs w:val="22"/>
              </w:rPr>
            </w:pPr>
            <w:r w:rsidRPr="00E81D1D">
              <w:rPr>
                <w:rStyle w:val="normaltextrun"/>
                <w:rFonts w:asciiTheme="minorHAnsi" w:hAnsiTheme="minorHAnsi" w:cstheme="minorHAnsi"/>
                <w:sz w:val="22"/>
                <w:szCs w:val="22"/>
              </w:rPr>
              <w:t>FY 2023-OB-08</w:t>
            </w:r>
          </w:p>
        </w:tc>
        <w:tc>
          <w:tcPr>
            <w:tcW w:w="4680" w:type="dxa"/>
          </w:tcPr>
          <w:p w14:paraId="27BB0234" w14:textId="77777777" w:rsidR="00F6729B" w:rsidRPr="00E81D1D" w:rsidRDefault="00F6729B" w:rsidP="00F6729B">
            <w:pPr>
              <w:widowControl/>
              <w:tabs>
                <w:tab w:val="left" w:pos="1350"/>
              </w:tabs>
              <w:autoSpaceDE/>
              <w:adjustRightInd/>
              <w:rPr>
                <w:rFonts w:asciiTheme="minorHAnsi" w:hAnsiTheme="minorHAnsi" w:cstheme="minorHAnsi"/>
                <w:sz w:val="22"/>
                <w:szCs w:val="22"/>
              </w:rPr>
            </w:pPr>
            <w:r w:rsidRPr="00E81D1D">
              <w:rPr>
                <w:rFonts w:asciiTheme="minorHAnsi" w:hAnsiTheme="minorHAnsi" w:cstheme="minorHAnsi"/>
                <w:sz w:val="22"/>
                <w:szCs w:val="22"/>
              </w:rPr>
              <w:t>In FY 2023, five of 11 (45%) state and local government consultation visit files did not use appropriate emphasis codes.</w:t>
            </w:r>
          </w:p>
          <w:p w14:paraId="0AB181D1" w14:textId="2C64F01A" w:rsidR="00F6729B" w:rsidRPr="00E81D1D" w:rsidRDefault="00F6729B" w:rsidP="00F6729B">
            <w:pPr>
              <w:adjustRightInd/>
              <w:ind w:left="108" w:right="97"/>
              <w:rPr>
                <w:rFonts w:asciiTheme="minorHAnsi" w:hAnsiTheme="minorHAnsi" w:cstheme="minorHAnsi"/>
                <w:sz w:val="22"/>
                <w:szCs w:val="22"/>
              </w:rPr>
            </w:pPr>
          </w:p>
        </w:tc>
        <w:tc>
          <w:tcPr>
            <w:tcW w:w="3960" w:type="dxa"/>
          </w:tcPr>
          <w:p w14:paraId="24E4998C" w14:textId="77777777" w:rsidR="00F6729B" w:rsidRPr="00E81D1D" w:rsidRDefault="00F6729B" w:rsidP="00F6729B">
            <w:pPr>
              <w:widowControl/>
              <w:tabs>
                <w:tab w:val="left" w:pos="1350"/>
              </w:tabs>
              <w:autoSpaceDE/>
              <w:adjustRightInd/>
              <w:rPr>
                <w:rFonts w:asciiTheme="minorHAnsi" w:hAnsiTheme="minorHAnsi" w:cstheme="minorHAnsi"/>
                <w:sz w:val="22"/>
                <w:szCs w:val="22"/>
              </w:rPr>
            </w:pPr>
            <w:r w:rsidRPr="00E81D1D">
              <w:rPr>
                <w:rFonts w:asciiTheme="minorHAnsi" w:hAnsiTheme="minorHAnsi" w:cstheme="minorHAnsi"/>
                <w:sz w:val="22"/>
                <w:szCs w:val="22"/>
              </w:rPr>
              <w:t xml:space="preserve">OSHA will work with AKOSH and send them updated coding sheets and provide training to consultants as needed. </w:t>
            </w:r>
          </w:p>
          <w:p w14:paraId="0AB181D2" w14:textId="22FB21CA" w:rsidR="00F6729B" w:rsidRPr="00E81D1D" w:rsidRDefault="00F6729B" w:rsidP="00F6729B">
            <w:pPr>
              <w:adjustRightInd/>
              <w:ind w:left="109" w:right="137" w:firstLine="26"/>
              <w:rPr>
                <w:rFonts w:asciiTheme="minorHAnsi" w:hAnsiTheme="minorHAnsi" w:cstheme="minorHAnsi"/>
                <w:sz w:val="22"/>
                <w:szCs w:val="22"/>
              </w:rPr>
            </w:pPr>
          </w:p>
        </w:tc>
        <w:tc>
          <w:tcPr>
            <w:tcW w:w="1440" w:type="dxa"/>
          </w:tcPr>
          <w:p w14:paraId="0AB181D4" w14:textId="690D7D4E" w:rsidR="00F6729B" w:rsidRPr="00E81D1D" w:rsidRDefault="00F6729B" w:rsidP="00C633A3">
            <w:pPr>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 xml:space="preserve">Continued </w:t>
            </w:r>
          </w:p>
        </w:tc>
      </w:tr>
      <w:tr w:rsidR="004F38FC" w:rsidRPr="00E81D1D" w14:paraId="0AB181DE" w14:textId="77777777" w:rsidTr="009F519A">
        <w:trPr>
          <w:trHeight w:val="1012"/>
        </w:trPr>
        <w:tc>
          <w:tcPr>
            <w:tcW w:w="1795" w:type="dxa"/>
          </w:tcPr>
          <w:p w14:paraId="0AB181D7" w14:textId="18F7307D" w:rsidR="004F38FC" w:rsidRPr="00E81D1D" w:rsidRDefault="00C633A3" w:rsidP="00626633">
            <w:pPr>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FY 2024-OB-</w:t>
            </w:r>
            <w:r w:rsidR="00983542" w:rsidRPr="00E81D1D">
              <w:rPr>
                <w:rFonts w:asciiTheme="minorHAnsi" w:hAnsiTheme="minorHAnsi" w:cstheme="minorHAnsi"/>
                <w:sz w:val="22"/>
                <w:szCs w:val="22"/>
              </w:rPr>
              <w:t>0</w:t>
            </w:r>
            <w:r w:rsidR="001B6C46">
              <w:rPr>
                <w:rFonts w:asciiTheme="minorHAnsi" w:hAnsiTheme="minorHAnsi" w:cstheme="minorHAnsi"/>
                <w:sz w:val="22"/>
                <w:szCs w:val="22"/>
              </w:rPr>
              <w:t>6</w:t>
            </w:r>
          </w:p>
        </w:tc>
        <w:tc>
          <w:tcPr>
            <w:tcW w:w="1805" w:type="dxa"/>
          </w:tcPr>
          <w:p w14:paraId="0AB181D8" w14:textId="09DE05BC" w:rsidR="004F38FC" w:rsidRPr="00E81D1D" w:rsidRDefault="004F38FC" w:rsidP="004F38FC">
            <w:pPr>
              <w:adjustRightInd/>
              <w:rPr>
                <w:rFonts w:asciiTheme="minorHAnsi" w:hAnsiTheme="minorHAnsi" w:cstheme="minorHAnsi"/>
                <w:sz w:val="22"/>
                <w:szCs w:val="22"/>
              </w:rPr>
            </w:pPr>
            <w:r w:rsidRPr="00E81D1D">
              <w:rPr>
                <w:rStyle w:val="normaltextrun"/>
                <w:rFonts w:asciiTheme="minorHAnsi" w:hAnsiTheme="minorHAnsi" w:cstheme="minorHAnsi"/>
                <w:sz w:val="22"/>
                <w:szCs w:val="22"/>
              </w:rPr>
              <w:t>FY 2023-OB-09</w:t>
            </w:r>
          </w:p>
        </w:tc>
        <w:tc>
          <w:tcPr>
            <w:tcW w:w="4680" w:type="dxa"/>
          </w:tcPr>
          <w:p w14:paraId="0AB181DA" w14:textId="6156F97F" w:rsidR="004F38FC" w:rsidRPr="00E81D1D" w:rsidRDefault="004F38FC" w:rsidP="00C633A3">
            <w:pPr>
              <w:adjustRightInd/>
              <w:ind w:right="97"/>
              <w:rPr>
                <w:rFonts w:asciiTheme="minorHAnsi" w:hAnsiTheme="minorHAnsi" w:cstheme="minorHAnsi"/>
                <w:sz w:val="22"/>
                <w:szCs w:val="22"/>
              </w:rPr>
            </w:pPr>
            <w:r w:rsidRPr="00E81D1D">
              <w:rPr>
                <w:rFonts w:asciiTheme="minorHAnsi" w:hAnsiTheme="minorHAnsi" w:cstheme="minorHAnsi"/>
                <w:sz w:val="22"/>
                <w:szCs w:val="22"/>
              </w:rPr>
              <w:t>In FY 2023, three of 11 (27%) state and local government consultation files had incorrect OSHA standards for hazards identified.</w:t>
            </w:r>
          </w:p>
        </w:tc>
        <w:tc>
          <w:tcPr>
            <w:tcW w:w="3960" w:type="dxa"/>
          </w:tcPr>
          <w:p w14:paraId="0AB181DB" w14:textId="1D90DA45" w:rsidR="004F38FC" w:rsidRPr="00E81D1D" w:rsidRDefault="004F38FC" w:rsidP="00C633A3">
            <w:pPr>
              <w:adjustRightInd/>
              <w:ind w:right="137"/>
              <w:rPr>
                <w:rFonts w:asciiTheme="minorHAnsi" w:hAnsiTheme="minorHAnsi" w:cstheme="minorHAnsi"/>
                <w:sz w:val="22"/>
                <w:szCs w:val="22"/>
              </w:rPr>
            </w:pPr>
            <w:r w:rsidRPr="00E81D1D">
              <w:rPr>
                <w:rFonts w:asciiTheme="minorHAnsi" w:hAnsiTheme="minorHAnsi" w:cstheme="minorHAnsi"/>
                <w:sz w:val="22"/>
                <w:szCs w:val="22"/>
              </w:rPr>
              <w:t>OSHA will monitor AKOSH to ensure they are providing refresher training for consultants for 1910, 1926, and 1915 standards.</w:t>
            </w:r>
          </w:p>
        </w:tc>
        <w:tc>
          <w:tcPr>
            <w:tcW w:w="1440" w:type="dxa"/>
          </w:tcPr>
          <w:p w14:paraId="0AB181DD" w14:textId="7299D46B" w:rsidR="004F38FC" w:rsidRPr="00E81D1D" w:rsidRDefault="004F38FC" w:rsidP="00C633A3">
            <w:pPr>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Continued</w:t>
            </w:r>
          </w:p>
        </w:tc>
      </w:tr>
      <w:tr w:rsidR="004F38FC" w:rsidRPr="00E81D1D" w14:paraId="0AB181E7" w14:textId="77777777" w:rsidTr="009F519A">
        <w:trPr>
          <w:trHeight w:val="1012"/>
        </w:trPr>
        <w:tc>
          <w:tcPr>
            <w:tcW w:w="1795" w:type="dxa"/>
          </w:tcPr>
          <w:p w14:paraId="0AB181E0" w14:textId="0C5DAF01" w:rsidR="004F38FC" w:rsidRPr="00E81D1D" w:rsidRDefault="00C633A3" w:rsidP="00626633">
            <w:pPr>
              <w:tabs>
                <w:tab w:val="left" w:pos="872"/>
              </w:tabs>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FY 2024-OB-</w:t>
            </w:r>
            <w:r w:rsidR="005B7D21" w:rsidRPr="00E81D1D">
              <w:rPr>
                <w:rFonts w:asciiTheme="minorHAnsi" w:hAnsiTheme="minorHAnsi" w:cstheme="minorHAnsi"/>
                <w:sz w:val="22"/>
                <w:szCs w:val="22"/>
              </w:rPr>
              <w:t>0</w:t>
            </w:r>
            <w:r w:rsidR="001B6C46">
              <w:rPr>
                <w:rFonts w:asciiTheme="minorHAnsi" w:hAnsiTheme="minorHAnsi" w:cstheme="minorHAnsi"/>
                <w:sz w:val="22"/>
                <w:szCs w:val="22"/>
              </w:rPr>
              <w:t>7</w:t>
            </w:r>
          </w:p>
        </w:tc>
        <w:tc>
          <w:tcPr>
            <w:tcW w:w="1805" w:type="dxa"/>
          </w:tcPr>
          <w:p w14:paraId="0AB181E1" w14:textId="3931BB08" w:rsidR="004F38FC" w:rsidRPr="00E81D1D" w:rsidRDefault="004F38FC" w:rsidP="004F38FC">
            <w:pPr>
              <w:adjustRightInd/>
              <w:rPr>
                <w:rFonts w:asciiTheme="minorHAnsi" w:hAnsiTheme="minorHAnsi" w:cstheme="minorHAnsi"/>
                <w:sz w:val="22"/>
                <w:szCs w:val="22"/>
              </w:rPr>
            </w:pPr>
            <w:r w:rsidRPr="00E81D1D">
              <w:rPr>
                <w:rStyle w:val="normaltextrun"/>
                <w:rFonts w:asciiTheme="minorHAnsi" w:hAnsiTheme="minorHAnsi" w:cstheme="minorHAnsi"/>
                <w:sz w:val="22"/>
                <w:szCs w:val="22"/>
              </w:rPr>
              <w:t>FY 2023-OB-10</w:t>
            </w:r>
          </w:p>
        </w:tc>
        <w:tc>
          <w:tcPr>
            <w:tcW w:w="4680" w:type="dxa"/>
          </w:tcPr>
          <w:p w14:paraId="0AB181E3" w14:textId="44CE9791" w:rsidR="004F38FC" w:rsidRPr="00E81D1D" w:rsidRDefault="004F38FC" w:rsidP="00C633A3">
            <w:pPr>
              <w:adjustRightInd/>
              <w:ind w:right="97"/>
              <w:rPr>
                <w:rFonts w:asciiTheme="minorHAnsi" w:hAnsiTheme="minorHAnsi" w:cstheme="minorHAnsi"/>
                <w:sz w:val="22"/>
                <w:szCs w:val="22"/>
              </w:rPr>
            </w:pPr>
            <w:r w:rsidRPr="00E81D1D">
              <w:rPr>
                <w:rFonts w:asciiTheme="minorHAnsi" w:hAnsiTheme="minorHAnsi" w:cstheme="minorHAnsi"/>
                <w:iCs/>
                <w:sz w:val="22"/>
                <w:szCs w:val="22"/>
              </w:rPr>
              <w:t>In FY 2023, in seven of nine (78%) state and local government consultation visit files the consultant did not provide the list of hazards to the employee representative at union sites.</w:t>
            </w:r>
          </w:p>
        </w:tc>
        <w:tc>
          <w:tcPr>
            <w:tcW w:w="3960" w:type="dxa"/>
          </w:tcPr>
          <w:p w14:paraId="0AB181E4" w14:textId="412172D3" w:rsidR="004F38FC" w:rsidRPr="00E81D1D" w:rsidRDefault="004F38FC" w:rsidP="00C633A3">
            <w:pPr>
              <w:adjustRightInd/>
              <w:ind w:right="137"/>
              <w:rPr>
                <w:rFonts w:asciiTheme="minorHAnsi" w:hAnsiTheme="minorHAnsi" w:cstheme="minorHAnsi"/>
                <w:sz w:val="22"/>
                <w:szCs w:val="22"/>
              </w:rPr>
            </w:pPr>
            <w:r w:rsidRPr="00E81D1D">
              <w:rPr>
                <w:rFonts w:asciiTheme="minorHAnsi" w:hAnsiTheme="minorHAnsi" w:cstheme="minorHAnsi"/>
                <w:sz w:val="22"/>
                <w:szCs w:val="22"/>
              </w:rPr>
              <w:t>OSHA will ask AKOSH during quarterly meetings if they are providing the list of hazards to Union sites as a reminder and to keep it in their awareness.</w:t>
            </w:r>
          </w:p>
        </w:tc>
        <w:tc>
          <w:tcPr>
            <w:tcW w:w="1440" w:type="dxa"/>
          </w:tcPr>
          <w:p w14:paraId="00160F01" w14:textId="0AD72C43" w:rsidR="004F38FC" w:rsidRPr="00E81D1D" w:rsidRDefault="004F38FC" w:rsidP="00C633A3">
            <w:pPr>
              <w:adjustRightInd/>
              <w:spacing w:line="247" w:lineRule="exact"/>
              <w:rPr>
                <w:rFonts w:asciiTheme="minorHAnsi" w:hAnsiTheme="minorHAnsi" w:cstheme="minorHAnsi"/>
                <w:sz w:val="22"/>
                <w:szCs w:val="22"/>
              </w:rPr>
            </w:pPr>
            <w:r w:rsidRPr="00E81D1D">
              <w:rPr>
                <w:rFonts w:asciiTheme="minorHAnsi" w:hAnsiTheme="minorHAnsi" w:cstheme="minorHAnsi"/>
                <w:sz w:val="22"/>
                <w:szCs w:val="22"/>
              </w:rPr>
              <w:t xml:space="preserve">Continued </w:t>
            </w:r>
          </w:p>
          <w:p w14:paraId="0AB181E6" w14:textId="77777777" w:rsidR="004F38FC" w:rsidRPr="00E81D1D" w:rsidRDefault="004F38FC" w:rsidP="004F38FC">
            <w:pPr>
              <w:adjustRightInd/>
              <w:spacing w:line="246" w:lineRule="exact"/>
              <w:ind w:left="111" w:hanging="3"/>
              <w:rPr>
                <w:rFonts w:asciiTheme="minorHAnsi" w:hAnsiTheme="minorHAnsi" w:cstheme="minorHAnsi"/>
                <w:spacing w:val="-5"/>
                <w:sz w:val="22"/>
                <w:szCs w:val="22"/>
              </w:rPr>
            </w:pPr>
          </w:p>
        </w:tc>
      </w:tr>
      <w:tr w:rsidR="00B341E7" w:rsidRPr="00E81D1D" w14:paraId="51E23AB7" w14:textId="77777777" w:rsidTr="009F519A">
        <w:trPr>
          <w:trHeight w:val="1012"/>
        </w:trPr>
        <w:tc>
          <w:tcPr>
            <w:tcW w:w="1795" w:type="dxa"/>
          </w:tcPr>
          <w:p w14:paraId="112C8948" w14:textId="51C3FDDC" w:rsidR="00B341E7" w:rsidRDefault="00B341E7" w:rsidP="00B341E7">
            <w:pPr>
              <w:tabs>
                <w:tab w:val="left" w:pos="872"/>
              </w:tabs>
              <w:adjustRightInd/>
              <w:spacing w:line="247" w:lineRule="exact"/>
              <w:rPr>
                <w:rFonts w:asciiTheme="minorHAnsi" w:hAnsiTheme="minorHAnsi" w:cstheme="minorHAnsi"/>
                <w:sz w:val="22"/>
                <w:szCs w:val="22"/>
              </w:rPr>
            </w:pPr>
            <w:r>
              <w:rPr>
                <w:rFonts w:asciiTheme="minorHAnsi" w:hAnsiTheme="minorHAnsi" w:cstheme="minorHAnsi"/>
                <w:sz w:val="22"/>
                <w:szCs w:val="22"/>
              </w:rPr>
              <w:t>Not Applicable</w:t>
            </w:r>
          </w:p>
        </w:tc>
        <w:tc>
          <w:tcPr>
            <w:tcW w:w="1805" w:type="dxa"/>
          </w:tcPr>
          <w:p w14:paraId="7445D44C" w14:textId="77777777" w:rsidR="00B341E7" w:rsidRPr="00E81D1D" w:rsidRDefault="00B341E7" w:rsidP="00B341E7">
            <w:pPr>
              <w:widowControl/>
              <w:autoSpaceDE/>
              <w:adjustRightInd/>
              <w:rPr>
                <w:rFonts w:asciiTheme="minorHAnsi" w:hAnsiTheme="minorHAnsi" w:cstheme="minorHAnsi"/>
                <w:sz w:val="22"/>
                <w:szCs w:val="22"/>
              </w:rPr>
            </w:pPr>
            <w:r w:rsidRPr="00E81D1D">
              <w:rPr>
                <w:rStyle w:val="normaltextrun"/>
                <w:rFonts w:asciiTheme="minorHAnsi" w:hAnsiTheme="minorHAnsi" w:cstheme="minorHAnsi"/>
                <w:sz w:val="22"/>
                <w:szCs w:val="22"/>
              </w:rPr>
              <w:t>FY 2023-OB-01</w:t>
            </w:r>
          </w:p>
          <w:p w14:paraId="749B3943" w14:textId="77777777" w:rsidR="00B341E7" w:rsidRDefault="00B341E7" w:rsidP="00B341E7">
            <w:pPr>
              <w:adjustRightInd/>
              <w:rPr>
                <w:rStyle w:val="normaltextrun"/>
                <w:rFonts w:asciiTheme="minorHAnsi" w:hAnsiTheme="minorHAnsi" w:cstheme="minorHAnsi"/>
                <w:sz w:val="22"/>
                <w:szCs w:val="22"/>
              </w:rPr>
            </w:pPr>
          </w:p>
        </w:tc>
        <w:tc>
          <w:tcPr>
            <w:tcW w:w="4680" w:type="dxa"/>
          </w:tcPr>
          <w:p w14:paraId="01F0C2B1" w14:textId="4B5B6C93" w:rsidR="00B341E7" w:rsidRDefault="001B6C46" w:rsidP="00B341E7">
            <w:pPr>
              <w:adjustRightInd/>
              <w:ind w:right="97"/>
              <w:rPr>
                <w:rFonts w:asciiTheme="minorHAnsi" w:hAnsiTheme="minorHAnsi" w:cstheme="minorHAnsi"/>
                <w:iCs/>
                <w:sz w:val="22"/>
                <w:szCs w:val="22"/>
              </w:rPr>
            </w:pPr>
            <w:r w:rsidRPr="008329DE">
              <w:rPr>
                <w:rFonts w:asciiTheme="minorHAnsi" w:hAnsiTheme="minorHAnsi" w:cstheme="minorHAnsi"/>
                <w:sz w:val="22"/>
                <w:szCs w:val="22"/>
              </w:rPr>
              <w:t xml:space="preserve">In FY 2023, the average workdays to respond to complaints was </w:t>
            </w:r>
            <w:r>
              <w:rPr>
                <w:rFonts w:asciiTheme="minorHAnsi" w:hAnsiTheme="minorHAnsi" w:cstheme="minorHAnsi"/>
                <w:sz w:val="22"/>
                <w:szCs w:val="22"/>
              </w:rPr>
              <w:t>four</w:t>
            </w:r>
            <w:r w:rsidRPr="008329DE">
              <w:rPr>
                <w:rFonts w:asciiTheme="minorHAnsi" w:hAnsiTheme="minorHAnsi" w:cstheme="minorHAnsi"/>
                <w:sz w:val="22"/>
                <w:szCs w:val="22"/>
              </w:rPr>
              <w:t xml:space="preserve"> days</w:t>
            </w:r>
            <w:r>
              <w:rPr>
                <w:rFonts w:asciiTheme="minorHAnsi" w:hAnsiTheme="minorHAnsi" w:cstheme="minorHAnsi"/>
                <w:sz w:val="22"/>
                <w:szCs w:val="22"/>
              </w:rPr>
              <w:t>,</w:t>
            </w:r>
            <w:r w:rsidRPr="008329DE">
              <w:rPr>
                <w:rFonts w:asciiTheme="minorHAnsi" w:hAnsiTheme="minorHAnsi" w:cstheme="minorHAnsi"/>
                <w:sz w:val="22"/>
                <w:szCs w:val="22"/>
              </w:rPr>
              <w:t xml:space="preserve"> which is above the negotiated goal of one day.</w:t>
            </w:r>
          </w:p>
        </w:tc>
        <w:tc>
          <w:tcPr>
            <w:tcW w:w="3960" w:type="dxa"/>
          </w:tcPr>
          <w:p w14:paraId="0C69C3D1" w14:textId="166A8461" w:rsidR="00B341E7" w:rsidRPr="005603FB" w:rsidRDefault="00B341E7" w:rsidP="00B341E7">
            <w:pPr>
              <w:adjustRightInd/>
              <w:ind w:right="137"/>
              <w:rPr>
                <w:rFonts w:asciiTheme="minorHAnsi" w:hAnsiTheme="minorHAnsi" w:cstheme="minorHAnsi"/>
                <w:sz w:val="22"/>
                <w:szCs w:val="22"/>
              </w:rPr>
            </w:pPr>
            <w:r w:rsidRPr="00E81D1D">
              <w:rPr>
                <w:rFonts w:asciiTheme="minorHAnsi" w:hAnsiTheme="minorHAnsi" w:cstheme="minorHAnsi"/>
                <w:sz w:val="22"/>
                <w:szCs w:val="22"/>
              </w:rPr>
              <w:t>OSHA</w:t>
            </w:r>
            <w:r w:rsidRPr="00E81D1D">
              <w:rPr>
                <w:rFonts w:asciiTheme="minorHAnsi" w:hAnsiTheme="minorHAnsi" w:cstheme="minorHAnsi"/>
                <w:spacing w:val="-5"/>
                <w:sz w:val="22"/>
                <w:szCs w:val="22"/>
              </w:rPr>
              <w:t xml:space="preserve"> </w:t>
            </w:r>
            <w:r w:rsidRPr="00E81D1D">
              <w:rPr>
                <w:rFonts w:asciiTheme="minorHAnsi" w:hAnsiTheme="minorHAnsi" w:cstheme="minorHAnsi"/>
                <w:sz w:val="22"/>
                <w:szCs w:val="22"/>
              </w:rPr>
              <w:t>will</w:t>
            </w:r>
            <w:r w:rsidRPr="00E81D1D">
              <w:rPr>
                <w:rFonts w:asciiTheme="minorHAnsi" w:hAnsiTheme="minorHAnsi" w:cstheme="minorHAnsi"/>
                <w:spacing w:val="-4"/>
                <w:sz w:val="22"/>
                <w:szCs w:val="22"/>
              </w:rPr>
              <w:t xml:space="preserve"> continue to </w:t>
            </w:r>
            <w:r w:rsidRPr="00E81D1D">
              <w:rPr>
                <w:rFonts w:asciiTheme="minorHAnsi" w:hAnsiTheme="minorHAnsi" w:cstheme="minorHAnsi"/>
                <w:sz w:val="22"/>
                <w:szCs w:val="22"/>
              </w:rPr>
              <w:t>monitor</w:t>
            </w:r>
            <w:r w:rsidRPr="00E81D1D">
              <w:rPr>
                <w:rFonts w:asciiTheme="minorHAnsi" w:hAnsiTheme="minorHAnsi" w:cstheme="minorHAnsi"/>
                <w:spacing w:val="-5"/>
                <w:sz w:val="22"/>
                <w:szCs w:val="22"/>
              </w:rPr>
              <w:t xml:space="preserve"> </w:t>
            </w:r>
            <w:r w:rsidRPr="00E81D1D">
              <w:rPr>
                <w:rFonts w:asciiTheme="minorHAnsi" w:hAnsiTheme="minorHAnsi" w:cstheme="minorHAnsi"/>
                <w:sz w:val="22"/>
                <w:szCs w:val="22"/>
              </w:rPr>
              <w:t>quarterly and encourage the state to conduct training and periodic evaluations of complaint processing.</w:t>
            </w:r>
          </w:p>
        </w:tc>
        <w:tc>
          <w:tcPr>
            <w:tcW w:w="1440" w:type="dxa"/>
          </w:tcPr>
          <w:p w14:paraId="0F65318B" w14:textId="7BB11A89" w:rsidR="00B341E7" w:rsidRPr="00E81D1D" w:rsidRDefault="001B6C46" w:rsidP="00B341E7">
            <w:pPr>
              <w:adjustRightInd/>
              <w:rPr>
                <w:rFonts w:asciiTheme="minorHAnsi" w:hAnsiTheme="minorHAnsi" w:cstheme="minorHAnsi"/>
                <w:sz w:val="22"/>
                <w:szCs w:val="22"/>
              </w:rPr>
            </w:pPr>
            <w:r>
              <w:rPr>
                <w:rFonts w:asciiTheme="minorHAnsi" w:hAnsiTheme="minorHAnsi" w:cstheme="minorHAnsi"/>
                <w:sz w:val="22"/>
                <w:szCs w:val="22"/>
              </w:rPr>
              <w:t>Closed</w:t>
            </w:r>
          </w:p>
          <w:p w14:paraId="382A4CBB" w14:textId="77777777" w:rsidR="00B341E7" w:rsidRPr="00E81D1D" w:rsidRDefault="00B341E7" w:rsidP="00B341E7">
            <w:pPr>
              <w:adjustRightInd/>
              <w:ind w:left="111" w:hanging="3"/>
              <w:rPr>
                <w:rFonts w:asciiTheme="minorHAnsi" w:hAnsiTheme="minorHAnsi" w:cstheme="minorHAnsi"/>
                <w:sz w:val="22"/>
                <w:szCs w:val="22"/>
              </w:rPr>
            </w:pPr>
          </w:p>
          <w:p w14:paraId="5089CF4A" w14:textId="77777777" w:rsidR="00B341E7" w:rsidRDefault="00B341E7" w:rsidP="00B341E7">
            <w:pPr>
              <w:adjustRightInd/>
              <w:spacing w:line="247" w:lineRule="exact"/>
              <w:rPr>
                <w:rFonts w:asciiTheme="minorHAnsi" w:hAnsiTheme="minorHAnsi" w:cstheme="minorHAnsi"/>
                <w:sz w:val="22"/>
                <w:szCs w:val="22"/>
              </w:rPr>
            </w:pPr>
          </w:p>
        </w:tc>
      </w:tr>
      <w:tr w:rsidR="00B341E7" w:rsidRPr="00E81D1D" w14:paraId="25390AF6" w14:textId="77777777" w:rsidTr="009F519A">
        <w:trPr>
          <w:trHeight w:val="1012"/>
        </w:trPr>
        <w:tc>
          <w:tcPr>
            <w:tcW w:w="1795" w:type="dxa"/>
          </w:tcPr>
          <w:p w14:paraId="56EE4D9D" w14:textId="5287013C" w:rsidR="00B341E7" w:rsidRPr="00E81D1D" w:rsidRDefault="00B341E7" w:rsidP="00B341E7">
            <w:pPr>
              <w:tabs>
                <w:tab w:val="left" w:pos="872"/>
              </w:tabs>
              <w:adjustRightInd/>
              <w:spacing w:line="247" w:lineRule="exact"/>
              <w:rPr>
                <w:rFonts w:asciiTheme="minorHAnsi" w:hAnsiTheme="minorHAnsi" w:cstheme="minorHAnsi"/>
                <w:sz w:val="22"/>
                <w:szCs w:val="22"/>
              </w:rPr>
            </w:pPr>
            <w:r>
              <w:rPr>
                <w:rFonts w:asciiTheme="minorHAnsi" w:hAnsiTheme="minorHAnsi" w:cstheme="minorHAnsi"/>
                <w:sz w:val="22"/>
                <w:szCs w:val="22"/>
              </w:rPr>
              <w:t>Not Applicable</w:t>
            </w:r>
          </w:p>
        </w:tc>
        <w:tc>
          <w:tcPr>
            <w:tcW w:w="1805" w:type="dxa"/>
          </w:tcPr>
          <w:p w14:paraId="0F246963" w14:textId="42478A22" w:rsidR="00B341E7" w:rsidRPr="00E81D1D" w:rsidRDefault="00B341E7" w:rsidP="00B341E7">
            <w:pPr>
              <w:adjustRightInd/>
              <w:rPr>
                <w:rStyle w:val="normaltextrun"/>
                <w:rFonts w:asciiTheme="minorHAnsi" w:hAnsiTheme="minorHAnsi" w:cstheme="minorHAnsi"/>
                <w:sz w:val="22"/>
                <w:szCs w:val="22"/>
              </w:rPr>
            </w:pPr>
            <w:r>
              <w:rPr>
                <w:rStyle w:val="normaltextrun"/>
                <w:rFonts w:asciiTheme="minorHAnsi" w:hAnsiTheme="minorHAnsi" w:cstheme="minorHAnsi"/>
                <w:sz w:val="22"/>
                <w:szCs w:val="22"/>
              </w:rPr>
              <w:t>FY 2023-OB-03</w:t>
            </w:r>
          </w:p>
        </w:tc>
        <w:tc>
          <w:tcPr>
            <w:tcW w:w="4680" w:type="dxa"/>
          </w:tcPr>
          <w:p w14:paraId="02EBBD48" w14:textId="5082C99C" w:rsidR="00B341E7" w:rsidRPr="00E81D1D" w:rsidRDefault="00B341E7" w:rsidP="00B341E7">
            <w:pPr>
              <w:adjustRightInd/>
              <w:ind w:right="97"/>
              <w:rPr>
                <w:rFonts w:asciiTheme="minorHAnsi" w:hAnsiTheme="minorHAnsi" w:cstheme="minorHAnsi"/>
                <w:iCs/>
                <w:sz w:val="22"/>
                <w:szCs w:val="22"/>
              </w:rPr>
            </w:pPr>
            <w:r>
              <w:rPr>
                <w:rFonts w:asciiTheme="minorHAnsi" w:hAnsiTheme="minorHAnsi" w:cstheme="minorHAnsi"/>
                <w:iCs/>
                <w:sz w:val="22"/>
                <w:szCs w:val="22"/>
              </w:rPr>
              <w:t>In FY 2023, one of four (25%) fatalities in AKOSH’s jurisdiction was not opened as an inspection or investigation within one day as mandated (SAMM 10).</w:t>
            </w:r>
          </w:p>
        </w:tc>
        <w:tc>
          <w:tcPr>
            <w:tcW w:w="3960" w:type="dxa"/>
          </w:tcPr>
          <w:p w14:paraId="28C91D1E" w14:textId="3E324A49" w:rsidR="00B341E7" w:rsidRPr="00E81D1D" w:rsidRDefault="00B341E7" w:rsidP="00B341E7">
            <w:pPr>
              <w:adjustRightInd/>
              <w:ind w:right="137"/>
              <w:rPr>
                <w:rFonts w:asciiTheme="minorHAnsi" w:hAnsiTheme="minorHAnsi" w:cstheme="minorHAnsi"/>
                <w:sz w:val="22"/>
                <w:szCs w:val="22"/>
              </w:rPr>
            </w:pPr>
            <w:r w:rsidRPr="005603FB">
              <w:rPr>
                <w:rFonts w:asciiTheme="minorHAnsi" w:hAnsiTheme="minorHAnsi" w:cstheme="minorHAnsi"/>
                <w:sz w:val="22"/>
                <w:szCs w:val="22"/>
              </w:rPr>
              <w:t>OSHA</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will</w:t>
            </w:r>
            <w:r w:rsidRPr="005603FB">
              <w:rPr>
                <w:rFonts w:asciiTheme="minorHAnsi" w:hAnsiTheme="minorHAnsi" w:cstheme="minorHAnsi"/>
                <w:spacing w:val="-4"/>
                <w:sz w:val="22"/>
                <w:szCs w:val="22"/>
              </w:rPr>
              <w:t xml:space="preserve"> continue to </w:t>
            </w:r>
            <w:r w:rsidRPr="005603FB">
              <w:rPr>
                <w:rFonts w:asciiTheme="minorHAnsi" w:hAnsiTheme="minorHAnsi" w:cstheme="minorHAnsi"/>
                <w:sz w:val="22"/>
                <w:szCs w:val="22"/>
              </w:rPr>
              <w:t>monitor</w:t>
            </w:r>
            <w:r w:rsidRPr="005603FB">
              <w:rPr>
                <w:rFonts w:asciiTheme="minorHAnsi" w:hAnsiTheme="minorHAnsi" w:cstheme="minorHAnsi"/>
                <w:spacing w:val="-5"/>
                <w:sz w:val="22"/>
                <w:szCs w:val="22"/>
              </w:rPr>
              <w:t xml:space="preserve"> </w:t>
            </w:r>
            <w:r w:rsidRPr="005603FB">
              <w:rPr>
                <w:rFonts w:asciiTheme="minorHAnsi" w:hAnsiTheme="minorHAnsi" w:cstheme="minorHAnsi"/>
                <w:sz w:val="22"/>
                <w:szCs w:val="22"/>
              </w:rPr>
              <w:t xml:space="preserve">quarterly and encourage the state to conduct training and periodic evaluations of Fatality investigation prioritization and opening an investigation within </w:t>
            </w:r>
            <w:r>
              <w:rPr>
                <w:rFonts w:asciiTheme="minorHAnsi" w:hAnsiTheme="minorHAnsi" w:cstheme="minorHAnsi"/>
                <w:sz w:val="22"/>
                <w:szCs w:val="22"/>
              </w:rPr>
              <w:t>one</w:t>
            </w:r>
            <w:r w:rsidRPr="005603FB">
              <w:rPr>
                <w:rFonts w:asciiTheme="minorHAnsi" w:hAnsiTheme="minorHAnsi" w:cstheme="minorHAnsi"/>
                <w:sz w:val="22"/>
                <w:szCs w:val="22"/>
              </w:rPr>
              <w:t xml:space="preserve"> day.</w:t>
            </w:r>
          </w:p>
        </w:tc>
        <w:tc>
          <w:tcPr>
            <w:tcW w:w="1440" w:type="dxa"/>
          </w:tcPr>
          <w:p w14:paraId="466ED6F3" w14:textId="0A2110B2" w:rsidR="00B341E7" w:rsidRPr="00E81D1D" w:rsidRDefault="00B341E7" w:rsidP="00B341E7">
            <w:pPr>
              <w:adjustRightInd/>
              <w:spacing w:line="247" w:lineRule="exact"/>
              <w:rPr>
                <w:rFonts w:asciiTheme="minorHAnsi" w:hAnsiTheme="minorHAnsi" w:cstheme="minorHAnsi"/>
                <w:sz w:val="22"/>
                <w:szCs w:val="22"/>
              </w:rPr>
            </w:pPr>
            <w:r>
              <w:rPr>
                <w:rFonts w:asciiTheme="minorHAnsi" w:hAnsiTheme="minorHAnsi" w:cstheme="minorHAnsi"/>
                <w:sz w:val="22"/>
                <w:szCs w:val="22"/>
              </w:rPr>
              <w:t>Closed</w:t>
            </w:r>
          </w:p>
        </w:tc>
      </w:tr>
      <w:tr w:rsidR="00B341E7" w:rsidRPr="00E81D1D" w14:paraId="55B4D066" w14:textId="77777777" w:rsidTr="009F519A">
        <w:trPr>
          <w:trHeight w:val="1012"/>
        </w:trPr>
        <w:tc>
          <w:tcPr>
            <w:tcW w:w="1795" w:type="dxa"/>
          </w:tcPr>
          <w:p w14:paraId="0B69C89F" w14:textId="41E687DA" w:rsidR="00B341E7" w:rsidRPr="006777D9" w:rsidRDefault="00B341E7" w:rsidP="00B341E7">
            <w:pPr>
              <w:tabs>
                <w:tab w:val="left" w:pos="872"/>
              </w:tabs>
              <w:adjustRightInd/>
              <w:spacing w:line="247" w:lineRule="exact"/>
              <w:rPr>
                <w:rFonts w:asciiTheme="minorHAnsi" w:hAnsiTheme="minorHAnsi" w:cstheme="minorHAnsi"/>
                <w:sz w:val="22"/>
                <w:szCs w:val="22"/>
              </w:rPr>
            </w:pPr>
            <w:r w:rsidRPr="006777D9">
              <w:rPr>
                <w:rFonts w:asciiTheme="minorHAnsi" w:hAnsiTheme="minorHAnsi" w:cstheme="minorHAnsi"/>
                <w:sz w:val="22"/>
                <w:szCs w:val="22"/>
              </w:rPr>
              <w:t>Not Applicable</w:t>
            </w:r>
          </w:p>
        </w:tc>
        <w:tc>
          <w:tcPr>
            <w:tcW w:w="1805" w:type="dxa"/>
          </w:tcPr>
          <w:p w14:paraId="744230A9" w14:textId="4256B36A" w:rsidR="00B341E7" w:rsidRPr="006777D9" w:rsidRDefault="00B341E7" w:rsidP="00B341E7">
            <w:pPr>
              <w:adjustRightInd/>
              <w:rPr>
                <w:rStyle w:val="normaltextrun"/>
                <w:rFonts w:asciiTheme="minorHAnsi" w:hAnsiTheme="minorHAnsi" w:cstheme="minorHAnsi"/>
                <w:sz w:val="22"/>
                <w:szCs w:val="22"/>
              </w:rPr>
            </w:pPr>
            <w:r w:rsidRPr="006777D9">
              <w:rPr>
                <w:rFonts w:asciiTheme="minorHAnsi" w:hAnsiTheme="minorHAnsi" w:cstheme="minorHAnsi"/>
                <w:sz w:val="22"/>
                <w:szCs w:val="22"/>
              </w:rPr>
              <w:t>FY2023-OB-04</w:t>
            </w:r>
          </w:p>
        </w:tc>
        <w:tc>
          <w:tcPr>
            <w:tcW w:w="4680" w:type="dxa"/>
          </w:tcPr>
          <w:p w14:paraId="2A51A660" w14:textId="5E41DD47" w:rsidR="00B341E7" w:rsidRPr="006777D9" w:rsidRDefault="00B341E7" w:rsidP="00B341E7">
            <w:pPr>
              <w:adjustRightInd/>
              <w:ind w:right="97"/>
              <w:rPr>
                <w:rFonts w:asciiTheme="minorHAnsi" w:hAnsiTheme="minorHAnsi" w:cstheme="minorHAnsi"/>
                <w:iCs/>
                <w:sz w:val="22"/>
                <w:szCs w:val="22"/>
              </w:rPr>
            </w:pPr>
            <w:r w:rsidRPr="006777D9">
              <w:rPr>
                <w:rFonts w:asciiTheme="minorHAnsi" w:hAnsiTheme="minorHAnsi" w:cstheme="minorHAnsi"/>
                <w:iCs/>
                <w:sz w:val="22"/>
                <w:szCs w:val="22"/>
              </w:rPr>
              <w:t>In FY 2023, the inspection goals were not met.  The percentage of safety inspections conducted was 21% below the state negotiated goal. The percentage of health inspection</w:t>
            </w:r>
            <w:r w:rsidR="004668AF">
              <w:rPr>
                <w:rFonts w:asciiTheme="minorHAnsi" w:hAnsiTheme="minorHAnsi" w:cstheme="minorHAnsi"/>
                <w:iCs/>
                <w:sz w:val="22"/>
                <w:szCs w:val="22"/>
              </w:rPr>
              <w:t>s</w:t>
            </w:r>
            <w:r w:rsidRPr="006777D9">
              <w:rPr>
                <w:rFonts w:asciiTheme="minorHAnsi" w:hAnsiTheme="minorHAnsi" w:cstheme="minorHAnsi"/>
                <w:iCs/>
                <w:sz w:val="22"/>
                <w:szCs w:val="22"/>
              </w:rPr>
              <w:t xml:space="preserve"> conducted was 38% below the state negotiated goal.</w:t>
            </w:r>
          </w:p>
        </w:tc>
        <w:tc>
          <w:tcPr>
            <w:tcW w:w="3960" w:type="dxa"/>
          </w:tcPr>
          <w:p w14:paraId="196888C5" w14:textId="5A8CE2F5" w:rsidR="00B341E7" w:rsidRPr="006777D9" w:rsidRDefault="00B341E7" w:rsidP="00B341E7">
            <w:pPr>
              <w:adjustRightInd/>
              <w:ind w:right="137"/>
              <w:rPr>
                <w:rFonts w:asciiTheme="minorHAnsi" w:hAnsiTheme="minorHAnsi" w:cstheme="minorHAnsi"/>
                <w:sz w:val="22"/>
                <w:szCs w:val="22"/>
              </w:rPr>
            </w:pPr>
            <w:r w:rsidRPr="006777D9">
              <w:rPr>
                <w:rFonts w:asciiTheme="minorHAnsi" w:hAnsiTheme="minorHAnsi" w:cstheme="minorHAnsi"/>
                <w:sz w:val="22"/>
                <w:szCs w:val="22"/>
              </w:rPr>
              <w:t>OSHA</w:t>
            </w:r>
            <w:r w:rsidRPr="006777D9">
              <w:rPr>
                <w:rFonts w:asciiTheme="minorHAnsi" w:hAnsiTheme="minorHAnsi" w:cstheme="minorHAnsi"/>
                <w:spacing w:val="-5"/>
                <w:sz w:val="22"/>
                <w:szCs w:val="22"/>
              </w:rPr>
              <w:t xml:space="preserve"> </w:t>
            </w:r>
            <w:r w:rsidRPr="006777D9">
              <w:rPr>
                <w:rFonts w:asciiTheme="minorHAnsi" w:hAnsiTheme="minorHAnsi" w:cstheme="minorHAnsi"/>
                <w:sz w:val="22"/>
                <w:szCs w:val="22"/>
              </w:rPr>
              <w:t>will</w:t>
            </w:r>
            <w:r w:rsidRPr="006777D9">
              <w:rPr>
                <w:rFonts w:asciiTheme="minorHAnsi" w:hAnsiTheme="minorHAnsi" w:cstheme="minorHAnsi"/>
                <w:spacing w:val="-4"/>
                <w:sz w:val="22"/>
                <w:szCs w:val="22"/>
              </w:rPr>
              <w:t xml:space="preserve"> continue to </w:t>
            </w:r>
            <w:r w:rsidRPr="006777D9">
              <w:rPr>
                <w:rFonts w:asciiTheme="minorHAnsi" w:hAnsiTheme="minorHAnsi" w:cstheme="minorHAnsi"/>
                <w:sz w:val="22"/>
                <w:szCs w:val="22"/>
              </w:rPr>
              <w:t>monitor</w:t>
            </w:r>
            <w:r w:rsidRPr="006777D9">
              <w:rPr>
                <w:rFonts w:asciiTheme="minorHAnsi" w:hAnsiTheme="minorHAnsi" w:cstheme="minorHAnsi"/>
                <w:spacing w:val="-5"/>
                <w:sz w:val="22"/>
                <w:szCs w:val="22"/>
              </w:rPr>
              <w:t xml:space="preserve"> </w:t>
            </w:r>
            <w:r w:rsidRPr="006777D9">
              <w:rPr>
                <w:rFonts w:asciiTheme="minorHAnsi" w:hAnsiTheme="minorHAnsi" w:cstheme="minorHAnsi"/>
                <w:sz w:val="22"/>
                <w:szCs w:val="22"/>
              </w:rPr>
              <w:t>quarterly and encourage the state to conduct training and periodic evaluations to encourage inspection activity for both inspection types.</w:t>
            </w:r>
          </w:p>
        </w:tc>
        <w:tc>
          <w:tcPr>
            <w:tcW w:w="1440" w:type="dxa"/>
          </w:tcPr>
          <w:p w14:paraId="5A53A383" w14:textId="2411D50C" w:rsidR="00B341E7" w:rsidRPr="006777D9" w:rsidRDefault="00B341E7" w:rsidP="00B341E7">
            <w:pPr>
              <w:adjustRightInd/>
              <w:spacing w:line="247" w:lineRule="exact"/>
              <w:rPr>
                <w:rFonts w:asciiTheme="minorHAnsi" w:hAnsiTheme="minorHAnsi" w:cstheme="minorHAnsi"/>
                <w:sz w:val="22"/>
                <w:szCs w:val="22"/>
              </w:rPr>
            </w:pPr>
            <w:r w:rsidRPr="006777D9">
              <w:rPr>
                <w:rFonts w:asciiTheme="minorHAnsi" w:hAnsiTheme="minorHAnsi" w:cstheme="minorHAnsi"/>
                <w:sz w:val="22"/>
                <w:szCs w:val="22"/>
              </w:rPr>
              <w:t>Closed</w:t>
            </w:r>
          </w:p>
        </w:tc>
      </w:tr>
    </w:tbl>
    <w:p w14:paraId="0AB1820B" w14:textId="77777777" w:rsidR="00652E3D" w:rsidRDefault="00652E3D">
      <w:pPr>
        <w:widowControl/>
        <w:autoSpaceDE/>
        <w:autoSpaceDN/>
        <w:adjustRightInd/>
        <w:rPr>
          <w:rFonts w:cs="Calibri"/>
          <w:b/>
          <w:bCs/>
          <w:color w:val="0070C0"/>
        </w:rPr>
      </w:pPr>
    </w:p>
    <w:p w14:paraId="0AB1820C" w14:textId="77777777" w:rsidR="00652E3D" w:rsidRDefault="00652E3D">
      <w:pPr>
        <w:widowControl/>
        <w:autoSpaceDE/>
        <w:autoSpaceDN/>
        <w:adjustRightInd/>
        <w:rPr>
          <w:rFonts w:cs="Calibri"/>
          <w:i/>
          <w:sz w:val="22"/>
          <w:szCs w:val="22"/>
        </w:rPr>
        <w:sectPr w:rsidR="00652E3D" w:rsidSect="0029455F">
          <w:headerReference w:type="first" r:id="rId25"/>
          <w:footerReference w:type="first" r:id="rId26"/>
          <w:type w:val="continuous"/>
          <w:pgSz w:w="15840" w:h="12240" w:orient="landscape"/>
          <w:pgMar w:top="720" w:right="720" w:bottom="720" w:left="720" w:header="720" w:footer="720" w:gutter="0"/>
          <w:cols w:space="720"/>
          <w:titlePg/>
          <w:docGrid w:linePitch="360"/>
        </w:sectPr>
      </w:pPr>
    </w:p>
    <w:p w14:paraId="0AB1820D" w14:textId="666BAE0A" w:rsidR="00652E3D" w:rsidRDefault="002A2FF1" w:rsidP="009657AD">
      <w:pPr>
        <w:pStyle w:val="Heading3"/>
      </w:pPr>
      <w:bookmarkStart w:id="29" w:name="_Toc118905019"/>
      <w:bookmarkStart w:id="30" w:name="_Toc187654012"/>
      <w:r>
        <w:t>Appendix C - Status of FY 202</w:t>
      </w:r>
      <w:r w:rsidR="009D55A1">
        <w:t>3</w:t>
      </w:r>
      <w:r>
        <w:t xml:space="preserve"> Findings and Recommendations</w:t>
      </w:r>
      <w:bookmarkEnd w:id="29"/>
      <w:bookmarkEnd w:id="30"/>
    </w:p>
    <w:p w14:paraId="6749FC3B" w14:textId="59351A95" w:rsidR="43BE0804" w:rsidRDefault="43BE0804">
      <w:r>
        <w:t>FY 2024 Alaska Occupational Safety and Health Follow-up FAME Report</w:t>
      </w:r>
    </w:p>
    <w:p w14:paraId="0AB1820F" w14:textId="77777777" w:rsidR="00652E3D" w:rsidRDefault="00652E3D"/>
    <w:tbl>
      <w:tblPr>
        <w:tblStyle w:val="TableGridLight"/>
        <w:tblpPr w:leftFromText="180" w:rightFromText="180" w:vertAnchor="page" w:horzAnchor="margin" w:tblpY="2705"/>
        <w:tblW w:w="13410" w:type="dxa"/>
        <w:tblLayout w:type="fixed"/>
        <w:tblLook w:val="00A0" w:firstRow="1" w:lastRow="0" w:firstColumn="1" w:lastColumn="0" w:noHBand="0" w:noVBand="0"/>
      </w:tblPr>
      <w:tblGrid>
        <w:gridCol w:w="1345"/>
        <w:gridCol w:w="2610"/>
        <w:gridCol w:w="3060"/>
        <w:gridCol w:w="2700"/>
        <w:gridCol w:w="1445"/>
        <w:gridCol w:w="2250"/>
      </w:tblGrid>
      <w:tr w:rsidR="00390912" w:rsidRPr="00CD27A1" w14:paraId="32695F2C" w14:textId="77777777" w:rsidTr="002D53FB">
        <w:trPr>
          <w:trHeight w:val="412"/>
          <w:tblHeader/>
        </w:trPr>
        <w:tc>
          <w:tcPr>
            <w:tcW w:w="1345" w:type="dxa"/>
          </w:tcPr>
          <w:p w14:paraId="1DFFEB06" w14:textId="77777777" w:rsidR="00390912" w:rsidRPr="00CD27A1" w:rsidRDefault="00390912" w:rsidP="00390912">
            <w:pPr>
              <w:rPr>
                <w:rFonts w:cs="Calibri"/>
                <w:b/>
                <w:bCs/>
                <w:sz w:val="22"/>
                <w:szCs w:val="22"/>
              </w:rPr>
            </w:pPr>
            <w:r w:rsidRPr="00CD27A1">
              <w:rPr>
                <w:rFonts w:cs="Calibri"/>
                <w:b/>
                <w:bCs/>
                <w:sz w:val="22"/>
                <w:szCs w:val="22"/>
              </w:rPr>
              <w:t>FY 2023-#</w:t>
            </w:r>
          </w:p>
        </w:tc>
        <w:tc>
          <w:tcPr>
            <w:tcW w:w="2610" w:type="dxa"/>
          </w:tcPr>
          <w:p w14:paraId="7DE7FFB2" w14:textId="77777777" w:rsidR="00390912" w:rsidRPr="00CD27A1" w:rsidRDefault="00390912" w:rsidP="00390912">
            <w:pPr>
              <w:rPr>
                <w:rFonts w:cs="Calibri"/>
                <w:b/>
                <w:sz w:val="22"/>
                <w:szCs w:val="22"/>
              </w:rPr>
            </w:pPr>
            <w:r w:rsidRPr="00CD27A1">
              <w:rPr>
                <w:rFonts w:cs="Calibri"/>
                <w:b/>
                <w:sz w:val="22"/>
                <w:szCs w:val="22"/>
              </w:rPr>
              <w:t>Finding</w:t>
            </w:r>
          </w:p>
        </w:tc>
        <w:tc>
          <w:tcPr>
            <w:tcW w:w="3060" w:type="dxa"/>
          </w:tcPr>
          <w:p w14:paraId="48494A8C" w14:textId="77777777" w:rsidR="00390912" w:rsidRPr="00CD27A1" w:rsidRDefault="00390912" w:rsidP="00390912">
            <w:pPr>
              <w:rPr>
                <w:rFonts w:cs="Calibri"/>
                <w:b/>
                <w:sz w:val="22"/>
                <w:szCs w:val="22"/>
              </w:rPr>
            </w:pPr>
            <w:r w:rsidRPr="00CD27A1">
              <w:rPr>
                <w:rFonts w:cs="Calibri"/>
                <w:b/>
                <w:sz w:val="22"/>
                <w:szCs w:val="22"/>
              </w:rPr>
              <w:t>Recommendation</w:t>
            </w:r>
          </w:p>
        </w:tc>
        <w:tc>
          <w:tcPr>
            <w:tcW w:w="2700" w:type="dxa"/>
          </w:tcPr>
          <w:p w14:paraId="3EBDB281" w14:textId="77777777" w:rsidR="00390912" w:rsidRPr="00CD27A1" w:rsidRDefault="00390912" w:rsidP="00390912">
            <w:pPr>
              <w:rPr>
                <w:rFonts w:cs="Calibri"/>
                <w:b/>
                <w:sz w:val="22"/>
                <w:szCs w:val="22"/>
              </w:rPr>
            </w:pPr>
            <w:r w:rsidRPr="00CD27A1">
              <w:rPr>
                <w:rFonts w:cs="Calibri"/>
                <w:b/>
                <w:sz w:val="22"/>
                <w:szCs w:val="22"/>
              </w:rPr>
              <w:t>State Plan Corrective Action</w:t>
            </w:r>
          </w:p>
        </w:tc>
        <w:tc>
          <w:tcPr>
            <w:tcW w:w="1445" w:type="dxa"/>
          </w:tcPr>
          <w:p w14:paraId="0E75C9F2" w14:textId="77777777" w:rsidR="00390912" w:rsidRPr="00CD27A1" w:rsidRDefault="00390912" w:rsidP="00390912">
            <w:pPr>
              <w:rPr>
                <w:rFonts w:cs="Calibri"/>
                <w:b/>
                <w:sz w:val="22"/>
                <w:szCs w:val="22"/>
              </w:rPr>
            </w:pPr>
            <w:r w:rsidRPr="00CD27A1">
              <w:rPr>
                <w:rFonts w:cs="Calibri"/>
                <w:b/>
                <w:sz w:val="22"/>
                <w:szCs w:val="22"/>
              </w:rPr>
              <w:t>Completion Date</w:t>
            </w:r>
          </w:p>
        </w:tc>
        <w:tc>
          <w:tcPr>
            <w:tcW w:w="2250" w:type="dxa"/>
          </w:tcPr>
          <w:p w14:paraId="57D0FC8A" w14:textId="77777777" w:rsidR="00390912" w:rsidRPr="00CD27A1" w:rsidRDefault="00390912" w:rsidP="00390912">
            <w:pPr>
              <w:rPr>
                <w:rFonts w:cs="Calibri"/>
                <w:b/>
                <w:sz w:val="22"/>
                <w:szCs w:val="22"/>
              </w:rPr>
            </w:pPr>
            <w:r w:rsidRPr="00CD27A1">
              <w:rPr>
                <w:rFonts w:cs="Calibri"/>
                <w:b/>
                <w:sz w:val="22"/>
                <w:szCs w:val="22"/>
              </w:rPr>
              <w:t xml:space="preserve">Current Status </w:t>
            </w:r>
          </w:p>
          <w:p w14:paraId="077519BF" w14:textId="77777777" w:rsidR="00390912" w:rsidRPr="00CD27A1" w:rsidRDefault="00390912" w:rsidP="00390912">
            <w:pPr>
              <w:rPr>
                <w:rFonts w:cs="Calibri"/>
                <w:b/>
                <w:sz w:val="22"/>
                <w:szCs w:val="22"/>
              </w:rPr>
            </w:pPr>
            <w:r w:rsidRPr="00CD27A1">
              <w:rPr>
                <w:rFonts w:cs="Calibri"/>
                <w:b/>
                <w:sz w:val="22"/>
                <w:szCs w:val="22"/>
              </w:rPr>
              <w:t>and Date</w:t>
            </w:r>
          </w:p>
        </w:tc>
      </w:tr>
      <w:tr w:rsidR="00390912" w:rsidRPr="00CD27A1" w14:paraId="7A6956C4" w14:textId="77777777" w:rsidTr="002D53FB">
        <w:trPr>
          <w:cantSplit/>
          <w:trHeight w:val="2989"/>
        </w:trPr>
        <w:tc>
          <w:tcPr>
            <w:tcW w:w="1345" w:type="dxa"/>
          </w:tcPr>
          <w:p w14:paraId="13404714" w14:textId="73A68409" w:rsidR="00390912" w:rsidRPr="00CD27A1" w:rsidRDefault="00390912" w:rsidP="004B5750">
            <w:pPr>
              <w:pStyle w:val="Default"/>
              <w:ind w:left="-28"/>
              <w:rPr>
                <w:rFonts w:asciiTheme="minorHAnsi" w:hAnsiTheme="minorHAnsi" w:cstheme="minorHAnsi"/>
                <w:sz w:val="22"/>
                <w:szCs w:val="22"/>
              </w:rPr>
            </w:pPr>
            <w:r w:rsidRPr="00CD27A1">
              <w:rPr>
                <w:rFonts w:asciiTheme="minorHAnsi" w:hAnsiTheme="minorHAnsi" w:cstheme="minorHAnsi"/>
                <w:sz w:val="22"/>
                <w:szCs w:val="22"/>
              </w:rPr>
              <w:t xml:space="preserve">FY 2023-01 </w:t>
            </w:r>
          </w:p>
        </w:tc>
        <w:tc>
          <w:tcPr>
            <w:tcW w:w="2610" w:type="dxa"/>
          </w:tcPr>
          <w:p w14:paraId="23F39366" w14:textId="77777777" w:rsidR="00390912" w:rsidRPr="00CD27A1" w:rsidRDefault="00390912" w:rsidP="00390912">
            <w:pPr>
              <w:pStyle w:val="pf0"/>
              <w:rPr>
                <w:rFonts w:asciiTheme="minorHAnsi" w:hAnsiTheme="minorHAnsi" w:cstheme="minorHAnsi"/>
                <w:sz w:val="22"/>
                <w:szCs w:val="22"/>
                <w:highlight w:val="yellow"/>
              </w:rPr>
            </w:pPr>
            <w:r w:rsidRPr="00CD27A1">
              <w:rPr>
                <w:rFonts w:asciiTheme="minorHAnsi" w:hAnsiTheme="minorHAnsi" w:cstheme="minorHAnsi"/>
                <w:sz w:val="22"/>
                <w:szCs w:val="22"/>
              </w:rPr>
              <w:t>In FY 2023, in 16 out of 53 case files (30%) there were no employee interviews documented.</w:t>
            </w:r>
          </w:p>
          <w:p w14:paraId="526A6E52" w14:textId="77777777" w:rsidR="00390912" w:rsidRPr="00CD27A1" w:rsidRDefault="00390912" w:rsidP="00390912">
            <w:pPr>
              <w:rPr>
                <w:rFonts w:asciiTheme="minorHAnsi" w:eastAsia="PMingLiU" w:hAnsiTheme="minorHAnsi" w:cstheme="minorHAnsi"/>
                <w:b/>
                <w:sz w:val="22"/>
                <w:szCs w:val="22"/>
              </w:rPr>
            </w:pPr>
          </w:p>
        </w:tc>
        <w:tc>
          <w:tcPr>
            <w:tcW w:w="3060" w:type="dxa"/>
          </w:tcPr>
          <w:p w14:paraId="08EBAAEA" w14:textId="707D732E" w:rsidR="00390912" w:rsidRPr="00CD27A1" w:rsidRDefault="00390912" w:rsidP="00390912">
            <w:pPr>
              <w:rPr>
                <w:rFonts w:asciiTheme="minorHAnsi" w:hAnsiTheme="minorHAnsi" w:cstheme="minorHAnsi"/>
                <w:sz w:val="22"/>
                <w:szCs w:val="22"/>
              </w:rPr>
            </w:pPr>
            <w:r w:rsidRPr="00CD27A1">
              <w:rPr>
                <w:rFonts w:asciiTheme="minorHAnsi" w:hAnsiTheme="minorHAnsi" w:cstheme="minorHAnsi"/>
                <w:sz w:val="22"/>
                <w:szCs w:val="22"/>
              </w:rPr>
              <w:t>AKOSH should ensure that the inspection site is visited and workplace exposure to hazards including worker involvement is documented in high hazard industries, where injury has occurred, and where NEP and state emphasis programs are coded.</w:t>
            </w:r>
          </w:p>
        </w:tc>
        <w:tc>
          <w:tcPr>
            <w:tcW w:w="2700" w:type="dxa"/>
          </w:tcPr>
          <w:p w14:paraId="54088A74" w14:textId="6A31420D" w:rsidR="00390912" w:rsidRPr="00CD27A1" w:rsidRDefault="00390912" w:rsidP="003909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CD27A1">
              <w:rPr>
                <w:rFonts w:asciiTheme="minorHAnsi" w:hAnsiTheme="minorHAnsi" w:cstheme="minorHAnsi"/>
                <w:sz w:val="22"/>
                <w:szCs w:val="22"/>
              </w:rPr>
              <w:t>AKOSH has instructed all officers to ensure that interviews are conducted for all on-site inspections. Records only inspections for failures to report were included in this finding.</w:t>
            </w:r>
          </w:p>
        </w:tc>
        <w:tc>
          <w:tcPr>
            <w:tcW w:w="1445" w:type="dxa"/>
          </w:tcPr>
          <w:p w14:paraId="66B46DDD" w14:textId="425C2531" w:rsidR="00390912" w:rsidRPr="00CD27A1" w:rsidRDefault="00D8025A" w:rsidP="00390912">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PMingLiU" w:hAnsiTheme="minorHAnsi" w:cstheme="minorHAnsi"/>
                <w:b/>
                <w:bCs/>
                <w:sz w:val="22"/>
                <w:szCs w:val="22"/>
              </w:rPr>
            </w:pPr>
            <w:r>
              <w:rPr>
                <w:rFonts w:asciiTheme="minorHAnsi" w:hAnsiTheme="minorHAnsi" w:cstheme="minorHAnsi"/>
                <w:sz w:val="22"/>
                <w:szCs w:val="22"/>
              </w:rPr>
              <w:t>3/27/2024</w:t>
            </w:r>
          </w:p>
        </w:tc>
        <w:tc>
          <w:tcPr>
            <w:tcW w:w="2250" w:type="dxa"/>
          </w:tcPr>
          <w:p w14:paraId="32E79C71" w14:textId="77777777" w:rsidR="00390912" w:rsidRPr="00CD27A1" w:rsidRDefault="00390912" w:rsidP="00390912">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CD27A1">
              <w:rPr>
                <w:rFonts w:asciiTheme="minorHAnsi" w:hAnsiTheme="minorHAnsi" w:cstheme="minorHAnsi"/>
                <w:sz w:val="22"/>
                <w:szCs w:val="22"/>
              </w:rPr>
              <w:t>Awaiting verification 8/27/2024</w:t>
            </w:r>
          </w:p>
        </w:tc>
      </w:tr>
      <w:tr w:rsidR="00390912" w:rsidRPr="00CD27A1" w14:paraId="65AD1D5D" w14:textId="77777777" w:rsidTr="002D53FB">
        <w:trPr>
          <w:trHeight w:val="2989"/>
        </w:trPr>
        <w:tc>
          <w:tcPr>
            <w:tcW w:w="1345" w:type="dxa"/>
          </w:tcPr>
          <w:p w14:paraId="3632947D" w14:textId="77777777" w:rsidR="00390912" w:rsidRPr="00CD27A1" w:rsidRDefault="00390912" w:rsidP="002D53FB">
            <w:pPr>
              <w:pStyle w:val="Default"/>
              <w:ind w:left="-28"/>
              <w:rPr>
                <w:rFonts w:asciiTheme="minorHAnsi" w:hAnsiTheme="minorHAnsi" w:cstheme="minorHAnsi"/>
                <w:sz w:val="22"/>
                <w:szCs w:val="22"/>
              </w:rPr>
            </w:pPr>
            <w:r w:rsidRPr="00CD27A1">
              <w:rPr>
                <w:rFonts w:asciiTheme="minorHAnsi" w:hAnsiTheme="minorHAnsi" w:cstheme="minorHAnsi"/>
                <w:sz w:val="22"/>
                <w:szCs w:val="22"/>
              </w:rPr>
              <w:t>FY 2023-02</w:t>
            </w:r>
          </w:p>
        </w:tc>
        <w:tc>
          <w:tcPr>
            <w:tcW w:w="2610" w:type="dxa"/>
          </w:tcPr>
          <w:p w14:paraId="4D775FD8" w14:textId="77777777" w:rsidR="00390912" w:rsidRPr="00CD27A1" w:rsidDel="006E3302" w:rsidRDefault="00390912" w:rsidP="00390912">
            <w:pPr>
              <w:pStyle w:val="pf0"/>
              <w:rPr>
                <w:rFonts w:asciiTheme="minorHAnsi" w:hAnsiTheme="minorHAnsi" w:cstheme="minorHAnsi"/>
                <w:sz w:val="22"/>
                <w:szCs w:val="22"/>
              </w:rPr>
            </w:pPr>
            <w:r w:rsidRPr="00CD27A1">
              <w:rPr>
                <w:rFonts w:asciiTheme="minorHAnsi" w:hAnsiTheme="minorHAnsi" w:cstheme="minorHAnsi"/>
                <w:sz w:val="22"/>
                <w:szCs w:val="22"/>
              </w:rPr>
              <w:t xml:space="preserve">In FY 2023, in 18 of 24 (75%) of inspections with citations where an informal conference was held, there was insufficient documentation for justification of penalty reductions for inspections in which willful, repeat serious, serious high gravity citations and disabling injuries occurred.  </w:t>
            </w:r>
          </w:p>
        </w:tc>
        <w:tc>
          <w:tcPr>
            <w:tcW w:w="3060" w:type="dxa"/>
          </w:tcPr>
          <w:p w14:paraId="77A4B28A" w14:textId="77777777" w:rsidR="00390912" w:rsidRPr="00CD27A1" w:rsidRDefault="00390912" w:rsidP="00390912">
            <w:pPr>
              <w:pStyle w:val="ListParagraph"/>
              <w:tabs>
                <w:tab w:val="left" w:pos="28"/>
              </w:tabs>
              <w:spacing w:after="0" w:line="240" w:lineRule="auto"/>
              <w:ind w:left="28"/>
              <w:rPr>
                <w:rFonts w:asciiTheme="minorHAnsi" w:hAnsiTheme="minorHAnsi" w:cstheme="minorHAnsi"/>
                <w:spacing w:val="-2"/>
              </w:rPr>
            </w:pPr>
            <w:r w:rsidRPr="00CD27A1">
              <w:rPr>
                <w:rFonts w:asciiTheme="minorHAnsi" w:hAnsiTheme="minorHAnsi" w:cstheme="minorHAnsi"/>
              </w:rPr>
              <w:t>AKOSH</w:t>
            </w:r>
            <w:r w:rsidRPr="00CD27A1">
              <w:rPr>
                <w:rFonts w:asciiTheme="minorHAnsi" w:hAnsiTheme="minorHAnsi" w:cstheme="minorHAnsi"/>
                <w:spacing w:val="-3"/>
              </w:rPr>
              <w:t xml:space="preserve"> </w:t>
            </w:r>
            <w:r w:rsidRPr="00CD27A1">
              <w:rPr>
                <w:rFonts w:asciiTheme="minorHAnsi" w:hAnsiTheme="minorHAnsi" w:cstheme="minorHAnsi"/>
              </w:rPr>
              <w:t>should ensure that penalty modifications and withdrawals are adequately documented in the case file as required by the AKOSH FOM</w:t>
            </w:r>
            <w:r w:rsidRPr="00CD27A1">
              <w:rPr>
                <w:rFonts w:asciiTheme="minorHAnsi" w:hAnsiTheme="minorHAnsi" w:cstheme="minorHAnsi"/>
                <w:spacing w:val="-2"/>
              </w:rPr>
              <w:t>.</w:t>
            </w:r>
          </w:p>
          <w:p w14:paraId="04624682" w14:textId="77777777" w:rsidR="00390912" w:rsidRPr="00CD27A1" w:rsidRDefault="00390912" w:rsidP="00390912">
            <w:pPr>
              <w:rPr>
                <w:rFonts w:asciiTheme="minorHAnsi" w:hAnsiTheme="minorHAnsi" w:cstheme="minorHAnsi"/>
                <w:sz w:val="22"/>
                <w:szCs w:val="22"/>
              </w:rPr>
            </w:pPr>
          </w:p>
        </w:tc>
        <w:tc>
          <w:tcPr>
            <w:tcW w:w="2700" w:type="dxa"/>
          </w:tcPr>
          <w:p w14:paraId="49378BC5" w14:textId="77777777" w:rsidR="00390912" w:rsidRPr="00CD27A1" w:rsidRDefault="00390912" w:rsidP="003909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sz w:val="22"/>
                <w:szCs w:val="22"/>
              </w:rPr>
            </w:pPr>
            <w:r w:rsidRPr="00CD27A1">
              <w:rPr>
                <w:rFonts w:asciiTheme="minorHAnsi" w:hAnsiTheme="minorHAnsi" w:cstheme="minorHAnsi"/>
                <w:sz w:val="22"/>
                <w:szCs w:val="22"/>
              </w:rPr>
              <w:t>AKOSH will document the rationale for citation and penalty adjustments.</w:t>
            </w:r>
          </w:p>
        </w:tc>
        <w:tc>
          <w:tcPr>
            <w:tcW w:w="1445" w:type="dxa"/>
          </w:tcPr>
          <w:p w14:paraId="72F9D44A" w14:textId="640BA5DC" w:rsidR="00390912" w:rsidRPr="00CD27A1" w:rsidRDefault="00D8025A" w:rsidP="00390912">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3/27/2024</w:t>
            </w:r>
          </w:p>
        </w:tc>
        <w:tc>
          <w:tcPr>
            <w:tcW w:w="2250" w:type="dxa"/>
          </w:tcPr>
          <w:p w14:paraId="7551FEE9" w14:textId="77777777" w:rsidR="00390912" w:rsidRPr="00CD27A1" w:rsidRDefault="00390912" w:rsidP="00390912">
            <w:pPr>
              <w:rPr>
                <w:rFonts w:asciiTheme="minorHAnsi" w:hAnsiTheme="minorHAnsi" w:cstheme="minorHAnsi"/>
                <w:sz w:val="22"/>
                <w:szCs w:val="22"/>
              </w:rPr>
            </w:pPr>
            <w:r w:rsidRPr="00CD27A1">
              <w:rPr>
                <w:rFonts w:asciiTheme="minorHAnsi" w:hAnsiTheme="minorHAnsi" w:cstheme="minorHAnsi"/>
                <w:sz w:val="22"/>
                <w:szCs w:val="22"/>
              </w:rPr>
              <w:t>Awaiting verification 8/27/2024</w:t>
            </w:r>
          </w:p>
        </w:tc>
      </w:tr>
    </w:tbl>
    <w:p w14:paraId="0AB18228" w14:textId="6F887263" w:rsidR="00652E3D" w:rsidRDefault="00652E3D">
      <w:pPr>
        <w:widowControl/>
        <w:tabs>
          <w:tab w:val="left" w:pos="630"/>
        </w:tabs>
        <w:autoSpaceDE/>
        <w:autoSpaceDN/>
        <w:adjustRightInd/>
        <w:rPr>
          <w:rFonts w:cs="Calibri"/>
          <w:iCs/>
          <w:color w:val="0070C0"/>
        </w:rPr>
        <w:sectPr w:rsidR="00652E3D" w:rsidSect="0029455F">
          <w:headerReference w:type="default" r:id="rId27"/>
          <w:headerReference w:type="first" r:id="rId28"/>
          <w:footerReference w:type="first" r:id="rId29"/>
          <w:pgSz w:w="15840" w:h="12240" w:orient="landscape"/>
          <w:pgMar w:top="720" w:right="720" w:bottom="720" w:left="720" w:header="630" w:footer="720" w:gutter="0"/>
          <w:cols w:space="720"/>
          <w:titlePg/>
          <w:docGrid w:linePitch="360"/>
        </w:sectPr>
      </w:pPr>
    </w:p>
    <w:p w14:paraId="0AB18229" w14:textId="594CE393" w:rsidR="00652E3D" w:rsidRDefault="002A2FF1" w:rsidP="009657AD">
      <w:pPr>
        <w:pStyle w:val="Heading3"/>
        <w:rPr>
          <w:color w:val="0070C0"/>
        </w:rPr>
      </w:pPr>
      <w:bookmarkStart w:id="31" w:name="_Toc187654013"/>
      <w:r>
        <w:t xml:space="preserve">Appendix D – </w:t>
      </w:r>
      <w:bookmarkStart w:id="32" w:name="_Hlk119349018"/>
      <w:r>
        <w:t>FY 202</w:t>
      </w:r>
      <w:r w:rsidR="00F44706">
        <w:t>4</w:t>
      </w:r>
      <w:r>
        <w:t xml:space="preserve"> State Activity Mandated Measures (SAMM) Report</w:t>
      </w:r>
      <w:bookmarkEnd w:id="31"/>
      <w:bookmarkEnd w:id="32"/>
    </w:p>
    <w:p w14:paraId="0939DD08" w14:textId="59351A95" w:rsidR="069AC243" w:rsidRDefault="069AC243">
      <w:r>
        <w:t>FY 2024 Alaska Occupational Safety and Health Follow-up FAME Report</w:t>
      </w:r>
    </w:p>
    <w:p w14:paraId="0AB1822B" w14:textId="77777777" w:rsidR="00652E3D" w:rsidRDefault="00652E3D">
      <w:pPr>
        <w:widowControl/>
        <w:autoSpaceDE/>
        <w:autoSpaceDN/>
        <w:adjustRightInd/>
        <w:rPr>
          <w:rFonts w:cs="Calibri"/>
          <w:b/>
          <w:color w:val="1F497D"/>
          <w:sz w:val="28"/>
          <w:szCs w:val="28"/>
        </w:rPr>
      </w:pPr>
    </w:p>
    <w:tbl>
      <w:tblPr>
        <w:tblStyle w:val="TableGridLight"/>
        <w:tblW w:w="10350"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9D18AE" w:rsidRPr="00226233" w14:paraId="78878110" w14:textId="77777777" w:rsidTr="000E5179">
        <w:trPr>
          <w:cantSplit/>
          <w:tblHeader/>
        </w:trPr>
        <w:tc>
          <w:tcPr>
            <w:tcW w:w="1034" w:type="dxa"/>
          </w:tcPr>
          <w:p w14:paraId="27BE9A24"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SAMM Number</w:t>
            </w:r>
          </w:p>
        </w:tc>
        <w:tc>
          <w:tcPr>
            <w:tcW w:w="2206" w:type="dxa"/>
          </w:tcPr>
          <w:p w14:paraId="562C0FF3"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SAMM Name</w:t>
            </w:r>
          </w:p>
        </w:tc>
        <w:tc>
          <w:tcPr>
            <w:tcW w:w="1289" w:type="dxa"/>
          </w:tcPr>
          <w:p w14:paraId="736CB1F2"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State Plan Data</w:t>
            </w:r>
          </w:p>
        </w:tc>
        <w:tc>
          <w:tcPr>
            <w:tcW w:w="1411" w:type="dxa"/>
          </w:tcPr>
          <w:p w14:paraId="2BF3747F"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Further Review Level</w:t>
            </w:r>
          </w:p>
        </w:tc>
        <w:tc>
          <w:tcPr>
            <w:tcW w:w="4410" w:type="dxa"/>
          </w:tcPr>
          <w:p w14:paraId="35C8EF0C"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Notes</w:t>
            </w:r>
          </w:p>
        </w:tc>
      </w:tr>
      <w:tr w:rsidR="009D18AE" w:rsidRPr="00226233" w14:paraId="406273FE" w14:textId="77777777" w:rsidTr="000E5179">
        <w:tc>
          <w:tcPr>
            <w:tcW w:w="1034" w:type="dxa"/>
          </w:tcPr>
          <w:p w14:paraId="016F3DA0"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1a</w:t>
            </w:r>
          </w:p>
        </w:tc>
        <w:tc>
          <w:tcPr>
            <w:tcW w:w="2206" w:type="dxa"/>
          </w:tcPr>
          <w:p w14:paraId="239BCB8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 xml:space="preserve">Average number of </w:t>
            </w:r>
            <w:proofErr w:type="gramStart"/>
            <w:r w:rsidRPr="006C68CA">
              <w:rPr>
                <w:rFonts w:asciiTheme="minorHAnsi" w:hAnsiTheme="minorHAnsi" w:cstheme="minorHAnsi"/>
                <w:sz w:val="22"/>
                <w:szCs w:val="22"/>
              </w:rPr>
              <w:t>work days</w:t>
            </w:r>
            <w:proofErr w:type="gramEnd"/>
            <w:r w:rsidRPr="006C68CA">
              <w:rPr>
                <w:rFonts w:asciiTheme="minorHAnsi" w:hAnsiTheme="minorHAnsi" w:cstheme="minorHAnsi"/>
                <w:sz w:val="22"/>
                <w:szCs w:val="22"/>
              </w:rPr>
              <w:t xml:space="preserve"> to initiate complaint inspections (state formula)</w:t>
            </w:r>
          </w:p>
        </w:tc>
        <w:tc>
          <w:tcPr>
            <w:tcW w:w="1289" w:type="dxa"/>
          </w:tcPr>
          <w:p w14:paraId="2ADB36C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2.96</w:t>
            </w:r>
          </w:p>
        </w:tc>
        <w:tc>
          <w:tcPr>
            <w:tcW w:w="1411" w:type="dxa"/>
          </w:tcPr>
          <w:p w14:paraId="36D09179"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5</w:t>
            </w:r>
          </w:p>
        </w:tc>
        <w:tc>
          <w:tcPr>
            <w:tcW w:w="4410" w:type="dxa"/>
          </w:tcPr>
          <w:p w14:paraId="7A699ABE"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negotiated by OSHA and the State Plan.</w:t>
            </w:r>
          </w:p>
        </w:tc>
      </w:tr>
      <w:tr w:rsidR="009D18AE" w:rsidRPr="00226233" w14:paraId="1A2C72FC" w14:textId="77777777" w:rsidTr="000E5179">
        <w:tc>
          <w:tcPr>
            <w:tcW w:w="1034" w:type="dxa"/>
          </w:tcPr>
          <w:p w14:paraId="1C08B29D"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1b</w:t>
            </w:r>
          </w:p>
        </w:tc>
        <w:tc>
          <w:tcPr>
            <w:tcW w:w="2206" w:type="dxa"/>
          </w:tcPr>
          <w:p w14:paraId="14B8F4A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 xml:space="preserve">Average number of </w:t>
            </w:r>
            <w:proofErr w:type="gramStart"/>
            <w:r w:rsidRPr="006C68CA">
              <w:rPr>
                <w:rFonts w:asciiTheme="minorHAnsi" w:hAnsiTheme="minorHAnsi" w:cstheme="minorHAnsi"/>
                <w:sz w:val="22"/>
                <w:szCs w:val="22"/>
              </w:rPr>
              <w:t>work days</w:t>
            </w:r>
            <w:proofErr w:type="gramEnd"/>
            <w:r w:rsidRPr="006C68CA">
              <w:rPr>
                <w:rFonts w:asciiTheme="minorHAnsi" w:hAnsiTheme="minorHAnsi" w:cstheme="minorHAnsi"/>
                <w:sz w:val="22"/>
                <w:szCs w:val="22"/>
              </w:rPr>
              <w:t xml:space="preserve"> to initiate complaint inspections (federal formula)</w:t>
            </w:r>
          </w:p>
        </w:tc>
        <w:tc>
          <w:tcPr>
            <w:tcW w:w="1289" w:type="dxa"/>
          </w:tcPr>
          <w:p w14:paraId="168D4B76"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1.58</w:t>
            </w:r>
          </w:p>
        </w:tc>
        <w:tc>
          <w:tcPr>
            <w:tcW w:w="1411" w:type="dxa"/>
          </w:tcPr>
          <w:p w14:paraId="45949D39"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N/A</w:t>
            </w:r>
          </w:p>
        </w:tc>
        <w:tc>
          <w:tcPr>
            <w:tcW w:w="4410" w:type="dxa"/>
          </w:tcPr>
          <w:p w14:paraId="716065C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This measure is for informational purposes only and is not a mandated measure.</w:t>
            </w:r>
          </w:p>
        </w:tc>
      </w:tr>
      <w:tr w:rsidR="009D18AE" w:rsidRPr="00226233" w14:paraId="2D15A3B4" w14:textId="77777777" w:rsidTr="000E5179">
        <w:tc>
          <w:tcPr>
            <w:tcW w:w="1034" w:type="dxa"/>
          </w:tcPr>
          <w:p w14:paraId="3643E751"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2a</w:t>
            </w:r>
          </w:p>
        </w:tc>
        <w:tc>
          <w:tcPr>
            <w:tcW w:w="2206" w:type="dxa"/>
          </w:tcPr>
          <w:p w14:paraId="660DE9FC"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 xml:space="preserve">Average number of </w:t>
            </w:r>
            <w:proofErr w:type="gramStart"/>
            <w:r w:rsidRPr="006C68CA">
              <w:rPr>
                <w:rFonts w:asciiTheme="minorHAnsi" w:hAnsiTheme="minorHAnsi" w:cstheme="minorHAnsi"/>
                <w:sz w:val="22"/>
                <w:szCs w:val="22"/>
              </w:rPr>
              <w:t>work days</w:t>
            </w:r>
            <w:proofErr w:type="gramEnd"/>
            <w:r w:rsidRPr="006C68CA">
              <w:rPr>
                <w:rFonts w:asciiTheme="minorHAnsi" w:hAnsiTheme="minorHAnsi" w:cstheme="minorHAnsi"/>
                <w:sz w:val="22"/>
                <w:szCs w:val="22"/>
              </w:rPr>
              <w:t xml:space="preserve"> to initiate complaint investigations (state formula)</w:t>
            </w:r>
          </w:p>
        </w:tc>
        <w:tc>
          <w:tcPr>
            <w:tcW w:w="1289" w:type="dxa"/>
          </w:tcPr>
          <w:p w14:paraId="3ED66767" w14:textId="5D8CE299"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5.8</w:t>
            </w:r>
            <w:r w:rsidR="007048D9" w:rsidRPr="006C68CA">
              <w:rPr>
                <w:rFonts w:asciiTheme="minorHAnsi" w:eastAsia="PMingLiU" w:hAnsiTheme="minorHAnsi" w:cstheme="minorHAnsi"/>
                <w:sz w:val="22"/>
                <w:szCs w:val="22"/>
              </w:rPr>
              <w:t>0</w:t>
            </w:r>
          </w:p>
        </w:tc>
        <w:tc>
          <w:tcPr>
            <w:tcW w:w="1411" w:type="dxa"/>
          </w:tcPr>
          <w:p w14:paraId="4249A1C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1</w:t>
            </w:r>
          </w:p>
        </w:tc>
        <w:tc>
          <w:tcPr>
            <w:tcW w:w="4410" w:type="dxa"/>
          </w:tcPr>
          <w:p w14:paraId="1DCF1998"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negotiated by OSHA and the State Plan.</w:t>
            </w:r>
          </w:p>
        </w:tc>
      </w:tr>
      <w:tr w:rsidR="009D18AE" w:rsidRPr="00226233" w14:paraId="75CD19DE" w14:textId="77777777" w:rsidTr="000E5179">
        <w:tc>
          <w:tcPr>
            <w:tcW w:w="1034" w:type="dxa"/>
          </w:tcPr>
          <w:p w14:paraId="3235EECF"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2b</w:t>
            </w:r>
          </w:p>
        </w:tc>
        <w:tc>
          <w:tcPr>
            <w:tcW w:w="2206" w:type="dxa"/>
          </w:tcPr>
          <w:p w14:paraId="5A173A7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 xml:space="preserve">Average number of </w:t>
            </w:r>
            <w:proofErr w:type="gramStart"/>
            <w:r w:rsidRPr="006C68CA">
              <w:rPr>
                <w:rFonts w:asciiTheme="minorHAnsi" w:hAnsiTheme="minorHAnsi" w:cstheme="minorHAnsi"/>
                <w:sz w:val="22"/>
                <w:szCs w:val="22"/>
              </w:rPr>
              <w:t>work days</w:t>
            </w:r>
            <w:proofErr w:type="gramEnd"/>
            <w:r w:rsidRPr="006C68CA">
              <w:rPr>
                <w:rFonts w:asciiTheme="minorHAnsi" w:hAnsiTheme="minorHAnsi" w:cstheme="minorHAnsi"/>
                <w:sz w:val="22"/>
                <w:szCs w:val="22"/>
              </w:rPr>
              <w:t xml:space="preserve"> to initiate complaint investigations (federal formula)</w:t>
            </w:r>
          </w:p>
        </w:tc>
        <w:tc>
          <w:tcPr>
            <w:tcW w:w="1289" w:type="dxa"/>
          </w:tcPr>
          <w:p w14:paraId="4829C037"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2.00</w:t>
            </w:r>
          </w:p>
        </w:tc>
        <w:tc>
          <w:tcPr>
            <w:tcW w:w="1411" w:type="dxa"/>
          </w:tcPr>
          <w:p w14:paraId="04BFDC8B"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N/A</w:t>
            </w:r>
          </w:p>
        </w:tc>
        <w:tc>
          <w:tcPr>
            <w:tcW w:w="4410" w:type="dxa"/>
          </w:tcPr>
          <w:p w14:paraId="4F7C7CD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This measure is for informational purposes only and is not a mandated measure.</w:t>
            </w:r>
          </w:p>
        </w:tc>
      </w:tr>
      <w:tr w:rsidR="009D18AE" w:rsidRPr="00226233" w14:paraId="444CF3FF" w14:textId="77777777" w:rsidTr="000E5179">
        <w:tc>
          <w:tcPr>
            <w:tcW w:w="1034" w:type="dxa"/>
          </w:tcPr>
          <w:p w14:paraId="58663F7A"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3</w:t>
            </w:r>
          </w:p>
        </w:tc>
        <w:tc>
          <w:tcPr>
            <w:tcW w:w="2206" w:type="dxa"/>
          </w:tcPr>
          <w:p w14:paraId="659DFF76"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Percent of complaints and referrals responded to within one workday (imminent danger)</w:t>
            </w:r>
          </w:p>
        </w:tc>
        <w:tc>
          <w:tcPr>
            <w:tcW w:w="1289" w:type="dxa"/>
          </w:tcPr>
          <w:p w14:paraId="795E5164"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100%</w:t>
            </w:r>
          </w:p>
        </w:tc>
        <w:tc>
          <w:tcPr>
            <w:tcW w:w="1411" w:type="dxa"/>
          </w:tcPr>
          <w:p w14:paraId="32656F6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100%</w:t>
            </w:r>
          </w:p>
        </w:tc>
        <w:tc>
          <w:tcPr>
            <w:tcW w:w="4410" w:type="dxa"/>
          </w:tcPr>
          <w:p w14:paraId="786E8E1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fixed for all State Plans.</w:t>
            </w:r>
          </w:p>
        </w:tc>
      </w:tr>
      <w:tr w:rsidR="009D18AE" w:rsidRPr="00226233" w14:paraId="10829430" w14:textId="77777777" w:rsidTr="000E5179">
        <w:tc>
          <w:tcPr>
            <w:tcW w:w="1034" w:type="dxa"/>
          </w:tcPr>
          <w:p w14:paraId="573964F6"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4</w:t>
            </w:r>
          </w:p>
        </w:tc>
        <w:tc>
          <w:tcPr>
            <w:tcW w:w="2206" w:type="dxa"/>
          </w:tcPr>
          <w:p w14:paraId="4FE31DB6"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Number of denials where entry not obtained</w:t>
            </w:r>
          </w:p>
        </w:tc>
        <w:tc>
          <w:tcPr>
            <w:tcW w:w="1289" w:type="dxa"/>
          </w:tcPr>
          <w:p w14:paraId="56F7C1FB"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0</w:t>
            </w:r>
          </w:p>
        </w:tc>
        <w:tc>
          <w:tcPr>
            <w:tcW w:w="1411" w:type="dxa"/>
          </w:tcPr>
          <w:p w14:paraId="79D9A57A"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0</w:t>
            </w:r>
          </w:p>
        </w:tc>
        <w:tc>
          <w:tcPr>
            <w:tcW w:w="4410" w:type="dxa"/>
          </w:tcPr>
          <w:p w14:paraId="2DAE3DB8"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fixed for all State Plans.</w:t>
            </w:r>
          </w:p>
        </w:tc>
      </w:tr>
      <w:tr w:rsidR="009D18AE" w:rsidRPr="00226233" w14:paraId="1A779E40" w14:textId="77777777" w:rsidTr="000E5179">
        <w:trPr>
          <w:trHeight w:val="854"/>
        </w:trPr>
        <w:tc>
          <w:tcPr>
            <w:tcW w:w="1034" w:type="dxa"/>
          </w:tcPr>
          <w:p w14:paraId="7C7BAED4"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5a</w:t>
            </w:r>
          </w:p>
        </w:tc>
        <w:tc>
          <w:tcPr>
            <w:tcW w:w="2206" w:type="dxa"/>
          </w:tcPr>
          <w:p w14:paraId="2FEF0077"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Average number of violations per inspection with violations by violation type (SWRU)</w:t>
            </w:r>
          </w:p>
        </w:tc>
        <w:tc>
          <w:tcPr>
            <w:tcW w:w="1289" w:type="dxa"/>
          </w:tcPr>
          <w:p w14:paraId="7EF19C09"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1.67</w:t>
            </w:r>
          </w:p>
        </w:tc>
        <w:tc>
          <w:tcPr>
            <w:tcW w:w="1411" w:type="dxa"/>
          </w:tcPr>
          <w:p w14:paraId="15FBF810"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+/- 20% of 1.74</w:t>
            </w:r>
          </w:p>
          <w:p w14:paraId="7E683BC6" w14:textId="77777777" w:rsidR="009D18AE" w:rsidRPr="006C68CA" w:rsidRDefault="009D18AE">
            <w:pPr>
              <w:rPr>
                <w:rFonts w:asciiTheme="minorHAnsi" w:hAnsiTheme="minorHAnsi" w:cstheme="minorHAnsi"/>
                <w:sz w:val="22"/>
                <w:szCs w:val="22"/>
              </w:rPr>
            </w:pPr>
          </w:p>
          <w:p w14:paraId="7FCA2372"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4410" w:type="dxa"/>
          </w:tcPr>
          <w:p w14:paraId="08BECAD2"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 xml:space="preserve">The further review level is based on a three-year national average.  The range of acceptable data not requiring further review is from 1.39 to 2.08 for SWRU. </w:t>
            </w:r>
          </w:p>
        </w:tc>
      </w:tr>
      <w:tr w:rsidR="009D18AE" w:rsidRPr="00226233" w14:paraId="3897D404" w14:textId="77777777" w:rsidTr="000E5179">
        <w:tc>
          <w:tcPr>
            <w:tcW w:w="1034" w:type="dxa"/>
          </w:tcPr>
          <w:p w14:paraId="79FECD6C"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5b</w:t>
            </w:r>
          </w:p>
        </w:tc>
        <w:tc>
          <w:tcPr>
            <w:tcW w:w="2206" w:type="dxa"/>
          </w:tcPr>
          <w:p w14:paraId="3F1B8FB6"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Average number of violations per inspection with violations by violation type (other)</w:t>
            </w:r>
          </w:p>
        </w:tc>
        <w:tc>
          <w:tcPr>
            <w:tcW w:w="1289" w:type="dxa"/>
          </w:tcPr>
          <w:p w14:paraId="1F650D1D" w14:textId="50027E38"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1</w:t>
            </w:r>
            <w:r w:rsidR="00C21B2A" w:rsidRPr="006C68CA">
              <w:rPr>
                <w:rFonts w:asciiTheme="minorHAnsi" w:eastAsia="PMingLiU" w:hAnsiTheme="minorHAnsi" w:cstheme="minorHAnsi"/>
                <w:sz w:val="22"/>
                <w:szCs w:val="22"/>
              </w:rPr>
              <w:t>.</w:t>
            </w:r>
            <w:r w:rsidRPr="006C68CA">
              <w:rPr>
                <w:rFonts w:asciiTheme="minorHAnsi" w:eastAsia="PMingLiU" w:hAnsiTheme="minorHAnsi" w:cstheme="minorHAnsi"/>
                <w:sz w:val="22"/>
                <w:szCs w:val="22"/>
              </w:rPr>
              <w:t>12</w:t>
            </w:r>
          </w:p>
        </w:tc>
        <w:tc>
          <w:tcPr>
            <w:tcW w:w="1411" w:type="dxa"/>
          </w:tcPr>
          <w:p w14:paraId="02B4DCC4"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+/- 20% of 0.94</w:t>
            </w:r>
          </w:p>
          <w:p w14:paraId="6F860CC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4410" w:type="dxa"/>
          </w:tcPr>
          <w:p w14:paraId="04A4929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The further review level is based on a three-year national average.  The range of acceptable data not requiring further review is from 0.75 to 1.12 for OTS.</w:t>
            </w:r>
          </w:p>
        </w:tc>
      </w:tr>
      <w:tr w:rsidR="009D18AE" w:rsidRPr="00226233" w14:paraId="76499F38" w14:textId="77777777" w:rsidTr="000E5179">
        <w:tc>
          <w:tcPr>
            <w:tcW w:w="1034" w:type="dxa"/>
          </w:tcPr>
          <w:p w14:paraId="33AD634A"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6</w:t>
            </w:r>
          </w:p>
        </w:tc>
        <w:tc>
          <w:tcPr>
            <w:tcW w:w="2206" w:type="dxa"/>
          </w:tcPr>
          <w:p w14:paraId="1DC6CC7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Percent of total inspections in state and local government workplaces</w:t>
            </w:r>
          </w:p>
        </w:tc>
        <w:tc>
          <w:tcPr>
            <w:tcW w:w="1289" w:type="dxa"/>
          </w:tcPr>
          <w:p w14:paraId="6E9E24F3" w14:textId="09CAF2C1"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19.61</w:t>
            </w:r>
            <w:r w:rsidR="00C21B2A" w:rsidRPr="006C68CA">
              <w:rPr>
                <w:rFonts w:asciiTheme="minorHAnsi" w:hAnsiTheme="minorHAnsi" w:cstheme="minorHAnsi"/>
                <w:sz w:val="22"/>
                <w:szCs w:val="22"/>
              </w:rPr>
              <w:t>%</w:t>
            </w:r>
          </w:p>
        </w:tc>
        <w:tc>
          <w:tcPr>
            <w:tcW w:w="1411" w:type="dxa"/>
          </w:tcPr>
          <w:p w14:paraId="43FC81ED"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+/- 5% of</w:t>
            </w:r>
          </w:p>
          <w:p w14:paraId="4911407B" w14:textId="42DDD04C" w:rsidR="009D18AE" w:rsidRPr="006C68CA" w:rsidRDefault="009D18AE" w:rsidP="1B33A85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6.67%</w:t>
            </w:r>
          </w:p>
        </w:tc>
        <w:tc>
          <w:tcPr>
            <w:tcW w:w="4410" w:type="dxa"/>
          </w:tcPr>
          <w:p w14:paraId="35E3914A"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The further review level is based on a number negotiated by OSHA and the State Plan through the grant application.  The range of acceptable data not requiring further review is from 6.33% to 7.00%.</w:t>
            </w:r>
          </w:p>
        </w:tc>
      </w:tr>
      <w:tr w:rsidR="009D18AE" w:rsidRPr="00226233" w14:paraId="2D147C16" w14:textId="77777777" w:rsidTr="000E5179">
        <w:trPr>
          <w:cantSplit/>
        </w:trPr>
        <w:tc>
          <w:tcPr>
            <w:tcW w:w="1034" w:type="dxa"/>
          </w:tcPr>
          <w:p w14:paraId="016E114C"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7a</w:t>
            </w:r>
          </w:p>
        </w:tc>
        <w:tc>
          <w:tcPr>
            <w:tcW w:w="2206" w:type="dxa"/>
          </w:tcPr>
          <w:p w14:paraId="769A3E16"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Planned v. actual inspections (safety)</w:t>
            </w:r>
          </w:p>
        </w:tc>
        <w:tc>
          <w:tcPr>
            <w:tcW w:w="1289" w:type="dxa"/>
          </w:tcPr>
          <w:p w14:paraId="164CDC04"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245</w:t>
            </w:r>
          </w:p>
        </w:tc>
        <w:tc>
          <w:tcPr>
            <w:tcW w:w="1411" w:type="dxa"/>
          </w:tcPr>
          <w:p w14:paraId="1DA13470"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xml:space="preserve">+/- 5% of </w:t>
            </w:r>
          </w:p>
          <w:p w14:paraId="4C655BE4" w14:textId="5801BB1D" w:rsidR="009D18AE" w:rsidRPr="006C68CA" w:rsidRDefault="009D18AE" w:rsidP="1B33A85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215</w:t>
            </w:r>
          </w:p>
        </w:tc>
        <w:tc>
          <w:tcPr>
            <w:tcW w:w="4410" w:type="dxa"/>
          </w:tcPr>
          <w:p w14:paraId="6783244D"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204 to 226 for safety.</w:t>
            </w:r>
          </w:p>
        </w:tc>
      </w:tr>
      <w:tr w:rsidR="009D18AE" w:rsidRPr="00226233" w14:paraId="4C14B23C" w14:textId="77777777" w:rsidTr="000E5179">
        <w:tc>
          <w:tcPr>
            <w:tcW w:w="1034" w:type="dxa"/>
          </w:tcPr>
          <w:p w14:paraId="05E910DE"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7b</w:t>
            </w:r>
          </w:p>
        </w:tc>
        <w:tc>
          <w:tcPr>
            <w:tcW w:w="2206" w:type="dxa"/>
          </w:tcPr>
          <w:p w14:paraId="5938C2F4"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Planned v. actual inspections (health)</w:t>
            </w:r>
          </w:p>
        </w:tc>
        <w:tc>
          <w:tcPr>
            <w:tcW w:w="1289" w:type="dxa"/>
          </w:tcPr>
          <w:p w14:paraId="719BEE38"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112</w:t>
            </w:r>
          </w:p>
        </w:tc>
        <w:tc>
          <w:tcPr>
            <w:tcW w:w="1411" w:type="dxa"/>
          </w:tcPr>
          <w:p w14:paraId="060EC38C"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xml:space="preserve">+/- 5% of </w:t>
            </w:r>
          </w:p>
          <w:p w14:paraId="7F70863B" w14:textId="6FFEFB66" w:rsidR="009D18AE" w:rsidRPr="006C68CA" w:rsidRDefault="009D18AE" w:rsidP="1B33A85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160</w:t>
            </w:r>
          </w:p>
        </w:tc>
        <w:tc>
          <w:tcPr>
            <w:tcW w:w="4410" w:type="dxa"/>
          </w:tcPr>
          <w:p w14:paraId="1ADA845D"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number negotiated by OSHA and the State Plan through the grant application.  The range of acceptable data not requiring further review is from 152 to 168 for health.</w:t>
            </w:r>
          </w:p>
        </w:tc>
      </w:tr>
      <w:tr w:rsidR="009D18AE" w:rsidRPr="00226233" w14:paraId="1110C308" w14:textId="77777777" w:rsidTr="000E5179">
        <w:tc>
          <w:tcPr>
            <w:tcW w:w="1034" w:type="dxa"/>
          </w:tcPr>
          <w:p w14:paraId="51068874"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8</w:t>
            </w:r>
          </w:p>
        </w:tc>
        <w:tc>
          <w:tcPr>
            <w:tcW w:w="2206" w:type="dxa"/>
          </w:tcPr>
          <w:p w14:paraId="02ADB01F"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Average current serious penalty in private sector - total (1 to greater than 250 workers)</w:t>
            </w:r>
          </w:p>
        </w:tc>
        <w:tc>
          <w:tcPr>
            <w:tcW w:w="1289" w:type="dxa"/>
          </w:tcPr>
          <w:p w14:paraId="5C4A50E7"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$4,811.80</w:t>
            </w:r>
          </w:p>
        </w:tc>
        <w:tc>
          <w:tcPr>
            <w:tcW w:w="1411" w:type="dxa"/>
          </w:tcPr>
          <w:p w14:paraId="2A0E9E3D"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xml:space="preserve">+/- 25% of </w:t>
            </w:r>
          </w:p>
          <w:p w14:paraId="0DD95F5B" w14:textId="77777777" w:rsidR="009D18AE" w:rsidRPr="006C68CA" w:rsidRDefault="009D18AE">
            <w:pPr>
              <w:rPr>
                <w:rFonts w:asciiTheme="minorHAnsi" w:eastAsia="PMingLiU" w:hAnsiTheme="minorHAnsi" w:cstheme="minorHAnsi"/>
                <w:sz w:val="22"/>
                <w:szCs w:val="22"/>
              </w:rPr>
            </w:pPr>
            <w:r w:rsidRPr="006C68CA">
              <w:rPr>
                <w:rFonts w:asciiTheme="minorHAnsi" w:eastAsia="PMingLiU" w:hAnsiTheme="minorHAnsi" w:cstheme="minorHAnsi"/>
                <w:sz w:val="22"/>
                <w:szCs w:val="22"/>
              </w:rPr>
              <w:t>$3,793.81</w:t>
            </w:r>
          </w:p>
          <w:p w14:paraId="672BEDB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4410" w:type="dxa"/>
          </w:tcPr>
          <w:p w14:paraId="1B4A6BA8" w14:textId="77777777" w:rsidR="009D18AE" w:rsidRPr="006C68CA" w:rsidRDefault="009D18AE">
            <w:pPr>
              <w:tabs>
                <w:tab w:val="left" w:pos="2416"/>
              </w:tabs>
              <w:rPr>
                <w:rFonts w:asciiTheme="minorHAnsi"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$2,845.36 to $4,742.27.</w:t>
            </w:r>
          </w:p>
        </w:tc>
      </w:tr>
      <w:tr w:rsidR="009D18AE" w:rsidRPr="00226233" w14:paraId="5871917F" w14:textId="77777777" w:rsidTr="000E5179">
        <w:tc>
          <w:tcPr>
            <w:tcW w:w="1034" w:type="dxa"/>
          </w:tcPr>
          <w:p w14:paraId="4B16C9D2"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8a</w:t>
            </w:r>
          </w:p>
        </w:tc>
        <w:tc>
          <w:tcPr>
            <w:tcW w:w="2206" w:type="dxa"/>
          </w:tcPr>
          <w:p w14:paraId="444954CE"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Average current serious penalty in private sector</w:t>
            </w:r>
          </w:p>
          <w:p w14:paraId="4C4742AB"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 xml:space="preserve"> (1-25 workers)</w:t>
            </w:r>
          </w:p>
        </w:tc>
        <w:tc>
          <w:tcPr>
            <w:tcW w:w="1289" w:type="dxa"/>
          </w:tcPr>
          <w:p w14:paraId="64D5802C"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$2,440.00</w:t>
            </w:r>
          </w:p>
        </w:tc>
        <w:tc>
          <w:tcPr>
            <w:tcW w:w="1411" w:type="dxa"/>
          </w:tcPr>
          <w:p w14:paraId="6DA300F5"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xml:space="preserve">+/- 25% of </w:t>
            </w:r>
          </w:p>
          <w:p w14:paraId="2168A334"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$2,498.51</w:t>
            </w:r>
          </w:p>
          <w:p w14:paraId="4649C075"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4410" w:type="dxa"/>
          </w:tcPr>
          <w:p w14:paraId="166915AF"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$1,873.88 to $3,123.14.</w:t>
            </w:r>
          </w:p>
        </w:tc>
      </w:tr>
      <w:tr w:rsidR="009D18AE" w:rsidRPr="00226233" w14:paraId="32FC90C9" w14:textId="77777777" w:rsidTr="000E5179">
        <w:tc>
          <w:tcPr>
            <w:tcW w:w="1034" w:type="dxa"/>
          </w:tcPr>
          <w:p w14:paraId="17E79473"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8b</w:t>
            </w:r>
          </w:p>
        </w:tc>
        <w:tc>
          <w:tcPr>
            <w:tcW w:w="2206" w:type="dxa"/>
          </w:tcPr>
          <w:p w14:paraId="2A36B50E"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xml:space="preserve">Average current serious penalty in private sector </w:t>
            </w:r>
          </w:p>
          <w:p w14:paraId="0FCC932F"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(26-100 workers</w:t>
            </w:r>
            <w:r w:rsidRPr="006C68CA">
              <w:rPr>
                <w:rFonts w:asciiTheme="minorHAnsi" w:hAnsiTheme="minorHAnsi" w:cstheme="minorHAnsi"/>
                <w:b/>
                <w:sz w:val="22"/>
                <w:szCs w:val="22"/>
              </w:rPr>
              <w:t>)</w:t>
            </w:r>
          </w:p>
        </w:tc>
        <w:tc>
          <w:tcPr>
            <w:tcW w:w="1289" w:type="dxa"/>
          </w:tcPr>
          <w:p w14:paraId="36373549"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$4,112.96</w:t>
            </w:r>
          </w:p>
        </w:tc>
        <w:tc>
          <w:tcPr>
            <w:tcW w:w="1411" w:type="dxa"/>
          </w:tcPr>
          <w:p w14:paraId="7F0408BC"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xml:space="preserve">+/- 25% of </w:t>
            </w:r>
          </w:p>
          <w:p w14:paraId="58CFFE9E"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$4,322.61</w:t>
            </w:r>
          </w:p>
          <w:p w14:paraId="3E67EA0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4410" w:type="dxa"/>
          </w:tcPr>
          <w:p w14:paraId="33893D2C"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$3,241.96 to $5,403.26.</w:t>
            </w:r>
          </w:p>
        </w:tc>
      </w:tr>
      <w:tr w:rsidR="009D18AE" w:rsidRPr="00226233" w14:paraId="02DABF77" w14:textId="77777777" w:rsidTr="000E5179">
        <w:tc>
          <w:tcPr>
            <w:tcW w:w="1034" w:type="dxa"/>
          </w:tcPr>
          <w:p w14:paraId="1E4B33A8"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8c</w:t>
            </w:r>
          </w:p>
        </w:tc>
        <w:tc>
          <w:tcPr>
            <w:tcW w:w="2206" w:type="dxa"/>
          </w:tcPr>
          <w:p w14:paraId="46097631"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Average current serious penalty in private sector</w:t>
            </w:r>
          </w:p>
          <w:p w14:paraId="74081E8C"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(101-250 workers)</w:t>
            </w:r>
          </w:p>
        </w:tc>
        <w:tc>
          <w:tcPr>
            <w:tcW w:w="1289" w:type="dxa"/>
          </w:tcPr>
          <w:p w14:paraId="7688DE8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$3,131.77</w:t>
            </w:r>
          </w:p>
        </w:tc>
        <w:tc>
          <w:tcPr>
            <w:tcW w:w="1411" w:type="dxa"/>
          </w:tcPr>
          <w:p w14:paraId="7BCD38F4"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xml:space="preserve">+/- 25% of </w:t>
            </w:r>
          </w:p>
          <w:p w14:paraId="0B0EE21A"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$6,114.84</w:t>
            </w:r>
          </w:p>
          <w:p w14:paraId="5504C3DB"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4410" w:type="dxa"/>
          </w:tcPr>
          <w:p w14:paraId="32DA7C2E"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$4,586.13 to $7,643.55.</w:t>
            </w:r>
          </w:p>
        </w:tc>
      </w:tr>
      <w:tr w:rsidR="009D18AE" w:rsidRPr="00226233" w14:paraId="6D642B85" w14:textId="77777777" w:rsidTr="000E5179">
        <w:tc>
          <w:tcPr>
            <w:tcW w:w="1034" w:type="dxa"/>
          </w:tcPr>
          <w:p w14:paraId="1CEFE80A"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8d</w:t>
            </w:r>
          </w:p>
        </w:tc>
        <w:tc>
          <w:tcPr>
            <w:tcW w:w="2206" w:type="dxa"/>
          </w:tcPr>
          <w:p w14:paraId="3AA576C4"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Average current serious penalty in private sector</w:t>
            </w:r>
          </w:p>
          <w:p w14:paraId="78CA1158"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(greater than 250 workers)</w:t>
            </w:r>
          </w:p>
        </w:tc>
        <w:tc>
          <w:tcPr>
            <w:tcW w:w="1289" w:type="dxa"/>
          </w:tcPr>
          <w:p w14:paraId="7B085C7E"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$10,153.92</w:t>
            </w:r>
          </w:p>
        </w:tc>
        <w:tc>
          <w:tcPr>
            <w:tcW w:w="1411" w:type="dxa"/>
          </w:tcPr>
          <w:p w14:paraId="0AD153F9"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xml:space="preserve">+/- 25% of </w:t>
            </w:r>
          </w:p>
          <w:p w14:paraId="1B8F3739"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$7,533.58</w:t>
            </w:r>
          </w:p>
          <w:p w14:paraId="60464F49"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4410" w:type="dxa"/>
          </w:tcPr>
          <w:p w14:paraId="045C8B99"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$5,650.19 to $9,416.98.</w:t>
            </w:r>
          </w:p>
        </w:tc>
      </w:tr>
      <w:tr w:rsidR="009D18AE" w:rsidRPr="00226233" w14:paraId="4C500BC7" w14:textId="77777777" w:rsidTr="000E5179">
        <w:tc>
          <w:tcPr>
            <w:tcW w:w="1034" w:type="dxa"/>
          </w:tcPr>
          <w:p w14:paraId="36E67D56"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9a</w:t>
            </w:r>
          </w:p>
        </w:tc>
        <w:tc>
          <w:tcPr>
            <w:tcW w:w="2206" w:type="dxa"/>
          </w:tcPr>
          <w:p w14:paraId="436314FF"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Percent in compliance (safety)</w:t>
            </w:r>
          </w:p>
        </w:tc>
        <w:tc>
          <w:tcPr>
            <w:tcW w:w="1289" w:type="dxa"/>
          </w:tcPr>
          <w:p w14:paraId="4B2962C9"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37.50%</w:t>
            </w:r>
          </w:p>
        </w:tc>
        <w:tc>
          <w:tcPr>
            <w:tcW w:w="1411" w:type="dxa"/>
          </w:tcPr>
          <w:p w14:paraId="0DBFA54B"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+/- 20% of</w:t>
            </w:r>
          </w:p>
          <w:p w14:paraId="0C34F3C8"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32.83%</w:t>
            </w:r>
          </w:p>
        </w:tc>
        <w:tc>
          <w:tcPr>
            <w:tcW w:w="4410" w:type="dxa"/>
          </w:tcPr>
          <w:p w14:paraId="667908B6"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26.27% to 39.40% for safety.</w:t>
            </w:r>
          </w:p>
        </w:tc>
      </w:tr>
      <w:tr w:rsidR="009D18AE" w:rsidRPr="00226233" w14:paraId="7A94E294" w14:textId="77777777" w:rsidTr="000E5179">
        <w:tc>
          <w:tcPr>
            <w:tcW w:w="1034" w:type="dxa"/>
          </w:tcPr>
          <w:p w14:paraId="35E0AD15"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9b</w:t>
            </w:r>
          </w:p>
        </w:tc>
        <w:tc>
          <w:tcPr>
            <w:tcW w:w="2206" w:type="dxa"/>
          </w:tcPr>
          <w:p w14:paraId="075CC5AA"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Percent in compliance (health)</w:t>
            </w:r>
          </w:p>
        </w:tc>
        <w:tc>
          <w:tcPr>
            <w:tcW w:w="1289" w:type="dxa"/>
          </w:tcPr>
          <w:p w14:paraId="0D17C5BB"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44.58%</w:t>
            </w:r>
          </w:p>
        </w:tc>
        <w:tc>
          <w:tcPr>
            <w:tcW w:w="1411" w:type="dxa"/>
          </w:tcPr>
          <w:p w14:paraId="64094889"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+/- 20% of</w:t>
            </w:r>
          </w:p>
          <w:p w14:paraId="5330930C"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44.18%</w:t>
            </w:r>
          </w:p>
        </w:tc>
        <w:tc>
          <w:tcPr>
            <w:tcW w:w="4410" w:type="dxa"/>
          </w:tcPr>
          <w:p w14:paraId="0986270D"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35.34% to 53.01% for health.</w:t>
            </w:r>
          </w:p>
        </w:tc>
      </w:tr>
      <w:tr w:rsidR="009D18AE" w:rsidRPr="00226233" w14:paraId="56708CBA" w14:textId="77777777" w:rsidTr="000E5179">
        <w:tc>
          <w:tcPr>
            <w:tcW w:w="1034" w:type="dxa"/>
          </w:tcPr>
          <w:p w14:paraId="3CC54532"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10</w:t>
            </w:r>
          </w:p>
        </w:tc>
        <w:tc>
          <w:tcPr>
            <w:tcW w:w="2206" w:type="dxa"/>
          </w:tcPr>
          <w:p w14:paraId="76FC6BB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Percent of work-related fatalities responded to in one workday</w:t>
            </w:r>
          </w:p>
        </w:tc>
        <w:tc>
          <w:tcPr>
            <w:tcW w:w="1289" w:type="dxa"/>
          </w:tcPr>
          <w:p w14:paraId="4CBC9861"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80.00%</w:t>
            </w:r>
          </w:p>
        </w:tc>
        <w:tc>
          <w:tcPr>
            <w:tcW w:w="1411" w:type="dxa"/>
          </w:tcPr>
          <w:p w14:paraId="7A2E9FDF"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100%</w:t>
            </w:r>
          </w:p>
        </w:tc>
        <w:tc>
          <w:tcPr>
            <w:tcW w:w="4410" w:type="dxa"/>
          </w:tcPr>
          <w:p w14:paraId="69B817A9"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fixed for all State Plans.</w:t>
            </w:r>
          </w:p>
        </w:tc>
      </w:tr>
      <w:tr w:rsidR="009D18AE" w:rsidRPr="00226233" w14:paraId="7CE265B6" w14:textId="77777777" w:rsidTr="000E5179">
        <w:trPr>
          <w:cantSplit/>
        </w:trPr>
        <w:tc>
          <w:tcPr>
            <w:tcW w:w="1034" w:type="dxa"/>
          </w:tcPr>
          <w:p w14:paraId="36D3AFB6"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11a</w:t>
            </w:r>
          </w:p>
        </w:tc>
        <w:tc>
          <w:tcPr>
            <w:tcW w:w="2206" w:type="dxa"/>
          </w:tcPr>
          <w:p w14:paraId="7208A16C"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Average lapse time (safety)</w:t>
            </w:r>
          </w:p>
        </w:tc>
        <w:tc>
          <w:tcPr>
            <w:tcW w:w="1289" w:type="dxa"/>
          </w:tcPr>
          <w:p w14:paraId="502590F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65.08</w:t>
            </w:r>
          </w:p>
        </w:tc>
        <w:tc>
          <w:tcPr>
            <w:tcW w:w="1411" w:type="dxa"/>
          </w:tcPr>
          <w:p w14:paraId="4C3625D2"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+/- 20% of 56.02</w:t>
            </w:r>
          </w:p>
          <w:p w14:paraId="5455D2F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4410" w:type="dxa"/>
          </w:tcPr>
          <w:p w14:paraId="7B8A1F5E"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44.82 to 67.23for safety.</w:t>
            </w:r>
          </w:p>
        </w:tc>
      </w:tr>
      <w:tr w:rsidR="009D18AE" w:rsidRPr="00226233" w14:paraId="392D9F7D" w14:textId="77777777" w:rsidTr="000E5179">
        <w:tc>
          <w:tcPr>
            <w:tcW w:w="1034" w:type="dxa"/>
          </w:tcPr>
          <w:p w14:paraId="1464EE08"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11b</w:t>
            </w:r>
          </w:p>
        </w:tc>
        <w:tc>
          <w:tcPr>
            <w:tcW w:w="2206" w:type="dxa"/>
          </w:tcPr>
          <w:p w14:paraId="7F0C6692"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Average lapse time (health)</w:t>
            </w:r>
          </w:p>
        </w:tc>
        <w:tc>
          <w:tcPr>
            <w:tcW w:w="1289" w:type="dxa"/>
          </w:tcPr>
          <w:p w14:paraId="19C7DBB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74.95</w:t>
            </w:r>
          </w:p>
        </w:tc>
        <w:tc>
          <w:tcPr>
            <w:tcW w:w="1411" w:type="dxa"/>
          </w:tcPr>
          <w:p w14:paraId="2343B11A"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+/- 20% of 67.21</w:t>
            </w:r>
          </w:p>
          <w:p w14:paraId="76EDF4D4"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4410" w:type="dxa"/>
          </w:tcPr>
          <w:p w14:paraId="21D666AC"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53.77 to 80.65 for health.</w:t>
            </w:r>
          </w:p>
        </w:tc>
      </w:tr>
      <w:tr w:rsidR="009D18AE" w:rsidRPr="00226233" w14:paraId="09DB5872" w14:textId="77777777" w:rsidTr="000E5179">
        <w:tc>
          <w:tcPr>
            <w:tcW w:w="1034" w:type="dxa"/>
          </w:tcPr>
          <w:p w14:paraId="264C516F"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12</w:t>
            </w:r>
          </w:p>
        </w:tc>
        <w:tc>
          <w:tcPr>
            <w:tcW w:w="2206" w:type="dxa"/>
          </w:tcPr>
          <w:p w14:paraId="58DCCCB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Percent penalty retained</w:t>
            </w:r>
          </w:p>
        </w:tc>
        <w:tc>
          <w:tcPr>
            <w:tcW w:w="1289" w:type="dxa"/>
          </w:tcPr>
          <w:p w14:paraId="29A5731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29.41%</w:t>
            </w:r>
          </w:p>
        </w:tc>
        <w:tc>
          <w:tcPr>
            <w:tcW w:w="1411" w:type="dxa"/>
          </w:tcPr>
          <w:p w14:paraId="4B3C7266"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+/- 15% of</w:t>
            </w:r>
          </w:p>
          <w:p w14:paraId="68FD8C5E"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70.81%</w:t>
            </w:r>
          </w:p>
        </w:tc>
        <w:tc>
          <w:tcPr>
            <w:tcW w:w="4410" w:type="dxa"/>
          </w:tcPr>
          <w:p w14:paraId="61FEDFC4"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60.19% to 81.44%.</w:t>
            </w:r>
          </w:p>
        </w:tc>
      </w:tr>
      <w:tr w:rsidR="009D18AE" w:rsidRPr="00226233" w14:paraId="70744FDB" w14:textId="77777777" w:rsidTr="000E5179">
        <w:tc>
          <w:tcPr>
            <w:tcW w:w="1034" w:type="dxa"/>
          </w:tcPr>
          <w:p w14:paraId="3EDCB2A7"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13</w:t>
            </w:r>
          </w:p>
        </w:tc>
        <w:tc>
          <w:tcPr>
            <w:tcW w:w="2206" w:type="dxa"/>
          </w:tcPr>
          <w:p w14:paraId="33BE951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Percent of initial inspections with worker walk-around representation or worker interview</w:t>
            </w:r>
          </w:p>
        </w:tc>
        <w:tc>
          <w:tcPr>
            <w:tcW w:w="1289" w:type="dxa"/>
          </w:tcPr>
          <w:p w14:paraId="3169BCAA"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94.40%</w:t>
            </w:r>
          </w:p>
        </w:tc>
        <w:tc>
          <w:tcPr>
            <w:tcW w:w="1411" w:type="dxa"/>
          </w:tcPr>
          <w:p w14:paraId="40779987"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100%</w:t>
            </w:r>
          </w:p>
        </w:tc>
        <w:tc>
          <w:tcPr>
            <w:tcW w:w="4410" w:type="dxa"/>
          </w:tcPr>
          <w:p w14:paraId="4749ACBB"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fixed for all State Plans.</w:t>
            </w:r>
          </w:p>
        </w:tc>
      </w:tr>
      <w:tr w:rsidR="009D18AE" w:rsidRPr="00226233" w14:paraId="3C5C5D64" w14:textId="77777777" w:rsidTr="000E5179">
        <w:tc>
          <w:tcPr>
            <w:tcW w:w="1034" w:type="dxa"/>
          </w:tcPr>
          <w:p w14:paraId="3928812A"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14</w:t>
            </w:r>
          </w:p>
        </w:tc>
        <w:tc>
          <w:tcPr>
            <w:tcW w:w="2206" w:type="dxa"/>
          </w:tcPr>
          <w:p w14:paraId="61F004CB"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Percent of 11(c) investigations completed within 90 days</w:t>
            </w:r>
          </w:p>
        </w:tc>
        <w:tc>
          <w:tcPr>
            <w:tcW w:w="1289" w:type="dxa"/>
          </w:tcPr>
          <w:p w14:paraId="4FF4C619"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N/A*</w:t>
            </w:r>
          </w:p>
        </w:tc>
        <w:tc>
          <w:tcPr>
            <w:tcW w:w="1411" w:type="dxa"/>
          </w:tcPr>
          <w:p w14:paraId="7C608B9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N/A*</w:t>
            </w:r>
          </w:p>
        </w:tc>
        <w:tc>
          <w:tcPr>
            <w:tcW w:w="4410" w:type="dxa"/>
          </w:tcPr>
          <w:p w14:paraId="1ED71564"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This measure is not being reported for FY 2024 due to the transition to the new SAMM measures starting in FY 2025.</w:t>
            </w:r>
          </w:p>
        </w:tc>
      </w:tr>
      <w:tr w:rsidR="009D18AE" w:rsidRPr="00226233" w14:paraId="7B22664F" w14:textId="77777777" w:rsidTr="000E5179">
        <w:tc>
          <w:tcPr>
            <w:tcW w:w="1034" w:type="dxa"/>
          </w:tcPr>
          <w:p w14:paraId="3E77AAC8"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15</w:t>
            </w:r>
          </w:p>
        </w:tc>
        <w:tc>
          <w:tcPr>
            <w:tcW w:w="2206" w:type="dxa"/>
          </w:tcPr>
          <w:p w14:paraId="0FDF924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Percent of 11(c) complaints that are meritorious</w:t>
            </w:r>
          </w:p>
        </w:tc>
        <w:tc>
          <w:tcPr>
            <w:tcW w:w="1289" w:type="dxa"/>
          </w:tcPr>
          <w:p w14:paraId="0EFA61B1"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N/A*</w:t>
            </w:r>
          </w:p>
        </w:tc>
        <w:tc>
          <w:tcPr>
            <w:tcW w:w="1411" w:type="dxa"/>
          </w:tcPr>
          <w:p w14:paraId="36827EDF"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N/A*</w:t>
            </w:r>
          </w:p>
        </w:tc>
        <w:tc>
          <w:tcPr>
            <w:tcW w:w="4410" w:type="dxa"/>
          </w:tcPr>
          <w:p w14:paraId="4749F3FF"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This measure is not being reported for FY 2024 due to the transition to the new SAMM measures starting in FY 2025.</w:t>
            </w:r>
          </w:p>
        </w:tc>
      </w:tr>
      <w:tr w:rsidR="009D18AE" w:rsidRPr="00226233" w14:paraId="790161AF" w14:textId="77777777" w:rsidTr="000E5179">
        <w:tc>
          <w:tcPr>
            <w:tcW w:w="1034" w:type="dxa"/>
          </w:tcPr>
          <w:p w14:paraId="71BBDB62"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16</w:t>
            </w:r>
          </w:p>
        </w:tc>
        <w:tc>
          <w:tcPr>
            <w:tcW w:w="2206" w:type="dxa"/>
          </w:tcPr>
          <w:p w14:paraId="4EDC340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Average number of calendar days to complete an 11(c) investigation</w:t>
            </w:r>
          </w:p>
        </w:tc>
        <w:tc>
          <w:tcPr>
            <w:tcW w:w="1289" w:type="dxa"/>
          </w:tcPr>
          <w:p w14:paraId="70C44934"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N/A*</w:t>
            </w:r>
          </w:p>
        </w:tc>
        <w:tc>
          <w:tcPr>
            <w:tcW w:w="1411" w:type="dxa"/>
          </w:tcPr>
          <w:p w14:paraId="3539423B"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N/A*</w:t>
            </w:r>
          </w:p>
        </w:tc>
        <w:tc>
          <w:tcPr>
            <w:tcW w:w="4410" w:type="dxa"/>
          </w:tcPr>
          <w:p w14:paraId="70AEB277"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eastAsia="PMingLiU" w:hAnsiTheme="minorHAnsi" w:cstheme="minorHAnsi"/>
                <w:sz w:val="22"/>
                <w:szCs w:val="22"/>
              </w:rPr>
              <w:t>This measure is not being reported for FY 2024 due to the transition to the new SAMM measures starting in FY 2025.</w:t>
            </w:r>
          </w:p>
        </w:tc>
      </w:tr>
      <w:tr w:rsidR="009D18AE" w:rsidRPr="00226233" w14:paraId="13237B42" w14:textId="77777777" w:rsidTr="000E5179">
        <w:tc>
          <w:tcPr>
            <w:tcW w:w="1034" w:type="dxa"/>
          </w:tcPr>
          <w:p w14:paraId="450D6A7D" w14:textId="77777777" w:rsidR="009D18AE" w:rsidRPr="000E5179"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sidRPr="000E5179">
              <w:rPr>
                <w:rFonts w:asciiTheme="minorHAnsi" w:eastAsia="PMingLiU" w:hAnsiTheme="minorHAnsi" w:cstheme="minorHAnsi"/>
                <w:b/>
                <w:bCs/>
                <w:sz w:val="22"/>
                <w:szCs w:val="22"/>
              </w:rPr>
              <w:t>17</w:t>
            </w:r>
          </w:p>
        </w:tc>
        <w:tc>
          <w:tcPr>
            <w:tcW w:w="2206" w:type="dxa"/>
          </w:tcPr>
          <w:p w14:paraId="2EBB1740"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C68CA">
              <w:rPr>
                <w:rFonts w:asciiTheme="minorHAnsi" w:hAnsiTheme="minorHAnsi" w:cstheme="minorHAnsi"/>
                <w:sz w:val="22"/>
                <w:szCs w:val="22"/>
              </w:rPr>
              <w:t>Percent of enforcement presence</w:t>
            </w:r>
          </w:p>
        </w:tc>
        <w:tc>
          <w:tcPr>
            <w:tcW w:w="1289" w:type="dxa"/>
          </w:tcPr>
          <w:p w14:paraId="5A77C3EC"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1.56%</w:t>
            </w:r>
          </w:p>
        </w:tc>
        <w:tc>
          <w:tcPr>
            <w:tcW w:w="1411" w:type="dxa"/>
          </w:tcPr>
          <w:p w14:paraId="3FA40E20" w14:textId="77777777" w:rsidR="009D18AE" w:rsidRPr="006C68CA" w:rsidRDefault="009D18AE">
            <w:pPr>
              <w:rPr>
                <w:rFonts w:asciiTheme="minorHAnsi" w:hAnsiTheme="minorHAnsi" w:cstheme="minorHAnsi"/>
                <w:sz w:val="22"/>
                <w:szCs w:val="22"/>
              </w:rPr>
            </w:pPr>
            <w:r w:rsidRPr="006C68CA">
              <w:rPr>
                <w:rFonts w:asciiTheme="minorHAnsi" w:hAnsiTheme="minorHAnsi" w:cstheme="minorHAnsi"/>
                <w:sz w:val="22"/>
                <w:szCs w:val="22"/>
              </w:rPr>
              <w:t>+/- 25% of</w:t>
            </w:r>
          </w:p>
          <w:p w14:paraId="13BEAFDA"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1.00%</w:t>
            </w:r>
          </w:p>
        </w:tc>
        <w:tc>
          <w:tcPr>
            <w:tcW w:w="4410" w:type="dxa"/>
          </w:tcPr>
          <w:p w14:paraId="156D09F3" w14:textId="77777777" w:rsidR="009D18AE" w:rsidRPr="006C68CA" w:rsidRDefault="009D18A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r w:rsidRPr="006C68CA">
              <w:rPr>
                <w:rFonts w:asciiTheme="minorHAnsi" w:hAnsiTheme="minorHAnsi" w:cstheme="minorHAnsi"/>
                <w:sz w:val="22"/>
                <w:szCs w:val="22"/>
              </w:rPr>
              <w:t>The further review level is based on a three-year national average.  The range of acceptable data not requiring further review is from 0.75% to 1.25%.</w:t>
            </w:r>
          </w:p>
        </w:tc>
      </w:tr>
    </w:tbl>
    <w:p w14:paraId="0AB182F6" w14:textId="77777777" w:rsidR="00652E3D" w:rsidRDefault="00652E3D">
      <w:pPr>
        <w:widowControl/>
        <w:autoSpaceDE/>
        <w:autoSpaceDN/>
        <w:adjustRightInd/>
        <w:rPr>
          <w:rFonts w:cs="Calibri"/>
          <w:b/>
          <w:color w:val="1F497D"/>
          <w:sz w:val="28"/>
          <w:szCs w:val="28"/>
        </w:rPr>
      </w:pPr>
    </w:p>
    <w:p w14:paraId="0AB182F8" w14:textId="3EA2AAC9" w:rsidR="00652E3D" w:rsidRDefault="002A2FF1">
      <w:r>
        <w:rPr>
          <w:rFonts w:cstheme="minorHAnsi"/>
        </w:rPr>
        <w:t xml:space="preserve">NOTE:  </w:t>
      </w:r>
      <w:r w:rsidR="00157210" w:rsidRPr="00CB06AD">
        <w:t xml:space="preserve">The national averages in this report are three-year rolling averages.  Unless otherwise noted, the data contained in this Appendix D is pulled from the </w:t>
      </w:r>
      <w:r w:rsidR="00E66764">
        <w:t>SAMM</w:t>
      </w:r>
      <w:r w:rsidR="00157210" w:rsidRPr="00CB06AD">
        <w:t xml:space="preserve"> Report in OIS and the State Plan </w:t>
      </w:r>
      <w:proofErr w:type="spellStart"/>
      <w:r w:rsidR="00157210" w:rsidRPr="00CB06AD">
        <w:t>WebIMIS</w:t>
      </w:r>
      <w:proofErr w:type="spellEnd"/>
      <w:r w:rsidR="00157210" w:rsidRPr="00CB06AD">
        <w:t xml:space="preserve"> report run on November 1</w:t>
      </w:r>
      <w:r w:rsidR="00157210">
        <w:t>2</w:t>
      </w:r>
      <w:r w:rsidR="00157210" w:rsidRPr="00CB06AD">
        <w:t>, 202</w:t>
      </w:r>
      <w:r w:rsidR="00157210">
        <w:t>4</w:t>
      </w:r>
      <w:r w:rsidR="00157210" w:rsidRPr="00CB06AD">
        <w:t>, as part of OSHA’s official end-of-year data run.</w:t>
      </w:r>
    </w:p>
    <w:p w14:paraId="45C8BCB2" w14:textId="77777777" w:rsidR="00276E61" w:rsidRDefault="00276E61">
      <w:pPr>
        <w:rPr>
          <w:rFonts w:cstheme="minorHAnsi"/>
        </w:rPr>
      </w:pPr>
    </w:p>
    <w:p w14:paraId="0AB182F9" w14:textId="5A7A3516" w:rsidR="00652E3D" w:rsidRDefault="002A2FF1">
      <w:pPr>
        <w:rPr>
          <w:rFonts w:cstheme="minorHAnsi"/>
        </w:rPr>
      </w:pPr>
      <w:r>
        <w:rPr>
          <w:rFonts w:cstheme="minorHAnsi"/>
        </w:rPr>
        <w:t>*Due to the transition of 11(c) data from IMIS to OIS, SAMMs 14, 15, and 16 are not being reported for FY 202</w:t>
      </w:r>
      <w:r w:rsidR="00F44706">
        <w:rPr>
          <w:rFonts w:cstheme="minorHAnsi"/>
        </w:rPr>
        <w:t>4</w:t>
      </w:r>
      <w:r>
        <w:rPr>
          <w:rFonts w:cstheme="minorHAnsi"/>
        </w:rPr>
        <w:t xml:space="preserve">. </w:t>
      </w:r>
    </w:p>
    <w:p w14:paraId="0AB182FA" w14:textId="77777777" w:rsidR="00652E3D" w:rsidRDefault="00652E3D">
      <w:pPr>
        <w:widowControl/>
        <w:autoSpaceDE/>
        <w:autoSpaceDN/>
        <w:adjustRightInd/>
        <w:rPr>
          <w:rFonts w:cs="Calibri"/>
          <w:b/>
          <w:color w:val="1F497D"/>
          <w:sz w:val="28"/>
          <w:szCs w:val="28"/>
        </w:rPr>
      </w:pPr>
    </w:p>
    <w:p w14:paraId="0AB182FB" w14:textId="77777777" w:rsidR="00652E3D" w:rsidRDefault="00652E3D">
      <w:pPr>
        <w:widowControl/>
        <w:autoSpaceDE/>
        <w:autoSpaceDN/>
        <w:adjustRightInd/>
        <w:rPr>
          <w:rFonts w:cs="Calibri"/>
          <w:i/>
        </w:rPr>
      </w:pPr>
    </w:p>
    <w:p w14:paraId="0AB182FC" w14:textId="77777777" w:rsidR="00652E3D" w:rsidRDefault="00652E3D">
      <w:pPr>
        <w:widowControl/>
        <w:autoSpaceDE/>
        <w:autoSpaceDN/>
        <w:adjustRightInd/>
        <w:rPr>
          <w:rFonts w:cs="Calibri"/>
          <w:i/>
        </w:rPr>
      </w:pPr>
    </w:p>
    <w:p w14:paraId="0AB18303" w14:textId="77777777" w:rsidR="00652E3D" w:rsidRDefault="00652E3D">
      <w:pPr>
        <w:tabs>
          <w:tab w:val="left" w:pos="3405"/>
        </w:tabs>
        <w:rPr>
          <w:rFonts w:cs="Calibri"/>
        </w:rPr>
      </w:pPr>
    </w:p>
    <w:sectPr w:rsidR="00652E3D" w:rsidSect="009657AD">
      <w:headerReference w:type="default" r:id="rId30"/>
      <w:footerReference w:type="default" r:id="rId31"/>
      <w:pgSz w:w="12240" w:h="15840" w:code="1"/>
      <w:pgMar w:top="1440" w:right="1440" w:bottom="1440" w:left="90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5944F" w14:textId="77777777" w:rsidR="00BC634B" w:rsidRDefault="00BC634B">
      <w:r>
        <w:separator/>
      </w:r>
    </w:p>
  </w:endnote>
  <w:endnote w:type="continuationSeparator" w:id="0">
    <w:p w14:paraId="06056275" w14:textId="77777777" w:rsidR="00BC634B" w:rsidRDefault="00BC634B">
      <w:r>
        <w:continuationSeparator/>
      </w:r>
    </w:p>
  </w:endnote>
  <w:endnote w:type="continuationNotice" w:id="1">
    <w:p w14:paraId="4616123D" w14:textId="77777777" w:rsidR="00BC634B" w:rsidRDefault="00BC6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A3C3" w14:textId="77777777" w:rsidR="00D85AF4" w:rsidRDefault="00D85AF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835D" w14:textId="77777777" w:rsidR="00652E3D" w:rsidRDefault="00652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10AF" w14:textId="77777777" w:rsidR="00D85AF4" w:rsidRDefault="00D85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8B3D" w14:textId="77777777" w:rsidR="00D85AF4" w:rsidRDefault="00D85A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0AB1833B" w14:textId="77777777" w:rsidR="00652E3D" w:rsidRDefault="002A2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1833C" w14:textId="77777777" w:rsidR="00652E3D" w:rsidRDefault="00652E3D">
    <w:pPr>
      <w:pStyle w:val="Footer"/>
      <w:jc w:val="center"/>
    </w:pPr>
  </w:p>
  <w:p w14:paraId="0AB1833D" w14:textId="77777777" w:rsidR="00652E3D" w:rsidRDefault="00652E3D"/>
  <w:p w14:paraId="0AB1833E" w14:textId="77777777" w:rsidR="00652E3D" w:rsidRDefault="00652E3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965192"/>
      <w:docPartObj>
        <w:docPartGallery w:val="Page Numbers (Bottom of Page)"/>
        <w:docPartUnique/>
      </w:docPartObj>
    </w:sdtPr>
    <w:sdtEndPr>
      <w:rPr>
        <w:noProof/>
      </w:rPr>
    </w:sdtEndPr>
    <w:sdtContent>
      <w:p w14:paraId="51657C8C" w14:textId="615B22F8" w:rsidR="00B3292B" w:rsidRDefault="00B329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18342" w14:textId="77777777" w:rsidR="00652E3D" w:rsidRDefault="00652E3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0AB18344" w14:textId="77777777" w:rsidR="00652E3D" w:rsidRDefault="002A2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18345" w14:textId="77777777" w:rsidR="00652E3D" w:rsidRDefault="00652E3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8347" w14:textId="77777777" w:rsidR="00652E3D" w:rsidRDefault="002A2FF1">
    <w:pPr>
      <w:pStyle w:val="Footer"/>
      <w:jc w:val="right"/>
    </w:pPr>
    <w:r>
      <w:fldChar w:fldCharType="begin"/>
    </w:r>
    <w:r>
      <w:instrText xml:space="preserve"> PAGE   \* MERGEFORMAT </w:instrText>
    </w:r>
    <w:r>
      <w:fldChar w:fldCharType="separate"/>
    </w:r>
    <w:r>
      <w:rPr>
        <w:noProof/>
      </w:rPr>
      <w:t>2</w:t>
    </w:r>
    <w:r>
      <w:rPr>
        <w:noProof/>
      </w:rPr>
      <w:fldChar w:fldCharType="end"/>
    </w:r>
  </w:p>
  <w:p w14:paraId="0AB18348" w14:textId="77777777" w:rsidR="00652E3D" w:rsidRDefault="00652E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834F" w14:textId="77777777" w:rsidR="00652E3D" w:rsidRDefault="002A2FF1">
    <w:pPr>
      <w:pStyle w:val="Footer"/>
      <w:jc w:val="center"/>
    </w:pPr>
    <w:r>
      <w:t>B-1</w:t>
    </w:r>
  </w:p>
  <w:p w14:paraId="0AB18350" w14:textId="77777777" w:rsidR="00652E3D" w:rsidRDefault="00652E3D">
    <w:pPr>
      <w:pStyle w:val="Footer"/>
    </w:pPr>
  </w:p>
  <w:p w14:paraId="0AB18351" w14:textId="77777777" w:rsidR="00652E3D" w:rsidRDefault="00652E3D"/>
  <w:p w14:paraId="0AB18352" w14:textId="77777777" w:rsidR="00652E3D" w:rsidRDefault="00652E3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8357" w14:textId="77777777" w:rsidR="00652E3D" w:rsidRDefault="002A2FF1">
    <w:pPr>
      <w:pStyle w:val="Footer"/>
      <w:jc w:val="right"/>
    </w:pPr>
    <w:r>
      <w:fldChar w:fldCharType="begin"/>
    </w:r>
    <w:r>
      <w:instrText xml:space="preserve"> PAGE   \* MERGEFORMAT </w:instrText>
    </w:r>
    <w:r>
      <w:fldChar w:fldCharType="separate"/>
    </w:r>
    <w:r>
      <w:rPr>
        <w:noProof/>
      </w:rPr>
      <w:t>2</w:t>
    </w:r>
    <w:r>
      <w:rPr>
        <w:noProof/>
      </w:rPr>
      <w:fldChar w:fldCharType="end"/>
    </w:r>
  </w:p>
  <w:p w14:paraId="0AB18358" w14:textId="77777777" w:rsidR="00652E3D" w:rsidRDefault="00652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FB340" w14:textId="77777777" w:rsidR="00BC634B" w:rsidRDefault="00BC634B">
      <w:r>
        <w:separator/>
      </w:r>
    </w:p>
  </w:footnote>
  <w:footnote w:type="continuationSeparator" w:id="0">
    <w:p w14:paraId="67FE589C" w14:textId="77777777" w:rsidR="00BC634B" w:rsidRDefault="00BC634B">
      <w:r>
        <w:continuationSeparator/>
      </w:r>
    </w:p>
  </w:footnote>
  <w:footnote w:type="continuationNotice" w:id="1">
    <w:p w14:paraId="72398797" w14:textId="77777777" w:rsidR="00BC634B" w:rsidRDefault="00BC6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97AB" w14:textId="77777777" w:rsidR="00D85AF4" w:rsidRDefault="00D85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67DD" w14:textId="6CB30701" w:rsidR="00D85AF4" w:rsidRDefault="00D85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9F2A" w14:textId="77777777" w:rsidR="00D85AF4" w:rsidRDefault="00D85A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8343" w14:textId="77777777" w:rsidR="00652E3D" w:rsidRDefault="00652E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8346" w14:textId="77777777" w:rsidR="00652E3D" w:rsidRDefault="00652E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8349" w14:textId="77777777" w:rsidR="00652E3D" w:rsidRDefault="002A2FF1" w:rsidP="00353B45">
    <w:pPr>
      <w:pStyle w:val="Heading2"/>
    </w:pPr>
    <w:r>
      <w:t>Appendix B – Observations and Federal Monitoring Plans</w:t>
    </w:r>
  </w:p>
  <w:p w14:paraId="0AB1834A" w14:textId="77777777" w:rsidR="00652E3D" w:rsidRDefault="002A2FF1">
    <w:pPr>
      <w:jc w:val="center"/>
    </w:pPr>
    <w:r>
      <w:t>FY 2022 [</w:t>
    </w:r>
    <w:r>
      <w:rPr>
        <w:i/>
      </w:rPr>
      <w:t>State Plan Name</w:t>
    </w:r>
    <w:r>
      <w:t>] Follow-up FAME Report</w:t>
    </w:r>
  </w:p>
  <w:p w14:paraId="0AB1834B" w14:textId="77777777" w:rsidR="00652E3D" w:rsidRDefault="00652E3D">
    <w:pPr>
      <w:jc w:val="center"/>
    </w:pPr>
  </w:p>
  <w:p w14:paraId="0AB1834C" w14:textId="77777777" w:rsidR="00652E3D" w:rsidRDefault="00652E3D">
    <w:pPr>
      <w:jc w:val="center"/>
    </w:pPr>
  </w:p>
  <w:p w14:paraId="0AB1834D" w14:textId="77777777" w:rsidR="00652E3D" w:rsidRDefault="00652E3D"/>
  <w:p w14:paraId="0AB1834E" w14:textId="77777777" w:rsidR="00652E3D" w:rsidRDefault="00652E3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8353" w14:textId="77777777" w:rsidR="00652E3D" w:rsidRDefault="00652E3D">
    <w:pPr>
      <w:pStyle w:val="Header"/>
      <w:jc w:val="center"/>
      <w:rPr>
        <w:b/>
      </w:rPr>
    </w:pPr>
  </w:p>
  <w:p w14:paraId="0AB18354" w14:textId="77777777" w:rsidR="00652E3D" w:rsidRDefault="00652E3D">
    <w:pPr>
      <w:pStyle w:val="Header"/>
      <w:jc w:val="center"/>
      <w:rPr>
        <w:b/>
      </w:rPr>
    </w:pPr>
  </w:p>
  <w:p w14:paraId="0AB18355" w14:textId="77777777" w:rsidR="00652E3D" w:rsidRDefault="00652E3D">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8356" w14:textId="77777777" w:rsidR="00652E3D" w:rsidRDefault="002A2FF1">
    <w:pPr>
      <w:pStyle w:val="Header"/>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835C" w14:textId="77777777" w:rsidR="00652E3D" w:rsidRDefault="00652E3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5CD2F96"/>
    <w:multiLevelType w:val="hybridMultilevel"/>
    <w:tmpl w:val="A3B00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B53B3F"/>
    <w:multiLevelType w:val="hybridMultilevel"/>
    <w:tmpl w:val="4D44A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1E8935DA"/>
    <w:multiLevelType w:val="hybridMultilevel"/>
    <w:tmpl w:val="B2DC38A4"/>
    <w:lvl w:ilvl="0" w:tplc="68923FBA">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6B6055"/>
    <w:multiLevelType w:val="hybridMultilevel"/>
    <w:tmpl w:val="55DC7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B477B"/>
    <w:multiLevelType w:val="hybridMultilevel"/>
    <w:tmpl w:val="BFFA6732"/>
    <w:lvl w:ilvl="0" w:tplc="7AB4F1A8">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836F6E"/>
    <w:multiLevelType w:val="hybridMultilevel"/>
    <w:tmpl w:val="B5E0D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CC4B19"/>
    <w:multiLevelType w:val="hybridMultilevel"/>
    <w:tmpl w:val="66AC3B62"/>
    <w:lvl w:ilvl="0" w:tplc="7F2E9B0E">
      <w:start w:val="1"/>
      <w:numFmt w:val="upperLetter"/>
      <w:lvlText w:val="%1."/>
      <w:lvlJc w:val="left"/>
      <w:pPr>
        <w:ind w:left="720" w:hanging="360"/>
      </w:pPr>
      <w:rPr>
        <w:rFonts w:ascii="Calibri" w:hAnsi="Calibri" w:cs="Times New Roman" w:hint="default"/>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4D3D6E43"/>
    <w:multiLevelType w:val="hybridMultilevel"/>
    <w:tmpl w:val="4F942FBA"/>
    <w:lvl w:ilvl="0" w:tplc="F0F6A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D73DDA"/>
    <w:multiLevelType w:val="hybridMultilevel"/>
    <w:tmpl w:val="351255E4"/>
    <w:lvl w:ilvl="0" w:tplc="693A6790">
      <w:start w:val="1"/>
      <w:numFmt w:val="upperRoman"/>
      <w:lvlText w:val="%1."/>
      <w:lvlJc w:val="left"/>
      <w:pPr>
        <w:ind w:left="871" w:hanging="540"/>
      </w:pPr>
      <w:rPr>
        <w:rFonts w:ascii="Times New Roman" w:eastAsia="Times New Roman" w:hAnsi="Times New Roman" w:cs="Times New Roman" w:hint="default"/>
        <w:b w:val="0"/>
        <w:bCs w:val="0"/>
        <w:i w:val="0"/>
        <w:iCs w:val="0"/>
        <w:spacing w:val="-4"/>
        <w:w w:val="99"/>
        <w:sz w:val="24"/>
        <w:szCs w:val="24"/>
        <w:lang w:val="en-US" w:eastAsia="en-US" w:bidi="ar-SA"/>
      </w:rPr>
    </w:lvl>
    <w:lvl w:ilvl="1" w:tplc="7C6A5086">
      <w:start w:val="1"/>
      <w:numFmt w:val="upperLetter"/>
      <w:lvlText w:val="%2."/>
      <w:lvlJc w:val="left"/>
      <w:pPr>
        <w:ind w:left="1324" w:hanging="447"/>
      </w:pPr>
      <w:rPr>
        <w:rFonts w:ascii="Times New Roman" w:eastAsia="Times New Roman" w:hAnsi="Times New Roman" w:cs="Times New Roman" w:hint="default"/>
        <w:b w:val="0"/>
        <w:bCs w:val="0"/>
        <w:i w:val="0"/>
        <w:iCs w:val="0"/>
        <w:spacing w:val="-1"/>
        <w:w w:val="99"/>
        <w:sz w:val="24"/>
        <w:szCs w:val="24"/>
        <w:lang w:val="en-US" w:eastAsia="en-US" w:bidi="ar-SA"/>
      </w:rPr>
    </w:lvl>
    <w:lvl w:ilvl="2" w:tplc="8CFE5548">
      <w:start w:val="1"/>
      <w:numFmt w:val="decimal"/>
      <w:lvlText w:val="%3."/>
      <w:lvlJc w:val="left"/>
      <w:pPr>
        <w:ind w:left="1771" w:hanging="360"/>
      </w:pPr>
      <w:rPr>
        <w:rFonts w:ascii="Times New Roman" w:eastAsia="Times New Roman" w:hAnsi="Times New Roman" w:cs="Times New Roman" w:hint="default"/>
        <w:b w:val="0"/>
        <w:bCs w:val="0"/>
        <w:i w:val="0"/>
        <w:iCs w:val="0"/>
        <w:w w:val="100"/>
        <w:sz w:val="24"/>
        <w:szCs w:val="24"/>
        <w:lang w:val="en-US" w:eastAsia="en-US" w:bidi="ar-SA"/>
      </w:rPr>
    </w:lvl>
    <w:lvl w:ilvl="3" w:tplc="373C6F96">
      <w:numFmt w:val="bullet"/>
      <w:lvlText w:val="•"/>
      <w:lvlJc w:val="left"/>
      <w:pPr>
        <w:ind w:left="1780" w:hanging="360"/>
      </w:pPr>
      <w:rPr>
        <w:rFonts w:hint="default"/>
        <w:lang w:val="en-US" w:eastAsia="en-US" w:bidi="ar-SA"/>
      </w:rPr>
    </w:lvl>
    <w:lvl w:ilvl="4" w:tplc="4CCA7576">
      <w:numFmt w:val="bullet"/>
      <w:lvlText w:val="•"/>
      <w:lvlJc w:val="left"/>
      <w:pPr>
        <w:ind w:left="3031" w:hanging="360"/>
      </w:pPr>
      <w:rPr>
        <w:rFonts w:hint="default"/>
        <w:lang w:val="en-US" w:eastAsia="en-US" w:bidi="ar-SA"/>
      </w:rPr>
    </w:lvl>
    <w:lvl w:ilvl="5" w:tplc="A150258E">
      <w:numFmt w:val="bullet"/>
      <w:lvlText w:val="•"/>
      <w:lvlJc w:val="left"/>
      <w:pPr>
        <w:ind w:left="4282" w:hanging="360"/>
      </w:pPr>
      <w:rPr>
        <w:rFonts w:hint="default"/>
        <w:lang w:val="en-US" w:eastAsia="en-US" w:bidi="ar-SA"/>
      </w:rPr>
    </w:lvl>
    <w:lvl w:ilvl="6" w:tplc="FD00910A">
      <w:numFmt w:val="bullet"/>
      <w:lvlText w:val="•"/>
      <w:lvlJc w:val="left"/>
      <w:pPr>
        <w:ind w:left="5534" w:hanging="360"/>
      </w:pPr>
      <w:rPr>
        <w:rFonts w:hint="default"/>
        <w:lang w:val="en-US" w:eastAsia="en-US" w:bidi="ar-SA"/>
      </w:rPr>
    </w:lvl>
    <w:lvl w:ilvl="7" w:tplc="94B20C4C">
      <w:numFmt w:val="bullet"/>
      <w:lvlText w:val="•"/>
      <w:lvlJc w:val="left"/>
      <w:pPr>
        <w:ind w:left="6785" w:hanging="360"/>
      </w:pPr>
      <w:rPr>
        <w:rFonts w:hint="default"/>
        <w:lang w:val="en-US" w:eastAsia="en-US" w:bidi="ar-SA"/>
      </w:rPr>
    </w:lvl>
    <w:lvl w:ilvl="8" w:tplc="360E3A4E">
      <w:numFmt w:val="bullet"/>
      <w:lvlText w:val="•"/>
      <w:lvlJc w:val="left"/>
      <w:pPr>
        <w:ind w:left="8037" w:hanging="360"/>
      </w:pPr>
      <w:rPr>
        <w:rFonts w:hint="default"/>
        <w:lang w:val="en-US" w:eastAsia="en-US" w:bidi="ar-SA"/>
      </w:rPr>
    </w:lvl>
  </w:abstractNum>
  <w:abstractNum w:abstractNumId="36"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91B4F"/>
    <w:multiLevelType w:val="hybridMultilevel"/>
    <w:tmpl w:val="BE8A3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9324982"/>
    <w:multiLevelType w:val="hybridMultilevel"/>
    <w:tmpl w:val="70CCE524"/>
    <w:lvl w:ilvl="0" w:tplc="351268F8">
      <w:start w:val="1"/>
      <w:numFmt w:val="upperRoman"/>
      <w:lvlText w:val="%1."/>
      <w:lvlJc w:val="left"/>
      <w:pPr>
        <w:ind w:left="691" w:hanging="452"/>
        <w:jc w:val="right"/>
      </w:pPr>
      <w:rPr>
        <w:rFonts w:ascii="Times New Roman" w:eastAsia="Times New Roman" w:hAnsi="Times New Roman" w:cs="Times New Roman" w:hint="default"/>
        <w:b/>
        <w:bCs/>
        <w:i w:val="0"/>
        <w:iCs w:val="0"/>
        <w:w w:val="99"/>
        <w:sz w:val="32"/>
        <w:szCs w:val="32"/>
        <w:lang w:val="en-US" w:eastAsia="en-US" w:bidi="ar-SA"/>
      </w:rPr>
    </w:lvl>
    <w:lvl w:ilvl="1" w:tplc="8632C84E">
      <w:start w:val="1"/>
      <w:numFmt w:val="upperLetter"/>
      <w:lvlText w:val="%2."/>
      <w:lvlJc w:val="left"/>
      <w:pPr>
        <w:ind w:left="751" w:hanging="360"/>
      </w:pPr>
      <w:rPr>
        <w:rFonts w:ascii="Times New Roman" w:eastAsia="Times New Roman" w:hAnsi="Times New Roman" w:cs="Times New Roman" w:hint="default"/>
        <w:b/>
        <w:bCs/>
        <w:i w:val="0"/>
        <w:iCs w:val="0"/>
        <w:spacing w:val="-1"/>
        <w:w w:val="99"/>
        <w:sz w:val="24"/>
        <w:szCs w:val="24"/>
        <w:lang w:val="en-US" w:eastAsia="en-US" w:bidi="ar-SA"/>
      </w:rPr>
    </w:lvl>
    <w:lvl w:ilvl="2" w:tplc="02CC96F4">
      <w:numFmt w:val="bullet"/>
      <w:lvlText w:val=""/>
      <w:lvlJc w:val="left"/>
      <w:pPr>
        <w:ind w:left="1173" w:hanging="360"/>
      </w:pPr>
      <w:rPr>
        <w:rFonts w:ascii="Symbol" w:eastAsia="Symbol" w:hAnsi="Symbol" w:cs="Symbol" w:hint="default"/>
        <w:b w:val="0"/>
        <w:bCs w:val="0"/>
        <w:i w:val="0"/>
        <w:iCs w:val="0"/>
        <w:w w:val="100"/>
        <w:sz w:val="24"/>
        <w:szCs w:val="24"/>
        <w:lang w:val="en-US" w:eastAsia="en-US" w:bidi="ar-SA"/>
      </w:rPr>
    </w:lvl>
    <w:lvl w:ilvl="3" w:tplc="A83C90D4">
      <w:numFmt w:val="bullet"/>
      <w:lvlText w:val="•"/>
      <w:lvlJc w:val="left"/>
      <w:pPr>
        <w:ind w:left="2350" w:hanging="360"/>
      </w:pPr>
      <w:rPr>
        <w:rFonts w:hint="default"/>
        <w:lang w:val="en-US" w:eastAsia="en-US" w:bidi="ar-SA"/>
      </w:rPr>
    </w:lvl>
    <w:lvl w:ilvl="4" w:tplc="9D543CAC">
      <w:numFmt w:val="bullet"/>
      <w:lvlText w:val="•"/>
      <w:lvlJc w:val="left"/>
      <w:pPr>
        <w:ind w:left="3520" w:hanging="360"/>
      </w:pPr>
      <w:rPr>
        <w:rFonts w:hint="default"/>
        <w:lang w:val="en-US" w:eastAsia="en-US" w:bidi="ar-SA"/>
      </w:rPr>
    </w:lvl>
    <w:lvl w:ilvl="5" w:tplc="FA204844">
      <w:numFmt w:val="bullet"/>
      <w:lvlText w:val="•"/>
      <w:lvlJc w:val="left"/>
      <w:pPr>
        <w:ind w:left="4690" w:hanging="360"/>
      </w:pPr>
      <w:rPr>
        <w:rFonts w:hint="default"/>
        <w:lang w:val="en-US" w:eastAsia="en-US" w:bidi="ar-SA"/>
      </w:rPr>
    </w:lvl>
    <w:lvl w:ilvl="6" w:tplc="EB3CF1BE">
      <w:numFmt w:val="bullet"/>
      <w:lvlText w:val="•"/>
      <w:lvlJc w:val="left"/>
      <w:pPr>
        <w:ind w:left="5860" w:hanging="360"/>
      </w:pPr>
      <w:rPr>
        <w:rFonts w:hint="default"/>
        <w:lang w:val="en-US" w:eastAsia="en-US" w:bidi="ar-SA"/>
      </w:rPr>
    </w:lvl>
    <w:lvl w:ilvl="7" w:tplc="C0BC7C52">
      <w:numFmt w:val="bullet"/>
      <w:lvlText w:val="•"/>
      <w:lvlJc w:val="left"/>
      <w:pPr>
        <w:ind w:left="7030" w:hanging="360"/>
      </w:pPr>
      <w:rPr>
        <w:rFonts w:hint="default"/>
        <w:lang w:val="en-US" w:eastAsia="en-US" w:bidi="ar-SA"/>
      </w:rPr>
    </w:lvl>
    <w:lvl w:ilvl="8" w:tplc="B5C2539A">
      <w:numFmt w:val="bullet"/>
      <w:lvlText w:val="•"/>
      <w:lvlJc w:val="left"/>
      <w:pPr>
        <w:ind w:left="8200" w:hanging="360"/>
      </w:pPr>
      <w:rPr>
        <w:rFonts w:hint="default"/>
        <w:lang w:val="en-US" w:eastAsia="en-US" w:bidi="ar-SA"/>
      </w:r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8"/>
  </w:num>
  <w:num w:numId="5" w16cid:durableId="437339714">
    <w:abstractNumId w:val="33"/>
  </w:num>
  <w:num w:numId="6" w16cid:durableId="1373268660">
    <w:abstractNumId w:val="27"/>
  </w:num>
  <w:num w:numId="7" w16cid:durableId="1614284284">
    <w:abstractNumId w:val="28"/>
  </w:num>
  <w:num w:numId="8" w16cid:durableId="1901401974">
    <w:abstractNumId w:val="36"/>
  </w:num>
  <w:num w:numId="9" w16cid:durableId="340623116">
    <w:abstractNumId w:val="30"/>
  </w:num>
  <w:num w:numId="10" w16cid:durableId="1713532647">
    <w:abstractNumId w:val="39"/>
  </w:num>
  <w:num w:numId="11" w16cid:durableId="247546233">
    <w:abstractNumId w:val="25"/>
  </w:num>
  <w:num w:numId="12" w16cid:durableId="1587691524">
    <w:abstractNumId w:val="26"/>
  </w:num>
  <w:num w:numId="13" w16cid:durableId="799104655">
    <w:abstractNumId w:val="40"/>
  </w:num>
  <w:num w:numId="14" w16cid:durableId="1842548799">
    <w:abstractNumId w:val="35"/>
  </w:num>
  <w:num w:numId="15" w16cid:durableId="297810266">
    <w:abstractNumId w:val="34"/>
  </w:num>
  <w:num w:numId="16" w16cid:durableId="1347974672">
    <w:abstractNumId w:val="26"/>
    <w:lvlOverride w:ilvl="0">
      <w:startOverride w:val="1"/>
    </w:lvlOverride>
  </w:num>
  <w:num w:numId="17" w16cid:durableId="701856837">
    <w:abstractNumId w:val="32"/>
  </w:num>
  <w:num w:numId="18" w16cid:durableId="542866863">
    <w:abstractNumId w:val="31"/>
  </w:num>
  <w:num w:numId="19" w16cid:durableId="151409825">
    <w:abstractNumId w:val="37"/>
  </w:num>
  <w:num w:numId="20" w16cid:durableId="1904947229">
    <w:abstractNumId w:val="24"/>
  </w:num>
  <w:num w:numId="21" w16cid:durableId="126551131">
    <w:abstractNumId w:val="32"/>
    <w:lvlOverride w:ilvl="0">
      <w:startOverride w:val="1"/>
    </w:lvlOverride>
  </w:num>
  <w:num w:numId="22" w16cid:durableId="1828277577">
    <w:abstractNumId w:val="29"/>
  </w:num>
  <w:num w:numId="23" w16cid:durableId="47221913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ner, Paul - OSHA">
    <w15:presenceInfo w15:providerId="AD" w15:userId="S::tanner.paul@dol.gov::e261ed6a-466d-46a7-adf9-40f775454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ctiveWritingStyle w:appName="MSWord" w:lang="en-US" w:vendorID="64" w:dllVersion="0" w:nlCheck="1" w:checkStyle="1"/>
  <w:proofState w:spelling="clean" w:grammar="clean"/>
  <w:revisionView w:markup="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3D"/>
    <w:rsid w:val="0000014F"/>
    <w:rsid w:val="00001B0B"/>
    <w:rsid w:val="0000351B"/>
    <w:rsid w:val="0000355C"/>
    <w:rsid w:val="00006360"/>
    <w:rsid w:val="000074FE"/>
    <w:rsid w:val="00010B07"/>
    <w:rsid w:val="00010B37"/>
    <w:rsid w:val="00010C39"/>
    <w:rsid w:val="0001238A"/>
    <w:rsid w:val="00012E90"/>
    <w:rsid w:val="00013E89"/>
    <w:rsid w:val="000159FB"/>
    <w:rsid w:val="000179E6"/>
    <w:rsid w:val="00017F1B"/>
    <w:rsid w:val="00020347"/>
    <w:rsid w:val="0002362E"/>
    <w:rsid w:val="00023EA7"/>
    <w:rsid w:val="00030513"/>
    <w:rsid w:val="000309E0"/>
    <w:rsid w:val="000341AB"/>
    <w:rsid w:val="00034E96"/>
    <w:rsid w:val="000358E5"/>
    <w:rsid w:val="000362F4"/>
    <w:rsid w:val="000371A9"/>
    <w:rsid w:val="000372C4"/>
    <w:rsid w:val="00041067"/>
    <w:rsid w:val="00043373"/>
    <w:rsid w:val="00043D56"/>
    <w:rsid w:val="000453C9"/>
    <w:rsid w:val="0004691D"/>
    <w:rsid w:val="00047044"/>
    <w:rsid w:val="000504CE"/>
    <w:rsid w:val="000526E8"/>
    <w:rsid w:val="00052A98"/>
    <w:rsid w:val="000537FD"/>
    <w:rsid w:val="000554F6"/>
    <w:rsid w:val="000624DA"/>
    <w:rsid w:val="00063451"/>
    <w:rsid w:val="00063B7F"/>
    <w:rsid w:val="00063C24"/>
    <w:rsid w:val="00065906"/>
    <w:rsid w:val="000714A6"/>
    <w:rsid w:val="00072BA6"/>
    <w:rsid w:val="0007389E"/>
    <w:rsid w:val="00076005"/>
    <w:rsid w:val="000809A2"/>
    <w:rsid w:val="00082371"/>
    <w:rsid w:val="000824AE"/>
    <w:rsid w:val="00083CBF"/>
    <w:rsid w:val="0008664D"/>
    <w:rsid w:val="000905B5"/>
    <w:rsid w:val="0009099E"/>
    <w:rsid w:val="00090EBA"/>
    <w:rsid w:val="00095282"/>
    <w:rsid w:val="000954EF"/>
    <w:rsid w:val="0009567D"/>
    <w:rsid w:val="0009572D"/>
    <w:rsid w:val="00096CA5"/>
    <w:rsid w:val="000A1717"/>
    <w:rsid w:val="000A1879"/>
    <w:rsid w:val="000A1C1B"/>
    <w:rsid w:val="000B03D7"/>
    <w:rsid w:val="000B2415"/>
    <w:rsid w:val="000B3413"/>
    <w:rsid w:val="000B3E88"/>
    <w:rsid w:val="000B3F30"/>
    <w:rsid w:val="000B4D19"/>
    <w:rsid w:val="000B5C6E"/>
    <w:rsid w:val="000B64C1"/>
    <w:rsid w:val="000C16FD"/>
    <w:rsid w:val="000C19F6"/>
    <w:rsid w:val="000C26AC"/>
    <w:rsid w:val="000C3D8B"/>
    <w:rsid w:val="000C40DE"/>
    <w:rsid w:val="000C6031"/>
    <w:rsid w:val="000C6C78"/>
    <w:rsid w:val="000C779B"/>
    <w:rsid w:val="000C79B5"/>
    <w:rsid w:val="000C7D2F"/>
    <w:rsid w:val="000C7D6E"/>
    <w:rsid w:val="000D006C"/>
    <w:rsid w:val="000D02AD"/>
    <w:rsid w:val="000D32F4"/>
    <w:rsid w:val="000D3950"/>
    <w:rsid w:val="000D7215"/>
    <w:rsid w:val="000D72B4"/>
    <w:rsid w:val="000D72BA"/>
    <w:rsid w:val="000D7747"/>
    <w:rsid w:val="000E1284"/>
    <w:rsid w:val="000E2182"/>
    <w:rsid w:val="000E2ED7"/>
    <w:rsid w:val="000E343A"/>
    <w:rsid w:val="000E366A"/>
    <w:rsid w:val="000E37DB"/>
    <w:rsid w:val="000E40CD"/>
    <w:rsid w:val="000E41F7"/>
    <w:rsid w:val="000E4D93"/>
    <w:rsid w:val="000E4DE2"/>
    <w:rsid w:val="000E5179"/>
    <w:rsid w:val="000E518F"/>
    <w:rsid w:val="000E5E0F"/>
    <w:rsid w:val="000E6E94"/>
    <w:rsid w:val="000E75DB"/>
    <w:rsid w:val="000E7AEF"/>
    <w:rsid w:val="000F03D7"/>
    <w:rsid w:val="000F1D54"/>
    <w:rsid w:val="000F1D86"/>
    <w:rsid w:val="000F30DF"/>
    <w:rsid w:val="000F3480"/>
    <w:rsid w:val="000F3A0D"/>
    <w:rsid w:val="000F4D71"/>
    <w:rsid w:val="000F4E15"/>
    <w:rsid w:val="000F4F3B"/>
    <w:rsid w:val="000F5297"/>
    <w:rsid w:val="000F6313"/>
    <w:rsid w:val="000F6848"/>
    <w:rsid w:val="00100562"/>
    <w:rsid w:val="00100A18"/>
    <w:rsid w:val="0010123D"/>
    <w:rsid w:val="00101477"/>
    <w:rsid w:val="00102060"/>
    <w:rsid w:val="00106AE5"/>
    <w:rsid w:val="00107C5B"/>
    <w:rsid w:val="00107E73"/>
    <w:rsid w:val="001112F3"/>
    <w:rsid w:val="00111F0F"/>
    <w:rsid w:val="00113371"/>
    <w:rsid w:val="00121E0B"/>
    <w:rsid w:val="00123BAD"/>
    <w:rsid w:val="00125610"/>
    <w:rsid w:val="00126898"/>
    <w:rsid w:val="00126B8B"/>
    <w:rsid w:val="001318BE"/>
    <w:rsid w:val="001330BC"/>
    <w:rsid w:val="00134716"/>
    <w:rsid w:val="00134A99"/>
    <w:rsid w:val="001353A8"/>
    <w:rsid w:val="00136EB0"/>
    <w:rsid w:val="00137817"/>
    <w:rsid w:val="00140CE6"/>
    <w:rsid w:val="00142E6C"/>
    <w:rsid w:val="0014309F"/>
    <w:rsid w:val="00144236"/>
    <w:rsid w:val="001453C8"/>
    <w:rsid w:val="00150CDF"/>
    <w:rsid w:val="00150DBE"/>
    <w:rsid w:val="00151BEF"/>
    <w:rsid w:val="00151DBC"/>
    <w:rsid w:val="00152549"/>
    <w:rsid w:val="001537D6"/>
    <w:rsid w:val="00153E1E"/>
    <w:rsid w:val="00156431"/>
    <w:rsid w:val="00157210"/>
    <w:rsid w:val="00161411"/>
    <w:rsid w:val="0016323A"/>
    <w:rsid w:val="00163EA2"/>
    <w:rsid w:val="00165DDB"/>
    <w:rsid w:val="00166341"/>
    <w:rsid w:val="0017018A"/>
    <w:rsid w:val="00171804"/>
    <w:rsid w:val="001749AB"/>
    <w:rsid w:val="001766B0"/>
    <w:rsid w:val="00176F2F"/>
    <w:rsid w:val="00177445"/>
    <w:rsid w:val="001802AF"/>
    <w:rsid w:val="001804F6"/>
    <w:rsid w:val="00181F2A"/>
    <w:rsid w:val="0018446C"/>
    <w:rsid w:val="00184497"/>
    <w:rsid w:val="00184CD2"/>
    <w:rsid w:val="00186246"/>
    <w:rsid w:val="0018667D"/>
    <w:rsid w:val="00190BFD"/>
    <w:rsid w:val="00191876"/>
    <w:rsid w:val="001928B1"/>
    <w:rsid w:val="00193379"/>
    <w:rsid w:val="00193838"/>
    <w:rsid w:val="00193A3C"/>
    <w:rsid w:val="00193CD5"/>
    <w:rsid w:val="001943EE"/>
    <w:rsid w:val="001947F0"/>
    <w:rsid w:val="001954DB"/>
    <w:rsid w:val="00195526"/>
    <w:rsid w:val="00195B0F"/>
    <w:rsid w:val="0019723E"/>
    <w:rsid w:val="001A0635"/>
    <w:rsid w:val="001A1110"/>
    <w:rsid w:val="001A334C"/>
    <w:rsid w:val="001A499E"/>
    <w:rsid w:val="001A566E"/>
    <w:rsid w:val="001A7DB6"/>
    <w:rsid w:val="001B00AD"/>
    <w:rsid w:val="001B17B4"/>
    <w:rsid w:val="001B30D8"/>
    <w:rsid w:val="001B4250"/>
    <w:rsid w:val="001B42CE"/>
    <w:rsid w:val="001B6AEA"/>
    <w:rsid w:val="001B6C46"/>
    <w:rsid w:val="001B7734"/>
    <w:rsid w:val="001B78E5"/>
    <w:rsid w:val="001C019E"/>
    <w:rsid w:val="001C071A"/>
    <w:rsid w:val="001C450A"/>
    <w:rsid w:val="001C4BB1"/>
    <w:rsid w:val="001C60AB"/>
    <w:rsid w:val="001D017B"/>
    <w:rsid w:val="001D0BFD"/>
    <w:rsid w:val="001D1F7A"/>
    <w:rsid w:val="001D35A4"/>
    <w:rsid w:val="001D497C"/>
    <w:rsid w:val="001D57E6"/>
    <w:rsid w:val="001D61B5"/>
    <w:rsid w:val="001D6733"/>
    <w:rsid w:val="001D749C"/>
    <w:rsid w:val="001D784D"/>
    <w:rsid w:val="001E08EC"/>
    <w:rsid w:val="001E3A7D"/>
    <w:rsid w:val="001E515D"/>
    <w:rsid w:val="001F2C88"/>
    <w:rsid w:val="001F2F06"/>
    <w:rsid w:val="001F3AAD"/>
    <w:rsid w:val="001F53D1"/>
    <w:rsid w:val="001F7635"/>
    <w:rsid w:val="001F7961"/>
    <w:rsid w:val="0020011E"/>
    <w:rsid w:val="002006FD"/>
    <w:rsid w:val="0020098D"/>
    <w:rsid w:val="0020186F"/>
    <w:rsid w:val="00201F3E"/>
    <w:rsid w:val="002062E4"/>
    <w:rsid w:val="002076AF"/>
    <w:rsid w:val="002079EE"/>
    <w:rsid w:val="00215761"/>
    <w:rsid w:val="00215866"/>
    <w:rsid w:val="002162E2"/>
    <w:rsid w:val="00217506"/>
    <w:rsid w:val="0021779F"/>
    <w:rsid w:val="00217A63"/>
    <w:rsid w:val="00221ED0"/>
    <w:rsid w:val="002236E2"/>
    <w:rsid w:val="002244DC"/>
    <w:rsid w:val="002257FF"/>
    <w:rsid w:val="00225D1F"/>
    <w:rsid w:val="00226233"/>
    <w:rsid w:val="0022634F"/>
    <w:rsid w:val="00227662"/>
    <w:rsid w:val="002279F1"/>
    <w:rsid w:val="0023404F"/>
    <w:rsid w:val="00234E7D"/>
    <w:rsid w:val="0023710C"/>
    <w:rsid w:val="00237189"/>
    <w:rsid w:val="00237729"/>
    <w:rsid w:val="00237B3E"/>
    <w:rsid w:val="00237E59"/>
    <w:rsid w:val="00237E9E"/>
    <w:rsid w:val="002403B8"/>
    <w:rsid w:val="0024139A"/>
    <w:rsid w:val="00241666"/>
    <w:rsid w:val="00246360"/>
    <w:rsid w:val="0024765F"/>
    <w:rsid w:val="00250885"/>
    <w:rsid w:val="00252EBF"/>
    <w:rsid w:val="002539CD"/>
    <w:rsid w:val="002545E9"/>
    <w:rsid w:val="00257097"/>
    <w:rsid w:val="002619E8"/>
    <w:rsid w:val="00261A28"/>
    <w:rsid w:val="00261D45"/>
    <w:rsid w:val="00261D78"/>
    <w:rsid w:val="00261DD6"/>
    <w:rsid w:val="00261EF0"/>
    <w:rsid w:val="00262754"/>
    <w:rsid w:val="00262AF7"/>
    <w:rsid w:val="002646A0"/>
    <w:rsid w:val="00264700"/>
    <w:rsid w:val="00264FD5"/>
    <w:rsid w:val="002654F4"/>
    <w:rsid w:val="00265523"/>
    <w:rsid w:val="00265E79"/>
    <w:rsid w:val="00266214"/>
    <w:rsid w:val="002703A8"/>
    <w:rsid w:val="00271672"/>
    <w:rsid w:val="00272C0A"/>
    <w:rsid w:val="00275A29"/>
    <w:rsid w:val="00276E61"/>
    <w:rsid w:val="00284A65"/>
    <w:rsid w:val="002876CE"/>
    <w:rsid w:val="00290065"/>
    <w:rsid w:val="00293F1A"/>
    <w:rsid w:val="0029455F"/>
    <w:rsid w:val="00296CD4"/>
    <w:rsid w:val="00297AFB"/>
    <w:rsid w:val="002A2FB1"/>
    <w:rsid w:val="002A2FF1"/>
    <w:rsid w:val="002A490E"/>
    <w:rsid w:val="002A4B76"/>
    <w:rsid w:val="002A78EE"/>
    <w:rsid w:val="002B1925"/>
    <w:rsid w:val="002B1C25"/>
    <w:rsid w:val="002B28C5"/>
    <w:rsid w:val="002B2F30"/>
    <w:rsid w:val="002B41D9"/>
    <w:rsid w:val="002B44B1"/>
    <w:rsid w:val="002B56C6"/>
    <w:rsid w:val="002B7EEC"/>
    <w:rsid w:val="002C3DF9"/>
    <w:rsid w:val="002C42D8"/>
    <w:rsid w:val="002C5BAA"/>
    <w:rsid w:val="002D1DA0"/>
    <w:rsid w:val="002D270B"/>
    <w:rsid w:val="002D39E6"/>
    <w:rsid w:val="002D3A38"/>
    <w:rsid w:val="002D53FB"/>
    <w:rsid w:val="002D5932"/>
    <w:rsid w:val="002D5ACC"/>
    <w:rsid w:val="002D6420"/>
    <w:rsid w:val="002D67D3"/>
    <w:rsid w:val="002E1086"/>
    <w:rsid w:val="002E118D"/>
    <w:rsid w:val="002E3915"/>
    <w:rsid w:val="002E53AF"/>
    <w:rsid w:val="002E63A9"/>
    <w:rsid w:val="002F1BD3"/>
    <w:rsid w:val="002F20F1"/>
    <w:rsid w:val="002F2601"/>
    <w:rsid w:val="002F2D58"/>
    <w:rsid w:val="002F330F"/>
    <w:rsid w:val="002F55D0"/>
    <w:rsid w:val="002F5773"/>
    <w:rsid w:val="002F614D"/>
    <w:rsid w:val="002F658B"/>
    <w:rsid w:val="002F675A"/>
    <w:rsid w:val="002F6774"/>
    <w:rsid w:val="003001B8"/>
    <w:rsid w:val="003015B1"/>
    <w:rsid w:val="003057B3"/>
    <w:rsid w:val="00306297"/>
    <w:rsid w:val="00306610"/>
    <w:rsid w:val="00307447"/>
    <w:rsid w:val="00311696"/>
    <w:rsid w:val="003128FB"/>
    <w:rsid w:val="003130A8"/>
    <w:rsid w:val="00314F7E"/>
    <w:rsid w:val="0031607A"/>
    <w:rsid w:val="00316673"/>
    <w:rsid w:val="00317D0F"/>
    <w:rsid w:val="00322340"/>
    <w:rsid w:val="0032262C"/>
    <w:rsid w:val="00322F72"/>
    <w:rsid w:val="00324F85"/>
    <w:rsid w:val="00325C36"/>
    <w:rsid w:val="00325C8B"/>
    <w:rsid w:val="00326159"/>
    <w:rsid w:val="00327D96"/>
    <w:rsid w:val="00330F01"/>
    <w:rsid w:val="003313F8"/>
    <w:rsid w:val="00332042"/>
    <w:rsid w:val="00333916"/>
    <w:rsid w:val="00334059"/>
    <w:rsid w:val="0033431B"/>
    <w:rsid w:val="003409C2"/>
    <w:rsid w:val="0034160A"/>
    <w:rsid w:val="00341F41"/>
    <w:rsid w:val="00342813"/>
    <w:rsid w:val="00343565"/>
    <w:rsid w:val="00343AD5"/>
    <w:rsid w:val="00346FCD"/>
    <w:rsid w:val="0035006A"/>
    <w:rsid w:val="00351787"/>
    <w:rsid w:val="003527B7"/>
    <w:rsid w:val="00353B45"/>
    <w:rsid w:val="0035405F"/>
    <w:rsid w:val="0035443A"/>
    <w:rsid w:val="003553F8"/>
    <w:rsid w:val="00361164"/>
    <w:rsid w:val="003613F4"/>
    <w:rsid w:val="00361528"/>
    <w:rsid w:val="00362A70"/>
    <w:rsid w:val="003633D7"/>
    <w:rsid w:val="003636A6"/>
    <w:rsid w:val="00365521"/>
    <w:rsid w:val="00366151"/>
    <w:rsid w:val="00367313"/>
    <w:rsid w:val="00367F39"/>
    <w:rsid w:val="00371992"/>
    <w:rsid w:val="00372D9E"/>
    <w:rsid w:val="003733D2"/>
    <w:rsid w:val="00373CD6"/>
    <w:rsid w:val="0037569C"/>
    <w:rsid w:val="0037639D"/>
    <w:rsid w:val="0037718F"/>
    <w:rsid w:val="00381B04"/>
    <w:rsid w:val="003841D8"/>
    <w:rsid w:val="0038563A"/>
    <w:rsid w:val="00385BD4"/>
    <w:rsid w:val="00386846"/>
    <w:rsid w:val="00387918"/>
    <w:rsid w:val="00390912"/>
    <w:rsid w:val="00391D00"/>
    <w:rsid w:val="00392073"/>
    <w:rsid w:val="00392173"/>
    <w:rsid w:val="00392B5E"/>
    <w:rsid w:val="00394774"/>
    <w:rsid w:val="00395516"/>
    <w:rsid w:val="00396353"/>
    <w:rsid w:val="003A00E5"/>
    <w:rsid w:val="003A0B83"/>
    <w:rsid w:val="003A21C6"/>
    <w:rsid w:val="003A250C"/>
    <w:rsid w:val="003A292B"/>
    <w:rsid w:val="003A2A4E"/>
    <w:rsid w:val="003A4676"/>
    <w:rsid w:val="003A48A1"/>
    <w:rsid w:val="003A498F"/>
    <w:rsid w:val="003A4E9F"/>
    <w:rsid w:val="003A5B99"/>
    <w:rsid w:val="003A5C9A"/>
    <w:rsid w:val="003A5FA9"/>
    <w:rsid w:val="003A66DE"/>
    <w:rsid w:val="003A6A57"/>
    <w:rsid w:val="003A6A69"/>
    <w:rsid w:val="003A7D47"/>
    <w:rsid w:val="003B06FD"/>
    <w:rsid w:val="003B06FF"/>
    <w:rsid w:val="003B2570"/>
    <w:rsid w:val="003B3036"/>
    <w:rsid w:val="003B45DB"/>
    <w:rsid w:val="003B57B6"/>
    <w:rsid w:val="003B7A7C"/>
    <w:rsid w:val="003C0249"/>
    <w:rsid w:val="003C2668"/>
    <w:rsid w:val="003C50BC"/>
    <w:rsid w:val="003C6717"/>
    <w:rsid w:val="003C67C5"/>
    <w:rsid w:val="003C6FCE"/>
    <w:rsid w:val="003D0750"/>
    <w:rsid w:val="003D0E2C"/>
    <w:rsid w:val="003D1E5B"/>
    <w:rsid w:val="003D40BA"/>
    <w:rsid w:val="003D476F"/>
    <w:rsid w:val="003D4899"/>
    <w:rsid w:val="003D51C6"/>
    <w:rsid w:val="003D64F3"/>
    <w:rsid w:val="003D6AA4"/>
    <w:rsid w:val="003D7D16"/>
    <w:rsid w:val="003E0A96"/>
    <w:rsid w:val="003E10E3"/>
    <w:rsid w:val="003E132E"/>
    <w:rsid w:val="003E23F7"/>
    <w:rsid w:val="003E5FED"/>
    <w:rsid w:val="003E6D5D"/>
    <w:rsid w:val="003E795A"/>
    <w:rsid w:val="003F0B7A"/>
    <w:rsid w:val="003F1A55"/>
    <w:rsid w:val="003F2B90"/>
    <w:rsid w:val="003F324D"/>
    <w:rsid w:val="003F4BC6"/>
    <w:rsid w:val="003F56CD"/>
    <w:rsid w:val="003F57BA"/>
    <w:rsid w:val="003F58CB"/>
    <w:rsid w:val="003F65DF"/>
    <w:rsid w:val="00400A92"/>
    <w:rsid w:val="004021AB"/>
    <w:rsid w:val="00404AF7"/>
    <w:rsid w:val="00404BAF"/>
    <w:rsid w:val="004063F8"/>
    <w:rsid w:val="00406569"/>
    <w:rsid w:val="00407860"/>
    <w:rsid w:val="00410032"/>
    <w:rsid w:val="004109CE"/>
    <w:rsid w:val="00410EFE"/>
    <w:rsid w:val="004128CE"/>
    <w:rsid w:val="00412AE7"/>
    <w:rsid w:val="004145AE"/>
    <w:rsid w:val="00414A06"/>
    <w:rsid w:val="00417A46"/>
    <w:rsid w:val="004200BD"/>
    <w:rsid w:val="0042109C"/>
    <w:rsid w:val="00423D21"/>
    <w:rsid w:val="004241FD"/>
    <w:rsid w:val="00426C6B"/>
    <w:rsid w:val="00431E3D"/>
    <w:rsid w:val="00431F9E"/>
    <w:rsid w:val="0043438B"/>
    <w:rsid w:val="004357EA"/>
    <w:rsid w:val="00435C1C"/>
    <w:rsid w:val="00436096"/>
    <w:rsid w:val="00436470"/>
    <w:rsid w:val="00436924"/>
    <w:rsid w:val="00440FAC"/>
    <w:rsid w:val="004441A8"/>
    <w:rsid w:val="00444DF0"/>
    <w:rsid w:val="00450CC3"/>
    <w:rsid w:val="0045173F"/>
    <w:rsid w:val="00455CF7"/>
    <w:rsid w:val="00456CDD"/>
    <w:rsid w:val="00460A2E"/>
    <w:rsid w:val="00462B20"/>
    <w:rsid w:val="004641AD"/>
    <w:rsid w:val="004642D4"/>
    <w:rsid w:val="004668AF"/>
    <w:rsid w:val="00467D98"/>
    <w:rsid w:val="004748D0"/>
    <w:rsid w:val="004755C4"/>
    <w:rsid w:val="004758C8"/>
    <w:rsid w:val="004766DB"/>
    <w:rsid w:val="004770FA"/>
    <w:rsid w:val="00477539"/>
    <w:rsid w:val="0047795E"/>
    <w:rsid w:val="00482031"/>
    <w:rsid w:val="004836A9"/>
    <w:rsid w:val="00483983"/>
    <w:rsid w:val="004846C7"/>
    <w:rsid w:val="00485302"/>
    <w:rsid w:val="00485527"/>
    <w:rsid w:val="00485A77"/>
    <w:rsid w:val="0048605F"/>
    <w:rsid w:val="004863B2"/>
    <w:rsid w:val="00490AA6"/>
    <w:rsid w:val="004926C5"/>
    <w:rsid w:val="0049301F"/>
    <w:rsid w:val="00493702"/>
    <w:rsid w:val="0049632B"/>
    <w:rsid w:val="004978ED"/>
    <w:rsid w:val="004A19B6"/>
    <w:rsid w:val="004A3E79"/>
    <w:rsid w:val="004A48E8"/>
    <w:rsid w:val="004A4FAB"/>
    <w:rsid w:val="004A5381"/>
    <w:rsid w:val="004A5FE8"/>
    <w:rsid w:val="004A708E"/>
    <w:rsid w:val="004B0A6C"/>
    <w:rsid w:val="004B260C"/>
    <w:rsid w:val="004B336E"/>
    <w:rsid w:val="004B5750"/>
    <w:rsid w:val="004C02F3"/>
    <w:rsid w:val="004C240B"/>
    <w:rsid w:val="004C296C"/>
    <w:rsid w:val="004C45BC"/>
    <w:rsid w:val="004C4861"/>
    <w:rsid w:val="004C53FC"/>
    <w:rsid w:val="004C66D9"/>
    <w:rsid w:val="004C6EE7"/>
    <w:rsid w:val="004D0275"/>
    <w:rsid w:val="004D1B6C"/>
    <w:rsid w:val="004D357F"/>
    <w:rsid w:val="004D38B0"/>
    <w:rsid w:val="004D4526"/>
    <w:rsid w:val="004D5278"/>
    <w:rsid w:val="004D6B47"/>
    <w:rsid w:val="004D6CE7"/>
    <w:rsid w:val="004D7D98"/>
    <w:rsid w:val="004E17D5"/>
    <w:rsid w:val="004E1F42"/>
    <w:rsid w:val="004E2DF7"/>
    <w:rsid w:val="004E3B0D"/>
    <w:rsid w:val="004E3BCE"/>
    <w:rsid w:val="004E4254"/>
    <w:rsid w:val="004E4E0C"/>
    <w:rsid w:val="004E7072"/>
    <w:rsid w:val="004E71B0"/>
    <w:rsid w:val="004E7332"/>
    <w:rsid w:val="004E772D"/>
    <w:rsid w:val="004E7CA7"/>
    <w:rsid w:val="004F12EE"/>
    <w:rsid w:val="004F1515"/>
    <w:rsid w:val="004F1D0C"/>
    <w:rsid w:val="004F2184"/>
    <w:rsid w:val="004F2689"/>
    <w:rsid w:val="004F2FDF"/>
    <w:rsid w:val="004F38FC"/>
    <w:rsid w:val="004F3F29"/>
    <w:rsid w:val="004F6E96"/>
    <w:rsid w:val="004F7A4F"/>
    <w:rsid w:val="00503624"/>
    <w:rsid w:val="00504628"/>
    <w:rsid w:val="0050518E"/>
    <w:rsid w:val="00506A02"/>
    <w:rsid w:val="00507DCF"/>
    <w:rsid w:val="00510361"/>
    <w:rsid w:val="00510D18"/>
    <w:rsid w:val="0051100E"/>
    <w:rsid w:val="00511A6C"/>
    <w:rsid w:val="00511BA7"/>
    <w:rsid w:val="00512E1C"/>
    <w:rsid w:val="005136ED"/>
    <w:rsid w:val="0051492E"/>
    <w:rsid w:val="005172A2"/>
    <w:rsid w:val="00521C13"/>
    <w:rsid w:val="005227F6"/>
    <w:rsid w:val="00524993"/>
    <w:rsid w:val="00525BBB"/>
    <w:rsid w:val="00525D92"/>
    <w:rsid w:val="00526A08"/>
    <w:rsid w:val="005276D3"/>
    <w:rsid w:val="00527E21"/>
    <w:rsid w:val="00531EE3"/>
    <w:rsid w:val="0053590D"/>
    <w:rsid w:val="0053596C"/>
    <w:rsid w:val="005375D1"/>
    <w:rsid w:val="005406EB"/>
    <w:rsid w:val="005416C9"/>
    <w:rsid w:val="00541962"/>
    <w:rsid w:val="00541D86"/>
    <w:rsid w:val="0054294E"/>
    <w:rsid w:val="00543D4C"/>
    <w:rsid w:val="00545062"/>
    <w:rsid w:val="005459B6"/>
    <w:rsid w:val="00546314"/>
    <w:rsid w:val="00547534"/>
    <w:rsid w:val="00550034"/>
    <w:rsid w:val="00551823"/>
    <w:rsid w:val="00551D86"/>
    <w:rsid w:val="00552277"/>
    <w:rsid w:val="0055277A"/>
    <w:rsid w:val="00552A46"/>
    <w:rsid w:val="005562CC"/>
    <w:rsid w:val="00557B0D"/>
    <w:rsid w:val="0056031B"/>
    <w:rsid w:val="005605FA"/>
    <w:rsid w:val="00561397"/>
    <w:rsid w:val="00562E8B"/>
    <w:rsid w:val="00563EC9"/>
    <w:rsid w:val="00565DAB"/>
    <w:rsid w:val="00565F37"/>
    <w:rsid w:val="00567617"/>
    <w:rsid w:val="00570879"/>
    <w:rsid w:val="00572F41"/>
    <w:rsid w:val="0057425E"/>
    <w:rsid w:val="00575C76"/>
    <w:rsid w:val="0057659A"/>
    <w:rsid w:val="005768A5"/>
    <w:rsid w:val="00576D69"/>
    <w:rsid w:val="00580978"/>
    <w:rsid w:val="00584AC6"/>
    <w:rsid w:val="00585E04"/>
    <w:rsid w:val="0058668A"/>
    <w:rsid w:val="00586D13"/>
    <w:rsid w:val="00591417"/>
    <w:rsid w:val="00592EF8"/>
    <w:rsid w:val="005942BB"/>
    <w:rsid w:val="005A023E"/>
    <w:rsid w:val="005A05DE"/>
    <w:rsid w:val="005A142B"/>
    <w:rsid w:val="005A24BE"/>
    <w:rsid w:val="005A349D"/>
    <w:rsid w:val="005A4115"/>
    <w:rsid w:val="005A66D4"/>
    <w:rsid w:val="005A6E44"/>
    <w:rsid w:val="005A6FEB"/>
    <w:rsid w:val="005A7217"/>
    <w:rsid w:val="005A7EA2"/>
    <w:rsid w:val="005B2A29"/>
    <w:rsid w:val="005B5889"/>
    <w:rsid w:val="005B6F8D"/>
    <w:rsid w:val="005B7D21"/>
    <w:rsid w:val="005C023B"/>
    <w:rsid w:val="005C2329"/>
    <w:rsid w:val="005C2E8F"/>
    <w:rsid w:val="005C3E86"/>
    <w:rsid w:val="005C52C8"/>
    <w:rsid w:val="005D250C"/>
    <w:rsid w:val="005D33CC"/>
    <w:rsid w:val="005D5D3D"/>
    <w:rsid w:val="005D619C"/>
    <w:rsid w:val="005E1CF0"/>
    <w:rsid w:val="005E287E"/>
    <w:rsid w:val="005E2CAE"/>
    <w:rsid w:val="005E78C6"/>
    <w:rsid w:val="005F1192"/>
    <w:rsid w:val="005F12AF"/>
    <w:rsid w:val="005F17CB"/>
    <w:rsid w:val="005F24A0"/>
    <w:rsid w:val="005F4A0C"/>
    <w:rsid w:val="005F5131"/>
    <w:rsid w:val="005F5759"/>
    <w:rsid w:val="0060058B"/>
    <w:rsid w:val="00600592"/>
    <w:rsid w:val="00601CD3"/>
    <w:rsid w:val="00602026"/>
    <w:rsid w:val="00603544"/>
    <w:rsid w:val="0060401A"/>
    <w:rsid w:val="00604B5F"/>
    <w:rsid w:val="00610ADF"/>
    <w:rsid w:val="00612683"/>
    <w:rsid w:val="00613F5A"/>
    <w:rsid w:val="00615DF3"/>
    <w:rsid w:val="00616DDD"/>
    <w:rsid w:val="0062011B"/>
    <w:rsid w:val="00622CB2"/>
    <w:rsid w:val="00623432"/>
    <w:rsid w:val="00623B23"/>
    <w:rsid w:val="00624A3B"/>
    <w:rsid w:val="006250FE"/>
    <w:rsid w:val="00625C53"/>
    <w:rsid w:val="00626633"/>
    <w:rsid w:val="006267E7"/>
    <w:rsid w:val="00630012"/>
    <w:rsid w:val="006311E7"/>
    <w:rsid w:val="006319C7"/>
    <w:rsid w:val="006323C4"/>
    <w:rsid w:val="00633BCF"/>
    <w:rsid w:val="0063480C"/>
    <w:rsid w:val="006358B1"/>
    <w:rsid w:val="00636516"/>
    <w:rsid w:val="006375B1"/>
    <w:rsid w:val="006405C0"/>
    <w:rsid w:val="00641396"/>
    <w:rsid w:val="006424B0"/>
    <w:rsid w:val="0064260F"/>
    <w:rsid w:val="00642A67"/>
    <w:rsid w:val="0064469F"/>
    <w:rsid w:val="00645AC4"/>
    <w:rsid w:val="0065047C"/>
    <w:rsid w:val="00650B5C"/>
    <w:rsid w:val="00652E3D"/>
    <w:rsid w:val="00654BA7"/>
    <w:rsid w:val="00655C3C"/>
    <w:rsid w:val="00657493"/>
    <w:rsid w:val="0066170F"/>
    <w:rsid w:val="00662749"/>
    <w:rsid w:val="006627AF"/>
    <w:rsid w:val="00662E2E"/>
    <w:rsid w:val="00663365"/>
    <w:rsid w:val="00663FB9"/>
    <w:rsid w:val="006668E9"/>
    <w:rsid w:val="00667385"/>
    <w:rsid w:val="006678CA"/>
    <w:rsid w:val="006703BB"/>
    <w:rsid w:val="00670992"/>
    <w:rsid w:val="006719B5"/>
    <w:rsid w:val="00672A0B"/>
    <w:rsid w:val="00672BBA"/>
    <w:rsid w:val="00672F9F"/>
    <w:rsid w:val="00673A46"/>
    <w:rsid w:val="00674691"/>
    <w:rsid w:val="006749ED"/>
    <w:rsid w:val="00675D59"/>
    <w:rsid w:val="006777D9"/>
    <w:rsid w:val="00680257"/>
    <w:rsid w:val="006804CD"/>
    <w:rsid w:val="00680E4F"/>
    <w:rsid w:val="00681577"/>
    <w:rsid w:val="00681F31"/>
    <w:rsid w:val="00683CDC"/>
    <w:rsid w:val="006900A0"/>
    <w:rsid w:val="006901CF"/>
    <w:rsid w:val="006907EE"/>
    <w:rsid w:val="00690A5B"/>
    <w:rsid w:val="00691618"/>
    <w:rsid w:val="00691C51"/>
    <w:rsid w:val="00694025"/>
    <w:rsid w:val="006949C1"/>
    <w:rsid w:val="00695664"/>
    <w:rsid w:val="00695C52"/>
    <w:rsid w:val="00697D24"/>
    <w:rsid w:val="006A0CDA"/>
    <w:rsid w:val="006A0D21"/>
    <w:rsid w:val="006A31AD"/>
    <w:rsid w:val="006A6005"/>
    <w:rsid w:val="006A6265"/>
    <w:rsid w:val="006A628F"/>
    <w:rsid w:val="006A7523"/>
    <w:rsid w:val="006A78C5"/>
    <w:rsid w:val="006B056B"/>
    <w:rsid w:val="006B0B91"/>
    <w:rsid w:val="006B218B"/>
    <w:rsid w:val="006B468F"/>
    <w:rsid w:val="006B488F"/>
    <w:rsid w:val="006B659C"/>
    <w:rsid w:val="006B6B84"/>
    <w:rsid w:val="006C0FFB"/>
    <w:rsid w:val="006C1441"/>
    <w:rsid w:val="006C29CF"/>
    <w:rsid w:val="006C405F"/>
    <w:rsid w:val="006C49DC"/>
    <w:rsid w:val="006C4DFB"/>
    <w:rsid w:val="006C5F9E"/>
    <w:rsid w:val="006C60E0"/>
    <w:rsid w:val="006C647A"/>
    <w:rsid w:val="006C68CA"/>
    <w:rsid w:val="006C6E9B"/>
    <w:rsid w:val="006D0761"/>
    <w:rsid w:val="006D158D"/>
    <w:rsid w:val="006D1B46"/>
    <w:rsid w:val="006D1C4D"/>
    <w:rsid w:val="006D3928"/>
    <w:rsid w:val="006D5585"/>
    <w:rsid w:val="006D6405"/>
    <w:rsid w:val="006D7229"/>
    <w:rsid w:val="006D76DE"/>
    <w:rsid w:val="006E04A9"/>
    <w:rsid w:val="006E07EF"/>
    <w:rsid w:val="006E1046"/>
    <w:rsid w:val="006E25DA"/>
    <w:rsid w:val="006E26D7"/>
    <w:rsid w:val="006E2A72"/>
    <w:rsid w:val="006E3302"/>
    <w:rsid w:val="006E48A2"/>
    <w:rsid w:val="006E555D"/>
    <w:rsid w:val="006E5D21"/>
    <w:rsid w:val="006E712F"/>
    <w:rsid w:val="006E798E"/>
    <w:rsid w:val="006E7BBB"/>
    <w:rsid w:val="006F0893"/>
    <w:rsid w:val="006F0E59"/>
    <w:rsid w:val="006F0F28"/>
    <w:rsid w:val="006F4E7D"/>
    <w:rsid w:val="006F4FB5"/>
    <w:rsid w:val="006F6A70"/>
    <w:rsid w:val="006F717E"/>
    <w:rsid w:val="007003BC"/>
    <w:rsid w:val="00700EE2"/>
    <w:rsid w:val="007023D0"/>
    <w:rsid w:val="007033EB"/>
    <w:rsid w:val="00703491"/>
    <w:rsid w:val="00703B67"/>
    <w:rsid w:val="00703E0E"/>
    <w:rsid w:val="007048D9"/>
    <w:rsid w:val="00706C94"/>
    <w:rsid w:val="00707060"/>
    <w:rsid w:val="00707E04"/>
    <w:rsid w:val="00710397"/>
    <w:rsid w:val="0071089D"/>
    <w:rsid w:val="00713C36"/>
    <w:rsid w:val="007140E3"/>
    <w:rsid w:val="007147D2"/>
    <w:rsid w:val="00715AF3"/>
    <w:rsid w:val="007166B1"/>
    <w:rsid w:val="00716868"/>
    <w:rsid w:val="007205CB"/>
    <w:rsid w:val="00720BE1"/>
    <w:rsid w:val="00722902"/>
    <w:rsid w:val="0072414C"/>
    <w:rsid w:val="007246CF"/>
    <w:rsid w:val="00726054"/>
    <w:rsid w:val="0072700F"/>
    <w:rsid w:val="0073137F"/>
    <w:rsid w:val="00732D2F"/>
    <w:rsid w:val="007337E8"/>
    <w:rsid w:val="0073388A"/>
    <w:rsid w:val="007345D8"/>
    <w:rsid w:val="007358E2"/>
    <w:rsid w:val="00736AA9"/>
    <w:rsid w:val="00736ED3"/>
    <w:rsid w:val="007375ED"/>
    <w:rsid w:val="00737E0F"/>
    <w:rsid w:val="00741C88"/>
    <w:rsid w:val="00744260"/>
    <w:rsid w:val="00746542"/>
    <w:rsid w:val="0075215C"/>
    <w:rsid w:val="007521CD"/>
    <w:rsid w:val="00752C77"/>
    <w:rsid w:val="00760102"/>
    <w:rsid w:val="0076169A"/>
    <w:rsid w:val="00762154"/>
    <w:rsid w:val="00764CDF"/>
    <w:rsid w:val="00764CE3"/>
    <w:rsid w:val="00767377"/>
    <w:rsid w:val="00767BA0"/>
    <w:rsid w:val="00773864"/>
    <w:rsid w:val="0077425E"/>
    <w:rsid w:val="00774437"/>
    <w:rsid w:val="00774F13"/>
    <w:rsid w:val="007760D5"/>
    <w:rsid w:val="007771D3"/>
    <w:rsid w:val="00777D6A"/>
    <w:rsid w:val="00780976"/>
    <w:rsid w:val="00780AF8"/>
    <w:rsid w:val="00792E28"/>
    <w:rsid w:val="00792F9B"/>
    <w:rsid w:val="0079470F"/>
    <w:rsid w:val="00794AA8"/>
    <w:rsid w:val="00795140"/>
    <w:rsid w:val="00795509"/>
    <w:rsid w:val="00796F50"/>
    <w:rsid w:val="007A0EC0"/>
    <w:rsid w:val="007A1A3C"/>
    <w:rsid w:val="007A2A70"/>
    <w:rsid w:val="007A4860"/>
    <w:rsid w:val="007A5D19"/>
    <w:rsid w:val="007A64F6"/>
    <w:rsid w:val="007A6D30"/>
    <w:rsid w:val="007A6F0D"/>
    <w:rsid w:val="007A79C5"/>
    <w:rsid w:val="007B0761"/>
    <w:rsid w:val="007B0F03"/>
    <w:rsid w:val="007B572F"/>
    <w:rsid w:val="007B5986"/>
    <w:rsid w:val="007B5C5D"/>
    <w:rsid w:val="007B6D04"/>
    <w:rsid w:val="007B70DB"/>
    <w:rsid w:val="007C06E9"/>
    <w:rsid w:val="007C0784"/>
    <w:rsid w:val="007C2F2B"/>
    <w:rsid w:val="007C3440"/>
    <w:rsid w:val="007C3A17"/>
    <w:rsid w:val="007C3B09"/>
    <w:rsid w:val="007C4A02"/>
    <w:rsid w:val="007C7967"/>
    <w:rsid w:val="007D0BE0"/>
    <w:rsid w:val="007D10A7"/>
    <w:rsid w:val="007D1599"/>
    <w:rsid w:val="007D30D6"/>
    <w:rsid w:val="007D356F"/>
    <w:rsid w:val="007D45F3"/>
    <w:rsid w:val="007D6596"/>
    <w:rsid w:val="007D70C7"/>
    <w:rsid w:val="007D7FB0"/>
    <w:rsid w:val="007E38ED"/>
    <w:rsid w:val="007E5FD9"/>
    <w:rsid w:val="007E6029"/>
    <w:rsid w:val="007F03CA"/>
    <w:rsid w:val="007F1167"/>
    <w:rsid w:val="007F26A9"/>
    <w:rsid w:val="007F3C0C"/>
    <w:rsid w:val="007F472A"/>
    <w:rsid w:val="00800ADA"/>
    <w:rsid w:val="0080106F"/>
    <w:rsid w:val="008016A3"/>
    <w:rsid w:val="00802917"/>
    <w:rsid w:val="00803AB6"/>
    <w:rsid w:val="00804279"/>
    <w:rsid w:val="008045A4"/>
    <w:rsid w:val="00806B43"/>
    <w:rsid w:val="008103C2"/>
    <w:rsid w:val="0081045D"/>
    <w:rsid w:val="00811F6C"/>
    <w:rsid w:val="0081205E"/>
    <w:rsid w:val="0081291F"/>
    <w:rsid w:val="00813AA4"/>
    <w:rsid w:val="00814A8A"/>
    <w:rsid w:val="008161EA"/>
    <w:rsid w:val="008161FB"/>
    <w:rsid w:val="00816268"/>
    <w:rsid w:val="008165FD"/>
    <w:rsid w:val="00817CA8"/>
    <w:rsid w:val="00817F34"/>
    <w:rsid w:val="008219DD"/>
    <w:rsid w:val="008251F4"/>
    <w:rsid w:val="008262DC"/>
    <w:rsid w:val="00826C04"/>
    <w:rsid w:val="0082712A"/>
    <w:rsid w:val="00827EEB"/>
    <w:rsid w:val="00830B2F"/>
    <w:rsid w:val="00831773"/>
    <w:rsid w:val="0083563A"/>
    <w:rsid w:val="00837525"/>
    <w:rsid w:val="00841BF0"/>
    <w:rsid w:val="00842ED7"/>
    <w:rsid w:val="00843EA4"/>
    <w:rsid w:val="0085128A"/>
    <w:rsid w:val="008518F2"/>
    <w:rsid w:val="00851B84"/>
    <w:rsid w:val="00851E84"/>
    <w:rsid w:val="00852C2A"/>
    <w:rsid w:val="008533A7"/>
    <w:rsid w:val="008533FF"/>
    <w:rsid w:val="0085402B"/>
    <w:rsid w:val="0085512C"/>
    <w:rsid w:val="008617A4"/>
    <w:rsid w:val="0086470C"/>
    <w:rsid w:val="00864A6E"/>
    <w:rsid w:val="00864EDD"/>
    <w:rsid w:val="00865EDE"/>
    <w:rsid w:val="0086662A"/>
    <w:rsid w:val="00870DD0"/>
    <w:rsid w:val="00873E5A"/>
    <w:rsid w:val="00876B1A"/>
    <w:rsid w:val="008773FB"/>
    <w:rsid w:val="0088048B"/>
    <w:rsid w:val="00882E49"/>
    <w:rsid w:val="00883CA2"/>
    <w:rsid w:val="00886579"/>
    <w:rsid w:val="00887997"/>
    <w:rsid w:val="00887F31"/>
    <w:rsid w:val="008926A2"/>
    <w:rsid w:val="00892928"/>
    <w:rsid w:val="00895791"/>
    <w:rsid w:val="00896E11"/>
    <w:rsid w:val="00897013"/>
    <w:rsid w:val="008A005B"/>
    <w:rsid w:val="008A036B"/>
    <w:rsid w:val="008A0B0D"/>
    <w:rsid w:val="008A1010"/>
    <w:rsid w:val="008A335B"/>
    <w:rsid w:val="008A4F18"/>
    <w:rsid w:val="008A7565"/>
    <w:rsid w:val="008B12AF"/>
    <w:rsid w:val="008B1860"/>
    <w:rsid w:val="008B2287"/>
    <w:rsid w:val="008B3B9E"/>
    <w:rsid w:val="008B6BF4"/>
    <w:rsid w:val="008B7803"/>
    <w:rsid w:val="008C063D"/>
    <w:rsid w:val="008C2366"/>
    <w:rsid w:val="008C2844"/>
    <w:rsid w:val="008C2C14"/>
    <w:rsid w:val="008C4124"/>
    <w:rsid w:val="008C4900"/>
    <w:rsid w:val="008C4B3A"/>
    <w:rsid w:val="008C540C"/>
    <w:rsid w:val="008C6838"/>
    <w:rsid w:val="008C6E3B"/>
    <w:rsid w:val="008C7863"/>
    <w:rsid w:val="008D035E"/>
    <w:rsid w:val="008D03C2"/>
    <w:rsid w:val="008D0E2C"/>
    <w:rsid w:val="008D2117"/>
    <w:rsid w:val="008D40D2"/>
    <w:rsid w:val="008D4500"/>
    <w:rsid w:val="008D4A2E"/>
    <w:rsid w:val="008D64F3"/>
    <w:rsid w:val="008D6521"/>
    <w:rsid w:val="008E28EE"/>
    <w:rsid w:val="008E37B8"/>
    <w:rsid w:val="008E3B05"/>
    <w:rsid w:val="008E3D55"/>
    <w:rsid w:val="008E443A"/>
    <w:rsid w:val="008E75E3"/>
    <w:rsid w:val="008F0EF3"/>
    <w:rsid w:val="008F1631"/>
    <w:rsid w:val="008F1991"/>
    <w:rsid w:val="008F2B4D"/>
    <w:rsid w:val="008F38E2"/>
    <w:rsid w:val="008F418D"/>
    <w:rsid w:val="008F4201"/>
    <w:rsid w:val="008F4DB2"/>
    <w:rsid w:val="008F6377"/>
    <w:rsid w:val="00901BE7"/>
    <w:rsid w:val="00901C13"/>
    <w:rsid w:val="00903385"/>
    <w:rsid w:val="00903A0F"/>
    <w:rsid w:val="00906903"/>
    <w:rsid w:val="0090796B"/>
    <w:rsid w:val="00910498"/>
    <w:rsid w:val="00911EC7"/>
    <w:rsid w:val="00912566"/>
    <w:rsid w:val="009125D6"/>
    <w:rsid w:val="009156DF"/>
    <w:rsid w:val="009169D6"/>
    <w:rsid w:val="00916CBA"/>
    <w:rsid w:val="00917CF7"/>
    <w:rsid w:val="00920863"/>
    <w:rsid w:val="00922ADF"/>
    <w:rsid w:val="009232E8"/>
    <w:rsid w:val="00926814"/>
    <w:rsid w:val="009302B9"/>
    <w:rsid w:val="009316ED"/>
    <w:rsid w:val="00932590"/>
    <w:rsid w:val="00933812"/>
    <w:rsid w:val="00933FFD"/>
    <w:rsid w:val="0093418C"/>
    <w:rsid w:val="0093463C"/>
    <w:rsid w:val="009367C2"/>
    <w:rsid w:val="00936A5E"/>
    <w:rsid w:val="00937A96"/>
    <w:rsid w:val="00940994"/>
    <w:rsid w:val="0094155D"/>
    <w:rsid w:val="00942F72"/>
    <w:rsid w:val="009430CB"/>
    <w:rsid w:val="00943FDD"/>
    <w:rsid w:val="00944419"/>
    <w:rsid w:val="00944E19"/>
    <w:rsid w:val="00947AFF"/>
    <w:rsid w:val="00950B24"/>
    <w:rsid w:val="0095260C"/>
    <w:rsid w:val="0095319A"/>
    <w:rsid w:val="00954CDD"/>
    <w:rsid w:val="00955576"/>
    <w:rsid w:val="00957D00"/>
    <w:rsid w:val="00961324"/>
    <w:rsid w:val="0096162C"/>
    <w:rsid w:val="00961A32"/>
    <w:rsid w:val="009638E1"/>
    <w:rsid w:val="00963FAA"/>
    <w:rsid w:val="00964FC5"/>
    <w:rsid w:val="009657AD"/>
    <w:rsid w:val="009672C2"/>
    <w:rsid w:val="00970087"/>
    <w:rsid w:val="0097111B"/>
    <w:rsid w:val="0097287F"/>
    <w:rsid w:val="00975A58"/>
    <w:rsid w:val="009763DF"/>
    <w:rsid w:val="009765A6"/>
    <w:rsid w:val="00977AED"/>
    <w:rsid w:val="00977C29"/>
    <w:rsid w:val="00977E2A"/>
    <w:rsid w:val="00983542"/>
    <w:rsid w:val="0098378B"/>
    <w:rsid w:val="00983B8C"/>
    <w:rsid w:val="0098664A"/>
    <w:rsid w:val="0098723E"/>
    <w:rsid w:val="0099231A"/>
    <w:rsid w:val="00992D56"/>
    <w:rsid w:val="009941E5"/>
    <w:rsid w:val="009975B6"/>
    <w:rsid w:val="00997FE1"/>
    <w:rsid w:val="009A01B0"/>
    <w:rsid w:val="009A1BAC"/>
    <w:rsid w:val="009A303F"/>
    <w:rsid w:val="009A5BCA"/>
    <w:rsid w:val="009A71C0"/>
    <w:rsid w:val="009A766F"/>
    <w:rsid w:val="009B0A1D"/>
    <w:rsid w:val="009B370F"/>
    <w:rsid w:val="009B4903"/>
    <w:rsid w:val="009B72B5"/>
    <w:rsid w:val="009B7371"/>
    <w:rsid w:val="009B7F46"/>
    <w:rsid w:val="009C063E"/>
    <w:rsid w:val="009C0CF6"/>
    <w:rsid w:val="009C1E18"/>
    <w:rsid w:val="009C2E73"/>
    <w:rsid w:val="009D124A"/>
    <w:rsid w:val="009D18AE"/>
    <w:rsid w:val="009D4910"/>
    <w:rsid w:val="009D5104"/>
    <w:rsid w:val="009D55A1"/>
    <w:rsid w:val="009D5FDD"/>
    <w:rsid w:val="009D6831"/>
    <w:rsid w:val="009D7906"/>
    <w:rsid w:val="009E0A05"/>
    <w:rsid w:val="009E25EE"/>
    <w:rsid w:val="009E31BA"/>
    <w:rsid w:val="009E4164"/>
    <w:rsid w:val="009E5338"/>
    <w:rsid w:val="009E6A0C"/>
    <w:rsid w:val="009F0949"/>
    <w:rsid w:val="009F0D87"/>
    <w:rsid w:val="009F1448"/>
    <w:rsid w:val="009F3A68"/>
    <w:rsid w:val="009F493B"/>
    <w:rsid w:val="009F519A"/>
    <w:rsid w:val="009F598A"/>
    <w:rsid w:val="009F6BCF"/>
    <w:rsid w:val="009F776F"/>
    <w:rsid w:val="009F7D99"/>
    <w:rsid w:val="009F7F58"/>
    <w:rsid w:val="00A02D81"/>
    <w:rsid w:val="00A03072"/>
    <w:rsid w:val="00A03A35"/>
    <w:rsid w:val="00A062A0"/>
    <w:rsid w:val="00A13B15"/>
    <w:rsid w:val="00A15448"/>
    <w:rsid w:val="00A15FAC"/>
    <w:rsid w:val="00A1646D"/>
    <w:rsid w:val="00A21312"/>
    <w:rsid w:val="00A21557"/>
    <w:rsid w:val="00A245D9"/>
    <w:rsid w:val="00A26ED3"/>
    <w:rsid w:val="00A30F22"/>
    <w:rsid w:val="00A31930"/>
    <w:rsid w:val="00A32EC5"/>
    <w:rsid w:val="00A34A06"/>
    <w:rsid w:val="00A35CF2"/>
    <w:rsid w:val="00A360C8"/>
    <w:rsid w:val="00A41ADE"/>
    <w:rsid w:val="00A425E6"/>
    <w:rsid w:val="00A42BC6"/>
    <w:rsid w:val="00A45F34"/>
    <w:rsid w:val="00A511D3"/>
    <w:rsid w:val="00A51479"/>
    <w:rsid w:val="00A52743"/>
    <w:rsid w:val="00A5486F"/>
    <w:rsid w:val="00A55B09"/>
    <w:rsid w:val="00A55F36"/>
    <w:rsid w:val="00A60589"/>
    <w:rsid w:val="00A615AD"/>
    <w:rsid w:val="00A61D54"/>
    <w:rsid w:val="00A6215F"/>
    <w:rsid w:val="00A64FDB"/>
    <w:rsid w:val="00A652B0"/>
    <w:rsid w:val="00A66887"/>
    <w:rsid w:val="00A67A40"/>
    <w:rsid w:val="00A7132E"/>
    <w:rsid w:val="00A729B8"/>
    <w:rsid w:val="00A73CFE"/>
    <w:rsid w:val="00A74A49"/>
    <w:rsid w:val="00A74D28"/>
    <w:rsid w:val="00A767BB"/>
    <w:rsid w:val="00A76BFE"/>
    <w:rsid w:val="00A7704B"/>
    <w:rsid w:val="00A77C0A"/>
    <w:rsid w:val="00A80618"/>
    <w:rsid w:val="00A81F77"/>
    <w:rsid w:val="00A8567E"/>
    <w:rsid w:val="00A85DDA"/>
    <w:rsid w:val="00A860BD"/>
    <w:rsid w:val="00A87BA2"/>
    <w:rsid w:val="00A9044A"/>
    <w:rsid w:val="00A90876"/>
    <w:rsid w:val="00A946E7"/>
    <w:rsid w:val="00A959E2"/>
    <w:rsid w:val="00A967C1"/>
    <w:rsid w:val="00A96961"/>
    <w:rsid w:val="00A971BA"/>
    <w:rsid w:val="00AA059B"/>
    <w:rsid w:val="00AA0DE4"/>
    <w:rsid w:val="00AA4131"/>
    <w:rsid w:val="00AA4E11"/>
    <w:rsid w:val="00AA5E45"/>
    <w:rsid w:val="00AA6145"/>
    <w:rsid w:val="00AA64A9"/>
    <w:rsid w:val="00AB166C"/>
    <w:rsid w:val="00AB2F94"/>
    <w:rsid w:val="00AB43BC"/>
    <w:rsid w:val="00AB4846"/>
    <w:rsid w:val="00AB6D98"/>
    <w:rsid w:val="00AC14B4"/>
    <w:rsid w:val="00AC17C9"/>
    <w:rsid w:val="00AC1CC2"/>
    <w:rsid w:val="00AC34AB"/>
    <w:rsid w:val="00AC3DC6"/>
    <w:rsid w:val="00AC4222"/>
    <w:rsid w:val="00AC4C2A"/>
    <w:rsid w:val="00AC611F"/>
    <w:rsid w:val="00AC692D"/>
    <w:rsid w:val="00AC710F"/>
    <w:rsid w:val="00AC73F5"/>
    <w:rsid w:val="00AD050A"/>
    <w:rsid w:val="00AD0660"/>
    <w:rsid w:val="00AD1B63"/>
    <w:rsid w:val="00AD3E56"/>
    <w:rsid w:val="00AD4A6E"/>
    <w:rsid w:val="00AE0678"/>
    <w:rsid w:val="00AE0C49"/>
    <w:rsid w:val="00AE1511"/>
    <w:rsid w:val="00AE230E"/>
    <w:rsid w:val="00AE3365"/>
    <w:rsid w:val="00AE33A1"/>
    <w:rsid w:val="00AE3E0C"/>
    <w:rsid w:val="00AE3FC6"/>
    <w:rsid w:val="00AE507A"/>
    <w:rsid w:val="00AE7566"/>
    <w:rsid w:val="00AF3030"/>
    <w:rsid w:val="00AF3F4C"/>
    <w:rsid w:val="00AF4C12"/>
    <w:rsid w:val="00AF6A20"/>
    <w:rsid w:val="00AF7E9B"/>
    <w:rsid w:val="00B01698"/>
    <w:rsid w:val="00B039E6"/>
    <w:rsid w:val="00B057DB"/>
    <w:rsid w:val="00B07459"/>
    <w:rsid w:val="00B10A1A"/>
    <w:rsid w:val="00B1267D"/>
    <w:rsid w:val="00B148A9"/>
    <w:rsid w:val="00B14EE7"/>
    <w:rsid w:val="00B1551B"/>
    <w:rsid w:val="00B16AA1"/>
    <w:rsid w:val="00B16BEA"/>
    <w:rsid w:val="00B20649"/>
    <w:rsid w:val="00B21E86"/>
    <w:rsid w:val="00B22BB2"/>
    <w:rsid w:val="00B232A3"/>
    <w:rsid w:val="00B239DD"/>
    <w:rsid w:val="00B24728"/>
    <w:rsid w:val="00B26673"/>
    <w:rsid w:val="00B26CBC"/>
    <w:rsid w:val="00B27DAC"/>
    <w:rsid w:val="00B3292B"/>
    <w:rsid w:val="00B33438"/>
    <w:rsid w:val="00B339F1"/>
    <w:rsid w:val="00B33DF2"/>
    <w:rsid w:val="00B341E7"/>
    <w:rsid w:val="00B35520"/>
    <w:rsid w:val="00B3645B"/>
    <w:rsid w:val="00B41694"/>
    <w:rsid w:val="00B4183B"/>
    <w:rsid w:val="00B42F99"/>
    <w:rsid w:val="00B4322C"/>
    <w:rsid w:val="00B4339D"/>
    <w:rsid w:val="00B46C3A"/>
    <w:rsid w:val="00B47EE0"/>
    <w:rsid w:val="00B50786"/>
    <w:rsid w:val="00B51B20"/>
    <w:rsid w:val="00B522A8"/>
    <w:rsid w:val="00B539CF"/>
    <w:rsid w:val="00B549FB"/>
    <w:rsid w:val="00B54EF4"/>
    <w:rsid w:val="00B56B44"/>
    <w:rsid w:val="00B56E38"/>
    <w:rsid w:val="00B574C6"/>
    <w:rsid w:val="00B57DBE"/>
    <w:rsid w:val="00B60F4F"/>
    <w:rsid w:val="00B62957"/>
    <w:rsid w:val="00B62D01"/>
    <w:rsid w:val="00B634C4"/>
    <w:rsid w:val="00B653CF"/>
    <w:rsid w:val="00B7044C"/>
    <w:rsid w:val="00B70A52"/>
    <w:rsid w:val="00B71E77"/>
    <w:rsid w:val="00B741B7"/>
    <w:rsid w:val="00B7450F"/>
    <w:rsid w:val="00B75CF2"/>
    <w:rsid w:val="00B75FF3"/>
    <w:rsid w:val="00B76373"/>
    <w:rsid w:val="00B76902"/>
    <w:rsid w:val="00B76FE6"/>
    <w:rsid w:val="00B830BC"/>
    <w:rsid w:val="00B838C4"/>
    <w:rsid w:val="00B84BA2"/>
    <w:rsid w:val="00B84E9D"/>
    <w:rsid w:val="00B85192"/>
    <w:rsid w:val="00B860A3"/>
    <w:rsid w:val="00B90446"/>
    <w:rsid w:val="00B918C1"/>
    <w:rsid w:val="00B9234E"/>
    <w:rsid w:val="00B93275"/>
    <w:rsid w:val="00B93EB8"/>
    <w:rsid w:val="00B94B42"/>
    <w:rsid w:val="00BA0DFE"/>
    <w:rsid w:val="00BA0FC0"/>
    <w:rsid w:val="00BA1527"/>
    <w:rsid w:val="00BA3019"/>
    <w:rsid w:val="00BA32F4"/>
    <w:rsid w:val="00BA4EC3"/>
    <w:rsid w:val="00BA53BB"/>
    <w:rsid w:val="00BA5D90"/>
    <w:rsid w:val="00BA6402"/>
    <w:rsid w:val="00BA6554"/>
    <w:rsid w:val="00BA716A"/>
    <w:rsid w:val="00BA7D04"/>
    <w:rsid w:val="00BB0FE9"/>
    <w:rsid w:val="00BB10BA"/>
    <w:rsid w:val="00BB319E"/>
    <w:rsid w:val="00BB6E90"/>
    <w:rsid w:val="00BC0039"/>
    <w:rsid w:val="00BC047F"/>
    <w:rsid w:val="00BC2208"/>
    <w:rsid w:val="00BC25B0"/>
    <w:rsid w:val="00BC2EF4"/>
    <w:rsid w:val="00BC4992"/>
    <w:rsid w:val="00BC5C80"/>
    <w:rsid w:val="00BC634B"/>
    <w:rsid w:val="00BD14BC"/>
    <w:rsid w:val="00BD3BC8"/>
    <w:rsid w:val="00BD3D06"/>
    <w:rsid w:val="00BD40E4"/>
    <w:rsid w:val="00BD55BF"/>
    <w:rsid w:val="00BD6E9D"/>
    <w:rsid w:val="00BE0A6B"/>
    <w:rsid w:val="00BE0FFF"/>
    <w:rsid w:val="00BE150A"/>
    <w:rsid w:val="00BE1668"/>
    <w:rsid w:val="00BE17CA"/>
    <w:rsid w:val="00BE4BC4"/>
    <w:rsid w:val="00BE56D7"/>
    <w:rsid w:val="00BE7605"/>
    <w:rsid w:val="00BF430D"/>
    <w:rsid w:val="00BF4801"/>
    <w:rsid w:val="00BF56D0"/>
    <w:rsid w:val="00BF6406"/>
    <w:rsid w:val="00BF64BA"/>
    <w:rsid w:val="00BF75EF"/>
    <w:rsid w:val="00C00151"/>
    <w:rsid w:val="00C016C3"/>
    <w:rsid w:val="00C03617"/>
    <w:rsid w:val="00C04748"/>
    <w:rsid w:val="00C04AC7"/>
    <w:rsid w:val="00C05D4F"/>
    <w:rsid w:val="00C070E7"/>
    <w:rsid w:val="00C071DA"/>
    <w:rsid w:val="00C10998"/>
    <w:rsid w:val="00C110FC"/>
    <w:rsid w:val="00C11BA6"/>
    <w:rsid w:val="00C11BC2"/>
    <w:rsid w:val="00C122A7"/>
    <w:rsid w:val="00C12859"/>
    <w:rsid w:val="00C13628"/>
    <w:rsid w:val="00C144FA"/>
    <w:rsid w:val="00C15682"/>
    <w:rsid w:val="00C16A19"/>
    <w:rsid w:val="00C16B42"/>
    <w:rsid w:val="00C171FD"/>
    <w:rsid w:val="00C17574"/>
    <w:rsid w:val="00C175CC"/>
    <w:rsid w:val="00C17783"/>
    <w:rsid w:val="00C17EED"/>
    <w:rsid w:val="00C21B2A"/>
    <w:rsid w:val="00C23396"/>
    <w:rsid w:val="00C2410B"/>
    <w:rsid w:val="00C266BD"/>
    <w:rsid w:val="00C27DDB"/>
    <w:rsid w:val="00C30B2F"/>
    <w:rsid w:val="00C336B1"/>
    <w:rsid w:val="00C34B05"/>
    <w:rsid w:val="00C34D93"/>
    <w:rsid w:val="00C3530A"/>
    <w:rsid w:val="00C379DB"/>
    <w:rsid w:val="00C42FC6"/>
    <w:rsid w:val="00C431C6"/>
    <w:rsid w:val="00C43BA2"/>
    <w:rsid w:val="00C44E07"/>
    <w:rsid w:val="00C47439"/>
    <w:rsid w:val="00C47F1F"/>
    <w:rsid w:val="00C47FE0"/>
    <w:rsid w:val="00C501B0"/>
    <w:rsid w:val="00C50AE4"/>
    <w:rsid w:val="00C50FF7"/>
    <w:rsid w:val="00C51C68"/>
    <w:rsid w:val="00C52BC6"/>
    <w:rsid w:val="00C53667"/>
    <w:rsid w:val="00C538C8"/>
    <w:rsid w:val="00C55DEC"/>
    <w:rsid w:val="00C60694"/>
    <w:rsid w:val="00C619DE"/>
    <w:rsid w:val="00C61F45"/>
    <w:rsid w:val="00C633A3"/>
    <w:rsid w:val="00C63D43"/>
    <w:rsid w:val="00C655C4"/>
    <w:rsid w:val="00C67039"/>
    <w:rsid w:val="00C672E3"/>
    <w:rsid w:val="00C70B64"/>
    <w:rsid w:val="00C71798"/>
    <w:rsid w:val="00C71943"/>
    <w:rsid w:val="00C7369F"/>
    <w:rsid w:val="00C755E3"/>
    <w:rsid w:val="00C76519"/>
    <w:rsid w:val="00C80B07"/>
    <w:rsid w:val="00C8116F"/>
    <w:rsid w:val="00C82411"/>
    <w:rsid w:val="00C82D91"/>
    <w:rsid w:val="00C8379B"/>
    <w:rsid w:val="00C83AF3"/>
    <w:rsid w:val="00C841AF"/>
    <w:rsid w:val="00C85606"/>
    <w:rsid w:val="00C874A6"/>
    <w:rsid w:val="00C87C72"/>
    <w:rsid w:val="00C938FA"/>
    <w:rsid w:val="00C93D2F"/>
    <w:rsid w:val="00C95668"/>
    <w:rsid w:val="00C961C7"/>
    <w:rsid w:val="00C969D5"/>
    <w:rsid w:val="00CA0A04"/>
    <w:rsid w:val="00CA1EAE"/>
    <w:rsid w:val="00CA3933"/>
    <w:rsid w:val="00CA3AA3"/>
    <w:rsid w:val="00CA49BE"/>
    <w:rsid w:val="00CA5F57"/>
    <w:rsid w:val="00CA7664"/>
    <w:rsid w:val="00CA793E"/>
    <w:rsid w:val="00CB0CFE"/>
    <w:rsid w:val="00CB0D1C"/>
    <w:rsid w:val="00CB4475"/>
    <w:rsid w:val="00CB473D"/>
    <w:rsid w:val="00CB6141"/>
    <w:rsid w:val="00CB6EEF"/>
    <w:rsid w:val="00CB7666"/>
    <w:rsid w:val="00CC0047"/>
    <w:rsid w:val="00CC09C7"/>
    <w:rsid w:val="00CC0A87"/>
    <w:rsid w:val="00CC2199"/>
    <w:rsid w:val="00CC3408"/>
    <w:rsid w:val="00CC543F"/>
    <w:rsid w:val="00CC5557"/>
    <w:rsid w:val="00CC562B"/>
    <w:rsid w:val="00CC63F4"/>
    <w:rsid w:val="00CD0360"/>
    <w:rsid w:val="00CD1861"/>
    <w:rsid w:val="00CD264A"/>
    <w:rsid w:val="00CD27A1"/>
    <w:rsid w:val="00CD5148"/>
    <w:rsid w:val="00CD52D0"/>
    <w:rsid w:val="00CD5CA3"/>
    <w:rsid w:val="00CD6BAA"/>
    <w:rsid w:val="00CE22DC"/>
    <w:rsid w:val="00CE3C04"/>
    <w:rsid w:val="00CE48E9"/>
    <w:rsid w:val="00CE583A"/>
    <w:rsid w:val="00CE7360"/>
    <w:rsid w:val="00CF04D4"/>
    <w:rsid w:val="00CF2C2C"/>
    <w:rsid w:val="00CF2C3E"/>
    <w:rsid w:val="00CF3DC7"/>
    <w:rsid w:val="00CF4912"/>
    <w:rsid w:val="00CF6724"/>
    <w:rsid w:val="00CF6D5E"/>
    <w:rsid w:val="00D0026A"/>
    <w:rsid w:val="00D012BC"/>
    <w:rsid w:val="00D034CC"/>
    <w:rsid w:val="00D04682"/>
    <w:rsid w:val="00D060D0"/>
    <w:rsid w:val="00D06851"/>
    <w:rsid w:val="00D0737D"/>
    <w:rsid w:val="00D0774C"/>
    <w:rsid w:val="00D1141E"/>
    <w:rsid w:val="00D11A2E"/>
    <w:rsid w:val="00D12849"/>
    <w:rsid w:val="00D12A05"/>
    <w:rsid w:val="00D14045"/>
    <w:rsid w:val="00D154CC"/>
    <w:rsid w:val="00D17514"/>
    <w:rsid w:val="00D20064"/>
    <w:rsid w:val="00D200B4"/>
    <w:rsid w:val="00D20621"/>
    <w:rsid w:val="00D21D00"/>
    <w:rsid w:val="00D21ECF"/>
    <w:rsid w:val="00D21F12"/>
    <w:rsid w:val="00D23071"/>
    <w:rsid w:val="00D26243"/>
    <w:rsid w:val="00D2798F"/>
    <w:rsid w:val="00D30971"/>
    <w:rsid w:val="00D3367F"/>
    <w:rsid w:val="00D34D35"/>
    <w:rsid w:val="00D3508B"/>
    <w:rsid w:val="00D403A2"/>
    <w:rsid w:val="00D4242D"/>
    <w:rsid w:val="00D42E40"/>
    <w:rsid w:val="00D43536"/>
    <w:rsid w:val="00D436E9"/>
    <w:rsid w:val="00D43934"/>
    <w:rsid w:val="00D45068"/>
    <w:rsid w:val="00D452D8"/>
    <w:rsid w:val="00D46A63"/>
    <w:rsid w:val="00D4700D"/>
    <w:rsid w:val="00D5099D"/>
    <w:rsid w:val="00D50CE0"/>
    <w:rsid w:val="00D51030"/>
    <w:rsid w:val="00D52D8E"/>
    <w:rsid w:val="00D54B9D"/>
    <w:rsid w:val="00D55A5A"/>
    <w:rsid w:val="00D55BE4"/>
    <w:rsid w:val="00D564B9"/>
    <w:rsid w:val="00D57701"/>
    <w:rsid w:val="00D61C2B"/>
    <w:rsid w:val="00D62B84"/>
    <w:rsid w:val="00D64143"/>
    <w:rsid w:val="00D65A96"/>
    <w:rsid w:val="00D70AFA"/>
    <w:rsid w:val="00D7142C"/>
    <w:rsid w:val="00D74EF2"/>
    <w:rsid w:val="00D75260"/>
    <w:rsid w:val="00D75A70"/>
    <w:rsid w:val="00D77558"/>
    <w:rsid w:val="00D77F1E"/>
    <w:rsid w:val="00D8025A"/>
    <w:rsid w:val="00D81A2E"/>
    <w:rsid w:val="00D81E5C"/>
    <w:rsid w:val="00D829BC"/>
    <w:rsid w:val="00D83022"/>
    <w:rsid w:val="00D8531E"/>
    <w:rsid w:val="00D85AF4"/>
    <w:rsid w:val="00D87960"/>
    <w:rsid w:val="00D9010F"/>
    <w:rsid w:val="00D90873"/>
    <w:rsid w:val="00D9157A"/>
    <w:rsid w:val="00D920B9"/>
    <w:rsid w:val="00D9408B"/>
    <w:rsid w:val="00D94361"/>
    <w:rsid w:val="00D94816"/>
    <w:rsid w:val="00D95C3B"/>
    <w:rsid w:val="00D9671C"/>
    <w:rsid w:val="00D972D8"/>
    <w:rsid w:val="00DA08D7"/>
    <w:rsid w:val="00DA1105"/>
    <w:rsid w:val="00DA2675"/>
    <w:rsid w:val="00DA292D"/>
    <w:rsid w:val="00DA4F04"/>
    <w:rsid w:val="00DA5F88"/>
    <w:rsid w:val="00DA6618"/>
    <w:rsid w:val="00DB0A43"/>
    <w:rsid w:val="00DB540F"/>
    <w:rsid w:val="00DB5DD0"/>
    <w:rsid w:val="00DB6419"/>
    <w:rsid w:val="00DB674B"/>
    <w:rsid w:val="00DC0CBB"/>
    <w:rsid w:val="00DC20DB"/>
    <w:rsid w:val="00DC2B45"/>
    <w:rsid w:val="00DC30F4"/>
    <w:rsid w:val="00DC5BD4"/>
    <w:rsid w:val="00DC7152"/>
    <w:rsid w:val="00DC7E96"/>
    <w:rsid w:val="00DD02F3"/>
    <w:rsid w:val="00DD1B70"/>
    <w:rsid w:val="00DD205A"/>
    <w:rsid w:val="00DD2442"/>
    <w:rsid w:val="00DD41B8"/>
    <w:rsid w:val="00DD44D5"/>
    <w:rsid w:val="00DD5CF1"/>
    <w:rsid w:val="00DD668D"/>
    <w:rsid w:val="00DD6E8A"/>
    <w:rsid w:val="00DE04D8"/>
    <w:rsid w:val="00DE172B"/>
    <w:rsid w:val="00DE19D7"/>
    <w:rsid w:val="00DE5F08"/>
    <w:rsid w:val="00DE6DD2"/>
    <w:rsid w:val="00DE7695"/>
    <w:rsid w:val="00DE7A6F"/>
    <w:rsid w:val="00DF07AB"/>
    <w:rsid w:val="00DF144E"/>
    <w:rsid w:val="00DF3C98"/>
    <w:rsid w:val="00DF5A4A"/>
    <w:rsid w:val="00DF6F26"/>
    <w:rsid w:val="00E00087"/>
    <w:rsid w:val="00E000F4"/>
    <w:rsid w:val="00E02529"/>
    <w:rsid w:val="00E02F33"/>
    <w:rsid w:val="00E044D3"/>
    <w:rsid w:val="00E04B87"/>
    <w:rsid w:val="00E04ED1"/>
    <w:rsid w:val="00E0530F"/>
    <w:rsid w:val="00E07652"/>
    <w:rsid w:val="00E10018"/>
    <w:rsid w:val="00E11162"/>
    <w:rsid w:val="00E11F8B"/>
    <w:rsid w:val="00E123B2"/>
    <w:rsid w:val="00E127C8"/>
    <w:rsid w:val="00E12B36"/>
    <w:rsid w:val="00E13553"/>
    <w:rsid w:val="00E142D8"/>
    <w:rsid w:val="00E149C0"/>
    <w:rsid w:val="00E14F90"/>
    <w:rsid w:val="00E170A7"/>
    <w:rsid w:val="00E208C5"/>
    <w:rsid w:val="00E217C7"/>
    <w:rsid w:val="00E228D1"/>
    <w:rsid w:val="00E24ECE"/>
    <w:rsid w:val="00E25E80"/>
    <w:rsid w:val="00E26030"/>
    <w:rsid w:val="00E26311"/>
    <w:rsid w:val="00E26345"/>
    <w:rsid w:val="00E26F8D"/>
    <w:rsid w:val="00E27E51"/>
    <w:rsid w:val="00E30420"/>
    <w:rsid w:val="00E310B4"/>
    <w:rsid w:val="00E329C8"/>
    <w:rsid w:val="00E32E3A"/>
    <w:rsid w:val="00E3349F"/>
    <w:rsid w:val="00E336E3"/>
    <w:rsid w:val="00E33B1D"/>
    <w:rsid w:val="00E33C3D"/>
    <w:rsid w:val="00E34F38"/>
    <w:rsid w:val="00E353E0"/>
    <w:rsid w:val="00E40A32"/>
    <w:rsid w:val="00E43002"/>
    <w:rsid w:val="00E438D9"/>
    <w:rsid w:val="00E44D49"/>
    <w:rsid w:val="00E46C5F"/>
    <w:rsid w:val="00E47237"/>
    <w:rsid w:val="00E47BD0"/>
    <w:rsid w:val="00E502DF"/>
    <w:rsid w:val="00E51763"/>
    <w:rsid w:val="00E523DF"/>
    <w:rsid w:val="00E527F3"/>
    <w:rsid w:val="00E54609"/>
    <w:rsid w:val="00E561AF"/>
    <w:rsid w:val="00E576F6"/>
    <w:rsid w:val="00E64A8B"/>
    <w:rsid w:val="00E65E4D"/>
    <w:rsid w:val="00E66764"/>
    <w:rsid w:val="00E7218B"/>
    <w:rsid w:val="00E729AC"/>
    <w:rsid w:val="00E72B35"/>
    <w:rsid w:val="00E7499D"/>
    <w:rsid w:val="00E75D7B"/>
    <w:rsid w:val="00E81D1D"/>
    <w:rsid w:val="00E82183"/>
    <w:rsid w:val="00E83B36"/>
    <w:rsid w:val="00E847AE"/>
    <w:rsid w:val="00E84C30"/>
    <w:rsid w:val="00E86249"/>
    <w:rsid w:val="00E864F4"/>
    <w:rsid w:val="00E86642"/>
    <w:rsid w:val="00E86A43"/>
    <w:rsid w:val="00E87FE7"/>
    <w:rsid w:val="00E91A86"/>
    <w:rsid w:val="00E94068"/>
    <w:rsid w:val="00E94844"/>
    <w:rsid w:val="00E94AD1"/>
    <w:rsid w:val="00E95BD9"/>
    <w:rsid w:val="00E95D59"/>
    <w:rsid w:val="00E965A1"/>
    <w:rsid w:val="00E97500"/>
    <w:rsid w:val="00E9753F"/>
    <w:rsid w:val="00EA066B"/>
    <w:rsid w:val="00EA13D9"/>
    <w:rsid w:val="00EA2494"/>
    <w:rsid w:val="00EA63CB"/>
    <w:rsid w:val="00EA671A"/>
    <w:rsid w:val="00EA69F5"/>
    <w:rsid w:val="00EA78BA"/>
    <w:rsid w:val="00EB00BE"/>
    <w:rsid w:val="00EB0837"/>
    <w:rsid w:val="00EB37B6"/>
    <w:rsid w:val="00EB3A8C"/>
    <w:rsid w:val="00EB41CF"/>
    <w:rsid w:val="00EB510B"/>
    <w:rsid w:val="00EB75B4"/>
    <w:rsid w:val="00EB7F64"/>
    <w:rsid w:val="00EC4641"/>
    <w:rsid w:val="00EC4796"/>
    <w:rsid w:val="00ED0855"/>
    <w:rsid w:val="00ED30CB"/>
    <w:rsid w:val="00ED322B"/>
    <w:rsid w:val="00ED3D9B"/>
    <w:rsid w:val="00ED51E6"/>
    <w:rsid w:val="00ED5C77"/>
    <w:rsid w:val="00ED6BC9"/>
    <w:rsid w:val="00ED74C3"/>
    <w:rsid w:val="00ED74F5"/>
    <w:rsid w:val="00ED7EEF"/>
    <w:rsid w:val="00EE0CFA"/>
    <w:rsid w:val="00EE1988"/>
    <w:rsid w:val="00EE1D56"/>
    <w:rsid w:val="00EE1E4C"/>
    <w:rsid w:val="00EE2370"/>
    <w:rsid w:val="00EE5CAD"/>
    <w:rsid w:val="00EE6135"/>
    <w:rsid w:val="00EE68E9"/>
    <w:rsid w:val="00EE6ABF"/>
    <w:rsid w:val="00EF0195"/>
    <w:rsid w:val="00EF061F"/>
    <w:rsid w:val="00EF1FD5"/>
    <w:rsid w:val="00EF25C9"/>
    <w:rsid w:val="00EF27F2"/>
    <w:rsid w:val="00EF289B"/>
    <w:rsid w:val="00EF7606"/>
    <w:rsid w:val="00F009A6"/>
    <w:rsid w:val="00F01112"/>
    <w:rsid w:val="00F04182"/>
    <w:rsid w:val="00F04396"/>
    <w:rsid w:val="00F06175"/>
    <w:rsid w:val="00F06D58"/>
    <w:rsid w:val="00F10B92"/>
    <w:rsid w:val="00F11CE1"/>
    <w:rsid w:val="00F1304C"/>
    <w:rsid w:val="00F1498B"/>
    <w:rsid w:val="00F20BDF"/>
    <w:rsid w:val="00F21281"/>
    <w:rsid w:val="00F214CE"/>
    <w:rsid w:val="00F21EA9"/>
    <w:rsid w:val="00F24D55"/>
    <w:rsid w:val="00F301F0"/>
    <w:rsid w:val="00F30350"/>
    <w:rsid w:val="00F3058C"/>
    <w:rsid w:val="00F30C38"/>
    <w:rsid w:val="00F32869"/>
    <w:rsid w:val="00F35374"/>
    <w:rsid w:val="00F35408"/>
    <w:rsid w:val="00F434C5"/>
    <w:rsid w:val="00F43865"/>
    <w:rsid w:val="00F43F6D"/>
    <w:rsid w:val="00F44706"/>
    <w:rsid w:val="00F4481A"/>
    <w:rsid w:val="00F44D20"/>
    <w:rsid w:val="00F45807"/>
    <w:rsid w:val="00F4620A"/>
    <w:rsid w:val="00F46998"/>
    <w:rsid w:val="00F472C5"/>
    <w:rsid w:val="00F507E9"/>
    <w:rsid w:val="00F52841"/>
    <w:rsid w:val="00F5317D"/>
    <w:rsid w:val="00F532F3"/>
    <w:rsid w:val="00F53B76"/>
    <w:rsid w:val="00F54727"/>
    <w:rsid w:val="00F54C21"/>
    <w:rsid w:val="00F5581F"/>
    <w:rsid w:val="00F5610A"/>
    <w:rsid w:val="00F57636"/>
    <w:rsid w:val="00F578B4"/>
    <w:rsid w:val="00F57F60"/>
    <w:rsid w:val="00F60233"/>
    <w:rsid w:val="00F61928"/>
    <w:rsid w:val="00F6408B"/>
    <w:rsid w:val="00F6539E"/>
    <w:rsid w:val="00F6679D"/>
    <w:rsid w:val="00F67056"/>
    <w:rsid w:val="00F6729B"/>
    <w:rsid w:val="00F71515"/>
    <w:rsid w:val="00F73649"/>
    <w:rsid w:val="00F76113"/>
    <w:rsid w:val="00F771D0"/>
    <w:rsid w:val="00F820E8"/>
    <w:rsid w:val="00F825FA"/>
    <w:rsid w:val="00F82BEC"/>
    <w:rsid w:val="00F84DF9"/>
    <w:rsid w:val="00F87333"/>
    <w:rsid w:val="00F93282"/>
    <w:rsid w:val="00F94F78"/>
    <w:rsid w:val="00F954DD"/>
    <w:rsid w:val="00F9751A"/>
    <w:rsid w:val="00F97CF3"/>
    <w:rsid w:val="00FA0674"/>
    <w:rsid w:val="00FA08E1"/>
    <w:rsid w:val="00FA14AB"/>
    <w:rsid w:val="00FA1602"/>
    <w:rsid w:val="00FA1BA2"/>
    <w:rsid w:val="00FA3131"/>
    <w:rsid w:val="00FA3FB8"/>
    <w:rsid w:val="00FA56CF"/>
    <w:rsid w:val="00FA5D30"/>
    <w:rsid w:val="00FA6B7A"/>
    <w:rsid w:val="00FA792D"/>
    <w:rsid w:val="00FB058A"/>
    <w:rsid w:val="00FB2E6C"/>
    <w:rsid w:val="00FB3032"/>
    <w:rsid w:val="00FB37ED"/>
    <w:rsid w:val="00FB5BCB"/>
    <w:rsid w:val="00FB6377"/>
    <w:rsid w:val="00FB7306"/>
    <w:rsid w:val="00FB7839"/>
    <w:rsid w:val="00FB7C9B"/>
    <w:rsid w:val="00FC1DB2"/>
    <w:rsid w:val="00FC2A63"/>
    <w:rsid w:val="00FC3103"/>
    <w:rsid w:val="00FC4C4A"/>
    <w:rsid w:val="00FC5C67"/>
    <w:rsid w:val="00FC7DD7"/>
    <w:rsid w:val="00FC7F98"/>
    <w:rsid w:val="00FC7FDD"/>
    <w:rsid w:val="00FD0492"/>
    <w:rsid w:val="00FD0922"/>
    <w:rsid w:val="00FD0F60"/>
    <w:rsid w:val="00FD1093"/>
    <w:rsid w:val="00FD182A"/>
    <w:rsid w:val="00FD2349"/>
    <w:rsid w:val="00FD2BDC"/>
    <w:rsid w:val="00FD4AB9"/>
    <w:rsid w:val="00FD4ED0"/>
    <w:rsid w:val="00FD5E28"/>
    <w:rsid w:val="00FD612D"/>
    <w:rsid w:val="00FD7248"/>
    <w:rsid w:val="00FD7441"/>
    <w:rsid w:val="00FE025F"/>
    <w:rsid w:val="00FE0646"/>
    <w:rsid w:val="00FE2DF0"/>
    <w:rsid w:val="00FE3503"/>
    <w:rsid w:val="00FE4CF4"/>
    <w:rsid w:val="00FE4EA3"/>
    <w:rsid w:val="00FE50A4"/>
    <w:rsid w:val="00FE63B5"/>
    <w:rsid w:val="00FE652C"/>
    <w:rsid w:val="00FE6B5C"/>
    <w:rsid w:val="00FE7481"/>
    <w:rsid w:val="00FE7A2E"/>
    <w:rsid w:val="00FE7AEE"/>
    <w:rsid w:val="00FF06D9"/>
    <w:rsid w:val="00FF3C48"/>
    <w:rsid w:val="00FF55B1"/>
    <w:rsid w:val="01A1F2BF"/>
    <w:rsid w:val="0246C09F"/>
    <w:rsid w:val="038F461F"/>
    <w:rsid w:val="03908978"/>
    <w:rsid w:val="03E25CAA"/>
    <w:rsid w:val="04B531EE"/>
    <w:rsid w:val="05D119CD"/>
    <w:rsid w:val="06311867"/>
    <w:rsid w:val="069AC243"/>
    <w:rsid w:val="080FB1EA"/>
    <w:rsid w:val="094DF03E"/>
    <w:rsid w:val="0A2583D6"/>
    <w:rsid w:val="0A59123D"/>
    <w:rsid w:val="0B0B4B15"/>
    <w:rsid w:val="0B28D428"/>
    <w:rsid w:val="0C2B7204"/>
    <w:rsid w:val="0C89C534"/>
    <w:rsid w:val="0CEEB9D5"/>
    <w:rsid w:val="0CF050B0"/>
    <w:rsid w:val="0CF780CE"/>
    <w:rsid w:val="0DBBC080"/>
    <w:rsid w:val="0E2505A6"/>
    <w:rsid w:val="0E7BCAF0"/>
    <w:rsid w:val="0EAA29E3"/>
    <w:rsid w:val="0EF12966"/>
    <w:rsid w:val="100D1D81"/>
    <w:rsid w:val="11A35C36"/>
    <w:rsid w:val="11BDE0C6"/>
    <w:rsid w:val="12272245"/>
    <w:rsid w:val="1350F70A"/>
    <w:rsid w:val="136B3466"/>
    <w:rsid w:val="137008CF"/>
    <w:rsid w:val="1399D0DF"/>
    <w:rsid w:val="13B76065"/>
    <w:rsid w:val="14000BF5"/>
    <w:rsid w:val="1448D518"/>
    <w:rsid w:val="1479B7D1"/>
    <w:rsid w:val="14D5F1B6"/>
    <w:rsid w:val="151429AC"/>
    <w:rsid w:val="168FC8FC"/>
    <w:rsid w:val="18102CB8"/>
    <w:rsid w:val="194CC525"/>
    <w:rsid w:val="199DB312"/>
    <w:rsid w:val="1B21F6C0"/>
    <w:rsid w:val="1B33A853"/>
    <w:rsid w:val="1B431709"/>
    <w:rsid w:val="1DD9D1D0"/>
    <w:rsid w:val="1EA44CD7"/>
    <w:rsid w:val="1F049B07"/>
    <w:rsid w:val="22F50701"/>
    <w:rsid w:val="23B9CD96"/>
    <w:rsid w:val="23E5881F"/>
    <w:rsid w:val="261AC570"/>
    <w:rsid w:val="26A6A5A9"/>
    <w:rsid w:val="26B37461"/>
    <w:rsid w:val="283D183C"/>
    <w:rsid w:val="28AB9CE0"/>
    <w:rsid w:val="297C64CD"/>
    <w:rsid w:val="29FC4FA2"/>
    <w:rsid w:val="2A3818B9"/>
    <w:rsid w:val="2A7C45DC"/>
    <w:rsid w:val="2AF33848"/>
    <w:rsid w:val="2B090190"/>
    <w:rsid w:val="2BE63314"/>
    <w:rsid w:val="2C31FB55"/>
    <w:rsid w:val="2D977776"/>
    <w:rsid w:val="2DA7DA87"/>
    <w:rsid w:val="2DEA708C"/>
    <w:rsid w:val="2FAD8A79"/>
    <w:rsid w:val="2FB57FF0"/>
    <w:rsid w:val="301E7619"/>
    <w:rsid w:val="30ED8BE8"/>
    <w:rsid w:val="31973C3C"/>
    <w:rsid w:val="32AF8AF7"/>
    <w:rsid w:val="331964AD"/>
    <w:rsid w:val="3418C1CD"/>
    <w:rsid w:val="34DDB58A"/>
    <w:rsid w:val="353C5668"/>
    <w:rsid w:val="35E8B87C"/>
    <w:rsid w:val="36E43919"/>
    <w:rsid w:val="3846F729"/>
    <w:rsid w:val="3D1B8306"/>
    <w:rsid w:val="3D831915"/>
    <w:rsid w:val="3DBD0DC9"/>
    <w:rsid w:val="3E2CC7AE"/>
    <w:rsid w:val="3E5EB3A2"/>
    <w:rsid w:val="3F84BB06"/>
    <w:rsid w:val="401956A7"/>
    <w:rsid w:val="40D36872"/>
    <w:rsid w:val="40FAF6FA"/>
    <w:rsid w:val="412C7F4F"/>
    <w:rsid w:val="41372576"/>
    <w:rsid w:val="432C1469"/>
    <w:rsid w:val="43BE0804"/>
    <w:rsid w:val="43F3F63E"/>
    <w:rsid w:val="44ABE3B4"/>
    <w:rsid w:val="46B1BB6B"/>
    <w:rsid w:val="47F9C17C"/>
    <w:rsid w:val="484D8BCC"/>
    <w:rsid w:val="497E8874"/>
    <w:rsid w:val="4C6B1356"/>
    <w:rsid w:val="4D1B3631"/>
    <w:rsid w:val="4EBCCD50"/>
    <w:rsid w:val="4F5C5596"/>
    <w:rsid w:val="4F6DBF3D"/>
    <w:rsid w:val="50325EC5"/>
    <w:rsid w:val="514C60A4"/>
    <w:rsid w:val="519AE271"/>
    <w:rsid w:val="51CE2F26"/>
    <w:rsid w:val="52B1DF91"/>
    <w:rsid w:val="53EF6331"/>
    <w:rsid w:val="554350F8"/>
    <w:rsid w:val="5565C29F"/>
    <w:rsid w:val="575BF358"/>
    <w:rsid w:val="57A58E46"/>
    <w:rsid w:val="57C33FAA"/>
    <w:rsid w:val="57F41D0E"/>
    <w:rsid w:val="5847B201"/>
    <w:rsid w:val="5863AF96"/>
    <w:rsid w:val="588466B3"/>
    <w:rsid w:val="58E56772"/>
    <w:rsid w:val="58F416D1"/>
    <w:rsid w:val="5973D6CC"/>
    <w:rsid w:val="59CF5BDA"/>
    <w:rsid w:val="5BA2DEA0"/>
    <w:rsid w:val="5BDE5CDE"/>
    <w:rsid w:val="5BF715BB"/>
    <w:rsid w:val="5C65E3A9"/>
    <w:rsid w:val="5DF8CDE1"/>
    <w:rsid w:val="5F4211DA"/>
    <w:rsid w:val="5F4A84C9"/>
    <w:rsid w:val="6070F9B0"/>
    <w:rsid w:val="6076AF01"/>
    <w:rsid w:val="6162846E"/>
    <w:rsid w:val="62127F62"/>
    <w:rsid w:val="62648E84"/>
    <w:rsid w:val="630DCE08"/>
    <w:rsid w:val="63125701"/>
    <w:rsid w:val="646D7A38"/>
    <w:rsid w:val="6489D4E6"/>
    <w:rsid w:val="6551970C"/>
    <w:rsid w:val="66B49200"/>
    <w:rsid w:val="673A39B6"/>
    <w:rsid w:val="67925EA9"/>
    <w:rsid w:val="68897AA0"/>
    <w:rsid w:val="6984D72F"/>
    <w:rsid w:val="6BAC32B7"/>
    <w:rsid w:val="6C5FCBC5"/>
    <w:rsid w:val="6DDBB4BA"/>
    <w:rsid w:val="6E23EC89"/>
    <w:rsid w:val="6E27DF19"/>
    <w:rsid w:val="702E837D"/>
    <w:rsid w:val="70748B7B"/>
    <w:rsid w:val="70E5F88F"/>
    <w:rsid w:val="71405436"/>
    <w:rsid w:val="7152EC0E"/>
    <w:rsid w:val="71BB77A8"/>
    <w:rsid w:val="725C0801"/>
    <w:rsid w:val="72A0EB4F"/>
    <w:rsid w:val="72D8FF1A"/>
    <w:rsid w:val="7347E6C2"/>
    <w:rsid w:val="73F1B8FA"/>
    <w:rsid w:val="74A56C16"/>
    <w:rsid w:val="74BDD1F3"/>
    <w:rsid w:val="7726B3F1"/>
    <w:rsid w:val="77335FAF"/>
    <w:rsid w:val="7815D515"/>
    <w:rsid w:val="796D7235"/>
    <w:rsid w:val="79B64AAF"/>
    <w:rsid w:val="7B0B11B7"/>
    <w:rsid w:val="7BDA72FF"/>
    <w:rsid w:val="7E6EEDA6"/>
    <w:rsid w:val="7EEFAB06"/>
    <w:rsid w:val="7EF25E8D"/>
    <w:rsid w:val="7F8AD3C6"/>
    <w:rsid w:val="7FD476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B18034"/>
  <w15:docId w15:val="{42A59D17-81BF-491C-A0D1-78BBB339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353B45"/>
    <w:pPr>
      <w:keepNext/>
      <w:keepLines/>
      <w:numPr>
        <w:numId w:val="12"/>
      </w:numPr>
      <w:ind w:left="54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9657AD"/>
    <w:pPr>
      <w:keepNext/>
      <w:keepLines/>
      <w:widowControl/>
      <w:autoSpaceDE/>
      <w:autoSpaceDN/>
      <w:adjustRightInd/>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7760D5"/>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28"/>
      <w:szCs w:val="28"/>
    </w:rPr>
  </w:style>
  <w:style w:type="character" w:customStyle="1" w:styleId="Heading2Char">
    <w:name w:val="Heading 2 Char"/>
    <w:basedOn w:val="DefaultParagraphFont"/>
    <w:link w:val="Heading2"/>
    <w:uiPriority w:val="99"/>
    <w:locked/>
    <w:rsid w:val="00353B45"/>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9657AD"/>
    <w:rPr>
      <w:rFonts w:asciiTheme="minorHAnsi" w:hAnsiTheme="minorHAnsi" w:cstheme="minorHAnsi"/>
      <w:b/>
      <w:bCs/>
      <w:sz w:val="28"/>
      <w:szCs w:val="28"/>
    </w:rPr>
  </w:style>
  <w:style w:type="character" w:styleId="FootnoteReference">
    <w:name w:val="footnote reference"/>
    <w:basedOn w:val="DefaultParagraphFont"/>
    <w:uiPriority w:val="99"/>
    <w:rPr>
      <w:rFonts w:cs="Times New Roman"/>
    </w:rPr>
  </w:style>
  <w:style w:type="paragraph" w:customStyle="1" w:styleId="Level1">
    <w:name w:val="Level 1"/>
    <w:basedOn w:val="Normal"/>
    <w:uiPriority w:val="99"/>
    <w:pPr>
      <w:numPr>
        <w:numId w:val="3"/>
      </w:numPr>
      <w:ind w:left="222" w:hanging="8"/>
      <w:outlineLvl w:val="0"/>
    </w:pPr>
  </w:style>
  <w:style w:type="paragraph" w:styleId="TOC1">
    <w:name w:val="toc 1"/>
    <w:basedOn w:val="Normal"/>
    <w:next w:val="Normal"/>
    <w:uiPriority w:val="39"/>
    <w:pPr>
      <w:spacing w:before="360"/>
    </w:pPr>
    <w:rPr>
      <w:rFonts w:asciiTheme="majorHAnsi" w:hAnsiTheme="majorHAnsi"/>
      <w:b/>
      <w:bCs/>
      <w:caps/>
    </w:rPr>
  </w:style>
  <w:style w:type="paragraph" w:styleId="TOC2">
    <w:name w:val="toc 2"/>
    <w:basedOn w:val="Normal"/>
    <w:next w:val="Normal"/>
    <w:link w:val="TOC2Char"/>
    <w:autoRedefine/>
    <w:uiPriority w:val="39"/>
    <w:rsid w:val="00FC7FDD"/>
    <w:pPr>
      <w:tabs>
        <w:tab w:val="left" w:pos="480"/>
        <w:tab w:val="right" w:leader="dot" w:pos="9530"/>
      </w:tabs>
      <w:spacing w:before="240"/>
      <w:pPrChange w:id="0" w:author="Tanner, Paul - OSHA" w:date="2025-06-11T14:09:00Z">
        <w:pPr>
          <w:widowControl w:val="0"/>
          <w:tabs>
            <w:tab w:val="left" w:pos="480"/>
            <w:tab w:val="right" w:leader="dot" w:pos="9530"/>
          </w:tabs>
          <w:autoSpaceDE w:val="0"/>
          <w:autoSpaceDN w:val="0"/>
          <w:adjustRightInd w:val="0"/>
          <w:spacing w:before="240"/>
        </w:pPr>
      </w:pPrChange>
    </w:pPr>
    <w:rPr>
      <w:rFonts w:asciiTheme="minorHAnsi" w:hAnsiTheme="minorHAnsi" w:cstheme="minorHAnsi"/>
      <w:bCs/>
      <w:noProof/>
      <w:rPrChange w:id="0" w:author="Tanner, Paul - OSHA" w:date="2025-06-11T14:09:00Z">
        <w:rPr>
          <w:rFonts w:asciiTheme="minorHAnsi" w:hAnsiTheme="minorHAnsi" w:cstheme="minorHAnsi"/>
          <w:bCs/>
          <w:sz w:val="28"/>
          <w:lang w:val="en-US" w:eastAsia="en-US" w:bidi="ar-SA"/>
        </w:rPr>
      </w:rPrChange>
    </w:rPr>
  </w:style>
  <w:style w:type="paragraph" w:customStyle="1" w:styleId="Level2">
    <w:name w:val="Level 2"/>
    <w:basedOn w:val="Normal"/>
    <w:uiPriority w:val="99"/>
    <w:pPr>
      <w:numPr>
        <w:ilvl w:val="1"/>
        <w:numId w:val="2"/>
      </w:numPr>
      <w:ind w:left="1440" w:hanging="720"/>
      <w:outlineLvl w:val="1"/>
    </w:pPr>
  </w:style>
  <w:style w:type="paragraph" w:customStyle="1" w:styleId="Level3">
    <w:name w:val="Level 3"/>
    <w:basedOn w:val="Normal"/>
    <w:uiPriority w:val="99"/>
    <w:pPr>
      <w:numPr>
        <w:ilvl w:val="2"/>
        <w:numId w:val="1"/>
      </w:numPr>
      <w:ind w:left="2160" w:hanging="720"/>
      <w:outlineLvl w:val="2"/>
    </w:pPr>
  </w:style>
  <w:style w:type="paragraph" w:customStyle="1" w:styleId="Level4">
    <w:name w:val="Level 4"/>
    <w:basedOn w:val="Normal"/>
    <w:uiPriority w:val="99"/>
    <w:pPr>
      <w:ind w:left="2160"/>
    </w:pPr>
  </w:style>
  <w:style w:type="character" w:customStyle="1" w:styleId="QuickFormat1">
    <w:name w:val="QuickFormat1"/>
    <w:uiPriority w:val="99"/>
    <w:rPr>
      <w:rFonts w:ascii="Microsoft Uighur" w:hAnsi="Microsoft Uighur"/>
      <w:color w:val="000000"/>
      <w:sz w:val="20"/>
    </w:rPr>
  </w:style>
  <w:style w:type="paragraph" w:customStyle="1" w:styleId="a">
    <w:name w:val="_"/>
    <w:basedOn w:val="Normal"/>
    <w:uiPriority w:val="99"/>
    <w:pPr>
      <w:ind w:left="42" w:hanging="42"/>
    </w:pPr>
  </w:style>
  <w:style w:type="paragraph" w:styleId="Index1">
    <w:name w:val="index 1"/>
    <w:basedOn w:val="Normal"/>
    <w:next w:val="Normal"/>
    <w:uiPriority w:val="99"/>
    <w:pPr>
      <w:ind w:left="412" w:hanging="1440"/>
    </w:pPr>
  </w:style>
  <w:style w:type="paragraph" w:styleId="Index2">
    <w:name w:val="index 2"/>
    <w:basedOn w:val="Normal"/>
    <w:next w:val="Normal"/>
    <w:uiPriority w:val="99"/>
    <w:pPr>
      <w:ind w:left="412" w:hanging="1028"/>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ListParagraph">
    <w:name w:val="List Paragraph"/>
    <w:basedOn w:val="Normal"/>
    <w:uiPriority w:val="1"/>
    <w:qFormat/>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Pr>
      <w:rFonts w:cs="Times New Roman"/>
    </w:rPr>
  </w:style>
  <w:style w:type="table" w:styleId="TableGrid">
    <w:name w:val="Table Grid"/>
    <w:basedOn w:val="TableNormal"/>
    <w:uiPriority w:val="99"/>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Pr>
      <w:rFonts w:ascii="Times New Roman" w:hAnsi="Times New Roman" w:cs="Times New Roman"/>
      <w:bCs/>
      <w:sz w:val="24"/>
      <w:szCs w:val="24"/>
    </w:rPr>
  </w:style>
  <w:style w:type="paragraph" w:customStyle="1" w:styleId="Style2">
    <w:name w:val="Style2"/>
    <w:basedOn w:val="Normal"/>
    <w:next w:val="Normal"/>
    <w:link w:val="Style2Char"/>
    <w:uiPriority w:val="99"/>
    <w:pPr>
      <w:spacing w:before="120" w:after="120"/>
      <w:ind w:left="720"/>
    </w:pPr>
  </w:style>
  <w:style w:type="character" w:customStyle="1" w:styleId="Style2Char">
    <w:name w:val="Style2 Char"/>
    <w:basedOn w:val="DefaultParagraphFont"/>
    <w:link w:val="Style2"/>
    <w:uiPriority w:val="99"/>
    <w:locked/>
    <w:rPr>
      <w:rFonts w:ascii="Times New Roman" w:hAnsi="Times New Roman" w:cs="Times New Roman"/>
      <w:sz w:val="24"/>
      <w:szCs w:val="24"/>
    </w:rPr>
  </w:style>
  <w:style w:type="character" w:styleId="Hyperlink">
    <w:name w:val="Hyperlink"/>
    <w:basedOn w:val="DefaultParagraphFont"/>
    <w:uiPriority w:val="99"/>
    <w:rPr>
      <w:rFonts w:cs="Times New Roman"/>
      <w:color w:val="0000FF"/>
      <w:u w:val="single"/>
    </w:rPr>
  </w:style>
  <w:style w:type="paragraph" w:styleId="TOAHeading">
    <w:name w:val="toa heading"/>
    <w:basedOn w:val="Normal"/>
    <w:next w:val="Normal"/>
    <w:uiPriority w:val="99"/>
    <w:pPr>
      <w:spacing w:before="120"/>
    </w:pPr>
    <w:rPr>
      <w:rFonts w:ascii="Arial" w:hAnsi="Arial" w:cs="Arial"/>
      <w:b/>
      <w:bCs/>
    </w:rPr>
  </w:style>
  <w:style w:type="paragraph" w:customStyle="1" w:styleId="StyleStyle2Left1">
    <w:name w:val="Style Style2 + Left:  1&quot;"/>
    <w:basedOn w:val="Style2"/>
    <w:uiPriority w:val="99"/>
    <w:pPr>
      <w:ind w:left="1440"/>
    </w:pPr>
    <w:rPr>
      <w:szCs w:val="20"/>
    </w:rPr>
  </w:style>
  <w:style w:type="paragraph" w:styleId="TOCHeading">
    <w:name w:val="TOC Heading"/>
    <w:basedOn w:val="Heading1"/>
    <w:next w:val="Normal"/>
    <w:uiPriority w:val="39"/>
    <w:qFormat/>
    <w:pPr>
      <w:outlineLvl w:val="9"/>
    </w:pPr>
    <w:rPr>
      <w:lang w:eastAsia="ja-JP"/>
    </w:rPr>
  </w:style>
  <w:style w:type="paragraph" w:customStyle="1" w:styleId="block1">
    <w:name w:val="block1"/>
    <w:basedOn w:val="Normal"/>
    <w:uiPriority w:val="99"/>
    <w:pPr>
      <w:widowControl/>
      <w:autoSpaceDE/>
      <w:autoSpaceDN/>
      <w:adjustRightInd/>
      <w:spacing w:before="100" w:beforeAutospacing="1" w:after="100" w:afterAutospacing="1"/>
    </w:pPr>
    <w:rPr>
      <w:sz w:val="19"/>
      <w:szCs w:val="19"/>
    </w:rPr>
  </w:style>
  <w:style w:type="paragraph" w:styleId="NoSpacing">
    <w:name w:val="No Spacing"/>
    <w:uiPriority w:val="99"/>
    <w:qFormat/>
  </w:style>
  <w:style w:type="paragraph" w:styleId="FootnoteText">
    <w:name w:val="footnote text"/>
    <w:basedOn w:val="Normal"/>
    <w:link w:val="FootnoteTextChar"/>
    <w:uiPriority w:val="99"/>
    <w:semiHidden/>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Pr>
      <w:rFonts w:eastAsia="Times New Roman" w:cs="Times New Roman"/>
      <w:sz w:val="20"/>
      <w:szCs w:val="20"/>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Pr>
      <w:rFonts w:eastAsia="Times New Roman" w:cs="Calibri"/>
      <w:sz w:val="20"/>
      <w:szCs w:val="20"/>
    </w:rPr>
  </w:style>
  <w:style w:type="character" w:styleId="FollowedHyperlink">
    <w:name w:val="FollowedHyperlink"/>
    <w:basedOn w:val="DefaultParagraphFont"/>
    <w:uiPriority w:val="99"/>
    <w:semiHidden/>
    <w:rPr>
      <w:rFonts w:cs="Times New Roman"/>
      <w:color w:val="800080"/>
      <w:u w:val="single"/>
    </w:rPr>
  </w:style>
  <w:style w:type="paragraph" w:styleId="TOC3">
    <w:name w:val="toc 3"/>
    <w:basedOn w:val="Normal"/>
    <w:next w:val="Normal"/>
    <w:autoRedefine/>
    <w:uiPriority w:val="39"/>
    <w:locked/>
    <w:rsid w:val="00DA1105"/>
    <w:pPr>
      <w:tabs>
        <w:tab w:val="left" w:pos="720"/>
        <w:tab w:val="right" w:leader="dot" w:pos="9530"/>
      </w:tabs>
      <w:ind w:left="240"/>
    </w:pPr>
    <w:rPr>
      <w:rFonts w:asciiTheme="minorHAnsi" w:hAnsiTheme="minorHAnsi" w:cstheme="minorHAnsi"/>
      <w:szCs w:val="20"/>
    </w:rPr>
  </w:style>
  <w:style w:type="paragraph" w:styleId="TOC4">
    <w:name w:val="toc 4"/>
    <w:basedOn w:val="Normal"/>
    <w:next w:val="Normal"/>
    <w:autoRedefine/>
    <w:uiPriority w:val="39"/>
    <w:locked/>
    <w:pPr>
      <w:ind w:left="480"/>
    </w:pPr>
    <w:rPr>
      <w:rFonts w:asciiTheme="minorHAnsi" w:hAnsiTheme="minorHAnsi" w:cstheme="minorHAnsi"/>
      <w:sz w:val="20"/>
      <w:szCs w:val="20"/>
    </w:rPr>
  </w:style>
  <w:style w:type="paragraph" w:styleId="TOC5">
    <w:name w:val="toc 5"/>
    <w:basedOn w:val="Normal"/>
    <w:next w:val="Normal"/>
    <w:autoRedefine/>
    <w:uiPriority w:val="99"/>
    <w:locked/>
    <w:pPr>
      <w:ind w:left="720"/>
    </w:pPr>
    <w:rPr>
      <w:rFonts w:asciiTheme="minorHAnsi" w:hAnsiTheme="minorHAnsi" w:cstheme="minorHAnsi"/>
      <w:sz w:val="20"/>
      <w:szCs w:val="20"/>
    </w:rPr>
  </w:style>
  <w:style w:type="paragraph" w:styleId="TOC6">
    <w:name w:val="toc 6"/>
    <w:basedOn w:val="Normal"/>
    <w:next w:val="Normal"/>
    <w:autoRedefine/>
    <w:uiPriority w:val="99"/>
    <w:locked/>
    <w:pPr>
      <w:ind w:left="960"/>
    </w:pPr>
    <w:rPr>
      <w:rFonts w:asciiTheme="minorHAnsi" w:hAnsiTheme="minorHAnsi" w:cstheme="minorHAnsi"/>
      <w:sz w:val="20"/>
      <w:szCs w:val="20"/>
    </w:rPr>
  </w:style>
  <w:style w:type="paragraph" w:styleId="TOC7">
    <w:name w:val="toc 7"/>
    <w:basedOn w:val="Normal"/>
    <w:next w:val="Normal"/>
    <w:autoRedefine/>
    <w:uiPriority w:val="99"/>
    <w:locked/>
    <w:pPr>
      <w:ind w:left="1200"/>
    </w:pPr>
    <w:rPr>
      <w:rFonts w:asciiTheme="minorHAnsi" w:hAnsiTheme="minorHAnsi" w:cstheme="minorHAnsi"/>
      <w:sz w:val="20"/>
      <w:szCs w:val="20"/>
    </w:rPr>
  </w:style>
  <w:style w:type="paragraph" w:styleId="TOC8">
    <w:name w:val="toc 8"/>
    <w:basedOn w:val="Normal"/>
    <w:next w:val="Normal"/>
    <w:autoRedefine/>
    <w:uiPriority w:val="99"/>
    <w:locked/>
    <w:pPr>
      <w:ind w:left="1440"/>
    </w:pPr>
    <w:rPr>
      <w:rFonts w:asciiTheme="minorHAnsi" w:hAnsiTheme="minorHAnsi" w:cstheme="minorHAnsi"/>
      <w:sz w:val="20"/>
      <w:szCs w:val="20"/>
    </w:rPr>
  </w:style>
  <w:style w:type="paragraph" w:styleId="TOC9">
    <w:name w:val="toc 9"/>
    <w:basedOn w:val="Normal"/>
    <w:next w:val="Normal"/>
    <w:autoRedefine/>
    <w:uiPriority w:val="99"/>
    <w:locked/>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Calibri"/>
      <w:b/>
      <w:bCs/>
      <w:sz w:val="20"/>
      <w:szCs w:val="20"/>
    </w:rPr>
  </w:style>
  <w:style w:type="table" w:customStyle="1" w:styleId="TableGrid1">
    <w:name w:val="Table Grid1"/>
    <w:basedOn w:val="TableNormal"/>
    <w:next w:val="TableGrid"/>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sz w:val="24"/>
      <w:szCs w:val="24"/>
    </w:rPr>
  </w:style>
  <w:style w:type="character" w:styleId="SubtleReference">
    <w:name w:val="Subtle Reference"/>
    <w:basedOn w:val="DefaultParagraphFont"/>
    <w:uiPriority w:val="31"/>
    <w:qFormat/>
    <w:rPr>
      <w:smallCaps/>
      <w:color w:val="C0504D" w:themeColor="accent2"/>
      <w:u w:val="single"/>
    </w:rPr>
  </w:style>
  <w:style w:type="paragraph" w:styleId="NormalWeb">
    <w:name w:val="Normal (Web)"/>
    <w:basedOn w:val="Normal"/>
    <w:uiPriority w:val="99"/>
    <w:unhideWhenUsed/>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7760D5"/>
    <w:rPr>
      <w:rFonts w:eastAsiaTheme="majorEastAsia" w:cstheme="majorBidi"/>
      <w:b/>
      <w:iCs/>
      <w:sz w:val="24"/>
      <w:szCs w:val="24"/>
    </w:rPr>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pPr>
      <w:tabs>
        <w:tab w:val="right" w:leader="dot" w:pos="9530"/>
      </w:tabs>
    </w:pPr>
    <w:rPr>
      <w:noProof/>
    </w:rPr>
  </w:style>
  <w:style w:type="character" w:customStyle="1" w:styleId="TOC2Char">
    <w:name w:val="TOC 2 Char"/>
    <w:basedOn w:val="DefaultParagraphFont"/>
    <w:link w:val="TOC2"/>
    <w:uiPriority w:val="39"/>
    <w:rsid w:val="00FC7FDD"/>
    <w:rPr>
      <w:rFonts w:asciiTheme="minorHAnsi" w:hAnsiTheme="minorHAnsi" w:cstheme="minorHAnsi"/>
      <w:bCs/>
      <w:noProof/>
      <w:sz w:val="24"/>
      <w:szCs w:val="24"/>
    </w:rPr>
  </w:style>
  <w:style w:type="character" w:customStyle="1" w:styleId="HeadingLevel3AppendicesChar">
    <w:name w:val="Heading Level 3 Appendices Char"/>
    <w:basedOn w:val="TOC2Char"/>
    <w:link w:val="HeadingLevel3Appendices"/>
    <w:rPr>
      <w:rFonts w:asciiTheme="minorHAnsi" w:hAnsiTheme="minorHAnsi" w:cstheme="minorHAnsi"/>
      <w:bCs/>
      <w:smallCaps/>
      <w:noProof/>
      <w:sz w:val="24"/>
      <w:szCs w:val="24"/>
    </w:rPr>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1"/>
    <w:rPr>
      <w:sz w:val="24"/>
      <w:szCs w:val="24"/>
    </w:rPr>
  </w:style>
  <w:style w:type="character" w:styleId="Mention">
    <w:name w:val="Mention"/>
    <w:basedOn w:val="DefaultParagraphFont"/>
    <w:uiPriority w:val="99"/>
    <w:unhideWhenUsed/>
    <w:rsid w:val="00ED51E6"/>
    <w:rPr>
      <w:color w:val="2B579A"/>
      <w:shd w:val="clear" w:color="auto" w:fill="E1DFDD"/>
    </w:rPr>
  </w:style>
  <w:style w:type="paragraph" w:customStyle="1" w:styleId="pf0">
    <w:name w:val="pf0"/>
    <w:basedOn w:val="Normal"/>
    <w:rsid w:val="003057B3"/>
    <w:pPr>
      <w:widowControl/>
      <w:autoSpaceDE/>
      <w:autoSpaceDN/>
      <w:adjustRightInd/>
      <w:spacing w:before="100" w:beforeAutospacing="1" w:after="100" w:afterAutospacing="1"/>
    </w:pPr>
    <w:rPr>
      <w:rFonts w:ascii="Times New Roman" w:hAnsi="Times New Roman"/>
    </w:rPr>
  </w:style>
  <w:style w:type="character" w:customStyle="1" w:styleId="cf01">
    <w:name w:val="cf01"/>
    <w:basedOn w:val="DefaultParagraphFont"/>
    <w:rsid w:val="003057B3"/>
    <w:rPr>
      <w:rFonts w:ascii="Segoe UI" w:hAnsi="Segoe UI" w:cs="Segoe UI" w:hint="default"/>
      <w:sz w:val="18"/>
      <w:szCs w:val="18"/>
    </w:rPr>
  </w:style>
  <w:style w:type="character" w:customStyle="1" w:styleId="normaltextrun">
    <w:name w:val="normaltextrun"/>
    <w:basedOn w:val="DefaultParagraphFont"/>
    <w:rsid w:val="00D64143"/>
  </w:style>
  <w:style w:type="table" w:customStyle="1" w:styleId="GridTable41">
    <w:name w:val="Grid Table 41"/>
    <w:basedOn w:val="TableNormal"/>
    <w:next w:val="GridTable4"/>
    <w:uiPriority w:val="49"/>
    <w:rsid w:val="009D18A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394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
          <w:marLeft w:val="0"/>
          <w:marRight w:val="0"/>
          <w:marTop w:val="0"/>
          <w:marBottom w:val="0"/>
          <w:divBdr>
            <w:top w:val="none" w:sz="0" w:space="0" w:color="auto"/>
            <w:left w:val="none" w:sz="0" w:space="0" w:color="auto"/>
            <w:bottom w:val="none" w:sz="0" w:space="0" w:color="auto"/>
            <w:right w:val="none" w:sz="0" w:space="0" w:color="auto"/>
          </w:divBdr>
        </w:div>
        <w:div w:id="212348378">
          <w:marLeft w:val="0"/>
          <w:marRight w:val="0"/>
          <w:marTop w:val="0"/>
          <w:marBottom w:val="0"/>
          <w:divBdr>
            <w:top w:val="none" w:sz="0" w:space="0" w:color="auto"/>
            <w:left w:val="none" w:sz="0" w:space="0" w:color="auto"/>
            <w:bottom w:val="none" w:sz="0" w:space="0" w:color="auto"/>
            <w:right w:val="none" w:sz="0" w:space="0" w:color="auto"/>
          </w:divBdr>
        </w:div>
        <w:div w:id="270476934">
          <w:marLeft w:val="0"/>
          <w:marRight w:val="0"/>
          <w:marTop w:val="0"/>
          <w:marBottom w:val="0"/>
          <w:divBdr>
            <w:top w:val="none" w:sz="0" w:space="0" w:color="auto"/>
            <w:left w:val="none" w:sz="0" w:space="0" w:color="auto"/>
            <w:bottom w:val="none" w:sz="0" w:space="0" w:color="auto"/>
            <w:right w:val="none" w:sz="0" w:space="0" w:color="auto"/>
          </w:divBdr>
        </w:div>
      </w:divsChild>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01691513">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851532070">
      <w:bodyDiv w:val="1"/>
      <w:marLeft w:val="0"/>
      <w:marRight w:val="0"/>
      <w:marTop w:val="0"/>
      <w:marBottom w:val="0"/>
      <w:divBdr>
        <w:top w:val="none" w:sz="0" w:space="0" w:color="auto"/>
        <w:left w:val="none" w:sz="0" w:space="0" w:color="auto"/>
        <w:bottom w:val="none" w:sz="0" w:space="0" w:color="auto"/>
        <w:right w:val="none" w:sz="0" w:space="0" w:color="auto"/>
      </w:divBdr>
      <w:divsChild>
        <w:div w:id="386757438">
          <w:marLeft w:val="0"/>
          <w:marRight w:val="0"/>
          <w:marTop w:val="0"/>
          <w:marBottom w:val="0"/>
          <w:divBdr>
            <w:top w:val="none" w:sz="0" w:space="0" w:color="auto"/>
            <w:left w:val="none" w:sz="0" w:space="0" w:color="auto"/>
            <w:bottom w:val="none" w:sz="0" w:space="0" w:color="auto"/>
            <w:right w:val="none" w:sz="0" w:space="0" w:color="auto"/>
          </w:divBdr>
        </w:div>
        <w:div w:id="908350227">
          <w:marLeft w:val="0"/>
          <w:marRight w:val="0"/>
          <w:marTop w:val="0"/>
          <w:marBottom w:val="0"/>
          <w:divBdr>
            <w:top w:val="none" w:sz="0" w:space="0" w:color="auto"/>
            <w:left w:val="none" w:sz="0" w:space="0" w:color="auto"/>
            <w:bottom w:val="none" w:sz="0" w:space="0" w:color="auto"/>
            <w:right w:val="none" w:sz="0" w:space="0" w:color="auto"/>
          </w:divBdr>
        </w:div>
        <w:div w:id="1610820916">
          <w:marLeft w:val="0"/>
          <w:marRight w:val="0"/>
          <w:marTop w:val="0"/>
          <w:marBottom w:val="0"/>
          <w:divBdr>
            <w:top w:val="none" w:sz="0" w:space="0" w:color="auto"/>
            <w:left w:val="none" w:sz="0" w:space="0" w:color="auto"/>
            <w:bottom w:val="none" w:sz="0" w:space="0" w:color="auto"/>
            <w:right w:val="none" w:sz="0" w:space="0" w:color="auto"/>
          </w:divBdr>
        </w:div>
      </w:divsChild>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08693747">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479303761">
      <w:bodyDiv w:val="1"/>
      <w:marLeft w:val="0"/>
      <w:marRight w:val="0"/>
      <w:marTop w:val="0"/>
      <w:marBottom w:val="0"/>
      <w:divBdr>
        <w:top w:val="none" w:sz="0" w:space="0" w:color="auto"/>
        <w:left w:val="none" w:sz="0" w:space="0" w:color="auto"/>
        <w:bottom w:val="none" w:sz="0" w:space="0" w:color="auto"/>
        <w:right w:val="none" w:sz="0" w:space="0" w:color="auto"/>
      </w:divBdr>
    </w:div>
    <w:div w:id="1537692979">
      <w:bodyDiv w:val="1"/>
      <w:marLeft w:val="0"/>
      <w:marRight w:val="0"/>
      <w:marTop w:val="0"/>
      <w:marBottom w:val="0"/>
      <w:divBdr>
        <w:top w:val="none" w:sz="0" w:space="0" w:color="auto"/>
        <w:left w:val="none" w:sz="0" w:space="0" w:color="auto"/>
        <w:bottom w:val="none" w:sz="0" w:space="0" w:color="auto"/>
        <w:right w:val="none" w:sz="0" w:space="0" w:color="auto"/>
      </w:divBdr>
    </w:div>
    <w:div w:id="1701472430">
      <w:bodyDiv w:val="1"/>
      <w:marLeft w:val="0"/>
      <w:marRight w:val="0"/>
      <w:marTop w:val="0"/>
      <w:marBottom w:val="0"/>
      <w:divBdr>
        <w:top w:val="none" w:sz="0" w:space="0" w:color="auto"/>
        <w:left w:val="none" w:sz="0" w:space="0" w:color="auto"/>
        <w:bottom w:val="none" w:sz="0" w:space="0" w:color="auto"/>
        <w:right w:val="none" w:sz="0" w:space="0" w:color="auto"/>
      </w:divBdr>
    </w:div>
    <w:div w:id="18066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eader" Target="head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5f527-c7ed-4337-9c3b-d3541cbb08f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00E495FDC05346A392541EA9DB2049" ma:contentTypeVersion="11" ma:contentTypeDescription="Create a new document." ma:contentTypeScope="" ma:versionID="e18edfab064cf82e38d0b947a8d1abbd">
  <xsd:schema xmlns:xsd="http://www.w3.org/2001/XMLSchema" xmlns:xs="http://www.w3.org/2001/XMLSchema" xmlns:p="http://schemas.microsoft.com/office/2006/metadata/properties" xmlns:ns2="0c15f527-c7ed-4337-9c3b-d3541cbb08fe" targetNamespace="http://schemas.microsoft.com/office/2006/metadata/properties" ma:root="true" ma:fieldsID="b4b97ff6f58bbb68b903082ff2f00008" ns2:_="">
    <xsd:import namespace="0c15f527-c7ed-4337-9c3b-d3541cbb08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5f527-c7ed-4337-9c3b-d3541cbb0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96E30-CC68-4122-A04D-E6FB04D9C8D3}">
  <ds:schemaRefs>
    <ds:schemaRef ds:uri="http://schemas.microsoft.com/office/2006/documentManagement/types"/>
    <ds:schemaRef ds:uri="http://purl.org/dc/dcmitype/"/>
    <ds:schemaRef ds:uri="http://schemas.microsoft.com/office/infopath/2007/PartnerControls"/>
    <ds:schemaRef ds:uri="0c15f527-c7ed-4337-9c3b-d3541cbb08fe"/>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customXml/itemProps3.xml><?xml version="1.0" encoding="utf-8"?>
<ds:datastoreItem xmlns:ds="http://schemas.openxmlformats.org/officeDocument/2006/customXml" ds:itemID="{FF3650D6-0F45-444B-9C87-4E5FF137E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5f527-c7ed-4337-9c3b-d3541cbb0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C04B0-C2C7-4CE6-9C1F-6D10C156E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5867</Words>
  <Characters>33071</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38861</CharactersWithSpaces>
  <SharedDoc>false</SharedDoc>
  <HLinks>
    <vt:vector size="60" baseType="variant">
      <vt:variant>
        <vt:i4>1835059</vt:i4>
      </vt:variant>
      <vt:variant>
        <vt:i4>56</vt:i4>
      </vt:variant>
      <vt:variant>
        <vt:i4>0</vt:i4>
      </vt:variant>
      <vt:variant>
        <vt:i4>5</vt:i4>
      </vt:variant>
      <vt:variant>
        <vt:lpwstr/>
      </vt:variant>
      <vt:variant>
        <vt:lpwstr>_Toc187654013</vt:lpwstr>
      </vt:variant>
      <vt:variant>
        <vt:i4>1835059</vt:i4>
      </vt:variant>
      <vt:variant>
        <vt:i4>50</vt:i4>
      </vt:variant>
      <vt:variant>
        <vt:i4>0</vt:i4>
      </vt:variant>
      <vt:variant>
        <vt:i4>5</vt:i4>
      </vt:variant>
      <vt:variant>
        <vt:lpwstr/>
      </vt:variant>
      <vt:variant>
        <vt:lpwstr>_Toc187654012</vt:lpwstr>
      </vt:variant>
      <vt:variant>
        <vt:i4>1835059</vt:i4>
      </vt:variant>
      <vt:variant>
        <vt:i4>44</vt:i4>
      </vt:variant>
      <vt:variant>
        <vt:i4>0</vt:i4>
      </vt:variant>
      <vt:variant>
        <vt:i4>5</vt:i4>
      </vt:variant>
      <vt:variant>
        <vt:lpwstr/>
      </vt:variant>
      <vt:variant>
        <vt:lpwstr>_Toc187654011</vt:lpwstr>
      </vt:variant>
      <vt:variant>
        <vt:i4>1835059</vt:i4>
      </vt:variant>
      <vt:variant>
        <vt:i4>38</vt:i4>
      </vt:variant>
      <vt:variant>
        <vt:i4>0</vt:i4>
      </vt:variant>
      <vt:variant>
        <vt:i4>5</vt:i4>
      </vt:variant>
      <vt:variant>
        <vt:lpwstr/>
      </vt:variant>
      <vt:variant>
        <vt:lpwstr>_Toc187654010</vt:lpwstr>
      </vt:variant>
      <vt:variant>
        <vt:i4>1900595</vt:i4>
      </vt:variant>
      <vt:variant>
        <vt:i4>32</vt:i4>
      </vt:variant>
      <vt:variant>
        <vt:i4>0</vt:i4>
      </vt:variant>
      <vt:variant>
        <vt:i4>5</vt:i4>
      </vt:variant>
      <vt:variant>
        <vt:lpwstr/>
      </vt:variant>
      <vt:variant>
        <vt:lpwstr>_Toc187654009</vt:lpwstr>
      </vt:variant>
      <vt:variant>
        <vt:i4>1900595</vt:i4>
      </vt:variant>
      <vt:variant>
        <vt:i4>26</vt:i4>
      </vt:variant>
      <vt:variant>
        <vt:i4>0</vt:i4>
      </vt:variant>
      <vt:variant>
        <vt:i4>5</vt:i4>
      </vt:variant>
      <vt:variant>
        <vt:lpwstr/>
      </vt:variant>
      <vt:variant>
        <vt:lpwstr>_Toc187654008</vt:lpwstr>
      </vt:variant>
      <vt:variant>
        <vt:i4>1900595</vt:i4>
      </vt:variant>
      <vt:variant>
        <vt:i4>20</vt:i4>
      </vt:variant>
      <vt:variant>
        <vt:i4>0</vt:i4>
      </vt:variant>
      <vt:variant>
        <vt:i4>5</vt:i4>
      </vt:variant>
      <vt:variant>
        <vt:lpwstr/>
      </vt:variant>
      <vt:variant>
        <vt:lpwstr>_Toc187654007</vt:lpwstr>
      </vt:variant>
      <vt:variant>
        <vt:i4>1900595</vt:i4>
      </vt:variant>
      <vt:variant>
        <vt:i4>14</vt:i4>
      </vt:variant>
      <vt:variant>
        <vt:i4>0</vt:i4>
      </vt:variant>
      <vt:variant>
        <vt:i4>5</vt:i4>
      </vt:variant>
      <vt:variant>
        <vt:lpwstr/>
      </vt:variant>
      <vt:variant>
        <vt:lpwstr>_Toc187654006</vt:lpwstr>
      </vt:variant>
      <vt:variant>
        <vt:i4>1900595</vt:i4>
      </vt:variant>
      <vt:variant>
        <vt:i4>8</vt:i4>
      </vt:variant>
      <vt:variant>
        <vt:i4>0</vt:i4>
      </vt:variant>
      <vt:variant>
        <vt:i4>5</vt:i4>
      </vt:variant>
      <vt:variant>
        <vt:lpwstr/>
      </vt:variant>
      <vt:variant>
        <vt:lpwstr>_Toc187654005</vt:lpwstr>
      </vt:variant>
      <vt:variant>
        <vt:i4>1900595</vt:i4>
      </vt:variant>
      <vt:variant>
        <vt:i4>2</vt:i4>
      </vt:variant>
      <vt:variant>
        <vt:i4>0</vt:i4>
      </vt:variant>
      <vt:variant>
        <vt:i4>5</vt:i4>
      </vt:variant>
      <vt:variant>
        <vt:lpwstr/>
      </vt:variant>
      <vt:variant>
        <vt:lpwstr>_Toc187654004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Tanner, Paul - OSHA</cp:lastModifiedBy>
  <cp:revision>2</cp:revision>
  <cp:lastPrinted>2017-07-11T15:59:00Z</cp:lastPrinted>
  <dcterms:created xsi:type="dcterms:W3CDTF">2025-06-11T18:10:00Z</dcterms:created>
  <dcterms:modified xsi:type="dcterms:W3CDTF">2025-06-11T18:10:00Z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0x0101004F00E495FDC05346A392541EA9DB2049</vt:lpwstr>
  </property>
  <property fmtid="{D5CDD505-2E9C-101B-9397-08002B2CF9AE}" pid="3" name="GrammarlyDocumentId">
    <vt:lpwstr>5da2004cf2fa0888ee361929929b040d7c657635e455aae15ebc5f748d0350e8</vt:lpwstr>
  </property>
  <property fmtid="{D5CDD505-2E9C-101B-9397-08002B2CF9AE}" pid="4" name="MediaServiceImageTags">
    <vt:lpwstr/>
  </property>
</Properties>
</file>